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楷体" w:hAnsi="楷体" w:eastAsia="楷体" w:cs="楷体"/>
          <w:b/>
          <w:sz w:val="32"/>
          <w:szCs w:val="32"/>
        </w:rPr>
      </w:pPr>
    </w:p>
    <w:p>
      <w:pPr>
        <w:spacing w:line="240" w:lineRule="atLeast"/>
        <w:rPr>
          <w:rFonts w:hint="eastAsia" w:ascii="楷体" w:hAnsi="楷体" w:eastAsia="楷体" w:cs="楷体"/>
          <w:b/>
          <w:sz w:val="52"/>
          <w:szCs w:val="52"/>
        </w:rPr>
      </w:pPr>
    </w:p>
    <w:p>
      <w:pPr>
        <w:spacing w:line="240" w:lineRule="atLeast"/>
        <w:jc w:val="center"/>
        <w:rPr>
          <w:rFonts w:hint="eastAsia" w:ascii="楷体" w:hAnsi="楷体" w:eastAsia="楷体" w:cs="楷体"/>
          <w:b/>
          <w:sz w:val="48"/>
          <w:szCs w:val="48"/>
          <w:lang w:eastAsia="zh-CN"/>
        </w:rPr>
      </w:pPr>
      <w:r>
        <w:rPr>
          <w:rFonts w:hint="eastAsia" w:ascii="楷体" w:hAnsi="楷体" w:eastAsia="楷体" w:cs="楷体"/>
          <w:b/>
          <w:sz w:val="48"/>
          <w:szCs w:val="48"/>
          <w:lang w:eastAsia="zh-CN"/>
        </w:rPr>
        <w:tab/>
      </w:r>
      <w:r>
        <w:rPr>
          <w:rFonts w:hint="eastAsia" w:ascii="楷体" w:hAnsi="楷体" w:eastAsia="楷体" w:cs="楷体"/>
          <w:b/>
          <w:sz w:val="48"/>
          <w:szCs w:val="48"/>
          <w:lang w:eastAsia="zh-CN"/>
        </w:rPr>
        <w:t>塔什库尔干野生动物自然保护区服务中心采购科研监测设备（视频监测设备、湿地生态监测与管理大数据平台软件升级版软件、智能巡护移动终端、保护区卫星遥感影像）项目</w:t>
      </w:r>
      <w:r>
        <w:rPr>
          <w:rFonts w:hint="eastAsia" w:ascii="楷体" w:hAnsi="楷体" w:eastAsia="楷体" w:cs="楷体"/>
          <w:b/>
          <w:sz w:val="48"/>
          <w:szCs w:val="48"/>
        </w:rPr>
        <w:t>竞争性磋商</w:t>
      </w:r>
      <w:r>
        <w:rPr>
          <w:rFonts w:hint="eastAsia" w:ascii="楷体" w:hAnsi="楷体" w:eastAsia="楷体" w:cs="楷体"/>
          <w:b/>
          <w:sz w:val="48"/>
          <w:szCs w:val="48"/>
          <w:lang w:eastAsia="zh-CN"/>
        </w:rPr>
        <w:t>文件</w:t>
      </w:r>
    </w:p>
    <w:p>
      <w:pPr>
        <w:pStyle w:val="3"/>
        <w:rPr>
          <w:rFonts w:hint="eastAsia"/>
        </w:rPr>
      </w:pPr>
    </w:p>
    <w:p>
      <w:pPr>
        <w:spacing w:line="240" w:lineRule="atLeast"/>
        <w:jc w:val="center"/>
        <w:rPr>
          <w:rFonts w:hint="eastAsia" w:ascii="楷体" w:hAnsi="楷体" w:eastAsia="楷体" w:cs="楷体"/>
          <w:bCs/>
          <w:sz w:val="36"/>
          <w:szCs w:val="36"/>
        </w:rPr>
      </w:pPr>
      <w:r>
        <w:rPr>
          <w:rFonts w:hint="eastAsia" w:ascii="楷体" w:hAnsi="楷体" w:eastAsia="楷体" w:cs="楷体"/>
          <w:bCs/>
          <w:sz w:val="36"/>
          <w:szCs w:val="36"/>
        </w:rPr>
        <w:t>项目编号：</w:t>
      </w:r>
      <w:r>
        <w:rPr>
          <w:rFonts w:hint="eastAsia" w:ascii="楷体" w:hAnsi="楷体" w:eastAsia="楷体" w:cs="楷体"/>
          <w:bCs/>
          <w:sz w:val="36"/>
          <w:szCs w:val="36"/>
          <w:lang w:eastAsia="zh-CN"/>
        </w:rPr>
        <w:t>KSBJ-HRGL-2021-01</w:t>
      </w:r>
    </w:p>
    <w:p>
      <w:pPr>
        <w:spacing w:line="240" w:lineRule="atLeast"/>
        <w:ind w:left="1079" w:leftChars="257" w:hanging="540"/>
        <w:jc w:val="center"/>
        <w:rPr>
          <w:rFonts w:hint="eastAsia" w:ascii="楷体" w:hAnsi="楷体" w:eastAsia="楷体" w:cs="楷体"/>
          <w:bCs/>
          <w:sz w:val="28"/>
        </w:rPr>
      </w:pPr>
    </w:p>
    <w:p>
      <w:pPr>
        <w:spacing w:line="240" w:lineRule="atLeast"/>
        <w:jc w:val="center"/>
        <w:rPr>
          <w:rFonts w:hint="eastAsia" w:ascii="楷体" w:hAnsi="楷体" w:eastAsia="楷体" w:cs="楷体"/>
          <w:bCs/>
          <w:sz w:val="48"/>
          <w:szCs w:val="48"/>
        </w:rPr>
      </w:pPr>
      <w:r>
        <w:rPr>
          <w:rFonts w:hint="eastAsia" w:ascii="楷体" w:hAnsi="楷体" w:eastAsia="楷体" w:cs="楷体"/>
          <w:bCs/>
          <w:sz w:val="48"/>
          <w:szCs w:val="48"/>
        </w:rPr>
        <w:t>第一册</w:t>
      </w:r>
    </w:p>
    <w:p>
      <w:pPr>
        <w:pStyle w:val="14"/>
        <w:rPr>
          <w:rFonts w:hint="eastAsia" w:ascii="楷体" w:hAnsi="楷体" w:eastAsia="楷体" w:cs="楷体"/>
          <w:bCs/>
          <w:sz w:val="52"/>
        </w:rPr>
      </w:pPr>
    </w:p>
    <w:p>
      <w:pPr>
        <w:pStyle w:val="14"/>
        <w:rPr>
          <w:rFonts w:hint="eastAsia" w:ascii="楷体" w:hAnsi="楷体" w:eastAsia="楷体" w:cs="楷体"/>
          <w:b/>
          <w:sz w:val="52"/>
        </w:rPr>
      </w:pPr>
    </w:p>
    <w:p>
      <w:pPr>
        <w:pStyle w:val="14"/>
        <w:rPr>
          <w:rFonts w:hint="eastAsia" w:ascii="楷体" w:hAnsi="楷体" w:eastAsia="楷体" w:cs="楷体"/>
          <w:b/>
          <w:sz w:val="52"/>
        </w:rPr>
      </w:pPr>
    </w:p>
    <w:p>
      <w:pPr>
        <w:spacing w:line="360" w:lineRule="auto"/>
        <w:jc w:val="left"/>
        <w:rPr>
          <w:rFonts w:hint="eastAsia" w:ascii="楷体" w:hAnsi="楷体" w:eastAsia="楷体" w:cs="楷体"/>
          <w:b/>
          <w:bCs/>
          <w:color w:val="FF0000"/>
          <w:sz w:val="30"/>
          <w:szCs w:val="30"/>
          <w:u w:val="single"/>
          <w:lang w:eastAsia="zh-CN"/>
        </w:rPr>
      </w:pPr>
      <w:r>
        <w:rPr>
          <w:rFonts w:hint="eastAsia" w:ascii="楷体" w:hAnsi="楷体" w:eastAsia="楷体" w:cs="楷体"/>
          <w:b/>
          <w:bCs/>
          <w:sz w:val="30"/>
          <w:szCs w:val="30"/>
        </w:rPr>
        <w:t xml:space="preserve">招 </w:t>
      </w:r>
      <w:r>
        <w:rPr>
          <w:rFonts w:hint="eastAsia" w:ascii="楷体" w:hAnsi="楷体" w:eastAsia="楷体" w:cs="楷体"/>
          <w:b/>
          <w:bCs/>
          <w:color w:val="000000"/>
          <w:sz w:val="30"/>
          <w:szCs w:val="30"/>
        </w:rPr>
        <w:t>标 人：</w:t>
      </w:r>
      <w:r>
        <w:rPr>
          <w:rFonts w:hint="eastAsia" w:ascii="楷体" w:hAnsi="楷体" w:eastAsia="楷体" w:cs="楷体"/>
          <w:b/>
          <w:bCs/>
          <w:color w:val="000000"/>
          <w:sz w:val="30"/>
          <w:szCs w:val="30"/>
          <w:u w:val="single"/>
          <w:lang w:val="en-US" w:eastAsia="zh-CN"/>
        </w:rPr>
        <w:t>塔什库尔干野生动物自然保护区服务中心</w:t>
      </w:r>
    </w:p>
    <w:p>
      <w:pPr>
        <w:spacing w:line="360" w:lineRule="auto"/>
        <w:jc w:val="left"/>
        <w:rPr>
          <w:rFonts w:hint="eastAsia" w:ascii="楷体" w:hAnsi="楷体" w:eastAsia="楷体" w:cs="楷体"/>
          <w:b/>
          <w:bCs/>
          <w:sz w:val="30"/>
          <w:szCs w:val="30"/>
          <w:u w:val="single"/>
        </w:rPr>
      </w:pPr>
      <w:r>
        <w:rPr>
          <w:rFonts w:hint="eastAsia" w:ascii="楷体" w:hAnsi="楷体" w:eastAsia="楷体" w:cs="楷体"/>
          <w:b/>
          <w:bCs/>
          <w:sz w:val="30"/>
          <w:szCs w:val="30"/>
        </w:rPr>
        <w:t>采购代理机构：</w:t>
      </w:r>
      <w:r>
        <w:rPr>
          <w:rFonts w:hint="eastAsia" w:ascii="楷体" w:hAnsi="楷体" w:eastAsia="楷体" w:cs="楷体"/>
          <w:b/>
          <w:bCs/>
          <w:sz w:val="30"/>
          <w:szCs w:val="30"/>
          <w:u w:val="single"/>
          <w:lang w:eastAsia="zh-CN"/>
        </w:rPr>
        <w:t>深圳市华睿项目管理有限公司</w:t>
      </w:r>
      <w:r>
        <w:rPr>
          <w:rFonts w:hint="eastAsia" w:ascii="楷体" w:hAnsi="楷体" w:eastAsia="楷体" w:cs="楷体"/>
          <w:b/>
          <w:bCs/>
          <w:sz w:val="30"/>
          <w:szCs w:val="30"/>
          <w:u w:val="single"/>
        </w:rPr>
        <w:t xml:space="preserve"> </w:t>
      </w:r>
    </w:p>
    <w:p>
      <w:pPr>
        <w:spacing w:line="500" w:lineRule="exact"/>
        <w:rPr>
          <w:rFonts w:hint="eastAsia" w:ascii="楷体" w:hAnsi="楷体" w:eastAsia="楷体" w:cs="楷体"/>
          <w:bCs/>
          <w:spacing w:val="18"/>
          <w:sz w:val="30"/>
          <w:szCs w:val="30"/>
          <w:lang w:eastAsia="zh-CN"/>
        </w:rPr>
      </w:pPr>
      <w:r>
        <w:rPr>
          <w:rFonts w:hint="eastAsia" w:ascii="楷体" w:hAnsi="楷体" w:eastAsia="楷体" w:cs="楷体"/>
          <w:b/>
          <w:bCs/>
          <w:sz w:val="30"/>
          <w:szCs w:val="30"/>
        </w:rPr>
        <w:t>采购代理机构地址：</w:t>
      </w:r>
      <w:r>
        <w:rPr>
          <w:rFonts w:hint="eastAsia" w:ascii="楷体" w:hAnsi="楷体" w:eastAsia="楷体" w:cs="楷体"/>
          <w:b/>
          <w:bCs/>
          <w:sz w:val="30"/>
          <w:szCs w:val="30"/>
          <w:u w:val="single"/>
          <w:lang w:eastAsia="zh-CN"/>
        </w:rPr>
        <w:t>新疆喀什地区疏勒县南疆齐鲁工业园沂蒙路8号（喀什豫龙新型建材有限公司）院内</w:t>
      </w:r>
    </w:p>
    <w:p>
      <w:pPr>
        <w:spacing w:line="360" w:lineRule="auto"/>
        <w:jc w:val="left"/>
        <w:rPr>
          <w:rFonts w:hint="eastAsia" w:ascii="楷体" w:hAnsi="楷体" w:eastAsia="楷体" w:cs="楷体"/>
          <w:b/>
          <w:bCs/>
          <w:sz w:val="30"/>
          <w:szCs w:val="30"/>
          <w:u w:val="single"/>
          <w:lang w:eastAsia="zh-CN"/>
        </w:rPr>
      </w:pPr>
      <w:r>
        <w:rPr>
          <w:rFonts w:hint="eastAsia" w:ascii="楷体" w:hAnsi="楷体" w:eastAsia="楷体" w:cs="楷体"/>
          <w:b/>
          <w:bCs/>
          <w:sz w:val="30"/>
          <w:szCs w:val="30"/>
        </w:rPr>
        <w:t>联 系 人：</w:t>
      </w:r>
      <w:r>
        <w:rPr>
          <w:rFonts w:hint="eastAsia" w:ascii="楷体" w:hAnsi="楷体" w:eastAsia="楷体" w:cs="楷体"/>
          <w:b/>
          <w:bCs/>
          <w:sz w:val="30"/>
          <w:szCs w:val="30"/>
          <w:u w:val="single"/>
          <w:lang w:eastAsia="zh-CN"/>
        </w:rPr>
        <w:t>王伟杰</w:t>
      </w:r>
    </w:p>
    <w:p>
      <w:pPr>
        <w:spacing w:line="360" w:lineRule="auto"/>
        <w:jc w:val="left"/>
        <w:rPr>
          <w:rFonts w:hint="eastAsia" w:ascii="楷体" w:hAnsi="楷体" w:eastAsia="楷体" w:cs="楷体"/>
          <w:b/>
          <w:bCs/>
          <w:sz w:val="30"/>
          <w:szCs w:val="30"/>
          <w:u w:val="single"/>
          <w:lang w:eastAsia="zh-CN"/>
        </w:rPr>
      </w:pPr>
      <w:r>
        <w:rPr>
          <w:rFonts w:hint="eastAsia" w:ascii="楷体" w:hAnsi="楷体" w:eastAsia="楷体" w:cs="楷体"/>
          <w:b/>
          <w:bCs/>
          <w:sz w:val="30"/>
          <w:szCs w:val="30"/>
        </w:rPr>
        <w:t>联 系 电 话：</w:t>
      </w:r>
      <w:r>
        <w:rPr>
          <w:rFonts w:hint="eastAsia" w:ascii="楷体" w:hAnsi="楷体" w:eastAsia="楷体" w:cs="楷体"/>
          <w:b/>
          <w:bCs/>
          <w:sz w:val="30"/>
          <w:szCs w:val="30"/>
          <w:u w:val="single"/>
          <w:lang w:eastAsia="zh-CN"/>
        </w:rPr>
        <w:t>17609987982</w:t>
      </w:r>
    </w:p>
    <w:p>
      <w:pPr>
        <w:spacing w:line="360" w:lineRule="auto"/>
        <w:jc w:val="left"/>
        <w:rPr>
          <w:rFonts w:hint="eastAsia" w:ascii="楷体" w:hAnsi="楷体" w:eastAsia="楷体" w:cs="楷体"/>
          <w:b/>
          <w:bCs/>
          <w:sz w:val="30"/>
          <w:szCs w:val="30"/>
        </w:rPr>
      </w:pPr>
      <w:r>
        <w:rPr>
          <w:rFonts w:hint="eastAsia" w:ascii="楷体" w:hAnsi="楷体" w:eastAsia="楷体" w:cs="楷体"/>
          <w:b/>
          <w:bCs/>
          <w:sz w:val="30"/>
          <w:szCs w:val="30"/>
        </w:rPr>
        <w:t xml:space="preserve"> </w:t>
      </w:r>
    </w:p>
    <w:p>
      <w:pPr>
        <w:pStyle w:val="14"/>
        <w:rPr>
          <w:rFonts w:hint="eastAsia" w:ascii="楷体" w:hAnsi="楷体" w:eastAsia="楷体" w:cs="楷体"/>
        </w:rPr>
      </w:pPr>
    </w:p>
    <w:p>
      <w:pPr>
        <w:spacing w:line="600" w:lineRule="exact"/>
        <w:jc w:val="center"/>
        <w:rPr>
          <w:rFonts w:hint="eastAsia" w:ascii="楷体" w:hAnsi="楷体" w:eastAsia="楷体" w:cs="楷体"/>
          <w:b/>
          <w:bCs/>
          <w:color w:val="FF0000"/>
          <w:sz w:val="30"/>
          <w:szCs w:val="30"/>
        </w:rPr>
      </w:pPr>
      <w:r>
        <w:rPr>
          <w:rFonts w:hint="eastAsia" w:ascii="楷体" w:hAnsi="楷体" w:eastAsia="楷体" w:cs="楷体"/>
          <w:b/>
          <w:bCs/>
          <w:sz w:val="30"/>
          <w:szCs w:val="30"/>
        </w:rPr>
        <w:t>发  出 日 期：</w:t>
      </w:r>
      <w:r>
        <w:rPr>
          <w:rFonts w:hint="eastAsia" w:ascii="楷体" w:hAnsi="楷体" w:eastAsia="楷体" w:cs="楷体"/>
          <w:b/>
          <w:bCs/>
          <w:sz w:val="30"/>
          <w:szCs w:val="30"/>
          <w:u w:val="single"/>
          <w:lang w:eastAsia="zh-CN"/>
        </w:rPr>
        <w:t>2021年</w:t>
      </w:r>
      <w:r>
        <w:rPr>
          <w:rFonts w:hint="eastAsia" w:ascii="楷体" w:hAnsi="楷体" w:eastAsia="楷体" w:cs="楷体"/>
          <w:b/>
          <w:bCs/>
          <w:sz w:val="30"/>
          <w:szCs w:val="30"/>
          <w:u w:val="single"/>
          <w:lang w:val="en-US" w:eastAsia="zh-CN"/>
        </w:rPr>
        <w:t>7</w:t>
      </w:r>
      <w:r>
        <w:rPr>
          <w:rFonts w:hint="eastAsia" w:ascii="楷体" w:hAnsi="楷体" w:eastAsia="楷体" w:cs="楷体"/>
          <w:b/>
          <w:bCs/>
          <w:sz w:val="30"/>
          <w:szCs w:val="30"/>
          <w:u w:val="single"/>
        </w:rPr>
        <w:t>月</w:t>
      </w:r>
    </w:p>
    <w:p>
      <w:pPr>
        <w:spacing w:line="240" w:lineRule="atLeast"/>
        <w:ind w:left="1079" w:leftChars="257" w:hanging="540"/>
        <w:jc w:val="center"/>
        <w:rPr>
          <w:rFonts w:hint="eastAsia" w:ascii="楷体" w:hAnsi="楷体" w:eastAsia="楷体" w:cs="楷体"/>
          <w:b/>
          <w:sz w:val="32"/>
        </w:rPr>
      </w:pPr>
      <w:r>
        <w:rPr>
          <w:rFonts w:hint="eastAsia" w:ascii="楷体" w:hAnsi="楷体" w:eastAsia="楷体" w:cs="楷体"/>
          <w:b/>
          <w:sz w:val="32"/>
        </w:rPr>
        <w:t>目  录</w:t>
      </w:r>
    </w:p>
    <w:p>
      <w:pPr>
        <w:spacing w:line="240" w:lineRule="atLeast"/>
        <w:ind w:left="1079" w:leftChars="257" w:hanging="540"/>
        <w:jc w:val="center"/>
        <w:rPr>
          <w:rFonts w:hint="eastAsia" w:ascii="楷体" w:hAnsi="楷体" w:eastAsia="楷体" w:cs="楷体"/>
          <w:b/>
          <w:sz w:val="32"/>
        </w:rPr>
      </w:pPr>
    </w:p>
    <w:p>
      <w:pPr>
        <w:pStyle w:val="13"/>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TOC \o "1-3" \h \z \u </w:instrText>
      </w:r>
      <w:r>
        <w:rPr>
          <w:rFonts w:hint="eastAsia" w:ascii="楷体" w:hAnsi="楷体" w:eastAsia="楷体" w:cs="楷体"/>
          <w:kern w:val="0"/>
          <w:szCs w:val="21"/>
        </w:rPr>
        <w:fldChar w:fldCharType="separate"/>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_Toc9228 </w:instrText>
      </w:r>
      <w:r>
        <w:rPr>
          <w:rFonts w:hint="eastAsia" w:ascii="楷体" w:hAnsi="楷体" w:eastAsia="楷体" w:cs="楷体"/>
          <w:kern w:val="0"/>
          <w:szCs w:val="21"/>
        </w:rPr>
        <w:fldChar w:fldCharType="separate"/>
      </w:r>
      <w:r>
        <w:rPr>
          <w:rFonts w:hint="eastAsia" w:ascii="楷体" w:hAnsi="楷体" w:eastAsia="楷体" w:cs="楷体"/>
        </w:rPr>
        <w:t>第1章   投标人须知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_Toc9228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_Toc9485 </w:instrText>
      </w:r>
      <w:r>
        <w:rPr>
          <w:rFonts w:hint="eastAsia" w:ascii="楷体" w:hAnsi="楷体" w:eastAsia="楷体" w:cs="楷体"/>
          <w:kern w:val="0"/>
          <w:szCs w:val="21"/>
        </w:rPr>
        <w:fldChar w:fldCharType="separate"/>
      </w:r>
      <w:r>
        <w:rPr>
          <w:rFonts w:hint="eastAsia" w:ascii="楷体" w:hAnsi="楷体" w:eastAsia="楷体" w:cs="楷体"/>
        </w:rPr>
        <w:t>一   总  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_Toc9485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_Toc12013 </w:instrText>
      </w:r>
      <w:r>
        <w:rPr>
          <w:rFonts w:hint="eastAsia" w:ascii="楷体" w:hAnsi="楷体" w:eastAsia="楷体" w:cs="楷体"/>
          <w:kern w:val="0"/>
          <w:szCs w:val="21"/>
        </w:rPr>
        <w:fldChar w:fldCharType="separate"/>
      </w:r>
      <w:r>
        <w:rPr>
          <w:rFonts w:hint="eastAsia" w:ascii="楷体" w:hAnsi="楷体" w:eastAsia="楷体" w:cs="楷体"/>
        </w:rPr>
        <w:t>1.采购人、采购代理机构及投标人</w:t>
      </w:r>
      <w:r>
        <w:rPr>
          <w:rFonts w:hint="eastAsia" w:ascii="楷体" w:hAnsi="楷体" w:eastAsia="楷体" w:cs="楷体"/>
        </w:rPr>
        <w:tab/>
      </w:r>
      <w:r>
        <w:rPr>
          <w:rFonts w:hint="eastAsia" w:ascii="楷体" w:hAnsi="楷体" w:eastAsia="楷体" w:cs="楷体"/>
          <w:lang w:val="en-US" w:eastAsia="zh-CN"/>
        </w:rPr>
        <w:t>5</w:t>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_Toc2643 </w:instrText>
      </w:r>
      <w:r>
        <w:rPr>
          <w:rFonts w:hint="eastAsia" w:ascii="楷体" w:hAnsi="楷体" w:eastAsia="楷体" w:cs="楷体"/>
          <w:kern w:val="0"/>
          <w:szCs w:val="21"/>
        </w:rPr>
        <w:fldChar w:fldCharType="separate"/>
      </w:r>
      <w:r>
        <w:rPr>
          <w:rFonts w:hint="eastAsia" w:ascii="楷体" w:hAnsi="楷体" w:eastAsia="楷体" w:cs="楷体"/>
        </w:rPr>
        <w:t>2.资金来源</w:t>
      </w:r>
      <w:r>
        <w:rPr>
          <w:rFonts w:hint="eastAsia" w:ascii="楷体" w:hAnsi="楷体" w:eastAsia="楷体" w:cs="楷体"/>
        </w:rPr>
        <w:tab/>
      </w:r>
      <w:r>
        <w:rPr>
          <w:rFonts w:hint="eastAsia" w:ascii="楷体" w:hAnsi="楷体" w:eastAsia="楷体" w:cs="楷体"/>
          <w:lang w:val="en-US" w:eastAsia="zh-CN"/>
        </w:rPr>
        <w:t>5</w:t>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_Toc28166 </w:instrText>
      </w:r>
      <w:r>
        <w:rPr>
          <w:rFonts w:hint="eastAsia" w:ascii="楷体" w:hAnsi="楷体" w:eastAsia="楷体" w:cs="楷体"/>
          <w:kern w:val="0"/>
          <w:szCs w:val="21"/>
        </w:rPr>
        <w:fldChar w:fldCharType="separate"/>
      </w:r>
      <w:r>
        <w:rPr>
          <w:rFonts w:hint="eastAsia" w:ascii="楷体" w:hAnsi="楷体" w:eastAsia="楷体" w:cs="楷体"/>
        </w:rPr>
        <w:t>3.投标费用</w:t>
      </w:r>
      <w:r>
        <w:rPr>
          <w:rFonts w:hint="eastAsia" w:ascii="楷体" w:hAnsi="楷体" w:eastAsia="楷体" w:cs="楷体"/>
        </w:rPr>
        <w:tab/>
      </w:r>
      <w:r>
        <w:rPr>
          <w:rFonts w:hint="eastAsia" w:ascii="楷体" w:hAnsi="楷体" w:eastAsia="楷体" w:cs="楷体"/>
          <w:lang w:val="en-US" w:eastAsia="zh-CN"/>
        </w:rPr>
        <w:t>6</w:t>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_Toc32365 </w:instrText>
      </w:r>
      <w:r>
        <w:rPr>
          <w:rFonts w:hint="eastAsia" w:ascii="楷体" w:hAnsi="楷体" w:eastAsia="楷体" w:cs="楷体"/>
          <w:kern w:val="0"/>
          <w:szCs w:val="21"/>
        </w:rPr>
        <w:fldChar w:fldCharType="separate"/>
      </w:r>
      <w:r>
        <w:rPr>
          <w:rFonts w:hint="eastAsia" w:ascii="楷体" w:hAnsi="楷体" w:eastAsia="楷体" w:cs="楷体"/>
        </w:rPr>
        <w:t>4.适用法律</w:t>
      </w:r>
      <w:r>
        <w:rPr>
          <w:rFonts w:hint="eastAsia" w:ascii="楷体" w:hAnsi="楷体" w:eastAsia="楷体" w:cs="楷体"/>
        </w:rPr>
        <w:tab/>
      </w:r>
      <w:r>
        <w:rPr>
          <w:rFonts w:hint="eastAsia" w:ascii="楷体" w:hAnsi="楷体" w:eastAsia="楷体" w:cs="楷体"/>
          <w:lang w:val="en-US" w:eastAsia="zh-CN"/>
        </w:rPr>
        <w:t>6</w:t>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_Toc809 </w:instrText>
      </w:r>
      <w:r>
        <w:rPr>
          <w:rFonts w:hint="eastAsia" w:ascii="楷体" w:hAnsi="楷体" w:eastAsia="楷体" w:cs="楷体"/>
          <w:kern w:val="0"/>
          <w:szCs w:val="21"/>
        </w:rPr>
        <w:fldChar w:fldCharType="separate"/>
      </w:r>
      <w:r>
        <w:rPr>
          <w:rFonts w:hint="eastAsia" w:ascii="楷体" w:hAnsi="楷体" w:eastAsia="楷体" w:cs="楷体"/>
        </w:rPr>
        <w:t xml:space="preserve">二   </w:t>
      </w:r>
      <w:r>
        <w:rPr>
          <w:rFonts w:hint="eastAsia" w:ascii="楷体" w:hAnsi="楷体" w:eastAsia="楷体" w:cs="楷体"/>
          <w:lang w:eastAsia="zh-CN"/>
        </w:rPr>
        <w:t>磋商文件</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_Toc809 </w:instrText>
      </w:r>
      <w:r>
        <w:rPr>
          <w:rFonts w:hint="eastAsia" w:ascii="楷体" w:hAnsi="楷体" w:eastAsia="楷体" w:cs="楷体"/>
        </w:rPr>
        <w:fldChar w:fldCharType="separate"/>
      </w:r>
      <w:r>
        <w:rPr>
          <w:rFonts w:hint="eastAsia" w:ascii="楷体" w:hAnsi="楷体" w:eastAsia="楷体" w:cs="楷体"/>
        </w:rPr>
        <w:t>6</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_Toc22990 </w:instrText>
      </w:r>
      <w:r>
        <w:rPr>
          <w:rFonts w:hint="eastAsia" w:ascii="楷体" w:hAnsi="楷体" w:eastAsia="楷体" w:cs="楷体"/>
          <w:kern w:val="0"/>
          <w:szCs w:val="21"/>
        </w:rPr>
        <w:fldChar w:fldCharType="separate"/>
      </w:r>
      <w:r>
        <w:rPr>
          <w:rFonts w:hint="eastAsia" w:ascii="楷体" w:hAnsi="楷体" w:eastAsia="楷体" w:cs="楷体"/>
        </w:rPr>
        <w:t>5.</w:t>
      </w:r>
      <w:r>
        <w:rPr>
          <w:rFonts w:hint="eastAsia" w:ascii="楷体" w:hAnsi="楷体" w:eastAsia="楷体" w:cs="楷体"/>
          <w:lang w:eastAsia="zh-CN"/>
        </w:rPr>
        <w:t>磋商文件</w:t>
      </w:r>
      <w:r>
        <w:rPr>
          <w:rFonts w:hint="eastAsia" w:ascii="楷体" w:hAnsi="楷体" w:eastAsia="楷体" w:cs="楷体"/>
        </w:rPr>
        <w:t>构成</w:t>
      </w:r>
      <w:r>
        <w:rPr>
          <w:rFonts w:hint="eastAsia" w:ascii="楷体" w:hAnsi="楷体" w:eastAsia="楷体" w:cs="楷体"/>
        </w:rPr>
        <w:tab/>
      </w:r>
      <w:r>
        <w:rPr>
          <w:rFonts w:hint="eastAsia" w:ascii="楷体" w:hAnsi="楷体" w:eastAsia="楷体" w:cs="楷体"/>
          <w:lang w:val="en-US" w:eastAsia="zh-CN"/>
        </w:rPr>
        <w:t>6</w:t>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_Toc21314 </w:instrText>
      </w:r>
      <w:r>
        <w:rPr>
          <w:rFonts w:hint="eastAsia" w:ascii="楷体" w:hAnsi="楷体" w:eastAsia="楷体" w:cs="楷体"/>
          <w:kern w:val="0"/>
          <w:szCs w:val="21"/>
        </w:rPr>
        <w:fldChar w:fldCharType="separate"/>
      </w:r>
      <w:r>
        <w:rPr>
          <w:rFonts w:hint="eastAsia" w:ascii="楷体" w:hAnsi="楷体" w:eastAsia="楷体" w:cs="楷体"/>
        </w:rPr>
        <w:t>6.</w:t>
      </w:r>
      <w:r>
        <w:rPr>
          <w:rFonts w:hint="eastAsia" w:ascii="楷体" w:hAnsi="楷体" w:eastAsia="楷体" w:cs="楷体"/>
          <w:lang w:eastAsia="zh-CN"/>
        </w:rPr>
        <w:t>磋商文件</w:t>
      </w:r>
      <w:r>
        <w:rPr>
          <w:rFonts w:hint="eastAsia" w:ascii="楷体" w:hAnsi="楷体" w:eastAsia="楷体" w:cs="楷体"/>
        </w:rPr>
        <w:t>的澄清与修改</w:t>
      </w:r>
      <w:r>
        <w:rPr>
          <w:rFonts w:hint="eastAsia" w:ascii="楷体" w:hAnsi="楷体" w:eastAsia="楷体" w:cs="楷体"/>
        </w:rPr>
        <w:tab/>
      </w:r>
      <w:r>
        <w:rPr>
          <w:rFonts w:hint="eastAsia" w:ascii="楷体" w:hAnsi="楷体" w:eastAsia="楷体" w:cs="楷体"/>
          <w:lang w:val="en-US" w:eastAsia="zh-CN"/>
        </w:rPr>
        <w:t>7</w:t>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_Toc10994 </w:instrText>
      </w:r>
      <w:r>
        <w:rPr>
          <w:rFonts w:hint="eastAsia" w:ascii="楷体" w:hAnsi="楷体" w:eastAsia="楷体" w:cs="楷体"/>
          <w:kern w:val="0"/>
          <w:szCs w:val="21"/>
        </w:rPr>
        <w:fldChar w:fldCharType="separate"/>
      </w:r>
      <w:r>
        <w:rPr>
          <w:rFonts w:hint="eastAsia" w:ascii="楷体" w:hAnsi="楷体" w:eastAsia="楷体" w:cs="楷体"/>
        </w:rPr>
        <w:t>7.投标截止时间的顺延</w:t>
      </w:r>
      <w:r>
        <w:rPr>
          <w:rFonts w:hint="eastAsia" w:ascii="楷体" w:hAnsi="楷体" w:eastAsia="楷体" w:cs="楷体"/>
        </w:rPr>
        <w:tab/>
      </w:r>
      <w:r>
        <w:rPr>
          <w:rFonts w:hint="eastAsia" w:ascii="楷体" w:hAnsi="楷体" w:eastAsia="楷体" w:cs="楷体"/>
          <w:lang w:val="en-US" w:eastAsia="zh-CN"/>
        </w:rPr>
        <w:t>7</w:t>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_Toc25389 </w:instrText>
      </w:r>
      <w:r>
        <w:rPr>
          <w:rFonts w:hint="eastAsia" w:ascii="楷体" w:hAnsi="楷体" w:eastAsia="楷体" w:cs="楷体"/>
          <w:kern w:val="0"/>
          <w:szCs w:val="21"/>
        </w:rPr>
        <w:fldChar w:fldCharType="separate"/>
      </w:r>
      <w:r>
        <w:rPr>
          <w:rFonts w:hint="eastAsia" w:ascii="楷体" w:hAnsi="楷体" w:eastAsia="楷体" w:cs="楷体"/>
        </w:rPr>
        <w:t xml:space="preserve">三   </w:t>
      </w:r>
      <w:r>
        <w:rPr>
          <w:rFonts w:hint="eastAsia" w:ascii="楷体" w:hAnsi="楷体" w:eastAsia="楷体" w:cs="楷体"/>
          <w:lang w:eastAsia="zh-CN"/>
        </w:rPr>
        <w:t>响应文件</w:t>
      </w:r>
      <w:r>
        <w:rPr>
          <w:rFonts w:hint="eastAsia" w:ascii="楷体" w:hAnsi="楷体" w:eastAsia="楷体" w:cs="楷体"/>
        </w:rPr>
        <w:t>的编制</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_Toc25389 </w:instrText>
      </w:r>
      <w:r>
        <w:rPr>
          <w:rFonts w:hint="eastAsia" w:ascii="楷体" w:hAnsi="楷体" w:eastAsia="楷体" w:cs="楷体"/>
        </w:rPr>
        <w:fldChar w:fldCharType="separate"/>
      </w:r>
      <w:r>
        <w:rPr>
          <w:rFonts w:hint="eastAsia" w:ascii="楷体" w:hAnsi="楷体" w:eastAsia="楷体" w:cs="楷体"/>
        </w:rPr>
        <w:t>7</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pos="3600"/>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_Toc6728 </w:instrText>
      </w:r>
      <w:r>
        <w:rPr>
          <w:rFonts w:hint="eastAsia" w:ascii="楷体" w:hAnsi="楷体" w:eastAsia="楷体" w:cs="楷体"/>
          <w:kern w:val="0"/>
          <w:szCs w:val="21"/>
        </w:rPr>
        <w:fldChar w:fldCharType="separate"/>
      </w:r>
      <w:r>
        <w:rPr>
          <w:rFonts w:hint="eastAsia" w:ascii="楷体" w:hAnsi="楷体" w:eastAsia="楷体" w:cs="楷体"/>
        </w:rPr>
        <w:t>8.</w:t>
      </w:r>
      <w:r>
        <w:rPr>
          <w:rFonts w:hint="eastAsia" w:ascii="楷体" w:hAnsi="楷体" w:eastAsia="楷体" w:cs="楷体"/>
        </w:rPr>
        <w:tab/>
      </w:r>
      <w:r>
        <w:rPr>
          <w:rFonts w:hint="eastAsia" w:ascii="楷体" w:hAnsi="楷体" w:eastAsia="楷体" w:cs="楷体"/>
        </w:rPr>
        <w:t>投标范围及</w:t>
      </w:r>
      <w:r>
        <w:rPr>
          <w:rFonts w:hint="eastAsia" w:ascii="楷体" w:hAnsi="楷体" w:eastAsia="楷体" w:cs="楷体"/>
          <w:lang w:eastAsia="zh-CN"/>
        </w:rPr>
        <w:t>响应文件</w:t>
      </w:r>
      <w:r>
        <w:rPr>
          <w:rFonts w:hint="eastAsia" w:ascii="楷体" w:hAnsi="楷体" w:eastAsia="楷体" w:cs="楷体"/>
        </w:rPr>
        <w:t>中标准和计量单位的使用</w:t>
      </w:r>
      <w:r>
        <w:rPr>
          <w:rFonts w:hint="eastAsia" w:ascii="楷体" w:hAnsi="楷体" w:eastAsia="楷体" w:cs="楷体"/>
        </w:rPr>
        <w:tab/>
      </w:r>
      <w:r>
        <w:rPr>
          <w:rFonts w:hint="eastAsia" w:ascii="楷体" w:hAnsi="楷体" w:eastAsia="楷体" w:cs="楷体"/>
          <w:lang w:val="en-US" w:eastAsia="zh-CN"/>
        </w:rPr>
        <w:t>7</w:t>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_Toc15487 </w:instrText>
      </w:r>
      <w:r>
        <w:rPr>
          <w:rFonts w:hint="eastAsia" w:ascii="楷体" w:hAnsi="楷体" w:eastAsia="楷体" w:cs="楷体"/>
          <w:kern w:val="0"/>
          <w:szCs w:val="21"/>
        </w:rPr>
        <w:fldChar w:fldCharType="separate"/>
      </w:r>
      <w:r>
        <w:rPr>
          <w:rFonts w:hint="eastAsia" w:ascii="楷体" w:hAnsi="楷体" w:eastAsia="楷体" w:cs="楷体"/>
        </w:rPr>
        <w:t>9.</w:t>
      </w:r>
      <w:r>
        <w:rPr>
          <w:rFonts w:hint="eastAsia" w:ascii="楷体" w:hAnsi="楷体" w:eastAsia="楷体" w:cs="楷体"/>
          <w:lang w:eastAsia="zh-CN"/>
        </w:rPr>
        <w:t>响应文件</w:t>
      </w:r>
      <w:r>
        <w:rPr>
          <w:rFonts w:hint="eastAsia" w:ascii="楷体" w:hAnsi="楷体" w:eastAsia="楷体" w:cs="楷体"/>
        </w:rPr>
        <w:t>构成</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_Toc15487 </w:instrText>
      </w:r>
      <w:r>
        <w:rPr>
          <w:rFonts w:hint="eastAsia" w:ascii="楷体" w:hAnsi="楷体" w:eastAsia="楷体" w:cs="楷体"/>
        </w:rPr>
        <w:fldChar w:fldCharType="separate"/>
      </w:r>
      <w:r>
        <w:rPr>
          <w:rFonts w:hint="eastAsia" w:ascii="楷体" w:hAnsi="楷体" w:eastAsia="楷体" w:cs="楷体"/>
        </w:rPr>
        <w:t>7</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pos="3600"/>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_Toc2671 </w:instrText>
      </w:r>
      <w:r>
        <w:rPr>
          <w:rFonts w:hint="eastAsia" w:ascii="楷体" w:hAnsi="楷体" w:eastAsia="楷体" w:cs="楷体"/>
          <w:kern w:val="0"/>
          <w:szCs w:val="21"/>
        </w:rPr>
        <w:fldChar w:fldCharType="separate"/>
      </w:r>
      <w:r>
        <w:rPr>
          <w:rFonts w:hint="eastAsia" w:ascii="楷体" w:hAnsi="楷体" w:eastAsia="楷体" w:cs="楷体"/>
        </w:rPr>
        <w:t>10.</w:t>
      </w:r>
      <w:r>
        <w:rPr>
          <w:rFonts w:hint="eastAsia" w:ascii="楷体" w:hAnsi="楷体" w:eastAsia="楷体" w:cs="楷体"/>
        </w:rPr>
        <w:tab/>
      </w:r>
      <w:r>
        <w:rPr>
          <w:rFonts w:hint="eastAsia" w:ascii="楷体" w:hAnsi="楷体" w:eastAsia="楷体" w:cs="楷体"/>
        </w:rPr>
        <w:t>证明投标标的的合格性和符合</w:t>
      </w:r>
      <w:r>
        <w:rPr>
          <w:rFonts w:hint="eastAsia" w:ascii="楷体" w:hAnsi="楷体" w:eastAsia="楷体" w:cs="楷体"/>
          <w:lang w:eastAsia="zh-CN"/>
        </w:rPr>
        <w:t>磋商文件</w:t>
      </w:r>
      <w:r>
        <w:rPr>
          <w:rFonts w:hint="eastAsia" w:ascii="楷体" w:hAnsi="楷体" w:eastAsia="楷体" w:cs="楷体"/>
        </w:rPr>
        <w:t>规定的响应文件</w:t>
      </w:r>
      <w:r>
        <w:rPr>
          <w:rFonts w:hint="eastAsia" w:ascii="楷体" w:hAnsi="楷体" w:eastAsia="楷体" w:cs="楷体"/>
        </w:rPr>
        <w:tab/>
      </w:r>
      <w:r>
        <w:rPr>
          <w:rFonts w:hint="eastAsia" w:ascii="楷体" w:hAnsi="楷体" w:eastAsia="楷体" w:cs="楷体"/>
          <w:lang w:val="en-US" w:eastAsia="zh-CN"/>
        </w:rPr>
        <w:t>7</w:t>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_Toc8529 </w:instrText>
      </w:r>
      <w:r>
        <w:rPr>
          <w:rFonts w:hint="eastAsia" w:ascii="楷体" w:hAnsi="楷体" w:eastAsia="楷体" w:cs="楷体"/>
          <w:kern w:val="0"/>
          <w:szCs w:val="21"/>
        </w:rPr>
        <w:fldChar w:fldCharType="separate"/>
      </w:r>
      <w:r>
        <w:rPr>
          <w:rFonts w:hint="eastAsia" w:ascii="楷体" w:hAnsi="楷体" w:eastAsia="楷体" w:cs="楷体"/>
        </w:rPr>
        <w:t>11.投标报价</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_Toc8529 </w:instrText>
      </w:r>
      <w:r>
        <w:rPr>
          <w:rFonts w:hint="eastAsia" w:ascii="楷体" w:hAnsi="楷体" w:eastAsia="楷体" w:cs="楷体"/>
        </w:rPr>
        <w:fldChar w:fldCharType="separate"/>
      </w:r>
      <w:r>
        <w:rPr>
          <w:rFonts w:hint="eastAsia" w:ascii="楷体" w:hAnsi="楷体" w:eastAsia="楷体" w:cs="楷体"/>
        </w:rPr>
        <w:t>7</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_Toc16199 </w:instrText>
      </w:r>
      <w:r>
        <w:rPr>
          <w:rFonts w:hint="eastAsia" w:ascii="楷体" w:hAnsi="楷体" w:eastAsia="楷体" w:cs="楷体"/>
          <w:kern w:val="0"/>
          <w:szCs w:val="21"/>
        </w:rPr>
        <w:fldChar w:fldCharType="separate"/>
      </w:r>
      <w:r>
        <w:rPr>
          <w:rFonts w:hint="eastAsia" w:ascii="楷体" w:hAnsi="楷体" w:eastAsia="楷体" w:cs="楷体"/>
        </w:rPr>
        <w:t>12.投标保证金</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_Toc16199 </w:instrText>
      </w:r>
      <w:r>
        <w:rPr>
          <w:rFonts w:hint="eastAsia" w:ascii="楷体" w:hAnsi="楷体" w:eastAsia="楷体" w:cs="楷体"/>
        </w:rPr>
        <w:fldChar w:fldCharType="separate"/>
      </w:r>
      <w:r>
        <w:rPr>
          <w:rFonts w:hint="eastAsia" w:ascii="楷体" w:hAnsi="楷体" w:eastAsia="楷体" w:cs="楷体"/>
        </w:rPr>
        <w:t>8</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_Toc20355 </w:instrText>
      </w:r>
      <w:r>
        <w:rPr>
          <w:rFonts w:hint="eastAsia" w:ascii="楷体" w:hAnsi="楷体" w:eastAsia="楷体" w:cs="楷体"/>
          <w:kern w:val="0"/>
          <w:szCs w:val="21"/>
        </w:rPr>
        <w:fldChar w:fldCharType="separate"/>
      </w:r>
      <w:r>
        <w:rPr>
          <w:rFonts w:hint="eastAsia" w:ascii="楷体" w:hAnsi="楷体" w:eastAsia="楷体" w:cs="楷体"/>
        </w:rPr>
        <w:t>13.投标有效期</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_Toc20355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_Toc27303 </w:instrText>
      </w:r>
      <w:r>
        <w:rPr>
          <w:rFonts w:hint="eastAsia" w:ascii="楷体" w:hAnsi="楷体" w:eastAsia="楷体" w:cs="楷体"/>
          <w:kern w:val="0"/>
          <w:szCs w:val="21"/>
        </w:rPr>
        <w:fldChar w:fldCharType="separate"/>
      </w:r>
      <w:r>
        <w:rPr>
          <w:rFonts w:hint="eastAsia" w:ascii="楷体" w:hAnsi="楷体" w:eastAsia="楷体" w:cs="楷体"/>
        </w:rPr>
        <w:t>14.</w:t>
      </w:r>
      <w:r>
        <w:rPr>
          <w:rFonts w:hint="eastAsia" w:ascii="楷体" w:hAnsi="楷体" w:eastAsia="楷体" w:cs="楷体"/>
          <w:lang w:eastAsia="zh-CN"/>
        </w:rPr>
        <w:t>响应文件</w:t>
      </w:r>
      <w:r>
        <w:rPr>
          <w:rFonts w:hint="eastAsia" w:ascii="楷体" w:hAnsi="楷体" w:eastAsia="楷体" w:cs="楷体"/>
        </w:rPr>
        <w:t>的签署及规定</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_Toc27303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_Toc22303 </w:instrText>
      </w:r>
      <w:r>
        <w:rPr>
          <w:rFonts w:hint="eastAsia" w:ascii="楷体" w:hAnsi="楷体" w:eastAsia="楷体" w:cs="楷体"/>
          <w:kern w:val="0"/>
          <w:szCs w:val="21"/>
        </w:rPr>
        <w:fldChar w:fldCharType="separate"/>
      </w:r>
      <w:r>
        <w:rPr>
          <w:rFonts w:hint="eastAsia" w:ascii="楷体" w:hAnsi="楷体" w:eastAsia="楷体" w:cs="楷体"/>
        </w:rPr>
        <w:t xml:space="preserve">四   </w:t>
      </w:r>
      <w:r>
        <w:rPr>
          <w:rFonts w:hint="eastAsia" w:ascii="楷体" w:hAnsi="楷体" w:eastAsia="楷体" w:cs="楷体"/>
          <w:lang w:eastAsia="zh-CN"/>
        </w:rPr>
        <w:t>响应文件</w:t>
      </w:r>
      <w:r>
        <w:rPr>
          <w:rFonts w:hint="eastAsia" w:ascii="楷体" w:hAnsi="楷体" w:eastAsia="楷体" w:cs="楷体"/>
        </w:rPr>
        <w:t>的递交</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_Toc22303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_Toc13247 </w:instrText>
      </w:r>
      <w:r>
        <w:rPr>
          <w:rFonts w:hint="eastAsia" w:ascii="楷体" w:hAnsi="楷体" w:eastAsia="楷体" w:cs="楷体"/>
          <w:kern w:val="0"/>
          <w:szCs w:val="21"/>
        </w:rPr>
        <w:fldChar w:fldCharType="separate"/>
      </w:r>
      <w:r>
        <w:rPr>
          <w:rFonts w:hint="eastAsia" w:ascii="楷体" w:hAnsi="楷体" w:eastAsia="楷体" w:cs="楷体"/>
        </w:rPr>
        <w:t>15.</w:t>
      </w:r>
      <w:r>
        <w:rPr>
          <w:rFonts w:hint="eastAsia" w:ascii="楷体" w:hAnsi="楷体" w:eastAsia="楷体" w:cs="楷体"/>
          <w:lang w:eastAsia="zh-CN"/>
        </w:rPr>
        <w:t>响应文件</w:t>
      </w:r>
      <w:r>
        <w:rPr>
          <w:rFonts w:hint="eastAsia" w:ascii="楷体" w:hAnsi="楷体" w:eastAsia="楷体" w:cs="楷体"/>
        </w:rPr>
        <w:t>的密封和标记</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_Toc13247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_Toc25787 </w:instrText>
      </w:r>
      <w:r>
        <w:rPr>
          <w:rFonts w:hint="eastAsia" w:ascii="楷体" w:hAnsi="楷体" w:eastAsia="楷体" w:cs="楷体"/>
          <w:kern w:val="0"/>
          <w:szCs w:val="21"/>
        </w:rPr>
        <w:fldChar w:fldCharType="separate"/>
      </w:r>
      <w:r>
        <w:rPr>
          <w:rFonts w:hint="eastAsia" w:ascii="楷体" w:hAnsi="楷体" w:eastAsia="楷体" w:cs="楷体"/>
        </w:rPr>
        <w:t>16.投标截止</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_Toc25787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_Toc13921 </w:instrText>
      </w:r>
      <w:r>
        <w:rPr>
          <w:rFonts w:hint="eastAsia" w:ascii="楷体" w:hAnsi="楷体" w:eastAsia="楷体" w:cs="楷体"/>
          <w:kern w:val="0"/>
          <w:szCs w:val="21"/>
        </w:rPr>
        <w:fldChar w:fldCharType="separate"/>
      </w:r>
      <w:r>
        <w:rPr>
          <w:rFonts w:hint="eastAsia" w:ascii="楷体" w:hAnsi="楷体" w:eastAsia="楷体" w:cs="楷体"/>
        </w:rPr>
        <w:t>17.</w:t>
      </w:r>
      <w:r>
        <w:rPr>
          <w:rFonts w:hint="eastAsia" w:ascii="楷体" w:hAnsi="楷体" w:eastAsia="楷体" w:cs="楷体"/>
          <w:lang w:eastAsia="zh-CN"/>
        </w:rPr>
        <w:t>响应文件</w:t>
      </w:r>
      <w:r>
        <w:rPr>
          <w:rFonts w:hint="eastAsia" w:ascii="楷体" w:hAnsi="楷体" w:eastAsia="楷体" w:cs="楷体"/>
        </w:rPr>
        <w:t>的接收、修改与撤回</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_Toc13921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_Toc10257 </w:instrText>
      </w:r>
      <w:r>
        <w:rPr>
          <w:rFonts w:hint="eastAsia" w:ascii="楷体" w:hAnsi="楷体" w:eastAsia="楷体" w:cs="楷体"/>
          <w:kern w:val="0"/>
          <w:szCs w:val="21"/>
        </w:rPr>
        <w:fldChar w:fldCharType="separate"/>
      </w:r>
      <w:r>
        <w:rPr>
          <w:rFonts w:hint="eastAsia" w:ascii="楷体" w:hAnsi="楷体" w:eastAsia="楷体" w:cs="楷体"/>
        </w:rPr>
        <w:t>五   开标及评标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_Toc10257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_Toc8653 </w:instrText>
      </w:r>
      <w:r>
        <w:rPr>
          <w:rFonts w:hint="eastAsia" w:ascii="楷体" w:hAnsi="楷体" w:eastAsia="楷体" w:cs="楷体"/>
          <w:kern w:val="0"/>
          <w:szCs w:val="21"/>
        </w:rPr>
        <w:fldChar w:fldCharType="separate"/>
      </w:r>
      <w:r>
        <w:rPr>
          <w:rFonts w:hint="eastAsia" w:ascii="楷体" w:hAnsi="楷体" w:eastAsia="楷体" w:cs="楷体"/>
        </w:rPr>
        <w:t>18.开标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_Toc8653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_Toc34 </w:instrText>
      </w:r>
      <w:r>
        <w:rPr>
          <w:rFonts w:hint="eastAsia" w:ascii="楷体" w:hAnsi="楷体" w:eastAsia="楷体" w:cs="楷体"/>
          <w:kern w:val="0"/>
          <w:szCs w:val="21"/>
        </w:rPr>
        <w:fldChar w:fldCharType="separate"/>
      </w:r>
      <w:r>
        <w:rPr>
          <w:rFonts w:hint="eastAsia" w:ascii="楷体" w:hAnsi="楷体" w:eastAsia="楷体" w:cs="楷体"/>
        </w:rPr>
        <w:t>19.资格审查及组建评标委员会</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_Toc34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_Toc6842 </w:instrText>
      </w:r>
      <w:r>
        <w:rPr>
          <w:rFonts w:hint="eastAsia" w:ascii="楷体" w:hAnsi="楷体" w:eastAsia="楷体" w:cs="楷体"/>
          <w:kern w:val="0"/>
          <w:szCs w:val="21"/>
        </w:rPr>
        <w:fldChar w:fldCharType="separate"/>
      </w:r>
      <w:r>
        <w:rPr>
          <w:rFonts w:hint="eastAsia" w:ascii="楷体" w:hAnsi="楷体" w:eastAsia="楷体" w:cs="楷体"/>
        </w:rPr>
        <w:t>20.</w:t>
      </w:r>
      <w:r>
        <w:rPr>
          <w:rFonts w:hint="eastAsia" w:ascii="楷体" w:hAnsi="楷体" w:eastAsia="楷体" w:cs="楷体"/>
          <w:lang w:eastAsia="zh-CN"/>
        </w:rPr>
        <w:t>响应文件</w:t>
      </w:r>
      <w:r>
        <w:rPr>
          <w:rFonts w:hint="eastAsia" w:ascii="楷体" w:hAnsi="楷体" w:eastAsia="楷体" w:cs="楷体"/>
        </w:rPr>
        <w:t>的符合性审查与澄清</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_Toc6842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_Toc8603 </w:instrText>
      </w:r>
      <w:r>
        <w:rPr>
          <w:rFonts w:hint="eastAsia" w:ascii="楷体" w:hAnsi="楷体" w:eastAsia="楷体" w:cs="楷体"/>
          <w:kern w:val="0"/>
          <w:szCs w:val="21"/>
        </w:rPr>
        <w:fldChar w:fldCharType="separate"/>
      </w:r>
      <w:r>
        <w:rPr>
          <w:rFonts w:hint="eastAsia" w:ascii="楷体" w:hAnsi="楷体" w:eastAsia="楷体" w:cs="楷体"/>
        </w:rPr>
        <w:t>21.投标偏离</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_Toc8603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_Toc25255 </w:instrText>
      </w:r>
      <w:r>
        <w:rPr>
          <w:rFonts w:hint="eastAsia" w:ascii="楷体" w:hAnsi="楷体" w:eastAsia="楷体" w:cs="楷体"/>
          <w:kern w:val="0"/>
          <w:szCs w:val="21"/>
        </w:rPr>
        <w:fldChar w:fldCharType="separate"/>
      </w:r>
      <w:r>
        <w:rPr>
          <w:rFonts w:hint="eastAsia" w:ascii="楷体" w:hAnsi="楷体" w:eastAsia="楷体" w:cs="楷体"/>
        </w:rPr>
        <w:t>22.投标无效</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_Toc25255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_Toc20835 </w:instrText>
      </w:r>
      <w:r>
        <w:rPr>
          <w:rFonts w:hint="eastAsia" w:ascii="楷体" w:hAnsi="楷体" w:eastAsia="楷体" w:cs="楷体"/>
          <w:kern w:val="0"/>
          <w:szCs w:val="21"/>
        </w:rPr>
        <w:fldChar w:fldCharType="separate"/>
      </w:r>
      <w:r>
        <w:rPr>
          <w:rFonts w:hint="eastAsia" w:ascii="楷体" w:hAnsi="楷体" w:eastAsia="楷体" w:cs="楷体"/>
        </w:rPr>
        <w:t>23.比较与评价</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_Toc20835 </w:instrText>
      </w:r>
      <w:r>
        <w:rPr>
          <w:rFonts w:hint="eastAsia" w:ascii="楷体" w:hAnsi="楷体" w:eastAsia="楷体" w:cs="楷体"/>
        </w:rPr>
        <w:fldChar w:fldCharType="separate"/>
      </w:r>
      <w:r>
        <w:rPr>
          <w:rFonts w:hint="eastAsia" w:ascii="楷体" w:hAnsi="楷体" w:eastAsia="楷体" w:cs="楷体"/>
        </w:rPr>
        <w:t>13</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_Toc5823 </w:instrText>
      </w:r>
      <w:r>
        <w:rPr>
          <w:rFonts w:hint="eastAsia" w:ascii="楷体" w:hAnsi="楷体" w:eastAsia="楷体" w:cs="楷体"/>
          <w:kern w:val="0"/>
          <w:szCs w:val="21"/>
        </w:rPr>
        <w:fldChar w:fldCharType="separate"/>
      </w:r>
      <w:r>
        <w:rPr>
          <w:rFonts w:hint="eastAsia" w:ascii="楷体" w:hAnsi="楷体" w:eastAsia="楷体" w:cs="楷体"/>
        </w:rPr>
        <w:t>24.废标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_Toc5823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_Toc23660 </w:instrText>
      </w:r>
      <w:r>
        <w:rPr>
          <w:rFonts w:hint="eastAsia" w:ascii="楷体" w:hAnsi="楷体" w:eastAsia="楷体" w:cs="楷体"/>
          <w:kern w:val="0"/>
          <w:szCs w:val="21"/>
        </w:rPr>
        <w:fldChar w:fldCharType="separate"/>
      </w:r>
      <w:r>
        <w:rPr>
          <w:rFonts w:hint="eastAsia" w:ascii="楷体" w:hAnsi="楷体" w:eastAsia="楷体" w:cs="楷体"/>
        </w:rPr>
        <w:t>25.保密原则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_Toc23660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_Toc10964 </w:instrText>
      </w:r>
      <w:r>
        <w:rPr>
          <w:rFonts w:hint="eastAsia" w:ascii="楷体" w:hAnsi="楷体" w:eastAsia="楷体" w:cs="楷体"/>
          <w:kern w:val="0"/>
          <w:szCs w:val="21"/>
        </w:rPr>
        <w:fldChar w:fldCharType="separate"/>
      </w:r>
      <w:r>
        <w:rPr>
          <w:rFonts w:hint="eastAsia" w:ascii="楷体" w:hAnsi="楷体" w:eastAsia="楷体" w:cs="楷体"/>
        </w:rPr>
        <w:t>六   确定中标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_Toc10964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_Toc32578 </w:instrText>
      </w:r>
      <w:r>
        <w:rPr>
          <w:rFonts w:hint="eastAsia" w:ascii="楷体" w:hAnsi="楷体" w:eastAsia="楷体" w:cs="楷体"/>
          <w:kern w:val="0"/>
          <w:szCs w:val="21"/>
        </w:rPr>
        <w:fldChar w:fldCharType="separate"/>
      </w:r>
      <w:r>
        <w:rPr>
          <w:rFonts w:hint="eastAsia" w:ascii="楷体" w:hAnsi="楷体" w:eastAsia="楷体" w:cs="楷体"/>
        </w:rPr>
        <w:t>26.中标候选人的确定原则及标准</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_Toc32578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_Toc10555 </w:instrText>
      </w:r>
      <w:r>
        <w:rPr>
          <w:rFonts w:hint="eastAsia" w:ascii="楷体" w:hAnsi="楷体" w:eastAsia="楷体" w:cs="楷体"/>
          <w:kern w:val="0"/>
          <w:szCs w:val="21"/>
        </w:rPr>
        <w:fldChar w:fldCharType="separate"/>
      </w:r>
      <w:r>
        <w:rPr>
          <w:rFonts w:hint="eastAsia" w:ascii="楷体" w:hAnsi="楷体" w:eastAsia="楷体" w:cs="楷体"/>
        </w:rPr>
        <w:t>27.确定中标候选人和中标人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_Toc10555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_Toc17138 </w:instrText>
      </w:r>
      <w:r>
        <w:rPr>
          <w:rFonts w:hint="eastAsia" w:ascii="楷体" w:hAnsi="楷体" w:eastAsia="楷体" w:cs="楷体"/>
          <w:kern w:val="0"/>
          <w:szCs w:val="21"/>
        </w:rPr>
        <w:fldChar w:fldCharType="separate"/>
      </w:r>
      <w:r>
        <w:rPr>
          <w:rFonts w:hint="eastAsia" w:ascii="楷体" w:hAnsi="楷体" w:eastAsia="楷体" w:cs="楷体"/>
        </w:rPr>
        <w:t>28.采购任务取消</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_Toc17138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_Toc18072 </w:instrText>
      </w:r>
      <w:r>
        <w:rPr>
          <w:rFonts w:hint="eastAsia" w:ascii="楷体" w:hAnsi="楷体" w:eastAsia="楷体" w:cs="楷体"/>
          <w:kern w:val="0"/>
          <w:szCs w:val="21"/>
        </w:rPr>
        <w:fldChar w:fldCharType="separate"/>
      </w:r>
      <w:r>
        <w:rPr>
          <w:rFonts w:hint="eastAsia" w:ascii="楷体" w:hAnsi="楷体" w:eastAsia="楷体" w:cs="楷体"/>
        </w:rPr>
        <w:t>29.中标通知书和招标结果通知书</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_Toc18072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_Toc16952 </w:instrText>
      </w:r>
      <w:r>
        <w:rPr>
          <w:rFonts w:hint="eastAsia" w:ascii="楷体" w:hAnsi="楷体" w:eastAsia="楷体" w:cs="楷体"/>
          <w:kern w:val="0"/>
          <w:szCs w:val="21"/>
        </w:rPr>
        <w:fldChar w:fldCharType="separate"/>
      </w:r>
      <w:r>
        <w:rPr>
          <w:rFonts w:hint="eastAsia" w:ascii="楷体" w:hAnsi="楷体" w:eastAsia="楷体" w:cs="楷体"/>
        </w:rPr>
        <w:t>30.签订合同</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_Toc16952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_Toc4302 </w:instrText>
      </w:r>
      <w:r>
        <w:rPr>
          <w:rFonts w:hint="eastAsia" w:ascii="楷体" w:hAnsi="楷体" w:eastAsia="楷体" w:cs="楷体"/>
          <w:kern w:val="0"/>
          <w:szCs w:val="21"/>
        </w:rPr>
        <w:fldChar w:fldCharType="separate"/>
      </w:r>
      <w:r>
        <w:rPr>
          <w:rFonts w:hint="eastAsia" w:ascii="楷体" w:hAnsi="楷体" w:eastAsia="楷体" w:cs="楷体"/>
        </w:rPr>
        <w:t>31.履约保证金</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_Toc4302 </w:instrText>
      </w:r>
      <w:r>
        <w:rPr>
          <w:rFonts w:hint="eastAsia" w:ascii="楷体" w:hAnsi="楷体" w:eastAsia="楷体" w:cs="楷体"/>
        </w:rPr>
        <w:fldChar w:fldCharType="separate"/>
      </w:r>
      <w:r>
        <w:rPr>
          <w:rFonts w:hint="eastAsia" w:ascii="楷体" w:hAnsi="楷体" w:eastAsia="楷体" w:cs="楷体"/>
        </w:rPr>
        <w:t>15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_Toc8476 </w:instrText>
      </w:r>
      <w:r>
        <w:rPr>
          <w:rFonts w:hint="eastAsia" w:ascii="楷体" w:hAnsi="楷体" w:eastAsia="楷体" w:cs="楷体"/>
          <w:kern w:val="0"/>
          <w:szCs w:val="21"/>
        </w:rPr>
        <w:fldChar w:fldCharType="separate"/>
      </w:r>
      <w:r>
        <w:rPr>
          <w:rFonts w:hint="eastAsia" w:ascii="楷体" w:hAnsi="楷体" w:eastAsia="楷体" w:cs="楷体"/>
        </w:rPr>
        <w:t>32.中标服务费</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_Toc8476 </w:instrText>
      </w:r>
      <w:r>
        <w:rPr>
          <w:rFonts w:hint="eastAsia" w:ascii="楷体" w:hAnsi="楷体" w:eastAsia="楷体" w:cs="楷体"/>
        </w:rPr>
        <w:fldChar w:fldCharType="separate"/>
      </w:r>
      <w:r>
        <w:rPr>
          <w:rFonts w:hint="eastAsia" w:ascii="楷体" w:hAnsi="楷体" w:eastAsia="楷体" w:cs="楷体"/>
        </w:rPr>
        <w:t>15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_Toc31411 </w:instrText>
      </w:r>
      <w:r>
        <w:rPr>
          <w:rFonts w:hint="eastAsia" w:ascii="楷体" w:hAnsi="楷体" w:eastAsia="楷体" w:cs="楷体"/>
          <w:kern w:val="0"/>
          <w:szCs w:val="21"/>
        </w:rPr>
        <w:fldChar w:fldCharType="separate"/>
      </w:r>
      <w:r>
        <w:rPr>
          <w:rFonts w:hint="eastAsia" w:ascii="楷体" w:hAnsi="楷体" w:eastAsia="楷体" w:cs="楷体"/>
        </w:rPr>
        <w:t>33.政府采购信用担保</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_Toc31411 </w:instrText>
      </w:r>
      <w:r>
        <w:rPr>
          <w:rFonts w:hint="eastAsia" w:ascii="楷体" w:hAnsi="楷体" w:eastAsia="楷体" w:cs="楷体"/>
        </w:rPr>
        <w:fldChar w:fldCharType="separate"/>
      </w:r>
      <w:r>
        <w:rPr>
          <w:rFonts w:hint="eastAsia" w:ascii="楷体" w:hAnsi="楷体" w:eastAsia="楷体" w:cs="楷体"/>
        </w:rPr>
        <w:t>15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_Toc4701 </w:instrText>
      </w:r>
      <w:r>
        <w:rPr>
          <w:rFonts w:hint="eastAsia" w:ascii="楷体" w:hAnsi="楷体" w:eastAsia="楷体" w:cs="楷体"/>
          <w:kern w:val="0"/>
          <w:szCs w:val="21"/>
        </w:rPr>
        <w:fldChar w:fldCharType="separate"/>
      </w:r>
      <w:r>
        <w:rPr>
          <w:rFonts w:hint="eastAsia" w:ascii="楷体" w:hAnsi="楷体" w:eastAsia="楷体" w:cs="楷体"/>
        </w:rPr>
        <w:t>34.廉洁自律规定</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_Toc4701 </w:instrText>
      </w:r>
      <w:r>
        <w:rPr>
          <w:rFonts w:hint="eastAsia" w:ascii="楷体" w:hAnsi="楷体" w:eastAsia="楷体" w:cs="楷体"/>
        </w:rPr>
        <w:fldChar w:fldCharType="separate"/>
      </w:r>
      <w:r>
        <w:rPr>
          <w:rFonts w:hint="eastAsia" w:ascii="楷体" w:hAnsi="楷体" w:eastAsia="楷体" w:cs="楷体"/>
        </w:rPr>
        <w:t>15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_Toc21055 </w:instrText>
      </w:r>
      <w:r>
        <w:rPr>
          <w:rFonts w:hint="eastAsia" w:ascii="楷体" w:hAnsi="楷体" w:eastAsia="楷体" w:cs="楷体"/>
          <w:kern w:val="0"/>
          <w:szCs w:val="21"/>
        </w:rPr>
        <w:fldChar w:fldCharType="separate"/>
      </w:r>
      <w:r>
        <w:rPr>
          <w:rFonts w:hint="eastAsia" w:ascii="楷体" w:hAnsi="楷体" w:eastAsia="楷体" w:cs="楷体"/>
        </w:rPr>
        <w:t>35.人员回避</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_Toc21055 </w:instrText>
      </w:r>
      <w:r>
        <w:rPr>
          <w:rFonts w:hint="eastAsia" w:ascii="楷体" w:hAnsi="楷体" w:eastAsia="楷体" w:cs="楷体"/>
        </w:rPr>
        <w:fldChar w:fldCharType="separate"/>
      </w:r>
      <w:r>
        <w:rPr>
          <w:rFonts w:hint="eastAsia" w:ascii="楷体" w:hAnsi="楷体" w:eastAsia="楷体" w:cs="楷体"/>
        </w:rPr>
        <w:t>15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9"/>
        <w:tabs>
          <w:tab w:val="right" w:leader="dot" w:pos="8312"/>
          <w:tab w:val="clear" w:pos="1260"/>
          <w:tab w:val="clear" w:pos="8630"/>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_Toc24931 </w:instrText>
      </w:r>
      <w:r>
        <w:rPr>
          <w:rFonts w:hint="eastAsia" w:ascii="楷体" w:hAnsi="楷体" w:eastAsia="楷体" w:cs="楷体"/>
          <w:kern w:val="0"/>
          <w:szCs w:val="21"/>
        </w:rPr>
        <w:fldChar w:fldCharType="separate"/>
      </w:r>
      <w:r>
        <w:rPr>
          <w:rFonts w:hint="eastAsia" w:ascii="楷体" w:hAnsi="楷体" w:eastAsia="楷体" w:cs="楷体"/>
        </w:rPr>
        <w:t>36.质疑与接收</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_Toc24931 </w:instrText>
      </w:r>
      <w:r>
        <w:rPr>
          <w:rFonts w:hint="eastAsia" w:ascii="楷体" w:hAnsi="楷体" w:eastAsia="楷体" w:cs="楷体"/>
        </w:rPr>
        <w:fldChar w:fldCharType="separate"/>
      </w:r>
      <w:r>
        <w:rPr>
          <w:rFonts w:hint="eastAsia" w:ascii="楷体" w:hAnsi="楷体" w:eastAsia="楷体" w:cs="楷体"/>
        </w:rPr>
        <w:t>15</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_Toc23883 </w:instrText>
      </w:r>
      <w:r>
        <w:rPr>
          <w:rFonts w:hint="eastAsia" w:ascii="楷体" w:hAnsi="楷体" w:eastAsia="楷体" w:cs="楷体"/>
          <w:kern w:val="0"/>
          <w:szCs w:val="21"/>
        </w:rPr>
        <w:fldChar w:fldCharType="separate"/>
      </w:r>
      <w:r>
        <w:rPr>
          <w:rFonts w:hint="eastAsia" w:ascii="楷体" w:hAnsi="楷体" w:eastAsia="楷体" w:cs="楷体"/>
        </w:rPr>
        <w:t>附件1：履约保证金保函（格式）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_Toc23883 </w:instrText>
      </w:r>
      <w:r>
        <w:rPr>
          <w:rFonts w:hint="eastAsia" w:ascii="楷体" w:hAnsi="楷体" w:eastAsia="楷体" w:cs="楷体"/>
        </w:rPr>
        <w:fldChar w:fldCharType="separate"/>
      </w:r>
      <w:r>
        <w:rPr>
          <w:rFonts w:hint="eastAsia" w:ascii="楷体" w:hAnsi="楷体" w:eastAsia="楷体" w:cs="楷体"/>
        </w:rPr>
        <w:t>16</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_Toc27788 </w:instrText>
      </w:r>
      <w:r>
        <w:rPr>
          <w:rFonts w:hint="eastAsia" w:ascii="楷体" w:hAnsi="楷体" w:eastAsia="楷体" w:cs="楷体"/>
          <w:kern w:val="0"/>
          <w:szCs w:val="21"/>
        </w:rPr>
        <w:fldChar w:fldCharType="separate"/>
      </w:r>
      <w:r>
        <w:rPr>
          <w:rFonts w:hint="eastAsia" w:ascii="楷体" w:hAnsi="楷体" w:eastAsia="楷体" w:cs="楷体"/>
        </w:rPr>
        <w:t>附件2：履约担保函格式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_Toc27788 </w:instrText>
      </w:r>
      <w:r>
        <w:rPr>
          <w:rFonts w:hint="eastAsia" w:ascii="楷体" w:hAnsi="楷体" w:eastAsia="楷体" w:cs="楷体"/>
        </w:rPr>
        <w:fldChar w:fldCharType="separate"/>
      </w:r>
      <w:r>
        <w:rPr>
          <w:rFonts w:hint="eastAsia" w:ascii="楷体" w:hAnsi="楷体" w:eastAsia="楷体" w:cs="楷体"/>
        </w:rPr>
        <w:t>17</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_Toc30995 </w:instrText>
      </w:r>
      <w:r>
        <w:rPr>
          <w:rFonts w:hint="eastAsia" w:ascii="楷体" w:hAnsi="楷体" w:eastAsia="楷体" w:cs="楷体"/>
          <w:kern w:val="0"/>
          <w:szCs w:val="21"/>
        </w:rPr>
        <w:fldChar w:fldCharType="separate"/>
      </w:r>
      <w:r>
        <w:rPr>
          <w:rFonts w:hint="eastAsia" w:ascii="楷体" w:hAnsi="楷体" w:eastAsia="楷体" w:cs="楷体"/>
        </w:rPr>
        <w:t>（采用政府采购信用担保形式时使用）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_Toc30995 </w:instrText>
      </w:r>
      <w:r>
        <w:rPr>
          <w:rFonts w:hint="eastAsia" w:ascii="楷体" w:hAnsi="楷体" w:eastAsia="楷体" w:cs="楷体"/>
        </w:rPr>
        <w:fldChar w:fldCharType="separate"/>
      </w:r>
      <w:r>
        <w:rPr>
          <w:rFonts w:hint="eastAsia" w:ascii="楷体" w:hAnsi="楷体" w:eastAsia="楷体" w:cs="楷体"/>
        </w:rPr>
        <w:t>17</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3"/>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_Toc6923 </w:instrText>
      </w:r>
      <w:r>
        <w:rPr>
          <w:rFonts w:hint="eastAsia" w:ascii="楷体" w:hAnsi="楷体" w:eastAsia="楷体" w:cs="楷体"/>
          <w:kern w:val="0"/>
          <w:szCs w:val="21"/>
        </w:rPr>
        <w:fldChar w:fldCharType="separate"/>
      </w:r>
      <w:r>
        <w:rPr>
          <w:rFonts w:hint="eastAsia" w:ascii="楷体" w:hAnsi="楷体" w:eastAsia="楷体" w:cs="楷体"/>
        </w:rPr>
        <w:t xml:space="preserve">第2章 </w:t>
      </w:r>
      <w:r>
        <w:rPr>
          <w:rFonts w:hint="eastAsia" w:ascii="楷体" w:hAnsi="楷体" w:eastAsia="楷体" w:cs="楷体"/>
          <w:lang w:eastAsia="zh-CN"/>
        </w:rPr>
        <w:t>响应文件</w:t>
      </w:r>
      <w:r>
        <w:rPr>
          <w:rFonts w:hint="eastAsia" w:ascii="楷体" w:hAnsi="楷体" w:eastAsia="楷体" w:cs="楷体"/>
        </w:rPr>
        <w:t>格式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_Toc6923 </w:instrText>
      </w:r>
      <w:r>
        <w:rPr>
          <w:rFonts w:hint="eastAsia" w:ascii="楷体" w:hAnsi="楷体" w:eastAsia="楷体" w:cs="楷体"/>
        </w:rPr>
        <w:fldChar w:fldCharType="separate"/>
      </w:r>
      <w:r>
        <w:rPr>
          <w:rFonts w:hint="eastAsia" w:ascii="楷体" w:hAnsi="楷体" w:eastAsia="楷体" w:cs="楷体"/>
        </w:rPr>
        <w:t>19</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5"/>
        <w:tabs>
          <w:tab w:val="right" w:leader="dot" w:pos="8312"/>
        </w:tabs>
        <w:spacing w:line="300" w:lineRule="exact"/>
        <w:rPr>
          <w:rFonts w:hint="default"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_Toc15142 </w:instrText>
      </w:r>
      <w:r>
        <w:rPr>
          <w:rFonts w:hint="eastAsia" w:ascii="楷体" w:hAnsi="楷体" w:eastAsia="楷体" w:cs="楷体"/>
          <w:kern w:val="0"/>
          <w:szCs w:val="21"/>
        </w:rPr>
        <w:fldChar w:fldCharType="separate"/>
      </w:r>
      <w:r>
        <w:rPr>
          <w:rFonts w:hint="eastAsia" w:ascii="楷体" w:hAnsi="楷体" w:eastAsia="楷体" w:cs="楷体"/>
        </w:rPr>
        <w:t>第一部分 开标一览表及资格证明文件</w:t>
      </w:r>
      <w:r>
        <w:rPr>
          <w:rFonts w:hint="eastAsia" w:ascii="楷体" w:hAnsi="楷体" w:eastAsia="楷体" w:cs="楷体"/>
        </w:rPr>
        <w:tab/>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19</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_Toc29377 </w:instrText>
      </w:r>
      <w:r>
        <w:rPr>
          <w:rFonts w:hint="eastAsia" w:ascii="楷体" w:hAnsi="楷体" w:eastAsia="楷体" w:cs="楷体"/>
          <w:kern w:val="0"/>
          <w:szCs w:val="21"/>
        </w:rPr>
        <w:fldChar w:fldCharType="separate"/>
      </w:r>
      <w:r>
        <w:rPr>
          <w:rFonts w:hint="eastAsia" w:ascii="楷体" w:hAnsi="楷体" w:eastAsia="楷体" w:cs="楷体"/>
        </w:rPr>
        <w:t>1  开标一览表（</w:t>
      </w:r>
      <w:r>
        <w:rPr>
          <w:rFonts w:hint="eastAsia" w:ascii="楷体" w:hAnsi="楷体" w:eastAsia="楷体" w:cs="楷体"/>
          <w:lang w:eastAsia="zh-CN"/>
        </w:rPr>
        <w:t>响应文件</w:t>
      </w:r>
      <w:r>
        <w:rPr>
          <w:rFonts w:hint="eastAsia" w:ascii="楷体" w:hAnsi="楷体" w:eastAsia="楷体" w:cs="楷体"/>
        </w:rPr>
        <w:t>格式一）</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0</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_Toc18015 </w:instrText>
      </w:r>
      <w:r>
        <w:rPr>
          <w:rFonts w:hint="eastAsia" w:ascii="楷体" w:hAnsi="楷体" w:eastAsia="楷体" w:cs="楷体"/>
          <w:kern w:val="0"/>
          <w:szCs w:val="21"/>
        </w:rPr>
        <w:fldChar w:fldCharType="separate"/>
      </w:r>
      <w:r>
        <w:rPr>
          <w:rFonts w:hint="eastAsia" w:ascii="楷体" w:hAnsi="楷体" w:eastAsia="楷体" w:cs="楷体"/>
        </w:rPr>
        <w:t>2  法人或者非法人组织的营业执照等证明文件或自然人的身份证明</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1</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_Toc21926 </w:instrText>
      </w:r>
      <w:r>
        <w:rPr>
          <w:rFonts w:hint="eastAsia" w:ascii="楷体" w:hAnsi="楷体" w:eastAsia="楷体" w:cs="楷体"/>
          <w:kern w:val="0"/>
          <w:szCs w:val="21"/>
        </w:rPr>
        <w:fldChar w:fldCharType="separate"/>
      </w:r>
      <w:r>
        <w:rPr>
          <w:rFonts w:hint="eastAsia" w:ascii="楷体" w:hAnsi="楷体" w:eastAsia="楷体" w:cs="楷体"/>
        </w:rPr>
        <w:t>3  法定代表人授权书(</w:t>
      </w:r>
      <w:r>
        <w:rPr>
          <w:rFonts w:hint="eastAsia" w:ascii="楷体" w:hAnsi="楷体" w:eastAsia="楷体" w:cs="楷体"/>
          <w:lang w:eastAsia="zh-CN"/>
        </w:rPr>
        <w:t>响应文件</w:t>
      </w:r>
      <w:r>
        <w:rPr>
          <w:rFonts w:hint="eastAsia" w:ascii="楷体" w:hAnsi="楷体" w:eastAsia="楷体" w:cs="楷体"/>
        </w:rPr>
        <w:t>格式二，自然人投标的无需提供)</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1</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_Toc23836 </w:instrText>
      </w:r>
      <w:r>
        <w:rPr>
          <w:rFonts w:hint="eastAsia" w:ascii="楷体" w:hAnsi="楷体" w:eastAsia="楷体" w:cs="楷体"/>
          <w:kern w:val="0"/>
          <w:szCs w:val="21"/>
        </w:rPr>
        <w:fldChar w:fldCharType="separate"/>
      </w:r>
      <w:r>
        <w:rPr>
          <w:rFonts w:hint="eastAsia" w:ascii="楷体" w:hAnsi="楷体" w:eastAsia="楷体" w:cs="楷体"/>
          <w:kern w:val="0"/>
        </w:rPr>
        <w:t>4  具有良好的商业信誉和健全的财务会计制度的证明文件</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2</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_Toc27589 </w:instrText>
      </w:r>
      <w:r>
        <w:rPr>
          <w:rFonts w:hint="eastAsia" w:ascii="楷体" w:hAnsi="楷体" w:eastAsia="楷体" w:cs="楷体"/>
          <w:kern w:val="0"/>
          <w:szCs w:val="21"/>
        </w:rPr>
        <w:fldChar w:fldCharType="separate"/>
      </w:r>
      <w:r>
        <w:rPr>
          <w:rFonts w:hint="eastAsia" w:ascii="楷体" w:hAnsi="楷体" w:eastAsia="楷体" w:cs="楷体"/>
        </w:rPr>
        <w:t>5  社会保障资金的缴纳记录</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3</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_Toc16858 </w:instrText>
      </w:r>
      <w:r>
        <w:rPr>
          <w:rFonts w:hint="eastAsia" w:ascii="楷体" w:hAnsi="楷体" w:eastAsia="楷体" w:cs="楷体"/>
          <w:kern w:val="0"/>
          <w:szCs w:val="21"/>
        </w:rPr>
        <w:fldChar w:fldCharType="separate"/>
      </w:r>
      <w:r>
        <w:rPr>
          <w:rFonts w:hint="eastAsia" w:ascii="楷体" w:hAnsi="楷体" w:eastAsia="楷体" w:cs="楷体"/>
        </w:rPr>
        <w:t>6  参加政府采购活动前3年内在经营活动中没有重大违法记录的书面声明</w:t>
      </w:r>
      <w:r>
        <w:rPr>
          <w:rFonts w:hint="eastAsia" w:ascii="楷体" w:hAnsi="楷体" w:eastAsia="楷体" w:cs="楷体"/>
          <w:lang w:val="en-US" w:eastAsia="zh-CN"/>
        </w:rPr>
        <w:t xml:space="preserve"> </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3</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_Toc9691 </w:instrText>
      </w:r>
      <w:r>
        <w:rPr>
          <w:rFonts w:hint="eastAsia" w:ascii="楷体" w:hAnsi="楷体" w:eastAsia="楷体" w:cs="楷体"/>
          <w:kern w:val="0"/>
          <w:szCs w:val="21"/>
        </w:rPr>
        <w:fldChar w:fldCharType="separate"/>
      </w:r>
      <w:r>
        <w:rPr>
          <w:rFonts w:hint="eastAsia" w:ascii="楷体" w:hAnsi="楷体" w:eastAsia="楷体" w:cs="楷体"/>
        </w:rPr>
        <w:t>7  投标人须知资料表要求的其他资格证明文件</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4</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_Toc16844 </w:instrText>
      </w:r>
      <w:r>
        <w:rPr>
          <w:rFonts w:hint="eastAsia" w:ascii="楷体" w:hAnsi="楷体" w:eastAsia="楷体" w:cs="楷体"/>
          <w:kern w:val="0"/>
          <w:szCs w:val="21"/>
        </w:rPr>
        <w:fldChar w:fldCharType="separate"/>
      </w:r>
      <w:r>
        <w:rPr>
          <w:rFonts w:hint="eastAsia" w:ascii="楷体" w:hAnsi="楷体" w:eastAsia="楷体" w:cs="楷体"/>
        </w:rPr>
        <w:t>第二部分  商务及技术文件</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6</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_Toc26126 </w:instrText>
      </w:r>
      <w:r>
        <w:rPr>
          <w:rFonts w:hint="eastAsia" w:ascii="楷体" w:hAnsi="楷体" w:eastAsia="楷体" w:cs="楷体"/>
          <w:kern w:val="0"/>
          <w:szCs w:val="21"/>
        </w:rPr>
        <w:fldChar w:fldCharType="separate"/>
      </w:r>
      <w:r>
        <w:rPr>
          <w:rFonts w:hint="eastAsia" w:ascii="楷体" w:hAnsi="楷体" w:eastAsia="楷体" w:cs="楷体"/>
        </w:rPr>
        <w:t>1   投标书（</w:t>
      </w:r>
      <w:r>
        <w:rPr>
          <w:rFonts w:hint="eastAsia" w:ascii="楷体" w:hAnsi="楷体" w:eastAsia="楷体" w:cs="楷体"/>
          <w:lang w:eastAsia="zh-CN"/>
        </w:rPr>
        <w:t>响应文件</w:t>
      </w:r>
      <w:r>
        <w:rPr>
          <w:rFonts w:hint="eastAsia" w:ascii="楷体" w:hAnsi="楷体" w:eastAsia="楷体" w:cs="楷体"/>
        </w:rPr>
        <w:t>格式三）</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7</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_Toc1893 </w:instrText>
      </w:r>
      <w:r>
        <w:rPr>
          <w:rFonts w:hint="eastAsia" w:ascii="楷体" w:hAnsi="楷体" w:eastAsia="楷体" w:cs="楷体"/>
          <w:kern w:val="0"/>
          <w:szCs w:val="21"/>
        </w:rPr>
        <w:fldChar w:fldCharType="separate"/>
      </w:r>
      <w:r>
        <w:rPr>
          <w:rFonts w:hint="eastAsia" w:ascii="楷体" w:hAnsi="楷体" w:eastAsia="楷体" w:cs="楷体"/>
          <w:lang w:val="en-US" w:eastAsia="zh-CN"/>
        </w:rPr>
        <w:t>2</w:t>
      </w:r>
      <w:r>
        <w:rPr>
          <w:rFonts w:hint="eastAsia" w:ascii="楷体" w:hAnsi="楷体" w:eastAsia="楷体" w:cs="楷体"/>
        </w:rPr>
        <w:t xml:space="preserve">   投标分项报价表（</w:t>
      </w:r>
      <w:r>
        <w:rPr>
          <w:rFonts w:hint="eastAsia" w:ascii="楷体" w:hAnsi="楷体" w:eastAsia="楷体" w:cs="楷体"/>
          <w:lang w:eastAsia="zh-CN"/>
        </w:rPr>
        <w:t>响应文件</w:t>
      </w:r>
      <w:r>
        <w:rPr>
          <w:rFonts w:hint="eastAsia" w:ascii="楷体" w:hAnsi="楷体" w:eastAsia="楷体" w:cs="楷体"/>
        </w:rPr>
        <w:t>格式五）</w:t>
      </w:r>
      <w:r>
        <w:rPr>
          <w:rFonts w:hint="eastAsia" w:ascii="楷体" w:hAnsi="楷体" w:eastAsia="楷体" w:cs="楷体"/>
        </w:rPr>
        <w:tab/>
      </w:r>
      <w:r>
        <w:rPr>
          <w:rFonts w:hint="eastAsia" w:ascii="楷体" w:hAnsi="楷体" w:eastAsia="楷体" w:cs="楷体"/>
          <w:lang w:val="en-US" w:eastAsia="zh-CN"/>
        </w:rPr>
        <w:t>2</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8</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_Toc8079 </w:instrText>
      </w:r>
      <w:r>
        <w:rPr>
          <w:rFonts w:hint="eastAsia" w:ascii="楷体" w:hAnsi="楷体" w:eastAsia="楷体" w:cs="楷体"/>
          <w:kern w:val="0"/>
          <w:szCs w:val="21"/>
        </w:rPr>
        <w:fldChar w:fldCharType="separate"/>
      </w:r>
      <w:r>
        <w:rPr>
          <w:rFonts w:hint="eastAsia" w:ascii="楷体" w:hAnsi="楷体" w:eastAsia="楷体" w:cs="楷体"/>
          <w:kern w:val="0"/>
          <w:szCs w:val="21"/>
          <w:lang w:val="en-US" w:eastAsia="zh-CN"/>
        </w:rPr>
        <w:t>5</w:t>
      </w:r>
      <w:r>
        <w:rPr>
          <w:rFonts w:hint="eastAsia" w:ascii="楷体" w:hAnsi="楷体" w:eastAsia="楷体" w:cs="楷体"/>
        </w:rPr>
        <w:t xml:space="preserve">   商务条款偏离表（</w:t>
      </w:r>
      <w:r>
        <w:rPr>
          <w:rFonts w:hint="eastAsia" w:ascii="楷体" w:hAnsi="楷体" w:eastAsia="楷体" w:cs="楷体"/>
          <w:lang w:eastAsia="zh-CN"/>
        </w:rPr>
        <w:t>响应文件</w:t>
      </w:r>
      <w:r>
        <w:rPr>
          <w:rFonts w:hint="eastAsia" w:ascii="楷体" w:hAnsi="楷体" w:eastAsia="楷体" w:cs="楷体"/>
        </w:rPr>
        <w:t>格式六）</w:t>
      </w:r>
      <w:r>
        <w:rPr>
          <w:rFonts w:hint="eastAsia" w:ascii="楷体" w:hAnsi="楷体" w:eastAsia="楷体" w:cs="楷体"/>
        </w:rPr>
        <w:tab/>
      </w:r>
      <w:r>
        <w:rPr>
          <w:rFonts w:hint="eastAsia" w:ascii="楷体" w:hAnsi="楷体" w:eastAsia="楷体" w:cs="楷体"/>
          <w:lang w:val="en-US" w:eastAsia="zh-CN"/>
        </w:rPr>
        <w:t>3</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2</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_Toc480 </w:instrText>
      </w:r>
      <w:r>
        <w:rPr>
          <w:rFonts w:hint="eastAsia" w:ascii="楷体" w:hAnsi="楷体" w:eastAsia="楷体" w:cs="楷体"/>
          <w:kern w:val="0"/>
          <w:szCs w:val="21"/>
        </w:rPr>
        <w:fldChar w:fldCharType="separate"/>
      </w:r>
      <w:r>
        <w:rPr>
          <w:rFonts w:hint="eastAsia" w:ascii="楷体" w:hAnsi="楷体" w:eastAsia="楷体" w:cs="楷体"/>
          <w:lang w:val="en-US" w:eastAsia="zh-CN"/>
        </w:rPr>
        <w:t>6</w:t>
      </w:r>
      <w:r>
        <w:rPr>
          <w:rFonts w:hint="eastAsia" w:ascii="楷体" w:hAnsi="楷体" w:eastAsia="楷体" w:cs="楷体"/>
        </w:rPr>
        <w:t>-1  投标人企业（单位）类型声明函（</w:t>
      </w:r>
      <w:r>
        <w:rPr>
          <w:rFonts w:hint="eastAsia" w:ascii="楷体" w:hAnsi="楷体" w:eastAsia="楷体" w:cs="楷体"/>
          <w:lang w:eastAsia="zh-CN"/>
        </w:rPr>
        <w:t>响应文件</w:t>
      </w:r>
      <w:r>
        <w:rPr>
          <w:rFonts w:hint="eastAsia" w:ascii="楷体" w:hAnsi="楷体" w:eastAsia="楷体" w:cs="楷体"/>
        </w:rPr>
        <w:t>格式七）</w:t>
      </w:r>
      <w:r>
        <w:rPr>
          <w:rFonts w:hint="eastAsia" w:ascii="楷体" w:hAnsi="楷体" w:eastAsia="楷体" w:cs="楷体"/>
        </w:rPr>
        <w:tab/>
      </w:r>
      <w:r>
        <w:rPr>
          <w:rFonts w:hint="eastAsia" w:ascii="楷体" w:hAnsi="楷体" w:eastAsia="楷体" w:cs="楷体"/>
          <w:lang w:val="en-US" w:eastAsia="zh-CN"/>
        </w:rPr>
        <w:t>3</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3</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_Toc14769 </w:instrText>
      </w:r>
      <w:r>
        <w:rPr>
          <w:rFonts w:hint="eastAsia" w:ascii="楷体" w:hAnsi="楷体" w:eastAsia="楷体" w:cs="楷体"/>
          <w:kern w:val="0"/>
          <w:szCs w:val="21"/>
        </w:rPr>
        <w:fldChar w:fldCharType="separate"/>
      </w:r>
      <w:r>
        <w:rPr>
          <w:rFonts w:hint="eastAsia" w:ascii="楷体" w:hAnsi="楷体" w:eastAsia="楷体" w:cs="楷体"/>
          <w:lang w:val="en-US" w:eastAsia="zh-CN"/>
        </w:rPr>
        <w:t>6</w:t>
      </w:r>
      <w:r>
        <w:rPr>
          <w:rFonts w:hint="eastAsia" w:ascii="楷体" w:hAnsi="楷体" w:eastAsia="楷体" w:cs="楷体"/>
        </w:rPr>
        <w:t>-2   制造商企业（单位）类型声明函（</w:t>
      </w:r>
      <w:r>
        <w:rPr>
          <w:rFonts w:hint="eastAsia" w:ascii="楷体" w:hAnsi="楷体" w:eastAsia="楷体" w:cs="楷体"/>
          <w:lang w:eastAsia="zh-CN"/>
        </w:rPr>
        <w:t>响应文件</w:t>
      </w:r>
      <w:r>
        <w:rPr>
          <w:rFonts w:hint="eastAsia" w:ascii="楷体" w:hAnsi="楷体" w:eastAsia="楷体" w:cs="楷体"/>
        </w:rPr>
        <w:t>格式八）</w:t>
      </w:r>
      <w:r>
        <w:rPr>
          <w:rFonts w:hint="eastAsia" w:ascii="楷体" w:hAnsi="楷体" w:eastAsia="楷体" w:cs="楷体"/>
        </w:rPr>
        <w:tab/>
      </w:r>
      <w:r>
        <w:rPr>
          <w:rFonts w:hint="eastAsia" w:ascii="楷体" w:hAnsi="楷体" w:eastAsia="楷体" w:cs="楷体"/>
          <w:lang w:val="en-US" w:eastAsia="zh-CN"/>
        </w:rPr>
        <w:t>3</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4</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_Toc6238 </w:instrText>
      </w:r>
      <w:r>
        <w:rPr>
          <w:rFonts w:hint="eastAsia" w:ascii="楷体" w:hAnsi="楷体" w:eastAsia="楷体" w:cs="楷体"/>
          <w:kern w:val="0"/>
          <w:szCs w:val="21"/>
        </w:rPr>
        <w:fldChar w:fldCharType="separate"/>
      </w:r>
      <w:r>
        <w:rPr>
          <w:rFonts w:hint="eastAsia" w:ascii="楷体" w:hAnsi="楷体" w:eastAsia="楷体" w:cs="楷体"/>
          <w:lang w:val="en-US" w:eastAsia="zh-CN"/>
        </w:rPr>
        <w:t>7</w:t>
      </w:r>
      <w:r>
        <w:rPr>
          <w:rFonts w:hint="eastAsia" w:ascii="楷体" w:hAnsi="楷体" w:eastAsia="楷体" w:cs="楷体"/>
        </w:rPr>
        <w:t xml:space="preserve">   投标人关联单位的说明</w:t>
      </w:r>
      <w:r>
        <w:rPr>
          <w:rFonts w:hint="eastAsia" w:ascii="楷体" w:hAnsi="楷体" w:eastAsia="楷体" w:cs="楷体"/>
        </w:rPr>
        <w:tab/>
      </w:r>
      <w:r>
        <w:rPr>
          <w:rFonts w:hint="eastAsia" w:ascii="楷体" w:hAnsi="楷体" w:eastAsia="楷体" w:cs="楷体"/>
          <w:lang w:val="en-US" w:eastAsia="zh-CN"/>
        </w:rPr>
        <w:t>3</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5</w:t>
      </w:r>
    </w:p>
    <w:p>
      <w:pPr>
        <w:pStyle w:val="15"/>
        <w:tabs>
          <w:tab w:val="right" w:leader="dot" w:pos="8312"/>
        </w:tabs>
        <w:spacing w:line="300" w:lineRule="exact"/>
        <w:rPr>
          <w:rFonts w:hint="eastAsia" w:ascii="楷体" w:hAnsi="楷体" w:eastAsia="楷体" w:cs="楷体"/>
          <w:lang w:val="en-US" w:eastAsia="zh-CN"/>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_Toc17066 </w:instrText>
      </w:r>
      <w:r>
        <w:rPr>
          <w:rFonts w:hint="eastAsia" w:ascii="楷体" w:hAnsi="楷体" w:eastAsia="楷体" w:cs="楷体"/>
          <w:kern w:val="0"/>
          <w:szCs w:val="21"/>
        </w:rPr>
        <w:fldChar w:fldCharType="separate"/>
      </w:r>
      <w:r>
        <w:rPr>
          <w:rFonts w:hint="eastAsia" w:ascii="楷体" w:hAnsi="楷体" w:eastAsia="楷体" w:cs="楷体"/>
          <w:lang w:val="en-US" w:eastAsia="zh-CN"/>
        </w:rPr>
        <w:t>8</w:t>
      </w:r>
      <w:r>
        <w:rPr>
          <w:rFonts w:hint="eastAsia" w:ascii="楷体" w:hAnsi="楷体" w:eastAsia="楷体" w:cs="楷体"/>
        </w:rPr>
        <w:t xml:space="preserve">   </w:t>
      </w:r>
      <w:r>
        <w:rPr>
          <w:rFonts w:hint="eastAsia" w:ascii="楷体" w:hAnsi="楷体" w:eastAsia="楷体" w:cs="楷体"/>
          <w:lang w:eastAsia="zh-CN"/>
        </w:rPr>
        <w:t>响应文件</w:t>
      </w:r>
      <w:r>
        <w:rPr>
          <w:rFonts w:hint="eastAsia" w:ascii="楷体" w:hAnsi="楷体" w:eastAsia="楷体" w:cs="楷体"/>
        </w:rPr>
        <w:t>还应包括投标人须知第10条的所有响应文件</w:t>
      </w:r>
      <w:r>
        <w:rPr>
          <w:rFonts w:hint="eastAsia" w:ascii="楷体" w:hAnsi="楷体" w:eastAsia="楷体" w:cs="楷体"/>
        </w:rPr>
        <w:tab/>
      </w:r>
      <w:r>
        <w:rPr>
          <w:rFonts w:hint="eastAsia" w:ascii="楷体" w:hAnsi="楷体" w:eastAsia="楷体" w:cs="楷体"/>
          <w:lang w:val="en-US" w:eastAsia="zh-CN"/>
        </w:rPr>
        <w:t>3</w:t>
      </w:r>
      <w:r>
        <w:rPr>
          <w:rFonts w:hint="eastAsia" w:ascii="楷体" w:hAnsi="楷体" w:eastAsia="楷体" w:cs="楷体"/>
          <w:kern w:val="0"/>
          <w:szCs w:val="21"/>
        </w:rPr>
        <w:fldChar w:fldCharType="end"/>
      </w:r>
      <w:r>
        <w:rPr>
          <w:rFonts w:hint="eastAsia" w:ascii="楷体" w:hAnsi="楷体" w:eastAsia="楷体" w:cs="楷体"/>
          <w:kern w:val="0"/>
          <w:szCs w:val="21"/>
          <w:lang w:val="en-US" w:eastAsia="zh-CN"/>
        </w:rPr>
        <w:t>5</w:t>
      </w:r>
    </w:p>
    <w:p>
      <w:pPr>
        <w:pStyle w:val="13"/>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_Toc9913 </w:instrText>
      </w:r>
      <w:r>
        <w:rPr>
          <w:rFonts w:hint="eastAsia" w:ascii="楷体" w:hAnsi="楷体" w:eastAsia="楷体" w:cs="楷体"/>
          <w:kern w:val="0"/>
          <w:szCs w:val="21"/>
        </w:rPr>
        <w:fldChar w:fldCharType="separate"/>
      </w:r>
      <w:r>
        <w:rPr>
          <w:rFonts w:hint="eastAsia" w:ascii="楷体" w:hAnsi="楷体" w:eastAsia="楷体" w:cs="楷体"/>
        </w:rPr>
        <w:t>第3章 投标邀请</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_Toc9913 </w:instrText>
      </w:r>
      <w:r>
        <w:rPr>
          <w:rFonts w:hint="eastAsia" w:ascii="楷体" w:hAnsi="楷体" w:eastAsia="楷体" w:cs="楷体"/>
        </w:rPr>
        <w:fldChar w:fldCharType="separate"/>
      </w:r>
      <w:r>
        <w:rPr>
          <w:rFonts w:hint="eastAsia" w:ascii="楷体" w:hAnsi="楷体" w:eastAsia="楷体" w:cs="楷体"/>
        </w:rPr>
        <w:t>38</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3"/>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_Toc28647 </w:instrText>
      </w:r>
      <w:r>
        <w:rPr>
          <w:rFonts w:hint="eastAsia" w:ascii="楷体" w:hAnsi="楷体" w:eastAsia="楷体" w:cs="楷体"/>
          <w:kern w:val="0"/>
          <w:szCs w:val="21"/>
        </w:rPr>
        <w:fldChar w:fldCharType="separate"/>
      </w:r>
      <w:r>
        <w:rPr>
          <w:rFonts w:hint="eastAsia" w:ascii="楷体" w:hAnsi="楷体" w:eastAsia="楷体" w:cs="楷体"/>
          <w:szCs w:val="32"/>
        </w:rPr>
        <w:t xml:space="preserve">第4章 </w:t>
      </w:r>
      <w:r>
        <w:rPr>
          <w:rFonts w:hint="eastAsia" w:ascii="楷体" w:hAnsi="楷体" w:eastAsia="楷体" w:cs="楷体"/>
        </w:rPr>
        <w:t>投标人须知资料表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_Toc28647 </w:instrText>
      </w:r>
      <w:r>
        <w:rPr>
          <w:rFonts w:hint="eastAsia" w:ascii="楷体" w:hAnsi="楷体" w:eastAsia="楷体" w:cs="楷体"/>
        </w:rPr>
        <w:fldChar w:fldCharType="separate"/>
      </w:r>
      <w:r>
        <w:rPr>
          <w:rFonts w:hint="eastAsia" w:ascii="楷体" w:hAnsi="楷体" w:eastAsia="楷体" w:cs="楷体"/>
        </w:rPr>
        <w:t>41</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3"/>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_Toc7112 </w:instrText>
      </w:r>
      <w:r>
        <w:rPr>
          <w:rFonts w:hint="eastAsia" w:ascii="楷体" w:hAnsi="楷体" w:eastAsia="楷体" w:cs="楷体"/>
          <w:kern w:val="0"/>
          <w:szCs w:val="21"/>
        </w:rPr>
        <w:fldChar w:fldCharType="separate"/>
      </w:r>
      <w:r>
        <w:rPr>
          <w:rFonts w:hint="eastAsia" w:ascii="楷体" w:hAnsi="楷体" w:eastAsia="楷体" w:cs="楷体"/>
        </w:rPr>
        <w:t xml:space="preserve">第5章 </w:t>
      </w:r>
      <w:r>
        <w:rPr>
          <w:rFonts w:hint="eastAsia" w:ascii="楷体" w:hAnsi="楷体" w:eastAsia="楷体" w:cs="楷体"/>
          <w:lang w:eastAsia="zh-CN"/>
        </w:rPr>
        <w:t>服</w:t>
      </w:r>
      <w:r>
        <w:rPr>
          <w:rFonts w:hint="eastAsia" w:ascii="楷体" w:hAnsi="楷体" w:eastAsia="楷体" w:cs="楷体"/>
        </w:rPr>
        <w:t>物需求</w:t>
      </w:r>
      <w:r>
        <w:rPr>
          <w:rFonts w:hint="eastAsia" w:ascii="楷体" w:hAnsi="楷体" w:eastAsia="楷体" w:cs="楷体"/>
          <w:lang w:eastAsia="zh-CN"/>
        </w:rPr>
        <w:t>及技术需求</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_Toc7112 </w:instrText>
      </w:r>
      <w:r>
        <w:rPr>
          <w:rFonts w:hint="eastAsia" w:ascii="楷体" w:hAnsi="楷体" w:eastAsia="楷体" w:cs="楷体"/>
        </w:rPr>
        <w:fldChar w:fldCharType="separate"/>
      </w:r>
      <w:r>
        <w:rPr>
          <w:rFonts w:hint="eastAsia" w:ascii="楷体" w:hAnsi="楷体" w:eastAsia="楷体" w:cs="楷体"/>
        </w:rPr>
        <w:t>47</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3"/>
        <w:tabs>
          <w:tab w:val="right" w:leader="dot" w:pos="8312"/>
        </w:tabs>
        <w:spacing w:line="300" w:lineRule="exact"/>
        <w:rPr>
          <w:rFonts w:hint="eastAsia" w:ascii="楷体" w:hAnsi="楷体" w:eastAsia="楷体" w:cs="楷体"/>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_Toc10220 </w:instrText>
      </w:r>
      <w:r>
        <w:rPr>
          <w:rFonts w:hint="eastAsia" w:ascii="楷体" w:hAnsi="楷体" w:eastAsia="楷体" w:cs="楷体"/>
          <w:kern w:val="0"/>
          <w:szCs w:val="21"/>
        </w:rPr>
        <w:fldChar w:fldCharType="separate"/>
      </w:r>
      <w:r>
        <w:rPr>
          <w:rFonts w:hint="eastAsia" w:ascii="楷体" w:hAnsi="楷体" w:eastAsia="楷体" w:cs="楷体"/>
        </w:rPr>
        <w:t>第6章 评标方法和标准</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_Toc10220 </w:instrText>
      </w:r>
      <w:r>
        <w:rPr>
          <w:rFonts w:hint="eastAsia" w:ascii="楷体" w:hAnsi="楷体" w:eastAsia="楷体" w:cs="楷体"/>
        </w:rPr>
        <w:fldChar w:fldCharType="separate"/>
      </w:r>
      <w:r>
        <w:rPr>
          <w:rFonts w:hint="eastAsia" w:ascii="楷体" w:hAnsi="楷体" w:eastAsia="楷体" w:cs="楷体"/>
        </w:rPr>
        <w:t>58</w:t>
      </w:r>
      <w:r>
        <w:rPr>
          <w:rFonts w:hint="eastAsia" w:ascii="楷体" w:hAnsi="楷体" w:eastAsia="楷体" w:cs="楷体"/>
        </w:rPr>
        <w:fldChar w:fldCharType="end"/>
      </w:r>
      <w:r>
        <w:rPr>
          <w:rFonts w:hint="eastAsia" w:ascii="楷体" w:hAnsi="楷体" w:eastAsia="楷体" w:cs="楷体"/>
          <w:kern w:val="0"/>
          <w:szCs w:val="21"/>
        </w:rPr>
        <w:fldChar w:fldCharType="end"/>
      </w:r>
    </w:p>
    <w:p>
      <w:pPr>
        <w:pStyle w:val="13"/>
        <w:tabs>
          <w:tab w:val="right" w:leader="dot" w:pos="8312"/>
        </w:tabs>
        <w:spacing w:line="300" w:lineRule="exact"/>
        <w:rPr>
          <w:rFonts w:hint="eastAsia" w:ascii="楷体" w:hAnsi="楷体" w:eastAsia="楷体" w:cs="楷体"/>
          <w:kern w:val="0"/>
          <w:szCs w:val="21"/>
        </w:rPr>
      </w:pP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HYPERLINK \l _Toc23018 </w:instrText>
      </w:r>
      <w:r>
        <w:rPr>
          <w:rFonts w:hint="eastAsia" w:ascii="楷体" w:hAnsi="楷体" w:eastAsia="楷体" w:cs="楷体"/>
          <w:kern w:val="0"/>
          <w:szCs w:val="21"/>
        </w:rPr>
        <w:fldChar w:fldCharType="separate"/>
      </w:r>
      <w:r>
        <w:rPr>
          <w:rFonts w:hint="eastAsia" w:ascii="楷体" w:hAnsi="楷体" w:eastAsia="楷体" w:cs="楷体"/>
        </w:rPr>
        <w:t>第7章 政府采购合同标准文本</w:t>
      </w:r>
      <w:r>
        <w:rPr>
          <w:rFonts w:hint="eastAsia" w:ascii="楷体" w:hAnsi="楷体" w:eastAsia="楷体" w:cs="楷体"/>
        </w:rPr>
        <w:tab/>
      </w:r>
      <w:r>
        <w:rPr>
          <w:rFonts w:hint="eastAsia" w:ascii="楷体" w:hAnsi="楷体" w:eastAsia="楷体" w:cs="楷体"/>
          <w:kern w:val="0"/>
          <w:szCs w:val="21"/>
        </w:rPr>
        <w:fldChar w:fldCharType="end"/>
      </w:r>
      <w:r>
        <w:rPr>
          <w:rFonts w:hint="eastAsia" w:ascii="楷体" w:hAnsi="楷体" w:eastAsia="楷体" w:cs="楷体"/>
          <w:kern w:val="0"/>
          <w:szCs w:val="21"/>
        </w:rPr>
        <w:t>48</w:t>
      </w:r>
    </w:p>
    <w:p>
      <w:pPr>
        <w:rPr>
          <w:rFonts w:hint="eastAsia" w:ascii="楷体" w:hAnsi="楷体" w:eastAsia="楷体" w:cs="楷体"/>
        </w:rPr>
        <w:sectPr>
          <w:headerReference r:id="rId3" w:type="default"/>
          <w:footerReference r:id="rId4" w:type="default"/>
          <w:pgSz w:w="11906" w:h="16838"/>
          <w:pgMar w:top="1440" w:right="1489" w:bottom="1440" w:left="1597" w:header="851" w:footer="992" w:gutter="0"/>
          <w:pgNumType w:start="1"/>
          <w:cols w:space="720" w:num="1"/>
          <w:docGrid w:type="linesAndChars" w:linePitch="312" w:charSpace="0"/>
        </w:sectPr>
      </w:pPr>
    </w:p>
    <w:p>
      <w:pPr>
        <w:rPr>
          <w:rFonts w:hint="eastAsia" w:ascii="楷体" w:hAnsi="楷体" w:eastAsia="楷体" w:cs="楷体"/>
        </w:rPr>
      </w:pPr>
    </w:p>
    <w:p>
      <w:pPr>
        <w:pStyle w:val="4"/>
        <w:bidi w:val="0"/>
        <w:rPr>
          <w:rFonts w:hint="eastAsia" w:ascii="宋体" w:hAnsi="宋体" w:eastAsia="宋体" w:cs="宋体"/>
          <w:color w:val="000000"/>
        </w:rPr>
      </w:pPr>
      <w:r>
        <w:rPr>
          <w:rFonts w:hint="eastAsia" w:ascii="楷体" w:hAnsi="楷体" w:eastAsia="楷体" w:cs="楷体"/>
          <w:kern w:val="0"/>
          <w:szCs w:val="21"/>
        </w:rPr>
        <w:fldChar w:fldCharType="end"/>
      </w:r>
      <w:bookmarkStart w:id="0" w:name="_Toc518923103"/>
      <w:bookmarkStart w:id="1" w:name="_Toc23883"/>
      <w:r>
        <w:rPr>
          <w:rFonts w:hint="eastAsia" w:ascii="宋体" w:hAnsi="宋体" w:eastAsia="宋体" w:cs="宋体"/>
          <w:kern w:val="0"/>
          <w:szCs w:val="21"/>
          <w:lang w:eastAsia="zh-CN"/>
        </w:rPr>
        <w:t>第</w:t>
      </w:r>
      <w:r>
        <w:rPr>
          <w:rFonts w:hint="eastAsia" w:ascii="宋体" w:hAnsi="宋体" w:eastAsia="宋体" w:cs="宋体"/>
          <w:kern w:val="0"/>
          <w:szCs w:val="21"/>
          <w:lang w:val="en-US" w:eastAsia="zh-CN"/>
        </w:rPr>
        <w:t xml:space="preserve">1章 </w:t>
      </w:r>
      <w:r>
        <w:rPr>
          <w:rFonts w:hint="eastAsia" w:ascii="宋体" w:hAnsi="宋体" w:eastAsia="宋体" w:cs="宋体"/>
          <w:color w:val="000000"/>
        </w:rPr>
        <w:t>投标人须知</w:t>
      </w:r>
    </w:p>
    <w:p>
      <w:pPr>
        <w:pStyle w:val="2"/>
        <w:spacing w:before="0" w:line="240" w:lineRule="atLeast"/>
        <w:ind w:left="1079" w:leftChars="257" w:hanging="540"/>
        <w:rPr>
          <w:rFonts w:hint="eastAsia" w:ascii="宋体" w:hAnsi="宋体" w:eastAsia="宋体" w:cs="宋体"/>
          <w:color w:val="auto"/>
          <w:sz w:val="24"/>
          <w:szCs w:val="24"/>
        </w:rPr>
      </w:pPr>
      <w:bookmarkStart w:id="2" w:name="_Toc14711"/>
      <w:bookmarkStart w:id="3" w:name="_Toc23367"/>
      <w:r>
        <w:rPr>
          <w:rFonts w:hint="eastAsia" w:ascii="宋体" w:hAnsi="宋体" w:eastAsia="宋体" w:cs="宋体"/>
          <w:color w:val="auto"/>
          <w:sz w:val="24"/>
          <w:szCs w:val="24"/>
        </w:rPr>
        <w:t>一   总 则</w:t>
      </w:r>
      <w:bookmarkEnd w:id="2"/>
      <w:bookmarkEnd w:id="3"/>
    </w:p>
    <w:p>
      <w:pPr>
        <w:pStyle w:val="5"/>
        <w:spacing w:before="0" w:after="0" w:line="240" w:lineRule="atLeast"/>
        <w:rPr>
          <w:rFonts w:hint="eastAsia" w:ascii="宋体" w:hAnsi="宋体" w:eastAsia="宋体" w:cs="宋体"/>
          <w:color w:val="auto"/>
          <w:szCs w:val="24"/>
          <w:u w:val="none"/>
        </w:rPr>
      </w:pPr>
      <w:bookmarkStart w:id="4" w:name="_Toc32623"/>
      <w:bookmarkStart w:id="5" w:name="_Toc520356144"/>
      <w:bookmarkStart w:id="6" w:name="_Toc515647758"/>
      <w:bookmarkStart w:id="7" w:name="_Toc32189"/>
      <w:bookmarkStart w:id="8" w:name="_Toc10899"/>
      <w:bookmarkStart w:id="9" w:name="_Toc26624"/>
      <w:r>
        <w:rPr>
          <w:rFonts w:hint="eastAsia" w:ascii="宋体" w:hAnsi="宋体" w:eastAsia="宋体" w:cs="宋体"/>
          <w:color w:val="auto"/>
          <w:szCs w:val="24"/>
          <w:u w:val="none"/>
        </w:rPr>
        <w:t>1.采购人、采购代理机构及</w:t>
      </w:r>
      <w:bookmarkEnd w:id="4"/>
      <w:bookmarkEnd w:id="5"/>
      <w:bookmarkEnd w:id="6"/>
      <w:bookmarkEnd w:id="7"/>
      <w:r>
        <w:rPr>
          <w:rFonts w:hint="eastAsia" w:ascii="宋体" w:hAnsi="宋体" w:eastAsia="宋体" w:cs="宋体"/>
          <w:color w:val="auto"/>
          <w:szCs w:val="24"/>
          <w:u w:val="none"/>
        </w:rPr>
        <w:t>供应商</w:t>
      </w:r>
      <w:bookmarkEnd w:id="8"/>
      <w:bookmarkEnd w:id="9"/>
    </w:p>
    <w:p>
      <w:pPr>
        <w:numPr>
          <w:ilvl w:val="1"/>
          <w:numId w:val="1"/>
        </w:numPr>
        <w:tabs>
          <w:tab w:val="left" w:pos="0"/>
          <w:tab w:val="clear" w:pos="900"/>
        </w:tabs>
        <w:spacing w:line="240" w:lineRule="atLeast"/>
        <w:ind w:hanging="898"/>
        <w:rPr>
          <w:rFonts w:hint="eastAsia" w:ascii="宋体" w:hAnsi="宋体" w:eastAsia="宋体" w:cs="宋体"/>
          <w:color w:val="auto"/>
          <w:sz w:val="24"/>
        </w:rPr>
      </w:pPr>
      <w:r>
        <w:rPr>
          <w:rFonts w:hint="eastAsia" w:ascii="宋体" w:hAnsi="宋体" w:eastAsia="宋体" w:cs="宋体"/>
          <w:color w:val="auto"/>
          <w:sz w:val="24"/>
        </w:rPr>
        <w:t xml:space="preserve"> 采购人：是指依法开展政府采购活动的国家机关、事业单位、团体组织。</w:t>
      </w:r>
    </w:p>
    <w:p>
      <w:pPr>
        <w:tabs>
          <w:tab w:val="left" w:pos="0"/>
        </w:tabs>
        <w:spacing w:line="240" w:lineRule="atLeast"/>
        <w:ind w:left="900"/>
        <w:rPr>
          <w:rFonts w:hint="eastAsia" w:ascii="宋体" w:hAnsi="宋体" w:eastAsia="宋体" w:cs="宋体"/>
          <w:color w:val="auto"/>
          <w:sz w:val="24"/>
        </w:rPr>
      </w:pPr>
      <w:r>
        <w:rPr>
          <w:rFonts w:hint="eastAsia" w:ascii="宋体" w:hAnsi="宋体" w:eastAsia="宋体" w:cs="宋体"/>
          <w:color w:val="auto"/>
          <w:sz w:val="24"/>
        </w:rPr>
        <w:t>本项目的采购人见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numPr>
          <w:ilvl w:val="1"/>
          <w:numId w:val="1"/>
        </w:numPr>
        <w:tabs>
          <w:tab w:val="left" w:pos="0"/>
          <w:tab w:val="clear" w:pos="900"/>
        </w:tabs>
        <w:spacing w:line="240" w:lineRule="atLeast"/>
        <w:ind w:hanging="898"/>
        <w:rPr>
          <w:rFonts w:hint="eastAsia" w:ascii="宋体" w:hAnsi="宋体" w:eastAsia="宋体" w:cs="宋体"/>
          <w:color w:val="auto"/>
          <w:sz w:val="24"/>
        </w:rPr>
      </w:pPr>
      <w:r>
        <w:rPr>
          <w:rFonts w:hint="eastAsia" w:ascii="宋体" w:hAnsi="宋体" w:eastAsia="宋体" w:cs="宋体"/>
          <w:color w:val="auto"/>
          <w:sz w:val="24"/>
        </w:rPr>
        <w:t xml:space="preserve">    采购代理机构：是指在集中采购机构或从事采购代理业务的社会中介机构。本项目的采购代理机构见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numPr>
          <w:ilvl w:val="1"/>
          <w:numId w:val="1"/>
        </w:numPr>
        <w:spacing w:line="240" w:lineRule="atLeast"/>
        <w:ind w:hangingChars="375"/>
        <w:rPr>
          <w:rFonts w:hint="eastAsia" w:ascii="宋体" w:hAnsi="宋体" w:eastAsia="宋体" w:cs="宋体"/>
          <w:color w:val="auto"/>
          <w:sz w:val="24"/>
        </w:rPr>
      </w:pPr>
      <w:r>
        <w:rPr>
          <w:rFonts w:hint="eastAsia" w:ascii="宋体" w:hAnsi="宋体" w:eastAsia="宋体" w:cs="宋体"/>
          <w:color w:val="auto"/>
          <w:sz w:val="24"/>
        </w:rPr>
        <w:t>供应商：是指向采购人提供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、工程或者</w:t>
      </w:r>
      <w:r>
        <w:rPr>
          <w:rFonts w:hint="eastAsia" w:ascii="宋体" w:hAnsi="宋体" w:eastAsia="宋体" w:cs="宋体"/>
          <w:color w:val="auto"/>
          <w:sz w:val="24"/>
          <w:lang w:val="en-US" w:eastAsia="zh-CN"/>
        </w:rPr>
        <w:t>服务</w:t>
      </w:r>
      <w:r>
        <w:rPr>
          <w:rFonts w:hint="eastAsia" w:ascii="宋体" w:hAnsi="宋体" w:eastAsia="宋体" w:cs="宋体"/>
          <w:color w:val="auto"/>
          <w:sz w:val="24"/>
        </w:rPr>
        <w:t>的法人、非法人组织或者自然人。本项目的供应商及其磋商</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须满足以下条件：</w:t>
      </w:r>
    </w:p>
    <w:p>
      <w:pPr>
        <w:spacing w:line="240" w:lineRule="atLeast"/>
        <w:ind w:left="850" w:hanging="849" w:hangingChars="354"/>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在中华人民共和国境内注册，能够独立承担民事责任，有生产或供应能力的本国供应商。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1.3.3   以采购代理机构认可的方式获得了本项目的磋商文件。</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1.3.4   符合</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中规定的其他要求。</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1.3.5   若</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中写明允许采购进口产品，供应商应保证所投产品可履行合法报通关手续进入中国关境内。</w:t>
      </w:r>
    </w:p>
    <w:p>
      <w:pPr>
        <w:spacing w:line="240" w:lineRule="atLeast"/>
        <w:ind w:left="898" w:leftChars="428"/>
        <w:rPr>
          <w:rFonts w:hint="eastAsia" w:ascii="宋体" w:hAnsi="宋体" w:eastAsia="宋体" w:cs="宋体"/>
          <w:color w:val="auto"/>
          <w:sz w:val="24"/>
        </w:rPr>
      </w:pPr>
      <w:r>
        <w:rPr>
          <w:rFonts w:hint="eastAsia" w:ascii="宋体" w:hAnsi="宋体" w:eastAsia="宋体" w:cs="宋体"/>
          <w:color w:val="auto"/>
          <w:sz w:val="24"/>
        </w:rPr>
        <w:t>若</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中未写明允许采购进口产品，如供应商所投产品为进口产品，其磋商将被认定为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840" w:hanging="840" w:hangingChars="350"/>
        <w:rPr>
          <w:rFonts w:hint="eastAsia" w:ascii="宋体" w:hAnsi="宋体" w:eastAsia="宋体" w:cs="宋体"/>
          <w:color w:val="auto"/>
          <w:sz w:val="24"/>
        </w:rPr>
      </w:pPr>
      <w:r>
        <w:rPr>
          <w:rFonts w:hint="eastAsia" w:ascii="宋体" w:hAnsi="宋体" w:eastAsia="宋体" w:cs="宋体"/>
          <w:color w:val="auto"/>
          <w:sz w:val="24"/>
        </w:rPr>
        <w:t>1.3.6  若</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中写明专门面向中小企业采购的，如供应商为非中小企业且所投产品为非中小企业产品，其磋商将被认定为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     如</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中允许联合体磋商，对联合体规定如下：</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1.4.1   两个以上供应商可以组成一个磋商联合体，以一个供应商的身份磋商。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1.4.2   联合体各方均应符合《中华人民共和国政府采购法》第二十二条规定的条件。</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采购人根据采购项目对供应商的特殊要求，联合体中至少应当有一方符合相关规定。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1.4.4   联合体各方应签订共同磋商协议，明确约定联合体各方承担的工作和相应的责任，并将共同磋商协议连同作为磋商文件第一部分的内容提交。</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1.4.6  联合体中有同类资质的供应商按照联合体分工承担相同工作的，按照较低的资质等级确定联合体的资质等级。</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1.4.8   对联合体磋商的其他资格要求见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1.5    单位负责人为同一人或者存在直接控股、管理关系的不同供应商，其相关磋商将被认定为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1.6    为本项目提供过整体设计、规范编制或者项目管理、监理、检测等</w:t>
      </w:r>
      <w:r>
        <w:rPr>
          <w:rFonts w:hint="eastAsia" w:ascii="宋体" w:hAnsi="宋体" w:eastAsia="宋体" w:cs="宋体"/>
          <w:color w:val="auto"/>
          <w:sz w:val="24"/>
          <w:lang w:val="en-US" w:eastAsia="zh-CN"/>
        </w:rPr>
        <w:t>要求</w:t>
      </w:r>
      <w:r>
        <w:rPr>
          <w:rFonts w:hint="eastAsia" w:ascii="宋体" w:hAnsi="宋体" w:eastAsia="宋体" w:cs="宋体"/>
          <w:color w:val="auto"/>
          <w:sz w:val="24"/>
        </w:rPr>
        <w:t>的供应商，不得再参加本项目上述</w:t>
      </w:r>
      <w:r>
        <w:rPr>
          <w:rFonts w:hint="eastAsia" w:ascii="宋体" w:hAnsi="宋体" w:eastAsia="宋体" w:cs="宋体"/>
          <w:color w:val="auto"/>
          <w:sz w:val="24"/>
          <w:lang w:val="en-US" w:eastAsia="zh-CN"/>
        </w:rPr>
        <w:t>服务</w:t>
      </w:r>
      <w:r>
        <w:rPr>
          <w:rFonts w:hint="eastAsia" w:ascii="宋体" w:hAnsi="宋体" w:eastAsia="宋体" w:cs="宋体"/>
          <w:color w:val="auto"/>
          <w:sz w:val="24"/>
        </w:rPr>
        <w:t>以外的其他采购活动。否则其磋商将被认定为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rPr>
        <w:tab/>
      </w:r>
      <w:r>
        <w:rPr>
          <w:rFonts w:hint="eastAsia" w:ascii="宋体" w:hAnsi="宋体" w:eastAsia="宋体" w:cs="宋体"/>
          <w:color w:val="auto"/>
          <w:sz w:val="24"/>
        </w:rPr>
        <w:t>供应商在磋商过程中不得向采购人提供、给予任何有价值的物品，影响其正常决策行为。一经发现，其将被认定为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5"/>
        <w:spacing w:before="0" w:after="0" w:line="240" w:lineRule="atLeast"/>
        <w:rPr>
          <w:rFonts w:hint="eastAsia" w:ascii="宋体" w:hAnsi="宋体" w:eastAsia="宋体" w:cs="宋体"/>
          <w:color w:val="auto"/>
          <w:szCs w:val="24"/>
          <w:u w:val="none"/>
        </w:rPr>
      </w:pPr>
      <w:bookmarkStart w:id="10" w:name="_Toc515647759"/>
      <w:bookmarkStart w:id="11" w:name="_Toc20561"/>
      <w:bookmarkStart w:id="12" w:name="_Toc5286"/>
      <w:bookmarkStart w:id="13" w:name="_Toc4055"/>
      <w:bookmarkStart w:id="14" w:name="_Toc12139"/>
      <w:r>
        <w:rPr>
          <w:rFonts w:hint="eastAsia" w:ascii="宋体" w:hAnsi="宋体" w:eastAsia="宋体" w:cs="宋体"/>
          <w:color w:val="auto"/>
          <w:szCs w:val="24"/>
          <w:u w:val="none"/>
        </w:rPr>
        <w:t>2.资金来源</w:t>
      </w:r>
      <w:bookmarkEnd w:id="10"/>
      <w:bookmarkEnd w:id="11"/>
      <w:bookmarkEnd w:id="12"/>
      <w:bookmarkEnd w:id="13"/>
      <w:bookmarkEnd w:id="14"/>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rPr>
        <w:tab/>
      </w:r>
      <w:r>
        <w:rPr>
          <w:rFonts w:hint="eastAsia" w:ascii="宋体" w:hAnsi="宋体" w:eastAsia="宋体" w:cs="宋体"/>
          <w:color w:val="auto"/>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2.2    项目预算金额和分项或分包最高限价</w:t>
      </w:r>
      <w:r>
        <w:rPr>
          <w:rFonts w:hint="eastAsia" w:ascii="宋体" w:hAnsi="宋体" w:eastAsia="宋体" w:cs="宋体"/>
          <w:color w:val="auto"/>
          <w:sz w:val="24"/>
          <w:u w:val="single"/>
        </w:rPr>
        <w:t>见供应商须知资料表</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2.3    供应商报价超过磋商文件规定的预算金额或者分项、分包最高限价的，其磋商将被认定为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5"/>
        <w:spacing w:before="0" w:after="0" w:line="240" w:lineRule="atLeast"/>
        <w:rPr>
          <w:rFonts w:hint="eastAsia" w:ascii="宋体" w:hAnsi="宋体" w:eastAsia="宋体" w:cs="宋体"/>
          <w:color w:val="auto"/>
          <w:szCs w:val="24"/>
          <w:u w:val="none"/>
        </w:rPr>
      </w:pPr>
      <w:bookmarkStart w:id="15" w:name="_Toc15936"/>
      <w:bookmarkStart w:id="16" w:name="_Toc515647760"/>
      <w:bookmarkStart w:id="17" w:name="_Toc20526"/>
      <w:bookmarkStart w:id="18" w:name="_Toc18002"/>
      <w:bookmarkStart w:id="19" w:name="_Toc32579"/>
      <w:bookmarkStart w:id="20" w:name="_Toc520356145"/>
      <w:r>
        <w:rPr>
          <w:rFonts w:hint="eastAsia" w:ascii="宋体" w:hAnsi="宋体" w:eastAsia="宋体" w:cs="宋体"/>
          <w:color w:val="auto"/>
          <w:szCs w:val="24"/>
          <w:u w:val="none"/>
        </w:rPr>
        <w:t>3.磋商费用</w:t>
      </w:r>
      <w:bookmarkEnd w:id="15"/>
      <w:bookmarkEnd w:id="16"/>
      <w:bookmarkEnd w:id="17"/>
      <w:bookmarkEnd w:id="18"/>
      <w:bookmarkEnd w:id="19"/>
      <w:bookmarkEnd w:id="20"/>
    </w:p>
    <w:p>
      <w:pPr>
        <w:spacing w:line="240" w:lineRule="atLeast"/>
        <w:ind w:left="898" w:leftChars="342" w:hanging="180" w:hangingChars="75"/>
        <w:rPr>
          <w:rFonts w:hint="eastAsia" w:ascii="宋体" w:hAnsi="宋体" w:eastAsia="宋体" w:cs="宋体"/>
          <w:color w:val="auto"/>
          <w:sz w:val="24"/>
        </w:rPr>
      </w:pPr>
      <w:r>
        <w:rPr>
          <w:rFonts w:hint="eastAsia" w:ascii="宋体" w:hAnsi="宋体" w:eastAsia="宋体" w:cs="宋体"/>
          <w:color w:val="auto"/>
          <w:sz w:val="24"/>
        </w:rPr>
        <w:t>不论磋商的结果如何，供应商应承担所有与准备和参加磋商有关的费用。</w:t>
      </w:r>
    </w:p>
    <w:p>
      <w:pPr>
        <w:pStyle w:val="5"/>
        <w:spacing w:before="0" w:after="0" w:line="240" w:lineRule="atLeast"/>
        <w:rPr>
          <w:rFonts w:hint="eastAsia" w:ascii="宋体" w:hAnsi="宋体" w:eastAsia="宋体" w:cs="宋体"/>
          <w:color w:val="auto"/>
          <w:szCs w:val="24"/>
          <w:u w:val="none"/>
        </w:rPr>
      </w:pPr>
      <w:bookmarkStart w:id="21" w:name="_Toc6116"/>
      <w:bookmarkStart w:id="22" w:name="_Toc4463"/>
      <w:bookmarkStart w:id="23" w:name="_Toc515647761"/>
      <w:bookmarkStart w:id="24" w:name="_Toc30544"/>
      <w:bookmarkStart w:id="25" w:name="_Toc18777"/>
      <w:r>
        <w:rPr>
          <w:rFonts w:hint="eastAsia" w:ascii="宋体" w:hAnsi="宋体" w:eastAsia="宋体" w:cs="宋体"/>
          <w:color w:val="auto"/>
          <w:szCs w:val="24"/>
          <w:u w:val="none"/>
        </w:rPr>
        <w:t>4.适用法律</w:t>
      </w:r>
      <w:bookmarkEnd w:id="21"/>
      <w:bookmarkEnd w:id="22"/>
      <w:bookmarkEnd w:id="23"/>
      <w:bookmarkEnd w:id="24"/>
      <w:bookmarkEnd w:id="25"/>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       本项目采购人、采购代理机构、供应商、评审委员会的相关行为均受《中华人民共和国政府采购法》、《中华人民共和国政府采购法实施条例》</w:t>
      </w:r>
      <w:r>
        <w:rPr>
          <w:rFonts w:hint="eastAsia" w:ascii="宋体" w:hAnsi="宋体" w:eastAsia="宋体" w:cs="宋体"/>
          <w:color w:val="auto"/>
          <w:sz w:val="24"/>
          <w:lang w:eastAsia="zh-CN"/>
        </w:rPr>
        <w:t>、</w:t>
      </w:r>
      <w:r>
        <w:rPr>
          <w:rFonts w:hint="eastAsia" w:ascii="宋体" w:hAnsi="宋体" w:eastAsia="宋体" w:cs="宋体"/>
          <w:color w:val="auto"/>
          <w:sz w:val="21"/>
          <w:szCs w:val="21"/>
        </w:rPr>
        <w:t>【财政部关于印发《政府采购竞争性磋商采购方式管理暂行办法》的通知财库{2014}214号】</w:t>
      </w:r>
      <w:r>
        <w:rPr>
          <w:rFonts w:hint="eastAsia" w:ascii="宋体" w:hAnsi="宋体" w:eastAsia="宋体" w:cs="宋体"/>
          <w:color w:val="auto"/>
          <w:sz w:val="24"/>
        </w:rPr>
        <w:t>及本项目本级和上级财政部门政府采购有关规定的约束，其权利受到上述法律法规的保护。</w:t>
      </w:r>
    </w:p>
    <w:p>
      <w:pPr>
        <w:pStyle w:val="2"/>
        <w:spacing w:before="0" w:line="240" w:lineRule="atLeast"/>
        <w:ind w:left="1079" w:leftChars="257" w:hanging="540"/>
        <w:rPr>
          <w:rFonts w:hint="eastAsia" w:ascii="宋体" w:hAnsi="宋体" w:eastAsia="宋体" w:cs="宋体"/>
          <w:color w:val="auto"/>
          <w:sz w:val="24"/>
          <w:szCs w:val="24"/>
        </w:rPr>
      </w:pPr>
      <w:bookmarkStart w:id="26" w:name="_Toc21566"/>
      <w:bookmarkStart w:id="27" w:name="_Toc4365"/>
      <w:bookmarkStart w:id="28" w:name="_Toc520356146"/>
      <w:bookmarkStart w:id="29" w:name="_Toc216582806"/>
      <w:bookmarkStart w:id="30" w:name="_Toc515647762"/>
      <w:bookmarkStart w:id="31" w:name="_Toc28603"/>
      <w:bookmarkStart w:id="32" w:name="_Toc4420"/>
      <w:r>
        <w:rPr>
          <w:rFonts w:hint="eastAsia" w:ascii="宋体" w:hAnsi="宋体" w:eastAsia="宋体" w:cs="宋体"/>
          <w:color w:val="auto"/>
          <w:sz w:val="24"/>
          <w:szCs w:val="24"/>
        </w:rPr>
        <w:t xml:space="preserve">二   </w:t>
      </w:r>
      <w:bookmarkEnd w:id="26"/>
      <w:bookmarkEnd w:id="27"/>
      <w:bookmarkEnd w:id="28"/>
      <w:bookmarkEnd w:id="29"/>
      <w:bookmarkEnd w:id="30"/>
      <w:r>
        <w:rPr>
          <w:rFonts w:hint="eastAsia" w:ascii="宋体" w:hAnsi="宋体" w:eastAsia="宋体" w:cs="宋体"/>
          <w:color w:val="auto"/>
          <w:sz w:val="24"/>
          <w:szCs w:val="24"/>
        </w:rPr>
        <w:t>磋商文件</w:t>
      </w:r>
      <w:bookmarkEnd w:id="31"/>
      <w:bookmarkEnd w:id="32"/>
    </w:p>
    <w:p>
      <w:pPr>
        <w:pStyle w:val="5"/>
        <w:spacing w:before="0" w:after="0" w:line="240" w:lineRule="atLeast"/>
        <w:rPr>
          <w:rFonts w:hint="eastAsia" w:ascii="宋体" w:hAnsi="宋体" w:eastAsia="宋体" w:cs="宋体"/>
          <w:color w:val="auto"/>
          <w:szCs w:val="24"/>
          <w:u w:val="none"/>
        </w:rPr>
      </w:pPr>
      <w:bookmarkStart w:id="33" w:name="_Toc25743"/>
      <w:bookmarkStart w:id="34" w:name="_Toc520356147"/>
      <w:bookmarkStart w:id="35" w:name="_Toc515647763"/>
      <w:bookmarkStart w:id="36" w:name="_Toc4627"/>
      <w:bookmarkStart w:id="37" w:name="_Toc19151"/>
      <w:bookmarkStart w:id="38" w:name="_Toc14084"/>
      <w:r>
        <w:rPr>
          <w:rFonts w:hint="eastAsia" w:ascii="宋体" w:hAnsi="宋体" w:eastAsia="宋体" w:cs="宋体"/>
          <w:color w:val="auto"/>
          <w:szCs w:val="24"/>
          <w:u w:val="none"/>
        </w:rPr>
        <w:t>5.磋商文件构成</w:t>
      </w:r>
      <w:bookmarkEnd w:id="33"/>
      <w:bookmarkEnd w:id="34"/>
      <w:bookmarkEnd w:id="35"/>
      <w:bookmarkEnd w:id="36"/>
      <w:bookmarkEnd w:id="37"/>
      <w:bookmarkEnd w:id="38"/>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5.1</w:t>
      </w:r>
      <w:r>
        <w:rPr>
          <w:rFonts w:hint="eastAsia" w:ascii="宋体" w:hAnsi="宋体" w:eastAsia="宋体" w:cs="宋体"/>
          <w:color w:val="auto"/>
          <w:sz w:val="24"/>
        </w:rPr>
        <w:tab/>
      </w:r>
      <w:r>
        <w:rPr>
          <w:rFonts w:hint="eastAsia" w:ascii="宋体" w:hAnsi="宋体" w:eastAsia="宋体" w:cs="宋体"/>
          <w:color w:val="auto"/>
          <w:sz w:val="24"/>
        </w:rPr>
        <w:t>磋商文件分为三册共7章，内容如下：</w:t>
      </w:r>
    </w:p>
    <w:p>
      <w:pPr>
        <w:spacing w:line="240" w:lineRule="atLeast"/>
        <w:ind w:left="1078" w:leftChars="428" w:hanging="180" w:hangingChars="75"/>
        <w:rPr>
          <w:rFonts w:hint="eastAsia" w:ascii="宋体" w:hAnsi="宋体" w:eastAsia="宋体" w:cs="宋体"/>
          <w:color w:val="auto"/>
          <w:sz w:val="24"/>
        </w:rPr>
      </w:pPr>
      <w:r>
        <w:rPr>
          <w:rFonts w:hint="eastAsia" w:ascii="宋体" w:hAnsi="宋体" w:eastAsia="宋体" w:cs="宋体"/>
          <w:color w:val="auto"/>
          <w:sz w:val="24"/>
        </w:rPr>
        <w:t>第一册</w:t>
      </w:r>
    </w:p>
    <w:p>
      <w:pPr>
        <w:numPr>
          <w:ilvl w:val="0"/>
          <w:numId w:val="2"/>
        </w:numPr>
        <w:tabs>
          <w:tab w:val="left" w:pos="0"/>
        </w:tabs>
        <w:spacing w:line="240" w:lineRule="atLeast"/>
        <w:ind w:hanging="829"/>
        <w:rPr>
          <w:rFonts w:hint="eastAsia" w:ascii="宋体" w:hAnsi="宋体" w:eastAsia="宋体" w:cs="宋体"/>
          <w:color w:val="auto"/>
          <w:sz w:val="24"/>
        </w:rPr>
      </w:pPr>
      <w:r>
        <w:rPr>
          <w:rFonts w:hint="eastAsia" w:ascii="宋体" w:hAnsi="宋体" w:eastAsia="宋体" w:cs="宋体"/>
          <w:color w:val="auto"/>
          <w:sz w:val="24"/>
        </w:rPr>
        <w:t xml:space="preserve"> 供应商须知</w:t>
      </w:r>
    </w:p>
    <w:p>
      <w:pPr>
        <w:numPr>
          <w:ilvl w:val="0"/>
          <w:numId w:val="2"/>
        </w:numPr>
        <w:spacing w:line="240" w:lineRule="atLeast"/>
        <w:ind w:left="1080" w:leftChars="429" w:hanging="180"/>
        <w:rPr>
          <w:rFonts w:hint="eastAsia" w:ascii="宋体" w:hAnsi="宋体" w:eastAsia="宋体" w:cs="宋体"/>
          <w:color w:val="auto"/>
          <w:sz w:val="24"/>
        </w:rPr>
      </w:pPr>
      <w:r>
        <w:rPr>
          <w:rFonts w:hint="eastAsia" w:ascii="宋体" w:hAnsi="宋体" w:eastAsia="宋体" w:cs="宋体"/>
          <w:color w:val="auto"/>
          <w:sz w:val="24"/>
        </w:rPr>
        <w:t xml:space="preserve"> 响应文件格式</w:t>
      </w:r>
    </w:p>
    <w:p>
      <w:pPr>
        <w:spacing w:line="240" w:lineRule="atLeast"/>
        <w:ind w:left="1080" w:leftChars="429" w:hanging="180"/>
        <w:rPr>
          <w:rFonts w:hint="eastAsia" w:ascii="宋体" w:hAnsi="宋体" w:eastAsia="宋体" w:cs="宋体"/>
          <w:color w:val="auto"/>
          <w:sz w:val="24"/>
        </w:rPr>
      </w:pPr>
      <w:r>
        <w:rPr>
          <w:rFonts w:hint="eastAsia" w:ascii="宋体" w:hAnsi="宋体" w:eastAsia="宋体" w:cs="宋体"/>
          <w:color w:val="auto"/>
          <w:sz w:val="24"/>
        </w:rPr>
        <w:t>第二册</w:t>
      </w:r>
    </w:p>
    <w:p>
      <w:pPr>
        <w:numPr>
          <w:ilvl w:val="0"/>
          <w:numId w:val="2"/>
        </w:numPr>
        <w:spacing w:line="240" w:lineRule="atLeast"/>
        <w:ind w:left="1080" w:leftChars="429" w:hanging="180"/>
        <w:rPr>
          <w:rFonts w:hint="eastAsia" w:ascii="宋体" w:hAnsi="宋体" w:eastAsia="宋体" w:cs="宋体"/>
          <w:color w:val="auto"/>
          <w:sz w:val="24"/>
        </w:rPr>
      </w:pPr>
      <w:r>
        <w:rPr>
          <w:rFonts w:hint="eastAsia" w:ascii="宋体" w:hAnsi="宋体" w:eastAsia="宋体" w:cs="宋体"/>
          <w:color w:val="auto"/>
          <w:sz w:val="24"/>
        </w:rPr>
        <w:t xml:space="preserve"> 磋商邀请</w:t>
      </w:r>
    </w:p>
    <w:p>
      <w:pPr>
        <w:numPr>
          <w:ilvl w:val="0"/>
          <w:numId w:val="2"/>
        </w:numPr>
        <w:spacing w:line="240" w:lineRule="atLeast"/>
        <w:ind w:left="1080" w:leftChars="429" w:hanging="180"/>
        <w:rPr>
          <w:rFonts w:hint="eastAsia" w:ascii="宋体" w:hAnsi="宋体" w:eastAsia="宋体" w:cs="宋体"/>
          <w:color w:val="auto"/>
          <w:sz w:val="24"/>
        </w:rPr>
      </w:pPr>
      <w:r>
        <w:rPr>
          <w:rFonts w:hint="eastAsia" w:ascii="宋体" w:hAnsi="宋体" w:eastAsia="宋体" w:cs="宋体"/>
          <w:color w:val="auto"/>
          <w:sz w:val="24"/>
        </w:rPr>
        <w:t xml:space="preserve"> 供应商须知资料表</w:t>
      </w:r>
    </w:p>
    <w:p>
      <w:pPr>
        <w:numPr>
          <w:ilvl w:val="0"/>
          <w:numId w:val="2"/>
        </w:numPr>
        <w:spacing w:line="240" w:lineRule="atLeast"/>
        <w:ind w:left="1080" w:leftChars="429" w:hanging="18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需求一览表及</w:t>
      </w:r>
      <w:r>
        <w:rPr>
          <w:rFonts w:hint="eastAsia" w:ascii="宋体" w:hAnsi="宋体" w:eastAsia="宋体" w:cs="宋体"/>
          <w:color w:val="auto"/>
          <w:sz w:val="24"/>
          <w:lang w:val="en-US" w:eastAsia="zh-CN"/>
        </w:rPr>
        <w:t>项目要求</w:t>
      </w:r>
    </w:p>
    <w:p>
      <w:pPr>
        <w:numPr>
          <w:ilvl w:val="0"/>
          <w:numId w:val="2"/>
        </w:numPr>
        <w:spacing w:line="240" w:lineRule="atLeast"/>
        <w:ind w:left="1080" w:leftChars="429" w:hanging="180"/>
        <w:rPr>
          <w:rFonts w:hint="eastAsia" w:ascii="宋体" w:hAnsi="宋体" w:eastAsia="宋体" w:cs="宋体"/>
          <w:color w:val="auto"/>
          <w:sz w:val="24"/>
        </w:rPr>
      </w:pPr>
      <w:r>
        <w:rPr>
          <w:rFonts w:hint="eastAsia" w:ascii="宋体" w:hAnsi="宋体" w:eastAsia="宋体" w:cs="宋体"/>
          <w:color w:val="auto"/>
          <w:sz w:val="24"/>
        </w:rPr>
        <w:t xml:space="preserve"> 评审方法和标准</w:t>
      </w:r>
    </w:p>
    <w:p>
      <w:pPr>
        <w:spacing w:line="240" w:lineRule="atLeast"/>
        <w:ind w:left="901"/>
        <w:rPr>
          <w:rFonts w:hint="eastAsia" w:ascii="宋体" w:hAnsi="宋体" w:eastAsia="宋体" w:cs="宋体"/>
          <w:color w:val="auto"/>
          <w:sz w:val="24"/>
        </w:rPr>
      </w:pPr>
      <w:r>
        <w:rPr>
          <w:rFonts w:hint="eastAsia" w:ascii="宋体" w:hAnsi="宋体" w:eastAsia="宋体" w:cs="宋体"/>
          <w:color w:val="auto"/>
          <w:sz w:val="24"/>
        </w:rPr>
        <w:t>第三册</w:t>
      </w:r>
    </w:p>
    <w:p>
      <w:pPr>
        <w:numPr>
          <w:ilvl w:val="0"/>
          <w:numId w:val="2"/>
        </w:numPr>
        <w:spacing w:line="240" w:lineRule="atLeast"/>
        <w:ind w:left="718" w:leftChars="342" w:firstLine="240" w:firstLineChars="100"/>
        <w:rPr>
          <w:rFonts w:hint="eastAsia" w:ascii="宋体" w:hAnsi="宋体" w:eastAsia="宋体" w:cs="宋体"/>
          <w:color w:val="auto"/>
          <w:sz w:val="24"/>
        </w:rPr>
      </w:pPr>
      <w:r>
        <w:rPr>
          <w:rFonts w:hint="eastAsia" w:ascii="宋体" w:hAnsi="宋体" w:eastAsia="宋体" w:cs="宋体"/>
          <w:color w:val="auto"/>
          <w:sz w:val="24"/>
        </w:rPr>
        <w:t>政府采购合同格式</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5.2</w:t>
      </w:r>
      <w:r>
        <w:rPr>
          <w:rFonts w:hint="eastAsia" w:ascii="宋体" w:hAnsi="宋体" w:eastAsia="宋体" w:cs="宋体"/>
          <w:color w:val="auto"/>
          <w:sz w:val="24"/>
        </w:rPr>
        <w:tab/>
      </w:r>
      <w:r>
        <w:rPr>
          <w:rFonts w:hint="eastAsia" w:ascii="宋体" w:hAnsi="宋体" w:eastAsia="宋体" w:cs="宋体"/>
          <w:color w:val="auto"/>
          <w:sz w:val="24"/>
        </w:rPr>
        <w:t>如本文件的前后内容不一致，以最后描述为准。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5"/>
        <w:spacing w:before="0" w:after="0" w:line="240" w:lineRule="atLeast"/>
        <w:rPr>
          <w:rFonts w:hint="eastAsia" w:ascii="宋体" w:hAnsi="宋体" w:eastAsia="宋体" w:cs="宋体"/>
          <w:color w:val="auto"/>
          <w:szCs w:val="24"/>
          <w:u w:val="none"/>
        </w:rPr>
      </w:pPr>
      <w:bookmarkStart w:id="39" w:name="_Toc515904805"/>
      <w:bookmarkStart w:id="40" w:name="_Toc520356148"/>
      <w:bookmarkStart w:id="41" w:name="_Toc4276"/>
      <w:bookmarkStart w:id="42" w:name="_Toc9232"/>
      <w:bookmarkStart w:id="43" w:name="_Toc26044"/>
      <w:bookmarkStart w:id="44" w:name="_Toc7531"/>
      <w:r>
        <w:rPr>
          <w:rFonts w:hint="eastAsia" w:ascii="宋体" w:hAnsi="宋体" w:eastAsia="宋体" w:cs="宋体"/>
          <w:color w:val="auto"/>
          <w:szCs w:val="24"/>
          <w:u w:val="none"/>
        </w:rPr>
        <w:t>6.磋商文件的澄清</w:t>
      </w:r>
      <w:bookmarkEnd w:id="39"/>
      <w:bookmarkEnd w:id="40"/>
      <w:r>
        <w:rPr>
          <w:rFonts w:hint="eastAsia" w:ascii="宋体" w:hAnsi="宋体" w:eastAsia="宋体" w:cs="宋体"/>
          <w:color w:val="auto"/>
          <w:szCs w:val="24"/>
          <w:u w:val="none"/>
        </w:rPr>
        <w:t>与修改</w:t>
      </w:r>
      <w:bookmarkEnd w:id="41"/>
      <w:bookmarkEnd w:id="42"/>
      <w:bookmarkEnd w:id="43"/>
      <w:bookmarkEnd w:id="44"/>
    </w:p>
    <w:p>
      <w:pPr>
        <w:pStyle w:val="3"/>
        <w:ind w:left="840" w:hanging="840" w:hangingChars="350"/>
        <w:rPr>
          <w:rFonts w:hint="eastAsia" w:ascii="宋体" w:hAnsi="宋体" w:eastAsia="宋体" w:cs="宋体"/>
          <w:color w:val="auto"/>
          <w:szCs w:val="24"/>
        </w:rPr>
      </w:pPr>
      <w:r>
        <w:rPr>
          <w:rFonts w:hint="eastAsia" w:ascii="宋体" w:hAnsi="宋体" w:eastAsia="宋体" w:cs="宋体"/>
          <w:color w:val="auto"/>
          <w:szCs w:val="24"/>
        </w:rPr>
        <w:t>6.1    为了保证对</w:t>
      </w:r>
      <w:r>
        <w:rPr>
          <w:rFonts w:hint="eastAsia" w:ascii="宋体" w:hAnsi="宋体" w:eastAsia="宋体" w:cs="宋体"/>
          <w:color w:val="auto"/>
          <w:szCs w:val="24"/>
          <w:lang w:eastAsia="zh-CN"/>
        </w:rPr>
        <w:t>磋商文件</w:t>
      </w:r>
      <w:r>
        <w:rPr>
          <w:rFonts w:hint="eastAsia" w:ascii="宋体" w:hAnsi="宋体" w:eastAsia="宋体" w:cs="宋体"/>
          <w:color w:val="auto"/>
          <w:szCs w:val="24"/>
        </w:rPr>
        <w:t>的澄清和修改满足法律的时限要求，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w:t>
      </w:r>
      <w:r>
        <w:rPr>
          <w:rFonts w:hint="eastAsia" w:ascii="宋体" w:hAnsi="宋体" w:eastAsia="宋体" w:cs="宋体"/>
          <w:color w:val="auto"/>
          <w:szCs w:val="24"/>
          <w:lang w:eastAsia="zh-CN"/>
        </w:rPr>
        <w:t>个工作</w:t>
      </w:r>
      <w:r>
        <w:rPr>
          <w:rFonts w:hint="eastAsia" w:ascii="宋体" w:hAnsi="宋体" w:eastAsia="宋体" w:cs="宋体"/>
          <w:color w:val="auto"/>
          <w:szCs w:val="24"/>
        </w:rPr>
        <w:t>日的，采购人、采购代理机构应当顺延提交首次响应文件截止时间。</w:t>
      </w:r>
    </w:p>
    <w:p>
      <w:pPr>
        <w:pStyle w:val="3"/>
        <w:ind w:left="840" w:hanging="840" w:hangingChars="350"/>
        <w:rPr>
          <w:rFonts w:hint="eastAsia" w:ascii="宋体" w:hAnsi="宋体" w:eastAsia="宋体" w:cs="宋体"/>
          <w:color w:val="auto"/>
          <w:szCs w:val="24"/>
        </w:rPr>
      </w:pPr>
      <w:bookmarkStart w:id="45" w:name="_Ref467378678"/>
      <w:bookmarkStart w:id="46" w:name="_Toc520356149"/>
      <w:bookmarkStart w:id="47" w:name="_Toc515904806"/>
      <w:r>
        <w:rPr>
          <w:rFonts w:hint="eastAsia" w:ascii="宋体" w:hAnsi="宋体" w:eastAsia="宋体" w:cs="宋体"/>
          <w:color w:val="auto"/>
          <w:szCs w:val="24"/>
        </w:rPr>
        <w:t>6.2</w:t>
      </w:r>
      <w:r>
        <w:rPr>
          <w:rFonts w:hint="eastAsia" w:ascii="宋体" w:hAnsi="宋体" w:eastAsia="宋体" w:cs="宋体"/>
          <w:color w:val="auto"/>
          <w:szCs w:val="24"/>
        </w:rPr>
        <w:tab/>
      </w:r>
      <w:r>
        <w:rPr>
          <w:rFonts w:hint="eastAsia" w:ascii="宋体" w:hAnsi="宋体" w:eastAsia="宋体" w:cs="宋体"/>
          <w:color w:val="auto"/>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3"/>
        <w:ind w:left="840" w:hanging="840" w:hangingChars="350"/>
        <w:rPr>
          <w:rFonts w:hint="eastAsia" w:ascii="宋体" w:hAnsi="宋体" w:eastAsia="宋体" w:cs="宋体"/>
          <w:color w:val="auto"/>
          <w:szCs w:val="24"/>
        </w:rPr>
      </w:pPr>
      <w:r>
        <w:rPr>
          <w:rFonts w:hint="eastAsia" w:ascii="宋体" w:hAnsi="宋体" w:eastAsia="宋体" w:cs="宋体"/>
          <w:color w:val="auto"/>
          <w:szCs w:val="24"/>
        </w:rPr>
        <w:t>6.3</w:t>
      </w:r>
      <w:r>
        <w:rPr>
          <w:rFonts w:hint="eastAsia" w:ascii="宋体" w:hAnsi="宋体" w:eastAsia="宋体" w:cs="宋体"/>
          <w:color w:val="auto"/>
          <w:szCs w:val="24"/>
        </w:rPr>
        <w:tab/>
      </w:r>
      <w:r>
        <w:rPr>
          <w:rFonts w:hint="eastAsia" w:ascii="宋体" w:hAnsi="宋体" w:eastAsia="宋体" w:cs="宋体"/>
          <w:color w:val="auto"/>
          <w:szCs w:val="24"/>
        </w:rPr>
        <w:t>澄清或者修改的内容可能影响</w:t>
      </w:r>
      <w:r>
        <w:rPr>
          <w:rFonts w:hint="eastAsia" w:ascii="宋体" w:hAnsi="宋体" w:eastAsia="宋体" w:cs="宋体"/>
          <w:color w:val="auto"/>
          <w:szCs w:val="24"/>
          <w:lang w:eastAsia="zh-CN"/>
        </w:rPr>
        <w:t>响应</w:t>
      </w:r>
      <w:r>
        <w:rPr>
          <w:rFonts w:hint="eastAsia" w:ascii="宋体" w:hAnsi="宋体" w:eastAsia="宋体" w:cs="宋体"/>
          <w:color w:val="auto"/>
          <w:szCs w:val="24"/>
        </w:rPr>
        <w:t>文件编制的，采购代理机构将以书面形式通知所有购买磋商文件的潜在供应商，并对其具有约束力。供应商在收到上述通知后，应及时向采购代理机构回函确认。</w:t>
      </w:r>
    </w:p>
    <w:p>
      <w:pPr>
        <w:pStyle w:val="5"/>
        <w:tabs>
          <w:tab w:val="left" w:pos="900"/>
        </w:tabs>
        <w:spacing w:before="0" w:after="0" w:line="240" w:lineRule="atLeast"/>
        <w:rPr>
          <w:rFonts w:hint="eastAsia" w:ascii="宋体" w:hAnsi="宋体" w:eastAsia="宋体" w:cs="宋体"/>
          <w:color w:val="auto"/>
          <w:szCs w:val="24"/>
          <w:u w:val="none"/>
        </w:rPr>
      </w:pPr>
      <w:bookmarkStart w:id="48" w:name="_Toc10128"/>
      <w:bookmarkStart w:id="49" w:name="_Toc24392"/>
      <w:bookmarkStart w:id="50" w:name="_Toc25635"/>
      <w:bookmarkStart w:id="51" w:name="_Toc14569"/>
      <w:r>
        <w:rPr>
          <w:rFonts w:hint="eastAsia" w:ascii="宋体" w:hAnsi="宋体" w:eastAsia="宋体" w:cs="宋体"/>
          <w:color w:val="auto"/>
          <w:szCs w:val="24"/>
          <w:u w:val="none"/>
        </w:rPr>
        <w:t>7</w:t>
      </w:r>
      <w:bookmarkEnd w:id="45"/>
      <w:bookmarkEnd w:id="46"/>
      <w:bookmarkEnd w:id="47"/>
      <w:r>
        <w:rPr>
          <w:rFonts w:hint="eastAsia" w:ascii="宋体" w:hAnsi="宋体" w:eastAsia="宋体" w:cs="宋体"/>
          <w:color w:val="auto"/>
          <w:szCs w:val="24"/>
          <w:u w:val="none"/>
        </w:rPr>
        <w:t>.磋商截止时间的顺延</w:t>
      </w:r>
      <w:bookmarkEnd w:id="48"/>
      <w:bookmarkEnd w:id="49"/>
      <w:bookmarkEnd w:id="50"/>
      <w:bookmarkEnd w:id="5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为使供应商准备磋商时有足够的时间对磋商文件的澄清或者修改部分进行研究，采购人将依法决定是否顺延磋商截止时间。</w:t>
      </w:r>
    </w:p>
    <w:p>
      <w:pPr>
        <w:pStyle w:val="2"/>
        <w:tabs>
          <w:tab w:val="left" w:pos="900"/>
        </w:tabs>
        <w:spacing w:before="0" w:line="240" w:lineRule="atLeast"/>
        <w:ind w:left="1079" w:leftChars="257" w:hanging="540"/>
        <w:rPr>
          <w:rFonts w:hint="eastAsia" w:ascii="宋体" w:hAnsi="宋体" w:eastAsia="宋体" w:cs="宋体"/>
          <w:color w:val="auto"/>
          <w:sz w:val="28"/>
          <w:szCs w:val="18"/>
        </w:rPr>
      </w:pPr>
      <w:bookmarkStart w:id="52" w:name="_Toc516367020"/>
      <w:bookmarkStart w:id="53" w:name="_Toc25043"/>
      <w:bookmarkStart w:id="54" w:name="_Toc515647766"/>
      <w:bookmarkStart w:id="55" w:name="_Toc520356150"/>
      <w:bookmarkStart w:id="56" w:name="_Toc18070"/>
      <w:bookmarkStart w:id="57" w:name="_Toc216582807"/>
      <w:bookmarkStart w:id="58" w:name="_Toc17440"/>
      <w:bookmarkStart w:id="59" w:name="_Toc30808"/>
      <w:bookmarkStart w:id="60" w:name="_Toc7636"/>
      <w:r>
        <w:rPr>
          <w:rFonts w:hint="eastAsia" w:ascii="宋体" w:hAnsi="宋体" w:eastAsia="宋体" w:cs="宋体"/>
          <w:color w:val="auto"/>
          <w:sz w:val="24"/>
          <w:szCs w:val="18"/>
        </w:rPr>
        <w:t xml:space="preserve">三   </w:t>
      </w:r>
      <w:bookmarkEnd w:id="52"/>
      <w:r>
        <w:rPr>
          <w:rFonts w:hint="eastAsia" w:ascii="宋体" w:hAnsi="宋体" w:eastAsia="宋体" w:cs="宋体"/>
          <w:color w:val="auto"/>
          <w:sz w:val="24"/>
          <w:szCs w:val="18"/>
          <w:lang w:eastAsia="zh-CN"/>
        </w:rPr>
        <w:t>响应</w:t>
      </w:r>
      <w:r>
        <w:rPr>
          <w:rFonts w:hint="eastAsia" w:ascii="宋体" w:hAnsi="宋体" w:eastAsia="宋体" w:cs="宋体"/>
          <w:color w:val="auto"/>
          <w:sz w:val="24"/>
          <w:szCs w:val="18"/>
        </w:rPr>
        <w:t>文件的编制</w:t>
      </w:r>
      <w:bookmarkEnd w:id="53"/>
      <w:bookmarkEnd w:id="54"/>
      <w:bookmarkEnd w:id="55"/>
      <w:bookmarkEnd w:id="56"/>
      <w:bookmarkEnd w:id="57"/>
      <w:bookmarkEnd w:id="58"/>
      <w:bookmarkEnd w:id="59"/>
      <w:bookmarkEnd w:id="60"/>
    </w:p>
    <w:p>
      <w:pPr>
        <w:pStyle w:val="5"/>
        <w:tabs>
          <w:tab w:val="left" w:pos="900"/>
        </w:tabs>
        <w:spacing w:before="0" w:after="0" w:line="240" w:lineRule="atLeast"/>
        <w:rPr>
          <w:rFonts w:hint="eastAsia" w:ascii="宋体" w:hAnsi="宋体" w:eastAsia="宋体" w:cs="宋体"/>
          <w:color w:val="auto"/>
          <w:u w:val="none"/>
        </w:rPr>
      </w:pPr>
      <w:bookmarkStart w:id="61" w:name="_Toc515647767"/>
      <w:bookmarkStart w:id="62" w:name="_Toc26183"/>
      <w:bookmarkStart w:id="63" w:name="_Toc3553"/>
      <w:bookmarkStart w:id="64" w:name="_Toc21065"/>
      <w:bookmarkStart w:id="65" w:name="_Toc516367021"/>
      <w:bookmarkStart w:id="66" w:name="_Toc7786"/>
      <w:bookmarkStart w:id="67" w:name="_Toc15016"/>
      <w:bookmarkStart w:id="68" w:name="_Toc520356151"/>
      <w:r>
        <w:rPr>
          <w:rFonts w:hint="eastAsia" w:ascii="宋体" w:hAnsi="宋体" w:eastAsia="宋体" w:cs="宋体"/>
          <w:color w:val="auto"/>
          <w:u w:val="none"/>
        </w:rPr>
        <w:t>8.</w:t>
      </w:r>
      <w:r>
        <w:rPr>
          <w:rFonts w:hint="eastAsia" w:ascii="宋体" w:hAnsi="宋体" w:eastAsia="宋体" w:cs="宋体"/>
          <w:color w:val="auto"/>
          <w:u w:val="none"/>
        </w:rPr>
        <w:tab/>
      </w:r>
      <w:r>
        <w:rPr>
          <w:rFonts w:hint="eastAsia" w:ascii="宋体" w:hAnsi="宋体" w:eastAsia="宋体" w:cs="宋体"/>
          <w:color w:val="auto"/>
          <w:u w:val="none"/>
        </w:rPr>
        <w:t>磋商范围及响应文件成交准和计量单位的使用</w:t>
      </w:r>
      <w:bookmarkEnd w:id="61"/>
      <w:bookmarkEnd w:id="62"/>
      <w:bookmarkEnd w:id="63"/>
      <w:bookmarkEnd w:id="64"/>
      <w:bookmarkEnd w:id="65"/>
      <w:bookmarkEnd w:id="66"/>
      <w:bookmarkEnd w:id="67"/>
      <w:bookmarkEnd w:id="68"/>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8.1</w:t>
      </w:r>
      <w:r>
        <w:rPr>
          <w:rFonts w:hint="eastAsia" w:ascii="宋体" w:hAnsi="宋体" w:eastAsia="宋体" w:cs="宋体"/>
          <w:color w:val="auto"/>
          <w:sz w:val="24"/>
        </w:rPr>
        <w:tab/>
      </w:r>
      <w:r>
        <w:rPr>
          <w:rFonts w:hint="eastAsia" w:ascii="宋体" w:hAnsi="宋体" w:eastAsia="宋体" w:cs="宋体"/>
          <w:color w:val="auto"/>
          <w:sz w:val="24"/>
        </w:rPr>
        <w:t>项目有分包的，供应商可对磋商文件其中某一个或几个分包</w:t>
      </w:r>
      <w:r>
        <w:rPr>
          <w:rFonts w:hint="eastAsia" w:ascii="宋体" w:hAnsi="宋体" w:eastAsia="宋体" w:cs="宋体"/>
          <w:color w:val="auto"/>
          <w:sz w:val="24"/>
          <w:lang w:val="en-US" w:eastAsia="zh-CN"/>
        </w:rPr>
        <w:t>服务内容</w:t>
      </w:r>
      <w:r>
        <w:rPr>
          <w:rFonts w:hint="eastAsia" w:ascii="宋体" w:hAnsi="宋体" w:eastAsia="宋体" w:cs="宋体"/>
          <w:color w:val="auto"/>
          <w:sz w:val="24"/>
        </w:rPr>
        <w:t>进行磋商，除非在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中另有规定。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8.2     供应商应当对所投分包磋商文件中“</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需求”所列的所有内容进行磋商，如仅响应某一包中的部分内容，其该包磋商将被认定为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8.3     无论磋商文件第5章</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需求一览表及技术规格中是否要求，供应商所投</w:t>
      </w:r>
      <w:r>
        <w:rPr>
          <w:rFonts w:hint="eastAsia" w:ascii="宋体" w:hAnsi="宋体" w:eastAsia="宋体" w:cs="宋体"/>
          <w:color w:val="auto"/>
          <w:sz w:val="24"/>
          <w:lang w:val="en-US" w:eastAsia="zh-CN"/>
        </w:rPr>
        <w:t>服务要求</w:t>
      </w:r>
      <w:r>
        <w:rPr>
          <w:rFonts w:hint="eastAsia" w:ascii="宋体" w:hAnsi="宋体" w:eastAsia="宋体" w:cs="宋体"/>
          <w:color w:val="auto"/>
          <w:sz w:val="24"/>
        </w:rPr>
        <w:t>均应符合国家强制性标准。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8.4     除磋商文件中有特殊要求外，响应文件中所使用的计量单位，应采用中华人民共和国法定计量单位。</w:t>
      </w:r>
    </w:p>
    <w:p>
      <w:pPr>
        <w:pStyle w:val="5"/>
        <w:tabs>
          <w:tab w:val="left" w:pos="900"/>
        </w:tabs>
        <w:spacing w:before="0" w:after="0" w:line="240" w:lineRule="atLeast"/>
        <w:rPr>
          <w:rFonts w:hint="eastAsia" w:ascii="宋体" w:hAnsi="宋体" w:eastAsia="宋体" w:cs="宋体"/>
          <w:color w:val="auto"/>
          <w:u w:val="none"/>
        </w:rPr>
      </w:pPr>
      <w:bookmarkStart w:id="69" w:name="_Ref467306195"/>
      <w:bookmarkStart w:id="70" w:name="_Toc516367022"/>
      <w:bookmarkStart w:id="71" w:name="_Ref467306676"/>
      <w:bookmarkStart w:id="72" w:name="_Toc28670"/>
      <w:bookmarkStart w:id="73" w:name="_Toc28307"/>
      <w:bookmarkStart w:id="74" w:name="_Toc28636"/>
      <w:bookmarkStart w:id="75" w:name="_Toc515647768"/>
      <w:bookmarkStart w:id="76" w:name="_Toc10364"/>
      <w:bookmarkStart w:id="77" w:name="_Toc15064"/>
      <w:bookmarkStart w:id="78" w:name="_Toc520356152"/>
      <w:r>
        <w:rPr>
          <w:rFonts w:hint="eastAsia" w:ascii="宋体" w:hAnsi="宋体" w:eastAsia="宋体" w:cs="宋体"/>
          <w:color w:val="auto"/>
          <w:u w:val="none"/>
        </w:rPr>
        <w:t>9.</w:t>
      </w:r>
      <w:bookmarkEnd w:id="69"/>
      <w:bookmarkEnd w:id="70"/>
      <w:bookmarkEnd w:id="71"/>
      <w:r>
        <w:rPr>
          <w:rFonts w:hint="eastAsia" w:ascii="宋体" w:hAnsi="宋体" w:eastAsia="宋体" w:cs="宋体"/>
          <w:color w:val="auto"/>
          <w:u w:val="none"/>
        </w:rPr>
        <w:t>响应文件构成</w:t>
      </w:r>
      <w:bookmarkEnd w:id="72"/>
      <w:bookmarkEnd w:id="73"/>
      <w:bookmarkEnd w:id="74"/>
      <w:bookmarkEnd w:id="75"/>
      <w:bookmarkEnd w:id="76"/>
      <w:bookmarkEnd w:id="77"/>
      <w:bookmarkEnd w:id="78"/>
    </w:p>
    <w:p>
      <w:pPr>
        <w:tabs>
          <w:tab w:val="left" w:pos="900"/>
          <w:tab w:val="left" w:pos="5580"/>
        </w:tabs>
        <w:spacing w:line="240" w:lineRule="atLeast"/>
        <w:ind w:left="960" w:hanging="960" w:hangingChars="400"/>
        <w:jc w:val="left"/>
        <w:rPr>
          <w:rFonts w:hint="eastAsia" w:ascii="宋体" w:hAnsi="宋体" w:eastAsia="宋体" w:cs="宋体"/>
          <w:color w:val="auto"/>
          <w:sz w:val="24"/>
          <w:u w:val="single"/>
        </w:rPr>
      </w:pPr>
      <w:bookmarkStart w:id="79" w:name="_Ref467052588"/>
      <w:r>
        <w:rPr>
          <w:rFonts w:hint="eastAsia" w:ascii="宋体" w:hAnsi="宋体" w:eastAsia="宋体" w:cs="宋体"/>
          <w:color w:val="auto"/>
          <w:sz w:val="24"/>
        </w:rPr>
        <w:t xml:space="preserve">9.1     </w:t>
      </w:r>
      <w:r>
        <w:rPr>
          <w:rFonts w:hint="eastAsia" w:ascii="宋体" w:hAnsi="宋体" w:eastAsia="宋体" w:cs="宋体"/>
          <w:color w:val="auto"/>
          <w:sz w:val="24"/>
          <w:u w:val="single"/>
        </w:rPr>
        <w:t>供应商应完整地按磋商文件提供的响应文件格式及要求</w:t>
      </w:r>
      <w:r>
        <w:rPr>
          <w:rFonts w:hint="eastAsia" w:ascii="宋体" w:hAnsi="宋体" w:eastAsia="宋体" w:cs="宋体"/>
          <w:color w:val="auto"/>
          <w:sz w:val="24"/>
          <w:u w:val="single"/>
          <w:lang w:eastAsia="zh-Hans"/>
        </w:rPr>
        <w:t>编写</w:t>
      </w:r>
      <w:r>
        <w:rPr>
          <w:rFonts w:hint="eastAsia" w:ascii="宋体" w:hAnsi="宋体" w:eastAsia="宋体" w:cs="宋体"/>
          <w:color w:val="auto"/>
          <w:sz w:val="24"/>
          <w:u w:val="single"/>
        </w:rPr>
        <w:t>响应文件，响应文件应包括“开标一览表及资格证明文件”和“商务及技术文件”两部分。两部分合订成一册，密封递交。供应商应承担封装失误产生的任何后果。</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9.2    上述文件应按照磋商文件规定的格式填写、签署和盖章。</w:t>
      </w:r>
      <w:bookmarkEnd w:id="79"/>
    </w:p>
    <w:p>
      <w:pPr>
        <w:pStyle w:val="5"/>
        <w:tabs>
          <w:tab w:val="left" w:pos="900"/>
        </w:tabs>
        <w:spacing w:before="0" w:after="0" w:line="240" w:lineRule="atLeast"/>
        <w:rPr>
          <w:rFonts w:hint="eastAsia" w:ascii="宋体" w:hAnsi="宋体" w:eastAsia="宋体" w:cs="宋体"/>
          <w:color w:val="auto"/>
          <w:u w:val="none"/>
        </w:rPr>
      </w:pPr>
      <w:bookmarkStart w:id="80" w:name="_Toc10379"/>
      <w:bookmarkStart w:id="81" w:name="_Toc5860"/>
      <w:bookmarkStart w:id="82" w:name="_Toc520356153"/>
      <w:bookmarkStart w:id="83" w:name="_Toc30107"/>
      <w:bookmarkStart w:id="84" w:name="_Toc516367023"/>
      <w:bookmarkStart w:id="85" w:name="_Toc4601"/>
      <w:bookmarkStart w:id="86" w:name="_Toc515647769"/>
      <w:bookmarkStart w:id="87" w:name="_Toc7355"/>
      <w:r>
        <w:rPr>
          <w:rFonts w:hint="eastAsia" w:ascii="宋体" w:hAnsi="宋体" w:eastAsia="宋体" w:cs="宋体"/>
          <w:color w:val="auto"/>
          <w:u w:val="none"/>
        </w:rPr>
        <w:t>10.</w:t>
      </w:r>
      <w:r>
        <w:rPr>
          <w:rFonts w:hint="eastAsia" w:ascii="宋体" w:hAnsi="宋体" w:eastAsia="宋体" w:cs="宋体"/>
          <w:color w:val="auto"/>
          <w:u w:val="none"/>
        </w:rPr>
        <w:tab/>
      </w:r>
      <w:r>
        <w:rPr>
          <w:rFonts w:hint="eastAsia" w:ascii="宋体" w:hAnsi="宋体" w:eastAsia="宋体" w:cs="宋体"/>
          <w:color w:val="auto"/>
          <w:u w:val="none"/>
        </w:rPr>
        <w:t>证明磋商标的的合格性和符合磋商文件规定的技术文件</w:t>
      </w:r>
      <w:bookmarkEnd w:id="80"/>
      <w:bookmarkEnd w:id="81"/>
      <w:bookmarkEnd w:id="82"/>
      <w:bookmarkEnd w:id="83"/>
      <w:bookmarkEnd w:id="84"/>
      <w:bookmarkEnd w:id="85"/>
      <w:bookmarkEnd w:id="86"/>
      <w:bookmarkEnd w:id="87"/>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10.1</w:t>
      </w:r>
      <w:r>
        <w:rPr>
          <w:rFonts w:hint="eastAsia" w:ascii="宋体" w:hAnsi="宋体" w:eastAsia="宋体" w:cs="宋体"/>
          <w:color w:val="auto"/>
          <w:sz w:val="24"/>
        </w:rPr>
        <w:tab/>
      </w:r>
      <w:r>
        <w:rPr>
          <w:rFonts w:hint="eastAsia" w:ascii="宋体" w:hAnsi="宋体" w:eastAsia="宋体" w:cs="宋体"/>
          <w:color w:val="auto"/>
          <w:sz w:val="24"/>
        </w:rPr>
        <w:t>供应商应提交证明文件，证明其磋商内容符合磋商文件规定。该证明文件是响应文件的一部分。</w:t>
      </w:r>
    </w:p>
    <w:p>
      <w:pPr>
        <w:spacing w:line="240" w:lineRule="atLeast"/>
        <w:ind w:left="900" w:hanging="900" w:hangingChars="375"/>
        <w:rPr>
          <w:rFonts w:hint="eastAsia" w:ascii="宋体" w:hAnsi="宋体" w:eastAsia="宋体" w:cs="宋体"/>
          <w:color w:val="auto"/>
          <w:sz w:val="24"/>
        </w:rPr>
      </w:pPr>
      <w:bookmarkStart w:id="88" w:name="_Ref467306244"/>
      <w:r>
        <w:rPr>
          <w:rFonts w:hint="eastAsia" w:ascii="宋体" w:hAnsi="宋体" w:eastAsia="宋体" w:cs="宋体"/>
          <w:color w:val="auto"/>
          <w:sz w:val="24"/>
        </w:rPr>
        <w:t>10.2</w:t>
      </w:r>
      <w:r>
        <w:rPr>
          <w:rFonts w:hint="eastAsia" w:ascii="宋体" w:hAnsi="宋体" w:eastAsia="宋体" w:cs="宋体"/>
          <w:color w:val="auto"/>
          <w:sz w:val="24"/>
        </w:rPr>
        <w:tab/>
      </w:r>
      <w:r>
        <w:rPr>
          <w:rFonts w:hint="eastAsia" w:ascii="宋体" w:hAnsi="宋体" w:eastAsia="宋体" w:cs="宋体"/>
          <w:color w:val="auto"/>
          <w:sz w:val="24"/>
        </w:rPr>
        <w:t>上款所述的证明文件，可以是文字资料、图纸和数据，</w:t>
      </w:r>
      <w:bookmarkEnd w:id="88"/>
      <w:r>
        <w:rPr>
          <w:rFonts w:hint="eastAsia" w:ascii="宋体" w:hAnsi="宋体" w:eastAsia="宋体" w:cs="宋体"/>
          <w:color w:val="auto"/>
          <w:sz w:val="24"/>
        </w:rPr>
        <w:t>它包括：</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10.2.1</w:t>
      </w:r>
      <w:r>
        <w:rPr>
          <w:rFonts w:hint="eastAsia" w:ascii="宋体" w:hAnsi="宋体" w:eastAsia="宋体" w:cs="宋体"/>
          <w:color w:val="auto"/>
          <w:sz w:val="24"/>
        </w:rPr>
        <w:tab/>
      </w:r>
      <w:r>
        <w:rPr>
          <w:rFonts w:hint="eastAsia" w:ascii="宋体" w:hAnsi="宋体" w:eastAsia="宋体" w:cs="宋体"/>
          <w:color w:val="auto"/>
          <w:sz w:val="24"/>
          <w:lang w:val="en-US" w:eastAsia="zh-CN"/>
        </w:rPr>
        <w:t>服务需求</w:t>
      </w:r>
      <w:r>
        <w:rPr>
          <w:rFonts w:hint="eastAsia" w:ascii="宋体" w:hAnsi="宋体" w:eastAsia="宋体" w:cs="宋体"/>
          <w:color w:val="auto"/>
          <w:sz w:val="24"/>
        </w:rPr>
        <w:t>的详细说明；</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10.2.2</w:t>
      </w:r>
      <w:r>
        <w:rPr>
          <w:rFonts w:hint="eastAsia" w:ascii="宋体" w:hAnsi="宋体" w:eastAsia="宋体" w:cs="宋体"/>
          <w:color w:val="auto"/>
          <w:sz w:val="24"/>
        </w:rPr>
        <w:tab/>
      </w:r>
      <w:r>
        <w:rPr>
          <w:rFonts w:hint="eastAsia" w:ascii="宋体" w:hAnsi="宋体" w:eastAsia="宋体" w:cs="宋体"/>
          <w:color w:val="auto"/>
          <w:sz w:val="24"/>
          <w:lang w:val="en-US" w:eastAsia="zh-CN"/>
        </w:rPr>
        <w:t>服务</w:t>
      </w:r>
      <w:r>
        <w:rPr>
          <w:rFonts w:hint="eastAsia" w:ascii="宋体" w:hAnsi="宋体" w:eastAsia="宋体" w:cs="宋体"/>
          <w:color w:val="auto"/>
          <w:sz w:val="24"/>
        </w:rPr>
        <w:t>从买方开始使用至磋商文件规定的保质期内正常、连续地使用所必须的备件和专用工具清单，包括备件和专用工具的现行价格；</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10.2.3</w:t>
      </w:r>
      <w:r>
        <w:rPr>
          <w:rFonts w:hint="eastAsia" w:ascii="宋体" w:hAnsi="宋体" w:eastAsia="宋体" w:cs="宋体"/>
          <w:color w:val="auto"/>
          <w:sz w:val="24"/>
        </w:rPr>
        <w:tab/>
      </w:r>
      <w:r>
        <w:rPr>
          <w:rFonts w:hint="eastAsia" w:ascii="宋体" w:hAnsi="宋体" w:eastAsia="宋体" w:cs="宋体"/>
          <w:color w:val="auto"/>
          <w:sz w:val="24"/>
        </w:rPr>
        <w:t>对照磋商文件</w:t>
      </w:r>
      <w:r>
        <w:rPr>
          <w:rFonts w:hint="eastAsia" w:ascii="宋体" w:hAnsi="宋体" w:eastAsia="宋体" w:cs="宋体"/>
          <w:color w:val="auto"/>
          <w:sz w:val="24"/>
          <w:lang w:val="en-US" w:eastAsia="zh-CN"/>
        </w:rPr>
        <w:t>服务需求</w:t>
      </w:r>
      <w:r>
        <w:rPr>
          <w:rFonts w:hint="eastAsia" w:ascii="宋体" w:hAnsi="宋体" w:eastAsia="宋体" w:cs="宋体"/>
          <w:color w:val="auto"/>
          <w:sz w:val="24"/>
        </w:rPr>
        <w:t>，逐条说明所提供工程和</w:t>
      </w:r>
      <w:r>
        <w:rPr>
          <w:rFonts w:hint="eastAsia" w:ascii="宋体" w:hAnsi="宋体" w:eastAsia="宋体" w:cs="宋体"/>
          <w:color w:val="auto"/>
          <w:sz w:val="24"/>
          <w:lang w:val="en-US" w:eastAsia="zh-CN"/>
        </w:rPr>
        <w:t>服务</w:t>
      </w:r>
      <w:r>
        <w:rPr>
          <w:rFonts w:hint="eastAsia" w:ascii="宋体" w:hAnsi="宋体" w:eastAsia="宋体" w:cs="宋体"/>
          <w:color w:val="auto"/>
          <w:sz w:val="24"/>
        </w:rPr>
        <w:t>已对磋商文件的技术规格做出了实质性的响应，或申明与</w:t>
      </w:r>
      <w:r>
        <w:rPr>
          <w:rFonts w:hint="eastAsia" w:ascii="宋体" w:hAnsi="宋体" w:eastAsia="宋体" w:cs="宋体"/>
          <w:color w:val="auto"/>
          <w:sz w:val="24"/>
          <w:lang w:val="en-US" w:eastAsia="zh-CN"/>
        </w:rPr>
        <w:t>服务需求</w:t>
      </w:r>
      <w:r>
        <w:rPr>
          <w:rFonts w:hint="eastAsia" w:ascii="宋体" w:hAnsi="宋体" w:eastAsia="宋体" w:cs="宋体"/>
          <w:color w:val="auto"/>
          <w:sz w:val="24"/>
        </w:rPr>
        <w:t>条文的偏差和例外。</w:t>
      </w:r>
    </w:p>
    <w:p>
      <w:pPr>
        <w:spacing w:line="240" w:lineRule="atLeast"/>
        <w:ind w:left="900" w:hanging="900" w:hangingChars="375"/>
        <w:rPr>
          <w:rFonts w:hint="eastAsia" w:ascii="宋体" w:hAnsi="宋体" w:eastAsia="宋体" w:cs="宋体"/>
          <w:b w:val="0"/>
          <w:bCs w:val="0"/>
          <w:color w:val="auto"/>
          <w:sz w:val="24"/>
        </w:rPr>
      </w:pPr>
      <w:r>
        <w:rPr>
          <w:rFonts w:hint="eastAsia" w:ascii="宋体" w:hAnsi="宋体" w:eastAsia="宋体" w:cs="宋体"/>
          <w:b w:val="0"/>
          <w:bCs w:val="0"/>
          <w:color w:val="auto"/>
          <w:sz w:val="24"/>
        </w:rPr>
        <w:t>10.3</w:t>
      </w:r>
      <w:r>
        <w:rPr>
          <w:rFonts w:hint="eastAsia" w:ascii="宋体" w:hAnsi="宋体" w:eastAsia="宋体" w:cs="宋体"/>
          <w:b w:val="0"/>
          <w:bCs w:val="0"/>
          <w:color w:val="auto"/>
          <w:sz w:val="24"/>
        </w:rPr>
        <w:tab/>
      </w:r>
      <w:r>
        <w:rPr>
          <w:rFonts w:hint="eastAsia" w:ascii="宋体" w:hAnsi="宋体" w:eastAsia="宋体" w:cs="宋体"/>
          <w:b w:val="0"/>
          <w:bCs w:val="0"/>
          <w:color w:val="auto"/>
          <w:sz w:val="24"/>
        </w:rPr>
        <w:t>供应商应注意采购人在</w:t>
      </w:r>
      <w:r>
        <w:rPr>
          <w:rFonts w:hint="eastAsia" w:ascii="宋体" w:hAnsi="宋体" w:eastAsia="宋体" w:cs="宋体"/>
          <w:b w:val="0"/>
          <w:bCs w:val="0"/>
          <w:color w:val="auto"/>
          <w:sz w:val="24"/>
          <w:lang w:val="en-US" w:eastAsia="zh-CN"/>
        </w:rPr>
        <w:t>采购需求中提出的要求</w:t>
      </w:r>
      <w:r>
        <w:rPr>
          <w:rFonts w:hint="eastAsia" w:ascii="宋体" w:hAnsi="宋体" w:eastAsia="宋体" w:cs="宋体"/>
          <w:b w:val="0"/>
          <w:bCs w:val="0"/>
          <w:color w:val="auto"/>
          <w:sz w:val="24"/>
        </w:rPr>
        <w:t>。</w:t>
      </w:r>
    </w:p>
    <w:p>
      <w:pPr>
        <w:pStyle w:val="5"/>
        <w:spacing w:before="0" w:after="0" w:line="240" w:lineRule="atLeast"/>
        <w:rPr>
          <w:rFonts w:hint="eastAsia" w:ascii="宋体" w:hAnsi="宋体" w:eastAsia="宋体" w:cs="宋体"/>
          <w:color w:val="auto"/>
          <w:u w:val="none"/>
        </w:rPr>
      </w:pPr>
      <w:bookmarkStart w:id="89" w:name="_Toc520356155"/>
      <w:bookmarkStart w:id="90" w:name="_Toc19960"/>
      <w:bookmarkStart w:id="91" w:name="_Toc8012"/>
      <w:bookmarkStart w:id="92" w:name="_Toc6864"/>
      <w:bookmarkStart w:id="93" w:name="_Toc515647770"/>
      <w:bookmarkStart w:id="94" w:name="_Toc23231"/>
      <w:bookmarkStart w:id="95" w:name="_Toc2248"/>
      <w:r>
        <w:rPr>
          <w:rFonts w:hint="eastAsia" w:ascii="宋体" w:hAnsi="宋体" w:eastAsia="宋体" w:cs="宋体"/>
          <w:color w:val="auto"/>
          <w:u w:val="none"/>
        </w:rPr>
        <w:t>11.磋商报价</w:t>
      </w:r>
      <w:bookmarkEnd w:id="89"/>
      <w:bookmarkEnd w:id="90"/>
      <w:bookmarkEnd w:id="91"/>
      <w:bookmarkEnd w:id="92"/>
      <w:bookmarkEnd w:id="93"/>
      <w:bookmarkEnd w:id="94"/>
      <w:bookmarkEnd w:id="95"/>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rPr>
        <w:tab/>
      </w:r>
      <w:r>
        <w:rPr>
          <w:rFonts w:hint="eastAsia" w:ascii="宋体" w:hAnsi="宋体" w:eastAsia="宋体" w:cs="宋体"/>
          <w:color w:val="auto"/>
          <w:sz w:val="24"/>
        </w:rPr>
        <w:t>所有磋商均以人民币报价。供应商的磋商报价应遵守《中华人民共和国价格法》。同时，根据《中华人民共和国政府采购法》第二条的规定，为保证公平竞争，如有</w:t>
      </w:r>
      <w:r>
        <w:rPr>
          <w:rFonts w:hint="eastAsia" w:ascii="宋体" w:hAnsi="宋体" w:eastAsia="宋体" w:cs="宋体"/>
          <w:color w:val="auto"/>
          <w:sz w:val="24"/>
          <w:lang w:val="en-US" w:eastAsia="zh-CN"/>
        </w:rPr>
        <w:t>服务</w:t>
      </w:r>
      <w:r>
        <w:rPr>
          <w:rFonts w:hint="eastAsia" w:ascii="宋体" w:hAnsi="宋体" w:eastAsia="宋体" w:cs="宋体"/>
          <w:color w:val="auto"/>
          <w:sz w:val="24"/>
        </w:rPr>
        <w:t>主体部分的赠与行为，其磋商将被认定为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11.2</w:t>
      </w:r>
      <w:r>
        <w:rPr>
          <w:rFonts w:hint="eastAsia" w:ascii="宋体" w:hAnsi="宋体" w:eastAsia="宋体" w:cs="宋体"/>
          <w:color w:val="auto"/>
          <w:sz w:val="24"/>
        </w:rPr>
        <w:tab/>
      </w:r>
      <w:r>
        <w:rPr>
          <w:rFonts w:hint="eastAsia" w:ascii="宋体" w:hAnsi="宋体" w:eastAsia="宋体" w:cs="宋体"/>
          <w:color w:val="auto"/>
          <w:sz w:val="24"/>
        </w:rPr>
        <w:t>供应商应在磋商分项报价表上标明磋商</w:t>
      </w:r>
      <w:r>
        <w:rPr>
          <w:rFonts w:hint="eastAsia" w:ascii="宋体" w:hAnsi="宋体" w:eastAsia="宋体" w:cs="宋体"/>
          <w:color w:val="auto"/>
          <w:sz w:val="24"/>
          <w:lang w:val="en-US" w:eastAsia="zh-CN"/>
        </w:rPr>
        <w:t>服务内容</w:t>
      </w:r>
      <w:r>
        <w:rPr>
          <w:rFonts w:hint="eastAsia" w:ascii="宋体" w:hAnsi="宋体" w:eastAsia="宋体" w:cs="宋体"/>
          <w:color w:val="auto"/>
          <w:sz w:val="24"/>
        </w:rPr>
        <w:t>及相关</w:t>
      </w:r>
      <w:r>
        <w:rPr>
          <w:rFonts w:hint="eastAsia" w:ascii="宋体" w:hAnsi="宋体" w:eastAsia="宋体" w:cs="宋体"/>
          <w:color w:val="auto"/>
          <w:sz w:val="24"/>
          <w:lang w:val="en-US" w:eastAsia="zh-CN"/>
        </w:rPr>
        <w:t>服务</w:t>
      </w:r>
      <w:r>
        <w:rPr>
          <w:rFonts w:hint="eastAsia" w:ascii="宋体" w:hAnsi="宋体" w:eastAsia="宋体" w:cs="宋体"/>
          <w:color w:val="auto"/>
          <w:sz w:val="24"/>
        </w:rPr>
        <w:t>的单价（如适用）和总价，并由法定代表人或其授权代表签署。</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11.3</w:t>
      </w:r>
      <w:r>
        <w:rPr>
          <w:rFonts w:hint="eastAsia" w:ascii="宋体" w:hAnsi="宋体" w:eastAsia="宋体" w:cs="宋体"/>
          <w:color w:val="auto"/>
          <w:sz w:val="24"/>
        </w:rPr>
        <w:tab/>
      </w:r>
      <w:r>
        <w:rPr>
          <w:rFonts w:hint="eastAsia" w:ascii="宋体" w:hAnsi="宋体" w:eastAsia="宋体" w:cs="宋体"/>
          <w:color w:val="auto"/>
          <w:sz w:val="24"/>
        </w:rPr>
        <w:t>磋商分项报价表上的价格应按下列方式填写：</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11.3.1  磋商</w:t>
      </w:r>
      <w:r>
        <w:rPr>
          <w:rFonts w:hint="eastAsia" w:ascii="宋体" w:hAnsi="宋体" w:eastAsia="宋体" w:cs="宋体"/>
          <w:color w:val="auto"/>
          <w:sz w:val="24"/>
          <w:lang w:val="en-US" w:eastAsia="zh-CN"/>
        </w:rPr>
        <w:t>服务的内容</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11.4</w:t>
      </w:r>
      <w:r>
        <w:rPr>
          <w:rFonts w:hint="eastAsia" w:ascii="宋体" w:hAnsi="宋体" w:eastAsia="宋体" w:cs="宋体"/>
          <w:color w:val="auto"/>
          <w:sz w:val="24"/>
        </w:rPr>
        <w:tab/>
      </w:r>
      <w:r>
        <w:rPr>
          <w:rFonts w:hint="eastAsia" w:ascii="宋体" w:hAnsi="宋体" w:eastAsia="宋体" w:cs="宋体"/>
          <w:color w:val="auto"/>
          <w:sz w:val="24"/>
        </w:rPr>
        <w:t>供应商所报的各分项磋商单价在合同履行过程中是固定不变的，不得以任何理由予以变更。任何包含价格调整要求的磋商，其磋商将被认定为</w:t>
      </w:r>
      <w:r>
        <w:rPr>
          <w:rFonts w:hint="eastAsia" w:ascii="宋体" w:hAnsi="宋体" w:eastAsia="宋体" w:cs="宋体"/>
          <w:b/>
          <w:bCs/>
          <w:color w:val="auto"/>
          <w:sz w:val="24"/>
        </w:rPr>
        <w:t>磋商无效。</w:t>
      </w:r>
    </w:p>
    <w:p>
      <w:pPr>
        <w:spacing w:line="240" w:lineRule="atLeast"/>
        <w:ind w:left="900" w:hanging="900" w:hangingChars="375"/>
        <w:rPr>
          <w:rFonts w:hint="eastAsia" w:ascii="宋体" w:hAnsi="宋体" w:eastAsia="宋体" w:cs="宋体"/>
          <w:b/>
          <w:bCs/>
          <w:color w:val="auto"/>
          <w:sz w:val="24"/>
          <w:lang w:eastAsia="zh-CN"/>
        </w:rPr>
      </w:pPr>
      <w:r>
        <w:rPr>
          <w:rFonts w:hint="eastAsia" w:ascii="宋体" w:hAnsi="宋体" w:eastAsia="宋体" w:cs="宋体"/>
          <w:color w:val="auto"/>
          <w:sz w:val="24"/>
        </w:rPr>
        <w:t>11.5</w:t>
      </w:r>
      <w:r>
        <w:rPr>
          <w:rFonts w:hint="eastAsia" w:ascii="宋体" w:hAnsi="宋体" w:eastAsia="宋体" w:cs="宋体"/>
          <w:color w:val="auto"/>
          <w:sz w:val="24"/>
        </w:rPr>
        <w:tab/>
      </w:r>
      <w:r>
        <w:rPr>
          <w:rFonts w:hint="eastAsia" w:ascii="宋体" w:hAnsi="宋体" w:eastAsia="宋体" w:cs="宋体"/>
          <w:b/>
          <w:bCs/>
          <w:color w:val="auto"/>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宋体" w:hAnsi="宋体" w:eastAsia="宋体" w:cs="宋体"/>
          <w:b/>
          <w:bCs/>
          <w:color w:val="auto"/>
          <w:sz w:val="24"/>
          <w:u w:val="single"/>
          <w:lang w:eastAsia="zh-CN"/>
        </w:rPr>
        <w:t>。</w:t>
      </w:r>
    </w:p>
    <w:p>
      <w:pPr>
        <w:pStyle w:val="5"/>
        <w:spacing w:before="0" w:after="0" w:line="240" w:lineRule="atLeast"/>
        <w:rPr>
          <w:rFonts w:hint="eastAsia" w:ascii="宋体" w:hAnsi="宋体" w:eastAsia="宋体" w:cs="宋体"/>
          <w:color w:val="auto"/>
          <w:u w:val="none"/>
        </w:rPr>
      </w:pPr>
      <w:bookmarkStart w:id="96" w:name="_Toc17788"/>
      <w:bookmarkStart w:id="97" w:name="_Toc520356156"/>
      <w:bookmarkStart w:id="98" w:name="_Toc11514"/>
      <w:bookmarkStart w:id="99" w:name="_Ref467306513"/>
      <w:bookmarkStart w:id="100" w:name="_Toc12413"/>
      <w:bookmarkStart w:id="101" w:name="_Toc515647771"/>
      <w:bookmarkStart w:id="102" w:name="_Toc5289"/>
      <w:r>
        <w:rPr>
          <w:rFonts w:hint="eastAsia" w:ascii="宋体" w:hAnsi="宋体" w:eastAsia="宋体" w:cs="宋体"/>
          <w:color w:val="auto"/>
          <w:u w:val="none"/>
        </w:rPr>
        <w:t>12.磋商保证金</w:t>
      </w:r>
      <w:bookmarkEnd w:id="96"/>
      <w:bookmarkEnd w:id="97"/>
      <w:bookmarkEnd w:id="98"/>
      <w:bookmarkEnd w:id="99"/>
      <w:bookmarkEnd w:id="100"/>
      <w:bookmarkEnd w:id="101"/>
      <w:bookmarkEnd w:id="102"/>
    </w:p>
    <w:p>
      <w:pPr>
        <w:spacing w:line="240" w:lineRule="atLeast"/>
        <w:ind w:left="900" w:hanging="900" w:hangingChars="375"/>
        <w:rPr>
          <w:rFonts w:hint="eastAsia" w:ascii="宋体" w:hAnsi="宋体" w:eastAsia="宋体" w:cs="宋体"/>
          <w:color w:val="auto"/>
          <w:sz w:val="24"/>
        </w:rPr>
      </w:pPr>
      <w:bookmarkStart w:id="103" w:name="_Ref467306302"/>
      <w:r>
        <w:rPr>
          <w:rFonts w:hint="eastAsia" w:ascii="宋体" w:hAnsi="宋体" w:eastAsia="宋体" w:cs="宋体"/>
          <w:color w:val="auto"/>
          <w:sz w:val="24"/>
        </w:rPr>
        <w:t>12.1</w:t>
      </w:r>
      <w:r>
        <w:rPr>
          <w:rFonts w:hint="eastAsia" w:ascii="宋体" w:hAnsi="宋体" w:eastAsia="宋体" w:cs="宋体"/>
          <w:color w:val="auto"/>
          <w:sz w:val="24"/>
        </w:rPr>
        <w:tab/>
      </w:r>
      <w:r>
        <w:rPr>
          <w:rFonts w:hint="eastAsia" w:ascii="宋体" w:hAnsi="宋体" w:eastAsia="宋体" w:cs="宋体"/>
          <w:color w:val="auto"/>
          <w:sz w:val="24"/>
        </w:rPr>
        <w:t>供应商应提交</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中规定的磋商保证金</w:t>
      </w:r>
      <w:bookmarkEnd w:id="103"/>
      <w:r>
        <w:rPr>
          <w:rFonts w:hint="eastAsia" w:ascii="宋体" w:hAnsi="宋体" w:eastAsia="宋体" w:cs="宋体"/>
          <w:color w:val="auto"/>
          <w:sz w:val="24"/>
        </w:rPr>
        <w:t>，并作为其磋商的一部分。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12.2</w:t>
      </w:r>
      <w:r>
        <w:rPr>
          <w:rFonts w:hint="eastAsia" w:ascii="宋体" w:hAnsi="宋体" w:eastAsia="宋体" w:cs="宋体"/>
          <w:color w:val="auto"/>
          <w:sz w:val="24"/>
        </w:rPr>
        <w:tab/>
      </w:r>
      <w:r>
        <w:rPr>
          <w:rFonts w:hint="eastAsia" w:ascii="宋体" w:hAnsi="宋体" w:eastAsia="宋体" w:cs="宋体"/>
          <w:color w:val="auto"/>
          <w:sz w:val="24"/>
        </w:rPr>
        <w:t>供应商存在下列情形的，磋商保证金不予退还：</w:t>
      </w:r>
    </w:p>
    <w:p>
      <w:pPr>
        <w:pStyle w:val="10"/>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（1）在磋商有效期内，撤销磋商的；</w:t>
      </w:r>
    </w:p>
    <w:p>
      <w:pPr>
        <w:pStyle w:val="10"/>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（2）成交后不按本须知第30条的规定与采购人签订合同的；</w:t>
      </w:r>
    </w:p>
    <w:p>
      <w:pPr>
        <w:pStyle w:val="10"/>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（3）成交后不按本须知第31条的规定提交履约保证金的；</w:t>
      </w:r>
    </w:p>
    <w:p>
      <w:pPr>
        <w:pStyle w:val="10"/>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（4）成交后不按本须知第32条的规定缴纳成交</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费的；</w:t>
      </w:r>
    </w:p>
    <w:p>
      <w:pPr>
        <w:pStyle w:val="10"/>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（5）存在其他违法违规行为的。</w:t>
      </w:r>
    </w:p>
    <w:p>
      <w:pPr>
        <w:spacing w:line="240" w:lineRule="atLeast"/>
        <w:ind w:left="900" w:hanging="900" w:hangingChars="375"/>
        <w:rPr>
          <w:rFonts w:hint="eastAsia" w:ascii="宋体" w:hAnsi="宋体" w:eastAsia="宋体" w:cs="宋体"/>
          <w:color w:val="auto"/>
          <w:sz w:val="24"/>
        </w:rPr>
      </w:pPr>
      <w:bookmarkStart w:id="104" w:name="_Ref467306336"/>
      <w:r>
        <w:rPr>
          <w:rFonts w:hint="eastAsia" w:ascii="宋体" w:hAnsi="宋体" w:eastAsia="宋体" w:cs="宋体"/>
          <w:color w:val="auto"/>
          <w:sz w:val="24"/>
        </w:rPr>
        <w:t>12.3</w:t>
      </w:r>
      <w:r>
        <w:rPr>
          <w:rFonts w:hint="eastAsia" w:ascii="宋体" w:hAnsi="宋体" w:eastAsia="宋体" w:cs="宋体"/>
          <w:color w:val="auto"/>
          <w:sz w:val="24"/>
        </w:rPr>
        <w:tab/>
      </w:r>
      <w:bookmarkEnd w:id="104"/>
      <w:r>
        <w:rPr>
          <w:rFonts w:hint="eastAsia" w:ascii="宋体" w:hAnsi="宋体" w:eastAsia="宋体" w:cs="宋体"/>
          <w:color w:val="auto"/>
          <w:sz w:val="24"/>
        </w:rPr>
        <w:t>政府采购信用担保试点范围内的项目，接受符合财政部门规定的政府采购磋商担保函原件。</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12.4</w:t>
      </w:r>
      <w:r>
        <w:rPr>
          <w:rFonts w:hint="eastAsia" w:ascii="宋体" w:hAnsi="宋体" w:eastAsia="宋体" w:cs="宋体"/>
          <w:color w:val="auto"/>
          <w:sz w:val="24"/>
        </w:rPr>
        <w:tab/>
      </w:r>
      <w:r>
        <w:rPr>
          <w:rFonts w:hint="eastAsia" w:ascii="宋体" w:hAnsi="宋体" w:eastAsia="宋体" w:cs="宋体"/>
          <w:color w:val="auto"/>
          <w:sz w:val="24"/>
        </w:rPr>
        <w:t>供应商未按本须知第12.1和12.3条规定提交磋商保证金的，其磋商将被认定为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12.4.1  采用电汇形式的，一般可以实时入账。</w:t>
      </w:r>
    </w:p>
    <w:p>
      <w:pPr>
        <w:spacing w:line="240" w:lineRule="atLeast"/>
        <w:ind w:left="960" w:hanging="960" w:hangingChars="400"/>
        <w:jc w:val="left"/>
        <w:rPr>
          <w:rFonts w:hint="eastAsia" w:ascii="宋体" w:hAnsi="宋体" w:eastAsia="宋体" w:cs="宋体"/>
          <w:color w:val="auto"/>
          <w:sz w:val="24"/>
        </w:rPr>
      </w:pPr>
      <w:r>
        <w:rPr>
          <w:rFonts w:hint="eastAsia" w:ascii="宋体" w:hAnsi="宋体" w:eastAsia="宋体" w:cs="宋体"/>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12.5   联合体磋商的，可以由联合体中的一方或者共同提交磋商保证金。以一方名义提交磋商保证金的，对联合体各方均具有约束力。</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12.6</w:t>
      </w:r>
      <w:r>
        <w:rPr>
          <w:rFonts w:hint="eastAsia" w:ascii="宋体" w:hAnsi="宋体" w:eastAsia="宋体" w:cs="宋体"/>
          <w:color w:val="auto"/>
          <w:sz w:val="24"/>
        </w:rPr>
        <w:tab/>
      </w:r>
      <w:r>
        <w:rPr>
          <w:rFonts w:hint="eastAsia" w:ascii="宋体" w:hAnsi="宋体" w:eastAsia="宋体" w:cs="宋体"/>
          <w:color w:val="auto"/>
          <w:sz w:val="24"/>
        </w:rPr>
        <w:t>磋商保证金的退还</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12.6.1  成交人应在与采购人签订合同之日起5个工作日内，及时联系保证金收受机构办理磋商保证金无息退还手续。</w:t>
      </w:r>
    </w:p>
    <w:p>
      <w:pPr>
        <w:spacing w:line="240" w:lineRule="atLeast"/>
        <w:ind w:left="960" w:hanging="960" w:hangingChars="400"/>
        <w:rPr>
          <w:rFonts w:hint="eastAsia" w:ascii="宋体" w:hAnsi="宋体" w:eastAsia="宋体" w:cs="宋体"/>
          <w:color w:val="auto"/>
          <w:sz w:val="24"/>
        </w:rPr>
      </w:pPr>
      <w:r>
        <w:rPr>
          <w:rFonts w:hint="eastAsia" w:ascii="宋体" w:hAnsi="宋体" w:eastAsia="宋体" w:cs="宋体"/>
          <w:color w:val="auto"/>
          <w:sz w:val="24"/>
        </w:rPr>
        <w:t>12.6.2  未成交供应商的磋商保证金将在成交通知书发出之日暨成交结果公告公布之日起5个工作日内无息退还。供应商应及时联系保证金收受机构办理退还磋商保证金手续。</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12.6.3  政府采购磋商担保函不予退回。</w:t>
      </w:r>
    </w:p>
    <w:p>
      <w:pPr>
        <w:spacing w:line="240" w:lineRule="atLeast"/>
        <w:ind w:left="960" w:hanging="960" w:hangingChars="400"/>
        <w:rPr>
          <w:rFonts w:hint="eastAsia" w:ascii="宋体" w:hAnsi="宋体" w:eastAsia="宋体" w:cs="宋体"/>
          <w:color w:val="auto"/>
          <w:sz w:val="24"/>
        </w:rPr>
      </w:pPr>
      <w:r>
        <w:rPr>
          <w:rFonts w:hint="eastAsia" w:ascii="宋体" w:hAnsi="宋体" w:eastAsia="宋体" w:cs="宋体"/>
          <w:color w:val="auto"/>
          <w:sz w:val="24"/>
        </w:rPr>
        <w:t>12.7    因供应商自身原因导致无法及时退还的，采购人或采购代理机构将不承担相应责任。</w:t>
      </w:r>
    </w:p>
    <w:p>
      <w:pPr>
        <w:pStyle w:val="5"/>
        <w:spacing w:before="0" w:after="0" w:line="240" w:lineRule="atLeast"/>
        <w:rPr>
          <w:rFonts w:hint="eastAsia" w:ascii="宋体" w:hAnsi="宋体" w:eastAsia="宋体" w:cs="宋体"/>
          <w:color w:val="auto"/>
          <w:u w:val="none"/>
        </w:rPr>
      </w:pPr>
      <w:bookmarkStart w:id="105" w:name="_Toc515647772"/>
      <w:bookmarkStart w:id="106" w:name="_Toc32569"/>
      <w:bookmarkStart w:id="107" w:name="_Toc27530"/>
      <w:bookmarkStart w:id="108" w:name="_Toc15759"/>
      <w:bookmarkStart w:id="109" w:name="_Toc21509"/>
      <w:bookmarkStart w:id="110" w:name="_Toc23590"/>
      <w:bookmarkStart w:id="111" w:name="_Toc520356157"/>
      <w:r>
        <w:rPr>
          <w:rFonts w:hint="eastAsia" w:ascii="宋体" w:hAnsi="宋体" w:eastAsia="宋体" w:cs="宋体"/>
          <w:color w:val="auto"/>
          <w:u w:val="none"/>
        </w:rPr>
        <w:t>13.磋商有效期</w:t>
      </w:r>
      <w:bookmarkEnd w:id="105"/>
      <w:bookmarkEnd w:id="106"/>
      <w:bookmarkEnd w:id="107"/>
      <w:bookmarkEnd w:id="108"/>
      <w:bookmarkEnd w:id="109"/>
      <w:bookmarkEnd w:id="110"/>
      <w:bookmarkEnd w:id="11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磋商应在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中规定时间内保持有效。磋商有效期不满足要求的磋商，其磋商将被认定为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13.2</w:t>
      </w:r>
      <w:r>
        <w:rPr>
          <w:rFonts w:hint="eastAsia" w:ascii="宋体" w:hAnsi="宋体" w:eastAsia="宋体" w:cs="宋体"/>
          <w:color w:val="auto"/>
          <w:sz w:val="24"/>
        </w:rPr>
        <w:tab/>
      </w:r>
      <w:r>
        <w:rPr>
          <w:rFonts w:hint="eastAsia" w:ascii="宋体" w:hAnsi="宋体" w:eastAsia="宋体" w:cs="宋体"/>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5"/>
        <w:spacing w:before="0" w:after="0" w:line="240" w:lineRule="auto"/>
        <w:rPr>
          <w:rFonts w:hint="eastAsia" w:ascii="宋体" w:hAnsi="宋体" w:eastAsia="宋体" w:cs="宋体"/>
          <w:color w:val="auto"/>
          <w:u w:val="none"/>
        </w:rPr>
      </w:pPr>
      <w:bookmarkStart w:id="112" w:name="_Toc520356158"/>
      <w:bookmarkStart w:id="113" w:name="_Toc17074"/>
      <w:bookmarkStart w:id="114" w:name="_Toc21022"/>
      <w:bookmarkStart w:id="115" w:name="_Toc515647773"/>
      <w:bookmarkStart w:id="116" w:name="_Toc30583"/>
      <w:bookmarkStart w:id="117" w:name="_Toc493"/>
      <w:bookmarkStart w:id="118" w:name="_Toc24880"/>
      <w:r>
        <w:rPr>
          <w:rFonts w:hint="eastAsia" w:ascii="宋体" w:hAnsi="宋体" w:eastAsia="宋体" w:cs="宋体"/>
          <w:color w:val="auto"/>
          <w:u w:val="none"/>
        </w:rPr>
        <w:t>14.</w:t>
      </w:r>
      <w:r>
        <w:rPr>
          <w:rFonts w:hint="eastAsia" w:ascii="宋体" w:hAnsi="宋体" w:eastAsia="宋体" w:cs="宋体"/>
          <w:color w:val="auto"/>
          <w:u w:val="none"/>
          <w:lang w:eastAsia="zh-CN"/>
        </w:rPr>
        <w:t>响应</w:t>
      </w:r>
      <w:r>
        <w:rPr>
          <w:rFonts w:hint="eastAsia" w:ascii="宋体" w:hAnsi="宋体" w:eastAsia="宋体" w:cs="宋体"/>
          <w:color w:val="auto"/>
          <w:u w:val="none"/>
        </w:rPr>
        <w:t>文件的签署</w:t>
      </w:r>
      <w:bookmarkEnd w:id="112"/>
      <w:r>
        <w:rPr>
          <w:rFonts w:hint="eastAsia" w:ascii="宋体" w:hAnsi="宋体" w:eastAsia="宋体" w:cs="宋体"/>
          <w:color w:val="auto"/>
          <w:u w:val="none"/>
        </w:rPr>
        <w:t>及规定</w:t>
      </w:r>
      <w:bookmarkEnd w:id="113"/>
      <w:bookmarkEnd w:id="114"/>
      <w:bookmarkEnd w:id="115"/>
      <w:bookmarkEnd w:id="116"/>
      <w:bookmarkEnd w:id="117"/>
      <w:bookmarkEnd w:id="118"/>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14.1</w:t>
      </w:r>
      <w:r>
        <w:rPr>
          <w:rFonts w:hint="eastAsia" w:ascii="宋体" w:hAnsi="宋体" w:eastAsia="宋体" w:cs="宋体"/>
          <w:color w:val="auto"/>
          <w:sz w:val="24"/>
        </w:rPr>
        <w:tab/>
      </w:r>
      <w:r>
        <w:rPr>
          <w:rFonts w:hint="eastAsia" w:ascii="宋体" w:hAnsi="宋体" w:eastAsia="宋体" w:cs="宋体"/>
          <w:color w:val="auto"/>
          <w:sz w:val="24"/>
        </w:rPr>
        <w:t>供应商应按</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中的规定，准备和递交响应文件资格证明文件、商务和技术文件正本、副本和电子文档，每份资格证明文件、商务和技术文件封皮须清楚地标明“正本”或“副本”。若正本和副本不符，以正本为准。</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14.2</w:t>
      </w:r>
      <w:r>
        <w:rPr>
          <w:rFonts w:hint="eastAsia" w:ascii="宋体" w:hAnsi="宋体" w:eastAsia="宋体" w:cs="宋体"/>
          <w:color w:val="auto"/>
          <w:sz w:val="24"/>
        </w:rPr>
        <w:tab/>
      </w:r>
      <w:r>
        <w:rPr>
          <w:rFonts w:hint="eastAsia" w:ascii="宋体" w:hAnsi="宋体" w:eastAsia="宋体" w:cs="宋体"/>
          <w:color w:val="auto"/>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所有响应文件采用不可拆装的胶订方式装订，否则其磋商将被认定为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14.4</w:t>
      </w:r>
      <w:r>
        <w:rPr>
          <w:rFonts w:hint="eastAsia" w:ascii="宋体" w:hAnsi="宋体" w:eastAsia="宋体" w:cs="宋体"/>
          <w:color w:val="auto"/>
          <w:sz w:val="24"/>
        </w:rPr>
        <w:tab/>
      </w:r>
      <w:r>
        <w:rPr>
          <w:rFonts w:hint="eastAsia" w:ascii="宋体" w:hAnsi="宋体" w:eastAsia="宋体" w:cs="宋体"/>
          <w:color w:val="auto"/>
          <w:sz w:val="24"/>
        </w:rPr>
        <w:t>响应文件因字迹潦草、表达不清或装订不当所引起的后果由供应商负责。</w:t>
      </w:r>
    </w:p>
    <w:p>
      <w:pPr>
        <w:pStyle w:val="2"/>
        <w:spacing w:before="0" w:line="240" w:lineRule="auto"/>
        <w:ind w:left="1079" w:leftChars="257" w:hanging="540"/>
        <w:rPr>
          <w:rFonts w:hint="eastAsia" w:ascii="宋体" w:hAnsi="宋体" w:eastAsia="宋体" w:cs="宋体"/>
          <w:color w:val="auto"/>
        </w:rPr>
      </w:pPr>
      <w:bookmarkStart w:id="119" w:name="_Toc8711"/>
      <w:bookmarkStart w:id="120" w:name="_Toc216582808"/>
      <w:bookmarkStart w:id="121" w:name="_Toc16865"/>
      <w:bookmarkStart w:id="122" w:name="_Toc520356159"/>
      <w:bookmarkStart w:id="123" w:name="_Toc10257"/>
      <w:bookmarkStart w:id="124" w:name="_Toc11179"/>
      <w:bookmarkStart w:id="125" w:name="_Toc11698"/>
      <w:bookmarkStart w:id="126" w:name="_Toc515647774"/>
      <w:r>
        <w:rPr>
          <w:rFonts w:hint="eastAsia" w:ascii="宋体" w:hAnsi="宋体" w:eastAsia="宋体" w:cs="宋体"/>
          <w:color w:val="auto"/>
          <w:sz w:val="24"/>
        </w:rPr>
        <w:t xml:space="preserve">四   </w:t>
      </w:r>
      <w:r>
        <w:rPr>
          <w:rFonts w:hint="eastAsia" w:ascii="宋体" w:hAnsi="宋体" w:eastAsia="宋体" w:cs="宋体"/>
          <w:color w:val="auto"/>
          <w:sz w:val="24"/>
          <w:lang w:eastAsia="zh-CN"/>
        </w:rPr>
        <w:t>响应</w:t>
      </w:r>
      <w:r>
        <w:rPr>
          <w:rFonts w:hint="eastAsia" w:ascii="宋体" w:hAnsi="宋体" w:eastAsia="宋体" w:cs="宋体"/>
          <w:color w:val="auto"/>
          <w:sz w:val="24"/>
        </w:rPr>
        <w:t>文件的递交</w:t>
      </w:r>
      <w:bookmarkEnd w:id="119"/>
      <w:bookmarkEnd w:id="120"/>
      <w:bookmarkEnd w:id="121"/>
      <w:bookmarkEnd w:id="122"/>
      <w:bookmarkEnd w:id="123"/>
      <w:bookmarkEnd w:id="124"/>
      <w:bookmarkEnd w:id="125"/>
      <w:bookmarkEnd w:id="126"/>
    </w:p>
    <w:p>
      <w:pPr>
        <w:pStyle w:val="5"/>
        <w:spacing w:before="0" w:after="0" w:line="240" w:lineRule="auto"/>
        <w:rPr>
          <w:rFonts w:hint="eastAsia" w:ascii="宋体" w:hAnsi="宋体" w:eastAsia="宋体" w:cs="宋体"/>
          <w:color w:val="auto"/>
          <w:u w:val="none"/>
        </w:rPr>
      </w:pPr>
      <w:bookmarkStart w:id="127" w:name="_Toc520356160"/>
      <w:bookmarkStart w:id="128" w:name="_Toc22150"/>
      <w:bookmarkStart w:id="129" w:name="_Toc21645"/>
      <w:bookmarkStart w:id="130" w:name="_Toc6634"/>
      <w:bookmarkStart w:id="131" w:name="_Toc32337"/>
      <w:bookmarkStart w:id="132" w:name="_Toc22380"/>
      <w:bookmarkStart w:id="133" w:name="_Toc515647775"/>
      <w:r>
        <w:rPr>
          <w:rFonts w:hint="eastAsia" w:ascii="宋体" w:hAnsi="宋体" w:eastAsia="宋体" w:cs="宋体"/>
          <w:color w:val="auto"/>
          <w:u w:val="none"/>
        </w:rPr>
        <w:t>15.</w:t>
      </w:r>
      <w:r>
        <w:rPr>
          <w:rFonts w:hint="eastAsia" w:ascii="宋体" w:hAnsi="宋体" w:eastAsia="宋体" w:cs="宋体"/>
          <w:color w:val="auto"/>
          <w:u w:val="none"/>
          <w:lang w:eastAsia="zh-CN"/>
        </w:rPr>
        <w:t>响应</w:t>
      </w:r>
      <w:r>
        <w:rPr>
          <w:rFonts w:hint="eastAsia" w:ascii="宋体" w:hAnsi="宋体" w:eastAsia="宋体" w:cs="宋体"/>
          <w:color w:val="auto"/>
          <w:u w:val="none"/>
        </w:rPr>
        <w:t>文件的密封和标记</w:t>
      </w:r>
      <w:bookmarkEnd w:id="127"/>
      <w:bookmarkEnd w:id="128"/>
      <w:bookmarkEnd w:id="129"/>
      <w:bookmarkEnd w:id="130"/>
      <w:bookmarkEnd w:id="131"/>
      <w:bookmarkEnd w:id="132"/>
      <w:bookmarkEnd w:id="133"/>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15.1   为方便开启及进行资格审查，供应商应将响应文件第一部分和第二部分的内容合并装订成一册，密封提交，并在封皮正面标明“</w:t>
      </w:r>
      <w:r>
        <w:rPr>
          <w:rFonts w:hint="eastAsia" w:ascii="宋体" w:hAnsi="宋体" w:eastAsia="宋体" w:cs="宋体"/>
          <w:color w:val="auto"/>
          <w:sz w:val="24"/>
          <w:lang w:eastAsia="zh-CN"/>
        </w:rPr>
        <w:t>响应</w:t>
      </w:r>
      <w:r>
        <w:rPr>
          <w:rFonts w:hint="eastAsia" w:ascii="宋体" w:hAnsi="宋体" w:eastAsia="宋体" w:cs="宋体"/>
          <w:color w:val="auto"/>
          <w:sz w:val="24"/>
        </w:rPr>
        <w:t>文件”字样。</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15.2   所有包装封皮和信封上均应：</w:t>
      </w:r>
    </w:p>
    <w:p>
      <w:pPr>
        <w:spacing w:line="240" w:lineRule="auto"/>
        <w:ind w:left="897" w:leftChars="399" w:hanging="60" w:hangingChars="25"/>
        <w:rPr>
          <w:rFonts w:hint="eastAsia" w:ascii="宋体" w:hAnsi="宋体" w:eastAsia="宋体" w:cs="宋体"/>
          <w:color w:val="auto"/>
          <w:sz w:val="24"/>
        </w:rPr>
      </w:pPr>
      <w:r>
        <w:rPr>
          <w:rFonts w:hint="eastAsia" w:ascii="宋体" w:hAnsi="宋体" w:eastAsia="宋体" w:cs="宋体"/>
          <w:color w:val="auto"/>
          <w:sz w:val="24"/>
        </w:rPr>
        <w:t>（1）注明</w:t>
      </w:r>
      <w:r>
        <w:rPr>
          <w:rFonts w:hint="eastAsia" w:ascii="宋体" w:hAnsi="宋体" w:eastAsia="宋体" w:cs="宋体"/>
          <w:color w:val="auto"/>
          <w:sz w:val="24"/>
          <w:lang w:eastAsia="zh-CN"/>
        </w:rPr>
        <w:t>磋商</w:t>
      </w:r>
      <w:r>
        <w:rPr>
          <w:rFonts w:hint="eastAsia" w:ascii="宋体" w:hAnsi="宋体" w:eastAsia="宋体" w:cs="宋体"/>
          <w:color w:val="auto"/>
          <w:sz w:val="24"/>
        </w:rPr>
        <w:t>公告或磋商邀请书中指明的项目名称、</w:t>
      </w:r>
      <w:r>
        <w:rPr>
          <w:rFonts w:hint="eastAsia" w:ascii="宋体" w:hAnsi="宋体" w:eastAsia="宋体" w:cs="宋体"/>
          <w:color w:val="auto"/>
          <w:sz w:val="24"/>
          <w:lang w:eastAsia="zh-CN"/>
        </w:rPr>
        <w:t>项目编号</w:t>
      </w:r>
      <w:r>
        <w:rPr>
          <w:rFonts w:hint="eastAsia" w:ascii="宋体" w:hAnsi="宋体" w:eastAsia="宋体" w:cs="宋体"/>
          <w:color w:val="auto"/>
          <w:sz w:val="24"/>
        </w:rPr>
        <w:t>、供应商名称和“在（开标时间）之前不得启封”的字样。</w:t>
      </w:r>
    </w:p>
    <w:p>
      <w:pPr>
        <w:spacing w:line="240" w:lineRule="auto"/>
        <w:ind w:left="897" w:leftChars="399" w:hanging="60" w:hangingChars="25"/>
        <w:rPr>
          <w:rFonts w:hint="eastAsia" w:ascii="宋体" w:hAnsi="宋体" w:eastAsia="宋体" w:cs="宋体"/>
          <w:color w:val="auto"/>
          <w:sz w:val="24"/>
          <w:lang w:val="en-US" w:eastAsia="zh-CN"/>
        </w:rPr>
      </w:pPr>
      <w:r>
        <w:rPr>
          <w:rFonts w:hint="eastAsia" w:ascii="宋体" w:hAnsi="宋体" w:eastAsia="宋体" w:cs="宋体"/>
          <w:color w:val="auto"/>
          <w:sz w:val="24"/>
        </w:rPr>
        <w:t>（2）在封口处加盖供应商单位公章</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 </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15.3    资格证明文件密封装订在其他</w:t>
      </w:r>
      <w:r>
        <w:rPr>
          <w:rFonts w:hint="eastAsia" w:ascii="宋体" w:hAnsi="宋体" w:eastAsia="宋体" w:cs="宋体"/>
          <w:color w:val="auto"/>
          <w:sz w:val="24"/>
          <w:lang w:eastAsia="zh-CN"/>
        </w:rPr>
        <w:t>响应文件</w:t>
      </w:r>
      <w:r>
        <w:rPr>
          <w:rFonts w:hint="eastAsia" w:ascii="宋体" w:hAnsi="宋体" w:eastAsia="宋体" w:cs="宋体"/>
          <w:color w:val="auto"/>
          <w:sz w:val="24"/>
        </w:rPr>
        <w:t>中，</w:t>
      </w:r>
      <w:r>
        <w:rPr>
          <w:rFonts w:hint="eastAsia" w:ascii="宋体" w:hAnsi="宋体" w:eastAsia="宋体" w:cs="宋体"/>
          <w:color w:val="auto"/>
          <w:sz w:val="24"/>
          <w:lang w:val="en-US" w:eastAsia="zh-CN"/>
        </w:rPr>
        <w:t>如</w:t>
      </w:r>
      <w:r>
        <w:rPr>
          <w:rFonts w:hint="eastAsia" w:ascii="宋体" w:hAnsi="宋体" w:eastAsia="宋体" w:cs="宋体"/>
          <w:color w:val="auto"/>
          <w:sz w:val="24"/>
        </w:rPr>
        <w:t>其投标被认定为投标无效</w:t>
      </w:r>
      <w:r>
        <w:rPr>
          <w:rFonts w:hint="eastAsia" w:ascii="宋体" w:hAnsi="宋体" w:eastAsia="宋体" w:cs="宋体"/>
          <w:color w:val="auto"/>
          <w:sz w:val="24"/>
          <w:lang w:val="en-US" w:eastAsia="zh-CN"/>
        </w:rPr>
        <w:t>投标，投标人自身承担其责任</w:t>
      </w:r>
      <w:r>
        <w:rPr>
          <w:rFonts w:hint="eastAsia" w:ascii="宋体" w:hAnsi="宋体" w:eastAsia="宋体" w:cs="宋体"/>
          <w:color w:val="auto"/>
          <w:sz w:val="24"/>
        </w:rPr>
        <w:t>。</w:t>
      </w:r>
    </w:p>
    <w:p>
      <w:pPr>
        <w:pStyle w:val="5"/>
        <w:spacing w:before="0" w:after="0" w:line="240" w:lineRule="auto"/>
        <w:rPr>
          <w:rFonts w:hint="eastAsia" w:ascii="宋体" w:hAnsi="宋体" w:eastAsia="宋体" w:cs="宋体"/>
          <w:color w:val="auto"/>
          <w:u w:val="none"/>
        </w:rPr>
      </w:pPr>
      <w:bookmarkStart w:id="134" w:name="_Toc31921"/>
      <w:bookmarkStart w:id="135" w:name="_Toc4535"/>
      <w:bookmarkStart w:id="136" w:name="_Toc9840"/>
      <w:bookmarkStart w:id="137" w:name="_Toc14512"/>
      <w:bookmarkStart w:id="138" w:name="_Toc515647776"/>
      <w:bookmarkStart w:id="139" w:name="_Toc12751"/>
      <w:bookmarkStart w:id="140" w:name="_Toc520356161"/>
      <w:r>
        <w:rPr>
          <w:rFonts w:hint="eastAsia" w:ascii="宋体" w:hAnsi="宋体" w:eastAsia="宋体" w:cs="宋体"/>
          <w:color w:val="auto"/>
          <w:u w:val="none"/>
        </w:rPr>
        <w:t>16.磋商截止</w:t>
      </w:r>
      <w:bookmarkEnd w:id="134"/>
      <w:bookmarkEnd w:id="135"/>
      <w:bookmarkEnd w:id="136"/>
      <w:bookmarkEnd w:id="137"/>
      <w:bookmarkEnd w:id="138"/>
      <w:bookmarkEnd w:id="139"/>
      <w:bookmarkEnd w:id="140"/>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16.1</w:t>
      </w:r>
      <w:r>
        <w:rPr>
          <w:rFonts w:hint="eastAsia" w:ascii="宋体" w:hAnsi="宋体" w:eastAsia="宋体" w:cs="宋体"/>
          <w:color w:val="auto"/>
          <w:sz w:val="24"/>
        </w:rPr>
        <w:tab/>
      </w:r>
      <w:r>
        <w:rPr>
          <w:rFonts w:hint="eastAsia" w:ascii="宋体" w:hAnsi="宋体" w:eastAsia="宋体" w:cs="宋体"/>
          <w:color w:val="auto"/>
          <w:sz w:val="24"/>
        </w:rPr>
        <w:t>供应商应在</w:t>
      </w:r>
      <w:r>
        <w:rPr>
          <w:rFonts w:hint="eastAsia" w:ascii="宋体" w:hAnsi="宋体" w:eastAsia="宋体" w:cs="宋体"/>
          <w:color w:val="auto"/>
          <w:sz w:val="24"/>
          <w:u w:val="single"/>
        </w:rPr>
        <w:t>供应商须知资料表中</w:t>
      </w:r>
      <w:r>
        <w:rPr>
          <w:rFonts w:hint="eastAsia" w:ascii="宋体" w:hAnsi="宋体" w:eastAsia="宋体" w:cs="宋体"/>
          <w:color w:val="auto"/>
          <w:sz w:val="24"/>
        </w:rPr>
        <w:t>规定的截止时间前，将响应文件递交到</w:t>
      </w:r>
      <w:r>
        <w:rPr>
          <w:rFonts w:hint="eastAsia" w:ascii="宋体" w:hAnsi="宋体" w:eastAsia="宋体" w:cs="宋体"/>
          <w:color w:val="auto"/>
          <w:sz w:val="24"/>
          <w:lang w:eastAsia="zh-CN"/>
        </w:rPr>
        <w:t>磋商</w:t>
      </w:r>
      <w:r>
        <w:rPr>
          <w:rFonts w:hint="eastAsia" w:ascii="宋体" w:hAnsi="宋体" w:eastAsia="宋体" w:cs="宋体"/>
          <w:color w:val="auto"/>
          <w:sz w:val="24"/>
        </w:rPr>
        <w:t>公告中规定的地点。</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16.2</w:t>
      </w:r>
      <w:r>
        <w:rPr>
          <w:rFonts w:hint="eastAsia" w:ascii="宋体" w:hAnsi="宋体" w:eastAsia="宋体" w:cs="宋体"/>
          <w:color w:val="auto"/>
          <w:sz w:val="24"/>
        </w:rPr>
        <w:tab/>
      </w:r>
      <w:r>
        <w:rPr>
          <w:rFonts w:hint="eastAsia" w:ascii="宋体" w:hAnsi="宋体" w:eastAsia="宋体" w:cs="宋体"/>
          <w:color w:val="auto"/>
          <w:sz w:val="24"/>
        </w:rPr>
        <w:t>采购人和采购代理机构有权按</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本须知的规定，延迟磋商截止时间。在此情况下，采购人、采购代理机构和供应商受磋商截止时间制约的所有权利和义务均应延长至新的截止时间。</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16.3</w:t>
      </w:r>
      <w:r>
        <w:rPr>
          <w:rFonts w:hint="eastAsia" w:ascii="宋体" w:hAnsi="宋体" w:eastAsia="宋体" w:cs="宋体"/>
          <w:color w:val="auto"/>
          <w:sz w:val="24"/>
        </w:rPr>
        <w:tab/>
      </w:r>
      <w:r>
        <w:rPr>
          <w:rFonts w:hint="eastAsia" w:ascii="宋体" w:hAnsi="宋体" w:eastAsia="宋体" w:cs="宋体"/>
          <w:color w:val="auto"/>
          <w:sz w:val="24"/>
        </w:rPr>
        <w:t>采购人和采购代理机构将拒绝接收在磋商截止时间后送达的响应文件。</w:t>
      </w:r>
    </w:p>
    <w:p>
      <w:pPr>
        <w:pStyle w:val="5"/>
        <w:spacing w:before="0" w:after="0" w:line="240" w:lineRule="auto"/>
        <w:rPr>
          <w:rFonts w:hint="eastAsia" w:ascii="宋体" w:hAnsi="宋体" w:eastAsia="宋体" w:cs="宋体"/>
          <w:color w:val="auto"/>
          <w:u w:val="none"/>
        </w:rPr>
      </w:pPr>
      <w:bookmarkStart w:id="141" w:name="_Toc18537"/>
      <w:bookmarkStart w:id="142" w:name="_Toc24275"/>
      <w:bookmarkStart w:id="143" w:name="_Toc31070"/>
      <w:bookmarkStart w:id="144" w:name="_Toc520356162"/>
      <w:bookmarkStart w:id="145" w:name="_Toc29943"/>
      <w:bookmarkStart w:id="146" w:name="_Toc3653"/>
      <w:bookmarkStart w:id="147" w:name="_Toc515647777"/>
      <w:r>
        <w:rPr>
          <w:rFonts w:hint="eastAsia" w:ascii="宋体" w:hAnsi="宋体" w:eastAsia="宋体" w:cs="宋体"/>
          <w:color w:val="auto"/>
          <w:u w:val="none"/>
        </w:rPr>
        <w:t>17.</w:t>
      </w:r>
      <w:r>
        <w:rPr>
          <w:rFonts w:hint="eastAsia" w:ascii="宋体" w:hAnsi="宋体" w:eastAsia="宋体" w:cs="宋体"/>
          <w:color w:val="auto"/>
          <w:u w:val="none"/>
          <w:lang w:eastAsia="zh-CN"/>
        </w:rPr>
        <w:t>响应</w:t>
      </w:r>
      <w:r>
        <w:rPr>
          <w:rFonts w:hint="eastAsia" w:ascii="宋体" w:hAnsi="宋体" w:eastAsia="宋体" w:cs="宋体"/>
          <w:color w:val="auto"/>
          <w:u w:val="none"/>
        </w:rPr>
        <w:t>文件的接收、修改与撤回</w:t>
      </w:r>
      <w:bookmarkEnd w:id="141"/>
      <w:bookmarkEnd w:id="142"/>
      <w:bookmarkEnd w:id="143"/>
      <w:bookmarkEnd w:id="144"/>
      <w:bookmarkEnd w:id="145"/>
      <w:bookmarkEnd w:id="146"/>
      <w:bookmarkEnd w:id="147"/>
    </w:p>
    <w:p>
      <w:pPr>
        <w:spacing w:line="240" w:lineRule="auto"/>
        <w:ind w:left="900" w:hanging="900" w:hangingChars="375"/>
        <w:rPr>
          <w:rFonts w:hint="eastAsia" w:ascii="宋体" w:hAnsi="宋体" w:eastAsia="宋体" w:cs="宋体"/>
          <w:color w:val="auto"/>
        </w:rPr>
      </w:pPr>
      <w:r>
        <w:rPr>
          <w:rFonts w:hint="eastAsia" w:ascii="宋体" w:hAnsi="宋体" w:eastAsia="宋体" w:cs="宋体"/>
          <w:color w:val="auto"/>
          <w:sz w:val="24"/>
        </w:rPr>
        <w:t>17.1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在磋商截止时间后送达的</w:t>
      </w:r>
      <w:r>
        <w:rPr>
          <w:rFonts w:hint="eastAsia" w:ascii="宋体" w:hAnsi="宋体" w:eastAsia="宋体" w:cs="宋体"/>
          <w:color w:val="auto"/>
          <w:sz w:val="24"/>
          <w:lang w:eastAsia="zh-CN"/>
        </w:rPr>
        <w:t>响应</w:t>
      </w:r>
      <w:r>
        <w:rPr>
          <w:rFonts w:hint="eastAsia" w:ascii="宋体" w:hAnsi="宋体" w:eastAsia="宋体" w:cs="宋体"/>
          <w:color w:val="auto"/>
          <w:sz w:val="24"/>
        </w:rPr>
        <w:t>文件的，采购人和采购代理机构将拒绝接收。</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17.2</w:t>
      </w:r>
      <w:r>
        <w:rPr>
          <w:rFonts w:hint="eastAsia" w:ascii="宋体" w:hAnsi="宋体" w:eastAsia="宋体" w:cs="宋体"/>
          <w:color w:val="auto"/>
          <w:sz w:val="24"/>
        </w:rPr>
        <w:tab/>
      </w:r>
      <w:r>
        <w:rPr>
          <w:rFonts w:hint="eastAsia" w:ascii="宋体" w:hAnsi="宋体" w:eastAsia="宋体" w:cs="宋体"/>
          <w:color w:val="auto"/>
          <w:sz w:val="24"/>
        </w:rPr>
        <w:t>采购人或者采购代理机构收到响应文件后，应当如实记载</w:t>
      </w:r>
      <w:r>
        <w:rPr>
          <w:rFonts w:hint="eastAsia" w:ascii="宋体" w:hAnsi="宋体" w:eastAsia="宋体" w:cs="宋体"/>
          <w:color w:val="auto"/>
          <w:sz w:val="24"/>
          <w:lang w:eastAsia="zh-CN"/>
        </w:rPr>
        <w:t>响应</w:t>
      </w:r>
      <w:r>
        <w:rPr>
          <w:rFonts w:hint="eastAsia" w:ascii="宋体" w:hAnsi="宋体" w:eastAsia="宋体" w:cs="宋体"/>
          <w:color w:val="auto"/>
          <w:sz w:val="24"/>
        </w:rPr>
        <w:t>文件的送达时间和密封情况，并向供应商出具以下签收回执。</w:t>
      </w:r>
    </w:p>
    <w:p>
      <w:pPr>
        <w:pStyle w:val="14"/>
        <w:rPr>
          <w:rFonts w:hint="eastAsia" w:ascii="宋体" w:hAnsi="宋体" w:eastAsia="宋体" w:cs="宋体"/>
          <w:color w:val="auto"/>
          <w:sz w:val="24"/>
        </w:rPr>
      </w:pPr>
    </w:p>
    <w:tbl>
      <w:tblPr>
        <w:tblStyle w:val="17"/>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343" w:hRule="atLeast"/>
        </w:trPr>
        <w:tc>
          <w:tcPr>
            <w:tcW w:w="7087" w:type="dxa"/>
            <w:gridSpan w:val="4"/>
            <w:tcBorders>
              <w:top w:val="nil"/>
              <w:left w:val="nil"/>
              <w:bottom w:val="single" w:color="auto" w:sz="4" w:space="0"/>
              <w:right w:val="nil"/>
            </w:tcBorders>
            <w:noWrap w:val="0"/>
            <w:vAlign w:val="center"/>
          </w:tcPr>
          <w:p>
            <w:pPr>
              <w:widowControl/>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接收</w:t>
            </w:r>
            <w:r>
              <w:rPr>
                <w:rFonts w:hint="eastAsia" w:ascii="宋体" w:hAnsi="宋体" w:eastAsia="宋体" w:cs="宋体"/>
                <w:color w:val="auto"/>
                <w:szCs w:val="21"/>
                <w:lang w:eastAsia="zh-CN"/>
              </w:rPr>
              <w:t>响应</w:t>
            </w:r>
            <w:r>
              <w:rPr>
                <w:rFonts w:hint="eastAsia" w:ascii="宋体" w:hAnsi="宋体" w:eastAsia="宋体" w:cs="宋体"/>
                <w:color w:val="auto"/>
                <w:szCs w:val="21"/>
              </w:rPr>
              <w:t xml:space="preserve">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项目编号</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供应商名称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递交时间</w:t>
            </w:r>
          </w:p>
        </w:tc>
        <w:tc>
          <w:tcPr>
            <w:tcW w:w="1934"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　</w:t>
            </w:r>
          </w:p>
        </w:tc>
        <w:tc>
          <w:tcPr>
            <w:tcW w:w="212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响应</w:t>
            </w:r>
            <w:r>
              <w:rPr>
                <w:rFonts w:hint="eastAsia" w:ascii="宋体" w:hAnsi="宋体" w:eastAsia="宋体" w:cs="宋体"/>
                <w:color w:val="auto"/>
                <w:sz w:val="18"/>
                <w:szCs w:val="18"/>
              </w:rPr>
              <w:t>文件密封情况</w:t>
            </w:r>
          </w:p>
        </w:tc>
        <w:tc>
          <w:tcPr>
            <w:tcW w:w="155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bl>
    <w:p>
      <w:pPr>
        <w:spacing w:line="240" w:lineRule="auto"/>
        <w:rPr>
          <w:rFonts w:hint="eastAsia" w:ascii="宋体" w:hAnsi="宋体" w:eastAsia="宋体" w:cs="宋体"/>
          <w:color w:val="auto"/>
          <w:sz w:val="18"/>
          <w:szCs w:val="18"/>
        </w:rPr>
      </w:pPr>
    </w:p>
    <w:p>
      <w:pPr>
        <w:spacing w:line="240" w:lineRule="auto"/>
        <w:ind w:left="840" w:hanging="840" w:hangingChars="350"/>
        <w:rPr>
          <w:rFonts w:hint="eastAsia" w:ascii="宋体" w:hAnsi="宋体" w:eastAsia="宋体" w:cs="宋体"/>
          <w:color w:val="auto"/>
          <w:sz w:val="24"/>
        </w:rPr>
      </w:pPr>
      <w:r>
        <w:rPr>
          <w:rFonts w:hint="eastAsia" w:ascii="宋体" w:hAnsi="宋体" w:eastAsia="宋体" w:cs="宋体"/>
          <w:color w:val="auto"/>
          <w:sz w:val="24"/>
        </w:rPr>
        <w:t>17.3</w:t>
      </w:r>
      <w:r>
        <w:rPr>
          <w:rFonts w:hint="eastAsia" w:ascii="宋体" w:hAnsi="宋体" w:eastAsia="宋体" w:cs="宋体"/>
          <w:color w:val="auto"/>
          <w:sz w:val="24"/>
        </w:rPr>
        <w:tab/>
      </w:r>
      <w:r>
        <w:rPr>
          <w:rFonts w:hint="eastAsia" w:ascii="宋体" w:hAnsi="宋体" w:eastAsia="宋体" w:cs="宋体"/>
          <w:color w:val="auto"/>
          <w:sz w:val="24"/>
        </w:rPr>
        <w:t>递交</w:t>
      </w:r>
      <w:r>
        <w:rPr>
          <w:rFonts w:hint="eastAsia" w:ascii="宋体" w:hAnsi="宋体" w:eastAsia="宋体" w:cs="宋体"/>
          <w:color w:val="auto"/>
          <w:sz w:val="24"/>
          <w:lang w:eastAsia="zh-CN"/>
        </w:rPr>
        <w:t>响应</w:t>
      </w:r>
      <w:r>
        <w:rPr>
          <w:rFonts w:hint="eastAsia" w:ascii="宋体" w:hAnsi="宋体" w:eastAsia="宋体" w:cs="宋体"/>
          <w:color w:val="auto"/>
          <w:sz w:val="24"/>
        </w:rPr>
        <w:t>文件以后，如果供应商要进行修改或撤回磋商，须提出书面申请并在磋商截止时间前送达开标地点，供应商对</w:t>
      </w:r>
      <w:r>
        <w:rPr>
          <w:rFonts w:hint="eastAsia" w:ascii="宋体" w:hAnsi="宋体" w:eastAsia="宋体" w:cs="宋体"/>
          <w:color w:val="auto"/>
          <w:sz w:val="24"/>
          <w:lang w:eastAsia="zh-CN"/>
        </w:rPr>
        <w:t>响应</w:t>
      </w:r>
      <w:r>
        <w:rPr>
          <w:rFonts w:hint="eastAsia" w:ascii="宋体" w:hAnsi="宋体" w:eastAsia="宋体" w:cs="宋体"/>
          <w:color w:val="auto"/>
          <w:sz w:val="24"/>
        </w:rPr>
        <w:t>文件的修改或撤回通知应按本须知规定编制、密封、标记。</w:t>
      </w:r>
    </w:p>
    <w:p>
      <w:pPr>
        <w:spacing w:line="240" w:lineRule="auto"/>
        <w:ind w:left="735" w:leftChars="350" w:firstLine="120" w:firstLineChars="50"/>
        <w:rPr>
          <w:rFonts w:hint="eastAsia" w:ascii="宋体" w:hAnsi="宋体" w:eastAsia="宋体" w:cs="宋体"/>
          <w:color w:val="auto"/>
          <w:sz w:val="24"/>
        </w:rPr>
      </w:pPr>
      <w:r>
        <w:rPr>
          <w:rFonts w:hint="eastAsia" w:ascii="宋体" w:hAnsi="宋体" w:eastAsia="宋体" w:cs="宋体"/>
          <w:color w:val="auto"/>
          <w:sz w:val="24"/>
        </w:rPr>
        <w:t>采购人和采购代理机构将予以接收，并视为</w:t>
      </w:r>
      <w:r>
        <w:rPr>
          <w:rFonts w:hint="eastAsia" w:ascii="宋体" w:hAnsi="宋体" w:eastAsia="宋体" w:cs="宋体"/>
          <w:color w:val="auto"/>
          <w:sz w:val="24"/>
          <w:lang w:eastAsia="zh-CN"/>
        </w:rPr>
        <w:t>响应</w:t>
      </w:r>
      <w:r>
        <w:rPr>
          <w:rFonts w:hint="eastAsia" w:ascii="宋体" w:hAnsi="宋体" w:eastAsia="宋体" w:cs="宋体"/>
          <w:color w:val="auto"/>
          <w:sz w:val="24"/>
        </w:rPr>
        <w:t>文件的组成部分。</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17.4</w:t>
      </w:r>
      <w:r>
        <w:rPr>
          <w:rFonts w:hint="eastAsia" w:ascii="宋体" w:hAnsi="宋体" w:eastAsia="宋体" w:cs="宋体"/>
          <w:color w:val="auto"/>
          <w:sz w:val="24"/>
        </w:rPr>
        <w:tab/>
      </w:r>
      <w:r>
        <w:rPr>
          <w:rFonts w:hint="eastAsia" w:ascii="宋体" w:hAnsi="宋体" w:eastAsia="宋体" w:cs="宋体"/>
          <w:color w:val="auto"/>
          <w:sz w:val="24"/>
        </w:rPr>
        <w:t>在磋商截止期之后，采购人和采购代理机构不接受供应商主动对其</w:t>
      </w:r>
      <w:r>
        <w:rPr>
          <w:rFonts w:hint="eastAsia" w:ascii="宋体" w:hAnsi="宋体" w:eastAsia="宋体" w:cs="宋体"/>
          <w:color w:val="auto"/>
          <w:sz w:val="24"/>
          <w:lang w:eastAsia="zh-CN"/>
        </w:rPr>
        <w:t>响应</w:t>
      </w:r>
      <w:r>
        <w:rPr>
          <w:rFonts w:hint="eastAsia" w:ascii="宋体" w:hAnsi="宋体" w:eastAsia="宋体" w:cs="宋体"/>
          <w:color w:val="auto"/>
          <w:sz w:val="24"/>
        </w:rPr>
        <w:t>文件做任何修改。</w:t>
      </w:r>
    </w:p>
    <w:p>
      <w:pPr>
        <w:spacing w:line="240" w:lineRule="auto"/>
        <w:ind w:left="900" w:hanging="900" w:hangingChars="375"/>
        <w:rPr>
          <w:rFonts w:hint="eastAsia" w:ascii="宋体" w:hAnsi="宋体" w:eastAsia="宋体" w:cs="宋体"/>
          <w:color w:val="auto"/>
        </w:rPr>
      </w:pPr>
      <w:r>
        <w:rPr>
          <w:rFonts w:hint="eastAsia" w:ascii="宋体" w:hAnsi="宋体" w:eastAsia="宋体" w:cs="宋体"/>
          <w:color w:val="auto"/>
          <w:sz w:val="24"/>
        </w:rPr>
        <w:t>17.5</w:t>
      </w:r>
      <w:r>
        <w:rPr>
          <w:rFonts w:hint="eastAsia" w:ascii="宋体" w:hAnsi="宋体" w:eastAsia="宋体" w:cs="宋体"/>
          <w:color w:val="auto"/>
          <w:sz w:val="24"/>
        </w:rPr>
        <w:tab/>
      </w:r>
      <w:r>
        <w:rPr>
          <w:rFonts w:hint="eastAsia" w:ascii="宋体" w:hAnsi="宋体" w:eastAsia="宋体" w:cs="宋体"/>
          <w:color w:val="auto"/>
          <w:sz w:val="24"/>
        </w:rPr>
        <w:t>采购人和采购代理机构对所接收</w:t>
      </w:r>
      <w:r>
        <w:rPr>
          <w:rFonts w:hint="eastAsia" w:ascii="宋体" w:hAnsi="宋体" w:eastAsia="宋体" w:cs="宋体"/>
          <w:color w:val="auto"/>
          <w:sz w:val="24"/>
          <w:lang w:eastAsia="zh-CN"/>
        </w:rPr>
        <w:t>响应</w:t>
      </w:r>
      <w:r>
        <w:rPr>
          <w:rFonts w:hint="eastAsia" w:ascii="宋体" w:hAnsi="宋体" w:eastAsia="宋体" w:cs="宋体"/>
          <w:color w:val="auto"/>
          <w:sz w:val="24"/>
        </w:rPr>
        <w:t>文件概不退回。</w:t>
      </w:r>
    </w:p>
    <w:p>
      <w:pPr>
        <w:pStyle w:val="2"/>
        <w:keepNext/>
        <w:keepLines/>
        <w:pageBreakBefore w:val="0"/>
        <w:widowControl w:val="0"/>
        <w:kinsoku/>
        <w:wordWrap/>
        <w:overflowPunct/>
        <w:topLinePunct w:val="0"/>
        <w:autoSpaceDE w:val="0"/>
        <w:autoSpaceDN w:val="0"/>
        <w:bidi w:val="0"/>
        <w:adjustRightInd w:val="0"/>
        <w:snapToGrid/>
        <w:spacing w:before="0" w:line="240" w:lineRule="atLeast"/>
        <w:ind w:left="1106" w:leftChars="257" w:hanging="567"/>
        <w:textAlignment w:val="auto"/>
        <w:rPr>
          <w:rFonts w:hint="eastAsia" w:ascii="宋体" w:hAnsi="宋体" w:eastAsia="宋体" w:cs="宋体"/>
          <w:color w:val="auto"/>
          <w:sz w:val="24"/>
        </w:rPr>
      </w:pPr>
      <w:bookmarkStart w:id="148" w:name="_Toc216582809"/>
      <w:bookmarkStart w:id="149" w:name="_Toc27283"/>
      <w:bookmarkStart w:id="150" w:name="_Toc12436"/>
      <w:bookmarkStart w:id="151" w:name="_Toc2034"/>
      <w:bookmarkStart w:id="152" w:name="_Toc520356163"/>
      <w:bookmarkStart w:id="153" w:name="_Toc2874"/>
      <w:bookmarkStart w:id="154" w:name="_Toc28398"/>
      <w:bookmarkStart w:id="155" w:name="_Toc515647778"/>
      <w:r>
        <w:rPr>
          <w:rFonts w:hint="eastAsia" w:ascii="宋体" w:hAnsi="宋体" w:eastAsia="宋体" w:cs="宋体"/>
          <w:color w:val="auto"/>
          <w:sz w:val="24"/>
        </w:rPr>
        <w:t>五   开标及评标</w:t>
      </w:r>
      <w:bookmarkEnd w:id="148"/>
      <w:bookmarkEnd w:id="149"/>
      <w:bookmarkEnd w:id="150"/>
      <w:bookmarkEnd w:id="151"/>
      <w:bookmarkEnd w:id="152"/>
      <w:bookmarkEnd w:id="153"/>
      <w:bookmarkEnd w:id="154"/>
      <w:bookmarkEnd w:id="155"/>
      <w:bookmarkStart w:id="156" w:name="_Toc520356164"/>
      <w:bookmarkStart w:id="157" w:name="_Toc1390"/>
      <w:bookmarkStart w:id="158" w:name="_Toc27235"/>
      <w:bookmarkStart w:id="159" w:name="_Toc7186"/>
      <w:bookmarkStart w:id="160" w:name="_Toc25345"/>
      <w:bookmarkStart w:id="161" w:name="_Toc515647779"/>
    </w:p>
    <w:p>
      <w:pPr>
        <w:pStyle w:val="5"/>
        <w:spacing w:before="0" w:after="0" w:line="240" w:lineRule="auto"/>
        <w:rPr>
          <w:rFonts w:hint="eastAsia" w:ascii="宋体" w:hAnsi="宋体" w:eastAsia="宋体" w:cs="宋体"/>
          <w:b/>
          <w:color w:val="auto"/>
          <w:u w:val="none"/>
        </w:rPr>
      </w:pPr>
      <w:bookmarkStart w:id="162" w:name="_Toc13194"/>
      <w:r>
        <w:rPr>
          <w:rFonts w:hint="eastAsia" w:ascii="宋体" w:hAnsi="宋体" w:eastAsia="宋体" w:cs="宋体"/>
          <w:b/>
          <w:color w:val="auto"/>
          <w:u w:val="none"/>
          <w:lang w:val="en-US" w:eastAsia="zh-CN"/>
        </w:rPr>
        <w:t>18.</w:t>
      </w:r>
      <w:bookmarkEnd w:id="156"/>
      <w:bookmarkEnd w:id="157"/>
      <w:bookmarkEnd w:id="158"/>
      <w:bookmarkEnd w:id="159"/>
      <w:bookmarkEnd w:id="160"/>
      <w:bookmarkEnd w:id="161"/>
      <w:bookmarkEnd w:id="162"/>
      <w:r>
        <w:rPr>
          <w:rFonts w:hint="eastAsia" w:ascii="宋体" w:hAnsi="宋体" w:eastAsia="宋体" w:cs="宋体"/>
          <w:b/>
          <w:color w:val="auto"/>
          <w:u w:val="none"/>
        </w:rPr>
        <w:t>磋商程序</w:t>
      </w:r>
    </w:p>
    <w:p>
      <w:pPr>
        <w:spacing w:line="240" w:lineRule="auto"/>
        <w:ind w:left="900" w:hanging="900" w:hangingChars="375"/>
        <w:rPr>
          <w:rFonts w:hint="eastAsia" w:ascii="宋体" w:hAnsi="宋体" w:eastAsia="宋体" w:cs="宋体"/>
          <w:color w:val="auto"/>
          <w:sz w:val="24"/>
        </w:rPr>
      </w:pPr>
      <w:bookmarkStart w:id="163" w:name="_Toc520356165"/>
      <w:r>
        <w:rPr>
          <w:rFonts w:hint="eastAsia" w:ascii="宋体" w:hAnsi="宋体" w:eastAsia="宋体" w:cs="宋体"/>
          <w:color w:val="auto"/>
          <w:sz w:val="24"/>
          <w:lang w:val="en-US" w:eastAsia="zh-CN"/>
        </w:rPr>
        <w:t>18</w:t>
      </w:r>
      <w:r>
        <w:rPr>
          <w:rFonts w:hint="eastAsia" w:ascii="宋体" w:hAnsi="宋体" w:eastAsia="宋体" w:cs="宋体"/>
          <w:color w:val="auto"/>
          <w:sz w:val="24"/>
        </w:rPr>
        <w:t>.1磋商小组所有成员集中与通过初审的单一供应商分别进行磋商，并给予所</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有通过初审的供应商平等的磋商机会。</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.2磋商内容包括但不限于货物质量、货物材质、售后服务、价格及商务条款</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等各项内容。在磋商中，任何一方不得透露与磋商有关的其他供应商的技术</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资料、价格和其他信息。</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.3磋商小组可以根据磋商文件和磋商情况实质性变动采购需求中的技术、服</w:t>
      </w:r>
    </w:p>
    <w:p>
      <w:pPr>
        <w:spacing w:line="240" w:lineRule="auto"/>
        <w:ind w:left="478" w:leftChars="228" w:firstLine="0" w:firstLineChars="0"/>
        <w:rPr>
          <w:rFonts w:hint="eastAsia" w:ascii="宋体" w:hAnsi="宋体" w:eastAsia="宋体" w:cs="宋体"/>
          <w:color w:val="auto"/>
          <w:sz w:val="24"/>
        </w:rPr>
      </w:pPr>
      <w:r>
        <w:rPr>
          <w:rFonts w:hint="eastAsia" w:ascii="宋体" w:hAnsi="宋体" w:eastAsia="宋体" w:cs="宋体"/>
          <w:color w:val="auto"/>
          <w:sz w:val="24"/>
        </w:rPr>
        <w:t>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磋商小组将要求各供应商对实质性变动的内容进行签字确认。</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.4供应商应当按照磋商文件的变动情况和磋商小组的要求重新提交响应文件，</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并由其法定代表人或授权代表签字或者加盖公章。由授权代表签字的，应当</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附法定代表人授权书。供应商为自然人的，应当由本人签字并附身份证明。</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.5磋商小组根据项目情况可进行一轮或多轮磋商。采购代理机构将对磋商进</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行记录，磋商记录须由供应商的法定代表人或本项目的授权代表签字确认。</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经签字确认后的磋商记录将作为成交后采购人与供应商签署合同的依据，具</w:t>
      </w:r>
    </w:p>
    <w:p>
      <w:pPr>
        <w:spacing w:line="240" w:lineRule="auto"/>
        <w:ind w:left="898" w:leftChars="228" w:hanging="420" w:hangingChars="175"/>
        <w:rPr>
          <w:rFonts w:hint="eastAsia" w:ascii="宋体" w:hAnsi="宋体" w:eastAsia="宋体" w:cs="宋体"/>
          <w:b/>
          <w:bCs/>
          <w:color w:val="auto"/>
          <w:sz w:val="24"/>
        </w:rPr>
      </w:pPr>
      <w:r>
        <w:rPr>
          <w:rFonts w:hint="eastAsia" w:ascii="宋体" w:hAnsi="宋体" w:eastAsia="宋体" w:cs="宋体"/>
          <w:color w:val="auto"/>
          <w:sz w:val="24"/>
        </w:rPr>
        <w:t>有法律效力。经磋商确定最终采购需求后，</w:t>
      </w:r>
      <w:r>
        <w:rPr>
          <w:rFonts w:hint="eastAsia" w:ascii="宋体" w:hAnsi="宋体" w:eastAsia="宋体" w:cs="宋体"/>
          <w:b/>
          <w:bCs/>
          <w:color w:val="auto"/>
          <w:sz w:val="24"/>
        </w:rPr>
        <w:t>供应商进行二次报价,二次报价</w:t>
      </w:r>
    </w:p>
    <w:p>
      <w:pPr>
        <w:spacing w:line="240" w:lineRule="auto"/>
        <w:ind w:left="898" w:leftChars="228" w:hanging="420" w:hangingChars="175"/>
        <w:rPr>
          <w:rFonts w:hint="eastAsia" w:ascii="宋体" w:hAnsi="宋体" w:eastAsia="宋体" w:cs="宋体"/>
          <w:b/>
          <w:bCs/>
          <w:color w:val="auto"/>
          <w:sz w:val="24"/>
        </w:rPr>
      </w:pPr>
      <w:r>
        <w:rPr>
          <w:rFonts w:hint="eastAsia" w:ascii="宋体" w:hAnsi="宋体" w:eastAsia="宋体" w:cs="宋体"/>
          <w:b/>
          <w:bCs/>
          <w:color w:val="auto"/>
          <w:sz w:val="24"/>
        </w:rPr>
        <w:t>作为最终报价，第一轮报价不公开。</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.6磋商结束后，磋商小组应当要求所有实质性响应的供应商在规定时间内提</w:t>
      </w:r>
    </w:p>
    <w:p>
      <w:pPr>
        <w:spacing w:line="240" w:lineRule="auto"/>
        <w:ind w:left="898" w:leftChars="228" w:hanging="420" w:hangingChars="175"/>
        <w:rPr>
          <w:rFonts w:hint="eastAsia" w:ascii="宋体" w:hAnsi="宋体" w:eastAsia="宋体" w:cs="宋体"/>
          <w:color w:val="auto"/>
          <w:sz w:val="24"/>
        </w:rPr>
      </w:pPr>
      <w:r>
        <w:rPr>
          <w:rFonts w:hint="eastAsia" w:ascii="宋体" w:hAnsi="宋体" w:eastAsia="宋体" w:cs="宋体"/>
          <w:color w:val="auto"/>
          <w:sz w:val="24"/>
        </w:rPr>
        <w:t>交最后报价，最后报价是供应商响应文件的有效组成部分。</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.7已提交响应文件的供应商，在提交最后报价之前，可以根据磋商情况退出磋商。采购人、采购代理机构应当退还退出磋商供应商的磋商保证金。</w:t>
      </w:r>
    </w:p>
    <w:p>
      <w:pPr>
        <w:pStyle w:val="5"/>
        <w:spacing w:before="0" w:after="0" w:line="240" w:lineRule="auto"/>
        <w:rPr>
          <w:rFonts w:hint="eastAsia" w:ascii="宋体" w:hAnsi="宋体" w:eastAsia="宋体" w:cs="宋体"/>
          <w:color w:val="auto"/>
          <w:u w:val="none"/>
        </w:rPr>
      </w:pPr>
      <w:bookmarkStart w:id="164" w:name="_Toc21372"/>
      <w:bookmarkStart w:id="165" w:name="_Toc5428"/>
      <w:bookmarkStart w:id="166" w:name="_Toc19296"/>
      <w:bookmarkStart w:id="167" w:name="_Toc515647780"/>
      <w:bookmarkStart w:id="168" w:name="_Toc17677"/>
      <w:bookmarkStart w:id="169" w:name="_Toc29431"/>
      <w:r>
        <w:rPr>
          <w:rFonts w:hint="eastAsia" w:ascii="宋体" w:hAnsi="宋体" w:eastAsia="宋体" w:cs="宋体"/>
          <w:color w:val="auto"/>
          <w:u w:val="none"/>
        </w:rPr>
        <w:t>19.</w:t>
      </w:r>
      <w:bookmarkEnd w:id="163"/>
      <w:r>
        <w:rPr>
          <w:rFonts w:hint="eastAsia" w:ascii="宋体" w:hAnsi="宋体" w:eastAsia="宋体" w:cs="宋体"/>
          <w:color w:val="auto"/>
          <w:u w:val="none"/>
        </w:rPr>
        <w:t>资格审查及组建</w:t>
      </w:r>
      <w:bookmarkEnd w:id="164"/>
      <w:bookmarkEnd w:id="165"/>
      <w:bookmarkEnd w:id="166"/>
      <w:bookmarkEnd w:id="167"/>
      <w:r>
        <w:rPr>
          <w:rFonts w:hint="eastAsia" w:ascii="宋体" w:hAnsi="宋体" w:eastAsia="宋体" w:cs="宋体"/>
          <w:color w:val="auto"/>
          <w:u w:val="none"/>
        </w:rPr>
        <w:t>磋商小组</w:t>
      </w:r>
      <w:bookmarkEnd w:id="168"/>
      <w:bookmarkEnd w:id="169"/>
    </w:p>
    <w:p>
      <w:pPr>
        <w:spacing w:line="240" w:lineRule="auto"/>
        <w:ind w:left="960" w:hanging="960" w:hangingChars="400"/>
        <w:rPr>
          <w:rFonts w:hint="eastAsia" w:ascii="宋体" w:hAnsi="宋体" w:eastAsia="宋体" w:cs="宋体"/>
          <w:color w:val="auto"/>
          <w:sz w:val="24"/>
        </w:rPr>
      </w:pPr>
      <w:r>
        <w:rPr>
          <w:rFonts w:hint="eastAsia" w:ascii="宋体" w:hAnsi="宋体" w:eastAsia="宋体" w:cs="宋体"/>
          <w:color w:val="auto"/>
          <w:sz w:val="24"/>
        </w:rPr>
        <w:t>19.1    采购人或采购代理机构依据法律法规和磋商文件中规定的内容，对供应商及其</w:t>
      </w:r>
      <w:r>
        <w:rPr>
          <w:rFonts w:hint="eastAsia" w:ascii="宋体" w:hAnsi="宋体" w:eastAsia="宋体" w:cs="宋体"/>
          <w:color w:val="auto"/>
          <w:sz w:val="24"/>
          <w:lang w:val="en-US" w:eastAsia="zh-CN"/>
        </w:rPr>
        <w:t>服务</w:t>
      </w:r>
      <w:r>
        <w:rPr>
          <w:rFonts w:hint="eastAsia" w:ascii="宋体" w:hAnsi="宋体" w:eastAsia="宋体" w:cs="宋体"/>
          <w:color w:val="auto"/>
          <w:sz w:val="24"/>
        </w:rPr>
        <w:t>的资格进行审查，未通过资格审查的供应商不进入评标。</w:t>
      </w:r>
    </w:p>
    <w:p>
      <w:pPr>
        <w:widowControl/>
        <w:spacing w:line="240" w:lineRule="auto"/>
        <w:jc w:val="left"/>
        <w:rPr>
          <w:rFonts w:hint="eastAsia" w:ascii="宋体" w:hAnsi="宋体" w:eastAsia="宋体" w:cs="宋体"/>
          <w:b/>
          <w:bCs/>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z w:val="24"/>
        </w:rPr>
        <w:t>本项目现场磋商开启必须提供</w:t>
      </w:r>
      <w:r>
        <w:rPr>
          <w:rFonts w:hint="eastAsia" w:ascii="宋体" w:hAnsi="宋体" w:eastAsia="宋体" w:cs="宋体"/>
          <w:b/>
          <w:bCs/>
          <w:color w:val="auto"/>
          <w:sz w:val="24"/>
          <w:lang w:val="en-US" w:eastAsia="zh-CN"/>
        </w:rPr>
        <w:t>1-7</w:t>
      </w:r>
      <w:r>
        <w:rPr>
          <w:rFonts w:hint="eastAsia" w:ascii="宋体" w:hAnsi="宋体" w:eastAsia="宋体" w:cs="宋体"/>
          <w:b/>
          <w:bCs/>
          <w:color w:val="auto"/>
          <w:sz w:val="24"/>
        </w:rPr>
        <w:t>证件原件：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rPr>
        <w:t>（1）</w:t>
      </w:r>
      <w:r>
        <w:rPr>
          <w:rFonts w:hint="eastAsia" w:ascii="宋体" w:hAnsi="宋体" w:eastAsia="宋体" w:cs="宋体"/>
          <w:b/>
          <w:bCs/>
          <w:color w:val="auto"/>
          <w:sz w:val="24"/>
          <w:lang w:eastAsia="zh-CN"/>
        </w:rPr>
        <w:t>法人或其他组织的合法有效的营业执照，银行开户许可证或基本存款账户信息；</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lang w:val="en-US" w:eastAsia="zh-CN"/>
        </w:rPr>
      </w:pPr>
      <w:r>
        <w:rPr>
          <w:rFonts w:hint="eastAsia" w:ascii="宋体" w:hAnsi="宋体" w:eastAsia="宋体" w:cs="宋体"/>
          <w:b/>
          <w:bCs/>
          <w:color w:val="auto"/>
          <w:sz w:val="24"/>
        </w:rPr>
        <w:t>（2）法人本人投标的需提供法人身份证原件；被授权委托人需提供法人授权委托书原件、法人身份证复印件及被授权委托人身份证原件；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（3）具有良好的商业信誉和健全的财务会计制度</w:t>
      </w:r>
      <w:r>
        <w:rPr>
          <w:rFonts w:hint="eastAsia" w:ascii="宋体" w:hAnsi="宋体" w:eastAsia="宋体" w:cs="宋体"/>
          <w:b/>
          <w:bCs/>
          <w:color w:val="auto"/>
          <w:sz w:val="24"/>
          <w:lang w:eastAsia="zh-CN"/>
        </w:rPr>
        <w:t>（2020年度经审计的财务审计报告（新成立未满一年的公司提供有效的银行资信证明））；</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（4）有依法缴纳税收和社会保障资金的良好纪录</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提供2021年</w:t>
      </w:r>
      <w:r>
        <w:rPr>
          <w:rFonts w:hint="eastAsia" w:ascii="宋体" w:hAnsi="宋体" w:eastAsia="宋体" w:cs="宋体"/>
          <w:b/>
          <w:bCs/>
          <w:color w:val="auto"/>
          <w:sz w:val="24"/>
          <w:lang w:val="en-US" w:eastAsia="zh-CN"/>
        </w:rPr>
        <w:t>近三</w:t>
      </w:r>
      <w:r>
        <w:rPr>
          <w:rFonts w:hint="eastAsia" w:ascii="宋体" w:hAnsi="宋体" w:eastAsia="宋体" w:cs="宋体"/>
          <w:b/>
          <w:bCs/>
          <w:color w:val="auto"/>
          <w:sz w:val="24"/>
        </w:rPr>
        <w:t>个月税务局开具的完税证明；授权委托人2021年在本单位缴纳的</w:t>
      </w:r>
      <w:r>
        <w:rPr>
          <w:rFonts w:hint="eastAsia" w:ascii="宋体" w:hAnsi="宋体" w:eastAsia="宋体" w:cs="宋体"/>
          <w:b/>
          <w:bCs/>
          <w:color w:val="auto"/>
          <w:sz w:val="24"/>
          <w:lang w:val="en-US" w:eastAsia="zh-CN"/>
        </w:rPr>
        <w:t>近三</w:t>
      </w:r>
      <w:r>
        <w:rPr>
          <w:rFonts w:hint="eastAsia" w:ascii="宋体" w:hAnsi="宋体" w:eastAsia="宋体" w:cs="宋体"/>
          <w:b/>
          <w:bCs/>
          <w:color w:val="auto"/>
          <w:sz w:val="24"/>
        </w:rPr>
        <w:t>个月社保缴纳证明</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rPr>
        <w:t>（5）</w:t>
      </w:r>
      <w:r>
        <w:rPr>
          <w:rFonts w:hint="eastAsia" w:ascii="宋体" w:hAnsi="宋体" w:eastAsia="宋体" w:cs="宋体"/>
          <w:b/>
          <w:bCs/>
          <w:color w:val="auto"/>
          <w:sz w:val="24"/>
          <w:lang w:val="en-US" w:eastAsia="zh-CN"/>
        </w:rPr>
        <w:t>提供针对本次项目《反商业贿赂承诺书》；</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出具参加政府采购活动前三年内，在经营活动中没有重大违法记录的书面声明；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（7）投标保证金收据原件；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提示：上述资质开标现场能够通过官方网络查证的，均视为合格供应商。</w:t>
      </w:r>
    </w:p>
    <w:p>
      <w:pPr>
        <w:spacing w:line="240" w:lineRule="auto"/>
        <w:ind w:left="857" w:leftChars="2" w:hanging="853"/>
        <w:rPr>
          <w:rFonts w:hint="eastAsia" w:ascii="宋体" w:hAnsi="宋体" w:eastAsia="宋体" w:cs="宋体"/>
          <w:color w:val="auto"/>
          <w:sz w:val="24"/>
        </w:rPr>
      </w:pPr>
      <w:r>
        <w:rPr>
          <w:rFonts w:hint="eastAsia" w:ascii="宋体" w:hAnsi="宋体" w:eastAsia="宋体" w:cs="宋体"/>
          <w:color w:val="auto"/>
          <w:sz w:val="24"/>
        </w:rPr>
        <w:t>19.2   采购人或采购代理机构将在开标前1个工作日至磋商截止后1小时的期间内查询供应商的信用记录。供应商存在不良信用记录的，其磋商将被认定为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uto"/>
        <w:ind w:left="857" w:leftChars="2" w:hanging="853"/>
        <w:rPr>
          <w:rFonts w:hint="eastAsia" w:ascii="宋体" w:hAnsi="宋体" w:eastAsia="宋体" w:cs="宋体"/>
          <w:color w:val="auto"/>
          <w:sz w:val="24"/>
        </w:rPr>
      </w:pPr>
      <w:r>
        <w:rPr>
          <w:rFonts w:hint="eastAsia" w:ascii="宋体" w:hAnsi="宋体" w:eastAsia="宋体" w:cs="宋体"/>
          <w:color w:val="auto"/>
          <w:sz w:val="24"/>
        </w:rPr>
        <w:t>19.2.1 不良信用记录指：供应商在中国政府采购网被列入政府采购严重违法失信行为记录名单，或在“信用中国”网站</w:t>
      </w:r>
      <w:r>
        <w:rPr>
          <w:rFonts w:hint="eastAsia" w:ascii="宋体" w:hAnsi="宋体" w:eastAsia="宋体" w:cs="宋体"/>
          <w:color w:val="auto"/>
          <w:sz w:val="24"/>
          <w:lang w:eastAsia="zh-CN"/>
        </w:rPr>
        <w:t>、国家企业信用信息公示系统</w:t>
      </w:r>
      <w:r>
        <w:rPr>
          <w:rFonts w:hint="eastAsia" w:ascii="宋体" w:hAnsi="宋体" w:eastAsia="宋体" w:cs="宋体"/>
          <w:color w:val="auto"/>
          <w:sz w:val="24"/>
        </w:rPr>
        <w:t>被列入失信被执行人、重大税收违法案件当事人名单，以及存在《中华人民共和国政府采购法实施条例》第十九条规定的行政处罚记录。</w:t>
      </w:r>
    </w:p>
    <w:p>
      <w:pPr>
        <w:spacing w:line="240" w:lineRule="auto"/>
        <w:ind w:left="849" w:leftChars="401" w:hanging="7" w:hangingChars="3"/>
        <w:rPr>
          <w:rFonts w:hint="eastAsia" w:ascii="宋体" w:hAnsi="宋体" w:eastAsia="宋体" w:cs="宋体"/>
          <w:color w:val="auto"/>
          <w:sz w:val="24"/>
        </w:rPr>
      </w:pPr>
      <w:r>
        <w:rPr>
          <w:rFonts w:hint="eastAsia" w:ascii="宋体" w:hAnsi="宋体" w:eastAsia="宋体" w:cs="宋体"/>
          <w:color w:val="auto"/>
          <w:sz w:val="24"/>
        </w:rPr>
        <w:t>以联合体形式参加磋商的，联合体任何成员存在以上不良信用记录的，联合体磋商将被认定为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3"/>
        <w:spacing w:line="240" w:lineRule="auto"/>
        <w:ind w:left="850" w:hanging="849" w:hangingChars="354"/>
        <w:jc w:val="both"/>
        <w:rPr>
          <w:rFonts w:hint="eastAsia" w:ascii="宋体" w:hAnsi="宋体" w:eastAsia="宋体" w:cs="宋体"/>
          <w:color w:val="auto"/>
        </w:rPr>
      </w:pPr>
      <w:r>
        <w:rPr>
          <w:rFonts w:hint="eastAsia" w:ascii="宋体" w:hAnsi="宋体" w:eastAsia="宋体" w:cs="宋体"/>
          <w:color w:val="auto"/>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3"/>
        <w:spacing w:line="240" w:lineRule="auto"/>
        <w:ind w:left="850" w:leftChars="405" w:firstLine="0"/>
        <w:jc w:val="both"/>
        <w:rPr>
          <w:rFonts w:hint="eastAsia" w:ascii="宋体" w:hAnsi="宋体" w:eastAsia="宋体" w:cs="宋体"/>
          <w:color w:val="auto"/>
        </w:rPr>
      </w:pPr>
      <w:r>
        <w:rPr>
          <w:rFonts w:hint="eastAsia" w:ascii="宋体" w:hAnsi="宋体" w:eastAsia="宋体" w:cs="宋体"/>
          <w:color w:val="auto"/>
        </w:rPr>
        <w:t>供应商自行提供的与网站信息不一致的其他证明材料亦不作为资格审查依据。</w:t>
      </w:r>
    </w:p>
    <w:p>
      <w:pPr>
        <w:spacing w:line="240" w:lineRule="auto"/>
        <w:ind w:left="850" w:hanging="849" w:hangingChars="354"/>
        <w:rPr>
          <w:rFonts w:hint="default" w:ascii="宋体" w:hAnsi="宋体" w:eastAsia="宋体" w:cs="宋体"/>
          <w:color w:val="auto"/>
          <w:sz w:val="24"/>
          <w:lang w:val="en-US" w:eastAsia="zh-CN"/>
        </w:rPr>
      </w:pPr>
      <w:r>
        <w:rPr>
          <w:rFonts w:hint="eastAsia" w:ascii="宋体" w:hAnsi="宋体" w:eastAsia="宋体" w:cs="宋体"/>
          <w:color w:val="auto"/>
          <w:sz w:val="24"/>
        </w:rPr>
        <w:t>19.3   按照《中华人民共和国政府采购法》、《中华人民共和国政府采购法实施条例》及本项目本级和上级财政部门的有关规定依法组建的磋商小组，负责评标工作。</w:t>
      </w:r>
      <w:bookmarkStart w:id="170" w:name="_Toc520356166"/>
      <w:r>
        <w:rPr>
          <w:rFonts w:hint="eastAsia" w:ascii="宋体" w:hAnsi="宋体" w:eastAsia="宋体" w:cs="宋体"/>
          <w:b/>
          <w:bCs/>
          <w:color w:val="auto"/>
          <w:sz w:val="24"/>
          <w:u w:val="single"/>
          <w:lang w:val="en-US" w:eastAsia="zh-CN"/>
        </w:rPr>
        <w:t>本项目磋商小组由3人组成（随机抽取专家3 名）</w:t>
      </w:r>
    </w:p>
    <w:p>
      <w:pPr>
        <w:pStyle w:val="5"/>
        <w:spacing w:before="0" w:after="0" w:line="240" w:lineRule="auto"/>
        <w:rPr>
          <w:rFonts w:hint="eastAsia" w:ascii="宋体" w:hAnsi="宋体" w:eastAsia="宋体" w:cs="宋体"/>
          <w:b w:val="0"/>
          <w:bCs/>
          <w:color w:val="auto"/>
          <w:bdr w:val="single" w:color="auto" w:sz="4" w:space="0"/>
        </w:rPr>
      </w:pPr>
      <w:bookmarkStart w:id="171" w:name="_Toc29043"/>
      <w:bookmarkStart w:id="172" w:name="_Toc14127"/>
      <w:bookmarkStart w:id="173" w:name="_Toc515647781"/>
      <w:bookmarkStart w:id="174" w:name="_Toc21894"/>
      <w:bookmarkStart w:id="175" w:name="_Toc28479"/>
      <w:bookmarkStart w:id="176" w:name="_Toc19949"/>
      <w:r>
        <w:rPr>
          <w:rFonts w:hint="eastAsia" w:ascii="宋体" w:hAnsi="宋体" w:eastAsia="宋体" w:cs="宋体"/>
          <w:color w:val="auto"/>
          <w:u w:val="none"/>
        </w:rPr>
        <w:t>20.</w:t>
      </w:r>
      <w:bookmarkEnd w:id="170"/>
      <w:r>
        <w:rPr>
          <w:rFonts w:hint="eastAsia" w:ascii="宋体" w:hAnsi="宋体" w:eastAsia="宋体" w:cs="宋体"/>
          <w:color w:val="auto"/>
          <w:u w:val="none"/>
          <w:lang w:eastAsia="zh-CN"/>
        </w:rPr>
        <w:t>响应</w:t>
      </w:r>
      <w:r>
        <w:rPr>
          <w:rFonts w:hint="eastAsia" w:ascii="宋体" w:hAnsi="宋体" w:eastAsia="宋体" w:cs="宋体"/>
          <w:color w:val="auto"/>
          <w:u w:val="none"/>
        </w:rPr>
        <w:t>文件符合性审查与澄清</w:t>
      </w:r>
      <w:bookmarkEnd w:id="171"/>
      <w:bookmarkEnd w:id="172"/>
      <w:bookmarkEnd w:id="173"/>
      <w:bookmarkEnd w:id="174"/>
      <w:bookmarkEnd w:id="175"/>
      <w:bookmarkEnd w:id="176"/>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20.1   符合性审查是指依据磋商文件的规定，从</w:t>
      </w:r>
      <w:r>
        <w:rPr>
          <w:rFonts w:hint="eastAsia" w:ascii="宋体" w:hAnsi="宋体" w:eastAsia="宋体" w:cs="宋体"/>
          <w:color w:val="auto"/>
          <w:sz w:val="24"/>
          <w:lang w:eastAsia="zh-CN"/>
        </w:rPr>
        <w:t>响应</w:t>
      </w:r>
      <w:r>
        <w:rPr>
          <w:rFonts w:hint="eastAsia" w:ascii="宋体" w:hAnsi="宋体" w:eastAsia="宋体" w:cs="宋体"/>
          <w:color w:val="auto"/>
          <w:sz w:val="24"/>
        </w:rPr>
        <w:t>文件的有效性和完整性对</w:t>
      </w:r>
      <w:r>
        <w:rPr>
          <w:rFonts w:hint="eastAsia" w:ascii="宋体" w:hAnsi="宋体" w:eastAsia="宋体" w:cs="宋体"/>
          <w:color w:val="auto"/>
          <w:sz w:val="24"/>
          <w:lang w:eastAsia="zh-CN"/>
        </w:rPr>
        <w:t>磋商</w:t>
      </w:r>
      <w:r>
        <w:rPr>
          <w:rFonts w:hint="eastAsia" w:ascii="宋体" w:hAnsi="宋体" w:eastAsia="宋体" w:cs="宋体"/>
          <w:color w:val="auto"/>
          <w:sz w:val="24"/>
        </w:rPr>
        <w:t>文件的响应程度进行审查，以确定是否对磋商文件的实质性要求做出响应。</w:t>
      </w:r>
      <w:bookmarkStart w:id="177" w:name="_Hlt522424701"/>
      <w:bookmarkEnd w:id="177"/>
      <w:bookmarkStart w:id="178" w:name="_Toc520356167"/>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rPr>
        <w:tab/>
      </w:r>
      <w:r>
        <w:rPr>
          <w:rFonts w:hint="eastAsia" w:ascii="宋体" w:hAnsi="宋体" w:eastAsia="宋体" w:cs="宋体"/>
          <w:color w:val="auto"/>
          <w:sz w:val="24"/>
          <w:lang w:eastAsia="zh-CN"/>
        </w:rPr>
        <w:t>响应</w:t>
      </w:r>
      <w:r>
        <w:rPr>
          <w:rFonts w:hint="eastAsia" w:ascii="宋体" w:hAnsi="宋体" w:eastAsia="宋体" w:cs="宋体"/>
          <w:color w:val="auto"/>
          <w:sz w:val="24"/>
        </w:rPr>
        <w:t>文件的澄清</w:t>
      </w:r>
    </w:p>
    <w:p>
      <w:pPr>
        <w:spacing w:line="240" w:lineRule="auto"/>
        <w:ind w:left="900" w:hanging="900" w:hangingChars="375"/>
        <w:rPr>
          <w:rFonts w:hint="eastAsia" w:ascii="宋体" w:hAnsi="宋体" w:eastAsia="宋体" w:cs="宋体"/>
          <w:color w:val="auto"/>
          <w:sz w:val="24"/>
        </w:rPr>
      </w:pPr>
      <w:r>
        <w:rPr>
          <w:rFonts w:hint="eastAsia" w:ascii="宋体" w:hAnsi="宋体" w:eastAsia="宋体" w:cs="宋体"/>
          <w:color w:val="auto"/>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w:t>
      </w:r>
      <w:r>
        <w:rPr>
          <w:rFonts w:hint="eastAsia" w:ascii="宋体" w:hAnsi="宋体" w:eastAsia="宋体" w:cs="宋体"/>
          <w:color w:val="auto"/>
          <w:sz w:val="24"/>
          <w:lang w:eastAsia="zh-CN"/>
        </w:rPr>
        <w:t>响应</w:t>
      </w:r>
      <w:r>
        <w:rPr>
          <w:rFonts w:hint="eastAsia" w:ascii="宋体" w:hAnsi="宋体" w:eastAsia="宋体" w:cs="宋体"/>
          <w:color w:val="auto"/>
          <w:sz w:val="24"/>
        </w:rPr>
        <w:t>文件范围或者改变</w:t>
      </w:r>
      <w:r>
        <w:rPr>
          <w:rFonts w:hint="eastAsia" w:ascii="宋体" w:hAnsi="宋体" w:eastAsia="宋体" w:cs="宋体"/>
          <w:color w:val="auto"/>
          <w:sz w:val="24"/>
          <w:lang w:eastAsia="zh-CN"/>
        </w:rPr>
        <w:t>响应</w:t>
      </w:r>
      <w:r>
        <w:rPr>
          <w:rFonts w:hint="eastAsia" w:ascii="宋体" w:hAnsi="宋体" w:eastAsia="宋体" w:cs="宋体"/>
          <w:color w:val="auto"/>
          <w:sz w:val="24"/>
        </w:rPr>
        <w:t>文件的实质性内容。</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20.2.2  供应商的的澄清、说明或补正将作为</w:t>
      </w:r>
      <w:r>
        <w:rPr>
          <w:rFonts w:hint="eastAsia" w:ascii="宋体" w:hAnsi="宋体" w:eastAsia="宋体" w:cs="宋体"/>
          <w:color w:val="auto"/>
          <w:sz w:val="24"/>
          <w:lang w:eastAsia="zh-CN"/>
        </w:rPr>
        <w:t>响应</w:t>
      </w:r>
      <w:r>
        <w:rPr>
          <w:rFonts w:hint="eastAsia" w:ascii="宋体" w:hAnsi="宋体" w:eastAsia="宋体" w:cs="宋体"/>
          <w:color w:val="auto"/>
          <w:sz w:val="24"/>
        </w:rPr>
        <w:t>文件的一部分。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20.3  </w:t>
      </w:r>
      <w:r>
        <w:rPr>
          <w:rFonts w:hint="eastAsia" w:ascii="宋体" w:hAnsi="宋体" w:eastAsia="宋体" w:cs="宋体"/>
          <w:color w:val="auto"/>
          <w:sz w:val="24"/>
          <w:lang w:eastAsia="zh-CN"/>
        </w:rPr>
        <w:t>响应</w:t>
      </w:r>
      <w:r>
        <w:rPr>
          <w:rFonts w:hint="eastAsia" w:ascii="宋体" w:hAnsi="宋体" w:eastAsia="宋体" w:cs="宋体"/>
          <w:color w:val="auto"/>
          <w:sz w:val="24"/>
        </w:rPr>
        <w:t>文件报价出现前后不一致的，按照下列规定修正：</w:t>
      </w:r>
    </w:p>
    <w:p>
      <w:pPr>
        <w:spacing w:line="240" w:lineRule="atLeast"/>
        <w:ind w:left="1020" w:hanging="1020" w:hangingChars="425"/>
        <w:rPr>
          <w:rFonts w:hint="eastAsia" w:ascii="宋体" w:hAnsi="宋体" w:eastAsia="宋体" w:cs="宋体"/>
          <w:color w:val="auto"/>
          <w:sz w:val="24"/>
        </w:rPr>
      </w:pPr>
      <w:r>
        <w:rPr>
          <w:rFonts w:hint="eastAsia" w:ascii="宋体" w:hAnsi="宋体" w:eastAsia="宋体" w:cs="宋体"/>
          <w:color w:val="auto"/>
          <w:sz w:val="24"/>
        </w:rPr>
        <w:t>　　   （一）</w:t>
      </w:r>
      <w:r>
        <w:rPr>
          <w:rFonts w:hint="eastAsia" w:ascii="宋体" w:hAnsi="宋体" w:eastAsia="宋体" w:cs="宋体"/>
          <w:color w:val="auto"/>
          <w:sz w:val="24"/>
          <w:lang w:eastAsia="zh-CN"/>
        </w:rPr>
        <w:t>响应</w:t>
      </w:r>
      <w:r>
        <w:rPr>
          <w:rFonts w:hint="eastAsia" w:ascii="宋体" w:hAnsi="宋体" w:eastAsia="宋体" w:cs="宋体"/>
          <w:color w:val="auto"/>
          <w:sz w:val="24"/>
        </w:rPr>
        <w:t>文件中开标一览表（报价表）内容与</w:t>
      </w:r>
      <w:r>
        <w:rPr>
          <w:rFonts w:hint="eastAsia" w:ascii="宋体" w:hAnsi="宋体" w:eastAsia="宋体" w:cs="宋体"/>
          <w:color w:val="auto"/>
          <w:sz w:val="24"/>
          <w:lang w:eastAsia="zh-CN"/>
        </w:rPr>
        <w:t>响应</w:t>
      </w:r>
      <w:r>
        <w:rPr>
          <w:rFonts w:hint="eastAsia" w:ascii="宋体" w:hAnsi="宋体" w:eastAsia="宋体" w:cs="宋体"/>
          <w:color w:val="auto"/>
          <w:sz w:val="24"/>
        </w:rPr>
        <w:t>文件中相应内容不一致的，以开标一览表（报价表）为准；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（二）大写金额和小写金额不一致的，以大写金额为准；</w:t>
      </w:r>
    </w:p>
    <w:p>
      <w:pPr>
        <w:spacing w:line="240" w:lineRule="atLeast"/>
        <w:ind w:left="1020" w:hanging="1020" w:hangingChars="425"/>
        <w:rPr>
          <w:rFonts w:hint="eastAsia" w:ascii="宋体" w:hAnsi="宋体" w:eastAsia="宋体" w:cs="宋体"/>
          <w:color w:val="auto"/>
          <w:sz w:val="24"/>
        </w:rPr>
      </w:pPr>
      <w:r>
        <w:rPr>
          <w:rFonts w:hint="eastAsia" w:ascii="宋体" w:hAnsi="宋体" w:eastAsia="宋体" w:cs="宋体"/>
          <w:color w:val="auto"/>
          <w:sz w:val="24"/>
        </w:rPr>
        <w:t>　   　（三）单价金额小数点或者百分比有明显错位的，以开标一览表的总价为准，并修改单价；</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（四）总价金额与按单价汇总金额不一致的，以单价金额计算结果为准。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735" w:leftChars="350" w:firstLine="120" w:firstLineChars="50"/>
        <w:rPr>
          <w:rFonts w:hint="eastAsia" w:ascii="宋体" w:hAnsi="宋体" w:eastAsia="宋体" w:cs="宋体"/>
          <w:color w:val="auto"/>
          <w:sz w:val="24"/>
        </w:rPr>
      </w:pPr>
      <w:r>
        <w:rPr>
          <w:rFonts w:hint="eastAsia" w:ascii="宋体" w:hAnsi="宋体" w:eastAsia="宋体" w:cs="宋体"/>
          <w:color w:val="auto"/>
          <w:sz w:val="24"/>
        </w:rPr>
        <w:t>对不同文字文本响应文件的解释发生异议的，以中文文本为准。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5"/>
        <w:spacing w:before="0" w:after="0" w:line="240" w:lineRule="atLeast"/>
        <w:rPr>
          <w:rFonts w:hint="eastAsia" w:ascii="宋体" w:hAnsi="宋体" w:eastAsia="宋体" w:cs="宋体"/>
          <w:color w:val="auto"/>
          <w:u w:val="none"/>
        </w:rPr>
      </w:pPr>
      <w:bookmarkStart w:id="179" w:name="_Toc29782"/>
      <w:bookmarkStart w:id="180" w:name="_Toc21764"/>
      <w:bookmarkStart w:id="181" w:name="_Toc515647782"/>
      <w:bookmarkStart w:id="182" w:name="_Toc6364"/>
      <w:bookmarkStart w:id="183" w:name="_Toc23229"/>
      <w:bookmarkStart w:id="184" w:name="_Toc9469"/>
      <w:r>
        <w:rPr>
          <w:rFonts w:hint="eastAsia" w:ascii="宋体" w:hAnsi="宋体" w:eastAsia="宋体" w:cs="宋体"/>
          <w:color w:val="auto"/>
          <w:u w:val="none"/>
        </w:rPr>
        <w:t>21.磋商偏离</w:t>
      </w:r>
      <w:bookmarkEnd w:id="179"/>
      <w:bookmarkEnd w:id="180"/>
      <w:bookmarkEnd w:id="181"/>
      <w:bookmarkEnd w:id="182"/>
      <w:bookmarkEnd w:id="183"/>
      <w:bookmarkEnd w:id="184"/>
    </w:p>
    <w:p>
      <w:pPr>
        <w:spacing w:line="240" w:lineRule="atLeast"/>
        <w:ind w:left="847" w:leftChars="99" w:hanging="640" w:hangingChars="267"/>
        <w:rPr>
          <w:rFonts w:hint="eastAsia" w:ascii="宋体" w:hAnsi="宋体" w:eastAsia="宋体" w:cs="宋体"/>
          <w:color w:val="auto"/>
          <w:sz w:val="24"/>
        </w:rPr>
      </w:pPr>
      <w:r>
        <w:rPr>
          <w:rFonts w:hint="eastAsia" w:ascii="宋体" w:hAnsi="宋体" w:eastAsia="宋体" w:cs="宋体"/>
          <w:color w:val="auto"/>
          <w:sz w:val="24"/>
        </w:rPr>
        <w:t xml:space="preserve">     磋商小组可以接受</w:t>
      </w:r>
      <w:r>
        <w:rPr>
          <w:rFonts w:hint="eastAsia" w:ascii="宋体" w:hAnsi="宋体" w:eastAsia="宋体" w:cs="宋体"/>
          <w:color w:val="auto"/>
          <w:sz w:val="24"/>
          <w:lang w:eastAsia="zh-CN"/>
        </w:rPr>
        <w:t>响应</w:t>
      </w:r>
      <w:r>
        <w:rPr>
          <w:rFonts w:hint="eastAsia" w:ascii="宋体" w:hAnsi="宋体" w:eastAsia="宋体" w:cs="宋体"/>
          <w:color w:val="auto"/>
          <w:sz w:val="24"/>
        </w:rPr>
        <w:t>文件中不构成实质性偏离的不正规或不一致。</w:t>
      </w:r>
    </w:p>
    <w:p>
      <w:pPr>
        <w:pStyle w:val="5"/>
        <w:spacing w:before="0" w:after="0" w:line="240" w:lineRule="atLeast"/>
        <w:rPr>
          <w:rFonts w:hint="eastAsia" w:ascii="宋体" w:hAnsi="宋体" w:eastAsia="宋体" w:cs="宋体"/>
          <w:color w:val="auto"/>
          <w:u w:val="none"/>
        </w:rPr>
      </w:pPr>
      <w:bookmarkStart w:id="185" w:name="_Toc515647783"/>
      <w:bookmarkStart w:id="186" w:name="_Toc7012"/>
      <w:bookmarkStart w:id="187" w:name="_Toc23480"/>
      <w:bookmarkStart w:id="188" w:name="_Toc4950"/>
      <w:bookmarkStart w:id="189" w:name="_Toc1015"/>
      <w:bookmarkStart w:id="190" w:name="_Toc6092"/>
      <w:r>
        <w:rPr>
          <w:rFonts w:hint="eastAsia" w:ascii="宋体" w:hAnsi="宋体" w:eastAsia="宋体" w:cs="宋体"/>
          <w:color w:val="auto"/>
          <w:u w:val="none"/>
        </w:rPr>
        <w:t>22.</w:t>
      </w:r>
      <w:bookmarkEnd w:id="185"/>
      <w:r>
        <w:rPr>
          <w:rFonts w:hint="eastAsia" w:ascii="宋体" w:hAnsi="宋体" w:eastAsia="宋体" w:cs="宋体"/>
          <w:color w:val="auto"/>
          <w:u w:val="none"/>
        </w:rPr>
        <w:t>磋商无效</w:t>
      </w:r>
      <w:bookmarkEnd w:id="186"/>
      <w:bookmarkEnd w:id="187"/>
      <w:bookmarkEnd w:id="188"/>
      <w:bookmarkEnd w:id="189"/>
      <w:bookmarkEnd w:id="190"/>
    </w:p>
    <w:p>
      <w:pPr>
        <w:spacing w:line="240" w:lineRule="atLeast"/>
        <w:ind w:left="852" w:leftChars="-23" w:hanging="900" w:hangingChars="375"/>
        <w:rPr>
          <w:rFonts w:hint="eastAsia" w:ascii="宋体" w:hAnsi="宋体" w:eastAsia="宋体" w:cs="宋体"/>
          <w:color w:val="auto"/>
          <w:sz w:val="24"/>
        </w:rPr>
      </w:pPr>
      <w:r>
        <w:rPr>
          <w:rFonts w:hint="eastAsia" w:ascii="宋体" w:hAnsi="宋体" w:eastAsia="宋体" w:cs="宋体"/>
          <w:color w:val="auto"/>
          <w:sz w:val="24"/>
        </w:rPr>
        <w:t>22.1   在比较与评价之前，根据本须知的规定，磋商小组要审查每份</w:t>
      </w:r>
      <w:r>
        <w:rPr>
          <w:rFonts w:hint="eastAsia" w:ascii="宋体" w:hAnsi="宋体" w:eastAsia="宋体" w:cs="宋体"/>
          <w:color w:val="auto"/>
          <w:sz w:val="24"/>
          <w:lang w:eastAsia="zh-CN"/>
        </w:rPr>
        <w:t>响应</w:t>
      </w:r>
      <w:r>
        <w:rPr>
          <w:rFonts w:hint="eastAsia" w:ascii="宋体" w:hAnsi="宋体" w:eastAsia="宋体" w:cs="宋体"/>
          <w:color w:val="auto"/>
          <w:sz w:val="24"/>
        </w:rPr>
        <w:t>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auto"/>
          <w:sz w:val="24"/>
        </w:rPr>
        <w:t>磋商无效</w:t>
      </w:r>
      <w:r>
        <w:rPr>
          <w:rFonts w:hint="eastAsia" w:ascii="宋体" w:hAnsi="宋体" w:eastAsia="宋体" w:cs="宋体"/>
          <w:color w:val="auto"/>
          <w:sz w:val="24"/>
        </w:rPr>
        <w:t>。供应商不得通过修正或撤销不符合要求的偏离，从而使其磋商成为实质上响应的磋商。</w:t>
      </w:r>
    </w:p>
    <w:p>
      <w:pPr>
        <w:spacing w:line="240" w:lineRule="atLeast"/>
        <w:ind w:left="791" w:leftChars="377"/>
        <w:rPr>
          <w:rFonts w:hint="eastAsia" w:ascii="宋体" w:hAnsi="宋体" w:eastAsia="宋体" w:cs="宋体"/>
          <w:color w:val="auto"/>
          <w:sz w:val="24"/>
        </w:rPr>
      </w:pPr>
      <w:r>
        <w:rPr>
          <w:rFonts w:hint="eastAsia" w:ascii="宋体" w:hAnsi="宋体" w:eastAsia="宋体" w:cs="宋体"/>
          <w:color w:val="auto"/>
          <w:sz w:val="24"/>
        </w:rPr>
        <w:t>磋商小组决定磋商的响应性只根据磋商文件要求、</w:t>
      </w:r>
      <w:r>
        <w:rPr>
          <w:rFonts w:hint="eastAsia" w:ascii="宋体" w:hAnsi="宋体" w:eastAsia="宋体" w:cs="宋体"/>
          <w:color w:val="auto"/>
          <w:sz w:val="24"/>
          <w:lang w:eastAsia="zh-CN"/>
        </w:rPr>
        <w:t>响应</w:t>
      </w:r>
      <w:r>
        <w:rPr>
          <w:rFonts w:hint="eastAsia" w:ascii="宋体" w:hAnsi="宋体" w:eastAsia="宋体" w:cs="宋体"/>
          <w:color w:val="auto"/>
          <w:sz w:val="24"/>
        </w:rPr>
        <w:t>文件内容及财政主管部门指定相关信息发布媒体。</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22.2</w:t>
      </w:r>
      <w:r>
        <w:rPr>
          <w:rFonts w:hint="eastAsia" w:ascii="宋体" w:hAnsi="宋体" w:eastAsia="宋体" w:cs="宋体"/>
          <w:color w:val="auto"/>
          <w:sz w:val="24"/>
        </w:rPr>
        <w:tab/>
      </w:r>
      <w:r>
        <w:rPr>
          <w:rFonts w:hint="eastAsia" w:ascii="宋体" w:hAnsi="宋体" w:eastAsia="宋体" w:cs="宋体"/>
          <w:color w:val="auto"/>
          <w:sz w:val="24"/>
        </w:rPr>
        <w:t>如发现下列情况之一的，其磋商将被认定为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r>
        <w:rPr>
          <w:rFonts w:hint="eastAsia" w:ascii="宋体" w:hAnsi="宋体" w:eastAsia="宋体" w:cs="宋体"/>
          <w:b/>
          <w:color w:val="auto"/>
          <w:sz w:val="24"/>
        </w:rPr>
        <w:t>以下情形应当在磋商文件中规定，并以醒目的方式标明</w:t>
      </w:r>
      <w:r>
        <w:rPr>
          <w:rFonts w:hint="eastAsia" w:ascii="宋体" w:hAnsi="宋体" w:eastAsia="宋体" w:cs="宋体"/>
          <w:color w:val="auto"/>
          <w:sz w:val="24"/>
        </w:rPr>
        <w:t>）</w:t>
      </w:r>
    </w:p>
    <w:p>
      <w:pPr>
        <w:numPr>
          <w:ilvl w:val="0"/>
          <w:numId w:val="3"/>
        </w:numPr>
        <w:spacing w:line="240" w:lineRule="atLeast"/>
        <w:ind w:left="1080" w:leftChars="429" w:hanging="180"/>
        <w:rPr>
          <w:rFonts w:hint="eastAsia" w:ascii="宋体" w:hAnsi="宋体" w:eastAsia="宋体" w:cs="宋体"/>
          <w:b/>
          <w:bCs/>
          <w:color w:val="auto"/>
          <w:sz w:val="24"/>
        </w:rPr>
      </w:pPr>
      <w:r>
        <w:rPr>
          <w:rFonts w:hint="eastAsia" w:ascii="宋体" w:hAnsi="宋体" w:eastAsia="宋体" w:cs="宋体"/>
          <w:b/>
          <w:bCs/>
          <w:color w:val="auto"/>
          <w:sz w:val="24"/>
        </w:rPr>
        <w:t>未按磋商文件规定的形式和金额提交磋商保证金的；</w:t>
      </w:r>
    </w:p>
    <w:p>
      <w:pPr>
        <w:numPr>
          <w:ilvl w:val="0"/>
          <w:numId w:val="3"/>
        </w:numPr>
        <w:spacing w:line="240" w:lineRule="atLeast"/>
        <w:ind w:left="1080" w:leftChars="429" w:hanging="180"/>
        <w:rPr>
          <w:rFonts w:hint="eastAsia" w:ascii="宋体" w:hAnsi="宋体" w:eastAsia="宋体" w:cs="宋体"/>
          <w:b/>
          <w:bCs/>
          <w:color w:val="auto"/>
          <w:sz w:val="24"/>
        </w:rPr>
      </w:pPr>
      <w:r>
        <w:rPr>
          <w:rFonts w:hint="eastAsia" w:ascii="宋体" w:hAnsi="宋体" w:eastAsia="宋体" w:cs="宋体"/>
          <w:b/>
          <w:bCs/>
          <w:color w:val="auto"/>
          <w:sz w:val="24"/>
        </w:rPr>
        <w:t>未按照磋商文件规定要求签署、盖章的；</w:t>
      </w:r>
    </w:p>
    <w:p>
      <w:pPr>
        <w:numPr>
          <w:ilvl w:val="0"/>
          <w:numId w:val="3"/>
        </w:numPr>
        <w:spacing w:line="240" w:lineRule="atLeast"/>
        <w:ind w:left="1080" w:leftChars="429" w:hanging="180"/>
        <w:rPr>
          <w:rFonts w:hint="eastAsia" w:ascii="宋体" w:hAnsi="宋体" w:eastAsia="宋体" w:cs="宋体"/>
          <w:b/>
          <w:bCs/>
          <w:color w:val="auto"/>
          <w:sz w:val="24"/>
        </w:rPr>
      </w:pPr>
      <w:r>
        <w:rPr>
          <w:rFonts w:hint="eastAsia" w:ascii="宋体" w:hAnsi="宋体" w:eastAsia="宋体" w:cs="宋体"/>
          <w:b/>
          <w:bCs/>
          <w:color w:val="auto"/>
          <w:sz w:val="24"/>
        </w:rPr>
        <w:t>未满足磋商文件中技术条款的实质性要求；</w:t>
      </w:r>
    </w:p>
    <w:p>
      <w:pPr>
        <w:numPr>
          <w:ilvl w:val="0"/>
          <w:numId w:val="3"/>
        </w:numPr>
        <w:spacing w:line="240" w:lineRule="atLeast"/>
        <w:ind w:left="1080" w:leftChars="429" w:hanging="180"/>
        <w:rPr>
          <w:rFonts w:hint="eastAsia" w:ascii="宋体" w:hAnsi="宋体" w:eastAsia="宋体" w:cs="宋体"/>
          <w:b/>
          <w:bCs/>
          <w:color w:val="auto"/>
          <w:sz w:val="24"/>
        </w:rPr>
      </w:pPr>
      <w:r>
        <w:rPr>
          <w:rFonts w:hint="eastAsia" w:ascii="宋体" w:hAnsi="宋体" w:eastAsia="宋体" w:cs="宋体"/>
          <w:b/>
          <w:bCs/>
          <w:color w:val="auto"/>
          <w:sz w:val="24"/>
        </w:rPr>
        <w:t>与其他供应商串通磋商，或者与招标人串通磋商；</w:t>
      </w:r>
    </w:p>
    <w:p>
      <w:pPr>
        <w:numPr>
          <w:ilvl w:val="0"/>
          <w:numId w:val="3"/>
        </w:numPr>
        <w:spacing w:line="240" w:lineRule="atLeast"/>
        <w:ind w:left="1080" w:leftChars="429" w:hanging="180"/>
        <w:rPr>
          <w:rFonts w:hint="eastAsia" w:ascii="宋体" w:hAnsi="宋体" w:eastAsia="宋体" w:cs="宋体"/>
          <w:b/>
          <w:bCs/>
          <w:color w:val="auto"/>
          <w:sz w:val="24"/>
        </w:rPr>
      </w:pPr>
      <w:r>
        <w:rPr>
          <w:rFonts w:hint="eastAsia" w:ascii="宋体" w:hAnsi="宋体" w:eastAsia="宋体" w:cs="宋体"/>
          <w:b/>
          <w:bCs/>
          <w:color w:val="auto"/>
          <w:sz w:val="24"/>
        </w:rPr>
        <w:t>属于磋商文件规定的其他磋商无效情形；</w:t>
      </w:r>
    </w:p>
    <w:p>
      <w:pPr>
        <w:numPr>
          <w:ilvl w:val="0"/>
          <w:numId w:val="3"/>
        </w:numPr>
        <w:spacing w:line="240" w:lineRule="atLeast"/>
        <w:ind w:left="1080" w:leftChars="429" w:hanging="180"/>
        <w:rPr>
          <w:rFonts w:hint="eastAsia" w:ascii="宋体" w:hAnsi="宋体" w:eastAsia="宋体" w:cs="宋体"/>
          <w:b/>
          <w:bCs/>
          <w:color w:val="auto"/>
          <w:sz w:val="24"/>
        </w:rPr>
      </w:pPr>
      <w:r>
        <w:rPr>
          <w:rFonts w:hint="eastAsia" w:ascii="宋体" w:hAnsi="宋体" w:eastAsia="宋体" w:cs="宋体"/>
          <w:b/>
          <w:bCs/>
          <w:color w:val="auto"/>
          <w:sz w:val="24"/>
        </w:rPr>
        <w:t>磋商小组认为供应商的报价明显低于其他通过符合性检查供应商的报价，有可能影响履约的，且供应商未按照规定证明其报价合理性的；</w:t>
      </w:r>
    </w:p>
    <w:p>
      <w:pPr>
        <w:numPr>
          <w:ilvl w:val="0"/>
          <w:numId w:val="3"/>
        </w:numPr>
        <w:spacing w:line="240" w:lineRule="atLeast"/>
        <w:ind w:left="1080" w:leftChars="429" w:hanging="180"/>
        <w:rPr>
          <w:rFonts w:hint="eastAsia" w:ascii="宋体" w:hAnsi="宋体" w:eastAsia="宋体" w:cs="宋体"/>
          <w:b/>
          <w:bCs/>
          <w:color w:val="auto"/>
          <w:sz w:val="24"/>
        </w:rPr>
      </w:pPr>
      <w:r>
        <w:rPr>
          <w:rFonts w:hint="eastAsia" w:ascii="宋体" w:hAnsi="宋体" w:eastAsia="宋体" w:cs="宋体"/>
          <w:b/>
          <w:bCs/>
          <w:color w:val="auto"/>
          <w:sz w:val="24"/>
          <w:lang w:eastAsia="zh-CN"/>
        </w:rPr>
        <w:t>响应</w:t>
      </w:r>
      <w:r>
        <w:rPr>
          <w:rFonts w:hint="eastAsia" w:ascii="宋体" w:hAnsi="宋体" w:eastAsia="宋体" w:cs="宋体"/>
          <w:b/>
          <w:bCs/>
          <w:color w:val="auto"/>
          <w:sz w:val="24"/>
        </w:rPr>
        <w:t>文件含有采购人不能接受的附加条件的；</w:t>
      </w:r>
    </w:p>
    <w:p>
      <w:pPr>
        <w:numPr>
          <w:ilvl w:val="0"/>
          <w:numId w:val="0"/>
        </w:numPr>
        <w:spacing w:line="240" w:lineRule="atLeast"/>
        <w:ind w:leftChars="42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不符合法规和磋商文件中规定的其他实质性要求的</w:t>
      </w:r>
      <w:r>
        <w:rPr>
          <w:rFonts w:hint="eastAsia" w:ascii="宋体" w:hAnsi="宋体" w:eastAsia="宋体" w:cs="宋体"/>
          <w:color w:val="auto"/>
          <w:sz w:val="24"/>
        </w:rPr>
        <w:t>。</w:t>
      </w:r>
    </w:p>
    <w:p>
      <w:pPr>
        <w:pStyle w:val="5"/>
        <w:spacing w:before="0" w:after="0" w:line="240" w:lineRule="atLeast"/>
        <w:rPr>
          <w:rFonts w:hint="eastAsia" w:ascii="宋体" w:hAnsi="宋体" w:eastAsia="宋体" w:cs="宋体"/>
          <w:color w:val="auto"/>
          <w:u w:val="none"/>
        </w:rPr>
      </w:pPr>
      <w:bookmarkStart w:id="191" w:name="_Toc13652"/>
      <w:bookmarkStart w:id="192" w:name="_Toc19433"/>
      <w:bookmarkStart w:id="193" w:name="_Toc22941"/>
      <w:bookmarkStart w:id="194" w:name="_Toc17928"/>
      <w:bookmarkStart w:id="195" w:name="_Toc515647784"/>
      <w:r>
        <w:rPr>
          <w:rFonts w:hint="eastAsia" w:ascii="宋体" w:hAnsi="宋体" w:eastAsia="宋体" w:cs="宋体"/>
          <w:color w:val="auto"/>
          <w:u w:val="none"/>
        </w:rPr>
        <w:t>23.</w:t>
      </w:r>
      <w:bookmarkEnd w:id="178"/>
      <w:r>
        <w:rPr>
          <w:rFonts w:hint="eastAsia" w:ascii="宋体" w:hAnsi="宋体" w:eastAsia="宋体" w:cs="宋体"/>
          <w:color w:val="auto"/>
          <w:u w:val="none"/>
        </w:rPr>
        <w:t>比较与评价</w:t>
      </w:r>
      <w:bookmarkEnd w:id="191"/>
      <w:bookmarkEnd w:id="192"/>
      <w:bookmarkEnd w:id="193"/>
      <w:bookmarkEnd w:id="194"/>
      <w:bookmarkEnd w:id="195"/>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rPr>
        <w:tab/>
      </w:r>
      <w:r>
        <w:rPr>
          <w:rFonts w:hint="eastAsia" w:ascii="宋体" w:hAnsi="宋体" w:eastAsia="宋体" w:cs="宋体"/>
          <w:color w:val="auto"/>
          <w:sz w:val="24"/>
        </w:rPr>
        <w:t>经符合性审查合格的响应文件，磋商小组将根据磋商文件确定的评标方法和标准，对其技术部分和商务部分作进一步的比较和评价。</w:t>
      </w:r>
    </w:p>
    <w:p>
      <w:pPr>
        <w:spacing w:line="240" w:lineRule="atLeast"/>
        <w:ind w:left="957" w:leftChars="456" w:firstLine="0" w:firstLineChars="0"/>
        <w:rPr>
          <w:rFonts w:hint="eastAsia" w:ascii="宋体" w:hAnsi="宋体" w:eastAsia="宋体" w:cs="宋体"/>
          <w:b/>
          <w:bCs/>
          <w:color w:val="auto"/>
          <w:sz w:val="24"/>
          <w:u w:val="single"/>
          <w:lang w:val="en-US" w:eastAsia="zh-CN"/>
        </w:rPr>
      </w:pPr>
      <w:r>
        <w:rPr>
          <w:rFonts w:hint="eastAsia" w:ascii="宋体" w:hAnsi="宋体" w:eastAsia="宋体" w:cs="宋体"/>
          <w:b/>
          <w:bCs/>
          <w:color w:val="auto"/>
          <w:sz w:val="24"/>
          <w:u w:val="single"/>
          <w:lang w:val="en-US" w:eastAsia="zh-CN"/>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23.2  </w:t>
      </w:r>
      <w:r>
        <w:rPr>
          <w:rFonts w:hint="eastAsia" w:ascii="宋体" w:hAnsi="宋体" w:eastAsia="宋体" w:cs="宋体"/>
          <w:color w:val="auto"/>
          <w:sz w:val="24"/>
        </w:rPr>
        <w:tab/>
      </w:r>
      <w:r>
        <w:rPr>
          <w:rFonts w:hint="eastAsia" w:ascii="宋体" w:hAnsi="宋体" w:eastAsia="宋体" w:cs="宋体"/>
          <w:color w:val="auto"/>
          <w:sz w:val="24"/>
        </w:rPr>
        <w:t>评标严格按照磋商文件的要求和条件进行。根据实际情况，在供应商须知资料表中规定采用下列一种评标方法，详细评标标准见磋商文件第六章：</w:t>
      </w:r>
    </w:p>
    <w:p>
      <w:pPr>
        <w:spacing w:line="240" w:lineRule="atLeast"/>
        <w:ind w:left="900" w:hanging="900" w:hangingChars="3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kern w:val="2"/>
          <w:sz w:val="24"/>
          <w:szCs w:val="24"/>
          <w:lang w:val="en-US" w:eastAsia="zh-CN" w:bidi="ar-SA"/>
        </w:rPr>
        <w:t xml:space="preserve"> 综合评分法，是指响应文件满足磋商文件全部实质性要求，且按照评审因素的量化指标评审得分最高的供应商为成交候选人的评标方法。</w:t>
      </w:r>
    </w:p>
    <w:p>
      <w:pPr>
        <w:spacing w:line="240" w:lineRule="atLeast"/>
        <w:ind w:left="900" w:hanging="900" w:hangingChars="3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本项目采用采购方式：竞争性磋商；</w:t>
      </w:r>
    </w:p>
    <w:p>
      <w:pPr>
        <w:spacing w:line="240" w:lineRule="atLeast"/>
        <w:ind w:left="958" w:leftChars="228" w:hanging="480" w:hanging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价格因素：30分（综合评分法中的价格分统一采用低价优先法计算，即满足磋商文件要求且投标价格最低的投标报价为评标基准价，其价格分为满分30分，其投标报价得分=(评标基准价／投标报价)×价格权值×100）</w:t>
      </w:r>
    </w:p>
    <w:p>
      <w:pPr>
        <w:spacing w:line="240" w:lineRule="atLeast"/>
        <w:ind w:left="898" w:leftChars="228" w:hanging="420" w:hangingChars="175"/>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2、商务因素及技术因素：70分</w:t>
      </w:r>
    </w:p>
    <w:p>
      <w:pPr>
        <w:spacing w:line="240" w:lineRule="atLeast"/>
        <w:ind w:left="900" w:hanging="900" w:hangingChars="3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23.3   根据《政府采购促进中小企业发展管理办法》（财库[2020]46号）、</w:t>
      </w:r>
    </w:p>
    <w:p>
      <w:pPr>
        <w:pStyle w:val="10"/>
        <w:spacing w:line="420" w:lineRule="exact"/>
        <w:ind w:left="898" w:leftChars="342" w:hanging="180" w:hangingChars="75"/>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《财政部 司法部关于政府采购支持监狱企业发展有关问题的通知》（财库</w:t>
      </w:r>
      <w:r>
        <w:rPr>
          <w:rFonts w:hint="eastAsia" w:ascii="宋体" w:hAnsi="宋体" w:eastAsia="宋体" w:cs="宋体"/>
          <w:color w:val="auto"/>
          <w:sz w:val="24"/>
          <w:szCs w:val="24"/>
        </w:rPr>
        <w:t>〔2014〕68号）和《三部门联合发布关于促进残疾人就业政府采购政策的通知》（</w:t>
      </w:r>
      <w:bookmarkStart w:id="196" w:name="sendNo"/>
      <w:r>
        <w:rPr>
          <w:rFonts w:hint="eastAsia" w:ascii="宋体" w:hAnsi="宋体" w:eastAsia="宋体" w:cs="宋体"/>
          <w:bCs/>
          <w:color w:val="auto"/>
          <w:sz w:val="24"/>
          <w:szCs w:val="24"/>
        </w:rPr>
        <w:t>财库〔</w:t>
      </w:r>
      <w:bookmarkEnd w:id="196"/>
      <w:r>
        <w:rPr>
          <w:rFonts w:hint="eastAsia" w:ascii="宋体" w:hAnsi="宋体" w:eastAsia="宋体" w:cs="宋体"/>
          <w:bCs/>
          <w:color w:val="auto"/>
          <w:sz w:val="24"/>
          <w:szCs w:val="24"/>
        </w:rPr>
        <w:t>2017〕141号</w:t>
      </w:r>
      <w:r>
        <w:rPr>
          <w:rFonts w:hint="eastAsia" w:ascii="宋体" w:hAnsi="宋体" w:eastAsia="宋体" w:cs="宋体"/>
          <w:color w:val="auto"/>
          <w:sz w:val="24"/>
          <w:szCs w:val="24"/>
        </w:rPr>
        <w:t>）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5"/>
        <w:spacing w:before="0" w:after="0" w:line="420" w:lineRule="exact"/>
        <w:rPr>
          <w:rFonts w:hint="eastAsia" w:ascii="宋体" w:hAnsi="宋体" w:eastAsia="宋体" w:cs="宋体"/>
          <w:color w:val="auto"/>
          <w:u w:val="none"/>
        </w:rPr>
      </w:pPr>
      <w:bookmarkStart w:id="197" w:name="_Toc520356168"/>
      <w:bookmarkStart w:id="198" w:name="_Toc9378"/>
      <w:bookmarkStart w:id="199" w:name="_Toc17823"/>
      <w:bookmarkStart w:id="200" w:name="_Toc515647785"/>
      <w:bookmarkStart w:id="201" w:name="_Toc20227"/>
      <w:bookmarkStart w:id="202" w:name="_Toc16201"/>
      <w:bookmarkStart w:id="203" w:name="_Toc19842"/>
      <w:r>
        <w:rPr>
          <w:rFonts w:hint="eastAsia" w:ascii="宋体" w:hAnsi="宋体" w:eastAsia="宋体" w:cs="宋体"/>
          <w:color w:val="auto"/>
          <w:u w:val="none"/>
        </w:rPr>
        <w:t>24</w:t>
      </w:r>
      <w:bookmarkEnd w:id="197"/>
      <w:r>
        <w:rPr>
          <w:rFonts w:hint="eastAsia" w:ascii="宋体" w:hAnsi="宋体" w:eastAsia="宋体" w:cs="宋体"/>
          <w:color w:val="auto"/>
          <w:u w:val="none"/>
        </w:rPr>
        <w:t>.废标</w:t>
      </w:r>
      <w:bookmarkEnd w:id="198"/>
      <w:bookmarkEnd w:id="199"/>
      <w:bookmarkEnd w:id="200"/>
      <w:bookmarkEnd w:id="201"/>
      <w:bookmarkEnd w:id="202"/>
      <w:bookmarkEnd w:id="203"/>
    </w:p>
    <w:p>
      <w:pPr>
        <w:spacing w:line="420" w:lineRule="exact"/>
        <w:ind w:left="897" w:leftChars="399" w:hanging="60" w:hangingChars="25"/>
        <w:rPr>
          <w:rFonts w:hint="eastAsia" w:ascii="宋体" w:hAnsi="宋体" w:eastAsia="宋体" w:cs="宋体"/>
          <w:color w:val="auto"/>
          <w:sz w:val="24"/>
        </w:rPr>
      </w:pPr>
      <w:r>
        <w:rPr>
          <w:rFonts w:hint="eastAsia" w:ascii="宋体" w:hAnsi="宋体" w:eastAsia="宋体" w:cs="宋体"/>
          <w:color w:val="auto"/>
          <w:sz w:val="24"/>
        </w:rPr>
        <w:t xml:space="preserve">出现下列情形之一，将导致项目废标： </w:t>
      </w:r>
    </w:p>
    <w:p>
      <w:pPr>
        <w:spacing w:line="4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（1）出现影响采购公正的违法、违规行为的；</w:t>
      </w:r>
    </w:p>
    <w:p>
      <w:pPr>
        <w:spacing w:line="420" w:lineRule="exact"/>
        <w:ind w:firstLine="840" w:firstLineChars="350"/>
        <w:rPr>
          <w:rFonts w:hint="eastAsia" w:ascii="宋体" w:hAnsi="宋体" w:eastAsia="宋体" w:cs="宋体"/>
          <w:color w:val="auto"/>
          <w:sz w:val="24"/>
        </w:rPr>
      </w:pPr>
      <w:r>
        <w:rPr>
          <w:rFonts w:hint="eastAsia" w:ascii="宋体" w:hAnsi="宋体" w:eastAsia="宋体" w:cs="宋体"/>
          <w:color w:val="auto"/>
          <w:sz w:val="24"/>
        </w:rPr>
        <w:t>（2）供应商的报价均超过了采购预算，采购人不能支付的；</w:t>
      </w:r>
    </w:p>
    <w:p>
      <w:pPr>
        <w:spacing w:line="420" w:lineRule="exact"/>
        <w:ind w:firstLine="840" w:firstLineChars="350"/>
        <w:rPr>
          <w:rFonts w:hint="eastAsia" w:ascii="宋体" w:hAnsi="宋体" w:eastAsia="宋体" w:cs="宋体"/>
          <w:color w:val="auto"/>
          <w:sz w:val="24"/>
        </w:rPr>
      </w:pPr>
      <w:r>
        <w:rPr>
          <w:rFonts w:hint="eastAsia" w:ascii="宋体" w:hAnsi="宋体" w:eastAsia="宋体" w:cs="宋体"/>
          <w:color w:val="auto"/>
          <w:sz w:val="24"/>
        </w:rPr>
        <w:t xml:space="preserve">（3）因重大变故，采购任务取消的。   </w:t>
      </w:r>
    </w:p>
    <w:p>
      <w:pPr>
        <w:pStyle w:val="5"/>
        <w:spacing w:before="0" w:after="0" w:line="420" w:lineRule="exact"/>
        <w:rPr>
          <w:rFonts w:hint="eastAsia" w:ascii="宋体" w:hAnsi="宋体" w:eastAsia="宋体" w:cs="宋体"/>
          <w:color w:val="auto"/>
          <w:u w:val="none"/>
        </w:rPr>
      </w:pPr>
      <w:bookmarkStart w:id="204" w:name="_Toc24972"/>
      <w:bookmarkStart w:id="205" w:name="_Toc515647786"/>
      <w:bookmarkStart w:id="206" w:name="_Toc20126"/>
      <w:bookmarkStart w:id="207" w:name="_Toc31289"/>
      <w:bookmarkStart w:id="208" w:name="_Toc8176"/>
      <w:bookmarkStart w:id="209" w:name="_Toc24255"/>
      <w:bookmarkStart w:id="210" w:name="_Toc520356169"/>
      <w:r>
        <w:rPr>
          <w:rFonts w:hint="eastAsia" w:ascii="宋体" w:hAnsi="宋体" w:eastAsia="宋体" w:cs="宋体"/>
          <w:color w:val="auto"/>
          <w:u w:val="none"/>
        </w:rPr>
        <w:t>25.保密原则</w:t>
      </w:r>
      <w:bookmarkEnd w:id="204"/>
      <w:bookmarkEnd w:id="205"/>
      <w:bookmarkEnd w:id="206"/>
      <w:bookmarkEnd w:id="207"/>
      <w:bookmarkEnd w:id="208"/>
      <w:bookmarkEnd w:id="209"/>
    </w:p>
    <w:p>
      <w:pPr>
        <w:spacing w:line="4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25.1</w:t>
      </w:r>
      <w:r>
        <w:rPr>
          <w:rFonts w:hint="eastAsia" w:ascii="宋体" w:hAnsi="宋体" w:eastAsia="宋体" w:cs="宋体"/>
          <w:color w:val="auto"/>
          <w:sz w:val="24"/>
        </w:rPr>
        <w:tab/>
      </w:r>
      <w:r>
        <w:rPr>
          <w:rFonts w:hint="eastAsia" w:ascii="宋体" w:hAnsi="宋体" w:eastAsia="宋体" w:cs="宋体"/>
          <w:color w:val="auto"/>
          <w:sz w:val="24"/>
        </w:rPr>
        <w:t>评标将在严格保密的情况下进行。</w:t>
      </w:r>
    </w:p>
    <w:p>
      <w:pPr>
        <w:spacing w:line="420" w:lineRule="exact"/>
        <w:ind w:left="900" w:hanging="900" w:hangingChars="375"/>
        <w:rPr>
          <w:rFonts w:hint="eastAsia" w:ascii="宋体" w:hAnsi="宋体" w:eastAsia="宋体" w:cs="宋体"/>
          <w:color w:val="auto"/>
        </w:rPr>
      </w:pPr>
      <w:r>
        <w:rPr>
          <w:rFonts w:hint="eastAsia" w:ascii="宋体" w:hAnsi="宋体" w:eastAsia="宋体" w:cs="宋体"/>
          <w:color w:val="auto"/>
          <w:sz w:val="24"/>
        </w:rPr>
        <w:t>25.2</w:t>
      </w:r>
      <w:r>
        <w:rPr>
          <w:rFonts w:hint="eastAsia" w:ascii="宋体" w:hAnsi="宋体" w:eastAsia="宋体" w:cs="宋体"/>
          <w:color w:val="auto"/>
          <w:sz w:val="24"/>
        </w:rPr>
        <w:tab/>
      </w:r>
      <w:r>
        <w:rPr>
          <w:rFonts w:hint="eastAsia" w:ascii="宋体" w:hAnsi="宋体" w:eastAsia="宋体" w:cs="宋体"/>
          <w:color w:val="auto"/>
          <w:sz w:val="24"/>
        </w:rPr>
        <w:t>政府采购评审专家应当遵守评审工作纪律，不得泄露评审文件、评审情况和评审中获悉的商业秘密。</w:t>
      </w:r>
    </w:p>
    <w:p>
      <w:pPr>
        <w:pStyle w:val="2"/>
        <w:spacing w:before="0" w:line="420" w:lineRule="exact"/>
        <w:ind w:left="1079" w:leftChars="257" w:hanging="540"/>
        <w:rPr>
          <w:rFonts w:hint="eastAsia" w:ascii="宋体" w:hAnsi="宋体" w:eastAsia="宋体" w:cs="宋体"/>
          <w:color w:val="auto"/>
        </w:rPr>
      </w:pPr>
      <w:bookmarkStart w:id="211" w:name="_Toc12143"/>
      <w:bookmarkStart w:id="212" w:name="_Toc23904"/>
      <w:bookmarkStart w:id="213" w:name="_Toc216582810"/>
      <w:bookmarkStart w:id="214" w:name="_Toc31195"/>
      <w:bookmarkStart w:id="215" w:name="_Toc515647787"/>
      <w:bookmarkStart w:id="216" w:name="_Toc16889"/>
      <w:bookmarkStart w:id="217" w:name="_Toc18799"/>
      <w:r>
        <w:rPr>
          <w:rFonts w:hint="eastAsia" w:ascii="宋体" w:hAnsi="宋体" w:eastAsia="宋体" w:cs="宋体"/>
          <w:color w:val="auto"/>
          <w:sz w:val="24"/>
        </w:rPr>
        <w:t xml:space="preserve">六   </w:t>
      </w:r>
      <w:bookmarkEnd w:id="210"/>
      <w:r>
        <w:rPr>
          <w:rFonts w:hint="eastAsia" w:ascii="宋体" w:hAnsi="宋体" w:eastAsia="宋体" w:cs="宋体"/>
          <w:color w:val="auto"/>
          <w:sz w:val="24"/>
        </w:rPr>
        <w:t>确定</w:t>
      </w:r>
      <w:bookmarkEnd w:id="211"/>
      <w:bookmarkEnd w:id="212"/>
      <w:bookmarkEnd w:id="213"/>
      <w:bookmarkEnd w:id="214"/>
      <w:bookmarkEnd w:id="215"/>
      <w:r>
        <w:rPr>
          <w:rFonts w:hint="eastAsia" w:ascii="宋体" w:hAnsi="宋体" w:eastAsia="宋体" w:cs="宋体"/>
          <w:color w:val="auto"/>
          <w:sz w:val="24"/>
        </w:rPr>
        <w:t>成交</w:t>
      </w:r>
      <w:bookmarkEnd w:id="216"/>
      <w:bookmarkEnd w:id="217"/>
    </w:p>
    <w:p>
      <w:pPr>
        <w:pStyle w:val="5"/>
        <w:spacing w:before="0" w:after="0" w:line="420" w:lineRule="exact"/>
        <w:rPr>
          <w:rFonts w:hint="eastAsia" w:ascii="宋体" w:hAnsi="宋体" w:eastAsia="宋体" w:cs="宋体"/>
          <w:color w:val="auto"/>
          <w:u w:val="none"/>
        </w:rPr>
      </w:pPr>
      <w:bookmarkStart w:id="218" w:name="_Ref467307010"/>
      <w:bookmarkStart w:id="219" w:name="_Toc23617"/>
      <w:bookmarkStart w:id="220" w:name="_Toc27051"/>
      <w:bookmarkStart w:id="221" w:name="_Toc23762"/>
      <w:bookmarkStart w:id="222" w:name="_Toc515647788"/>
      <w:bookmarkStart w:id="223" w:name="_Toc28416"/>
      <w:bookmarkStart w:id="224" w:name="_Toc4774"/>
      <w:bookmarkStart w:id="225" w:name="_Toc520356170"/>
      <w:r>
        <w:rPr>
          <w:rFonts w:hint="eastAsia" w:ascii="宋体" w:hAnsi="宋体" w:eastAsia="宋体" w:cs="宋体"/>
          <w:color w:val="auto"/>
          <w:u w:val="none"/>
        </w:rPr>
        <w:t>26.成交候选人的确定原则及标准</w:t>
      </w:r>
      <w:bookmarkEnd w:id="218"/>
      <w:bookmarkEnd w:id="219"/>
      <w:bookmarkEnd w:id="220"/>
      <w:bookmarkEnd w:id="221"/>
      <w:bookmarkEnd w:id="222"/>
      <w:bookmarkEnd w:id="223"/>
      <w:bookmarkEnd w:id="224"/>
      <w:bookmarkEnd w:id="225"/>
    </w:p>
    <w:p>
      <w:pPr>
        <w:spacing w:line="4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除第28条规定外，对实质上响应磋商文件的供应商按下列方法进行排序，确定磋商候选人：</w:t>
      </w:r>
    </w:p>
    <w:p>
      <w:pPr>
        <w:spacing w:line="380" w:lineRule="exact"/>
        <w:ind w:left="901"/>
        <w:rPr>
          <w:rFonts w:hint="eastAsia" w:ascii="宋体" w:hAnsi="宋体" w:eastAsia="宋体" w:cs="宋体"/>
          <w:b/>
          <w:bCs/>
          <w:color w:val="auto"/>
          <w:sz w:val="24"/>
          <w:u w:val="single"/>
        </w:rPr>
      </w:pPr>
      <w:bookmarkStart w:id="226" w:name="_Toc520356171"/>
      <w:bookmarkStart w:id="227" w:name="_Toc515647789"/>
      <w:r>
        <w:rPr>
          <w:rFonts w:hint="eastAsia" w:ascii="宋体" w:hAnsi="宋体" w:eastAsia="宋体" w:cs="宋体"/>
          <w:b/>
          <w:bCs/>
          <w:color w:val="auto"/>
          <w:sz w:val="24"/>
          <w:u w:val="single"/>
        </w:rPr>
        <w:t>采用综合评分法的，评标结果按评审后得分由高到低顺序排列。得分相同的，按修正和扣除后的磋商报价由低到高顺序排列。得分与磋商报价均相同的处理方式详见</w:t>
      </w:r>
      <w:r>
        <w:rPr>
          <w:rFonts w:hint="eastAsia" w:ascii="宋体" w:hAnsi="宋体" w:eastAsia="宋体" w:cs="宋体"/>
          <w:b/>
          <w:bCs/>
          <w:color w:val="auto"/>
          <w:sz w:val="24"/>
          <w:u w:val="single"/>
          <w:lang w:val="en-US" w:eastAsia="zh-CN"/>
        </w:rPr>
        <w:t>磋商</w:t>
      </w:r>
      <w:r>
        <w:rPr>
          <w:rFonts w:hint="eastAsia" w:ascii="宋体" w:hAnsi="宋体" w:eastAsia="宋体" w:cs="宋体"/>
          <w:b/>
          <w:bCs/>
          <w:color w:val="auto"/>
          <w:sz w:val="24"/>
          <w:u w:val="single"/>
        </w:rPr>
        <w:t>文件第6章。</w:t>
      </w:r>
    </w:p>
    <w:p>
      <w:pPr>
        <w:pStyle w:val="5"/>
        <w:tabs>
          <w:tab w:val="left" w:pos="900"/>
        </w:tabs>
        <w:spacing w:before="0" w:after="0" w:line="240" w:lineRule="atLeast"/>
        <w:rPr>
          <w:rFonts w:hint="eastAsia" w:ascii="宋体" w:hAnsi="宋体" w:eastAsia="宋体" w:cs="宋体"/>
          <w:color w:val="auto"/>
          <w:u w:val="none"/>
        </w:rPr>
      </w:pPr>
      <w:bookmarkStart w:id="228" w:name="_Toc23951"/>
      <w:bookmarkStart w:id="229" w:name="_Toc17933"/>
      <w:bookmarkStart w:id="230" w:name="_Toc9653"/>
      <w:bookmarkStart w:id="231" w:name="_Toc31716"/>
      <w:bookmarkStart w:id="232" w:name="_Toc30196"/>
      <w:r>
        <w:rPr>
          <w:rFonts w:hint="eastAsia" w:ascii="宋体" w:hAnsi="宋体" w:eastAsia="宋体" w:cs="宋体"/>
          <w:color w:val="auto"/>
          <w:u w:val="none"/>
        </w:rPr>
        <w:t>27</w:t>
      </w:r>
      <w:bookmarkEnd w:id="226"/>
      <w:r>
        <w:rPr>
          <w:rFonts w:hint="eastAsia" w:ascii="宋体" w:hAnsi="宋体" w:eastAsia="宋体" w:cs="宋体"/>
          <w:color w:val="auto"/>
          <w:u w:val="none"/>
        </w:rPr>
        <w:t>.确定成交候选人和</w:t>
      </w:r>
      <w:bookmarkEnd w:id="227"/>
      <w:bookmarkEnd w:id="228"/>
      <w:bookmarkEnd w:id="229"/>
      <w:bookmarkEnd w:id="230"/>
      <w:r>
        <w:rPr>
          <w:rFonts w:hint="eastAsia" w:ascii="宋体" w:hAnsi="宋体" w:eastAsia="宋体" w:cs="宋体"/>
          <w:color w:val="auto"/>
          <w:u w:val="none"/>
        </w:rPr>
        <w:t>成交人</w:t>
      </w:r>
      <w:bookmarkEnd w:id="231"/>
      <w:bookmarkEnd w:id="232"/>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磋商小组将根据评标标准，按</w:t>
      </w:r>
      <w:r>
        <w:rPr>
          <w:rFonts w:hint="eastAsia" w:ascii="宋体" w:hAnsi="宋体" w:eastAsia="宋体" w:cs="宋体"/>
          <w:color w:val="auto"/>
          <w:sz w:val="24"/>
          <w:u w:val="single"/>
        </w:rPr>
        <w:t>供应商须知资料表中</w:t>
      </w:r>
      <w:r>
        <w:rPr>
          <w:rFonts w:hint="eastAsia" w:ascii="宋体" w:hAnsi="宋体" w:eastAsia="宋体" w:cs="宋体"/>
          <w:color w:val="auto"/>
          <w:sz w:val="24"/>
        </w:rPr>
        <w:t>规定数量推荐成交候选人；</w:t>
      </w:r>
      <w:r>
        <w:rPr>
          <w:rFonts w:hint="eastAsia" w:ascii="宋体" w:hAnsi="宋体" w:eastAsia="宋体" w:cs="宋体"/>
          <w:b/>
          <w:bCs/>
          <w:color w:val="000000"/>
          <w:sz w:val="24"/>
          <w:u w:val="single"/>
        </w:rPr>
        <w:t>磋商小组应当根据综合评分情况，按照评审得分由高到低顺序推荐3名成交候选</w:t>
      </w:r>
      <w:r>
        <w:rPr>
          <w:rFonts w:hint="eastAsia" w:ascii="宋体" w:hAnsi="宋体" w:eastAsia="宋体" w:cs="宋体"/>
          <w:b/>
          <w:bCs/>
          <w:color w:val="000000"/>
          <w:sz w:val="24"/>
          <w:u w:val="single"/>
          <w:lang w:eastAsia="zh-CN"/>
        </w:rPr>
        <w:t>人；采购人从磋商小组推荐的三名成交候选人中，确定成交人</w:t>
      </w:r>
      <w:r>
        <w:rPr>
          <w:rFonts w:hint="eastAsia" w:ascii="宋体" w:hAnsi="宋体" w:eastAsia="宋体" w:cs="宋体"/>
          <w:color w:val="000000"/>
          <w:sz w:val="24"/>
        </w:rPr>
        <w:t>。</w:t>
      </w:r>
    </w:p>
    <w:p>
      <w:pPr>
        <w:pStyle w:val="5"/>
        <w:tabs>
          <w:tab w:val="left" w:pos="900"/>
        </w:tabs>
        <w:spacing w:before="0" w:after="0" w:line="240" w:lineRule="atLeast"/>
        <w:rPr>
          <w:rFonts w:hint="eastAsia" w:ascii="宋体" w:hAnsi="宋体" w:eastAsia="宋体" w:cs="宋体"/>
          <w:color w:val="auto"/>
          <w:u w:val="none"/>
        </w:rPr>
      </w:pPr>
      <w:bookmarkStart w:id="233" w:name="_Toc520356173"/>
      <w:bookmarkStart w:id="234" w:name="_Ref467306874"/>
      <w:bookmarkStart w:id="235" w:name="_Toc3345"/>
      <w:bookmarkStart w:id="236" w:name="_Toc8389"/>
      <w:bookmarkStart w:id="237" w:name="_Toc515647790"/>
      <w:bookmarkStart w:id="238" w:name="_Toc7729"/>
      <w:bookmarkStart w:id="239" w:name="_Toc28562"/>
      <w:bookmarkStart w:id="240" w:name="_Toc28927"/>
      <w:r>
        <w:rPr>
          <w:rFonts w:hint="eastAsia" w:ascii="宋体" w:hAnsi="宋体" w:eastAsia="宋体" w:cs="宋体"/>
          <w:color w:val="auto"/>
          <w:u w:val="none"/>
        </w:rPr>
        <w:t>28.</w:t>
      </w:r>
      <w:bookmarkEnd w:id="233"/>
      <w:bookmarkEnd w:id="234"/>
      <w:r>
        <w:rPr>
          <w:rFonts w:hint="eastAsia" w:ascii="宋体" w:hAnsi="宋体" w:eastAsia="宋体" w:cs="宋体"/>
          <w:color w:val="auto"/>
          <w:u w:val="none"/>
        </w:rPr>
        <w:t>采购任务取消</w:t>
      </w:r>
      <w:bookmarkEnd w:id="235"/>
      <w:bookmarkEnd w:id="236"/>
      <w:bookmarkEnd w:id="237"/>
      <w:bookmarkEnd w:id="238"/>
      <w:bookmarkEnd w:id="239"/>
      <w:bookmarkEnd w:id="240"/>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因重大变故采购任务取消时，采购人有权拒绝任何供应商成交，且对受影响的供应商不承担任何责任。</w:t>
      </w:r>
      <w:bookmarkStart w:id="241" w:name="_Toc520356174"/>
    </w:p>
    <w:p>
      <w:pPr>
        <w:pStyle w:val="5"/>
        <w:spacing w:before="0" w:after="0" w:line="240" w:lineRule="atLeast"/>
        <w:rPr>
          <w:rFonts w:hint="eastAsia" w:ascii="宋体" w:hAnsi="宋体" w:eastAsia="宋体" w:cs="宋体"/>
          <w:color w:val="auto"/>
          <w:u w:val="none"/>
        </w:rPr>
      </w:pPr>
      <w:bookmarkStart w:id="242" w:name="_Toc31099"/>
      <w:bookmarkStart w:id="243" w:name="_Toc15270"/>
      <w:bookmarkStart w:id="244" w:name="_Toc30170"/>
      <w:bookmarkStart w:id="245" w:name="_Toc19201"/>
      <w:bookmarkStart w:id="246" w:name="_Toc515647791"/>
      <w:bookmarkStart w:id="247" w:name="_Toc30541"/>
      <w:r>
        <w:rPr>
          <w:rFonts w:hint="eastAsia" w:ascii="宋体" w:hAnsi="宋体" w:eastAsia="宋体" w:cs="宋体"/>
          <w:color w:val="auto"/>
          <w:u w:val="none"/>
        </w:rPr>
        <w:t>29.</w:t>
      </w:r>
      <w:bookmarkEnd w:id="241"/>
      <w:r>
        <w:rPr>
          <w:rFonts w:hint="eastAsia" w:ascii="宋体" w:hAnsi="宋体" w:eastAsia="宋体" w:cs="宋体"/>
          <w:color w:val="auto"/>
          <w:u w:val="none"/>
        </w:rPr>
        <w:t>成交通知书和招标结果通知书</w:t>
      </w:r>
      <w:bookmarkEnd w:id="242"/>
      <w:bookmarkEnd w:id="243"/>
      <w:bookmarkEnd w:id="244"/>
      <w:bookmarkEnd w:id="245"/>
      <w:bookmarkEnd w:id="246"/>
      <w:bookmarkEnd w:id="247"/>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29.1</w:t>
      </w:r>
      <w:r>
        <w:rPr>
          <w:rFonts w:hint="eastAsia" w:ascii="宋体" w:hAnsi="宋体" w:eastAsia="宋体" w:cs="宋体"/>
          <w:color w:val="auto"/>
          <w:sz w:val="24"/>
        </w:rPr>
        <w:tab/>
      </w:r>
      <w:r>
        <w:rPr>
          <w:rFonts w:hint="eastAsia" w:ascii="宋体" w:hAnsi="宋体" w:eastAsia="宋体" w:cs="宋体"/>
          <w:color w:val="auto"/>
          <w:sz w:val="24"/>
        </w:rPr>
        <w:t>在磋商有效期内，成交人确定后，采购人或者采购代理机构发布成交公告，同时以书面形式向成交人发出成交通知书。</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29.2</w:t>
      </w:r>
      <w:r>
        <w:rPr>
          <w:rFonts w:hint="eastAsia" w:ascii="宋体" w:hAnsi="宋体" w:eastAsia="宋体" w:cs="宋体"/>
          <w:color w:val="auto"/>
          <w:sz w:val="24"/>
        </w:rPr>
        <w:tab/>
      </w:r>
      <w:r>
        <w:rPr>
          <w:rFonts w:hint="eastAsia" w:ascii="宋体" w:hAnsi="宋体" w:eastAsia="宋体" w:cs="宋体"/>
          <w:color w:val="auto"/>
          <w:sz w:val="24"/>
        </w:rPr>
        <w:t>成交通知书是合同的组成部分。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29.3    招标结果通知书和成交通知书同时发出。招标结果通知书中将告知未通过资格审查的供应商未通过的原因；采用综合评分法评审的，还将告知未成交人本人的评审得分和排序。</w:t>
      </w:r>
    </w:p>
    <w:p>
      <w:pPr>
        <w:pStyle w:val="5"/>
        <w:spacing w:before="0" w:after="0" w:line="240" w:lineRule="atLeast"/>
        <w:rPr>
          <w:rFonts w:hint="eastAsia" w:ascii="宋体" w:hAnsi="宋体" w:eastAsia="宋体" w:cs="宋体"/>
          <w:color w:val="auto"/>
          <w:u w:val="none"/>
        </w:rPr>
      </w:pPr>
      <w:bookmarkStart w:id="248" w:name="_Toc790"/>
      <w:bookmarkStart w:id="249" w:name="_Ref467306978"/>
      <w:bookmarkStart w:id="250" w:name="_Toc14514"/>
      <w:bookmarkStart w:id="251" w:name="_Ref467307204"/>
      <w:bookmarkStart w:id="252" w:name="_Toc15063"/>
      <w:bookmarkStart w:id="253" w:name="_Toc7779"/>
      <w:bookmarkStart w:id="254" w:name="_Ref467306377"/>
      <w:bookmarkStart w:id="255" w:name="_Toc515647792"/>
      <w:bookmarkStart w:id="256" w:name="_Toc520356175"/>
      <w:bookmarkStart w:id="257" w:name="_Toc12744"/>
      <w:bookmarkStart w:id="258" w:name="_Ref467307062"/>
      <w:r>
        <w:rPr>
          <w:rFonts w:hint="eastAsia" w:ascii="宋体" w:hAnsi="宋体" w:eastAsia="宋体" w:cs="宋体"/>
          <w:color w:val="auto"/>
          <w:u w:val="none"/>
        </w:rPr>
        <w:t>30.签订合同</w:t>
      </w:r>
      <w:bookmarkEnd w:id="248"/>
      <w:bookmarkEnd w:id="249"/>
      <w:bookmarkEnd w:id="250"/>
      <w:bookmarkEnd w:id="251"/>
      <w:bookmarkEnd w:id="252"/>
      <w:bookmarkEnd w:id="253"/>
      <w:bookmarkEnd w:id="254"/>
      <w:bookmarkEnd w:id="255"/>
      <w:bookmarkEnd w:id="256"/>
      <w:bookmarkEnd w:id="257"/>
      <w:bookmarkEnd w:id="258"/>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30.1</w:t>
      </w:r>
      <w:r>
        <w:rPr>
          <w:rFonts w:hint="eastAsia" w:ascii="宋体" w:hAnsi="宋体" w:eastAsia="宋体" w:cs="宋体"/>
          <w:color w:val="auto"/>
          <w:sz w:val="24"/>
        </w:rPr>
        <w:tab/>
      </w:r>
      <w:r>
        <w:rPr>
          <w:rFonts w:hint="eastAsia" w:ascii="宋体" w:hAnsi="宋体" w:eastAsia="宋体" w:cs="宋体"/>
          <w:color w:val="auto"/>
          <w:sz w:val="24"/>
        </w:rPr>
        <w:t>成交人应当自发出成交通知书之日起3日内，与采购人签订合同。</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30.2</w:t>
      </w:r>
      <w:r>
        <w:rPr>
          <w:rFonts w:hint="eastAsia" w:ascii="宋体" w:hAnsi="宋体" w:eastAsia="宋体" w:cs="宋体"/>
          <w:color w:val="auto"/>
          <w:sz w:val="24"/>
        </w:rPr>
        <w:tab/>
      </w:r>
      <w:bookmarkStart w:id="259" w:name="_Toc520356176"/>
      <w:bookmarkStart w:id="260" w:name="_Ref467307090"/>
      <w:bookmarkStart w:id="261" w:name="_Ref467306425"/>
      <w:r>
        <w:rPr>
          <w:rFonts w:hint="eastAsia" w:ascii="宋体" w:hAnsi="宋体" w:eastAsia="宋体" w:cs="宋体"/>
          <w:color w:val="auto"/>
          <w:sz w:val="24"/>
        </w:rPr>
        <w:t>磋商文件、成交人的响应文件及其澄清文件等，均为签订合同的依据。</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30.3   成交人拒绝与采购人签订合同的，采购人可以按照评审报告推荐的成交</w:t>
      </w:r>
    </w:p>
    <w:p>
      <w:pPr>
        <w:spacing w:line="300" w:lineRule="exact"/>
        <w:ind w:left="957" w:leftChars="456" w:firstLine="60" w:firstLineChars="25"/>
        <w:rPr>
          <w:rFonts w:hint="eastAsia" w:ascii="宋体" w:hAnsi="宋体" w:eastAsia="宋体" w:cs="宋体"/>
          <w:color w:val="auto"/>
          <w:sz w:val="24"/>
        </w:rPr>
      </w:pPr>
      <w:r>
        <w:rPr>
          <w:rFonts w:hint="eastAsia" w:ascii="宋体" w:hAnsi="宋体" w:eastAsia="宋体" w:cs="宋体"/>
          <w:color w:val="auto"/>
          <w:sz w:val="24"/>
        </w:rPr>
        <w:t>候选人名单排序，确定下一成交候选人为成交人，也可以重新开展政府采购活动。</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30.4   当出现法规规定的</w:t>
      </w:r>
      <w:r>
        <w:rPr>
          <w:rFonts w:hint="eastAsia" w:ascii="宋体" w:hAnsi="宋体" w:eastAsia="宋体" w:cs="宋体"/>
          <w:b/>
          <w:color w:val="auto"/>
          <w:sz w:val="24"/>
        </w:rPr>
        <w:t>成交无效或成交结果无效</w:t>
      </w:r>
      <w:r>
        <w:rPr>
          <w:rFonts w:hint="eastAsia" w:ascii="宋体" w:hAnsi="宋体" w:eastAsia="宋体" w:cs="宋体"/>
          <w:color w:val="auto"/>
          <w:sz w:val="24"/>
        </w:rPr>
        <w:t>情形时，采购人可与排名下一位的成交候选人另行签订合同，或依法重新开展采购活动。</w:t>
      </w:r>
    </w:p>
    <w:p>
      <w:pPr>
        <w:pStyle w:val="5"/>
        <w:spacing w:before="0" w:after="0" w:line="240" w:lineRule="atLeast"/>
        <w:rPr>
          <w:rFonts w:hint="eastAsia" w:ascii="宋体" w:hAnsi="宋体" w:eastAsia="宋体" w:cs="宋体"/>
          <w:color w:val="auto"/>
          <w:u w:val="none"/>
        </w:rPr>
      </w:pPr>
      <w:bookmarkStart w:id="262" w:name="_Toc22555"/>
      <w:bookmarkStart w:id="263" w:name="_Toc6921"/>
      <w:bookmarkStart w:id="264" w:name="_Toc14080"/>
      <w:bookmarkStart w:id="265" w:name="_Toc515647793"/>
      <w:bookmarkStart w:id="266" w:name="_Toc23643"/>
      <w:bookmarkStart w:id="267" w:name="_Toc10239"/>
      <w:r>
        <w:rPr>
          <w:rFonts w:hint="eastAsia" w:ascii="宋体" w:hAnsi="宋体" w:eastAsia="宋体" w:cs="宋体"/>
          <w:color w:val="auto"/>
          <w:u w:val="none"/>
        </w:rPr>
        <w:t>31.履约保证金</w:t>
      </w:r>
      <w:bookmarkEnd w:id="259"/>
      <w:bookmarkEnd w:id="260"/>
      <w:bookmarkEnd w:id="261"/>
      <w:bookmarkEnd w:id="262"/>
      <w:bookmarkEnd w:id="263"/>
      <w:bookmarkEnd w:id="264"/>
      <w:bookmarkEnd w:id="265"/>
      <w:bookmarkEnd w:id="266"/>
      <w:bookmarkEnd w:id="267"/>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31.1</w:t>
      </w:r>
      <w:r>
        <w:rPr>
          <w:rFonts w:hint="eastAsia" w:ascii="宋体" w:hAnsi="宋体" w:eastAsia="宋体" w:cs="宋体"/>
          <w:color w:val="auto"/>
          <w:sz w:val="24"/>
        </w:rPr>
        <w:tab/>
      </w:r>
      <w:r>
        <w:rPr>
          <w:rFonts w:hint="eastAsia" w:ascii="宋体" w:hAnsi="宋体" w:eastAsia="宋体" w:cs="宋体"/>
          <w:color w:val="auto"/>
          <w:sz w:val="24"/>
        </w:rPr>
        <w:t>成交人应按照</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规定向采购人缴纳履约保证金（如采用保函形式，格式见本章附件1）。</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31.2</w:t>
      </w:r>
      <w:r>
        <w:rPr>
          <w:rFonts w:hint="eastAsia" w:ascii="宋体" w:hAnsi="宋体" w:eastAsia="宋体" w:cs="宋体"/>
          <w:color w:val="auto"/>
          <w:sz w:val="24"/>
        </w:rPr>
        <w:tab/>
      </w:r>
      <w:r>
        <w:rPr>
          <w:rFonts w:hint="eastAsia" w:ascii="宋体" w:hAnsi="宋体" w:eastAsia="宋体" w:cs="宋体"/>
          <w:color w:val="auto"/>
          <w:sz w:val="24"/>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240" w:lineRule="atLeast"/>
        <w:rPr>
          <w:rFonts w:hint="eastAsia" w:ascii="宋体" w:hAnsi="宋体" w:eastAsia="宋体" w:cs="宋体"/>
          <w:color w:val="auto"/>
          <w:u w:val="none"/>
        </w:rPr>
      </w:pPr>
      <w:bookmarkStart w:id="268" w:name="_Toc29408"/>
      <w:bookmarkStart w:id="269" w:name="_Toc3090"/>
      <w:bookmarkStart w:id="270" w:name="_Toc15839"/>
      <w:bookmarkStart w:id="271" w:name="_Toc28245"/>
      <w:bookmarkStart w:id="272" w:name="_Toc515647794"/>
      <w:bookmarkStart w:id="273" w:name="_Toc29652"/>
      <w:r>
        <w:rPr>
          <w:rFonts w:hint="eastAsia" w:ascii="宋体" w:hAnsi="宋体" w:eastAsia="宋体" w:cs="宋体"/>
          <w:color w:val="auto"/>
          <w:u w:val="none"/>
        </w:rPr>
        <w:t>32.成交</w:t>
      </w:r>
      <w:r>
        <w:rPr>
          <w:rFonts w:hint="eastAsia" w:ascii="宋体" w:hAnsi="宋体" w:eastAsia="宋体" w:cs="宋体"/>
          <w:color w:val="auto"/>
          <w:u w:val="none"/>
          <w:lang w:val="en-US" w:eastAsia="zh-CN"/>
        </w:rPr>
        <w:t>服务</w:t>
      </w:r>
      <w:r>
        <w:rPr>
          <w:rFonts w:hint="eastAsia" w:ascii="宋体" w:hAnsi="宋体" w:eastAsia="宋体" w:cs="宋体"/>
          <w:color w:val="auto"/>
          <w:u w:val="none"/>
        </w:rPr>
        <w:t>费</w:t>
      </w:r>
      <w:bookmarkEnd w:id="268"/>
      <w:bookmarkEnd w:id="269"/>
      <w:bookmarkEnd w:id="270"/>
      <w:bookmarkEnd w:id="271"/>
      <w:bookmarkEnd w:id="272"/>
      <w:bookmarkEnd w:id="273"/>
    </w:p>
    <w:p>
      <w:pPr>
        <w:spacing w:line="240" w:lineRule="atLeast"/>
        <w:ind w:left="840" w:leftChars="200" w:hanging="420" w:hangingChars="175"/>
        <w:rPr>
          <w:rFonts w:hint="eastAsia" w:ascii="宋体" w:hAnsi="宋体" w:eastAsia="宋体" w:cs="宋体"/>
          <w:color w:val="auto"/>
          <w:sz w:val="24"/>
        </w:rPr>
      </w:pPr>
      <w:r>
        <w:rPr>
          <w:rFonts w:hint="eastAsia" w:ascii="宋体" w:hAnsi="宋体" w:eastAsia="宋体" w:cs="宋体"/>
          <w:color w:val="auto"/>
          <w:sz w:val="24"/>
        </w:rPr>
        <w:t xml:space="preserve">   成交人须按照</w:t>
      </w:r>
      <w:r>
        <w:rPr>
          <w:rFonts w:hint="eastAsia" w:ascii="宋体" w:hAnsi="宋体" w:eastAsia="宋体" w:cs="宋体"/>
          <w:color w:val="auto"/>
          <w:sz w:val="24"/>
          <w:u w:val="single"/>
        </w:rPr>
        <w:t>磋商须知资料表</w:t>
      </w:r>
      <w:r>
        <w:rPr>
          <w:rFonts w:hint="eastAsia" w:ascii="宋体" w:hAnsi="宋体" w:eastAsia="宋体" w:cs="宋体"/>
          <w:color w:val="auto"/>
          <w:sz w:val="24"/>
        </w:rPr>
        <w:t>规定，向采购代理机构支付成交</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费。</w:t>
      </w:r>
    </w:p>
    <w:p>
      <w:pPr>
        <w:pStyle w:val="5"/>
        <w:spacing w:before="0" w:after="0" w:line="240" w:lineRule="atLeast"/>
        <w:rPr>
          <w:rFonts w:hint="eastAsia" w:ascii="宋体" w:hAnsi="宋体" w:eastAsia="宋体" w:cs="宋体"/>
          <w:color w:val="auto"/>
          <w:u w:val="none"/>
        </w:rPr>
      </w:pPr>
      <w:bookmarkStart w:id="274" w:name="_Toc4753"/>
      <w:bookmarkStart w:id="275" w:name="_Toc15312"/>
      <w:bookmarkStart w:id="276" w:name="_Toc515647795"/>
      <w:bookmarkStart w:id="277" w:name="_Toc7049"/>
      <w:bookmarkStart w:id="278" w:name="_Toc1343"/>
      <w:r>
        <w:rPr>
          <w:rFonts w:hint="eastAsia" w:ascii="宋体" w:hAnsi="宋体" w:eastAsia="宋体" w:cs="宋体"/>
          <w:color w:val="auto"/>
          <w:u w:val="none"/>
        </w:rPr>
        <w:t>33.政府采购信用担保</w:t>
      </w:r>
      <w:bookmarkEnd w:id="274"/>
      <w:bookmarkEnd w:id="275"/>
      <w:bookmarkEnd w:id="276"/>
      <w:bookmarkEnd w:id="277"/>
      <w:bookmarkEnd w:id="278"/>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33.1   本项目是否属于信用担保试点范围见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spacing w:line="320" w:lineRule="exact"/>
        <w:ind w:left="850" w:hanging="849" w:hangingChars="354"/>
        <w:rPr>
          <w:rFonts w:hint="eastAsia" w:ascii="宋体" w:hAnsi="宋体" w:eastAsia="宋体" w:cs="宋体"/>
          <w:color w:val="auto"/>
          <w:sz w:val="24"/>
        </w:rPr>
      </w:pPr>
      <w:r>
        <w:rPr>
          <w:rFonts w:hint="eastAsia" w:ascii="宋体" w:hAnsi="宋体" w:eastAsia="宋体" w:cs="宋体"/>
          <w:color w:val="auto"/>
          <w:sz w:val="24"/>
        </w:rPr>
        <w:t>33.2   如属于政府采购信用担保试点范围内，中小型企业供应商可以自由按照财政部门的规定，采用磋商担保、履约担保和融资担保。</w:t>
      </w:r>
    </w:p>
    <w:p>
      <w:pPr>
        <w:spacing w:line="3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33.2.1 供应商递交的磋商担保函和履约担保函应符合本磋商文件的规定。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33.2.2 成交人可以采取融资担保的形式为政府采购项目履约进行融资。</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33.2.3 合格的政府采购专业信用担保机构名单见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pStyle w:val="5"/>
        <w:spacing w:before="0" w:after="0" w:line="240" w:lineRule="atLeast"/>
        <w:rPr>
          <w:rFonts w:hint="eastAsia" w:ascii="宋体" w:hAnsi="宋体" w:eastAsia="宋体" w:cs="宋体"/>
          <w:color w:val="auto"/>
          <w:u w:val="none"/>
        </w:rPr>
      </w:pPr>
      <w:bookmarkStart w:id="279" w:name="_Toc9673"/>
      <w:bookmarkStart w:id="280" w:name="_Toc23999"/>
      <w:bookmarkStart w:id="281" w:name="_Toc25691"/>
      <w:bookmarkStart w:id="282" w:name="_Toc18423"/>
      <w:bookmarkStart w:id="283" w:name="_Toc2133"/>
      <w:bookmarkStart w:id="284" w:name="_Toc515647796"/>
      <w:r>
        <w:rPr>
          <w:rFonts w:hint="eastAsia" w:ascii="宋体" w:hAnsi="宋体" w:eastAsia="宋体" w:cs="宋体"/>
          <w:color w:val="auto"/>
          <w:u w:val="none"/>
        </w:rPr>
        <w:t>34.廉洁自律规定</w:t>
      </w:r>
      <w:bookmarkEnd w:id="279"/>
      <w:bookmarkEnd w:id="280"/>
      <w:bookmarkEnd w:id="281"/>
      <w:bookmarkEnd w:id="282"/>
      <w:bookmarkEnd w:id="283"/>
      <w:bookmarkEnd w:id="284"/>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34.3   为强化采购代理机构内部监督机制，供应商可按</w:t>
      </w:r>
      <w:r>
        <w:rPr>
          <w:rFonts w:hint="eastAsia" w:ascii="宋体" w:hAnsi="宋体" w:eastAsia="宋体" w:cs="宋体"/>
          <w:color w:val="auto"/>
          <w:sz w:val="24"/>
          <w:u w:val="single"/>
        </w:rPr>
        <w:t>供应商须知资料表中的</w:t>
      </w:r>
      <w:r>
        <w:rPr>
          <w:rFonts w:hint="eastAsia" w:ascii="宋体" w:hAnsi="宋体" w:eastAsia="宋体" w:cs="宋体"/>
          <w:color w:val="auto"/>
          <w:sz w:val="24"/>
        </w:rPr>
        <w:t>监督电话和邮箱，反映采购代理机构的廉洁自律等问题。</w:t>
      </w:r>
    </w:p>
    <w:p>
      <w:pPr>
        <w:pStyle w:val="5"/>
        <w:spacing w:before="0" w:after="0" w:line="240" w:lineRule="atLeast"/>
        <w:rPr>
          <w:rFonts w:hint="eastAsia" w:ascii="宋体" w:hAnsi="宋体" w:eastAsia="宋体" w:cs="宋体"/>
          <w:color w:val="auto"/>
          <w:u w:val="none"/>
        </w:rPr>
      </w:pPr>
      <w:bookmarkStart w:id="285" w:name="_Toc1778"/>
      <w:bookmarkStart w:id="286" w:name="_Toc3386"/>
      <w:bookmarkStart w:id="287" w:name="_Toc25480"/>
      <w:bookmarkStart w:id="288" w:name="_Toc515647797"/>
      <w:bookmarkStart w:id="289" w:name="_Toc2371"/>
      <w:bookmarkStart w:id="290" w:name="_Toc11586"/>
      <w:r>
        <w:rPr>
          <w:rFonts w:hint="eastAsia" w:ascii="宋体" w:hAnsi="宋体" w:eastAsia="宋体" w:cs="宋体"/>
          <w:color w:val="auto"/>
          <w:u w:val="none"/>
        </w:rPr>
        <w:t>35.人员回避</w:t>
      </w:r>
      <w:bookmarkEnd w:id="285"/>
      <w:bookmarkEnd w:id="286"/>
      <w:bookmarkEnd w:id="287"/>
      <w:bookmarkEnd w:id="288"/>
      <w:bookmarkEnd w:id="289"/>
      <w:bookmarkEnd w:id="290"/>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       供应商认为采购人员及其相关人员有法律法规所列与其他供应商有利害关系的，可以向采购人或采购代理机构书面提出回避申请，并说明理由。</w:t>
      </w:r>
    </w:p>
    <w:p>
      <w:pPr>
        <w:pStyle w:val="5"/>
        <w:spacing w:before="0" w:after="0" w:line="240" w:lineRule="atLeast"/>
        <w:rPr>
          <w:rFonts w:hint="eastAsia" w:ascii="宋体" w:hAnsi="宋体" w:eastAsia="宋体" w:cs="宋体"/>
          <w:color w:val="auto"/>
          <w:u w:val="none"/>
        </w:rPr>
      </w:pPr>
      <w:bookmarkStart w:id="291" w:name="_Toc1148"/>
      <w:bookmarkStart w:id="292" w:name="_Toc11115"/>
      <w:bookmarkStart w:id="293" w:name="_Toc27914"/>
      <w:bookmarkStart w:id="294" w:name="_Toc7420"/>
      <w:bookmarkStart w:id="295" w:name="_Toc515647798"/>
      <w:bookmarkStart w:id="296" w:name="_Toc25962"/>
      <w:r>
        <w:rPr>
          <w:rFonts w:hint="eastAsia" w:ascii="宋体" w:hAnsi="宋体" w:eastAsia="宋体" w:cs="宋体"/>
          <w:color w:val="auto"/>
          <w:u w:val="none"/>
        </w:rPr>
        <w:t>36.质疑与接收</w:t>
      </w:r>
      <w:bookmarkEnd w:id="291"/>
      <w:bookmarkEnd w:id="292"/>
      <w:bookmarkEnd w:id="293"/>
      <w:bookmarkEnd w:id="294"/>
      <w:bookmarkEnd w:id="295"/>
      <w:bookmarkEnd w:id="296"/>
    </w:p>
    <w:p>
      <w:pPr>
        <w:spacing w:line="240" w:lineRule="atLeast"/>
        <w:ind w:left="850" w:leftChars="68" w:hanging="708" w:hangingChars="295"/>
        <w:rPr>
          <w:rFonts w:hint="eastAsia" w:ascii="宋体" w:hAnsi="宋体" w:eastAsia="宋体" w:cs="宋体"/>
          <w:color w:val="auto"/>
          <w:sz w:val="24"/>
        </w:rPr>
      </w:pPr>
      <w:r>
        <w:rPr>
          <w:rFonts w:hint="eastAsia" w:ascii="宋体" w:hAnsi="宋体" w:eastAsia="宋体" w:cs="宋体"/>
          <w:color w:val="auto"/>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hint="eastAsia" w:ascii="宋体" w:hAnsi="宋体" w:eastAsia="宋体" w:cs="宋体"/>
          <w:color w:val="auto"/>
          <w:sz w:val="24"/>
        </w:rPr>
      </w:pPr>
      <w:r>
        <w:rPr>
          <w:rFonts w:hint="eastAsia" w:ascii="宋体" w:hAnsi="宋体" w:eastAsia="宋体" w:cs="宋体"/>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宋体" w:hAnsi="宋体" w:eastAsia="宋体" w:cs="宋体"/>
          <w:color w:val="auto"/>
          <w:sz w:val="24"/>
        </w:rPr>
      </w:pPr>
      <w:r>
        <w:rPr>
          <w:rFonts w:hint="eastAsia" w:ascii="宋体" w:hAnsi="宋体" w:eastAsia="宋体" w:cs="宋体"/>
          <w:color w:val="auto"/>
          <w:sz w:val="24"/>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hint="eastAsia" w:ascii="宋体" w:hAnsi="宋体" w:eastAsia="宋体" w:cs="宋体"/>
          <w:color w:val="auto"/>
          <w:sz w:val="24"/>
        </w:rPr>
      </w:pPr>
      <w:r>
        <w:rPr>
          <w:rFonts w:hint="eastAsia" w:ascii="宋体" w:hAnsi="宋体" w:eastAsia="宋体" w:cs="宋体"/>
          <w:color w:val="auto"/>
          <w:sz w:val="24"/>
        </w:rPr>
        <w:t>36.3  采购代理机构质疑函接收部门、联系电话和通讯地址, 见</w:t>
      </w:r>
      <w:r>
        <w:rPr>
          <w:rFonts w:hint="eastAsia" w:ascii="宋体" w:hAnsi="宋体" w:eastAsia="宋体" w:cs="宋体"/>
          <w:color w:val="auto"/>
          <w:sz w:val="24"/>
          <w:u w:val="single"/>
        </w:rPr>
        <w:t>供应商须知资料表。</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35.4   质疑的提出</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35.5   本采购文件中所称质疑及答复，是指参加本次采购活动的供应商对政府采购活动中的采购文件、采购过程和成交结果向采购方提出质疑，采购方答复质疑的行为。</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（一）对可以质疑的采购文件提出质疑的，为收到采购文件之日或者采购文件公告期限届满之日；</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（二）对采购过程提出质疑的，为各采购程序环节结束之日；</w:t>
      </w:r>
    </w:p>
    <w:p>
      <w:pPr>
        <w:spacing w:line="400" w:lineRule="exact"/>
        <w:ind w:firstLine="720" w:firstLineChars="300"/>
        <w:jc w:val="left"/>
        <w:rPr>
          <w:rFonts w:hint="eastAsia" w:ascii="宋体" w:hAnsi="宋体" w:eastAsia="宋体" w:cs="宋体"/>
          <w:color w:val="auto"/>
          <w:sz w:val="24"/>
        </w:rPr>
      </w:pPr>
      <w:r>
        <w:rPr>
          <w:rFonts w:hint="eastAsia" w:ascii="宋体" w:hAnsi="宋体" w:eastAsia="宋体" w:cs="宋体"/>
          <w:color w:val="auto"/>
          <w:sz w:val="24"/>
        </w:rPr>
        <w:t>（三）对成交结果提出质疑的，为成交结果公告期限届满之日。</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35.7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35.9   提出质疑应当符合下列条件：</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（一）质疑主体应当符合有关规定；</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（二）在质疑法定期限内提出；</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（三）属于可以提出质疑的政府采购事项受理范围和本项目采购人的管辖权范围；</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（四）政府采购法律、法规、规章规定的其他条件。</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35.11  质疑人所提供的证明材料应当具有真实性、合法性以及与质疑事项的关联性和证明力，否则不能作为认定该质疑事项成立的依据。</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35.12  质疑人提出质疑时应当提交质疑函。质疑函包括下列内容：</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（一）提出质疑的质疑人的名称、地址、邮编、联系人及联系电话等；</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（二）质疑项目的名称、编号；</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（三）质疑事项；</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（四）事实依据和证明材料；</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（五）法律依据；</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（六）提出质疑的日期。</w:t>
      </w:r>
    </w:p>
    <w:p>
      <w:pPr>
        <w:spacing w:line="400" w:lineRule="exact"/>
        <w:ind w:left="957" w:leftChars="456" w:firstLine="60" w:firstLineChars="25"/>
        <w:jc w:val="left"/>
        <w:rPr>
          <w:rFonts w:hint="eastAsia" w:ascii="宋体" w:hAnsi="宋体" w:eastAsia="宋体" w:cs="宋体"/>
          <w:color w:val="auto"/>
          <w:sz w:val="24"/>
        </w:rPr>
      </w:pPr>
      <w:r>
        <w:rPr>
          <w:rFonts w:hint="eastAsia" w:ascii="宋体" w:hAnsi="宋体" w:eastAsia="宋体" w:cs="宋体"/>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35.13  质疑人可以委托代理人进行质疑。代理人应当提交授权委托书。授权委托书应当载明委托代理的具体权限、期限和相关事项。</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35.14  质疑的审查和受理</w:t>
      </w:r>
    </w:p>
    <w:p>
      <w:pPr>
        <w:spacing w:line="400" w:lineRule="exact"/>
        <w:ind w:left="840" w:leftChars="400"/>
        <w:jc w:val="left"/>
        <w:rPr>
          <w:rFonts w:hint="eastAsia" w:ascii="宋体" w:hAnsi="宋体" w:eastAsia="宋体" w:cs="宋体"/>
          <w:color w:val="auto"/>
          <w:sz w:val="24"/>
        </w:rPr>
      </w:pPr>
      <w:r>
        <w:rPr>
          <w:rFonts w:hint="eastAsia" w:ascii="宋体" w:hAnsi="宋体" w:eastAsia="宋体" w:cs="宋体"/>
          <w:color w:val="auto"/>
          <w:sz w:val="24"/>
        </w:rPr>
        <w:t>采购方在收到质疑函后应当及时审查是否符合质疑受理条件，对符合质疑受理条件的，及时予以受理。</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35.15  对不符合质疑受理条件的，分别按照下列不同情形予以处理：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（一）质疑函内容不符合规定的，告知质疑人进行修改并重新提出质疑。修改后质疑事项仍不具体、不明确或者最终递交质疑函的时间超过质疑法定期限的，不予受理；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（二）质疑主体不符合有关规定的，告知质疑人不予受理；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（三）超过质疑法定期限提出质疑的，告知质疑人不予受理；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（四）对不属于可以提出质疑的政府采购事项提出质疑的，告知质疑人不予受理；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（五）质疑不属于本项目采购方管辖的，告知质疑人向有管辖权的采购人提出质疑；</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（六）质疑不符合其他条件的，告知质疑人不予受理。</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35.16  质疑的处理和答复</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35.17  采购方受理质疑后，将及时把质疑函发送给被质疑人，并要求其在一定限期内提交书面答复，同时提供有关证据、依据和相关材料。</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35.18  对于质疑事项中涉及的问题较多、情况比较复杂的，为了全面查清事实、取得充分的证据，采购方认为有必要时，可以进行调查取证或者组织质证。</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35.19  对评审过程、成交结果提出质疑的，采购方可以组织原评审委员会协助答复质疑。</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35.20  质疑处理过程中，质疑人书面申请撤回质疑的，将终止质疑处理程序。</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35.21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35.22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35.23  采购方将在正式受理质疑后7个工作日内作出答复。</w:t>
      </w:r>
    </w:p>
    <w:p>
      <w:pPr>
        <w:pStyle w:val="31"/>
        <w:spacing w:line="400" w:lineRule="exact"/>
        <w:rPr>
          <w:rFonts w:hint="eastAsia" w:ascii="宋体" w:hAnsi="宋体" w:eastAsia="宋体" w:cs="宋体"/>
          <w:color w:val="auto"/>
        </w:rPr>
      </w:pPr>
      <w:r>
        <w:rPr>
          <w:rFonts w:hint="eastAsia" w:ascii="宋体" w:hAnsi="宋体" w:eastAsia="宋体" w:cs="宋体"/>
          <w:color w:val="auto"/>
        </w:rPr>
        <w:t>35.24  质疑答复应当包括下列内容：</w:t>
      </w:r>
    </w:p>
    <w:p>
      <w:pPr>
        <w:pStyle w:val="31"/>
        <w:spacing w:line="400" w:lineRule="exact"/>
        <w:ind w:left="840" w:leftChars="400"/>
        <w:rPr>
          <w:rFonts w:hint="eastAsia" w:ascii="宋体" w:hAnsi="宋体" w:eastAsia="宋体" w:cs="宋体"/>
          <w:color w:val="auto"/>
        </w:rPr>
      </w:pPr>
      <w:r>
        <w:rPr>
          <w:rFonts w:hint="eastAsia" w:ascii="宋体" w:hAnsi="宋体" w:eastAsia="宋体" w:cs="宋体"/>
          <w:color w:val="auto"/>
        </w:rPr>
        <w:t>（一）质疑人的姓名或者名称；</w:t>
      </w:r>
    </w:p>
    <w:p>
      <w:pPr>
        <w:pStyle w:val="31"/>
        <w:spacing w:line="400" w:lineRule="exact"/>
        <w:ind w:left="840" w:leftChars="400"/>
        <w:rPr>
          <w:rFonts w:hint="eastAsia" w:ascii="宋体" w:hAnsi="宋体" w:eastAsia="宋体" w:cs="宋体"/>
          <w:color w:val="auto"/>
        </w:rPr>
      </w:pPr>
      <w:r>
        <w:rPr>
          <w:rFonts w:hint="eastAsia" w:ascii="宋体" w:hAnsi="宋体" w:eastAsia="宋体" w:cs="宋体"/>
          <w:color w:val="auto"/>
        </w:rPr>
        <w:t>（二）收到质疑函的日期、质疑项目名称及编号；</w:t>
      </w:r>
    </w:p>
    <w:p>
      <w:pPr>
        <w:pStyle w:val="31"/>
        <w:spacing w:line="400" w:lineRule="exact"/>
        <w:ind w:left="840" w:leftChars="400"/>
        <w:rPr>
          <w:rFonts w:hint="eastAsia" w:ascii="宋体" w:hAnsi="宋体" w:eastAsia="宋体" w:cs="宋体"/>
          <w:color w:val="auto"/>
        </w:rPr>
      </w:pPr>
      <w:r>
        <w:rPr>
          <w:rFonts w:hint="eastAsia" w:ascii="宋体" w:hAnsi="宋体" w:eastAsia="宋体" w:cs="宋体"/>
          <w:color w:val="auto"/>
        </w:rPr>
        <w:t>（三）质疑事项、质疑答复的具体内容、事实依据和法律依据；</w:t>
      </w:r>
    </w:p>
    <w:p>
      <w:pPr>
        <w:pStyle w:val="31"/>
        <w:spacing w:line="400" w:lineRule="exact"/>
        <w:ind w:left="840" w:leftChars="400"/>
        <w:rPr>
          <w:rFonts w:hint="eastAsia" w:ascii="宋体" w:hAnsi="宋体" w:eastAsia="宋体" w:cs="宋体"/>
          <w:color w:val="auto"/>
        </w:rPr>
      </w:pPr>
      <w:r>
        <w:rPr>
          <w:rFonts w:hint="eastAsia" w:ascii="宋体" w:hAnsi="宋体" w:eastAsia="宋体" w:cs="宋体"/>
          <w:color w:val="auto"/>
        </w:rPr>
        <w:t>（四）告知质疑供应商依法投诉的权利；</w:t>
      </w:r>
    </w:p>
    <w:p>
      <w:pPr>
        <w:pStyle w:val="31"/>
        <w:spacing w:line="400" w:lineRule="exact"/>
        <w:ind w:left="840" w:leftChars="400"/>
        <w:rPr>
          <w:rFonts w:hint="eastAsia" w:ascii="宋体" w:hAnsi="宋体" w:eastAsia="宋体" w:cs="宋体"/>
          <w:color w:val="auto"/>
        </w:rPr>
      </w:pPr>
      <w:r>
        <w:rPr>
          <w:rFonts w:hint="eastAsia" w:ascii="宋体" w:hAnsi="宋体" w:eastAsia="宋体" w:cs="宋体"/>
          <w:color w:val="auto"/>
        </w:rPr>
        <w:t>（五）质疑答复人名称；</w:t>
      </w:r>
    </w:p>
    <w:p>
      <w:pPr>
        <w:pStyle w:val="31"/>
        <w:spacing w:line="400" w:lineRule="exact"/>
        <w:ind w:left="840" w:leftChars="400"/>
        <w:rPr>
          <w:rFonts w:hint="eastAsia" w:ascii="宋体" w:hAnsi="宋体" w:eastAsia="宋体" w:cs="宋体"/>
          <w:color w:val="auto"/>
          <w:lang w:eastAsia="zh-CN"/>
        </w:rPr>
      </w:pPr>
      <w:r>
        <w:rPr>
          <w:rFonts w:hint="eastAsia" w:ascii="宋体" w:hAnsi="宋体" w:eastAsia="宋体" w:cs="宋体"/>
          <w:color w:val="auto"/>
        </w:rPr>
        <w:t>（六）答复质疑的日期</w:t>
      </w:r>
      <w:r>
        <w:rPr>
          <w:rFonts w:hint="eastAsia" w:ascii="宋体" w:hAnsi="宋体" w:eastAsia="宋体" w:cs="宋体"/>
          <w:color w:val="auto"/>
          <w:lang w:eastAsia="zh-CN"/>
        </w:rPr>
        <w:t>。</w:t>
      </w:r>
    </w:p>
    <w:p>
      <w:pPr>
        <w:rPr>
          <w:rFonts w:hint="eastAsia"/>
        </w:rPr>
      </w:pPr>
    </w:p>
    <w:p>
      <w:pPr>
        <w:pStyle w:val="2"/>
        <w:spacing w:before="0" w:line="240" w:lineRule="atLeast"/>
        <w:rPr>
          <w:rFonts w:hint="eastAsia" w:ascii="楷体" w:hAnsi="楷体" w:eastAsia="楷体" w:cs="楷体"/>
          <w:szCs w:val="24"/>
        </w:rPr>
      </w:pPr>
      <w:r>
        <w:rPr>
          <w:rFonts w:hint="eastAsia" w:ascii="楷体" w:hAnsi="楷体" w:eastAsia="楷体" w:cs="楷体"/>
          <w:szCs w:val="24"/>
        </w:rPr>
        <w:t>附件1：履约保证金保函（格式）</w:t>
      </w:r>
      <w:bookmarkEnd w:id="0"/>
      <w:bookmarkEnd w:id="1"/>
    </w:p>
    <w:p>
      <w:pPr>
        <w:pStyle w:val="10"/>
        <w:spacing w:line="240" w:lineRule="atLeast"/>
        <w:ind w:left="1079" w:leftChars="257" w:hanging="540"/>
        <w:rPr>
          <w:rFonts w:hint="eastAsia" w:ascii="楷体" w:hAnsi="楷体" w:eastAsia="楷体" w:cs="楷体"/>
          <w:b/>
          <w:sz w:val="24"/>
        </w:rPr>
      </w:pPr>
      <w:r>
        <w:rPr>
          <w:rFonts w:hint="eastAsia" w:ascii="楷体" w:hAnsi="楷体" w:eastAsia="楷体" w:cs="楷体"/>
          <w:b/>
          <w:sz w:val="24"/>
        </w:rPr>
        <w:t xml:space="preserve">                         （中标后开具）</w:t>
      </w:r>
    </w:p>
    <w:p>
      <w:pPr>
        <w:pStyle w:val="10"/>
        <w:spacing w:line="240" w:lineRule="atLeast"/>
        <w:ind w:left="1079" w:leftChars="257" w:hanging="540"/>
        <w:rPr>
          <w:rFonts w:hint="eastAsia" w:ascii="楷体" w:hAnsi="楷体" w:eastAsia="楷体" w:cs="楷体"/>
          <w:b/>
          <w:sz w:val="24"/>
        </w:rPr>
      </w:pPr>
    </w:p>
    <w:p>
      <w:pPr>
        <w:pStyle w:val="10"/>
        <w:spacing w:line="320" w:lineRule="exact"/>
        <w:rPr>
          <w:rFonts w:hint="eastAsia" w:ascii="楷体" w:hAnsi="楷体" w:eastAsia="楷体" w:cs="楷体"/>
          <w:sz w:val="24"/>
        </w:rPr>
      </w:pPr>
      <w:r>
        <w:rPr>
          <w:rFonts w:hint="eastAsia" w:ascii="楷体" w:hAnsi="楷体" w:eastAsia="楷体" w:cs="楷体"/>
          <w:sz w:val="24"/>
        </w:rPr>
        <w:t>致: (</w:t>
      </w:r>
      <w:r>
        <w:rPr>
          <w:rFonts w:hint="eastAsia" w:ascii="楷体" w:hAnsi="楷体" w:eastAsia="楷体" w:cs="楷体"/>
          <w:i/>
          <w:sz w:val="24"/>
          <w:u w:val="single"/>
        </w:rPr>
        <w:t>买方名称</w:t>
      </w:r>
      <w:r>
        <w:rPr>
          <w:rFonts w:hint="eastAsia" w:ascii="楷体" w:hAnsi="楷体" w:eastAsia="楷体" w:cs="楷体"/>
          <w:sz w:val="24"/>
        </w:rPr>
        <w:t>)</w:t>
      </w:r>
    </w:p>
    <w:p>
      <w:pPr>
        <w:pStyle w:val="10"/>
        <w:spacing w:line="320" w:lineRule="exact"/>
        <w:ind w:left="1079" w:leftChars="257" w:hanging="540"/>
        <w:jc w:val="center"/>
        <w:rPr>
          <w:rFonts w:hint="eastAsia" w:ascii="楷体" w:hAnsi="楷体" w:eastAsia="楷体" w:cs="楷体"/>
          <w:sz w:val="24"/>
        </w:rPr>
      </w:pPr>
      <w:r>
        <w:rPr>
          <w:rFonts w:hint="eastAsia" w:ascii="楷体" w:hAnsi="楷体" w:eastAsia="楷体" w:cs="楷体"/>
          <w:sz w:val="24"/>
          <w:u w:val="single"/>
        </w:rPr>
        <w:t xml:space="preserve">             </w:t>
      </w:r>
      <w:r>
        <w:rPr>
          <w:rFonts w:hint="eastAsia" w:ascii="楷体" w:hAnsi="楷体" w:eastAsia="楷体" w:cs="楷体"/>
          <w:sz w:val="24"/>
        </w:rPr>
        <w:t>号合同履约保函</w:t>
      </w:r>
    </w:p>
    <w:p>
      <w:pPr>
        <w:pStyle w:val="10"/>
        <w:spacing w:line="320" w:lineRule="exact"/>
        <w:ind w:left="1079" w:leftChars="257" w:hanging="540"/>
        <w:jc w:val="center"/>
        <w:rPr>
          <w:rFonts w:hint="eastAsia" w:ascii="楷体" w:hAnsi="楷体" w:eastAsia="楷体" w:cs="楷体"/>
          <w:sz w:val="24"/>
        </w:rPr>
      </w:pPr>
    </w:p>
    <w:p>
      <w:pPr>
        <w:pStyle w:val="10"/>
        <w:spacing w:line="320" w:lineRule="exact"/>
        <w:ind w:firstLine="600" w:firstLineChars="250"/>
        <w:rPr>
          <w:rFonts w:hint="eastAsia" w:ascii="楷体" w:hAnsi="楷体" w:eastAsia="楷体" w:cs="楷体"/>
          <w:sz w:val="24"/>
        </w:rPr>
      </w:pPr>
      <w:r>
        <w:rPr>
          <w:rFonts w:hint="eastAsia" w:ascii="楷体" w:hAnsi="楷体" w:eastAsia="楷体" w:cs="楷体"/>
          <w:sz w:val="24"/>
        </w:rPr>
        <w:t>本保函作为贵方与(</w:t>
      </w:r>
      <w:r>
        <w:rPr>
          <w:rFonts w:hint="eastAsia" w:ascii="楷体" w:hAnsi="楷体" w:eastAsia="楷体" w:cs="楷体"/>
          <w:i/>
          <w:sz w:val="24"/>
          <w:u w:val="single"/>
        </w:rPr>
        <w:t>卖方名称</w:t>
      </w:r>
      <w:r>
        <w:rPr>
          <w:rFonts w:hint="eastAsia" w:ascii="楷体" w:hAnsi="楷体" w:eastAsia="楷体" w:cs="楷体"/>
          <w:sz w:val="24"/>
        </w:rPr>
        <w:t>)(以下简称卖方)于</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日就</w:t>
      </w:r>
      <w:r>
        <w:rPr>
          <w:rFonts w:hint="eastAsia" w:ascii="楷体" w:hAnsi="楷体" w:eastAsia="楷体" w:cs="楷体"/>
          <w:sz w:val="24"/>
          <w:u w:val="single"/>
        </w:rPr>
        <w:t xml:space="preserve">                  </w:t>
      </w:r>
      <w:r>
        <w:rPr>
          <w:rFonts w:hint="eastAsia" w:ascii="楷体" w:hAnsi="楷体" w:eastAsia="楷体" w:cs="楷体"/>
          <w:sz w:val="24"/>
        </w:rPr>
        <w:t>项目(以下简称项目)项下提供(</w:t>
      </w:r>
      <w:r>
        <w:rPr>
          <w:rFonts w:hint="eastAsia" w:ascii="楷体" w:hAnsi="楷体" w:eastAsia="楷体" w:cs="楷体"/>
          <w:i/>
          <w:sz w:val="24"/>
          <w:u w:val="single"/>
        </w:rPr>
        <w:t>服务名称</w:t>
      </w:r>
      <w:r>
        <w:rPr>
          <w:rFonts w:hint="eastAsia" w:ascii="楷体" w:hAnsi="楷体" w:eastAsia="楷体" w:cs="楷体"/>
          <w:sz w:val="24"/>
        </w:rPr>
        <w:t>)(以下简称服务)签订的(</w:t>
      </w:r>
      <w:r>
        <w:rPr>
          <w:rFonts w:hint="eastAsia" w:ascii="楷体" w:hAnsi="楷体" w:eastAsia="楷体" w:cs="楷体"/>
          <w:i/>
          <w:sz w:val="24"/>
          <w:u w:val="single"/>
        </w:rPr>
        <w:t>合同号</w:t>
      </w:r>
      <w:r>
        <w:rPr>
          <w:rFonts w:hint="eastAsia" w:ascii="楷体" w:hAnsi="楷体" w:eastAsia="楷体" w:cs="楷体"/>
          <w:sz w:val="24"/>
        </w:rPr>
        <w:t>)号合同的履约保函。</w:t>
      </w:r>
    </w:p>
    <w:p>
      <w:pPr>
        <w:pStyle w:val="10"/>
        <w:spacing w:line="320" w:lineRule="exact"/>
        <w:ind w:firstLine="540" w:firstLineChars="225"/>
        <w:rPr>
          <w:rFonts w:hint="eastAsia" w:ascii="楷体" w:hAnsi="楷体" w:eastAsia="楷体" w:cs="楷体"/>
          <w:sz w:val="24"/>
        </w:rPr>
      </w:pPr>
      <w:r>
        <w:rPr>
          <w:rFonts w:hint="eastAsia" w:ascii="楷体" w:hAnsi="楷体" w:eastAsia="楷体" w:cs="楷体"/>
          <w:sz w:val="24"/>
        </w:rPr>
        <w:t>(</w:t>
      </w:r>
      <w:r>
        <w:rPr>
          <w:rFonts w:hint="eastAsia" w:ascii="楷体" w:hAnsi="楷体" w:eastAsia="楷体" w:cs="楷体"/>
          <w:i/>
          <w:sz w:val="24"/>
          <w:u w:val="single"/>
        </w:rPr>
        <w:t>出具保函的银行名称</w:t>
      </w:r>
      <w:r>
        <w:rPr>
          <w:rFonts w:hint="eastAsia" w:ascii="楷体" w:hAnsi="楷体" w:eastAsia="楷体" w:cs="楷体"/>
          <w:sz w:val="24"/>
        </w:rPr>
        <w:t>)(以下简称银行)无条件地、不可撤销地具结保证本行、其继承人和受让人无追索地向贵方以(</w:t>
      </w:r>
      <w:r>
        <w:rPr>
          <w:rFonts w:hint="eastAsia" w:ascii="楷体" w:hAnsi="楷体" w:eastAsia="楷体" w:cs="楷体"/>
          <w:i/>
          <w:sz w:val="24"/>
          <w:u w:val="single"/>
        </w:rPr>
        <w:t>货币名称</w:t>
      </w:r>
      <w:r>
        <w:rPr>
          <w:rFonts w:hint="eastAsia" w:ascii="楷体" w:hAnsi="楷体" w:eastAsia="楷体" w:cs="楷体"/>
          <w:sz w:val="24"/>
        </w:rPr>
        <w:t>)支付总额不超过(</w:t>
      </w:r>
      <w:r>
        <w:rPr>
          <w:rFonts w:hint="eastAsia" w:ascii="楷体" w:hAnsi="楷体" w:eastAsia="楷体" w:cs="楷体"/>
          <w:i/>
          <w:sz w:val="24"/>
          <w:u w:val="single"/>
        </w:rPr>
        <w:t>货币数量</w:t>
      </w:r>
      <w:r>
        <w:rPr>
          <w:rFonts w:hint="eastAsia" w:ascii="楷体" w:hAnsi="楷体" w:eastAsia="楷体" w:cs="楷体"/>
          <w:sz w:val="24"/>
        </w:rPr>
        <w:t>),即相当于合同价格的</w:t>
      </w:r>
      <w:r>
        <w:rPr>
          <w:rFonts w:hint="eastAsia" w:ascii="楷体" w:hAnsi="楷体" w:eastAsia="楷体" w:cs="楷体"/>
          <w:sz w:val="24"/>
          <w:u w:val="single"/>
        </w:rPr>
        <w:t xml:space="preserve">     </w:t>
      </w:r>
      <w:r>
        <w:rPr>
          <w:rFonts w:hint="eastAsia" w:ascii="楷体" w:hAnsi="楷体" w:eastAsia="楷体" w:cs="楷体"/>
          <w:sz w:val="24"/>
        </w:rPr>
        <w:t>%,并以此约定如下:</w:t>
      </w:r>
    </w:p>
    <w:p>
      <w:pPr>
        <w:pStyle w:val="10"/>
        <w:spacing w:line="320" w:lineRule="exact"/>
        <w:ind w:left="539" w:leftChars="257"/>
        <w:rPr>
          <w:rFonts w:hint="eastAsia" w:ascii="楷体" w:hAnsi="楷体" w:eastAsia="楷体" w:cs="楷体"/>
          <w:sz w:val="24"/>
        </w:rPr>
      </w:pPr>
      <w:r>
        <w:rPr>
          <w:rFonts w:hint="eastAsia" w:ascii="楷体" w:hAnsi="楷体" w:eastAsia="楷体" w:cs="楷体"/>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0"/>
        <w:spacing w:line="320" w:lineRule="exact"/>
        <w:ind w:left="540"/>
        <w:rPr>
          <w:rFonts w:hint="eastAsia" w:ascii="楷体" w:hAnsi="楷体" w:eastAsia="楷体" w:cs="楷体"/>
          <w:sz w:val="24"/>
        </w:rPr>
      </w:pPr>
      <w:r>
        <w:rPr>
          <w:rFonts w:hint="eastAsia" w:ascii="楷体" w:hAnsi="楷体" w:eastAsia="楷体" w:cs="楷体"/>
          <w:sz w:val="24"/>
        </w:rPr>
        <w:t>2.本保函项下的任何支付应为免税和净值。对于现有或将来的税收、关税、收费、费用扣减或预提税款，不论这些款项是何种性质和由谁征收，都不应从本保函项下的支付中扣除。</w:t>
      </w:r>
    </w:p>
    <w:p>
      <w:pPr>
        <w:pStyle w:val="10"/>
        <w:spacing w:line="320" w:lineRule="exact"/>
        <w:ind w:left="540"/>
        <w:rPr>
          <w:rFonts w:hint="eastAsia" w:ascii="楷体" w:hAnsi="楷体" w:eastAsia="楷体" w:cs="楷体"/>
          <w:sz w:val="24"/>
        </w:rPr>
      </w:pPr>
      <w:r>
        <w:rPr>
          <w:rFonts w:hint="eastAsia" w:ascii="楷体" w:hAnsi="楷体" w:eastAsia="楷体" w:cs="楷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pacing w:line="320" w:lineRule="exact"/>
        <w:ind w:left="1079" w:leftChars="257" w:hanging="540"/>
        <w:rPr>
          <w:rFonts w:hint="eastAsia" w:ascii="楷体" w:hAnsi="楷体" w:eastAsia="楷体" w:cs="楷体"/>
          <w:sz w:val="24"/>
        </w:rPr>
      </w:pPr>
      <w:r>
        <w:rPr>
          <w:rFonts w:hint="eastAsia" w:ascii="楷体" w:hAnsi="楷体" w:eastAsia="楷体" w:cs="楷体"/>
          <w:sz w:val="24"/>
        </w:rPr>
        <w:t>4.本保函在本合同规定的保证期期满前完全有效。</w:t>
      </w:r>
    </w:p>
    <w:p>
      <w:pPr>
        <w:pStyle w:val="10"/>
        <w:spacing w:line="240" w:lineRule="atLeast"/>
        <w:ind w:left="1079" w:leftChars="257" w:hanging="540"/>
        <w:rPr>
          <w:rFonts w:hint="eastAsia" w:ascii="楷体" w:hAnsi="楷体" w:eastAsia="楷体" w:cs="楷体"/>
          <w:sz w:val="24"/>
        </w:rPr>
      </w:pPr>
    </w:p>
    <w:p>
      <w:pPr>
        <w:pStyle w:val="10"/>
        <w:spacing w:line="240" w:lineRule="atLeast"/>
        <w:ind w:left="1079" w:leftChars="257" w:hanging="540"/>
        <w:rPr>
          <w:rFonts w:hint="eastAsia" w:ascii="楷体" w:hAnsi="楷体" w:eastAsia="楷体" w:cs="楷体"/>
          <w:sz w:val="24"/>
        </w:rPr>
      </w:pPr>
      <w:r>
        <w:rPr>
          <w:rFonts w:hint="eastAsia" w:ascii="楷体" w:hAnsi="楷体" w:eastAsia="楷体" w:cs="楷体"/>
          <w:sz w:val="24"/>
        </w:rPr>
        <w:t>谨启</w:t>
      </w:r>
    </w:p>
    <w:p>
      <w:pPr>
        <w:pStyle w:val="10"/>
        <w:spacing w:line="240" w:lineRule="atLeast"/>
        <w:ind w:left="1079" w:leftChars="257" w:hanging="540"/>
        <w:rPr>
          <w:rFonts w:hint="eastAsia" w:ascii="楷体" w:hAnsi="楷体" w:eastAsia="楷体" w:cs="楷体"/>
          <w:sz w:val="24"/>
        </w:rPr>
      </w:pPr>
      <w:r>
        <w:rPr>
          <w:rFonts w:hint="eastAsia" w:ascii="楷体" w:hAnsi="楷体" w:eastAsia="楷体" w:cs="楷体"/>
          <w:sz w:val="24"/>
        </w:rPr>
        <w:t>出具保函银行名称：</w:t>
      </w:r>
      <w:r>
        <w:rPr>
          <w:rFonts w:hint="eastAsia" w:ascii="楷体" w:hAnsi="楷体" w:eastAsia="楷体" w:cs="楷体"/>
          <w:sz w:val="24"/>
          <w:u w:val="single"/>
        </w:rPr>
        <w:t xml:space="preserve">                             </w:t>
      </w:r>
    </w:p>
    <w:p>
      <w:pPr>
        <w:pStyle w:val="10"/>
        <w:spacing w:line="240" w:lineRule="atLeast"/>
        <w:ind w:left="1079" w:leftChars="257" w:hanging="540"/>
        <w:rPr>
          <w:rFonts w:hint="eastAsia" w:ascii="楷体" w:hAnsi="楷体" w:eastAsia="楷体" w:cs="楷体"/>
          <w:sz w:val="24"/>
          <w:u w:val="single"/>
        </w:rPr>
      </w:pPr>
      <w:r>
        <w:rPr>
          <w:rFonts w:hint="eastAsia" w:ascii="楷体" w:hAnsi="楷体" w:eastAsia="楷体" w:cs="楷体"/>
          <w:sz w:val="24"/>
        </w:rPr>
        <w:t>签字人姓名和职务：</w:t>
      </w:r>
      <w:r>
        <w:rPr>
          <w:rFonts w:hint="eastAsia" w:ascii="楷体" w:hAnsi="楷体" w:eastAsia="楷体" w:cs="楷体"/>
          <w:sz w:val="24"/>
          <w:u w:val="single"/>
        </w:rPr>
        <w:t xml:space="preserve">                             </w:t>
      </w:r>
    </w:p>
    <w:p>
      <w:pPr>
        <w:pStyle w:val="10"/>
        <w:spacing w:line="240" w:lineRule="atLeast"/>
        <w:ind w:left="1079" w:leftChars="257" w:hanging="540"/>
        <w:rPr>
          <w:rFonts w:hint="eastAsia" w:ascii="楷体" w:hAnsi="楷体" w:eastAsia="楷体" w:cs="楷体"/>
          <w:sz w:val="24"/>
        </w:rPr>
      </w:pPr>
      <w:r>
        <w:rPr>
          <w:rFonts w:hint="eastAsia" w:ascii="楷体" w:hAnsi="楷体" w:eastAsia="楷体" w:cs="楷体"/>
          <w:sz w:val="24"/>
        </w:rPr>
        <w:t>签字人签名：</w:t>
      </w:r>
      <w:r>
        <w:rPr>
          <w:rFonts w:hint="eastAsia" w:ascii="楷体" w:hAnsi="楷体" w:eastAsia="楷体" w:cs="楷体"/>
          <w:sz w:val="24"/>
          <w:u w:val="single"/>
        </w:rPr>
        <w:t xml:space="preserve">                                   </w:t>
      </w:r>
    </w:p>
    <w:p>
      <w:pPr>
        <w:pStyle w:val="10"/>
        <w:spacing w:line="240" w:lineRule="atLeast"/>
        <w:ind w:left="1079" w:leftChars="257" w:hanging="540"/>
        <w:rPr>
          <w:rFonts w:hint="eastAsia" w:ascii="楷体" w:hAnsi="楷体" w:eastAsia="楷体" w:cs="楷体"/>
          <w:sz w:val="24"/>
          <w:u w:val="single"/>
        </w:rPr>
      </w:pPr>
      <w:r>
        <w:rPr>
          <w:rFonts w:hint="eastAsia" w:ascii="楷体" w:hAnsi="楷体" w:eastAsia="楷体" w:cs="楷体"/>
          <w:sz w:val="24"/>
        </w:rPr>
        <w:t>公章：</w:t>
      </w:r>
      <w:r>
        <w:rPr>
          <w:rFonts w:hint="eastAsia" w:ascii="楷体" w:hAnsi="楷体" w:eastAsia="楷体" w:cs="楷体"/>
          <w:sz w:val="24"/>
          <w:u w:val="single"/>
        </w:rPr>
        <w:t xml:space="preserve">                                         </w:t>
      </w:r>
    </w:p>
    <w:p>
      <w:pPr>
        <w:pStyle w:val="2"/>
        <w:spacing w:before="0" w:line="240" w:lineRule="atLeast"/>
        <w:ind w:left="1079" w:leftChars="257" w:hanging="540"/>
        <w:rPr>
          <w:rFonts w:hint="eastAsia" w:ascii="楷体" w:hAnsi="楷体" w:eastAsia="楷体" w:cs="楷体"/>
          <w:szCs w:val="24"/>
        </w:rPr>
      </w:pPr>
      <w:r>
        <w:rPr>
          <w:rFonts w:hint="eastAsia" w:ascii="楷体" w:hAnsi="楷体" w:eastAsia="楷体" w:cs="楷体"/>
        </w:rPr>
        <w:br w:type="page"/>
      </w:r>
      <w:bookmarkStart w:id="297" w:name="_Toc27788"/>
      <w:bookmarkStart w:id="298" w:name="_Toc518923104"/>
      <w:r>
        <w:rPr>
          <w:rFonts w:hint="eastAsia" w:ascii="楷体" w:hAnsi="楷体" w:eastAsia="楷体" w:cs="楷体"/>
          <w:szCs w:val="24"/>
        </w:rPr>
        <w:t>附件2：履约担保函格式</w:t>
      </w:r>
      <w:bookmarkEnd w:id="297"/>
      <w:bookmarkEnd w:id="298"/>
    </w:p>
    <w:p>
      <w:pPr>
        <w:pStyle w:val="2"/>
        <w:spacing w:before="0" w:line="240" w:lineRule="atLeast"/>
        <w:ind w:left="1079" w:leftChars="257" w:hanging="540"/>
        <w:rPr>
          <w:rFonts w:hint="eastAsia" w:ascii="楷体" w:hAnsi="楷体" w:eastAsia="楷体" w:cs="楷体"/>
          <w:b w:val="0"/>
        </w:rPr>
      </w:pPr>
      <w:bookmarkStart w:id="299" w:name="_Toc515904842"/>
      <w:bookmarkStart w:id="300" w:name="_Toc518923105"/>
      <w:bookmarkStart w:id="301" w:name="_Toc30995"/>
      <w:r>
        <w:rPr>
          <w:rFonts w:hint="eastAsia" w:ascii="楷体" w:hAnsi="楷体" w:eastAsia="楷体" w:cs="楷体"/>
          <w:szCs w:val="24"/>
        </w:rPr>
        <w:t>（采用政府采购信用担保形式时使用）</w:t>
      </w:r>
      <w:bookmarkEnd w:id="299"/>
      <w:bookmarkEnd w:id="300"/>
      <w:bookmarkEnd w:id="301"/>
    </w:p>
    <w:p>
      <w:pPr>
        <w:spacing w:line="240" w:lineRule="atLeast"/>
        <w:ind w:left="1079" w:leftChars="257" w:hanging="540"/>
        <w:rPr>
          <w:rFonts w:hint="eastAsia" w:ascii="楷体" w:hAnsi="楷体" w:eastAsia="楷体" w:cs="楷体"/>
          <w:b/>
          <w:kern w:val="0"/>
          <w:sz w:val="24"/>
          <w:szCs w:val="20"/>
        </w:rPr>
      </w:pPr>
    </w:p>
    <w:p>
      <w:pPr>
        <w:jc w:val="center"/>
        <w:rPr>
          <w:rFonts w:hint="eastAsia" w:ascii="楷体" w:hAnsi="楷体" w:eastAsia="楷体" w:cs="楷体"/>
          <w:sz w:val="24"/>
        </w:rPr>
      </w:pPr>
      <w:r>
        <w:rPr>
          <w:rFonts w:hint="eastAsia" w:ascii="楷体" w:hAnsi="楷体" w:eastAsia="楷体" w:cs="楷体"/>
          <w:sz w:val="24"/>
        </w:rPr>
        <w:t>政府采购履约担保函（项目用）</w:t>
      </w:r>
    </w:p>
    <w:p>
      <w:pPr>
        <w:rPr>
          <w:rFonts w:hint="eastAsia" w:ascii="楷体" w:hAnsi="楷体" w:eastAsia="楷体" w:cs="楷体"/>
          <w:sz w:val="24"/>
        </w:rPr>
      </w:pPr>
      <w:r>
        <w:rPr>
          <w:rFonts w:hint="eastAsia" w:ascii="楷体" w:hAnsi="楷体" w:eastAsia="楷体" w:cs="楷体"/>
          <w:sz w:val="24"/>
        </w:rPr>
        <w:t xml:space="preserve">                                                   编号：</w:t>
      </w:r>
    </w:p>
    <w:p>
      <w:pPr>
        <w:rPr>
          <w:rFonts w:hint="eastAsia" w:ascii="楷体" w:hAnsi="楷体" w:eastAsia="楷体" w:cs="楷体"/>
          <w:sz w:val="24"/>
        </w:rPr>
      </w:pPr>
    </w:p>
    <w:p>
      <w:pPr>
        <w:spacing w:line="280" w:lineRule="exact"/>
        <w:rPr>
          <w:rFonts w:hint="eastAsia" w:ascii="楷体" w:hAnsi="楷体" w:eastAsia="楷体" w:cs="楷体"/>
          <w:sz w:val="24"/>
        </w:rPr>
      </w:pPr>
      <w:r>
        <w:rPr>
          <w:rFonts w:hint="eastAsia" w:ascii="楷体" w:hAnsi="楷体" w:eastAsia="楷体" w:cs="楷体"/>
          <w:sz w:val="24"/>
          <w:u w:val="single"/>
        </w:rPr>
        <w:t xml:space="preserve">                  </w:t>
      </w:r>
      <w:r>
        <w:rPr>
          <w:rFonts w:hint="eastAsia" w:ascii="楷体" w:hAnsi="楷体" w:eastAsia="楷体" w:cs="楷体"/>
          <w:sz w:val="24"/>
        </w:rPr>
        <w:t>（采购人）：</w:t>
      </w:r>
    </w:p>
    <w:p>
      <w:pPr>
        <w:spacing w:line="280" w:lineRule="exact"/>
        <w:rPr>
          <w:rFonts w:hint="eastAsia" w:ascii="楷体" w:hAnsi="楷体" w:eastAsia="楷体" w:cs="楷体"/>
          <w:sz w:val="24"/>
        </w:rPr>
      </w:pP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鉴于你方与</w:t>
      </w:r>
      <w:r>
        <w:rPr>
          <w:rFonts w:hint="eastAsia" w:ascii="楷体" w:hAnsi="楷体" w:eastAsia="楷体" w:cs="楷体"/>
          <w:sz w:val="24"/>
          <w:u w:val="single"/>
        </w:rPr>
        <w:t xml:space="preserve">                    </w:t>
      </w:r>
      <w:r>
        <w:rPr>
          <w:rFonts w:hint="eastAsia" w:ascii="楷体" w:hAnsi="楷体" w:eastAsia="楷体" w:cs="楷体"/>
          <w:sz w:val="24"/>
        </w:rPr>
        <w:t>（以下简称供应商）于</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日签定编号为   的《</w:t>
      </w:r>
      <w:r>
        <w:rPr>
          <w:rFonts w:hint="eastAsia" w:ascii="楷体" w:hAnsi="楷体" w:eastAsia="楷体" w:cs="楷体"/>
          <w:sz w:val="24"/>
          <w:u w:val="single"/>
        </w:rPr>
        <w:t xml:space="preserve">           </w:t>
      </w:r>
      <w:r>
        <w:rPr>
          <w:rFonts w:hint="eastAsia" w:ascii="楷体" w:hAnsi="楷体" w:eastAsia="楷体" w:cs="楷体"/>
          <w:sz w:val="24"/>
        </w:rPr>
        <w:t>政府采购合同》（以下简称主合同），且依据该合同的约定，供应商应在</w:t>
      </w:r>
      <w:r>
        <w:rPr>
          <w:rFonts w:hint="eastAsia" w:ascii="楷体" w:hAnsi="楷体" w:eastAsia="楷体" w:cs="楷体"/>
          <w:sz w:val="24"/>
          <w:u w:val="single"/>
        </w:rPr>
        <w:t xml:space="preserve">    </w:t>
      </w:r>
      <w:r>
        <w:rPr>
          <w:rFonts w:hint="eastAsia" w:ascii="楷体" w:hAnsi="楷体" w:eastAsia="楷体" w:cs="楷体"/>
          <w:sz w:val="24"/>
        </w:rPr>
        <w:t>年</w:t>
      </w:r>
    </w:p>
    <w:p>
      <w:pPr>
        <w:spacing w:line="280" w:lineRule="exact"/>
        <w:rPr>
          <w:rFonts w:hint="eastAsia" w:ascii="楷体" w:hAnsi="楷体" w:eastAsia="楷体" w:cs="楷体"/>
          <w:sz w:val="24"/>
        </w:rPr>
      </w:pP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日前向你方交纳履约保证金，且可以履约担保函的形式交纳履约保证金。应供应商的申请，我方以保证的方式向你方提供如下履约保证金担保：</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一、保证责任的情形及保证金额</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（一）在供应商出现下列情形之一时，我方承担保证责任：</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1．将中标项目转让给他人，或者在</w:t>
      </w:r>
      <w:r>
        <w:rPr>
          <w:rFonts w:hint="eastAsia" w:ascii="楷体" w:hAnsi="楷体" w:eastAsia="楷体" w:cs="楷体"/>
          <w:sz w:val="24"/>
          <w:lang w:eastAsia="zh-CN"/>
        </w:rPr>
        <w:t>响应文件</w:t>
      </w:r>
      <w:r>
        <w:rPr>
          <w:rFonts w:hint="eastAsia" w:ascii="楷体" w:hAnsi="楷体" w:eastAsia="楷体" w:cs="楷体"/>
          <w:sz w:val="24"/>
        </w:rPr>
        <w:t>中未说明，且未经采购招标机构人同意，将中标项目分包给他人的；</w:t>
      </w:r>
    </w:p>
    <w:p>
      <w:pPr>
        <w:spacing w:line="280" w:lineRule="exact"/>
        <w:rPr>
          <w:rFonts w:hint="eastAsia" w:ascii="楷体" w:hAnsi="楷体" w:eastAsia="楷体" w:cs="楷体"/>
          <w:sz w:val="24"/>
        </w:rPr>
      </w:pPr>
      <w:r>
        <w:rPr>
          <w:rFonts w:hint="eastAsia" w:ascii="楷体" w:hAnsi="楷体" w:eastAsia="楷体" w:cs="楷体"/>
          <w:sz w:val="24"/>
        </w:rPr>
        <w:t xml:space="preserve">　　2．主合同约定的应当缴纳履约保证金的情形: </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（1）未按主合同约定的质量、数量和期限供应货物/提供服务/完成工程的；</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（2）</w:t>
      </w:r>
      <w:r>
        <w:rPr>
          <w:rFonts w:hint="eastAsia" w:ascii="楷体" w:hAnsi="楷体" w:eastAsia="楷体" w:cs="楷体"/>
          <w:sz w:val="24"/>
          <w:u w:val="single"/>
        </w:rPr>
        <w:t xml:space="preserve">                                                           </w:t>
      </w:r>
      <w:r>
        <w:rPr>
          <w:rFonts w:hint="eastAsia" w:ascii="楷体" w:hAnsi="楷体" w:eastAsia="楷体" w:cs="楷体"/>
          <w:sz w:val="24"/>
        </w:rPr>
        <w:t>。</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（二）我方的保证范围是主合同约定的合同价款总额的</w:t>
      </w:r>
      <w:r>
        <w:rPr>
          <w:rFonts w:hint="eastAsia" w:ascii="楷体" w:hAnsi="楷体" w:eastAsia="楷体" w:cs="楷体"/>
          <w:sz w:val="24"/>
          <w:u w:val="single"/>
        </w:rPr>
        <w:t xml:space="preserve">        </w:t>
      </w:r>
      <w:r>
        <w:rPr>
          <w:rFonts w:hint="eastAsia" w:ascii="楷体" w:hAnsi="楷体" w:eastAsia="楷体" w:cs="楷体"/>
          <w:sz w:val="24"/>
        </w:rPr>
        <w:t>%数额为</w:t>
      </w:r>
      <w:r>
        <w:rPr>
          <w:rFonts w:hint="eastAsia" w:ascii="楷体" w:hAnsi="楷体" w:eastAsia="楷体" w:cs="楷体"/>
          <w:sz w:val="24"/>
          <w:u w:val="single"/>
        </w:rPr>
        <w:t xml:space="preserve">         </w:t>
      </w:r>
      <w:r>
        <w:rPr>
          <w:rFonts w:hint="eastAsia" w:ascii="楷体" w:hAnsi="楷体" w:eastAsia="楷体" w:cs="楷体"/>
          <w:sz w:val="24"/>
        </w:rPr>
        <w:t>元（大写</w:t>
      </w:r>
      <w:r>
        <w:rPr>
          <w:rFonts w:hint="eastAsia" w:ascii="楷体" w:hAnsi="楷体" w:eastAsia="楷体" w:cs="楷体"/>
          <w:sz w:val="24"/>
          <w:u w:val="single"/>
        </w:rPr>
        <w:t xml:space="preserve">           </w:t>
      </w:r>
      <w:r>
        <w:rPr>
          <w:rFonts w:hint="eastAsia" w:ascii="楷体" w:hAnsi="楷体" w:eastAsia="楷体" w:cs="楷体"/>
          <w:sz w:val="24"/>
        </w:rPr>
        <w:t>），币种为</w:t>
      </w:r>
      <w:r>
        <w:rPr>
          <w:rFonts w:hint="eastAsia" w:ascii="楷体" w:hAnsi="楷体" w:eastAsia="楷体" w:cs="楷体"/>
          <w:sz w:val="24"/>
          <w:u w:val="single"/>
        </w:rPr>
        <w:t xml:space="preserve">        </w:t>
      </w:r>
      <w:r>
        <w:rPr>
          <w:rFonts w:hint="eastAsia" w:ascii="楷体" w:hAnsi="楷体" w:eastAsia="楷体" w:cs="楷体"/>
          <w:sz w:val="24"/>
        </w:rPr>
        <w:t>。（即主合同履约保证金金额）</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二、保证的方式及保证期间</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我方保证的方式为：连带责任保证。</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我方保证的期间为：自本合同生效之日起至供应商按照主合同约定的供货/完工期限届满后</w:t>
      </w:r>
      <w:r>
        <w:rPr>
          <w:rFonts w:hint="eastAsia" w:ascii="楷体" w:hAnsi="楷体" w:eastAsia="楷体" w:cs="楷体"/>
          <w:sz w:val="24"/>
          <w:u w:val="single"/>
        </w:rPr>
        <w:t xml:space="preserve">     </w:t>
      </w:r>
      <w:r>
        <w:rPr>
          <w:rFonts w:hint="eastAsia" w:ascii="楷体" w:hAnsi="楷体" w:eastAsia="楷体" w:cs="楷体"/>
          <w:sz w:val="24"/>
        </w:rPr>
        <w:t>日内。</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如果供应商未按主合同约定向贵方供应货物/提供服务/完成工程的，由我方在保证金额内向你方支付上述款项。</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三、承担保证责任的程序</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1．你方要求我方承担保证责任的，应在本保函保证期间内向我方发出书面索赔通知。索赔通知应写明要求索赔的金额，支付款项应到达的帐号。并附有证明供应商违约事实的证明材料。</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如果你方与供应商因货物质量问题产生争议，你方还需同时提供</w:t>
      </w:r>
      <w:r>
        <w:rPr>
          <w:rFonts w:hint="eastAsia" w:ascii="楷体" w:hAnsi="楷体" w:eastAsia="楷体" w:cs="楷体"/>
          <w:sz w:val="24"/>
          <w:u w:val="single"/>
        </w:rPr>
        <w:t xml:space="preserve">        </w:t>
      </w:r>
      <w:r>
        <w:rPr>
          <w:rFonts w:hint="eastAsia" w:ascii="楷体" w:hAnsi="楷体" w:eastAsia="楷体" w:cs="楷体"/>
          <w:sz w:val="24"/>
        </w:rPr>
        <w:t>部门出具的质量检测报告，或经诉讼（仲裁）程序裁决后的裁决书、调解书，本保证人即按照检测结果或裁决书、调解书决定是否承担保证责任。</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2． 我方收到你方的书面索赔通知及相应证明材料，在</w:t>
      </w:r>
      <w:r>
        <w:rPr>
          <w:rFonts w:hint="eastAsia" w:ascii="楷体" w:hAnsi="楷体" w:eastAsia="楷体" w:cs="楷体"/>
          <w:sz w:val="24"/>
          <w:u w:val="single"/>
        </w:rPr>
        <w:t xml:space="preserve">     </w:t>
      </w:r>
      <w:r>
        <w:rPr>
          <w:rFonts w:hint="eastAsia" w:ascii="楷体" w:hAnsi="楷体" w:eastAsia="楷体" w:cs="楷体"/>
          <w:sz w:val="24"/>
        </w:rPr>
        <w:t>工作日内进行核定后按照本保函的承诺承担保证责任。</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四、保证责任的终止</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2．我方按照本保函向你方履行了保证责任后，自我方向你方支付款项（支付款项从我方账户划出）之日起，保证责任即终止。</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3．按照法律法规的规定或出现应终止我方保证责任的其它情形的，我方在本保函项下的保证责任亦终止。</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五、免责条款</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1．因你方违反主合同约定致使供应商不能履行义务的，我方不承担保证责任。</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2．依照法律法规的规定或你方与供应商的另行约定，全部或者部分免除供应商应缴纳的保证金义务的，我方亦免除相应的保证责任。</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3．因不可抗力造成供应商不能履行供货义务的，我方不承担保证责任。</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六、争议的解决</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因本保函发生的纠纷，由你我双方协商解决，协商不成的，通过诉讼程序解决，诉讼管辖地法院为</w:t>
      </w:r>
      <w:r>
        <w:rPr>
          <w:rFonts w:hint="eastAsia" w:ascii="楷体" w:hAnsi="楷体" w:eastAsia="楷体" w:cs="楷体"/>
          <w:sz w:val="24"/>
          <w:u w:val="single"/>
        </w:rPr>
        <w:t xml:space="preserve">        </w:t>
      </w:r>
      <w:r>
        <w:rPr>
          <w:rFonts w:hint="eastAsia" w:ascii="楷体" w:hAnsi="楷体" w:eastAsia="楷体" w:cs="楷体"/>
          <w:sz w:val="24"/>
        </w:rPr>
        <w:t>法院。</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七、保函的生效</w:t>
      </w:r>
    </w:p>
    <w:p>
      <w:pPr>
        <w:spacing w:line="280" w:lineRule="exact"/>
        <w:ind w:firstLine="480" w:firstLineChars="200"/>
        <w:rPr>
          <w:rFonts w:hint="eastAsia" w:ascii="楷体" w:hAnsi="楷体" w:eastAsia="楷体" w:cs="楷体"/>
          <w:sz w:val="24"/>
        </w:rPr>
      </w:pPr>
      <w:r>
        <w:rPr>
          <w:rFonts w:hint="eastAsia" w:ascii="楷体" w:hAnsi="楷体" w:eastAsia="楷体" w:cs="楷体"/>
          <w:sz w:val="24"/>
        </w:rPr>
        <w:t>本保函自我方加盖公章之日起生效。</w:t>
      </w:r>
    </w:p>
    <w:p>
      <w:pPr>
        <w:rPr>
          <w:rFonts w:hint="eastAsia" w:ascii="楷体" w:hAnsi="楷体" w:eastAsia="楷体" w:cs="楷体"/>
          <w:sz w:val="24"/>
        </w:rPr>
      </w:pPr>
    </w:p>
    <w:p>
      <w:pPr>
        <w:rPr>
          <w:rFonts w:hint="eastAsia" w:ascii="楷体" w:hAnsi="楷体" w:eastAsia="楷体" w:cs="楷体"/>
          <w:sz w:val="24"/>
        </w:rPr>
      </w:pPr>
      <w:r>
        <w:rPr>
          <w:rFonts w:hint="eastAsia" w:ascii="楷体" w:hAnsi="楷体" w:eastAsia="楷体" w:cs="楷体"/>
          <w:sz w:val="24"/>
        </w:rPr>
        <w:t xml:space="preserve">                                      </w:t>
      </w:r>
    </w:p>
    <w:p>
      <w:pPr>
        <w:ind w:firstLine="5400" w:firstLineChars="2250"/>
        <w:rPr>
          <w:rFonts w:hint="eastAsia" w:ascii="楷体" w:hAnsi="楷体" w:eastAsia="楷体" w:cs="楷体"/>
          <w:sz w:val="24"/>
        </w:rPr>
      </w:pPr>
      <w:r>
        <w:rPr>
          <w:rFonts w:hint="eastAsia" w:ascii="楷体" w:hAnsi="楷体" w:eastAsia="楷体" w:cs="楷体"/>
          <w:sz w:val="24"/>
        </w:rPr>
        <w:t>保证人：（公章）</w:t>
      </w:r>
    </w:p>
    <w:p>
      <w:pPr>
        <w:rPr>
          <w:rFonts w:hint="eastAsia" w:ascii="楷体" w:hAnsi="楷体" w:eastAsia="楷体" w:cs="楷体"/>
          <w:sz w:val="24"/>
        </w:rPr>
      </w:pPr>
      <w:r>
        <w:rPr>
          <w:rFonts w:hint="eastAsia" w:ascii="楷体" w:hAnsi="楷体" w:eastAsia="楷体" w:cs="楷体"/>
          <w:sz w:val="24"/>
        </w:rPr>
        <w:t xml:space="preserve">                   </w:t>
      </w:r>
    </w:p>
    <w:p>
      <w:pPr>
        <w:rPr>
          <w:rFonts w:hint="eastAsia" w:ascii="楷体" w:hAnsi="楷体" w:eastAsia="楷体" w:cs="楷体"/>
          <w:sz w:val="24"/>
        </w:rPr>
      </w:pPr>
      <w:r>
        <w:rPr>
          <w:rFonts w:hint="eastAsia" w:ascii="楷体" w:hAnsi="楷体" w:eastAsia="楷体" w:cs="楷体"/>
          <w:sz w:val="24"/>
        </w:rPr>
        <w:t xml:space="preserve">                                                   年     月      日</w:t>
      </w:r>
    </w:p>
    <w:p>
      <w:pPr>
        <w:pStyle w:val="3"/>
        <w:spacing w:line="240" w:lineRule="atLeast"/>
        <w:ind w:firstLine="0"/>
        <w:rPr>
          <w:rFonts w:hint="eastAsia" w:ascii="楷体" w:hAnsi="楷体" w:eastAsia="楷体" w:cs="楷体"/>
          <w:kern w:val="2"/>
          <w:szCs w:val="24"/>
        </w:rPr>
      </w:pPr>
      <w:r>
        <w:rPr>
          <w:rFonts w:hint="eastAsia" w:ascii="楷体" w:hAnsi="楷体" w:eastAsia="楷体" w:cs="楷体"/>
          <w:b/>
        </w:rPr>
        <w:br w:type="page"/>
      </w:r>
    </w:p>
    <w:p>
      <w:pPr>
        <w:pStyle w:val="4"/>
        <w:numPr>
          <w:ilvl w:val="0"/>
          <w:numId w:val="4"/>
        </w:numPr>
        <w:tabs>
          <w:tab w:val="left" w:pos="2320"/>
          <w:tab w:val="clear" w:pos="3134"/>
        </w:tabs>
        <w:spacing w:before="0" w:after="0" w:line="240" w:lineRule="atLeast"/>
        <w:ind w:left="2320"/>
        <w:rPr>
          <w:rFonts w:hint="eastAsia" w:ascii="楷体" w:hAnsi="楷体" w:eastAsia="楷体" w:cs="楷体"/>
        </w:rPr>
      </w:pPr>
      <w:bookmarkStart w:id="302" w:name="_Toc216582812"/>
      <w:bookmarkStart w:id="303" w:name="_Toc518923106"/>
      <w:bookmarkStart w:id="304" w:name="_Toc6923"/>
      <w:r>
        <w:rPr>
          <w:rFonts w:hint="eastAsia" w:ascii="楷体" w:hAnsi="楷体" w:eastAsia="楷体" w:cs="楷体"/>
          <w:lang w:eastAsia="zh-CN"/>
        </w:rPr>
        <w:t>响应文件</w:t>
      </w:r>
      <w:r>
        <w:rPr>
          <w:rFonts w:hint="eastAsia" w:ascii="楷体" w:hAnsi="楷体" w:eastAsia="楷体" w:cs="楷体"/>
        </w:rPr>
        <w:t>格式</w:t>
      </w:r>
      <w:bookmarkEnd w:id="302"/>
      <w:bookmarkEnd w:id="303"/>
      <w:bookmarkEnd w:id="304"/>
    </w:p>
    <w:p>
      <w:pPr>
        <w:spacing w:line="240" w:lineRule="atLeast"/>
        <w:ind w:left="735" w:leftChars="350" w:firstLine="120" w:firstLineChars="50"/>
        <w:rPr>
          <w:rFonts w:hint="eastAsia" w:ascii="楷体" w:hAnsi="楷体" w:eastAsia="楷体" w:cs="楷体"/>
          <w:sz w:val="24"/>
        </w:rPr>
      </w:pPr>
    </w:p>
    <w:p>
      <w:pPr>
        <w:pStyle w:val="2"/>
        <w:spacing w:before="0" w:line="240" w:lineRule="atLeast"/>
        <w:ind w:left="1079" w:leftChars="257" w:hanging="540"/>
        <w:rPr>
          <w:rFonts w:hint="eastAsia" w:ascii="楷体" w:hAnsi="楷体" w:eastAsia="楷体" w:cs="楷体"/>
          <w:sz w:val="24"/>
          <w:highlight w:val="none"/>
        </w:rPr>
      </w:pPr>
      <w:bookmarkStart w:id="305" w:name="_Toc515647803"/>
      <w:bookmarkStart w:id="306" w:name="_Toc2985"/>
      <w:bookmarkStart w:id="307" w:name="_Toc18694"/>
      <w:bookmarkStart w:id="308" w:name="_Toc18974"/>
      <w:r>
        <w:rPr>
          <w:rFonts w:hint="eastAsia" w:ascii="楷体" w:hAnsi="楷体" w:eastAsia="楷体" w:cs="楷体"/>
          <w:sz w:val="24"/>
          <w:highlight w:val="none"/>
        </w:rPr>
        <w:t>第一部分 开标一览表及资格证明文件</w:t>
      </w:r>
      <w:bookmarkEnd w:id="305"/>
      <w:bookmarkEnd w:id="306"/>
      <w:bookmarkEnd w:id="307"/>
      <w:bookmarkEnd w:id="308"/>
    </w:p>
    <w:p>
      <w:pPr>
        <w:spacing w:line="240" w:lineRule="atLeast"/>
        <w:ind w:left="708" w:hanging="708" w:hangingChars="295"/>
        <w:jc w:val="center"/>
        <w:rPr>
          <w:rFonts w:hint="eastAsia" w:ascii="楷体" w:hAnsi="楷体" w:eastAsia="楷体" w:cs="楷体"/>
          <w:sz w:val="24"/>
          <w:highlight w:val="none"/>
        </w:rPr>
      </w:pPr>
    </w:p>
    <w:p>
      <w:pPr>
        <w:tabs>
          <w:tab w:val="left" w:pos="5580"/>
        </w:tabs>
        <w:spacing w:line="240" w:lineRule="atLeast"/>
        <w:ind w:firstLine="424" w:firstLineChars="177"/>
        <w:rPr>
          <w:rFonts w:hint="eastAsia" w:ascii="楷体" w:hAnsi="楷体" w:eastAsia="楷体" w:cs="楷体"/>
          <w:sz w:val="24"/>
          <w:highlight w:val="none"/>
        </w:rPr>
      </w:pPr>
      <w:r>
        <w:rPr>
          <w:rFonts w:hint="eastAsia" w:ascii="楷体" w:hAnsi="楷体" w:eastAsia="楷体" w:cs="楷体"/>
          <w:sz w:val="24"/>
          <w:highlight w:val="none"/>
        </w:rPr>
        <w:t xml:space="preserve"> 1 、开标一览表（见</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格式一）;</w:t>
      </w:r>
    </w:p>
    <w:p>
      <w:pPr>
        <w:tabs>
          <w:tab w:val="left" w:pos="5580"/>
        </w:tabs>
        <w:spacing w:line="240" w:lineRule="atLeast"/>
        <w:ind w:left="1" w:firstLine="564" w:firstLineChars="235"/>
        <w:rPr>
          <w:rFonts w:hint="eastAsia" w:ascii="楷体" w:hAnsi="楷体" w:eastAsia="楷体" w:cs="楷体"/>
          <w:sz w:val="24"/>
          <w:highlight w:val="none"/>
        </w:rPr>
      </w:pPr>
      <w:r>
        <w:rPr>
          <w:rFonts w:hint="eastAsia" w:ascii="楷体" w:hAnsi="楷体" w:eastAsia="楷体" w:cs="楷体"/>
          <w:sz w:val="24"/>
          <w:highlight w:val="none"/>
        </w:rPr>
        <w:t>2、法人或者非法人组织的营业执照等证明文件复印件（须加盖本单位章）或自然人的身份证明复印件;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楷体" w:hAnsi="楷体" w:eastAsia="楷体" w:cs="楷体"/>
          <w:sz w:val="24"/>
          <w:highlight w:val="none"/>
        </w:rPr>
      </w:pPr>
      <w:r>
        <w:rPr>
          <w:rFonts w:hint="eastAsia" w:ascii="楷体" w:hAnsi="楷体" w:eastAsia="楷体" w:cs="楷体"/>
          <w:sz w:val="24"/>
          <w:highlight w:val="none"/>
        </w:rPr>
        <w:t>3、法定代表人授权书（见</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格式二，自然人投标的无需提供）;</w:t>
      </w:r>
    </w:p>
    <w:p>
      <w:pPr>
        <w:tabs>
          <w:tab w:val="left" w:pos="5580"/>
        </w:tabs>
        <w:spacing w:line="240" w:lineRule="atLeast"/>
        <w:ind w:left="1" w:firstLine="564" w:firstLineChars="235"/>
        <w:rPr>
          <w:rFonts w:hint="eastAsia" w:ascii="楷体" w:hAnsi="楷体" w:eastAsia="楷体" w:cs="楷体"/>
          <w:sz w:val="24"/>
          <w:highlight w:val="none"/>
        </w:rPr>
      </w:pPr>
      <w:r>
        <w:rPr>
          <w:rFonts w:hint="eastAsia" w:ascii="楷体" w:hAnsi="楷体" w:eastAsia="楷体" w:cs="楷体"/>
          <w:sz w:val="24"/>
          <w:highlight w:val="none"/>
        </w:rPr>
        <w:t>4、具有良好的商业信誉和健全的财务会计制度的证明文件（上年度财务审计报告和税务局出具的完税证明）；</w:t>
      </w:r>
    </w:p>
    <w:p>
      <w:pPr>
        <w:pStyle w:val="14"/>
        <w:rPr>
          <w:rFonts w:hint="eastAsia" w:ascii="楷体" w:hAnsi="楷体" w:eastAsia="楷体" w:cs="楷体"/>
          <w:lang w:val="en-US" w:eastAsia="zh-CN"/>
        </w:rPr>
      </w:pPr>
      <w:r>
        <w:rPr>
          <w:rFonts w:hint="eastAsia" w:ascii="楷体" w:hAnsi="楷体" w:eastAsia="楷体" w:cs="楷体"/>
          <w:sz w:val="24"/>
          <w:highlight w:val="none"/>
          <w:lang w:val="en-US" w:eastAsia="zh-CN"/>
        </w:rPr>
        <w:t xml:space="preserve">     5、投标保证金；</w:t>
      </w:r>
    </w:p>
    <w:p>
      <w:pPr>
        <w:tabs>
          <w:tab w:val="left" w:pos="5580"/>
        </w:tabs>
        <w:spacing w:line="240" w:lineRule="atLeast"/>
        <w:ind w:left="1" w:firstLine="564" w:firstLineChars="235"/>
        <w:rPr>
          <w:rFonts w:hint="eastAsia" w:ascii="楷体" w:hAnsi="楷体" w:eastAsia="楷体" w:cs="楷体"/>
          <w:sz w:val="24"/>
          <w:highlight w:val="none"/>
        </w:rPr>
      </w:pPr>
      <w:r>
        <w:rPr>
          <w:rFonts w:hint="eastAsia" w:ascii="楷体" w:hAnsi="楷体" w:eastAsia="楷体" w:cs="楷体"/>
          <w:sz w:val="24"/>
          <w:highlight w:val="none"/>
        </w:rPr>
        <w:t>6、社会保障资金的缴纳记录;</w:t>
      </w:r>
    </w:p>
    <w:p>
      <w:pPr>
        <w:tabs>
          <w:tab w:val="left" w:pos="5580"/>
        </w:tabs>
        <w:spacing w:line="240" w:lineRule="atLeast"/>
        <w:ind w:left="1" w:firstLine="564" w:firstLineChars="235"/>
        <w:rPr>
          <w:rFonts w:hint="eastAsia" w:ascii="楷体" w:hAnsi="楷体" w:eastAsia="楷体" w:cs="楷体"/>
          <w:sz w:val="24"/>
          <w:highlight w:val="none"/>
        </w:rPr>
      </w:pPr>
      <w:r>
        <w:rPr>
          <w:rFonts w:hint="eastAsia" w:ascii="楷体" w:hAnsi="楷体" w:eastAsia="楷体" w:cs="楷体"/>
          <w:sz w:val="24"/>
          <w:highlight w:val="none"/>
        </w:rPr>
        <w:t>7、参加政府采购活动前3年内在经营活动中没有重大违法记录的书面声明;</w:t>
      </w:r>
    </w:p>
    <w:p>
      <w:pPr>
        <w:tabs>
          <w:tab w:val="left" w:pos="5580"/>
        </w:tabs>
        <w:spacing w:line="240" w:lineRule="atLeast"/>
        <w:ind w:left="1" w:firstLine="564" w:firstLineChars="235"/>
        <w:rPr>
          <w:rFonts w:hint="eastAsia" w:ascii="楷体" w:hAnsi="楷体" w:eastAsia="楷体" w:cs="楷体"/>
          <w:sz w:val="24"/>
          <w:highlight w:val="none"/>
        </w:rPr>
      </w:pPr>
      <w:r>
        <w:rPr>
          <w:rFonts w:hint="eastAsia" w:ascii="楷体" w:hAnsi="楷体" w:eastAsia="楷体" w:cs="楷体"/>
          <w:sz w:val="24"/>
          <w:highlight w:val="none"/>
        </w:rPr>
        <w:t>8、投标人须知资料表要求的其他资格证明文件;</w:t>
      </w:r>
    </w:p>
    <w:p>
      <w:pPr>
        <w:tabs>
          <w:tab w:val="left" w:pos="5580"/>
        </w:tabs>
        <w:spacing w:line="240" w:lineRule="atLeast"/>
        <w:ind w:left="1" w:firstLine="564" w:firstLineChars="235"/>
        <w:rPr>
          <w:rFonts w:hint="eastAsia" w:ascii="楷体" w:hAnsi="楷体" w:eastAsia="楷体" w:cs="楷体"/>
          <w:sz w:val="24"/>
          <w:highlight w:val="none"/>
          <w:u w:val="single"/>
        </w:rPr>
      </w:pPr>
      <w:r>
        <w:rPr>
          <w:rFonts w:hint="eastAsia" w:ascii="楷体" w:hAnsi="楷体" w:eastAsia="楷体" w:cs="楷体"/>
          <w:sz w:val="24"/>
          <w:highlight w:val="none"/>
        </w:rPr>
        <w:t>9、投标人所投产品为进口产品按照投标人须知资料表中规定提供制造厂家的授权书见</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格式四）</w:t>
      </w:r>
    </w:p>
    <w:p>
      <w:pPr>
        <w:tabs>
          <w:tab w:val="left" w:pos="5580"/>
        </w:tabs>
        <w:spacing w:line="240" w:lineRule="atLeast"/>
        <w:ind w:left="1" w:firstLine="564" w:firstLineChars="235"/>
        <w:rPr>
          <w:rFonts w:hint="eastAsia" w:ascii="楷体" w:hAnsi="楷体" w:eastAsia="楷体" w:cs="楷体"/>
          <w:sz w:val="24"/>
          <w:highlight w:val="none"/>
        </w:rPr>
      </w:pPr>
    </w:p>
    <w:p>
      <w:pPr>
        <w:tabs>
          <w:tab w:val="left" w:pos="5580"/>
        </w:tabs>
        <w:spacing w:line="240" w:lineRule="atLeast"/>
        <w:ind w:left="1" w:firstLine="564" w:firstLineChars="235"/>
        <w:rPr>
          <w:rFonts w:hint="eastAsia" w:ascii="楷体" w:hAnsi="楷体" w:eastAsia="楷体" w:cs="楷体"/>
          <w:sz w:val="24"/>
          <w:highlight w:val="none"/>
        </w:rPr>
      </w:pPr>
    </w:p>
    <w:p>
      <w:pPr>
        <w:tabs>
          <w:tab w:val="left" w:pos="5580"/>
        </w:tabs>
        <w:spacing w:line="240" w:lineRule="atLeast"/>
        <w:ind w:left="1" w:firstLine="564" w:firstLineChars="235"/>
        <w:rPr>
          <w:rFonts w:hint="eastAsia" w:ascii="楷体" w:hAnsi="楷体" w:eastAsia="楷体" w:cs="楷体"/>
          <w:sz w:val="24"/>
          <w:highlight w:val="none"/>
        </w:rPr>
      </w:pPr>
    </w:p>
    <w:p>
      <w:pPr>
        <w:tabs>
          <w:tab w:val="left" w:pos="5580"/>
        </w:tabs>
        <w:spacing w:line="240" w:lineRule="atLeast"/>
        <w:ind w:left="1" w:firstLine="564" w:firstLineChars="235"/>
        <w:rPr>
          <w:rFonts w:hint="eastAsia" w:ascii="楷体" w:hAnsi="楷体" w:eastAsia="楷体" w:cs="楷体"/>
          <w:sz w:val="24"/>
          <w:highlight w:val="none"/>
        </w:rPr>
      </w:pPr>
    </w:p>
    <w:p>
      <w:pPr>
        <w:tabs>
          <w:tab w:val="left" w:pos="5580"/>
        </w:tabs>
        <w:spacing w:line="240" w:lineRule="atLeast"/>
        <w:ind w:left="1" w:firstLine="564" w:firstLineChars="235"/>
        <w:rPr>
          <w:rFonts w:hint="eastAsia" w:ascii="楷体" w:hAnsi="楷体" w:eastAsia="楷体" w:cs="楷体"/>
          <w:sz w:val="24"/>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rPr>
          <w:rFonts w:hint="eastAsia" w:ascii="楷体" w:hAnsi="楷体" w:eastAsia="楷体" w:cs="楷体"/>
          <w:highlight w:val="none"/>
        </w:rPr>
      </w:pPr>
    </w:p>
    <w:p>
      <w:pPr>
        <w:pStyle w:val="3"/>
        <w:ind w:left="0" w:leftChars="0" w:firstLine="0" w:firstLineChars="0"/>
        <w:rPr>
          <w:rFonts w:hint="eastAsia" w:ascii="楷体" w:hAnsi="楷体" w:eastAsia="楷体" w:cs="楷体"/>
          <w:highlight w:val="none"/>
        </w:rPr>
      </w:pPr>
    </w:p>
    <w:p>
      <w:pPr>
        <w:pStyle w:val="2"/>
        <w:spacing w:before="0" w:line="240" w:lineRule="atLeast"/>
        <w:ind w:left="1079" w:leftChars="257" w:hanging="540"/>
        <w:rPr>
          <w:rFonts w:hint="eastAsia" w:ascii="楷体" w:hAnsi="楷体" w:eastAsia="楷体" w:cs="楷体"/>
          <w:sz w:val="24"/>
          <w:highlight w:val="none"/>
        </w:rPr>
      </w:pPr>
      <w:bookmarkStart w:id="309" w:name="_Toc515647804"/>
      <w:bookmarkStart w:id="310" w:name="_Toc30524"/>
      <w:bookmarkStart w:id="311" w:name="_Toc16568"/>
      <w:bookmarkStart w:id="312" w:name="_Toc13241"/>
    </w:p>
    <w:p>
      <w:pPr>
        <w:rPr>
          <w:rFonts w:hint="eastAsia" w:ascii="楷体" w:hAnsi="楷体" w:eastAsia="楷体" w:cs="楷体"/>
          <w:sz w:val="24"/>
          <w:highlight w:val="none"/>
        </w:rPr>
      </w:pPr>
      <w:r>
        <w:rPr>
          <w:rFonts w:hint="eastAsia" w:ascii="楷体" w:hAnsi="楷体" w:eastAsia="楷体" w:cs="楷体"/>
          <w:sz w:val="24"/>
          <w:highlight w:val="none"/>
        </w:rPr>
        <w:br w:type="page"/>
      </w:r>
    </w:p>
    <w:p>
      <w:pPr>
        <w:pStyle w:val="2"/>
        <w:spacing w:before="0"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1  开标一览表（</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格式一）</w:t>
      </w:r>
      <w:bookmarkEnd w:id="309"/>
      <w:bookmarkEnd w:id="310"/>
      <w:bookmarkEnd w:id="311"/>
      <w:bookmarkEnd w:id="312"/>
    </w:p>
    <w:p>
      <w:pPr>
        <w:pStyle w:val="2"/>
        <w:spacing w:before="0" w:line="240" w:lineRule="atLeast"/>
        <w:ind w:left="1079" w:leftChars="257" w:hanging="540"/>
        <w:rPr>
          <w:rFonts w:hint="eastAsia" w:ascii="楷体" w:hAnsi="楷体" w:eastAsia="楷体" w:cs="楷体"/>
          <w:sz w:val="24"/>
          <w:highlight w:val="none"/>
        </w:rPr>
      </w:pPr>
    </w:p>
    <w:p>
      <w:pPr>
        <w:pStyle w:val="10"/>
        <w:tabs>
          <w:tab w:val="left" w:pos="5580"/>
        </w:tabs>
        <w:spacing w:line="240" w:lineRule="atLeast"/>
        <w:ind w:left="268" w:leftChars="128"/>
        <w:rPr>
          <w:rFonts w:hint="eastAsia" w:ascii="楷体" w:hAnsi="楷体" w:eastAsia="楷体" w:cs="楷体"/>
          <w:sz w:val="24"/>
          <w:szCs w:val="24"/>
          <w:highlight w:val="none"/>
        </w:rPr>
      </w:pPr>
    </w:p>
    <w:p>
      <w:pPr>
        <w:pStyle w:val="3"/>
        <w:tabs>
          <w:tab w:val="left" w:pos="5580"/>
        </w:tabs>
        <w:spacing w:line="240" w:lineRule="atLeast"/>
        <w:ind w:left="1079" w:leftChars="257" w:hanging="540"/>
        <w:jc w:val="center"/>
        <w:rPr>
          <w:rFonts w:hint="eastAsia" w:ascii="楷体" w:hAnsi="楷体" w:eastAsia="楷体" w:cs="楷体"/>
          <w:b/>
          <w:highlight w:val="none"/>
        </w:rPr>
      </w:pPr>
      <w:bookmarkStart w:id="313" w:name="_Hlt520356241"/>
      <w:bookmarkEnd w:id="313"/>
      <w:bookmarkStart w:id="314" w:name="_Toc494296984"/>
      <w:bookmarkStart w:id="315" w:name="_Toc480942349"/>
      <w:bookmarkStart w:id="316" w:name="_Ref467988698"/>
      <w:bookmarkStart w:id="317" w:name="_Toc520356217"/>
      <w:bookmarkStart w:id="318" w:name="_Toc216582813"/>
      <w:r>
        <w:rPr>
          <w:rFonts w:hint="eastAsia" w:ascii="楷体" w:hAnsi="楷体" w:eastAsia="楷体" w:cs="楷体"/>
          <w:b/>
          <w:highlight w:val="none"/>
        </w:rPr>
        <w:t>开标一览表</w:t>
      </w:r>
      <w:bookmarkEnd w:id="314"/>
      <w:r>
        <w:rPr>
          <w:rFonts w:hint="eastAsia" w:ascii="楷体" w:hAnsi="楷体" w:eastAsia="楷体" w:cs="楷体"/>
          <w:b/>
          <w:highlight w:val="none"/>
        </w:rPr>
        <w:cr/>
      </w:r>
    </w:p>
    <w:p>
      <w:pPr>
        <w:pStyle w:val="3"/>
        <w:tabs>
          <w:tab w:val="left" w:pos="5580"/>
        </w:tabs>
        <w:spacing w:line="240" w:lineRule="atLeast"/>
        <w:ind w:left="1079" w:leftChars="257" w:hanging="540"/>
        <w:rPr>
          <w:rFonts w:hint="eastAsia" w:ascii="楷体" w:hAnsi="楷体" w:eastAsia="楷体" w:cs="楷体"/>
          <w:highlight w:val="none"/>
        </w:rPr>
      </w:pPr>
    </w:p>
    <w:p>
      <w:pPr>
        <w:tabs>
          <w:tab w:val="left" w:pos="1800"/>
          <w:tab w:val="left" w:pos="5580"/>
        </w:tabs>
        <w:spacing w:line="240" w:lineRule="atLeast"/>
        <w:ind w:left="1079" w:leftChars="257" w:right="-867" w:rightChars="-413" w:hanging="540"/>
        <w:rPr>
          <w:rFonts w:hint="eastAsia" w:ascii="楷体" w:hAnsi="楷体" w:eastAsia="楷体" w:cs="楷体"/>
          <w:sz w:val="24"/>
          <w:highlight w:val="none"/>
        </w:rPr>
      </w:pPr>
      <w:r>
        <w:rPr>
          <w:rFonts w:hint="eastAsia" w:ascii="楷体" w:hAnsi="楷体" w:eastAsia="楷体" w:cs="楷体"/>
          <w:sz w:val="24"/>
          <w:highlight w:val="none"/>
        </w:rPr>
        <w:t xml:space="preserve">项目名称：　                  招标编号：                 包号：         </w:t>
      </w:r>
    </w:p>
    <w:p>
      <w:pPr>
        <w:tabs>
          <w:tab w:val="left" w:pos="1800"/>
          <w:tab w:val="left" w:pos="5580"/>
        </w:tabs>
        <w:spacing w:line="240" w:lineRule="atLeast"/>
        <w:ind w:left="1079" w:leftChars="257" w:right="-867" w:rightChars="-413" w:hanging="540"/>
        <w:rPr>
          <w:rFonts w:hint="eastAsia" w:ascii="楷体" w:hAnsi="楷体" w:eastAsia="楷体" w:cs="楷体"/>
          <w:sz w:val="24"/>
          <w:highlight w:val="none"/>
        </w:rPr>
      </w:pPr>
      <w:r>
        <w:rPr>
          <w:rFonts w:hint="eastAsia" w:ascii="楷体" w:hAnsi="楷体" w:eastAsia="楷体" w:cs="楷体"/>
          <w:sz w:val="24"/>
          <w:highlight w:val="none"/>
        </w:rPr>
        <w:t>报价单位：人民币</w:t>
      </w:r>
      <w:r>
        <w:rPr>
          <w:rFonts w:hint="eastAsia" w:ascii="楷体" w:hAnsi="楷体" w:eastAsia="楷体" w:cs="楷体"/>
          <w:b/>
          <w:sz w:val="24"/>
          <w:highlight w:val="none"/>
        </w:rPr>
        <w:t xml:space="preserve"> 元</w:t>
      </w:r>
    </w:p>
    <w:tbl>
      <w:tblPr>
        <w:tblStyle w:val="17"/>
        <w:tblW w:w="4998" w:type="pct"/>
        <w:tblInd w:w="0" w:type="dxa"/>
        <w:tblLayout w:type="autofit"/>
        <w:tblCellMar>
          <w:top w:w="0" w:type="dxa"/>
          <w:left w:w="0" w:type="dxa"/>
          <w:bottom w:w="0" w:type="dxa"/>
          <w:right w:w="0" w:type="dxa"/>
        </w:tblCellMar>
      </w:tblPr>
      <w:tblGrid>
        <w:gridCol w:w="1485"/>
        <w:gridCol w:w="1893"/>
        <w:gridCol w:w="1515"/>
        <w:gridCol w:w="1065"/>
        <w:gridCol w:w="1183"/>
        <w:gridCol w:w="1183"/>
      </w:tblGrid>
      <w:tr>
        <w:tblPrEx>
          <w:tblCellMar>
            <w:top w:w="0" w:type="dxa"/>
            <w:left w:w="0" w:type="dxa"/>
            <w:bottom w:w="0" w:type="dxa"/>
            <w:right w:w="0" w:type="dxa"/>
          </w:tblCellMar>
        </w:tblPrEx>
        <w:trPr>
          <w:trHeight w:val="662" w:hRule="atLeast"/>
        </w:trPr>
        <w:tc>
          <w:tcPr>
            <w:tcW w:w="892" w:type="pct"/>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楷体" w:hAnsi="楷体" w:eastAsia="楷体" w:cs="楷体"/>
                <w:sz w:val="24"/>
                <w:highlight w:val="none"/>
              </w:rPr>
            </w:pPr>
            <w:r>
              <w:rPr>
                <w:rFonts w:hint="eastAsia" w:ascii="楷体" w:hAnsi="楷体" w:eastAsia="楷体" w:cs="楷体"/>
                <w:sz w:val="24"/>
                <w:highlight w:val="none"/>
                <w:lang w:eastAsia="zh-CN"/>
              </w:rPr>
              <w:t>标项</w:t>
            </w:r>
            <w:r>
              <w:rPr>
                <w:rFonts w:hint="eastAsia" w:ascii="楷体" w:hAnsi="楷体" w:eastAsia="楷体" w:cs="楷体"/>
                <w:sz w:val="24"/>
                <w:highlight w:val="none"/>
              </w:rPr>
              <w:t>名称</w:t>
            </w:r>
          </w:p>
        </w:tc>
        <w:tc>
          <w:tcPr>
            <w:tcW w:w="1136" w:type="pct"/>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投标总价</w:t>
            </w:r>
          </w:p>
        </w:tc>
        <w:tc>
          <w:tcPr>
            <w:tcW w:w="909" w:type="pct"/>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投标保证金</w:t>
            </w:r>
          </w:p>
        </w:tc>
        <w:tc>
          <w:tcPr>
            <w:tcW w:w="639" w:type="pct"/>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交货期</w:t>
            </w:r>
          </w:p>
        </w:tc>
        <w:tc>
          <w:tcPr>
            <w:tcW w:w="710"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交货地点</w:t>
            </w:r>
          </w:p>
        </w:tc>
        <w:tc>
          <w:tcPr>
            <w:tcW w:w="710"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备注</w:t>
            </w:r>
          </w:p>
        </w:tc>
      </w:tr>
      <w:tr>
        <w:tblPrEx>
          <w:tblCellMar>
            <w:top w:w="0" w:type="dxa"/>
            <w:left w:w="0" w:type="dxa"/>
            <w:bottom w:w="0" w:type="dxa"/>
            <w:right w:w="0" w:type="dxa"/>
          </w:tblCellMar>
        </w:tblPrEx>
        <w:trPr>
          <w:cantSplit/>
          <w:trHeight w:val="1640" w:hRule="atLeast"/>
        </w:trPr>
        <w:tc>
          <w:tcPr>
            <w:tcW w:w="892" w:type="pct"/>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楷体" w:hAnsi="楷体" w:eastAsia="楷体" w:cs="楷体"/>
                <w:sz w:val="24"/>
                <w:highlight w:val="none"/>
              </w:rPr>
            </w:pPr>
          </w:p>
        </w:tc>
        <w:tc>
          <w:tcPr>
            <w:tcW w:w="1136" w:type="pct"/>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jc w:val="left"/>
              <w:rPr>
                <w:rFonts w:hint="eastAsia" w:ascii="楷体" w:hAnsi="楷体" w:eastAsia="楷体" w:cs="楷体"/>
                <w:sz w:val="24"/>
                <w:highlight w:val="none"/>
              </w:rPr>
            </w:pPr>
            <w:r>
              <w:rPr>
                <w:rFonts w:hint="eastAsia" w:ascii="楷体" w:hAnsi="楷体" w:eastAsia="楷体" w:cs="楷体"/>
                <w:sz w:val="24"/>
                <w:highlight w:val="none"/>
              </w:rPr>
              <w:t>大写：</w:t>
            </w:r>
          </w:p>
          <w:p>
            <w:pPr>
              <w:tabs>
                <w:tab w:val="left" w:pos="5580"/>
              </w:tabs>
              <w:spacing w:line="240" w:lineRule="atLeast"/>
              <w:jc w:val="both"/>
              <w:rPr>
                <w:rFonts w:hint="eastAsia" w:ascii="楷体" w:hAnsi="楷体" w:eastAsia="楷体" w:cs="楷体"/>
                <w:sz w:val="24"/>
                <w:highlight w:val="none"/>
              </w:rPr>
            </w:pPr>
            <w:r>
              <w:rPr>
                <w:rFonts w:hint="eastAsia" w:ascii="楷体" w:hAnsi="楷体" w:eastAsia="楷体" w:cs="楷体"/>
                <w:sz w:val="24"/>
                <w:highlight w:val="none"/>
              </w:rPr>
              <w:t>小写：</w:t>
            </w:r>
          </w:p>
        </w:tc>
        <w:tc>
          <w:tcPr>
            <w:tcW w:w="909" w:type="pct"/>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楷体" w:hAnsi="楷体" w:eastAsia="楷体" w:cs="楷体"/>
                <w:sz w:val="24"/>
                <w:highlight w:val="none"/>
              </w:rPr>
            </w:pPr>
          </w:p>
        </w:tc>
        <w:tc>
          <w:tcPr>
            <w:tcW w:w="639" w:type="pct"/>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楷体" w:hAnsi="楷体" w:eastAsia="楷体" w:cs="楷体"/>
                <w:sz w:val="24"/>
                <w:highlight w:val="none"/>
              </w:rPr>
            </w:pPr>
          </w:p>
        </w:tc>
        <w:tc>
          <w:tcPr>
            <w:tcW w:w="710" w:type="pct"/>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楷体" w:hAnsi="楷体" w:eastAsia="楷体" w:cs="楷体"/>
                <w:sz w:val="24"/>
                <w:highlight w:val="none"/>
              </w:rPr>
            </w:pPr>
          </w:p>
        </w:tc>
        <w:tc>
          <w:tcPr>
            <w:tcW w:w="710" w:type="pct"/>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楷体" w:hAnsi="楷体" w:eastAsia="楷体" w:cs="楷体"/>
                <w:sz w:val="24"/>
                <w:highlight w:val="none"/>
              </w:rPr>
            </w:pPr>
          </w:p>
        </w:tc>
      </w:tr>
    </w:tbl>
    <w:p>
      <w:pPr>
        <w:pStyle w:val="10"/>
        <w:tabs>
          <w:tab w:val="left" w:pos="5580"/>
        </w:tabs>
        <w:spacing w:line="240" w:lineRule="atLeast"/>
        <w:ind w:left="1079" w:leftChars="257" w:hanging="540"/>
        <w:rPr>
          <w:rFonts w:hint="eastAsia" w:ascii="楷体" w:hAnsi="楷体" w:eastAsia="楷体" w:cs="楷体"/>
          <w:sz w:val="24"/>
          <w:highlight w:val="none"/>
        </w:rPr>
      </w:pPr>
    </w:p>
    <w:p>
      <w:pPr>
        <w:pStyle w:val="10"/>
        <w:tabs>
          <w:tab w:val="left" w:pos="5580"/>
        </w:tabs>
        <w:spacing w:line="240" w:lineRule="atLeast"/>
        <w:ind w:left="1079" w:leftChars="257" w:hanging="540"/>
        <w:rPr>
          <w:rFonts w:hint="eastAsia" w:ascii="楷体" w:hAnsi="楷体" w:eastAsia="楷体" w:cs="楷体"/>
          <w:sz w:val="24"/>
          <w:highlight w:val="none"/>
          <w:u w:val="single"/>
        </w:rPr>
      </w:pP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投标人名称（单位盖章）：</w:t>
      </w:r>
      <w:r>
        <w:rPr>
          <w:rFonts w:hint="eastAsia" w:ascii="楷体" w:hAnsi="楷体" w:eastAsia="楷体" w:cs="楷体"/>
          <w:sz w:val="24"/>
          <w:highlight w:val="none"/>
          <w:u w:val="single"/>
        </w:rPr>
        <w:t xml:space="preserve">                       </w:t>
      </w:r>
    </w:p>
    <w:p>
      <w:pPr>
        <w:pStyle w:val="10"/>
        <w:tabs>
          <w:tab w:val="left" w:pos="5580"/>
        </w:tabs>
        <w:spacing w:line="240" w:lineRule="atLeast"/>
        <w:ind w:left="1079" w:leftChars="257" w:hanging="540"/>
        <w:rPr>
          <w:rFonts w:hint="eastAsia" w:ascii="楷体" w:hAnsi="楷体" w:eastAsia="楷体" w:cs="楷体"/>
          <w:sz w:val="24"/>
          <w:highlight w:val="none"/>
          <w:u w:val="single"/>
        </w:rPr>
      </w:pPr>
      <w:r>
        <w:rPr>
          <w:rFonts w:hint="eastAsia" w:ascii="楷体" w:hAnsi="楷体" w:eastAsia="楷体" w:cs="楷体"/>
          <w:sz w:val="24"/>
          <w:highlight w:val="none"/>
        </w:rPr>
        <w:t>法定代表人(签字):</w:t>
      </w:r>
      <w:r>
        <w:rPr>
          <w:rFonts w:hint="eastAsia" w:ascii="楷体" w:hAnsi="楷体" w:eastAsia="楷体" w:cs="楷体"/>
          <w:sz w:val="24"/>
          <w:highlight w:val="none"/>
          <w:u w:val="single"/>
        </w:rPr>
        <w:tab/>
      </w:r>
    </w:p>
    <w:p>
      <w:pPr>
        <w:pStyle w:val="10"/>
        <w:tabs>
          <w:tab w:val="left" w:pos="5580"/>
        </w:tabs>
        <w:spacing w:line="240" w:lineRule="atLeast"/>
        <w:ind w:left="1079" w:leftChars="257" w:hanging="540"/>
        <w:rPr>
          <w:rFonts w:hint="eastAsia" w:ascii="楷体" w:hAnsi="楷体" w:eastAsia="楷体" w:cs="楷体"/>
          <w:sz w:val="24"/>
          <w:highlight w:val="none"/>
        </w:rPr>
      </w:pP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注:1、此表应按投标人须知的规定装订密封。</w:t>
      </w:r>
    </w:p>
    <w:p>
      <w:pPr>
        <w:pStyle w:val="10"/>
        <w:numPr>
          <w:ilvl w:val="0"/>
          <w:numId w:val="5"/>
        </w:numPr>
        <w:tabs>
          <w:tab w:val="left" w:pos="5580"/>
        </w:tabs>
        <w:spacing w:line="240" w:lineRule="atLeast"/>
        <w:ind w:left="1078" w:leftChars="428" w:hanging="180" w:hangingChars="75"/>
        <w:rPr>
          <w:rFonts w:hint="eastAsia" w:ascii="楷体" w:hAnsi="楷体" w:eastAsia="楷体" w:cs="楷体"/>
          <w:sz w:val="24"/>
          <w:highlight w:val="none"/>
        </w:rPr>
      </w:pPr>
      <w:r>
        <w:rPr>
          <w:rFonts w:hint="eastAsia" w:ascii="楷体" w:hAnsi="楷体" w:eastAsia="楷体" w:cs="楷体"/>
          <w:sz w:val="24"/>
          <w:highlight w:val="none"/>
        </w:rPr>
        <w:t>此表中，每包的投标总价应和投标分项报价表的总价相一致。</w:t>
      </w:r>
    </w:p>
    <w:p>
      <w:pPr>
        <w:pStyle w:val="10"/>
        <w:numPr>
          <w:ilvl w:val="0"/>
          <w:numId w:val="5"/>
        </w:numPr>
        <w:tabs>
          <w:tab w:val="left" w:pos="5580"/>
        </w:tabs>
        <w:spacing w:line="240" w:lineRule="atLeast"/>
        <w:ind w:left="1078" w:leftChars="428" w:hanging="180" w:hangingChars="75"/>
        <w:rPr>
          <w:rFonts w:hint="eastAsia" w:ascii="楷体" w:hAnsi="楷体" w:eastAsia="楷体" w:cs="楷体"/>
          <w:b/>
          <w:bCs/>
          <w:sz w:val="24"/>
          <w:highlight w:val="none"/>
        </w:rPr>
      </w:pPr>
      <w:r>
        <w:rPr>
          <w:rFonts w:hint="eastAsia" w:ascii="楷体" w:hAnsi="楷体" w:eastAsia="楷体" w:cs="楷体"/>
          <w:b/>
          <w:bCs/>
          <w:sz w:val="24"/>
          <w:highlight w:val="none"/>
          <w:lang w:val="en-US" w:eastAsia="zh-CN"/>
        </w:rPr>
        <w:t>如投标报价超过本项目最高限价</w:t>
      </w:r>
      <w:r>
        <w:rPr>
          <w:rFonts w:hint="eastAsia" w:ascii="楷体" w:hAnsi="楷体" w:eastAsia="楷体" w:cs="楷体"/>
          <w:b/>
          <w:bCs/>
          <w:sz w:val="24"/>
          <w:highlight w:val="none"/>
          <w:lang w:eastAsia="zh-CN"/>
        </w:rPr>
        <w:t>，</w:t>
      </w:r>
      <w:r>
        <w:rPr>
          <w:rFonts w:hint="eastAsia" w:ascii="楷体" w:hAnsi="楷体" w:eastAsia="楷体" w:cs="楷体"/>
          <w:b/>
          <w:bCs/>
          <w:sz w:val="24"/>
          <w:highlight w:val="none"/>
          <w:lang w:val="en-US" w:eastAsia="zh-CN"/>
        </w:rPr>
        <w:t>其报价无效。不能进入下一阶段评审。</w:t>
      </w:r>
    </w:p>
    <w:p>
      <w:pPr>
        <w:pStyle w:val="10"/>
        <w:numPr>
          <w:ilvl w:val="0"/>
          <w:numId w:val="5"/>
        </w:numPr>
        <w:tabs>
          <w:tab w:val="left" w:pos="5580"/>
        </w:tabs>
        <w:spacing w:line="240" w:lineRule="atLeast"/>
        <w:ind w:left="1078" w:leftChars="428" w:hanging="180" w:hangingChars="75"/>
        <w:rPr>
          <w:rFonts w:hint="eastAsia" w:ascii="楷体" w:hAnsi="楷体" w:eastAsia="楷体" w:cs="楷体"/>
          <w:b/>
          <w:bCs/>
          <w:sz w:val="24"/>
          <w:highlight w:val="none"/>
        </w:rPr>
      </w:pPr>
      <w:r>
        <w:rPr>
          <w:rFonts w:hint="eastAsia" w:ascii="楷体" w:hAnsi="楷体" w:eastAsia="楷体" w:cs="楷体"/>
          <w:b/>
          <w:bCs/>
          <w:sz w:val="24"/>
          <w:highlight w:val="none"/>
          <w:lang w:val="en-US" w:eastAsia="zh-CN"/>
        </w:rPr>
        <w:t>投标报价必须包含购买货物的成本、运费、保险费、税金、运到指定地点所产生费用等相关所有费用。如投标人费用考虑不全所产生的一切后果由投标人承担。</w:t>
      </w: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pStyle w:val="14"/>
        <w:rPr>
          <w:rFonts w:hint="eastAsia" w:ascii="楷体" w:hAnsi="楷体" w:eastAsia="楷体" w:cs="楷体"/>
          <w:b/>
          <w:sz w:val="24"/>
          <w:highlight w:val="none"/>
        </w:rPr>
      </w:pPr>
    </w:p>
    <w:p>
      <w:pPr>
        <w:rPr>
          <w:rFonts w:hint="eastAsia" w:ascii="楷体" w:hAnsi="楷体" w:eastAsia="楷体" w:cs="楷体"/>
          <w:b/>
          <w:sz w:val="24"/>
          <w:highlight w:val="none"/>
        </w:rPr>
      </w:pPr>
    </w:p>
    <w:p>
      <w:pPr>
        <w:pStyle w:val="2"/>
        <w:spacing w:before="0" w:line="240" w:lineRule="atLeast"/>
        <w:ind w:left="1079" w:leftChars="257" w:hanging="540"/>
        <w:rPr>
          <w:rFonts w:hint="eastAsia" w:ascii="楷体" w:hAnsi="楷体" w:eastAsia="楷体" w:cs="楷体"/>
          <w:sz w:val="24"/>
          <w:highlight w:val="none"/>
        </w:rPr>
      </w:pPr>
      <w:bookmarkStart w:id="319" w:name="_Toc515647805"/>
      <w:bookmarkStart w:id="320" w:name="_Toc29009"/>
      <w:bookmarkStart w:id="321" w:name="_Toc17577"/>
      <w:bookmarkStart w:id="322" w:name="_Toc29899"/>
      <w:r>
        <w:rPr>
          <w:rFonts w:hint="eastAsia" w:ascii="楷体" w:hAnsi="楷体" w:eastAsia="楷体" w:cs="楷体"/>
          <w:sz w:val="24"/>
          <w:highlight w:val="none"/>
        </w:rPr>
        <w:t>2  法人或者非法人组织的营业执照等证明文件</w:t>
      </w:r>
      <w:bookmarkEnd w:id="319"/>
      <w:bookmarkEnd w:id="320"/>
      <w:bookmarkEnd w:id="321"/>
      <w:bookmarkEnd w:id="322"/>
    </w:p>
    <w:p>
      <w:pPr>
        <w:pStyle w:val="10"/>
        <w:tabs>
          <w:tab w:val="left" w:pos="5580"/>
        </w:tabs>
        <w:spacing w:line="240" w:lineRule="atLeast"/>
        <w:ind w:left="1079" w:leftChars="257" w:hanging="540"/>
        <w:jc w:val="center"/>
        <w:rPr>
          <w:rFonts w:hint="eastAsia" w:ascii="楷体" w:hAnsi="楷体" w:eastAsia="楷体" w:cs="楷体"/>
          <w:b/>
          <w:sz w:val="24"/>
          <w:highlight w:val="none"/>
        </w:rPr>
      </w:pPr>
    </w:p>
    <w:p>
      <w:pPr>
        <w:pStyle w:val="10"/>
        <w:tabs>
          <w:tab w:val="left" w:pos="5580"/>
        </w:tabs>
        <w:spacing w:line="240" w:lineRule="atLeast"/>
        <w:ind w:left="1079" w:leftChars="257" w:hanging="540"/>
        <w:rPr>
          <w:rFonts w:hint="eastAsia" w:ascii="楷体" w:hAnsi="楷体" w:eastAsia="楷体" w:cs="楷体"/>
          <w:b/>
          <w:sz w:val="24"/>
          <w:highlight w:val="none"/>
        </w:rPr>
      </w:pPr>
    </w:p>
    <w:p>
      <w:pPr>
        <w:pStyle w:val="10"/>
        <w:tabs>
          <w:tab w:val="left" w:pos="5580"/>
        </w:tabs>
        <w:spacing w:line="240" w:lineRule="atLeast"/>
        <w:ind w:left="1079" w:leftChars="257" w:hanging="540"/>
        <w:rPr>
          <w:rFonts w:hint="eastAsia" w:ascii="楷体" w:hAnsi="楷体" w:eastAsia="楷体" w:cs="楷体"/>
          <w:b/>
          <w:sz w:val="24"/>
          <w:highlight w:val="none"/>
        </w:rPr>
      </w:pPr>
    </w:p>
    <w:p>
      <w:pPr>
        <w:pStyle w:val="10"/>
        <w:tabs>
          <w:tab w:val="left" w:pos="5580"/>
        </w:tabs>
        <w:spacing w:line="240" w:lineRule="atLeast"/>
        <w:ind w:left="1079" w:leftChars="257" w:hanging="540"/>
        <w:rPr>
          <w:rFonts w:hint="eastAsia" w:ascii="楷体" w:hAnsi="楷体" w:eastAsia="楷体" w:cs="楷体"/>
          <w:sz w:val="24"/>
          <w:highlight w:val="none"/>
          <w:lang w:val="en-US" w:eastAsia="zh-CN"/>
        </w:rPr>
      </w:pPr>
      <w:r>
        <w:rPr>
          <w:rFonts w:hint="eastAsia" w:ascii="楷体" w:hAnsi="楷体" w:eastAsia="楷体" w:cs="楷体"/>
          <w:sz w:val="24"/>
          <w:highlight w:val="none"/>
        </w:rPr>
        <w:t>说明：1.提供有效的营业执照</w:t>
      </w:r>
      <w:r>
        <w:rPr>
          <w:rFonts w:hint="eastAsia" w:ascii="楷体" w:hAnsi="楷体" w:eastAsia="楷体" w:cs="楷体"/>
          <w:sz w:val="24"/>
          <w:highlight w:val="none"/>
          <w:lang w:eastAsia="zh-CN"/>
        </w:rPr>
        <w:t>、法人资格证明</w:t>
      </w:r>
      <w:r>
        <w:rPr>
          <w:rFonts w:hint="eastAsia" w:ascii="楷体" w:hAnsi="楷体" w:eastAsia="楷体" w:cs="楷体"/>
          <w:sz w:val="24"/>
          <w:highlight w:val="none"/>
        </w:rPr>
        <w:t>等证明文件复印件，复印件上应加盖本单位章。</w:t>
      </w:r>
      <w:r>
        <w:rPr>
          <w:rFonts w:hint="eastAsia" w:ascii="楷体" w:hAnsi="楷体" w:eastAsia="楷体" w:cs="楷体"/>
          <w:sz w:val="24"/>
          <w:highlight w:val="none"/>
          <w:lang w:val="en-US" w:eastAsia="zh-CN"/>
        </w:rPr>
        <w:t>提供有效的资格证明文件。</w:t>
      </w:r>
    </w:p>
    <w:p>
      <w:pPr>
        <w:pStyle w:val="10"/>
        <w:numPr>
          <w:ilvl w:val="0"/>
          <w:numId w:val="0"/>
        </w:numPr>
        <w:tabs>
          <w:tab w:val="left" w:pos="5580"/>
        </w:tabs>
        <w:spacing w:line="240" w:lineRule="atLeast"/>
        <w:ind w:left="1260" w:leftChars="0"/>
        <w:rPr>
          <w:rFonts w:hint="eastAsia" w:ascii="楷体" w:hAnsi="楷体" w:eastAsia="楷体" w:cs="楷体"/>
          <w:sz w:val="24"/>
          <w:highlight w:val="none"/>
          <w:lang w:val="en-US" w:eastAsia="zh-CN"/>
        </w:rPr>
      </w:pP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 xml:space="preserve">    </w:t>
      </w:r>
    </w:p>
    <w:p>
      <w:pPr>
        <w:pStyle w:val="2"/>
        <w:spacing w:before="0" w:line="240" w:lineRule="atLeast"/>
        <w:ind w:left="1079" w:leftChars="257" w:hanging="540"/>
        <w:rPr>
          <w:rFonts w:hint="eastAsia" w:ascii="楷体" w:hAnsi="楷体" w:eastAsia="楷体" w:cs="楷体"/>
          <w:sz w:val="24"/>
          <w:highlight w:val="none"/>
        </w:rPr>
      </w:pPr>
      <w:bookmarkStart w:id="323" w:name="_Toc515647807"/>
      <w:bookmarkStart w:id="324" w:name="_Toc22472"/>
      <w:bookmarkStart w:id="325" w:name="_Toc1083"/>
      <w:bookmarkStart w:id="326" w:name="_Toc31520"/>
      <w:r>
        <w:rPr>
          <w:rFonts w:hint="eastAsia" w:ascii="楷体" w:hAnsi="楷体" w:eastAsia="楷体" w:cs="楷体"/>
          <w:sz w:val="24"/>
          <w:highlight w:val="none"/>
        </w:rPr>
        <w:t>3  法定代表人授权委托书(</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格式二)</w:t>
      </w:r>
      <w:bookmarkEnd w:id="323"/>
      <w:bookmarkEnd w:id="324"/>
      <w:bookmarkEnd w:id="325"/>
      <w:bookmarkEnd w:id="326"/>
    </w:p>
    <w:p>
      <w:pPr>
        <w:pStyle w:val="10"/>
        <w:tabs>
          <w:tab w:val="left" w:pos="5580"/>
        </w:tabs>
        <w:spacing w:line="240" w:lineRule="atLeast"/>
        <w:rPr>
          <w:rFonts w:hint="eastAsia" w:ascii="楷体" w:hAnsi="楷体" w:eastAsia="楷体" w:cs="楷体"/>
          <w:sz w:val="24"/>
          <w:highlight w:val="none"/>
        </w:rPr>
      </w:pPr>
      <w:r>
        <w:rPr>
          <w:rFonts w:hint="eastAsia" w:ascii="楷体" w:hAnsi="楷体" w:eastAsia="楷体" w:cs="楷体"/>
          <w:sz w:val="24"/>
          <w:highlight w:val="none"/>
        </w:rPr>
        <w:cr/>
      </w:r>
      <w:r>
        <w:rPr>
          <w:rFonts w:hint="eastAsia" w:ascii="楷体" w:hAnsi="楷体" w:eastAsia="楷体" w:cs="楷体"/>
          <w:sz w:val="24"/>
          <w:highlight w:val="none"/>
        </w:rPr>
        <w:t xml:space="preserve">    本授权书声明：注册于</w:t>
      </w:r>
      <w:r>
        <w:rPr>
          <w:rFonts w:hint="eastAsia" w:ascii="楷体" w:hAnsi="楷体" w:eastAsia="楷体" w:cs="楷体"/>
          <w:sz w:val="24"/>
          <w:highlight w:val="none"/>
          <w:u w:val="single"/>
        </w:rPr>
        <w:t>（国家或地区的名称）</w:t>
      </w:r>
      <w:r>
        <w:rPr>
          <w:rFonts w:hint="eastAsia" w:ascii="楷体" w:hAnsi="楷体" w:eastAsia="楷体" w:cs="楷体"/>
          <w:sz w:val="24"/>
          <w:highlight w:val="none"/>
        </w:rPr>
        <w:t>的（</w:t>
      </w:r>
      <w:r>
        <w:rPr>
          <w:rFonts w:hint="eastAsia" w:ascii="楷体" w:hAnsi="楷体" w:eastAsia="楷体" w:cs="楷体"/>
          <w:i/>
          <w:sz w:val="24"/>
          <w:highlight w:val="none"/>
          <w:u w:val="single"/>
        </w:rPr>
        <w:t>投标人</w:t>
      </w:r>
      <w:r>
        <w:rPr>
          <w:rFonts w:hint="eastAsia" w:ascii="楷体" w:hAnsi="楷体" w:eastAsia="楷体" w:cs="楷体"/>
          <w:sz w:val="24"/>
          <w:highlight w:val="none"/>
        </w:rPr>
        <w:t>）的在下面签字的（</w:t>
      </w:r>
      <w:r>
        <w:rPr>
          <w:rFonts w:hint="eastAsia" w:ascii="楷体" w:hAnsi="楷体" w:eastAsia="楷体" w:cs="楷体"/>
          <w:i/>
          <w:sz w:val="24"/>
          <w:highlight w:val="none"/>
          <w:u w:val="single"/>
        </w:rPr>
        <w:t>法人代表姓名、职务</w:t>
      </w:r>
      <w:r>
        <w:rPr>
          <w:rFonts w:hint="eastAsia" w:ascii="楷体" w:hAnsi="楷体" w:eastAsia="楷体" w:cs="楷体"/>
          <w:sz w:val="24"/>
          <w:highlight w:val="none"/>
        </w:rPr>
        <w:t>）代表我单位授权（</w:t>
      </w:r>
      <w:r>
        <w:rPr>
          <w:rFonts w:hint="eastAsia" w:ascii="楷体" w:hAnsi="楷体" w:eastAsia="楷体" w:cs="楷体"/>
          <w:i/>
          <w:sz w:val="24"/>
          <w:highlight w:val="none"/>
          <w:u w:val="single"/>
        </w:rPr>
        <w:t>单位名称</w:t>
      </w:r>
      <w:r>
        <w:rPr>
          <w:rFonts w:hint="eastAsia" w:ascii="楷体" w:hAnsi="楷体" w:eastAsia="楷体" w:cs="楷体"/>
          <w:sz w:val="24"/>
          <w:highlight w:val="none"/>
        </w:rPr>
        <w:t>）的在下面签字的（</w:t>
      </w:r>
      <w:r>
        <w:rPr>
          <w:rFonts w:hint="eastAsia" w:ascii="楷体" w:hAnsi="楷体" w:eastAsia="楷体" w:cs="楷体"/>
          <w:i/>
          <w:sz w:val="24"/>
          <w:highlight w:val="none"/>
          <w:u w:val="single"/>
        </w:rPr>
        <w:t>被授权人的姓名、职务</w:t>
      </w:r>
      <w:r>
        <w:rPr>
          <w:rFonts w:hint="eastAsia" w:ascii="楷体" w:hAnsi="楷体" w:eastAsia="楷体" w:cs="楷体"/>
          <w:sz w:val="24"/>
          <w:highlight w:val="none"/>
        </w:rPr>
        <w:t>）为我单位的合法代理人，就（</w:t>
      </w:r>
      <w:r>
        <w:rPr>
          <w:rFonts w:hint="eastAsia" w:ascii="楷体" w:hAnsi="楷体" w:eastAsia="楷体" w:cs="楷体"/>
          <w:i/>
          <w:sz w:val="24"/>
          <w:highlight w:val="none"/>
          <w:u w:val="single"/>
        </w:rPr>
        <w:t>项目名称</w:t>
      </w:r>
      <w:r>
        <w:rPr>
          <w:rFonts w:hint="eastAsia" w:ascii="楷体" w:hAnsi="楷体" w:eastAsia="楷体" w:cs="楷体"/>
          <w:sz w:val="24"/>
          <w:highlight w:val="none"/>
        </w:rPr>
        <w:t>）的（</w:t>
      </w:r>
      <w:r>
        <w:rPr>
          <w:rFonts w:hint="eastAsia" w:ascii="楷体" w:hAnsi="楷体" w:eastAsia="楷体" w:cs="楷体"/>
          <w:i/>
          <w:sz w:val="24"/>
          <w:highlight w:val="none"/>
          <w:u w:val="single"/>
          <w:lang w:eastAsia="zh-CN"/>
        </w:rPr>
        <w:t>第几包</w:t>
      </w:r>
      <w:r>
        <w:rPr>
          <w:rFonts w:hint="eastAsia" w:ascii="楷体" w:hAnsi="楷体" w:eastAsia="楷体" w:cs="楷体"/>
          <w:sz w:val="24"/>
          <w:highlight w:val="none"/>
        </w:rPr>
        <w:t>）投标，以我单位名义处理一切与之有关的事务。</w:t>
      </w:r>
      <w:r>
        <w:rPr>
          <w:rFonts w:hint="eastAsia" w:ascii="楷体" w:hAnsi="楷体" w:eastAsia="楷体" w:cs="楷体"/>
          <w:sz w:val="24"/>
          <w:highlight w:val="none"/>
        </w:rPr>
        <w:cr/>
      </w:r>
      <w:r>
        <w:rPr>
          <w:rFonts w:hint="eastAsia" w:ascii="楷体" w:hAnsi="楷体" w:eastAsia="楷体" w:cs="楷体"/>
          <w:sz w:val="24"/>
          <w:highlight w:val="none"/>
        </w:rPr>
        <w:t>　　</w:t>
      </w:r>
    </w:p>
    <w:p>
      <w:pPr>
        <w:pStyle w:val="10"/>
        <w:tabs>
          <w:tab w:val="left" w:pos="5580"/>
        </w:tabs>
        <w:spacing w:line="240" w:lineRule="atLeast"/>
        <w:ind w:left="-539" w:leftChars="-257" w:firstLine="900" w:firstLineChars="375"/>
        <w:rPr>
          <w:rFonts w:hint="eastAsia" w:ascii="楷体" w:hAnsi="楷体" w:eastAsia="楷体" w:cs="楷体"/>
          <w:sz w:val="24"/>
          <w:highlight w:val="none"/>
          <w:lang w:val="en-US" w:eastAsia="zh-CN"/>
        </w:rPr>
      </w:pPr>
      <w:r>
        <w:rPr>
          <w:rFonts w:hint="eastAsia" w:ascii="楷体" w:hAnsi="楷体" w:eastAsia="楷体" w:cs="楷体"/>
          <w:sz w:val="24"/>
          <w:highlight w:val="none"/>
        </w:rPr>
        <w:t>本授权书于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年</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月</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日签字生效,特此声明。</w:t>
      </w:r>
      <w:r>
        <w:rPr>
          <w:rFonts w:hint="eastAsia" w:ascii="楷体" w:hAnsi="楷体" w:eastAsia="楷体" w:cs="楷体"/>
          <w:sz w:val="24"/>
          <w:highlight w:val="none"/>
        </w:rPr>
        <w:cr/>
      </w:r>
      <w:r>
        <w:rPr>
          <w:rFonts w:hint="eastAsia" w:ascii="楷体" w:hAnsi="楷体" w:eastAsia="楷体" w:cs="楷体"/>
          <w:sz w:val="24"/>
          <w:highlight w:val="none"/>
        </w:rPr>
        <w:cr/>
      </w:r>
      <w:r>
        <w:rPr>
          <w:rFonts w:hint="eastAsia" w:ascii="楷体" w:hAnsi="楷体" w:eastAsia="楷体" w:cs="楷体"/>
          <w:sz w:val="24"/>
          <w:highlight w:val="none"/>
          <w:lang w:val="en-US" w:eastAsia="zh-CN"/>
        </w:rPr>
        <w:t xml:space="preserve">      附：委托人和被委托人身份证复印件 </w:t>
      </w:r>
    </w:p>
    <w:p>
      <w:pPr>
        <w:pStyle w:val="10"/>
        <w:tabs>
          <w:tab w:val="left" w:pos="5580"/>
        </w:tabs>
        <w:spacing w:line="240" w:lineRule="atLeast"/>
        <w:ind w:left="-539" w:leftChars="-257" w:firstLine="900" w:firstLineChars="375"/>
        <w:rPr>
          <w:rFonts w:hint="eastAsia" w:ascii="楷体" w:hAnsi="楷体" w:eastAsia="楷体" w:cs="楷体"/>
          <w:sz w:val="24"/>
          <w:highlight w:val="none"/>
        </w:rPr>
      </w:pPr>
    </w:p>
    <w:p>
      <w:pPr>
        <w:pStyle w:val="10"/>
        <w:tabs>
          <w:tab w:val="left" w:pos="5580"/>
        </w:tabs>
        <w:spacing w:line="240" w:lineRule="atLeast"/>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u w:val="single" w:color="FFFFFF"/>
        </w:rPr>
        <w:t>投标</w:t>
      </w:r>
      <w:r>
        <w:rPr>
          <w:rFonts w:hint="eastAsia" w:ascii="楷体" w:hAnsi="楷体" w:eastAsia="楷体" w:cs="楷体"/>
          <w:sz w:val="24"/>
          <w:highlight w:val="none"/>
          <w:u w:val="none"/>
        </w:rPr>
        <w:t>人（盖单位章）;</w:t>
      </w:r>
      <w:r>
        <w:rPr>
          <w:rFonts w:hint="eastAsia" w:ascii="楷体" w:hAnsi="楷体" w:eastAsia="楷体" w:cs="楷体"/>
          <w:sz w:val="24"/>
          <w:highlight w:val="none"/>
          <w:u w:val="single"/>
        </w:rPr>
        <w:t xml:space="preserve">                           </w:t>
      </w:r>
    </w:p>
    <w:p>
      <w:pPr>
        <w:pStyle w:val="10"/>
        <w:tabs>
          <w:tab w:val="left" w:pos="5580"/>
        </w:tabs>
        <w:spacing w:line="240" w:lineRule="atLeast"/>
        <w:ind w:firstLine="480" w:firstLineChars="200"/>
        <w:rPr>
          <w:rFonts w:hint="eastAsia" w:ascii="楷体" w:hAnsi="楷体" w:eastAsia="楷体" w:cs="楷体"/>
          <w:sz w:val="24"/>
          <w:highlight w:val="none"/>
        </w:rPr>
      </w:pPr>
      <w:r>
        <w:rPr>
          <w:rFonts w:hint="eastAsia" w:ascii="楷体" w:hAnsi="楷体" w:eastAsia="楷体" w:cs="楷体"/>
          <w:sz w:val="24"/>
          <w:highlight w:val="none"/>
          <w:u w:val="single" w:color="FFFFFF"/>
        </w:rPr>
        <w:t>法定代表人（签字）</w:t>
      </w:r>
      <w:r>
        <w:rPr>
          <w:rFonts w:hint="eastAsia" w:ascii="楷体" w:hAnsi="楷体" w:eastAsia="楷体" w:cs="楷体"/>
          <w:sz w:val="24"/>
          <w:highlight w:val="none"/>
        </w:rPr>
        <w:t>：</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lang w:val="en-US" w:eastAsia="zh-CN"/>
        </w:rPr>
        <w:t xml:space="preserve">  </w:t>
      </w:r>
      <w:r>
        <w:rPr>
          <w:rFonts w:hint="eastAsia" w:ascii="楷体" w:hAnsi="楷体" w:eastAsia="楷体" w:cs="楷体"/>
          <w:sz w:val="24"/>
          <w:highlight w:val="none"/>
          <w:u w:val="single"/>
        </w:rPr>
        <w:t xml:space="preserve">                </w:t>
      </w:r>
    </w:p>
    <w:p>
      <w:pPr>
        <w:pStyle w:val="10"/>
        <w:tabs>
          <w:tab w:val="left" w:pos="5580"/>
        </w:tabs>
        <w:spacing w:line="240" w:lineRule="atLeast"/>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u w:val="single" w:color="EEECE1"/>
        </w:rPr>
        <w:t>身份证号码</w:t>
      </w:r>
      <w:r>
        <w:rPr>
          <w:rFonts w:hint="eastAsia" w:ascii="楷体" w:hAnsi="楷体" w:eastAsia="楷体" w:cs="楷体"/>
          <w:sz w:val="24"/>
          <w:highlight w:val="none"/>
          <w:u w:val="single"/>
        </w:rPr>
        <w:t xml:space="preserve">：__________________________________ </w:t>
      </w:r>
    </w:p>
    <w:p>
      <w:pPr>
        <w:pStyle w:val="10"/>
        <w:tabs>
          <w:tab w:val="left" w:pos="5580"/>
        </w:tabs>
        <w:spacing w:line="240" w:lineRule="atLeast"/>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u w:val="none"/>
        </w:rPr>
        <w:t>委托代理人：</w:t>
      </w:r>
      <w:r>
        <w:rPr>
          <w:rFonts w:hint="eastAsia" w:ascii="楷体" w:hAnsi="楷体" w:eastAsia="楷体" w:cs="楷体"/>
          <w:sz w:val="24"/>
          <w:highlight w:val="none"/>
          <w:u w:val="single"/>
        </w:rPr>
        <w:t xml:space="preserve">                                   </w:t>
      </w:r>
    </w:p>
    <w:p>
      <w:pPr>
        <w:pStyle w:val="10"/>
        <w:tabs>
          <w:tab w:val="left" w:pos="5580"/>
        </w:tabs>
        <w:spacing w:line="240" w:lineRule="atLeast"/>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u w:val="none"/>
        </w:rPr>
        <w:t>身份证号码：</w:t>
      </w:r>
      <w:r>
        <w:rPr>
          <w:rFonts w:hint="eastAsia" w:ascii="楷体" w:hAnsi="楷体" w:eastAsia="楷体" w:cs="楷体"/>
          <w:sz w:val="24"/>
          <w:highlight w:val="none"/>
          <w:u w:val="single"/>
        </w:rPr>
        <w:t xml:space="preserve">                                   </w:t>
      </w:r>
    </w:p>
    <w:p>
      <w:pPr>
        <w:pStyle w:val="10"/>
        <w:tabs>
          <w:tab w:val="left" w:pos="5580"/>
        </w:tabs>
        <w:spacing w:line="240" w:lineRule="atLeast"/>
        <w:ind w:firstLine="480" w:firstLineChars="200"/>
        <w:rPr>
          <w:rFonts w:hint="eastAsia" w:ascii="楷体" w:hAnsi="楷体" w:eastAsia="楷体" w:cs="楷体"/>
          <w:sz w:val="24"/>
          <w:highlight w:val="none"/>
        </w:rPr>
      </w:pPr>
      <w:r>
        <w:rPr>
          <w:rFonts w:hint="eastAsia" w:ascii="楷体" w:hAnsi="楷体" w:eastAsia="楷体" w:cs="楷体"/>
          <w:sz w:val="24"/>
          <w:highlight w:val="none"/>
          <w:u w:val="single" w:color="FFFFFF"/>
        </w:rPr>
        <w:t>详细通讯地址</w:t>
      </w:r>
      <w:r>
        <w:rPr>
          <w:rFonts w:hint="eastAsia" w:ascii="楷体" w:hAnsi="楷体" w:eastAsia="楷体" w:cs="楷体"/>
          <w:sz w:val="24"/>
          <w:highlight w:val="none"/>
        </w:rPr>
        <w:t>：</w:t>
      </w:r>
      <w:r>
        <w:rPr>
          <w:rFonts w:hint="eastAsia" w:ascii="楷体" w:hAnsi="楷体" w:eastAsia="楷体" w:cs="楷体"/>
          <w:sz w:val="24"/>
          <w:highlight w:val="none"/>
          <w:u w:val="single"/>
        </w:rPr>
        <w:t xml:space="preserve">                                 </w:t>
      </w:r>
    </w:p>
    <w:p>
      <w:pPr>
        <w:pStyle w:val="10"/>
        <w:tabs>
          <w:tab w:val="left" w:pos="5580"/>
        </w:tabs>
        <w:spacing w:line="240" w:lineRule="atLeast"/>
        <w:ind w:firstLine="480" w:firstLineChars="200"/>
        <w:rPr>
          <w:rFonts w:hint="eastAsia" w:ascii="楷体" w:hAnsi="楷体" w:eastAsia="楷体" w:cs="楷体"/>
          <w:sz w:val="24"/>
          <w:highlight w:val="none"/>
        </w:rPr>
      </w:pPr>
      <w:r>
        <w:rPr>
          <w:rFonts w:hint="eastAsia" w:ascii="楷体" w:hAnsi="楷体" w:eastAsia="楷体" w:cs="楷体"/>
          <w:sz w:val="24"/>
          <w:highlight w:val="none"/>
          <w:u w:val="single" w:color="FFFFFF"/>
        </w:rPr>
        <w:t xml:space="preserve">邮 政 编 码 </w:t>
      </w:r>
      <w:r>
        <w:rPr>
          <w:rFonts w:hint="eastAsia" w:ascii="楷体" w:hAnsi="楷体" w:eastAsia="楷体" w:cs="楷体"/>
          <w:sz w:val="24"/>
          <w:highlight w:val="none"/>
        </w:rPr>
        <w:t>：</w:t>
      </w:r>
      <w:r>
        <w:rPr>
          <w:rFonts w:hint="eastAsia" w:ascii="楷体" w:hAnsi="楷体" w:eastAsia="楷体" w:cs="楷体"/>
          <w:sz w:val="24"/>
          <w:highlight w:val="none"/>
          <w:u w:val="single"/>
        </w:rPr>
        <w:t xml:space="preserve">                                 </w:t>
      </w:r>
    </w:p>
    <w:p>
      <w:pPr>
        <w:pStyle w:val="10"/>
        <w:tabs>
          <w:tab w:val="left" w:pos="5580"/>
        </w:tabs>
        <w:spacing w:line="240" w:lineRule="atLeast"/>
        <w:ind w:firstLine="480" w:firstLineChars="200"/>
        <w:rPr>
          <w:rFonts w:hint="eastAsia" w:ascii="楷体" w:hAnsi="楷体" w:eastAsia="楷体" w:cs="楷体"/>
          <w:sz w:val="24"/>
          <w:highlight w:val="none"/>
        </w:rPr>
      </w:pPr>
      <w:r>
        <w:rPr>
          <w:rFonts w:hint="eastAsia" w:ascii="楷体" w:hAnsi="楷体" w:eastAsia="楷体" w:cs="楷体"/>
          <w:sz w:val="24"/>
          <w:highlight w:val="none"/>
          <w:u w:val="single" w:color="FFFFFF"/>
        </w:rPr>
        <w:t>传　　　　真</w:t>
      </w:r>
      <w:r>
        <w:rPr>
          <w:rFonts w:hint="eastAsia" w:ascii="楷体" w:hAnsi="楷体" w:eastAsia="楷体" w:cs="楷体"/>
          <w:sz w:val="24"/>
          <w:highlight w:val="none"/>
        </w:rPr>
        <w:t>：</w:t>
      </w:r>
      <w:r>
        <w:rPr>
          <w:rFonts w:hint="eastAsia" w:ascii="楷体" w:hAnsi="楷体" w:eastAsia="楷体" w:cs="楷体"/>
          <w:sz w:val="24"/>
          <w:highlight w:val="none"/>
          <w:u w:val="single"/>
        </w:rPr>
        <w:t xml:space="preserve">                                 </w:t>
      </w:r>
    </w:p>
    <w:p>
      <w:pPr>
        <w:pStyle w:val="10"/>
        <w:tabs>
          <w:tab w:val="left" w:pos="5580"/>
        </w:tabs>
        <w:spacing w:line="240" w:lineRule="atLeast"/>
        <w:ind w:firstLine="480" w:firstLineChars="200"/>
        <w:rPr>
          <w:rFonts w:hint="eastAsia" w:ascii="楷体" w:hAnsi="楷体" w:eastAsia="楷体" w:cs="楷体"/>
          <w:sz w:val="24"/>
          <w:highlight w:val="none"/>
        </w:rPr>
      </w:pPr>
      <w:r>
        <w:rPr>
          <w:rFonts w:hint="eastAsia" w:ascii="楷体" w:hAnsi="楷体" w:eastAsia="楷体" w:cs="楷体"/>
          <w:sz w:val="24"/>
          <w:highlight w:val="none"/>
          <w:u w:val="single" w:color="FFFFFF"/>
        </w:rPr>
        <w:t>电　　　　话</w:t>
      </w:r>
      <w:r>
        <w:rPr>
          <w:rFonts w:hint="eastAsia" w:ascii="楷体" w:hAnsi="楷体" w:eastAsia="楷体" w:cs="楷体"/>
          <w:sz w:val="24"/>
          <w:highlight w:val="none"/>
        </w:rPr>
        <w:t>：</w:t>
      </w:r>
      <w:r>
        <w:rPr>
          <w:rFonts w:hint="eastAsia" w:ascii="楷体" w:hAnsi="楷体" w:eastAsia="楷体" w:cs="楷体"/>
          <w:sz w:val="24"/>
          <w:highlight w:val="none"/>
          <w:u w:val="single"/>
        </w:rPr>
        <w:t xml:space="preserve">                                 </w:t>
      </w:r>
    </w:p>
    <w:p>
      <w:pPr>
        <w:pStyle w:val="2"/>
        <w:spacing w:before="0" w:line="240" w:lineRule="atLeast"/>
        <w:ind w:left="1079" w:leftChars="257" w:hanging="540"/>
        <w:rPr>
          <w:rFonts w:hint="eastAsia" w:ascii="楷体" w:hAnsi="楷体" w:eastAsia="楷体" w:cs="楷体"/>
          <w:b w:val="0"/>
          <w:sz w:val="24"/>
          <w:highlight w:val="none"/>
        </w:rPr>
      </w:pPr>
      <w:r>
        <w:rPr>
          <w:rFonts w:hint="eastAsia" w:ascii="楷体" w:hAnsi="楷体" w:eastAsia="楷体" w:cs="楷体"/>
          <w:sz w:val="24"/>
          <w:highlight w:val="none"/>
        </w:rPr>
        <w:br w:type="page"/>
      </w:r>
      <w:bookmarkStart w:id="327" w:name="_Toc7039"/>
      <w:bookmarkStart w:id="328" w:name="_Toc32520"/>
      <w:bookmarkStart w:id="329" w:name="_Toc10782"/>
      <w:bookmarkStart w:id="330" w:name="_Toc515647808"/>
      <w:r>
        <w:rPr>
          <w:rFonts w:hint="eastAsia" w:ascii="楷体" w:hAnsi="楷体" w:eastAsia="楷体" w:cs="楷体"/>
          <w:sz w:val="24"/>
          <w:highlight w:val="none"/>
        </w:rPr>
        <w:t>4  具有良好的商业信誉和健全的财务会计制度的证明文件</w:t>
      </w:r>
      <w:bookmarkEnd w:id="327"/>
      <w:bookmarkEnd w:id="328"/>
      <w:bookmarkEnd w:id="329"/>
      <w:bookmarkEnd w:id="330"/>
    </w:p>
    <w:p>
      <w:pPr>
        <w:tabs>
          <w:tab w:val="left" w:pos="5580"/>
        </w:tabs>
        <w:spacing w:line="240" w:lineRule="atLeast"/>
        <w:ind w:left="1079" w:leftChars="257" w:hanging="540"/>
        <w:jc w:val="center"/>
        <w:rPr>
          <w:rFonts w:hint="eastAsia" w:ascii="楷体" w:hAnsi="楷体" w:eastAsia="楷体" w:cs="楷体"/>
          <w:b/>
          <w:sz w:val="24"/>
          <w:highlight w:val="none"/>
        </w:rPr>
      </w:pPr>
    </w:p>
    <w:p>
      <w:pPr>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说明：</w:t>
      </w:r>
    </w:p>
    <w:p>
      <w:pPr>
        <w:tabs>
          <w:tab w:val="left" w:pos="5580"/>
        </w:tabs>
        <w:spacing w:line="240" w:lineRule="atLeast"/>
        <w:ind w:left="540"/>
        <w:rPr>
          <w:rFonts w:hint="eastAsia" w:ascii="楷体" w:hAnsi="楷体" w:eastAsia="楷体" w:cs="楷体"/>
          <w:bCs/>
          <w:sz w:val="24"/>
          <w:highlight w:val="none"/>
        </w:rPr>
      </w:pPr>
      <w:r>
        <w:rPr>
          <w:rFonts w:hint="eastAsia" w:ascii="楷体" w:hAnsi="楷体" w:eastAsia="楷体" w:cs="楷体"/>
          <w:sz w:val="24"/>
          <w:highlight w:val="none"/>
        </w:rPr>
        <w:t>1、如提供本单位经会计师事务所出具的审计报告复印件须加盖</w:t>
      </w:r>
      <w:r>
        <w:rPr>
          <w:rFonts w:hint="eastAsia" w:ascii="楷体" w:hAnsi="楷体" w:eastAsia="楷体" w:cs="楷体"/>
          <w:bCs/>
          <w:sz w:val="24"/>
          <w:highlight w:val="none"/>
        </w:rPr>
        <w:t>本单位章和税务局出具的完税证明复印件加盖本单位章。</w:t>
      </w:r>
    </w:p>
    <w:p>
      <w:pPr>
        <w:tabs>
          <w:tab w:val="left" w:pos="5580"/>
        </w:tabs>
        <w:spacing w:line="240" w:lineRule="atLeast"/>
        <w:ind w:left="540"/>
        <w:rPr>
          <w:rFonts w:hint="eastAsia" w:ascii="楷体" w:hAnsi="楷体" w:eastAsia="楷体" w:cs="楷体"/>
          <w:sz w:val="24"/>
          <w:highlight w:val="none"/>
        </w:rPr>
      </w:pPr>
      <w:r>
        <w:rPr>
          <w:rFonts w:hint="eastAsia" w:ascii="楷体" w:hAnsi="楷体" w:eastAsia="楷体" w:cs="楷体"/>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79" w:leftChars="257" w:hanging="540"/>
        <w:rPr>
          <w:rFonts w:hint="eastAsia" w:ascii="楷体" w:hAnsi="楷体" w:eastAsia="楷体" w:cs="楷体"/>
          <w:i/>
          <w:iCs/>
          <w:sz w:val="24"/>
          <w:highlight w:val="none"/>
        </w:rPr>
      </w:pPr>
      <w:r>
        <w:rPr>
          <w:rFonts w:hint="eastAsia" w:ascii="楷体" w:hAnsi="楷体" w:eastAsia="楷体" w:cs="楷体"/>
          <w:sz w:val="24"/>
          <w:highlight w:val="none"/>
        </w:rPr>
        <w:t>3、如果是联合体投标，联合体各方均需提供上述证明</w:t>
      </w:r>
      <w:r>
        <w:rPr>
          <w:rFonts w:hint="eastAsia" w:ascii="楷体" w:hAnsi="楷体" w:eastAsia="楷体" w:cs="楷体"/>
          <w:i/>
          <w:iCs/>
          <w:sz w:val="24"/>
          <w:highlight w:val="none"/>
        </w:rPr>
        <w:t>（本项目不接受联合体）。</w:t>
      </w:r>
    </w:p>
    <w:p>
      <w:pPr>
        <w:tabs>
          <w:tab w:val="left" w:pos="5580"/>
        </w:tabs>
        <w:spacing w:line="240" w:lineRule="atLeast"/>
        <w:ind w:left="1079" w:leftChars="257" w:hanging="540"/>
        <w:rPr>
          <w:rFonts w:hint="eastAsia" w:ascii="楷体" w:hAnsi="楷体" w:eastAsia="楷体" w:cs="楷体"/>
          <w:sz w:val="24"/>
          <w:highlight w:val="none"/>
        </w:rPr>
      </w:pPr>
    </w:p>
    <w:p>
      <w:pPr>
        <w:pStyle w:val="2"/>
        <w:spacing w:before="0" w:line="240" w:lineRule="atLeast"/>
        <w:ind w:left="1079" w:leftChars="257" w:hanging="540"/>
        <w:rPr>
          <w:rFonts w:hint="eastAsia" w:ascii="楷体" w:hAnsi="楷体" w:eastAsia="楷体" w:cs="楷体"/>
          <w:sz w:val="24"/>
          <w:highlight w:val="none"/>
          <w:lang w:val="en-US" w:eastAsia="zh-CN"/>
        </w:rPr>
      </w:pPr>
      <w:bookmarkStart w:id="331" w:name="_Toc15188"/>
      <w:r>
        <w:rPr>
          <w:rFonts w:hint="eastAsia" w:ascii="楷体" w:hAnsi="楷体" w:eastAsia="楷体" w:cs="楷体"/>
          <w:sz w:val="24"/>
          <w:highlight w:val="none"/>
          <w:lang w:val="en-US" w:eastAsia="zh-CN"/>
        </w:rPr>
        <w:t>具有良好商业信誉承诺书</w:t>
      </w:r>
      <w:bookmarkEnd w:id="331"/>
    </w:p>
    <w:p>
      <w:pPr>
        <w:pStyle w:val="3"/>
        <w:rPr>
          <w:rFonts w:hint="eastAsia" w:ascii="楷体" w:hAnsi="楷体" w:eastAsia="楷体" w:cs="楷体"/>
          <w:lang w:val="en-US" w:eastAsia="zh-CN"/>
        </w:rPr>
      </w:pPr>
    </w:p>
    <w:p>
      <w:pPr>
        <w:pStyle w:val="2"/>
        <w:spacing w:before="0" w:line="240" w:lineRule="atLeast"/>
        <w:ind w:left="1079" w:leftChars="257" w:hanging="540"/>
        <w:jc w:val="both"/>
        <w:rPr>
          <w:rFonts w:hint="eastAsia" w:ascii="楷体" w:hAnsi="楷体" w:eastAsia="楷体" w:cs="楷体"/>
          <w:sz w:val="24"/>
          <w:highlight w:val="none"/>
          <w:lang w:val="en-US" w:eastAsia="zh-CN"/>
        </w:rPr>
      </w:pPr>
      <w:bookmarkStart w:id="332" w:name="_Toc25294"/>
      <w:r>
        <w:rPr>
          <w:rFonts w:hint="eastAsia" w:ascii="楷体" w:hAnsi="楷体" w:eastAsia="楷体" w:cs="楷体"/>
          <w:sz w:val="24"/>
          <w:highlight w:val="none"/>
          <w:lang w:val="en-US" w:eastAsia="zh-CN"/>
        </w:rPr>
        <w:t xml:space="preserve"> 塔什库尔干野生动物自然保护区服务中心：</w:t>
      </w:r>
      <w:bookmarkEnd w:id="332"/>
    </w:p>
    <w:p>
      <w:pPr>
        <w:pStyle w:val="2"/>
        <w:spacing w:before="0" w:line="240" w:lineRule="atLeast"/>
        <w:ind w:firstLine="960" w:firstLineChars="400"/>
        <w:jc w:val="both"/>
        <w:rPr>
          <w:rFonts w:hint="eastAsia" w:ascii="楷体" w:hAnsi="楷体" w:eastAsia="楷体" w:cs="楷体"/>
          <w:b w:val="0"/>
          <w:bCs/>
          <w:sz w:val="24"/>
          <w:highlight w:val="none"/>
          <w:u w:val="none"/>
          <w:lang w:val="en-US" w:eastAsia="zh-CN"/>
        </w:rPr>
      </w:pPr>
      <w:bookmarkStart w:id="333" w:name="_Toc31231"/>
      <w:r>
        <w:rPr>
          <w:rFonts w:hint="eastAsia" w:ascii="楷体" w:hAnsi="楷体" w:eastAsia="楷体" w:cs="楷体"/>
          <w:b w:val="0"/>
          <w:bCs/>
          <w:sz w:val="24"/>
          <w:highlight w:val="none"/>
          <w:lang w:val="en-US" w:eastAsia="zh-CN"/>
        </w:rPr>
        <w:t>我单位承诺，在参加本项目</w:t>
      </w:r>
      <w:r>
        <w:rPr>
          <w:rFonts w:hint="eastAsia" w:ascii="楷体" w:hAnsi="楷体" w:eastAsia="楷体" w:cs="楷体"/>
          <w:b w:val="0"/>
          <w:bCs/>
          <w:sz w:val="24"/>
          <w:highlight w:val="none"/>
          <w:u w:val="single"/>
          <w:lang w:val="en-US" w:eastAsia="zh-CN"/>
        </w:rPr>
        <w:t xml:space="preserve">                          （项目名称）（招标编号）（包号）</w:t>
      </w:r>
      <w:r>
        <w:rPr>
          <w:rFonts w:hint="eastAsia" w:ascii="楷体" w:hAnsi="楷体" w:eastAsia="楷体" w:cs="楷体"/>
          <w:b w:val="0"/>
          <w:bCs/>
          <w:sz w:val="24"/>
          <w:highlight w:val="none"/>
          <w:u w:val="none"/>
          <w:lang w:val="en-US" w:eastAsia="zh-CN"/>
        </w:rPr>
        <w:t>投标前，我单位具有良好商业信誉，不存在下列不能认定具有良好商业信誉的情形：</w:t>
      </w:r>
      <w:bookmarkEnd w:id="333"/>
    </w:p>
    <w:p>
      <w:pPr>
        <w:pStyle w:val="2"/>
        <w:numPr>
          <w:ilvl w:val="0"/>
          <w:numId w:val="6"/>
        </w:numPr>
        <w:spacing w:before="0" w:line="240" w:lineRule="atLeast"/>
        <w:ind w:left="425" w:leftChars="0" w:hanging="425" w:firstLineChars="0"/>
        <w:jc w:val="both"/>
        <w:rPr>
          <w:rFonts w:hint="eastAsia" w:ascii="楷体" w:hAnsi="楷体" w:eastAsia="楷体" w:cs="楷体"/>
          <w:b w:val="0"/>
          <w:bCs/>
          <w:sz w:val="24"/>
          <w:highlight w:val="none"/>
          <w:u w:val="none"/>
          <w:lang w:val="en-US" w:eastAsia="zh-CN"/>
        </w:rPr>
      </w:pPr>
      <w:bookmarkStart w:id="334" w:name="_Toc28350"/>
      <w:r>
        <w:rPr>
          <w:rFonts w:hint="eastAsia" w:ascii="楷体" w:hAnsi="楷体" w:eastAsia="楷体" w:cs="楷体"/>
          <w:b w:val="0"/>
          <w:bCs/>
          <w:sz w:val="24"/>
          <w:highlight w:val="none"/>
          <w:u w:val="none"/>
          <w:lang w:val="en-US" w:eastAsia="zh-CN"/>
        </w:rPr>
        <w:t>被纳入法院、工商行政管理部门、税务部门、银行认定的失信名单且在有效期内；</w:t>
      </w:r>
      <w:bookmarkEnd w:id="334"/>
    </w:p>
    <w:p>
      <w:pPr>
        <w:pStyle w:val="2"/>
        <w:numPr>
          <w:ilvl w:val="0"/>
          <w:numId w:val="6"/>
        </w:numPr>
        <w:spacing w:before="0" w:line="240" w:lineRule="atLeast"/>
        <w:ind w:left="425" w:leftChars="0" w:hanging="425" w:firstLineChars="0"/>
        <w:jc w:val="both"/>
        <w:rPr>
          <w:rFonts w:hint="eastAsia" w:ascii="楷体" w:hAnsi="楷体" w:eastAsia="楷体" w:cs="楷体"/>
          <w:b w:val="0"/>
          <w:bCs/>
          <w:sz w:val="24"/>
          <w:highlight w:val="none"/>
          <w:u w:val="none"/>
          <w:lang w:val="en-US" w:eastAsia="zh-CN"/>
        </w:rPr>
      </w:pPr>
      <w:bookmarkStart w:id="335" w:name="_Toc30713"/>
      <w:r>
        <w:rPr>
          <w:rFonts w:hint="eastAsia" w:ascii="楷体" w:hAnsi="楷体" w:eastAsia="楷体" w:cs="楷体"/>
          <w:b w:val="0"/>
          <w:bCs/>
          <w:sz w:val="24"/>
          <w:highlight w:val="none"/>
          <w:u w:val="none"/>
          <w:lang w:val="en-US" w:eastAsia="zh-CN"/>
        </w:rPr>
        <w:t>在前三年采购合同履约过程中及其他经营活动履约过程中未依法履约被有关部门处罚（处理）的；</w:t>
      </w:r>
      <w:bookmarkEnd w:id="335"/>
    </w:p>
    <w:p>
      <w:pPr>
        <w:pStyle w:val="2"/>
        <w:numPr>
          <w:ilvl w:val="0"/>
          <w:numId w:val="6"/>
        </w:numPr>
        <w:spacing w:before="0" w:line="240" w:lineRule="atLeast"/>
        <w:ind w:left="425" w:leftChars="0" w:hanging="425" w:firstLineChars="0"/>
        <w:jc w:val="both"/>
        <w:rPr>
          <w:rFonts w:hint="eastAsia" w:ascii="楷体" w:hAnsi="楷体" w:eastAsia="楷体" w:cs="楷体"/>
          <w:b w:val="0"/>
          <w:bCs/>
          <w:sz w:val="24"/>
          <w:highlight w:val="none"/>
        </w:rPr>
      </w:pPr>
      <w:bookmarkStart w:id="336" w:name="_Toc8849"/>
      <w:r>
        <w:rPr>
          <w:rFonts w:hint="eastAsia" w:ascii="楷体" w:hAnsi="楷体" w:eastAsia="楷体" w:cs="楷体"/>
          <w:b w:val="0"/>
          <w:bCs/>
          <w:sz w:val="24"/>
          <w:highlight w:val="none"/>
          <w:u w:val="none"/>
          <w:lang w:val="en-US" w:eastAsia="zh-CN"/>
        </w:rPr>
        <w:t>国家相关法律、法规，规范文件等规定的认定为不具有良好的商业信誉的其他情形。</w:t>
      </w:r>
      <w:bookmarkEnd w:id="336"/>
    </w:p>
    <w:p>
      <w:pPr>
        <w:bidi w:val="0"/>
        <w:ind w:firstLine="960" w:firstLineChars="400"/>
        <w:jc w:val="left"/>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若我单位虚假承诺，将自行承担由此带来的一切后果（如取消投标资格、中标资格、不予退还投标保证金、法定时间内禁止参与采购投标活动等）。</w:t>
      </w:r>
    </w:p>
    <w:p>
      <w:pPr>
        <w:pStyle w:val="14"/>
        <w:rPr>
          <w:rFonts w:hint="eastAsia" w:ascii="楷体" w:hAnsi="楷体" w:eastAsia="楷体" w:cs="楷体"/>
          <w:lang w:val="en-US" w:eastAsia="zh-CN"/>
        </w:rPr>
      </w:pPr>
    </w:p>
    <w:p>
      <w:pPr>
        <w:bidi w:val="0"/>
        <w:ind w:firstLine="960" w:firstLineChars="400"/>
        <w:jc w:val="left"/>
        <w:rPr>
          <w:rFonts w:hint="eastAsia" w:ascii="楷体" w:hAnsi="楷体" w:eastAsia="楷体" w:cs="楷体"/>
          <w:sz w:val="24"/>
          <w:highlight w:val="none"/>
          <w:lang w:val="en-US" w:eastAsia="zh-CN"/>
        </w:rPr>
      </w:pPr>
    </w:p>
    <w:p>
      <w:pPr>
        <w:pStyle w:val="14"/>
        <w:rPr>
          <w:rFonts w:hint="eastAsia" w:ascii="楷体" w:hAnsi="楷体" w:eastAsia="楷体" w:cs="楷体"/>
          <w:sz w:val="24"/>
          <w:highlight w:val="none"/>
          <w:lang w:val="en-US" w:eastAsia="zh-CN"/>
        </w:rPr>
      </w:pPr>
    </w:p>
    <w:p>
      <w:pPr>
        <w:pStyle w:val="14"/>
        <w:rPr>
          <w:rFonts w:hint="eastAsia" w:ascii="楷体" w:hAnsi="楷体" w:eastAsia="楷体" w:cs="楷体"/>
          <w:sz w:val="24"/>
          <w:highlight w:val="none"/>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投标人名称：</w:t>
      </w:r>
      <w:r>
        <w:rPr>
          <w:rFonts w:hint="eastAsia" w:ascii="楷体" w:hAnsi="楷体" w:eastAsia="楷体" w:cs="楷体"/>
          <w:b/>
          <w:bCs/>
          <w:sz w:val="24"/>
          <w:highlight w:val="none"/>
          <w:u w:val="single"/>
          <w:lang w:val="en-US" w:eastAsia="zh-CN"/>
        </w:rPr>
        <w:t xml:space="preserve">    （单位鲜章）</w:t>
      </w:r>
    </w:p>
    <w:p>
      <w:pPr>
        <w:pStyle w:val="14"/>
        <w:rPr>
          <w:rFonts w:hint="eastAsia" w:ascii="楷体" w:hAnsi="楷体" w:eastAsia="楷体" w:cs="楷体"/>
          <w:b/>
          <w:bCs/>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法定代表人：</w:t>
      </w:r>
      <w:r>
        <w:rPr>
          <w:rFonts w:hint="eastAsia" w:ascii="楷体" w:hAnsi="楷体" w:eastAsia="楷体" w:cs="楷体"/>
          <w:b/>
          <w:bCs/>
          <w:sz w:val="24"/>
          <w:highlight w:val="none"/>
          <w:u w:val="single"/>
          <w:lang w:val="en-US" w:eastAsia="zh-CN"/>
        </w:rPr>
        <w:t xml:space="preserve">      （签字）</w:t>
      </w:r>
    </w:p>
    <w:p>
      <w:pPr>
        <w:pStyle w:val="14"/>
        <w:rPr>
          <w:rFonts w:hint="eastAsia" w:ascii="楷体" w:hAnsi="楷体" w:eastAsia="楷体" w:cs="楷体"/>
          <w:b/>
          <w:bCs/>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投标日期：</w:t>
      </w:r>
      <w:r>
        <w:rPr>
          <w:rFonts w:hint="eastAsia" w:ascii="楷体" w:hAnsi="楷体" w:eastAsia="楷体" w:cs="楷体"/>
          <w:b/>
          <w:bCs/>
          <w:sz w:val="24"/>
          <w:highlight w:val="none"/>
          <w:u w:val="single"/>
          <w:lang w:val="en-US" w:eastAsia="zh-CN"/>
        </w:rPr>
        <w:t xml:space="preserve">   年   月   日</w:t>
      </w:r>
    </w:p>
    <w:p>
      <w:pPr>
        <w:bidi w:val="0"/>
        <w:ind w:firstLine="960" w:firstLineChars="400"/>
        <w:jc w:val="left"/>
        <w:rPr>
          <w:rFonts w:hint="eastAsia" w:ascii="楷体" w:hAnsi="楷体" w:eastAsia="楷体" w:cs="楷体"/>
          <w:b/>
          <w:bCs/>
          <w:sz w:val="24"/>
          <w:highlight w:val="none"/>
          <w:u w:val="single"/>
          <w:lang w:val="en-US" w:eastAsia="zh-CN"/>
        </w:rPr>
      </w:pPr>
    </w:p>
    <w:p>
      <w:pPr>
        <w:bidi w:val="0"/>
        <w:ind w:firstLine="960" w:firstLineChars="400"/>
        <w:jc w:val="center"/>
        <w:rPr>
          <w:rFonts w:hint="eastAsia" w:ascii="楷体" w:hAnsi="楷体" w:eastAsia="楷体" w:cs="楷体"/>
          <w:b/>
          <w:kern w:val="0"/>
          <w:sz w:val="24"/>
          <w:szCs w:val="20"/>
          <w:highlight w:val="none"/>
          <w:lang w:val="en-US" w:eastAsia="zh-CN" w:bidi="ar-SA"/>
        </w:rPr>
      </w:pPr>
      <w:r>
        <w:rPr>
          <w:rFonts w:hint="eastAsia" w:ascii="楷体" w:hAnsi="楷体" w:eastAsia="楷体" w:cs="楷体"/>
          <w:b w:val="0"/>
          <w:bCs w:val="0"/>
          <w:sz w:val="24"/>
          <w:highlight w:val="none"/>
          <w:u w:val="none"/>
          <w:lang w:val="en-US" w:eastAsia="zh-CN"/>
        </w:rPr>
        <w:t>后附：磋商文件须知部分要求的财务审计报告（或银行资信证明）和完税证明资料。</w:t>
      </w:r>
      <w:r>
        <w:rPr>
          <w:rFonts w:hint="eastAsia" w:ascii="楷体" w:hAnsi="楷体" w:eastAsia="楷体" w:cs="楷体"/>
          <w:b w:val="0"/>
          <w:bCs w:val="0"/>
          <w:sz w:val="24"/>
          <w:highlight w:val="none"/>
          <w:u w:val="none"/>
        </w:rPr>
        <w:br w:type="page"/>
      </w:r>
      <w:bookmarkStart w:id="337" w:name="_Toc11047"/>
      <w:bookmarkStart w:id="338" w:name="_Toc515647809"/>
      <w:bookmarkStart w:id="339" w:name="_Toc28445"/>
      <w:r>
        <w:rPr>
          <w:rFonts w:hint="eastAsia" w:ascii="楷体" w:hAnsi="楷体" w:eastAsia="楷体" w:cs="楷体"/>
          <w:b/>
          <w:kern w:val="0"/>
          <w:sz w:val="24"/>
          <w:szCs w:val="20"/>
          <w:highlight w:val="none"/>
          <w:lang w:val="en-US" w:eastAsia="zh-CN" w:bidi="ar-SA"/>
        </w:rPr>
        <w:t>5  投标保证金缴纳凭证复印件</w:t>
      </w:r>
      <w:bookmarkEnd w:id="337"/>
      <w:bookmarkEnd w:id="338"/>
      <w:bookmarkEnd w:id="339"/>
    </w:p>
    <w:p>
      <w:pPr>
        <w:pStyle w:val="14"/>
        <w:rPr>
          <w:rFonts w:hint="eastAsia" w:ascii="楷体" w:hAnsi="楷体" w:eastAsia="楷体" w:cs="楷体"/>
          <w:lang w:val="en-US" w:eastAsia="zh-CN"/>
        </w:rPr>
      </w:pPr>
    </w:p>
    <w:p>
      <w:pPr>
        <w:ind w:firstLine="420" w:firstLineChars="200"/>
        <w:rPr>
          <w:rFonts w:hint="eastAsia" w:ascii="楷体" w:hAnsi="楷体" w:eastAsia="楷体" w:cs="楷体"/>
          <w:highlight w:val="none"/>
          <w:lang w:val="en-US" w:eastAsia="zh-CN"/>
        </w:rPr>
      </w:pPr>
      <w:bookmarkStart w:id="340" w:name="_Toc494296991"/>
      <w:bookmarkStart w:id="341" w:name="_Toc494296665"/>
      <w:r>
        <w:rPr>
          <w:rFonts w:hint="eastAsia" w:ascii="楷体" w:hAnsi="楷体" w:eastAsia="楷体" w:cs="楷体"/>
          <w:highlight w:val="none"/>
        </w:rPr>
        <w:t>投标人可将本项目投标保证金支付的汇款凭证、支票、汇票和投标保证金收据的复印件作为缴纳凭证装订在本部分，复印件上应加盖本单位章</w:t>
      </w:r>
      <w:bookmarkEnd w:id="340"/>
      <w:bookmarkEnd w:id="341"/>
      <w:r>
        <w:rPr>
          <w:rFonts w:hint="eastAsia" w:ascii="楷体" w:hAnsi="楷体" w:eastAsia="楷体" w:cs="楷体"/>
          <w:highlight w:val="none"/>
          <w:lang w:eastAsia="zh-CN"/>
        </w:rPr>
        <w:t>。</w:t>
      </w:r>
    </w:p>
    <w:p>
      <w:pPr>
        <w:pStyle w:val="2"/>
        <w:spacing w:before="0" w:line="240" w:lineRule="atLeast"/>
        <w:ind w:left="1079" w:leftChars="257" w:hanging="540"/>
        <w:rPr>
          <w:rFonts w:hint="eastAsia" w:ascii="楷体" w:hAnsi="楷体" w:eastAsia="楷体" w:cs="楷体"/>
          <w:sz w:val="24"/>
          <w:highlight w:val="none"/>
        </w:rPr>
      </w:pPr>
      <w:bookmarkStart w:id="342" w:name="_Toc6620"/>
      <w:bookmarkStart w:id="343" w:name="_Toc515647810"/>
      <w:bookmarkStart w:id="344" w:name="_Toc5710"/>
      <w:bookmarkStart w:id="345" w:name="_Toc18754"/>
    </w:p>
    <w:p>
      <w:pPr>
        <w:pStyle w:val="2"/>
        <w:spacing w:before="0"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6  社会保障资金的缴纳记录</w:t>
      </w:r>
      <w:bookmarkEnd w:id="342"/>
      <w:bookmarkEnd w:id="343"/>
      <w:bookmarkEnd w:id="344"/>
      <w:bookmarkEnd w:id="345"/>
    </w:p>
    <w:p>
      <w:pPr>
        <w:pStyle w:val="10"/>
        <w:tabs>
          <w:tab w:val="left" w:pos="5580"/>
        </w:tabs>
        <w:spacing w:line="240" w:lineRule="atLeast"/>
        <w:ind w:left="1079" w:leftChars="257" w:hanging="540"/>
        <w:jc w:val="center"/>
        <w:rPr>
          <w:rFonts w:hint="eastAsia" w:ascii="楷体" w:hAnsi="楷体" w:eastAsia="楷体" w:cs="楷体"/>
          <w:b/>
          <w:sz w:val="24"/>
          <w:highlight w:val="none"/>
        </w:rPr>
      </w:pPr>
    </w:p>
    <w:p>
      <w:pPr>
        <w:pStyle w:val="10"/>
        <w:tabs>
          <w:tab w:val="left" w:pos="5580"/>
        </w:tabs>
        <w:spacing w:line="240" w:lineRule="atLeast"/>
        <w:ind w:left="540"/>
        <w:rPr>
          <w:rFonts w:hint="eastAsia" w:ascii="楷体" w:hAnsi="楷体" w:eastAsia="楷体" w:cs="楷体"/>
          <w:b/>
          <w:sz w:val="24"/>
          <w:highlight w:val="none"/>
        </w:rPr>
      </w:pPr>
    </w:p>
    <w:p>
      <w:pPr>
        <w:pStyle w:val="10"/>
        <w:tabs>
          <w:tab w:val="left" w:pos="5580"/>
        </w:tabs>
        <w:spacing w:line="240" w:lineRule="atLeast"/>
        <w:ind w:left="540"/>
        <w:rPr>
          <w:rFonts w:hint="eastAsia" w:ascii="楷体" w:hAnsi="楷体" w:eastAsia="楷体" w:cs="楷体"/>
          <w:sz w:val="24"/>
          <w:highlight w:val="none"/>
        </w:rPr>
      </w:pPr>
      <w:r>
        <w:rPr>
          <w:rFonts w:hint="eastAsia" w:ascii="楷体" w:hAnsi="楷体" w:eastAsia="楷体" w:cs="楷体"/>
          <w:sz w:val="24"/>
          <w:highlight w:val="none"/>
        </w:rPr>
        <w:t>说明：1.按照</w:t>
      </w:r>
      <w:r>
        <w:rPr>
          <w:rFonts w:hint="eastAsia" w:ascii="楷体" w:hAnsi="楷体" w:eastAsia="楷体" w:cs="楷体"/>
          <w:sz w:val="24"/>
          <w:highlight w:val="none"/>
          <w:u w:val="single"/>
        </w:rPr>
        <w:t>投标人须知资料表</w:t>
      </w:r>
      <w:r>
        <w:rPr>
          <w:rFonts w:hint="eastAsia" w:ascii="楷体" w:hAnsi="楷体" w:eastAsia="楷体" w:cs="楷体"/>
          <w:sz w:val="24"/>
          <w:highlight w:val="none"/>
        </w:rPr>
        <w:t>中的规定提供复印件。</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 xml:space="preserve">      2.复印件上应加盖本单位章。</w:t>
      </w:r>
    </w:p>
    <w:p>
      <w:pPr>
        <w:tabs>
          <w:tab w:val="left" w:pos="5580"/>
        </w:tabs>
        <w:spacing w:line="240" w:lineRule="atLeast"/>
        <w:ind w:left="1079" w:leftChars="257" w:hanging="540"/>
        <w:rPr>
          <w:rFonts w:hint="eastAsia" w:ascii="楷体" w:hAnsi="楷体" w:eastAsia="楷体" w:cs="楷体"/>
          <w:i/>
          <w:iCs/>
          <w:sz w:val="24"/>
          <w:highlight w:val="none"/>
        </w:rPr>
      </w:pPr>
      <w:r>
        <w:rPr>
          <w:rFonts w:hint="eastAsia" w:ascii="楷体" w:hAnsi="楷体" w:eastAsia="楷体" w:cs="楷体"/>
          <w:sz w:val="24"/>
          <w:highlight w:val="none"/>
        </w:rPr>
        <w:t xml:space="preserve">      3.如果是联合体投标，联合体各方均需提供上述证明</w:t>
      </w:r>
      <w:r>
        <w:rPr>
          <w:rFonts w:hint="eastAsia" w:ascii="楷体" w:hAnsi="楷体" w:eastAsia="楷体" w:cs="楷体"/>
          <w:i/>
          <w:iCs/>
          <w:sz w:val="24"/>
          <w:highlight w:val="none"/>
        </w:rPr>
        <w:t>（本项目不接受联合体）。</w:t>
      </w:r>
    </w:p>
    <w:p>
      <w:pPr>
        <w:pStyle w:val="10"/>
        <w:tabs>
          <w:tab w:val="left" w:pos="5580"/>
        </w:tabs>
        <w:spacing w:line="240" w:lineRule="atLeast"/>
        <w:ind w:left="1079" w:leftChars="257" w:hanging="540"/>
        <w:rPr>
          <w:rFonts w:hint="eastAsia" w:ascii="楷体" w:hAnsi="楷体" w:eastAsia="楷体" w:cs="楷体"/>
          <w:sz w:val="24"/>
          <w:highlight w:val="none"/>
        </w:rPr>
      </w:pPr>
    </w:p>
    <w:p>
      <w:pPr>
        <w:pStyle w:val="2"/>
        <w:spacing w:before="0" w:line="240" w:lineRule="atLeast"/>
        <w:ind w:left="1079" w:leftChars="257" w:hanging="540"/>
        <w:rPr>
          <w:rFonts w:hint="eastAsia" w:ascii="楷体" w:hAnsi="楷体" w:eastAsia="楷体" w:cs="楷体"/>
          <w:sz w:val="24"/>
          <w:highlight w:val="none"/>
        </w:rPr>
      </w:pPr>
      <w:bookmarkStart w:id="346" w:name="_Toc515647811"/>
      <w:bookmarkStart w:id="347" w:name="_Toc24428"/>
      <w:bookmarkStart w:id="348" w:name="_Toc12533"/>
      <w:r>
        <w:rPr>
          <w:rFonts w:hint="eastAsia" w:ascii="楷体" w:hAnsi="楷体" w:eastAsia="楷体" w:cs="楷体"/>
          <w:sz w:val="24"/>
          <w:highlight w:val="none"/>
        </w:rPr>
        <w:t>7  参加政府采购活动前3年内</w:t>
      </w:r>
      <w:bookmarkEnd w:id="346"/>
      <w:bookmarkEnd w:id="347"/>
      <w:bookmarkStart w:id="349" w:name="_Toc6008"/>
      <w:bookmarkStart w:id="350" w:name="_Toc1137"/>
      <w:bookmarkStart w:id="351" w:name="_Toc515647812"/>
      <w:r>
        <w:rPr>
          <w:rFonts w:hint="eastAsia" w:ascii="楷体" w:hAnsi="楷体" w:eastAsia="楷体" w:cs="楷体"/>
          <w:sz w:val="24"/>
          <w:highlight w:val="none"/>
        </w:rPr>
        <w:t>在经营活动中没有重大违法记录的书面声明</w:t>
      </w:r>
      <w:bookmarkEnd w:id="348"/>
      <w:bookmarkEnd w:id="349"/>
      <w:bookmarkEnd w:id="350"/>
      <w:bookmarkEnd w:id="351"/>
    </w:p>
    <w:p>
      <w:pPr>
        <w:pStyle w:val="10"/>
        <w:tabs>
          <w:tab w:val="left" w:pos="5580"/>
        </w:tabs>
        <w:spacing w:line="240" w:lineRule="atLeast"/>
        <w:ind w:left="1079" w:leftChars="257" w:hanging="540"/>
        <w:jc w:val="center"/>
        <w:rPr>
          <w:rFonts w:hint="eastAsia" w:ascii="楷体" w:hAnsi="楷体" w:eastAsia="楷体" w:cs="楷体"/>
          <w:b/>
          <w:sz w:val="24"/>
          <w:highlight w:val="none"/>
        </w:rPr>
      </w:pPr>
    </w:p>
    <w:p>
      <w:pPr>
        <w:pStyle w:val="10"/>
        <w:tabs>
          <w:tab w:val="left" w:pos="5580"/>
        </w:tabs>
        <w:spacing w:line="240" w:lineRule="atLeast"/>
        <w:ind w:left="1079" w:leftChars="257" w:hanging="540"/>
        <w:rPr>
          <w:rFonts w:hint="eastAsia" w:ascii="楷体" w:hAnsi="楷体" w:eastAsia="楷体" w:cs="楷体"/>
          <w:sz w:val="24"/>
          <w:highlight w:val="none"/>
        </w:rPr>
      </w:pPr>
    </w:p>
    <w:p>
      <w:pPr>
        <w:pStyle w:val="10"/>
        <w:tabs>
          <w:tab w:val="left" w:pos="5580"/>
        </w:tabs>
        <w:spacing w:line="240" w:lineRule="atLeast"/>
        <w:ind w:left="1079" w:leftChars="257" w:hanging="540"/>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r>
        <w:rPr>
          <w:rFonts w:hint="eastAsia" w:ascii="楷体" w:hAnsi="楷体" w:eastAsia="楷体" w:cs="楷体"/>
          <w:sz w:val="24"/>
          <w:highlight w:val="none"/>
        </w:rPr>
        <w:t>说明：1.投标人应按照相关法规规定如实作出说明。</w:t>
      </w:r>
    </w:p>
    <w:p>
      <w:pPr>
        <w:pStyle w:val="10"/>
        <w:tabs>
          <w:tab w:val="left" w:pos="5580"/>
        </w:tabs>
        <w:spacing w:line="240" w:lineRule="atLeast"/>
        <w:rPr>
          <w:rFonts w:hint="eastAsia" w:ascii="楷体" w:hAnsi="楷体" w:eastAsia="楷体" w:cs="楷体"/>
          <w:sz w:val="24"/>
          <w:highlight w:val="none"/>
        </w:rPr>
      </w:pPr>
      <w:r>
        <w:rPr>
          <w:rFonts w:hint="eastAsia" w:ascii="楷体" w:hAnsi="楷体" w:eastAsia="楷体" w:cs="楷体"/>
          <w:sz w:val="24"/>
          <w:highlight w:val="none"/>
        </w:rPr>
        <w:t>2．按照</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的规定加盖单位章（自然人投标的无需盖章，需要签字）。</w:t>
      </w:r>
    </w:p>
    <w:p>
      <w:pPr>
        <w:pStyle w:val="10"/>
        <w:tabs>
          <w:tab w:val="left" w:pos="5580"/>
        </w:tabs>
        <w:spacing w:line="240" w:lineRule="atLeast"/>
        <w:rPr>
          <w:rFonts w:hint="eastAsia" w:ascii="楷体" w:hAnsi="楷体" w:eastAsia="楷体" w:cs="楷体"/>
          <w:i/>
          <w:iCs/>
          <w:sz w:val="24"/>
          <w:highlight w:val="none"/>
        </w:rPr>
      </w:pPr>
      <w:r>
        <w:rPr>
          <w:rFonts w:hint="eastAsia" w:ascii="楷体" w:hAnsi="楷体" w:eastAsia="楷体" w:cs="楷体"/>
          <w:sz w:val="24"/>
          <w:highlight w:val="none"/>
        </w:rPr>
        <w:t>3.如果是联合体投标，联合体各方均需提供上述证明</w:t>
      </w:r>
      <w:r>
        <w:rPr>
          <w:rFonts w:hint="eastAsia" w:ascii="楷体" w:hAnsi="楷体" w:eastAsia="楷体" w:cs="楷体"/>
          <w:i/>
          <w:iCs/>
          <w:sz w:val="24"/>
          <w:highlight w:val="none"/>
        </w:rPr>
        <w:t>（本项目不接受联合体）。</w:t>
      </w:r>
    </w:p>
    <w:p>
      <w:pPr>
        <w:rPr>
          <w:rFonts w:hint="eastAsia" w:ascii="楷体" w:hAnsi="楷体" w:eastAsia="楷体" w:cs="楷体"/>
          <w:sz w:val="24"/>
          <w:highlight w:val="none"/>
        </w:rPr>
      </w:pPr>
    </w:p>
    <w:p>
      <w:pPr>
        <w:pStyle w:val="14"/>
        <w:rPr>
          <w:rFonts w:hint="eastAsia" w:ascii="楷体" w:hAnsi="楷体" w:eastAsia="楷体" w:cs="楷体"/>
        </w:rPr>
      </w:pPr>
    </w:p>
    <w:p>
      <w:pPr>
        <w:pStyle w:val="14"/>
        <w:jc w:val="center"/>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rPr>
        <w:t>参加政府采购活动前3年内在经营活动中没有重大违法记录</w:t>
      </w:r>
      <w:r>
        <w:rPr>
          <w:rFonts w:hint="eastAsia" w:ascii="楷体" w:hAnsi="楷体" w:eastAsia="楷体" w:cs="楷体"/>
          <w:b/>
          <w:bCs/>
          <w:sz w:val="24"/>
          <w:highlight w:val="none"/>
          <w:lang w:val="en-US" w:eastAsia="zh-CN"/>
        </w:rPr>
        <w:t>声明书</w:t>
      </w:r>
    </w:p>
    <w:p>
      <w:pPr>
        <w:pStyle w:val="14"/>
        <w:jc w:val="center"/>
        <w:rPr>
          <w:rFonts w:hint="eastAsia" w:ascii="楷体" w:hAnsi="楷体" w:eastAsia="楷体" w:cs="楷体"/>
          <w:b/>
          <w:bCs/>
          <w:sz w:val="24"/>
          <w:highlight w:val="none"/>
          <w:lang w:val="en-US" w:eastAsia="zh-CN"/>
        </w:rPr>
      </w:pPr>
    </w:p>
    <w:p>
      <w:pPr>
        <w:pStyle w:val="14"/>
        <w:rPr>
          <w:rFonts w:hint="eastAsia" w:ascii="楷体" w:hAnsi="楷体" w:eastAsia="楷体" w:cs="楷体"/>
          <w:sz w:val="24"/>
          <w:highlight w:val="none"/>
          <w:lang w:val="en-US" w:eastAsia="zh-CN"/>
        </w:rPr>
      </w:pPr>
    </w:p>
    <w:p>
      <w:pPr>
        <w:pStyle w:val="14"/>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lang w:val="en-US" w:eastAsia="zh-CN"/>
        </w:rPr>
        <w:t xml:space="preserve"> 塔什库尔干野生动物自然保护区服务中心：</w:t>
      </w:r>
    </w:p>
    <w:p>
      <w:pPr>
        <w:pStyle w:val="14"/>
        <w:rPr>
          <w:rFonts w:hint="eastAsia" w:ascii="楷体" w:hAnsi="楷体" w:eastAsia="楷体" w:cs="楷体"/>
          <w:sz w:val="24"/>
          <w:highlight w:val="none"/>
          <w:lang w:val="en-US" w:eastAsia="zh-CN"/>
        </w:rPr>
      </w:pPr>
    </w:p>
    <w:p>
      <w:pPr>
        <w:pStyle w:val="14"/>
        <w:ind w:firstLine="480"/>
        <w:rPr>
          <w:rFonts w:hint="eastAsia" w:ascii="楷体" w:hAnsi="楷体" w:eastAsia="楷体" w:cs="楷体"/>
          <w:sz w:val="24"/>
          <w:highlight w:val="none"/>
          <w:u w:val="none"/>
          <w:lang w:val="en-US" w:eastAsia="zh-CN"/>
        </w:rPr>
      </w:pPr>
      <w:r>
        <w:rPr>
          <w:rFonts w:hint="eastAsia" w:ascii="楷体" w:hAnsi="楷体" w:eastAsia="楷体" w:cs="楷体"/>
          <w:sz w:val="24"/>
          <w:highlight w:val="none"/>
          <w:lang w:val="en-US" w:eastAsia="zh-CN"/>
        </w:rPr>
        <w:t>我单位声明：在参加本项目</w:t>
      </w:r>
      <w:r>
        <w:rPr>
          <w:rFonts w:hint="eastAsia" w:ascii="楷体" w:hAnsi="楷体" w:eastAsia="楷体" w:cs="楷体"/>
          <w:sz w:val="24"/>
          <w:highlight w:val="none"/>
          <w:u w:val="single"/>
          <w:lang w:val="en-US" w:eastAsia="zh-CN"/>
        </w:rPr>
        <w:t xml:space="preserve">                        </w:t>
      </w:r>
      <w:r>
        <w:rPr>
          <w:rFonts w:hint="eastAsia" w:ascii="楷体" w:hAnsi="楷体" w:eastAsia="楷体" w:cs="楷体"/>
          <w:sz w:val="24"/>
          <w:highlight w:val="none"/>
          <w:u w:val="none"/>
          <w:lang w:val="en-US" w:eastAsia="zh-CN"/>
        </w:rPr>
        <w:t>（项目名称）（项目编号）（包号）投标前三年内，在采购及招投标活动中级经营活动中无重大违法违规记录（含较大数额罚款）。若我单位虚假声明，将自行承担由此带来的一切后果（如取消投标及中标资格、不予退还投标保证金、法定时间内禁止参与采购投标活动）。</w:t>
      </w:r>
    </w:p>
    <w:p>
      <w:pPr>
        <w:pStyle w:val="14"/>
        <w:ind w:firstLine="480"/>
        <w:rPr>
          <w:rFonts w:hint="eastAsia" w:ascii="楷体" w:hAnsi="楷体" w:eastAsia="楷体" w:cs="楷体"/>
          <w:sz w:val="24"/>
          <w:highlight w:val="none"/>
          <w:u w:val="none"/>
          <w:lang w:val="en-US" w:eastAsia="zh-CN"/>
        </w:rPr>
      </w:pPr>
    </w:p>
    <w:p>
      <w:pPr>
        <w:pStyle w:val="14"/>
        <w:ind w:firstLine="480"/>
        <w:rPr>
          <w:rFonts w:hint="eastAsia" w:ascii="楷体" w:hAnsi="楷体" w:eastAsia="楷体" w:cs="楷体"/>
          <w:sz w:val="24"/>
          <w:highlight w:val="none"/>
          <w:u w:val="none"/>
          <w:lang w:val="en-US" w:eastAsia="zh-CN"/>
        </w:rPr>
      </w:pPr>
    </w:p>
    <w:p>
      <w:pPr>
        <w:pStyle w:val="14"/>
        <w:rPr>
          <w:rFonts w:hint="eastAsia" w:ascii="楷体" w:hAnsi="楷体" w:eastAsia="楷体" w:cs="楷体"/>
          <w:sz w:val="24"/>
          <w:highlight w:val="none"/>
          <w:lang w:val="en-US" w:eastAsia="zh-CN"/>
        </w:rPr>
      </w:pPr>
    </w:p>
    <w:p>
      <w:pPr>
        <w:rPr>
          <w:rFonts w:hint="eastAsia" w:ascii="楷体" w:hAnsi="楷体" w:eastAsia="楷体" w:cs="楷体"/>
          <w:sz w:val="24"/>
          <w:highlight w:val="none"/>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投标人名称：</w:t>
      </w:r>
      <w:r>
        <w:rPr>
          <w:rFonts w:hint="eastAsia" w:ascii="楷体" w:hAnsi="楷体" w:eastAsia="楷体" w:cs="楷体"/>
          <w:b/>
          <w:bCs/>
          <w:sz w:val="24"/>
          <w:highlight w:val="none"/>
          <w:u w:val="single"/>
          <w:lang w:val="en-US" w:eastAsia="zh-CN"/>
        </w:rPr>
        <w:t xml:space="preserve">    （单位鲜章）</w:t>
      </w:r>
    </w:p>
    <w:p>
      <w:pPr>
        <w:pStyle w:val="14"/>
        <w:rPr>
          <w:rFonts w:hint="eastAsia" w:ascii="楷体" w:hAnsi="楷体" w:eastAsia="楷体" w:cs="楷体"/>
          <w:b/>
          <w:bCs/>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法定代表人：</w:t>
      </w:r>
      <w:r>
        <w:rPr>
          <w:rFonts w:hint="eastAsia" w:ascii="楷体" w:hAnsi="楷体" w:eastAsia="楷体" w:cs="楷体"/>
          <w:b/>
          <w:bCs/>
          <w:sz w:val="24"/>
          <w:highlight w:val="none"/>
          <w:u w:val="single"/>
          <w:lang w:val="en-US" w:eastAsia="zh-CN"/>
        </w:rPr>
        <w:t xml:space="preserve">      （签字）</w:t>
      </w:r>
    </w:p>
    <w:p>
      <w:pPr>
        <w:pStyle w:val="14"/>
        <w:rPr>
          <w:rFonts w:hint="eastAsia" w:ascii="楷体" w:hAnsi="楷体" w:eastAsia="楷体" w:cs="楷体"/>
          <w:b/>
          <w:bCs/>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投标日期：</w:t>
      </w:r>
      <w:r>
        <w:rPr>
          <w:rFonts w:hint="eastAsia" w:ascii="楷体" w:hAnsi="楷体" w:eastAsia="楷体" w:cs="楷体"/>
          <w:b/>
          <w:bCs/>
          <w:sz w:val="24"/>
          <w:highlight w:val="none"/>
          <w:u w:val="single"/>
          <w:lang w:val="en-US" w:eastAsia="zh-CN"/>
        </w:rPr>
        <w:t xml:space="preserve">   年   月   日</w:t>
      </w:r>
    </w:p>
    <w:p>
      <w:pPr>
        <w:rPr>
          <w:rFonts w:hint="eastAsia" w:ascii="楷体" w:hAnsi="楷体" w:eastAsia="楷体" w:cs="楷体"/>
          <w:sz w:val="24"/>
          <w:highlight w:val="none"/>
        </w:rPr>
      </w:pPr>
    </w:p>
    <w:p>
      <w:pPr>
        <w:pStyle w:val="2"/>
        <w:spacing w:before="0" w:line="240" w:lineRule="atLeast"/>
        <w:ind w:left="1079" w:leftChars="257" w:hanging="540"/>
        <w:jc w:val="both"/>
        <w:rPr>
          <w:rFonts w:hint="eastAsia" w:ascii="楷体" w:hAnsi="楷体" w:eastAsia="楷体" w:cs="楷体"/>
          <w:sz w:val="24"/>
          <w:highlight w:val="none"/>
          <w:lang w:val="en-US" w:eastAsia="zh-CN"/>
        </w:rPr>
      </w:pPr>
      <w:bookmarkStart w:id="352" w:name="_Toc3635"/>
      <w:bookmarkStart w:id="353" w:name="_Toc17207"/>
      <w:bookmarkStart w:id="354" w:name="_Toc515647813"/>
      <w:bookmarkStart w:id="355" w:name="_Toc29703"/>
      <w:r>
        <w:rPr>
          <w:rFonts w:hint="eastAsia" w:ascii="楷体" w:hAnsi="楷体" w:eastAsia="楷体" w:cs="楷体"/>
          <w:sz w:val="24"/>
          <w:highlight w:val="none"/>
          <w:lang w:val="en-US" w:eastAsia="zh-CN"/>
        </w:rPr>
        <w:t>后附：近期的信用记录截图（如中国政府采购网、信用中国等）</w:t>
      </w:r>
      <w:bookmarkEnd w:id="352"/>
    </w:p>
    <w:p>
      <w:pPr>
        <w:pStyle w:val="3"/>
        <w:rPr>
          <w:rFonts w:hint="eastAsia" w:ascii="楷体" w:hAnsi="楷体" w:eastAsia="楷体" w:cs="楷体"/>
          <w:sz w:val="24"/>
          <w:highlight w:val="none"/>
        </w:rPr>
      </w:pPr>
    </w:p>
    <w:p>
      <w:pPr>
        <w:pStyle w:val="2"/>
        <w:spacing w:before="0" w:line="240" w:lineRule="atLeast"/>
        <w:jc w:val="both"/>
        <w:rPr>
          <w:rFonts w:hint="eastAsia" w:ascii="楷体" w:hAnsi="楷体" w:eastAsia="楷体" w:cs="楷体"/>
          <w:sz w:val="24"/>
          <w:highlight w:val="none"/>
        </w:rPr>
      </w:pPr>
    </w:p>
    <w:p>
      <w:pPr>
        <w:pStyle w:val="2"/>
        <w:spacing w:before="0" w:line="240" w:lineRule="atLeast"/>
        <w:ind w:left="1079" w:leftChars="257" w:hanging="540"/>
        <w:rPr>
          <w:rFonts w:hint="eastAsia" w:ascii="楷体" w:hAnsi="楷体" w:eastAsia="楷体" w:cs="楷体"/>
          <w:sz w:val="24"/>
          <w:highlight w:val="none"/>
        </w:rPr>
      </w:pPr>
      <w:bookmarkStart w:id="356" w:name="_Toc652"/>
      <w:r>
        <w:rPr>
          <w:rFonts w:hint="eastAsia" w:ascii="楷体" w:hAnsi="楷体" w:eastAsia="楷体" w:cs="楷体"/>
          <w:sz w:val="24"/>
          <w:highlight w:val="none"/>
        </w:rPr>
        <w:t>8  投标人须知资料表要求的其他资格证明文件</w:t>
      </w:r>
      <w:bookmarkEnd w:id="353"/>
      <w:bookmarkEnd w:id="354"/>
      <w:bookmarkEnd w:id="355"/>
      <w:bookmarkEnd w:id="356"/>
    </w:p>
    <w:p>
      <w:pPr>
        <w:spacing w:line="240" w:lineRule="atLeast"/>
        <w:ind w:left="1079" w:leftChars="257" w:hanging="540"/>
        <w:jc w:val="center"/>
        <w:rPr>
          <w:rFonts w:hint="eastAsia" w:ascii="楷体" w:hAnsi="楷体" w:eastAsia="楷体" w:cs="楷体"/>
          <w:b/>
          <w:bCs/>
          <w:sz w:val="24"/>
          <w:highlight w:val="none"/>
        </w:rPr>
      </w:pPr>
    </w:p>
    <w:p>
      <w:pPr>
        <w:spacing w:line="240" w:lineRule="atLeast"/>
        <w:ind w:left="1079" w:leftChars="257" w:hanging="540"/>
        <w:jc w:val="center"/>
        <w:rPr>
          <w:rFonts w:hint="eastAsia" w:ascii="楷体" w:hAnsi="楷体" w:eastAsia="楷体" w:cs="楷体"/>
          <w:b/>
          <w:bCs/>
          <w:sz w:val="24"/>
          <w:highlight w:val="none"/>
        </w:rPr>
      </w:pPr>
    </w:p>
    <w:p>
      <w:pPr>
        <w:spacing w:line="240" w:lineRule="atLeast"/>
        <w:ind w:left="1079" w:leftChars="257" w:hanging="540"/>
        <w:jc w:val="center"/>
        <w:rPr>
          <w:rFonts w:hint="eastAsia" w:ascii="楷体" w:hAnsi="楷体" w:eastAsia="楷体" w:cs="楷体"/>
          <w:b/>
          <w:bCs/>
          <w:sz w:val="24"/>
          <w:highlight w:val="none"/>
        </w:rPr>
      </w:pP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说明：1.应提供</w:t>
      </w:r>
      <w:r>
        <w:rPr>
          <w:rFonts w:hint="eastAsia" w:ascii="楷体" w:hAnsi="楷体" w:eastAsia="楷体" w:cs="楷体"/>
          <w:sz w:val="24"/>
          <w:highlight w:val="none"/>
          <w:u w:val="single"/>
        </w:rPr>
        <w:t>投标人须知资料表</w:t>
      </w:r>
      <w:r>
        <w:rPr>
          <w:rFonts w:hint="eastAsia" w:ascii="楷体" w:hAnsi="楷体" w:eastAsia="楷体" w:cs="楷体"/>
          <w:sz w:val="24"/>
          <w:highlight w:val="none"/>
        </w:rPr>
        <w:t>要求的其他资格证明文件。</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 xml:space="preserve">      2.复印件上应加盖本单位章（自然人投标的无需盖章，需要签字）。</w:t>
      </w:r>
    </w:p>
    <w:p>
      <w:pPr>
        <w:pStyle w:val="10"/>
        <w:tabs>
          <w:tab w:val="left" w:pos="5580"/>
        </w:tabs>
        <w:spacing w:line="240" w:lineRule="atLeast"/>
        <w:ind w:left="1260" w:leftChars="344" w:hanging="538"/>
        <w:rPr>
          <w:rFonts w:hint="eastAsia" w:ascii="楷体" w:hAnsi="楷体" w:eastAsia="楷体" w:cs="楷体"/>
          <w:sz w:val="24"/>
          <w:highlight w:val="none"/>
        </w:rPr>
      </w:pPr>
      <w:r>
        <w:rPr>
          <w:rFonts w:hint="eastAsia" w:ascii="楷体" w:hAnsi="楷体" w:eastAsia="楷体" w:cs="楷体"/>
          <w:sz w:val="24"/>
          <w:highlight w:val="none"/>
        </w:rPr>
        <w:t xml:space="preserve">     3. 如果是联合体投标，联合体各方需提供的满足</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要求的其他资格证明文件</w:t>
      </w:r>
      <w:r>
        <w:rPr>
          <w:rFonts w:hint="eastAsia" w:ascii="楷体" w:hAnsi="楷体" w:eastAsia="楷体" w:cs="楷体"/>
          <w:i/>
          <w:iCs/>
          <w:sz w:val="24"/>
          <w:highlight w:val="none"/>
        </w:rPr>
        <w:t>（本项目不接受联合体）</w:t>
      </w:r>
      <w:r>
        <w:rPr>
          <w:rFonts w:hint="eastAsia" w:ascii="楷体" w:hAnsi="楷体" w:eastAsia="楷体" w:cs="楷体"/>
          <w:sz w:val="24"/>
          <w:highlight w:val="none"/>
        </w:rPr>
        <w:t>。</w:t>
      </w:r>
    </w:p>
    <w:p>
      <w:pPr>
        <w:pStyle w:val="2"/>
        <w:spacing w:before="0" w:line="240" w:lineRule="atLeast"/>
        <w:ind w:left="1079" w:leftChars="257" w:hanging="540"/>
        <w:rPr>
          <w:rFonts w:hint="eastAsia" w:ascii="楷体" w:hAnsi="楷体" w:eastAsia="楷体" w:cs="楷体"/>
          <w:sz w:val="24"/>
          <w:highlight w:val="none"/>
        </w:rPr>
      </w:pPr>
    </w:p>
    <w:p>
      <w:pPr>
        <w:pStyle w:val="3"/>
        <w:ind w:firstLine="1440" w:firstLineChars="600"/>
        <w:rPr>
          <w:rFonts w:hint="eastAsia" w:ascii="楷体" w:hAnsi="楷体" w:eastAsia="楷体" w:cs="楷体"/>
          <w:b/>
          <w:bCs/>
          <w:sz w:val="24"/>
          <w:highlight w:val="none"/>
          <w:lang w:val="en-US" w:eastAsia="zh-CN"/>
        </w:rPr>
      </w:pPr>
    </w:p>
    <w:p>
      <w:pPr>
        <w:pStyle w:val="3"/>
        <w:ind w:firstLine="1440" w:firstLineChars="600"/>
        <w:rPr>
          <w:rFonts w:hint="eastAsia" w:ascii="楷体" w:hAnsi="楷体" w:eastAsia="楷体" w:cs="楷体"/>
          <w:b/>
          <w:bCs/>
          <w:sz w:val="24"/>
          <w:highlight w:val="none"/>
          <w:lang w:val="en-US" w:eastAsia="zh-CN"/>
        </w:rPr>
      </w:pPr>
    </w:p>
    <w:p>
      <w:pPr>
        <w:pStyle w:val="3"/>
        <w:ind w:firstLine="1440" w:firstLineChars="600"/>
        <w:rPr>
          <w:rFonts w:hint="eastAsia" w:ascii="楷体" w:hAnsi="楷体" w:eastAsia="楷体" w:cs="楷体"/>
          <w:b/>
          <w:bCs/>
          <w:lang w:val="en-US" w:eastAsia="zh-CN"/>
        </w:rPr>
      </w:pPr>
      <w:r>
        <w:rPr>
          <w:rFonts w:hint="eastAsia" w:ascii="楷体" w:hAnsi="楷体" w:eastAsia="楷体" w:cs="楷体"/>
          <w:b/>
          <w:bCs/>
          <w:sz w:val="24"/>
          <w:highlight w:val="none"/>
          <w:lang w:val="en-US" w:eastAsia="zh-CN"/>
        </w:rPr>
        <w:t>具有履行合同所必须的设备和专业技术能力的承诺书</w:t>
      </w:r>
    </w:p>
    <w:p>
      <w:pPr>
        <w:pStyle w:val="14"/>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 xml:space="preserve"> 塔什库尔干野生动物自然保护区服务中心：</w:t>
      </w:r>
    </w:p>
    <w:p>
      <w:pPr>
        <w:pStyle w:val="14"/>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 xml:space="preserve">    </w:t>
      </w:r>
    </w:p>
    <w:p>
      <w:pPr>
        <w:pStyle w:val="14"/>
        <w:ind w:firstLine="480"/>
        <w:rPr>
          <w:rFonts w:hint="eastAsia" w:ascii="楷体" w:hAnsi="楷体" w:eastAsia="楷体" w:cs="楷体"/>
          <w:sz w:val="24"/>
          <w:highlight w:val="none"/>
          <w:u w:val="none"/>
          <w:lang w:val="en-US" w:eastAsia="zh-CN"/>
        </w:rPr>
      </w:pPr>
      <w:r>
        <w:rPr>
          <w:rFonts w:hint="eastAsia" w:ascii="楷体" w:hAnsi="楷体" w:eastAsia="楷体" w:cs="楷体"/>
          <w:sz w:val="24"/>
          <w:highlight w:val="none"/>
          <w:lang w:val="en-US" w:eastAsia="zh-CN"/>
        </w:rPr>
        <w:t>我单位承诺，在参加本项目</w:t>
      </w:r>
      <w:r>
        <w:rPr>
          <w:rFonts w:hint="eastAsia" w:ascii="楷体" w:hAnsi="楷体" w:eastAsia="楷体" w:cs="楷体"/>
          <w:sz w:val="24"/>
          <w:highlight w:val="none"/>
          <w:u w:val="single"/>
          <w:lang w:val="en-US" w:eastAsia="zh-CN"/>
        </w:rPr>
        <w:t xml:space="preserve">                  （项目名称）（项目编号）（包号）</w:t>
      </w:r>
      <w:r>
        <w:rPr>
          <w:rFonts w:hint="eastAsia" w:ascii="楷体" w:hAnsi="楷体" w:eastAsia="楷体" w:cs="楷体"/>
          <w:sz w:val="24"/>
          <w:highlight w:val="none"/>
          <w:u w:val="none"/>
          <w:lang w:val="en-US" w:eastAsia="zh-CN"/>
        </w:rPr>
        <w:t>的招标内容、设备和专业技术能力要求进行了认真的阅读和充分的理解。</w:t>
      </w:r>
    </w:p>
    <w:p>
      <w:pPr>
        <w:pStyle w:val="14"/>
        <w:ind w:firstLine="480"/>
        <w:rPr>
          <w:rFonts w:hint="eastAsia" w:ascii="楷体" w:hAnsi="楷体" w:eastAsia="楷体" w:cs="楷体"/>
          <w:sz w:val="24"/>
          <w:highlight w:val="none"/>
          <w:u w:val="none"/>
          <w:lang w:val="en-US" w:eastAsia="zh-CN"/>
        </w:rPr>
      </w:pPr>
      <w:r>
        <w:rPr>
          <w:rFonts w:hint="eastAsia" w:ascii="楷体" w:hAnsi="楷体" w:eastAsia="楷体" w:cs="楷体"/>
          <w:sz w:val="24"/>
          <w:highlight w:val="none"/>
          <w:u w:val="none"/>
          <w:lang w:val="en-US" w:eastAsia="zh-CN"/>
        </w:rPr>
        <w:t>我单位在此郑重承诺：我单位完全具有履行本项目合同所必须的设备和专业技术能力，若因我单位在本项目所投入的设备和专业技术能力原因致使本项目合同履行造成的采购人损失以及按国家采购法律法规及合同条款规定的一切违约责任，我单位自愿全部承担。</w:t>
      </w:r>
    </w:p>
    <w:p>
      <w:pPr>
        <w:pStyle w:val="14"/>
        <w:ind w:firstLine="480"/>
        <w:rPr>
          <w:rFonts w:hint="eastAsia" w:ascii="楷体" w:hAnsi="楷体" w:eastAsia="楷体" w:cs="楷体"/>
          <w:sz w:val="24"/>
          <w:highlight w:val="none"/>
          <w:u w:val="none"/>
          <w:lang w:val="en-US" w:eastAsia="zh-CN"/>
        </w:rPr>
      </w:pPr>
    </w:p>
    <w:p>
      <w:pPr>
        <w:pStyle w:val="14"/>
        <w:ind w:firstLine="480"/>
        <w:rPr>
          <w:rFonts w:hint="eastAsia" w:ascii="楷体" w:hAnsi="楷体" w:eastAsia="楷体" w:cs="楷体"/>
          <w:sz w:val="24"/>
          <w:highlight w:val="none"/>
          <w:u w:val="none"/>
          <w:lang w:val="en-US" w:eastAsia="zh-CN"/>
        </w:rPr>
      </w:pPr>
    </w:p>
    <w:p>
      <w:pPr>
        <w:pStyle w:val="14"/>
        <w:ind w:firstLine="480"/>
        <w:rPr>
          <w:rFonts w:hint="eastAsia" w:ascii="楷体" w:hAnsi="楷体" w:eastAsia="楷体" w:cs="楷体"/>
          <w:sz w:val="24"/>
          <w:highlight w:val="none"/>
          <w:u w:val="none"/>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投标人名称：</w:t>
      </w:r>
      <w:r>
        <w:rPr>
          <w:rFonts w:hint="eastAsia" w:ascii="楷体" w:hAnsi="楷体" w:eastAsia="楷体" w:cs="楷体"/>
          <w:b/>
          <w:bCs/>
          <w:sz w:val="24"/>
          <w:highlight w:val="none"/>
          <w:u w:val="single"/>
          <w:lang w:val="en-US" w:eastAsia="zh-CN"/>
        </w:rPr>
        <w:t xml:space="preserve">    （单位鲜章）</w:t>
      </w:r>
    </w:p>
    <w:p>
      <w:pPr>
        <w:pStyle w:val="14"/>
        <w:rPr>
          <w:rFonts w:hint="eastAsia" w:ascii="楷体" w:hAnsi="楷体" w:eastAsia="楷体" w:cs="楷体"/>
          <w:b/>
          <w:bCs/>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法定代表人：</w:t>
      </w:r>
      <w:r>
        <w:rPr>
          <w:rFonts w:hint="eastAsia" w:ascii="楷体" w:hAnsi="楷体" w:eastAsia="楷体" w:cs="楷体"/>
          <w:b/>
          <w:bCs/>
          <w:sz w:val="24"/>
          <w:highlight w:val="none"/>
          <w:u w:val="single"/>
          <w:lang w:val="en-US" w:eastAsia="zh-CN"/>
        </w:rPr>
        <w:t xml:space="preserve">      （签字）</w:t>
      </w:r>
    </w:p>
    <w:p>
      <w:pPr>
        <w:pStyle w:val="14"/>
        <w:rPr>
          <w:rFonts w:hint="eastAsia" w:ascii="楷体" w:hAnsi="楷体" w:eastAsia="楷体" w:cs="楷体"/>
          <w:b/>
          <w:bCs/>
          <w:lang w:val="en-US" w:eastAsia="zh-CN"/>
        </w:rPr>
      </w:pPr>
    </w:p>
    <w:p>
      <w:pPr>
        <w:bidi w:val="0"/>
        <w:ind w:firstLine="960" w:firstLineChars="400"/>
        <w:jc w:val="left"/>
        <w:rPr>
          <w:rFonts w:hint="eastAsia" w:ascii="楷体" w:hAnsi="楷体" w:eastAsia="楷体" w:cs="楷体"/>
          <w:b/>
          <w:bCs/>
          <w:sz w:val="24"/>
          <w:highlight w:val="none"/>
          <w:u w:val="single"/>
          <w:lang w:val="en-US" w:eastAsia="zh-CN"/>
        </w:rPr>
      </w:pPr>
      <w:r>
        <w:rPr>
          <w:rFonts w:hint="eastAsia" w:ascii="楷体" w:hAnsi="楷体" w:eastAsia="楷体" w:cs="楷体"/>
          <w:b/>
          <w:bCs/>
          <w:sz w:val="24"/>
          <w:highlight w:val="none"/>
          <w:lang w:val="en-US" w:eastAsia="zh-CN"/>
        </w:rPr>
        <w:t>投标日期：</w:t>
      </w:r>
      <w:r>
        <w:rPr>
          <w:rFonts w:hint="eastAsia" w:ascii="楷体" w:hAnsi="楷体" w:eastAsia="楷体" w:cs="楷体"/>
          <w:b/>
          <w:bCs/>
          <w:sz w:val="24"/>
          <w:highlight w:val="none"/>
          <w:u w:val="single"/>
          <w:lang w:val="en-US" w:eastAsia="zh-CN"/>
        </w:rPr>
        <w:t xml:space="preserve">   年   月   日</w:t>
      </w:r>
    </w:p>
    <w:p>
      <w:pPr>
        <w:pStyle w:val="2"/>
        <w:spacing w:before="0"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br w:type="page"/>
      </w:r>
      <w:bookmarkStart w:id="357" w:name="_Toc2502"/>
      <w:bookmarkStart w:id="358" w:name="_Toc515647814"/>
      <w:bookmarkStart w:id="359" w:name="_Toc26165"/>
      <w:bookmarkStart w:id="360" w:name="_Toc23044"/>
      <w:r>
        <w:rPr>
          <w:rFonts w:hint="eastAsia" w:ascii="楷体" w:hAnsi="楷体" w:eastAsia="楷体" w:cs="楷体"/>
          <w:sz w:val="24"/>
          <w:highlight w:val="none"/>
        </w:rPr>
        <w:t>9  进口产品制造厂家的授权书　（</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格式四）</w:t>
      </w:r>
      <w:bookmarkEnd w:id="357"/>
      <w:bookmarkEnd w:id="358"/>
      <w:bookmarkEnd w:id="359"/>
      <w:bookmarkEnd w:id="360"/>
    </w:p>
    <w:p>
      <w:pPr>
        <w:pStyle w:val="3"/>
        <w:rPr>
          <w:rFonts w:hint="eastAsia" w:ascii="楷体" w:hAnsi="楷体" w:eastAsia="楷体" w:cs="楷体"/>
          <w:b/>
          <w:bCs/>
          <w:i/>
          <w:iCs/>
          <w:highlight w:val="none"/>
        </w:rPr>
      </w:pPr>
      <w:r>
        <w:rPr>
          <w:rFonts w:hint="eastAsia" w:ascii="楷体" w:hAnsi="楷体" w:eastAsia="楷体" w:cs="楷体"/>
          <w:b/>
          <w:bCs/>
          <w:i/>
          <w:iCs/>
          <w:highlight w:val="none"/>
        </w:rPr>
        <w:t>（本项目无进口产品，可不附此表格）</w:t>
      </w:r>
    </w:p>
    <w:p>
      <w:pPr>
        <w:tabs>
          <w:tab w:val="left" w:pos="5580"/>
        </w:tabs>
        <w:spacing w:line="240" w:lineRule="atLeast"/>
        <w:rPr>
          <w:rFonts w:hint="eastAsia" w:ascii="楷体" w:hAnsi="楷体" w:eastAsia="楷体" w:cs="楷体"/>
          <w:sz w:val="24"/>
          <w:highlight w:val="none"/>
          <w:u w:val="single"/>
        </w:rPr>
      </w:pPr>
      <w:r>
        <w:rPr>
          <w:rFonts w:hint="eastAsia" w:ascii="楷体" w:hAnsi="楷体" w:eastAsia="楷体" w:cs="楷体"/>
          <w:sz w:val="24"/>
          <w:highlight w:val="none"/>
        </w:rPr>
        <w:t>致：采购代理机构</w:t>
      </w:r>
    </w:p>
    <w:p>
      <w:pPr>
        <w:pStyle w:val="10"/>
        <w:tabs>
          <w:tab w:val="left" w:pos="5580"/>
        </w:tabs>
        <w:spacing w:line="240" w:lineRule="atLeast"/>
        <w:ind w:firstLine="540" w:firstLineChars="225"/>
        <w:rPr>
          <w:rFonts w:hint="eastAsia" w:ascii="楷体" w:hAnsi="楷体" w:eastAsia="楷体" w:cs="楷体"/>
          <w:sz w:val="24"/>
          <w:highlight w:val="none"/>
        </w:rPr>
      </w:pPr>
      <w:r>
        <w:rPr>
          <w:rFonts w:hint="eastAsia" w:ascii="楷体" w:hAnsi="楷体" w:eastAsia="楷体" w:cs="楷体"/>
          <w:sz w:val="24"/>
          <w:highlight w:val="none"/>
        </w:rPr>
        <w:t>我们（</w:t>
      </w:r>
      <w:r>
        <w:rPr>
          <w:rFonts w:hint="eastAsia" w:ascii="楷体" w:hAnsi="楷体" w:eastAsia="楷体" w:cs="楷体"/>
          <w:i/>
          <w:sz w:val="24"/>
          <w:highlight w:val="none"/>
          <w:u w:val="single"/>
        </w:rPr>
        <w:t>制造商名称</w:t>
      </w:r>
      <w:r>
        <w:rPr>
          <w:rFonts w:hint="eastAsia" w:ascii="楷体" w:hAnsi="楷体" w:eastAsia="楷体" w:cs="楷体"/>
          <w:sz w:val="24"/>
          <w:highlight w:val="none"/>
        </w:rPr>
        <w:t>）是按（</w:t>
      </w:r>
      <w:r>
        <w:rPr>
          <w:rFonts w:hint="eastAsia" w:ascii="楷体" w:hAnsi="楷体" w:eastAsia="楷体" w:cs="楷体"/>
          <w:i/>
          <w:sz w:val="24"/>
          <w:highlight w:val="none"/>
          <w:u w:val="single"/>
        </w:rPr>
        <w:t>国家名称</w:t>
      </w:r>
      <w:r>
        <w:rPr>
          <w:rFonts w:hint="eastAsia" w:ascii="楷体" w:hAnsi="楷体" w:eastAsia="楷体" w:cs="楷体"/>
          <w:sz w:val="24"/>
          <w:highlight w:val="none"/>
        </w:rPr>
        <w:t>）法律成立的一家制造商，主要营业地点设在（</w:t>
      </w:r>
      <w:r>
        <w:rPr>
          <w:rFonts w:hint="eastAsia" w:ascii="楷体" w:hAnsi="楷体" w:eastAsia="楷体" w:cs="楷体"/>
          <w:i/>
          <w:sz w:val="24"/>
          <w:highlight w:val="none"/>
          <w:u w:val="single"/>
        </w:rPr>
        <w:t>制造商地址</w:t>
      </w:r>
      <w:r>
        <w:rPr>
          <w:rFonts w:hint="eastAsia" w:ascii="楷体" w:hAnsi="楷体" w:eastAsia="楷体" w:cs="楷体"/>
          <w:sz w:val="24"/>
          <w:highlight w:val="none"/>
        </w:rPr>
        <w:t>）。兹指派按（</w:t>
      </w:r>
      <w:r>
        <w:rPr>
          <w:rFonts w:hint="eastAsia" w:ascii="楷体" w:hAnsi="楷体" w:eastAsia="楷体" w:cs="楷体"/>
          <w:i/>
          <w:sz w:val="24"/>
          <w:highlight w:val="none"/>
          <w:u w:val="single"/>
        </w:rPr>
        <w:t>国家名称</w:t>
      </w:r>
      <w:r>
        <w:rPr>
          <w:rFonts w:hint="eastAsia" w:ascii="楷体" w:hAnsi="楷体" w:eastAsia="楷体" w:cs="楷体"/>
          <w:sz w:val="24"/>
          <w:highlight w:val="none"/>
        </w:rPr>
        <w:t>）的法律正式成立的，主要营业地点设在（</w:t>
      </w:r>
      <w:r>
        <w:rPr>
          <w:rFonts w:hint="eastAsia" w:ascii="楷体" w:hAnsi="楷体" w:eastAsia="楷体" w:cs="楷体"/>
          <w:i/>
          <w:sz w:val="24"/>
          <w:highlight w:val="none"/>
          <w:u w:val="single"/>
        </w:rPr>
        <w:t>经销商地址</w:t>
      </w:r>
      <w:r>
        <w:rPr>
          <w:rFonts w:hint="eastAsia" w:ascii="楷体" w:hAnsi="楷体" w:eastAsia="楷体" w:cs="楷体"/>
          <w:sz w:val="24"/>
          <w:highlight w:val="none"/>
        </w:rPr>
        <w:t>）的（</w:t>
      </w:r>
      <w:r>
        <w:rPr>
          <w:rFonts w:hint="eastAsia" w:ascii="楷体" w:hAnsi="楷体" w:eastAsia="楷体" w:cs="楷体"/>
          <w:i/>
          <w:sz w:val="24"/>
          <w:highlight w:val="none"/>
          <w:u w:val="single"/>
        </w:rPr>
        <w:t>经销商名称</w:t>
      </w:r>
      <w:r>
        <w:rPr>
          <w:rFonts w:hint="eastAsia" w:ascii="楷体" w:hAnsi="楷体" w:eastAsia="楷体" w:cs="楷体"/>
          <w:sz w:val="24"/>
          <w:highlight w:val="none"/>
        </w:rPr>
        <w:t>）作为我方真正的合法的代理人进行下列有效的活动：</w:t>
      </w:r>
    </w:p>
    <w:p>
      <w:pPr>
        <w:pStyle w:val="10"/>
        <w:tabs>
          <w:tab w:val="left" w:pos="5580"/>
        </w:tabs>
        <w:spacing w:line="240" w:lineRule="atLeast"/>
        <w:ind w:firstLine="540" w:firstLineChars="225"/>
        <w:rPr>
          <w:rFonts w:hint="eastAsia" w:ascii="楷体" w:hAnsi="楷体" w:eastAsia="楷体" w:cs="楷体"/>
          <w:sz w:val="24"/>
          <w:highlight w:val="none"/>
        </w:rPr>
      </w:pPr>
    </w:p>
    <w:p>
      <w:pPr>
        <w:pStyle w:val="10"/>
        <w:numPr>
          <w:ilvl w:val="0"/>
          <w:numId w:val="7"/>
        </w:numPr>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代表我方办理贵方</w:t>
      </w:r>
      <w:r>
        <w:rPr>
          <w:rFonts w:hint="eastAsia" w:ascii="楷体" w:hAnsi="楷体" w:eastAsia="楷体" w:cs="楷体"/>
          <w:sz w:val="24"/>
          <w:highlight w:val="none"/>
          <w:u w:val="single"/>
        </w:rPr>
        <w:t>　　（招标编号）　</w:t>
      </w:r>
      <w:r>
        <w:rPr>
          <w:rFonts w:hint="eastAsia" w:ascii="楷体" w:hAnsi="楷体" w:eastAsia="楷体" w:cs="楷体"/>
          <w:sz w:val="24"/>
          <w:highlight w:val="none"/>
        </w:rPr>
        <w:t>投标邀请要求提供的由我方制造的货物的有关事宜，并对我方具有约束力。</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（2）作为制造商，我方保证以投标合作者来约束自己，并对该投标共同和分别承担</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中所规定的义务。</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（3）我方兹授予</w:t>
      </w:r>
      <w:r>
        <w:rPr>
          <w:rFonts w:hint="eastAsia" w:ascii="楷体" w:hAnsi="楷体" w:eastAsia="楷体" w:cs="楷体"/>
          <w:sz w:val="24"/>
          <w:highlight w:val="none"/>
          <w:u w:val="single"/>
        </w:rPr>
        <w:t>　　（经销商名称）　　</w:t>
      </w:r>
      <w:r>
        <w:rPr>
          <w:rFonts w:hint="eastAsia" w:ascii="楷体" w:hAnsi="楷体" w:eastAsia="楷体" w:cs="楷体"/>
          <w:sz w:val="24"/>
          <w:highlight w:val="none"/>
        </w:rPr>
        <w:t>全权办理和履行上述我方为完成上述各点所必须的事宜，具有替换或撤销的全权。兹确认</w:t>
      </w:r>
      <w:r>
        <w:rPr>
          <w:rFonts w:hint="eastAsia" w:ascii="楷体" w:hAnsi="楷体" w:eastAsia="楷体" w:cs="楷体"/>
          <w:sz w:val="24"/>
          <w:highlight w:val="none"/>
          <w:u w:val="single"/>
        </w:rPr>
        <w:t>　　（经销商名称）　　</w:t>
      </w:r>
      <w:r>
        <w:rPr>
          <w:rFonts w:hint="eastAsia" w:ascii="楷体" w:hAnsi="楷体" w:eastAsia="楷体" w:cs="楷体"/>
          <w:sz w:val="24"/>
          <w:highlight w:val="none"/>
        </w:rPr>
        <w:t>或其正式授权代表依此合法地办理一切事宜。</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（4）我方于</w:t>
      </w:r>
      <w:r>
        <w:rPr>
          <w:rFonts w:hint="eastAsia" w:ascii="楷体" w:hAnsi="楷体" w:eastAsia="楷体" w:cs="楷体"/>
          <w:sz w:val="24"/>
          <w:highlight w:val="none"/>
          <w:u w:val="single"/>
        </w:rPr>
        <w:t>　　　</w:t>
      </w:r>
      <w:r>
        <w:rPr>
          <w:rFonts w:hint="eastAsia" w:ascii="楷体" w:hAnsi="楷体" w:eastAsia="楷体" w:cs="楷体"/>
          <w:sz w:val="24"/>
          <w:highlight w:val="none"/>
        </w:rPr>
        <w:t>年</w:t>
      </w:r>
      <w:r>
        <w:rPr>
          <w:rFonts w:hint="eastAsia" w:ascii="楷体" w:hAnsi="楷体" w:eastAsia="楷体" w:cs="楷体"/>
          <w:sz w:val="24"/>
          <w:highlight w:val="none"/>
          <w:u w:val="single"/>
        </w:rPr>
        <w:t>　　　</w:t>
      </w:r>
      <w:r>
        <w:rPr>
          <w:rFonts w:hint="eastAsia" w:ascii="楷体" w:hAnsi="楷体" w:eastAsia="楷体" w:cs="楷体"/>
          <w:sz w:val="24"/>
          <w:highlight w:val="none"/>
        </w:rPr>
        <w:t>月</w:t>
      </w:r>
      <w:r>
        <w:rPr>
          <w:rFonts w:hint="eastAsia" w:ascii="楷体" w:hAnsi="楷体" w:eastAsia="楷体" w:cs="楷体"/>
          <w:sz w:val="24"/>
          <w:highlight w:val="none"/>
          <w:u w:val="single"/>
        </w:rPr>
        <w:t>　　　</w:t>
      </w:r>
      <w:r>
        <w:rPr>
          <w:rFonts w:hint="eastAsia" w:ascii="楷体" w:hAnsi="楷体" w:eastAsia="楷体" w:cs="楷体"/>
          <w:sz w:val="24"/>
          <w:highlight w:val="none"/>
        </w:rPr>
        <w:t>日签署本文件，</w:t>
      </w:r>
      <w:r>
        <w:rPr>
          <w:rFonts w:hint="eastAsia" w:ascii="楷体" w:hAnsi="楷体" w:eastAsia="楷体" w:cs="楷体"/>
          <w:sz w:val="24"/>
          <w:highlight w:val="none"/>
          <w:u w:val="single"/>
        </w:rPr>
        <w:t>　　（经销商名称）　　</w:t>
      </w:r>
      <w:r>
        <w:rPr>
          <w:rFonts w:hint="eastAsia" w:ascii="楷体" w:hAnsi="楷体" w:eastAsia="楷体" w:cs="楷体"/>
          <w:sz w:val="24"/>
          <w:highlight w:val="none"/>
        </w:rPr>
        <w:t>于</w:t>
      </w:r>
      <w:r>
        <w:rPr>
          <w:rFonts w:hint="eastAsia" w:ascii="楷体" w:hAnsi="楷体" w:eastAsia="楷体" w:cs="楷体"/>
          <w:sz w:val="24"/>
          <w:highlight w:val="none"/>
          <w:u w:val="single"/>
        </w:rPr>
        <w:t>　　</w:t>
      </w:r>
      <w:r>
        <w:rPr>
          <w:rFonts w:hint="eastAsia" w:ascii="楷体" w:hAnsi="楷体" w:eastAsia="楷体" w:cs="楷体"/>
          <w:sz w:val="24"/>
          <w:highlight w:val="none"/>
        </w:rPr>
        <w:t>年</w:t>
      </w:r>
      <w:r>
        <w:rPr>
          <w:rFonts w:hint="eastAsia" w:ascii="楷体" w:hAnsi="楷体" w:eastAsia="楷体" w:cs="楷体"/>
          <w:sz w:val="24"/>
          <w:highlight w:val="none"/>
          <w:u w:val="single"/>
        </w:rPr>
        <w:t>　　　</w:t>
      </w:r>
      <w:r>
        <w:rPr>
          <w:rFonts w:hint="eastAsia" w:ascii="楷体" w:hAnsi="楷体" w:eastAsia="楷体" w:cs="楷体"/>
          <w:sz w:val="24"/>
          <w:highlight w:val="none"/>
        </w:rPr>
        <w:t>月</w:t>
      </w:r>
      <w:r>
        <w:rPr>
          <w:rFonts w:hint="eastAsia" w:ascii="楷体" w:hAnsi="楷体" w:eastAsia="楷体" w:cs="楷体"/>
          <w:sz w:val="24"/>
          <w:highlight w:val="none"/>
          <w:u w:val="single"/>
        </w:rPr>
        <w:t>　　　</w:t>
      </w:r>
      <w:r>
        <w:rPr>
          <w:rFonts w:hint="eastAsia" w:ascii="楷体" w:hAnsi="楷体" w:eastAsia="楷体" w:cs="楷体"/>
          <w:sz w:val="24"/>
          <w:highlight w:val="none"/>
        </w:rPr>
        <w:t>日接受此件，以此为证。</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制造商名称：（盖章）</w:t>
      </w:r>
      <w:r>
        <w:rPr>
          <w:rFonts w:hint="eastAsia" w:ascii="楷体" w:hAnsi="楷体" w:eastAsia="楷体" w:cs="楷体"/>
          <w:sz w:val="24"/>
          <w:highlight w:val="none"/>
          <w:u w:val="single"/>
        </w:rPr>
        <w:t xml:space="preserve">                           </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签字人职务和部门：</w:t>
      </w:r>
      <w:r>
        <w:rPr>
          <w:rFonts w:hint="eastAsia" w:ascii="楷体" w:hAnsi="楷体" w:eastAsia="楷体" w:cs="楷体"/>
          <w:sz w:val="24"/>
          <w:highlight w:val="none"/>
          <w:u w:val="single"/>
        </w:rPr>
        <w:t xml:space="preserve">                            </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签字人姓名：</w:t>
      </w:r>
      <w:r>
        <w:rPr>
          <w:rFonts w:hint="eastAsia" w:ascii="楷体" w:hAnsi="楷体" w:eastAsia="楷体" w:cs="楷体"/>
          <w:sz w:val="24"/>
          <w:highlight w:val="none"/>
          <w:u w:val="single"/>
        </w:rPr>
        <w:t xml:space="preserve">                                  </w:t>
      </w:r>
    </w:p>
    <w:p>
      <w:pPr>
        <w:pStyle w:val="10"/>
        <w:tabs>
          <w:tab w:val="left" w:pos="5580"/>
        </w:tabs>
        <w:spacing w:line="240" w:lineRule="atLeast"/>
        <w:ind w:left="1079" w:leftChars="257" w:hanging="540"/>
        <w:rPr>
          <w:rFonts w:hint="eastAsia" w:ascii="楷体" w:hAnsi="楷体" w:eastAsia="楷体" w:cs="楷体"/>
          <w:sz w:val="24"/>
          <w:highlight w:val="none"/>
        </w:rPr>
      </w:pPr>
      <w:bookmarkStart w:id="361" w:name="_Toc494296666"/>
      <w:bookmarkStart w:id="362" w:name="_Toc494296997"/>
      <w:r>
        <w:rPr>
          <w:rFonts w:hint="eastAsia" w:ascii="楷体" w:hAnsi="楷体" w:eastAsia="楷体" w:cs="楷体"/>
          <w:sz w:val="24"/>
          <w:highlight w:val="none"/>
        </w:rPr>
        <w:t>签字人签名：</w:t>
      </w:r>
      <w:bookmarkEnd w:id="361"/>
      <w:bookmarkEnd w:id="362"/>
      <w:r>
        <w:rPr>
          <w:rFonts w:hint="eastAsia" w:ascii="楷体" w:hAnsi="楷体" w:eastAsia="楷体" w:cs="楷体"/>
          <w:sz w:val="24"/>
          <w:highlight w:val="none"/>
          <w:u w:val="single"/>
        </w:rPr>
        <w:t xml:space="preserve">                                  </w:t>
      </w:r>
      <w:r>
        <w:rPr>
          <w:rFonts w:hint="eastAsia" w:ascii="楷体" w:hAnsi="楷体" w:eastAsia="楷体" w:cs="楷体"/>
          <w:sz w:val="24"/>
          <w:highlight w:val="none"/>
        </w:rPr>
        <w:br w:type="page"/>
      </w:r>
      <w:r>
        <w:rPr>
          <w:rFonts w:hint="eastAsia" w:ascii="楷体" w:hAnsi="楷体" w:eastAsia="楷体" w:cs="楷体"/>
          <w:sz w:val="24"/>
          <w:highlight w:val="none"/>
        </w:rPr>
        <w:t xml:space="preserve"> </w:t>
      </w:r>
    </w:p>
    <w:p>
      <w:pPr>
        <w:pStyle w:val="2"/>
        <w:spacing w:before="0" w:line="240" w:lineRule="atLeast"/>
        <w:ind w:left="1079" w:leftChars="257" w:hanging="540"/>
        <w:rPr>
          <w:rFonts w:hint="eastAsia" w:ascii="楷体" w:hAnsi="楷体" w:eastAsia="楷体" w:cs="楷体"/>
          <w:sz w:val="24"/>
          <w:highlight w:val="none"/>
        </w:rPr>
      </w:pPr>
      <w:bookmarkStart w:id="363" w:name="_Toc11180"/>
      <w:bookmarkStart w:id="364" w:name="_Toc515647816"/>
      <w:bookmarkStart w:id="365" w:name="_Toc2642"/>
      <w:r>
        <w:rPr>
          <w:rFonts w:hint="eastAsia" w:ascii="楷体" w:hAnsi="楷体" w:eastAsia="楷体" w:cs="楷体"/>
          <w:sz w:val="24"/>
          <w:highlight w:val="none"/>
        </w:rPr>
        <w:t>第二部分  商务及技术文件</w:t>
      </w:r>
      <w:bookmarkEnd w:id="363"/>
      <w:bookmarkEnd w:id="364"/>
      <w:bookmarkEnd w:id="365"/>
    </w:p>
    <w:p>
      <w:pPr>
        <w:pStyle w:val="10"/>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1、投标书（</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格式五）</w:t>
      </w:r>
    </w:p>
    <w:p>
      <w:pPr>
        <w:tabs>
          <w:tab w:val="left" w:pos="5580"/>
        </w:tabs>
        <w:spacing w:line="240" w:lineRule="atLeast"/>
        <w:ind w:left="1" w:firstLine="564" w:firstLineChars="235"/>
        <w:rPr>
          <w:rFonts w:hint="eastAsia" w:ascii="楷体" w:hAnsi="楷体" w:eastAsia="楷体" w:cs="楷体"/>
          <w:sz w:val="24"/>
          <w:highlight w:val="none"/>
        </w:rPr>
      </w:pPr>
      <w:r>
        <w:rPr>
          <w:rFonts w:hint="eastAsia" w:ascii="楷体" w:hAnsi="楷体" w:eastAsia="楷体" w:cs="楷体"/>
          <w:sz w:val="24"/>
          <w:highlight w:val="none"/>
        </w:rPr>
        <w:t>2、投标分项报价表（</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格式七）</w:t>
      </w:r>
    </w:p>
    <w:p>
      <w:pPr>
        <w:pStyle w:val="10"/>
        <w:ind w:left="1079" w:leftChars="257" w:hanging="540"/>
        <w:rPr>
          <w:rFonts w:hint="eastAsia" w:ascii="楷体" w:hAnsi="楷体" w:eastAsia="楷体" w:cs="楷体"/>
          <w:sz w:val="24"/>
          <w:highlight w:val="none"/>
        </w:rPr>
      </w:pPr>
      <w:r>
        <w:rPr>
          <w:rFonts w:hint="eastAsia" w:ascii="楷体" w:hAnsi="楷体" w:eastAsia="楷体" w:cs="楷体"/>
          <w:sz w:val="24"/>
          <w:highlight w:val="none"/>
          <w:lang w:val="en-US" w:eastAsia="zh-CN"/>
        </w:rPr>
        <w:t>3</w:t>
      </w:r>
      <w:r>
        <w:rPr>
          <w:rFonts w:hint="eastAsia" w:ascii="楷体" w:hAnsi="楷体" w:eastAsia="楷体" w:cs="楷体"/>
          <w:sz w:val="24"/>
          <w:highlight w:val="none"/>
        </w:rPr>
        <w:t>、货物说明一览表（</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格式八）</w:t>
      </w:r>
    </w:p>
    <w:p>
      <w:pPr>
        <w:pStyle w:val="10"/>
        <w:ind w:left="1079" w:leftChars="257" w:hanging="540"/>
        <w:rPr>
          <w:rFonts w:hint="eastAsia" w:ascii="楷体" w:hAnsi="楷体" w:eastAsia="楷体" w:cs="楷体"/>
          <w:sz w:val="24"/>
          <w:highlight w:val="none"/>
        </w:rPr>
      </w:pPr>
      <w:r>
        <w:rPr>
          <w:rFonts w:hint="eastAsia" w:ascii="楷体" w:hAnsi="楷体" w:eastAsia="楷体" w:cs="楷体"/>
          <w:sz w:val="24"/>
          <w:highlight w:val="none"/>
          <w:lang w:val="en-US" w:eastAsia="zh-CN"/>
        </w:rPr>
        <w:t>4</w:t>
      </w:r>
      <w:r>
        <w:rPr>
          <w:rFonts w:hint="eastAsia" w:ascii="楷体" w:hAnsi="楷体" w:eastAsia="楷体" w:cs="楷体"/>
          <w:sz w:val="24"/>
          <w:highlight w:val="none"/>
        </w:rPr>
        <w:t>、技术规格偏离表（</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格式九）</w:t>
      </w:r>
    </w:p>
    <w:p>
      <w:pPr>
        <w:pStyle w:val="10"/>
        <w:ind w:left="1079" w:leftChars="257" w:hanging="540"/>
        <w:rPr>
          <w:rFonts w:hint="eastAsia" w:ascii="楷体" w:hAnsi="楷体" w:eastAsia="楷体" w:cs="楷体"/>
          <w:sz w:val="24"/>
          <w:highlight w:val="none"/>
        </w:rPr>
      </w:pPr>
      <w:r>
        <w:rPr>
          <w:rFonts w:hint="eastAsia" w:ascii="楷体" w:hAnsi="楷体" w:eastAsia="楷体" w:cs="楷体"/>
          <w:sz w:val="24"/>
          <w:highlight w:val="none"/>
          <w:lang w:val="en-US" w:eastAsia="zh-CN"/>
        </w:rPr>
        <w:t>5</w:t>
      </w:r>
      <w:r>
        <w:rPr>
          <w:rFonts w:hint="eastAsia" w:ascii="楷体" w:hAnsi="楷体" w:eastAsia="楷体" w:cs="楷体"/>
          <w:sz w:val="24"/>
          <w:highlight w:val="none"/>
        </w:rPr>
        <w:t>、商务条款偏离表（</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格式十）</w:t>
      </w:r>
    </w:p>
    <w:p>
      <w:pPr>
        <w:pStyle w:val="10"/>
        <w:ind w:left="1079" w:leftChars="257" w:hanging="540"/>
        <w:rPr>
          <w:rFonts w:hint="eastAsia" w:ascii="楷体" w:hAnsi="楷体" w:eastAsia="楷体" w:cs="楷体"/>
          <w:sz w:val="24"/>
          <w:highlight w:val="none"/>
        </w:rPr>
      </w:pPr>
      <w:r>
        <w:rPr>
          <w:rFonts w:hint="eastAsia" w:ascii="楷体" w:hAnsi="楷体" w:eastAsia="楷体" w:cs="楷体"/>
          <w:sz w:val="24"/>
          <w:highlight w:val="none"/>
          <w:lang w:val="en-US" w:eastAsia="zh-CN"/>
        </w:rPr>
        <w:t>6</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符合《政府采购促进中小企业发展管理办法》财库〔2020〕46号、《关于政府采购支持监狱企业发展有关问题的通知》和《三部门联合发布关于促</w:t>
      </w:r>
      <w:r>
        <w:rPr>
          <w:rFonts w:hint="eastAsia" w:ascii="楷体" w:hAnsi="楷体" w:eastAsia="楷体" w:cs="楷体"/>
          <w:sz w:val="24"/>
          <w:highlight w:val="none"/>
        </w:rPr>
        <w:t>进残疾人就业政府采购政策的通知》价格扣减条件的投标人须提交）</w:t>
      </w:r>
    </w:p>
    <w:p>
      <w:pPr>
        <w:pStyle w:val="10"/>
        <w:ind w:left="310" w:leftChars="148" w:firstLine="228"/>
        <w:rPr>
          <w:rFonts w:hint="eastAsia" w:ascii="楷体" w:hAnsi="楷体" w:eastAsia="楷体" w:cs="楷体"/>
          <w:sz w:val="24"/>
          <w:highlight w:val="none"/>
        </w:rPr>
      </w:pPr>
      <w:r>
        <w:rPr>
          <w:rFonts w:hint="eastAsia" w:ascii="楷体" w:hAnsi="楷体" w:eastAsia="楷体" w:cs="楷体"/>
          <w:sz w:val="24"/>
          <w:highlight w:val="none"/>
          <w:lang w:val="en-US" w:eastAsia="zh-CN"/>
        </w:rPr>
        <w:t>6</w:t>
      </w:r>
      <w:r>
        <w:rPr>
          <w:rFonts w:hint="eastAsia" w:ascii="楷体" w:hAnsi="楷体" w:eastAsia="楷体" w:cs="楷体"/>
          <w:sz w:val="24"/>
          <w:highlight w:val="none"/>
        </w:rPr>
        <w:t>-1《投标人企业（单位）类型声明函》（</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格式十一）</w:t>
      </w:r>
    </w:p>
    <w:p>
      <w:pPr>
        <w:pStyle w:val="10"/>
        <w:ind w:left="310" w:leftChars="148" w:firstLine="228"/>
        <w:rPr>
          <w:rFonts w:hint="eastAsia" w:ascii="楷体" w:hAnsi="楷体" w:eastAsia="楷体" w:cs="楷体"/>
          <w:sz w:val="24"/>
          <w:highlight w:val="none"/>
        </w:rPr>
      </w:pPr>
      <w:r>
        <w:rPr>
          <w:rFonts w:hint="eastAsia" w:ascii="楷体" w:hAnsi="楷体" w:eastAsia="楷体" w:cs="楷体"/>
          <w:sz w:val="24"/>
          <w:highlight w:val="none"/>
          <w:lang w:val="en-US" w:eastAsia="zh-CN"/>
        </w:rPr>
        <w:t>6</w:t>
      </w:r>
      <w:r>
        <w:rPr>
          <w:rFonts w:hint="eastAsia" w:ascii="楷体" w:hAnsi="楷体" w:eastAsia="楷体" w:cs="楷体"/>
          <w:sz w:val="24"/>
          <w:highlight w:val="none"/>
        </w:rPr>
        <w:t>-2《制造商投标人企业（单位）类型声明函》（</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格式十二）</w:t>
      </w:r>
    </w:p>
    <w:p>
      <w:pPr>
        <w:pStyle w:val="10"/>
        <w:ind w:left="310" w:leftChars="148" w:firstLine="228"/>
        <w:rPr>
          <w:rFonts w:hint="eastAsia" w:ascii="楷体" w:hAnsi="楷体" w:eastAsia="楷体" w:cs="楷体"/>
          <w:sz w:val="24"/>
          <w:highlight w:val="none"/>
        </w:rPr>
      </w:pPr>
      <w:r>
        <w:rPr>
          <w:rFonts w:hint="eastAsia" w:ascii="楷体" w:hAnsi="楷体" w:eastAsia="楷体" w:cs="楷体"/>
          <w:sz w:val="24"/>
          <w:highlight w:val="none"/>
          <w:lang w:val="en-US" w:eastAsia="zh-CN"/>
        </w:rPr>
        <w:t>6</w:t>
      </w:r>
      <w:r>
        <w:rPr>
          <w:rFonts w:hint="eastAsia" w:ascii="楷体" w:hAnsi="楷体" w:eastAsia="楷体" w:cs="楷体"/>
          <w:sz w:val="24"/>
          <w:highlight w:val="none"/>
        </w:rPr>
        <w:t>-3《残疾人福利性单位声明函》（</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格式十三）</w:t>
      </w:r>
    </w:p>
    <w:p>
      <w:pPr>
        <w:pStyle w:val="10"/>
        <w:ind w:left="310" w:leftChars="148" w:firstLine="228"/>
        <w:rPr>
          <w:rFonts w:hint="eastAsia" w:ascii="楷体" w:hAnsi="楷体" w:eastAsia="楷体" w:cs="楷体"/>
          <w:sz w:val="24"/>
          <w:highlight w:val="none"/>
        </w:rPr>
      </w:pPr>
      <w:r>
        <w:rPr>
          <w:rFonts w:hint="eastAsia" w:ascii="楷体" w:hAnsi="楷体" w:eastAsia="楷体" w:cs="楷体"/>
          <w:sz w:val="24"/>
          <w:highlight w:val="none"/>
          <w:lang w:val="en-US" w:eastAsia="zh-CN"/>
        </w:rPr>
        <w:t>7</w:t>
      </w:r>
      <w:r>
        <w:rPr>
          <w:rFonts w:hint="eastAsia" w:ascii="楷体" w:hAnsi="楷体" w:eastAsia="楷体" w:cs="楷体"/>
          <w:sz w:val="24"/>
          <w:highlight w:val="none"/>
        </w:rPr>
        <w:t>、投标人关联单位的说明（格式自拟）</w:t>
      </w:r>
    </w:p>
    <w:p>
      <w:pPr>
        <w:pStyle w:val="10"/>
        <w:ind w:left="310" w:leftChars="148" w:firstLine="228"/>
        <w:rPr>
          <w:rFonts w:hint="eastAsia" w:ascii="楷体" w:hAnsi="楷体" w:eastAsia="楷体" w:cs="楷体"/>
          <w:sz w:val="24"/>
          <w:highlight w:val="none"/>
        </w:rPr>
      </w:pPr>
      <w:r>
        <w:rPr>
          <w:rFonts w:hint="eastAsia" w:ascii="楷体" w:hAnsi="楷体" w:eastAsia="楷体" w:cs="楷体"/>
          <w:sz w:val="24"/>
          <w:highlight w:val="none"/>
          <w:lang w:val="en-US" w:eastAsia="zh-CN"/>
        </w:rPr>
        <w:t>8</w:t>
      </w:r>
      <w:r>
        <w:rPr>
          <w:rFonts w:hint="eastAsia" w:ascii="楷体" w:hAnsi="楷体" w:eastAsia="楷体" w:cs="楷体"/>
          <w:sz w:val="24"/>
          <w:highlight w:val="none"/>
        </w:rPr>
        <w:t>、</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还应包括投标人须知第10条的所有技术文件</w:t>
      </w:r>
    </w:p>
    <w:p>
      <w:pPr>
        <w:pStyle w:val="10"/>
        <w:ind w:left="310" w:leftChars="148" w:firstLine="228"/>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9 中标通知书事项认知及承诺书</w:t>
      </w:r>
    </w:p>
    <w:p>
      <w:pPr>
        <w:pStyle w:val="10"/>
        <w:ind w:left="1079" w:leftChars="257" w:hanging="540"/>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10"/>
        <w:tabs>
          <w:tab w:val="left" w:pos="5580"/>
        </w:tabs>
        <w:spacing w:line="240" w:lineRule="atLeast"/>
        <w:rPr>
          <w:rFonts w:hint="eastAsia" w:ascii="楷体" w:hAnsi="楷体" w:eastAsia="楷体" w:cs="楷体"/>
          <w:sz w:val="24"/>
          <w:highlight w:val="none"/>
        </w:rPr>
      </w:pPr>
    </w:p>
    <w:p>
      <w:pPr>
        <w:pStyle w:val="2"/>
        <w:spacing w:before="0" w:line="240" w:lineRule="atLeast"/>
        <w:ind w:left="1079" w:leftChars="257" w:hanging="540"/>
        <w:rPr>
          <w:rFonts w:hint="eastAsia" w:ascii="楷体" w:hAnsi="楷体" w:eastAsia="楷体" w:cs="楷体"/>
          <w:sz w:val="24"/>
          <w:highlight w:val="none"/>
        </w:rPr>
      </w:pPr>
      <w:bookmarkStart w:id="366" w:name="_Toc14915"/>
      <w:bookmarkStart w:id="367" w:name="_Toc2041"/>
      <w:bookmarkStart w:id="368" w:name="_Toc515647817"/>
      <w:bookmarkStart w:id="369" w:name="_Toc15648"/>
      <w:r>
        <w:rPr>
          <w:rFonts w:hint="eastAsia" w:ascii="楷体" w:hAnsi="楷体" w:eastAsia="楷体" w:cs="楷体"/>
          <w:sz w:val="24"/>
          <w:highlight w:val="none"/>
        </w:rPr>
        <w:t xml:space="preserve">1   </w:t>
      </w:r>
      <w:bookmarkStart w:id="370" w:name="_Hlt520355504"/>
      <w:bookmarkEnd w:id="370"/>
      <w:r>
        <w:rPr>
          <w:rFonts w:hint="eastAsia" w:ascii="楷体" w:hAnsi="楷体" w:eastAsia="楷体" w:cs="楷体"/>
          <w:sz w:val="24"/>
          <w:highlight w:val="none"/>
        </w:rPr>
        <w:t>投标</w:t>
      </w:r>
      <w:bookmarkEnd w:id="315"/>
      <w:bookmarkEnd w:id="316"/>
      <w:r>
        <w:rPr>
          <w:rFonts w:hint="eastAsia" w:ascii="楷体" w:hAnsi="楷体" w:eastAsia="楷体" w:cs="楷体"/>
          <w:sz w:val="24"/>
          <w:highlight w:val="none"/>
        </w:rPr>
        <w:t>书</w:t>
      </w:r>
      <w:bookmarkEnd w:id="317"/>
      <w:r>
        <w:rPr>
          <w:rFonts w:hint="eastAsia" w:ascii="楷体" w:hAnsi="楷体" w:eastAsia="楷体" w:cs="楷体"/>
          <w:sz w:val="24"/>
          <w:highlight w:val="none"/>
        </w:rPr>
        <w:t>（</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格式五）</w:t>
      </w:r>
      <w:bookmarkEnd w:id="318"/>
      <w:bookmarkEnd w:id="366"/>
      <w:bookmarkEnd w:id="367"/>
      <w:bookmarkEnd w:id="368"/>
      <w:bookmarkEnd w:id="369"/>
    </w:p>
    <w:p>
      <w:pPr>
        <w:tabs>
          <w:tab w:val="left" w:pos="5580"/>
        </w:tabs>
        <w:spacing w:line="240" w:lineRule="atLeast"/>
        <w:ind w:left="1079" w:leftChars="257" w:hanging="540"/>
        <w:rPr>
          <w:rFonts w:hint="eastAsia" w:ascii="楷体" w:hAnsi="楷体" w:eastAsia="楷体" w:cs="楷体"/>
          <w:sz w:val="24"/>
          <w:highlight w:val="none"/>
        </w:rPr>
      </w:pPr>
    </w:p>
    <w:p>
      <w:pPr>
        <w:tabs>
          <w:tab w:val="left" w:pos="5580"/>
        </w:tabs>
        <w:spacing w:line="240" w:lineRule="atLeast"/>
        <w:ind w:left="1080" w:hanging="1080"/>
        <w:rPr>
          <w:rFonts w:hint="eastAsia" w:ascii="楷体" w:hAnsi="楷体" w:eastAsia="楷体" w:cs="楷体"/>
          <w:sz w:val="24"/>
          <w:highlight w:val="none"/>
        </w:rPr>
      </w:pPr>
      <w:r>
        <w:rPr>
          <w:rFonts w:hint="eastAsia" w:ascii="楷体" w:hAnsi="楷体" w:eastAsia="楷体" w:cs="楷体"/>
          <w:sz w:val="24"/>
          <w:highlight w:val="none"/>
        </w:rPr>
        <w:t>致：</w:t>
      </w:r>
      <w:r>
        <w:rPr>
          <w:rFonts w:hint="eastAsia" w:ascii="楷体" w:hAnsi="楷体" w:eastAsia="楷体" w:cs="楷体"/>
          <w:sz w:val="24"/>
          <w:highlight w:val="none"/>
          <w:u w:val="single"/>
        </w:rPr>
        <w:t>采购代理机构</w:t>
      </w:r>
    </w:p>
    <w:p>
      <w:pPr>
        <w:pStyle w:val="10"/>
        <w:tabs>
          <w:tab w:val="left" w:pos="5580"/>
        </w:tabs>
        <w:spacing w:line="240" w:lineRule="atLeast"/>
        <w:ind w:left="1079" w:leftChars="257" w:hanging="540"/>
        <w:rPr>
          <w:rFonts w:hint="eastAsia" w:ascii="楷体" w:hAnsi="楷体" w:eastAsia="楷体" w:cs="楷体"/>
          <w:sz w:val="24"/>
          <w:highlight w:val="none"/>
        </w:rPr>
      </w:pPr>
    </w:p>
    <w:p>
      <w:pPr>
        <w:pStyle w:val="10"/>
        <w:tabs>
          <w:tab w:val="left" w:pos="5580"/>
        </w:tabs>
        <w:spacing w:line="240" w:lineRule="atLeast"/>
        <w:ind w:left="2" w:leftChars="1" w:firstLine="480" w:firstLineChars="200"/>
        <w:rPr>
          <w:rFonts w:hint="eastAsia" w:ascii="楷体" w:hAnsi="楷体" w:eastAsia="楷体" w:cs="楷体"/>
          <w:sz w:val="24"/>
          <w:highlight w:val="none"/>
        </w:rPr>
      </w:pPr>
      <w:r>
        <w:rPr>
          <w:rFonts w:hint="eastAsia" w:ascii="楷体" w:hAnsi="楷体" w:eastAsia="楷体" w:cs="楷体"/>
          <w:sz w:val="24"/>
          <w:highlight w:val="none"/>
        </w:rPr>
        <w:t>根据贵方(</w:t>
      </w:r>
      <w:r>
        <w:rPr>
          <w:rFonts w:hint="eastAsia" w:ascii="楷体" w:hAnsi="楷体" w:eastAsia="楷体" w:cs="楷体"/>
          <w:i/>
          <w:sz w:val="24"/>
          <w:highlight w:val="none"/>
          <w:u w:val="single"/>
        </w:rPr>
        <w:t>项目名称</w:t>
      </w:r>
      <w:r>
        <w:rPr>
          <w:rFonts w:hint="eastAsia" w:ascii="楷体" w:hAnsi="楷体" w:eastAsia="楷体" w:cs="楷体"/>
          <w:sz w:val="24"/>
          <w:highlight w:val="none"/>
        </w:rPr>
        <w:t>)项目的投标邀请(</w:t>
      </w:r>
      <w:r>
        <w:rPr>
          <w:rFonts w:hint="eastAsia" w:ascii="楷体" w:hAnsi="楷体" w:eastAsia="楷体" w:cs="楷体"/>
          <w:i/>
          <w:sz w:val="24"/>
          <w:highlight w:val="none"/>
          <w:u w:val="single"/>
        </w:rPr>
        <w:t>招标编号</w:t>
      </w:r>
      <w:r>
        <w:rPr>
          <w:rFonts w:hint="eastAsia" w:ascii="楷体" w:hAnsi="楷体" w:eastAsia="楷体" w:cs="楷体"/>
          <w:sz w:val="24"/>
          <w:highlight w:val="none"/>
        </w:rPr>
        <w:t>),签字代表(</w:t>
      </w:r>
      <w:r>
        <w:rPr>
          <w:rFonts w:hint="eastAsia" w:ascii="楷体" w:hAnsi="楷体" w:eastAsia="楷体" w:cs="楷体"/>
          <w:i/>
          <w:sz w:val="24"/>
          <w:highlight w:val="none"/>
          <w:u w:val="single"/>
        </w:rPr>
        <w:t>姓名、职务</w:t>
      </w:r>
      <w:r>
        <w:rPr>
          <w:rFonts w:hint="eastAsia" w:ascii="楷体" w:hAnsi="楷体" w:eastAsia="楷体" w:cs="楷体"/>
          <w:sz w:val="24"/>
          <w:highlight w:val="none"/>
        </w:rPr>
        <w:t>)经正式授权并代表投标人（</w:t>
      </w:r>
      <w:r>
        <w:rPr>
          <w:rFonts w:hint="eastAsia" w:ascii="楷体" w:hAnsi="楷体" w:eastAsia="楷体" w:cs="楷体"/>
          <w:i/>
          <w:sz w:val="24"/>
          <w:highlight w:val="none"/>
          <w:u w:val="single"/>
        </w:rPr>
        <w:t>名称、地址</w:t>
      </w:r>
      <w:r>
        <w:rPr>
          <w:rFonts w:hint="eastAsia" w:ascii="楷体" w:hAnsi="楷体" w:eastAsia="楷体" w:cs="楷体"/>
          <w:sz w:val="24"/>
          <w:highlight w:val="none"/>
        </w:rPr>
        <w:t>）提交下述文件正本</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份、副本</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份，及电子文档</w:t>
      </w:r>
      <w:r>
        <w:rPr>
          <w:rFonts w:hint="eastAsia" w:ascii="楷体" w:hAnsi="楷体" w:eastAsia="楷体" w:cs="楷体"/>
          <w:sz w:val="24"/>
          <w:highlight w:val="none"/>
          <w:u w:val="single"/>
          <w:lang w:val="en-US" w:eastAsia="zh-CN"/>
        </w:rPr>
        <w:t xml:space="preserve">        </w:t>
      </w:r>
      <w:r>
        <w:rPr>
          <w:rFonts w:hint="eastAsia" w:ascii="楷体" w:hAnsi="楷体" w:eastAsia="楷体" w:cs="楷体"/>
          <w:sz w:val="24"/>
          <w:highlight w:val="none"/>
        </w:rPr>
        <w:t>份</w:t>
      </w:r>
      <w:r>
        <w:rPr>
          <w:rFonts w:hint="eastAsia" w:ascii="楷体" w:hAnsi="楷体" w:eastAsia="楷体" w:cs="楷体"/>
          <w:sz w:val="24"/>
          <w:highlight w:val="none"/>
          <w:lang w:eastAsia="zh-CN"/>
        </w:rPr>
        <w:t>，</w:t>
      </w:r>
      <w:r>
        <w:rPr>
          <w:rFonts w:hint="eastAsia" w:ascii="楷体" w:hAnsi="楷体" w:eastAsia="楷体" w:cs="楷体"/>
          <w:sz w:val="24"/>
          <w:highlight w:val="none"/>
        </w:rPr>
        <w:t>并以</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形式出具的金额为人民币</w:t>
      </w:r>
      <w:r>
        <w:rPr>
          <w:rFonts w:hint="eastAsia" w:ascii="楷体" w:hAnsi="楷体" w:eastAsia="楷体" w:cs="楷体"/>
          <w:sz w:val="24"/>
          <w:highlight w:val="none"/>
          <w:u w:val="single"/>
        </w:rPr>
        <w:t>　　　　</w:t>
      </w:r>
      <w:r>
        <w:rPr>
          <w:rFonts w:hint="eastAsia" w:ascii="楷体" w:hAnsi="楷体" w:eastAsia="楷体" w:cs="楷体"/>
          <w:sz w:val="24"/>
          <w:highlight w:val="none"/>
        </w:rPr>
        <w:t>元的投标保证金。</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据此，签字代表宣布同意如下：</w:t>
      </w:r>
    </w:p>
    <w:p>
      <w:pPr>
        <w:pStyle w:val="10"/>
        <w:tabs>
          <w:tab w:val="left" w:pos="720"/>
          <w:tab w:val="left" w:pos="900"/>
        </w:tabs>
        <w:spacing w:line="240" w:lineRule="atLeast"/>
        <w:ind w:left="768" w:leftChars="257" w:hanging="229"/>
        <w:rPr>
          <w:rFonts w:hint="eastAsia" w:ascii="楷体" w:hAnsi="楷体" w:eastAsia="楷体" w:cs="楷体"/>
          <w:sz w:val="24"/>
          <w:highlight w:val="none"/>
          <w:u w:val="single"/>
        </w:rPr>
      </w:pPr>
      <w:r>
        <w:rPr>
          <w:rFonts w:hint="eastAsia" w:ascii="楷体" w:hAnsi="楷体" w:eastAsia="楷体" w:cs="楷体"/>
          <w:sz w:val="24"/>
          <w:highlight w:val="none"/>
        </w:rPr>
        <w:t>（1）附投标价格表中规定的应提供货物的投标总价详见开标一览表，</w:t>
      </w:r>
      <w:r>
        <w:rPr>
          <w:rFonts w:hint="eastAsia" w:ascii="楷体" w:hAnsi="楷体" w:eastAsia="楷体" w:cs="楷体"/>
          <w:sz w:val="24"/>
          <w:highlight w:val="none"/>
          <w:u w:val="none"/>
        </w:rPr>
        <w:t>其中由小型和</w:t>
      </w:r>
      <w:r>
        <w:rPr>
          <w:rFonts w:hint="eastAsia" w:ascii="楷体" w:hAnsi="楷体" w:eastAsia="楷体" w:cs="楷体"/>
          <w:sz w:val="24"/>
          <w:highlight w:val="none"/>
        </w:rPr>
        <w:t>微型企业制造产品的价格为</w:t>
      </w:r>
      <w:r>
        <w:rPr>
          <w:rFonts w:hint="eastAsia" w:ascii="楷体" w:hAnsi="楷体" w:eastAsia="楷体" w:cs="楷体"/>
          <w:sz w:val="24"/>
          <w:highlight w:val="none"/>
          <w:u w:val="single"/>
        </w:rPr>
        <w:t xml:space="preserve">　　  （用文字和数字表示），占投标总价 </w:t>
      </w:r>
      <w:r>
        <w:rPr>
          <w:rFonts w:hint="eastAsia" w:ascii="楷体" w:hAnsi="楷体" w:eastAsia="楷体" w:cs="楷体"/>
          <w:sz w:val="24"/>
          <w:highlight w:val="none"/>
          <w:u w:val="single"/>
          <w:lang w:val="en-US" w:eastAsia="zh-CN"/>
        </w:rPr>
        <w:t xml:space="preserve">  </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（2）本投标有效期为自投标截止之日起</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个日历日。</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（3）联合体中的大中型企业和其他自然人、法人或者非法人组织，与联合体中的小型、微型企业之间</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存在、不存在）投资关系（如果是联合体的话）。</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（4）已详细审查全部</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，包括所有补充通知（如果有的话），完全理解并同意放弃对这方面有不明、误解和质疑的权力。</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（5）在规定的开标时间后，遵守</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中有关保证金的规定。</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（6）我方不是为本项目提供整体设计、规范编制或者项目管理、监理、检测等服务的供应商，我方不是采购代理机构的附属机构。</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（7）在领取中标通知书的同时按</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规定的形式，向贵方一次性支付中标服务费。</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（8）按照贵方可能要求，提供与其投标有关的一切数据或资料，完全理解贵方不一定接受最低价的投标或收到的任何投标。</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（9）按照</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的规定履行合同责任和义务。</w:t>
      </w:r>
    </w:p>
    <w:p>
      <w:pPr>
        <w:pStyle w:val="10"/>
        <w:tabs>
          <w:tab w:val="left" w:pos="5580"/>
        </w:tabs>
        <w:spacing w:line="240" w:lineRule="atLeast"/>
        <w:ind w:left="358" w:leftChars="68" w:hanging="216" w:hangingChars="90"/>
        <w:rPr>
          <w:rFonts w:hint="eastAsia" w:ascii="楷体" w:hAnsi="楷体" w:eastAsia="楷体" w:cs="楷体"/>
          <w:sz w:val="24"/>
          <w:highlight w:val="none"/>
        </w:rPr>
      </w:pPr>
      <w:r>
        <w:rPr>
          <w:rFonts w:hint="eastAsia" w:ascii="楷体" w:hAnsi="楷体" w:eastAsia="楷体" w:cs="楷体"/>
          <w:sz w:val="24"/>
          <w:highlight w:val="none"/>
        </w:rPr>
        <w:t xml:space="preserve">  与本投标有关的一切正式往来信函请寄：</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地址</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传真</w:t>
      </w:r>
      <w:r>
        <w:rPr>
          <w:rFonts w:hint="eastAsia" w:ascii="楷体" w:hAnsi="楷体" w:eastAsia="楷体" w:cs="楷体"/>
          <w:sz w:val="24"/>
          <w:highlight w:val="none"/>
          <w:u w:val="single"/>
        </w:rPr>
        <w:t xml:space="preserve">                             </w:t>
      </w:r>
    </w:p>
    <w:p>
      <w:pPr>
        <w:pStyle w:val="10"/>
        <w:tabs>
          <w:tab w:val="left" w:pos="5580"/>
        </w:tabs>
        <w:spacing w:line="240" w:lineRule="atLeast"/>
        <w:ind w:left="1079" w:leftChars="257" w:hanging="540"/>
        <w:rPr>
          <w:rFonts w:hint="eastAsia" w:ascii="楷体" w:hAnsi="楷体" w:eastAsia="楷体" w:cs="楷体"/>
          <w:b/>
          <w:sz w:val="24"/>
          <w:highlight w:val="none"/>
        </w:rPr>
      </w:pPr>
      <w:r>
        <w:rPr>
          <w:rFonts w:hint="eastAsia" w:ascii="楷体" w:hAnsi="楷体" w:eastAsia="楷体" w:cs="楷体"/>
          <w:sz w:val="24"/>
          <w:highlight w:val="none"/>
        </w:rPr>
        <w:t>电话</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电子函件</w:t>
      </w:r>
      <w:r>
        <w:rPr>
          <w:rFonts w:hint="eastAsia" w:ascii="楷体" w:hAnsi="楷体" w:eastAsia="楷体" w:cs="楷体"/>
          <w:sz w:val="24"/>
          <w:highlight w:val="none"/>
          <w:u w:val="single"/>
        </w:rPr>
        <w:t xml:space="preserve">                         </w:t>
      </w:r>
    </w:p>
    <w:p>
      <w:pPr>
        <w:pStyle w:val="10"/>
        <w:tabs>
          <w:tab w:val="left" w:pos="5580"/>
        </w:tabs>
        <w:spacing w:line="240" w:lineRule="atLeast"/>
        <w:ind w:left="1079" w:leftChars="257" w:hanging="540"/>
        <w:rPr>
          <w:rFonts w:hint="eastAsia" w:ascii="楷体" w:hAnsi="楷体" w:eastAsia="楷体" w:cs="楷体"/>
          <w:sz w:val="24"/>
          <w:highlight w:val="none"/>
        </w:rPr>
      </w:pP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法定代表人签字-----------------</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投标人名称（全称）-----------------</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投标人开户银行（全称）</w:t>
      </w:r>
      <w:r>
        <w:rPr>
          <w:rFonts w:hint="eastAsia" w:ascii="楷体" w:hAnsi="楷体" w:eastAsia="楷体" w:cs="楷体"/>
          <w:sz w:val="24"/>
          <w:highlight w:val="none"/>
          <w:u w:val="single"/>
        </w:rPr>
        <w:t xml:space="preserve">　　　　　　 </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投标人银行帐号</w:t>
      </w:r>
      <w:r>
        <w:rPr>
          <w:rFonts w:hint="eastAsia" w:ascii="楷体" w:hAnsi="楷体" w:eastAsia="楷体" w:cs="楷体"/>
          <w:sz w:val="24"/>
          <w:highlight w:val="none"/>
          <w:u w:val="single"/>
        </w:rPr>
        <w:t>　　　　　　　　 　　</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投标人单位章-------------------------</w:t>
      </w:r>
    </w:p>
    <w:p>
      <w:pPr>
        <w:pStyle w:val="10"/>
        <w:tabs>
          <w:tab w:val="left" w:pos="5580"/>
        </w:tabs>
        <w:spacing w:line="240" w:lineRule="atLeast"/>
        <w:ind w:left="1079" w:leftChars="257" w:hanging="540"/>
        <w:rPr>
          <w:rFonts w:hint="eastAsia" w:ascii="楷体" w:hAnsi="楷体" w:eastAsia="楷体" w:cs="楷体"/>
          <w:sz w:val="24"/>
          <w:highlight w:val="none"/>
        </w:rPr>
      </w:pPr>
      <w:r>
        <w:rPr>
          <w:rFonts w:hint="eastAsia" w:ascii="楷体" w:hAnsi="楷体" w:eastAsia="楷体" w:cs="楷体"/>
          <w:sz w:val="24"/>
          <w:highlight w:val="none"/>
        </w:rPr>
        <w:t>日期-------------------------------</w:t>
      </w:r>
    </w:p>
    <w:p>
      <w:pPr>
        <w:rPr>
          <w:rFonts w:hint="eastAsia" w:ascii="楷体" w:hAnsi="楷体" w:eastAsia="楷体" w:cs="楷体"/>
          <w:highlight w:val="none"/>
        </w:rPr>
      </w:pPr>
      <w:r>
        <w:rPr>
          <w:rFonts w:hint="eastAsia" w:ascii="楷体" w:hAnsi="楷体" w:eastAsia="楷体" w:cs="楷体"/>
          <w:highlight w:val="none"/>
        </w:rPr>
        <w:t xml:space="preserve">   </w:t>
      </w:r>
    </w:p>
    <w:p>
      <w:pPr>
        <w:pStyle w:val="10"/>
        <w:tabs>
          <w:tab w:val="left" w:pos="5580"/>
        </w:tabs>
        <w:spacing w:line="240" w:lineRule="atLeast"/>
        <w:ind w:left="1079" w:leftChars="257" w:hanging="540"/>
        <w:rPr>
          <w:rFonts w:hint="eastAsia" w:ascii="楷体" w:hAnsi="楷体" w:eastAsia="楷体" w:cs="楷体"/>
          <w:sz w:val="24"/>
          <w:highlight w:val="none"/>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bookmarkStart w:id="371" w:name="_Hlt520356243"/>
      <w:bookmarkEnd w:id="371"/>
      <w:bookmarkStart w:id="372" w:name="_Hlt520355938"/>
      <w:bookmarkEnd w:id="372"/>
    </w:p>
    <w:p>
      <w:pPr>
        <w:pStyle w:val="2"/>
        <w:spacing w:before="0" w:line="240" w:lineRule="atLeast"/>
        <w:ind w:left="1080" w:leftChars="257" w:hanging="540"/>
        <w:rPr>
          <w:rFonts w:hint="eastAsia" w:ascii="楷体" w:hAnsi="楷体" w:eastAsia="楷体" w:cs="楷体"/>
          <w:sz w:val="24"/>
          <w:highlight w:val="none"/>
        </w:rPr>
      </w:pPr>
      <w:bookmarkStart w:id="373" w:name="_Toc216582815"/>
      <w:bookmarkStart w:id="374" w:name="_Toc20897"/>
      <w:bookmarkStart w:id="375" w:name="_Toc1881"/>
      <w:bookmarkStart w:id="376" w:name="_Toc515647818"/>
      <w:bookmarkStart w:id="377" w:name="_Toc25075"/>
      <w:r>
        <w:rPr>
          <w:rFonts w:hint="eastAsia" w:ascii="楷体" w:hAnsi="楷体" w:eastAsia="楷体" w:cs="楷体"/>
          <w:sz w:val="24"/>
          <w:highlight w:val="none"/>
          <w:lang w:val="en-US" w:eastAsia="zh-CN"/>
        </w:rPr>
        <w:t>2</w:t>
      </w:r>
      <w:r>
        <w:rPr>
          <w:rFonts w:hint="eastAsia" w:ascii="楷体" w:hAnsi="楷体" w:eastAsia="楷体" w:cs="楷体"/>
          <w:sz w:val="24"/>
          <w:highlight w:val="none"/>
        </w:rPr>
        <w:t xml:space="preserve">   投标分项报价表</w:t>
      </w:r>
      <w:bookmarkEnd w:id="373"/>
      <w:r>
        <w:rPr>
          <w:rFonts w:hint="eastAsia" w:ascii="楷体" w:hAnsi="楷体" w:eastAsia="楷体" w:cs="楷体"/>
          <w:sz w:val="24"/>
          <w:highlight w:val="none"/>
        </w:rPr>
        <w:t>（</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格式七）</w:t>
      </w:r>
      <w:bookmarkEnd w:id="374"/>
      <w:bookmarkEnd w:id="375"/>
      <w:bookmarkEnd w:id="376"/>
      <w:bookmarkEnd w:id="377"/>
    </w:p>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项目名称:                      招标编号:                         包号: 　 　报价单位：人民币 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9"/>
        <w:gridCol w:w="2151"/>
        <w:gridCol w:w="1380"/>
        <w:gridCol w:w="1532"/>
        <w:gridCol w:w="952"/>
        <w:gridCol w:w="1295"/>
        <w:gridCol w:w="1171"/>
        <w:gridCol w:w="1276"/>
        <w:gridCol w:w="148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639"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序号</w:t>
            </w:r>
          </w:p>
        </w:tc>
        <w:tc>
          <w:tcPr>
            <w:tcW w:w="215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名称</w:t>
            </w:r>
          </w:p>
        </w:tc>
        <w:tc>
          <w:tcPr>
            <w:tcW w:w="1380"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品牌</w:t>
            </w:r>
          </w:p>
        </w:tc>
        <w:tc>
          <w:tcPr>
            <w:tcW w:w="1532"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型号和规格</w:t>
            </w:r>
          </w:p>
        </w:tc>
        <w:tc>
          <w:tcPr>
            <w:tcW w:w="952"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数量</w:t>
            </w:r>
          </w:p>
        </w:tc>
        <w:tc>
          <w:tcPr>
            <w:tcW w:w="1295"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原产地</w:t>
            </w:r>
          </w:p>
        </w:tc>
        <w:tc>
          <w:tcPr>
            <w:tcW w:w="117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制造商名称</w:t>
            </w:r>
          </w:p>
        </w:tc>
        <w:tc>
          <w:tcPr>
            <w:tcW w:w="1276"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单价</w:t>
            </w:r>
          </w:p>
        </w:tc>
        <w:tc>
          <w:tcPr>
            <w:tcW w:w="1485"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总价</w:t>
            </w:r>
          </w:p>
        </w:tc>
        <w:tc>
          <w:tcPr>
            <w:tcW w:w="1484"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639"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1</w:t>
            </w:r>
          </w:p>
        </w:tc>
        <w:tc>
          <w:tcPr>
            <w:tcW w:w="215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货物名称</w:t>
            </w:r>
          </w:p>
        </w:tc>
        <w:tc>
          <w:tcPr>
            <w:tcW w:w="1380"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53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95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9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171"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76"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4"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trPr>
        <w:tc>
          <w:tcPr>
            <w:tcW w:w="639"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2</w:t>
            </w:r>
          </w:p>
        </w:tc>
        <w:tc>
          <w:tcPr>
            <w:tcW w:w="215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备品备件</w:t>
            </w:r>
          </w:p>
        </w:tc>
        <w:tc>
          <w:tcPr>
            <w:tcW w:w="1380"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53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95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9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171"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76"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4"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639"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3</w:t>
            </w:r>
          </w:p>
        </w:tc>
        <w:tc>
          <w:tcPr>
            <w:tcW w:w="215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专用工具</w:t>
            </w:r>
          </w:p>
        </w:tc>
        <w:tc>
          <w:tcPr>
            <w:tcW w:w="1380"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53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95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9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171"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76"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4"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639"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4</w:t>
            </w:r>
          </w:p>
        </w:tc>
        <w:tc>
          <w:tcPr>
            <w:tcW w:w="215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安装、调试、检验</w:t>
            </w:r>
          </w:p>
        </w:tc>
        <w:tc>
          <w:tcPr>
            <w:tcW w:w="1380"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53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95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9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171"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76"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4"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trPr>
        <w:tc>
          <w:tcPr>
            <w:tcW w:w="639"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5</w:t>
            </w:r>
          </w:p>
        </w:tc>
        <w:tc>
          <w:tcPr>
            <w:tcW w:w="215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培训</w:t>
            </w:r>
          </w:p>
        </w:tc>
        <w:tc>
          <w:tcPr>
            <w:tcW w:w="1380"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53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95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9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171"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76"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4"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39"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6</w:t>
            </w:r>
          </w:p>
        </w:tc>
        <w:tc>
          <w:tcPr>
            <w:tcW w:w="2151" w:type="dxa"/>
            <w:noWrap w:val="0"/>
            <w:vAlign w:val="center"/>
          </w:tcPr>
          <w:p>
            <w:pPr>
              <w:widowControl/>
              <w:shd w:val="clear" w:color="auto" w:fill="auto"/>
              <w:jc w:val="center"/>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技术服务</w:t>
            </w:r>
          </w:p>
        </w:tc>
        <w:tc>
          <w:tcPr>
            <w:tcW w:w="1380"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53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952"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9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171"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276"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5"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c>
          <w:tcPr>
            <w:tcW w:w="1484" w:type="dxa"/>
            <w:noWrap w:val="0"/>
            <w:vAlign w:val="center"/>
          </w:tcPr>
          <w:p>
            <w:pPr>
              <w:shd w:val="clear" w:color="auto" w:fill="auto"/>
              <w:jc w:val="center"/>
              <w:rPr>
                <w:rFonts w:hint="eastAsia" w:ascii="楷体" w:hAnsi="楷体" w:eastAsia="楷体" w:cs="楷体"/>
                <w:color w:val="000000"/>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0" w:hRule="atLeast"/>
        </w:trPr>
        <w:tc>
          <w:tcPr>
            <w:tcW w:w="10396" w:type="dxa"/>
            <w:gridSpan w:val="8"/>
            <w:noWrap w:val="0"/>
            <w:vAlign w:val="center"/>
          </w:tcPr>
          <w:p>
            <w:pPr>
              <w:widowControl/>
              <w:shd w:val="clear" w:color="auto" w:fill="auto"/>
              <w:ind w:firstLine="480" w:firstLineChars="200"/>
              <w:textAlignment w:val="center"/>
              <w:rPr>
                <w:rFonts w:hint="eastAsia" w:ascii="楷体" w:hAnsi="楷体" w:eastAsia="楷体" w:cs="楷体"/>
                <w:color w:val="000000"/>
                <w:sz w:val="24"/>
                <w:highlight w:val="none"/>
                <w:shd w:val="clear" w:color="auto" w:fill="auto"/>
              </w:rPr>
            </w:pPr>
            <w:r>
              <w:rPr>
                <w:rFonts w:hint="eastAsia" w:ascii="楷体" w:hAnsi="楷体" w:eastAsia="楷体" w:cs="楷体"/>
                <w:color w:val="000000"/>
                <w:kern w:val="0"/>
                <w:sz w:val="24"/>
                <w:highlight w:val="none"/>
                <w:shd w:val="clear" w:color="auto" w:fill="auto"/>
                <w:lang w:bidi="ar"/>
              </w:rPr>
              <w:t>总价：</w:t>
            </w:r>
          </w:p>
        </w:tc>
        <w:tc>
          <w:tcPr>
            <w:tcW w:w="2969" w:type="dxa"/>
            <w:gridSpan w:val="2"/>
            <w:noWrap w:val="0"/>
            <w:vAlign w:val="center"/>
          </w:tcPr>
          <w:p>
            <w:pPr>
              <w:shd w:val="clear" w:color="auto" w:fill="auto"/>
              <w:rPr>
                <w:rFonts w:hint="eastAsia" w:ascii="楷体" w:hAnsi="楷体" w:eastAsia="楷体" w:cs="楷体"/>
                <w:color w:val="000000"/>
                <w:sz w:val="22"/>
                <w:szCs w:val="22"/>
                <w:highlight w:val="none"/>
                <w:shd w:val="clear" w:color="auto" w:fill="auto"/>
              </w:rPr>
            </w:pPr>
          </w:p>
        </w:tc>
      </w:tr>
    </w:tbl>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法定代表人签字:</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 xml:space="preserve">                 </w:t>
      </w:r>
    </w:p>
    <w:p>
      <w:pPr>
        <w:pStyle w:val="10"/>
        <w:tabs>
          <w:tab w:val="left" w:pos="5370"/>
        </w:tabs>
        <w:spacing w:line="240" w:lineRule="atLeast"/>
        <w:ind w:left="1080" w:leftChars="257" w:hanging="540"/>
        <w:rPr>
          <w:rFonts w:hint="eastAsia" w:ascii="楷体" w:hAnsi="楷体" w:eastAsia="楷体" w:cs="楷体"/>
          <w:sz w:val="24"/>
          <w:highlight w:val="none"/>
          <w:u w:val="single"/>
        </w:rPr>
      </w:pPr>
      <w:r>
        <w:rPr>
          <w:rFonts w:hint="eastAsia" w:ascii="楷体" w:hAnsi="楷体" w:eastAsia="楷体" w:cs="楷体"/>
          <w:sz w:val="24"/>
          <w:highlight w:val="none"/>
        </w:rPr>
        <w:t>投标人(盖单位章):</w:t>
      </w:r>
      <w:r>
        <w:rPr>
          <w:rFonts w:hint="eastAsia" w:ascii="楷体" w:hAnsi="楷体" w:eastAsia="楷体" w:cs="楷体"/>
          <w:sz w:val="24"/>
          <w:highlight w:val="none"/>
          <w:u w:val="single"/>
        </w:rPr>
        <w:tab/>
      </w:r>
    </w:p>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注: 1.如果投标人认为需要，每种货物填写一份该表。</w:t>
      </w:r>
    </w:p>
    <w:p>
      <w:pPr>
        <w:pStyle w:val="10"/>
        <w:spacing w:line="240" w:lineRule="atLeast"/>
        <w:ind w:left="1079" w:leftChars="428" w:hanging="180" w:hangingChars="75"/>
        <w:rPr>
          <w:rFonts w:hint="eastAsia" w:ascii="楷体" w:hAnsi="楷体" w:eastAsia="楷体" w:cs="楷体"/>
          <w:sz w:val="24"/>
          <w:highlight w:val="none"/>
        </w:rPr>
      </w:pPr>
      <w:r>
        <w:rPr>
          <w:rFonts w:hint="eastAsia" w:ascii="楷体" w:hAnsi="楷体" w:eastAsia="楷体" w:cs="楷体"/>
          <w:sz w:val="24"/>
          <w:highlight w:val="none"/>
        </w:rPr>
        <w:t>2.如果按单价计算的结果与总价不一致,以单价为准修正总价。</w:t>
      </w: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 xml:space="preserve">   3.如果不提供详细分项报价将视为没有实质性响应</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w:t>
      </w: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 xml:space="preserve">   4.上述各项的详细分项报价，应另页描述。</w:t>
      </w: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 xml:space="preserve">   5.如果开标一览表（报价表）内容与</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中明细表内容不一致的，以开标一览表（报价表）内容为准。</w:t>
      </w:r>
    </w:p>
    <w:p>
      <w:pPr>
        <w:pStyle w:val="10"/>
        <w:spacing w:line="240" w:lineRule="atLeast"/>
        <w:ind w:left="1080" w:leftChars="257" w:hanging="54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 xml:space="preserve">   6.所投产品必须填入品牌、型号、原产地、制造商名称，如不填写或填写不全视为无效投标。</w:t>
      </w:r>
    </w:p>
    <w:p>
      <w:pPr>
        <w:spacing w:line="360" w:lineRule="auto"/>
        <w:jc w:val="center"/>
        <w:outlineLvl w:val="1"/>
        <w:rPr>
          <w:rFonts w:hint="eastAsia" w:ascii="楷体" w:hAnsi="楷体" w:eastAsia="楷体" w:cs="楷体"/>
          <w:b/>
          <w:color w:val="auto"/>
          <w:sz w:val="24"/>
          <w:szCs w:val="24"/>
        </w:rPr>
      </w:pPr>
      <w:r>
        <w:rPr>
          <w:rFonts w:hint="eastAsia" w:ascii="楷体" w:hAnsi="楷体" w:eastAsia="楷体" w:cs="楷体"/>
          <w:sz w:val="24"/>
          <w:highlight w:val="none"/>
        </w:rPr>
        <w:br w:type="page"/>
      </w:r>
      <w:bookmarkStart w:id="378" w:name="_Toc30209"/>
      <w:bookmarkStart w:id="379" w:name="_Toc7893"/>
      <w:bookmarkStart w:id="380" w:name="_Toc6480"/>
      <w:bookmarkStart w:id="381" w:name="_Toc27721"/>
      <w:bookmarkStart w:id="382" w:name="_Toc13950"/>
      <w:bookmarkStart w:id="383" w:name="_Toc10486"/>
      <w:bookmarkStart w:id="384" w:name="_Toc16798"/>
      <w:bookmarkStart w:id="385" w:name="_Toc28199"/>
      <w:r>
        <w:rPr>
          <w:rFonts w:hint="eastAsia" w:ascii="楷体" w:hAnsi="楷体" w:eastAsia="楷体" w:cs="楷体"/>
          <w:sz w:val="24"/>
          <w:szCs w:val="24"/>
          <w:highlight w:val="none"/>
          <w:lang w:val="en-US" w:eastAsia="zh-CN"/>
        </w:rPr>
        <w:t xml:space="preserve">2-1 </w:t>
      </w:r>
      <w:r>
        <w:rPr>
          <w:rFonts w:hint="eastAsia" w:ascii="楷体" w:hAnsi="楷体" w:eastAsia="楷体" w:cs="楷体"/>
          <w:b/>
          <w:bCs/>
          <w:color w:val="auto"/>
          <w:sz w:val="24"/>
          <w:szCs w:val="24"/>
        </w:rPr>
        <w:t>备品备件设备分项报价表</w:t>
      </w:r>
      <w:bookmarkEnd w:id="378"/>
      <w:bookmarkEnd w:id="379"/>
      <w:bookmarkEnd w:id="380"/>
      <w:bookmarkEnd w:id="381"/>
      <w:bookmarkEnd w:id="382"/>
      <w:bookmarkEnd w:id="383"/>
      <w:bookmarkEnd w:id="384"/>
      <w:bookmarkEnd w:id="385"/>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308"/>
        <w:gridCol w:w="1156"/>
        <w:gridCol w:w="1332"/>
        <w:gridCol w:w="1145"/>
        <w:gridCol w:w="1340"/>
        <w:gridCol w:w="1170"/>
        <w:gridCol w:w="1179"/>
        <w:gridCol w:w="1074"/>
        <w:gridCol w:w="1094"/>
        <w:gridCol w:w="1094"/>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14" w:type="pct"/>
            <w:noWrap w:val="0"/>
            <w:vAlign w:val="center"/>
          </w:tcPr>
          <w:p>
            <w:pPr>
              <w:spacing w:line="360" w:lineRule="auto"/>
              <w:jc w:val="center"/>
              <w:rPr>
                <w:rFonts w:hint="eastAsia" w:ascii="楷体" w:hAnsi="楷体" w:eastAsia="楷体" w:cs="楷体"/>
                <w:color w:val="auto"/>
                <w:sz w:val="24"/>
                <w:szCs w:val="24"/>
              </w:rPr>
            </w:pPr>
          </w:p>
        </w:tc>
        <w:tc>
          <w:tcPr>
            <w:tcW w:w="462"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编号</w:t>
            </w:r>
          </w:p>
        </w:tc>
        <w:tc>
          <w:tcPr>
            <w:tcW w:w="408"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货物名称</w:t>
            </w:r>
          </w:p>
        </w:tc>
        <w:tc>
          <w:tcPr>
            <w:tcW w:w="470"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品牌</w:t>
            </w:r>
          </w:p>
        </w:tc>
        <w:tc>
          <w:tcPr>
            <w:tcW w:w="404"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规格型号</w:t>
            </w:r>
          </w:p>
        </w:tc>
        <w:tc>
          <w:tcPr>
            <w:tcW w:w="473"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供货厂商名称</w:t>
            </w:r>
          </w:p>
        </w:tc>
        <w:tc>
          <w:tcPr>
            <w:tcW w:w="413"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产地</w:t>
            </w:r>
          </w:p>
        </w:tc>
        <w:tc>
          <w:tcPr>
            <w:tcW w:w="416"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数量</w:t>
            </w:r>
          </w:p>
        </w:tc>
        <w:tc>
          <w:tcPr>
            <w:tcW w:w="379"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单位</w:t>
            </w:r>
          </w:p>
        </w:tc>
        <w:tc>
          <w:tcPr>
            <w:tcW w:w="386"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单价</w:t>
            </w:r>
          </w:p>
        </w:tc>
        <w:tc>
          <w:tcPr>
            <w:tcW w:w="386"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合价</w:t>
            </w:r>
          </w:p>
        </w:tc>
        <w:tc>
          <w:tcPr>
            <w:tcW w:w="384"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restar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质保期外设备报价</w:t>
            </w:r>
          </w:p>
        </w:tc>
        <w:tc>
          <w:tcPr>
            <w:tcW w:w="462"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noWrap w:val="0"/>
            <w:vAlign w:val="center"/>
          </w:tcPr>
          <w:p>
            <w:pPr>
              <w:spacing w:line="360" w:lineRule="auto"/>
              <w:jc w:val="center"/>
              <w:rPr>
                <w:rFonts w:hint="eastAsia" w:ascii="楷体" w:hAnsi="楷体" w:eastAsia="楷体" w:cs="楷体"/>
                <w:color w:val="auto"/>
                <w:sz w:val="24"/>
                <w:szCs w:val="24"/>
              </w:rPr>
            </w:pPr>
          </w:p>
        </w:tc>
        <w:tc>
          <w:tcPr>
            <w:tcW w:w="379"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continue"/>
            <w:noWrap w:val="0"/>
            <w:vAlign w:val="center"/>
          </w:tcPr>
          <w:p>
            <w:pPr>
              <w:spacing w:line="360" w:lineRule="auto"/>
              <w:jc w:val="center"/>
              <w:rPr>
                <w:rFonts w:hint="eastAsia" w:ascii="楷体" w:hAnsi="楷体" w:eastAsia="楷体" w:cs="楷体"/>
                <w:color w:val="auto"/>
                <w:sz w:val="24"/>
                <w:szCs w:val="24"/>
              </w:rPr>
            </w:pPr>
          </w:p>
        </w:tc>
        <w:tc>
          <w:tcPr>
            <w:tcW w:w="462"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noWrap w:val="0"/>
            <w:vAlign w:val="center"/>
          </w:tcPr>
          <w:p>
            <w:pPr>
              <w:spacing w:line="360" w:lineRule="auto"/>
              <w:jc w:val="center"/>
              <w:rPr>
                <w:rFonts w:hint="eastAsia" w:ascii="楷体" w:hAnsi="楷体" w:eastAsia="楷体" w:cs="楷体"/>
                <w:color w:val="auto"/>
                <w:sz w:val="24"/>
                <w:szCs w:val="24"/>
              </w:rPr>
            </w:pPr>
          </w:p>
        </w:tc>
        <w:tc>
          <w:tcPr>
            <w:tcW w:w="379"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continue"/>
            <w:noWrap w:val="0"/>
            <w:vAlign w:val="center"/>
          </w:tcPr>
          <w:p>
            <w:pPr>
              <w:spacing w:line="360" w:lineRule="auto"/>
              <w:jc w:val="center"/>
              <w:rPr>
                <w:rFonts w:hint="eastAsia" w:ascii="楷体" w:hAnsi="楷体" w:eastAsia="楷体" w:cs="楷体"/>
                <w:color w:val="auto"/>
                <w:sz w:val="24"/>
                <w:szCs w:val="24"/>
              </w:rPr>
            </w:pPr>
          </w:p>
        </w:tc>
        <w:tc>
          <w:tcPr>
            <w:tcW w:w="462" w:type="pc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noWrap w:val="0"/>
            <w:vAlign w:val="center"/>
          </w:tcPr>
          <w:p>
            <w:pPr>
              <w:spacing w:line="360" w:lineRule="auto"/>
              <w:jc w:val="center"/>
              <w:rPr>
                <w:rFonts w:hint="eastAsia" w:ascii="楷体" w:hAnsi="楷体" w:eastAsia="楷体" w:cs="楷体"/>
                <w:color w:val="auto"/>
                <w:sz w:val="24"/>
                <w:szCs w:val="24"/>
              </w:rPr>
            </w:pPr>
          </w:p>
        </w:tc>
        <w:tc>
          <w:tcPr>
            <w:tcW w:w="379"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continue"/>
            <w:noWrap w:val="0"/>
            <w:vAlign w:val="center"/>
          </w:tcPr>
          <w:p>
            <w:pPr>
              <w:spacing w:line="360" w:lineRule="auto"/>
              <w:jc w:val="center"/>
              <w:rPr>
                <w:rFonts w:hint="eastAsia" w:ascii="楷体" w:hAnsi="楷体" w:eastAsia="楷体" w:cs="楷体"/>
                <w:color w:val="auto"/>
                <w:sz w:val="24"/>
                <w:szCs w:val="24"/>
              </w:rPr>
            </w:pPr>
          </w:p>
        </w:tc>
        <w:tc>
          <w:tcPr>
            <w:tcW w:w="462" w:type="pct"/>
            <w:noWrap w:val="0"/>
            <w:vAlign w:val="center"/>
          </w:tcPr>
          <w:p>
            <w:pPr>
              <w:spacing w:line="360" w:lineRule="auto"/>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noWrap w:val="0"/>
            <w:vAlign w:val="center"/>
          </w:tcPr>
          <w:p>
            <w:pPr>
              <w:spacing w:line="360" w:lineRule="auto"/>
              <w:jc w:val="center"/>
              <w:rPr>
                <w:rFonts w:hint="eastAsia" w:ascii="楷体" w:hAnsi="楷体" w:eastAsia="楷体" w:cs="楷体"/>
                <w:color w:val="auto"/>
                <w:sz w:val="24"/>
                <w:szCs w:val="24"/>
              </w:rPr>
            </w:pPr>
          </w:p>
        </w:tc>
        <w:tc>
          <w:tcPr>
            <w:tcW w:w="379"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noWrap w:val="0"/>
            <w:vAlign w:val="center"/>
          </w:tcPr>
          <w:p>
            <w:pPr>
              <w:spacing w:line="360" w:lineRule="auto"/>
              <w:jc w:val="center"/>
              <w:rPr>
                <w:rFonts w:hint="eastAsia" w:ascii="楷体" w:hAnsi="楷体" w:eastAsia="楷体" w:cs="楷体"/>
                <w:color w:val="auto"/>
                <w:sz w:val="24"/>
                <w:szCs w:val="24"/>
              </w:rPr>
            </w:pPr>
          </w:p>
        </w:tc>
        <w:tc>
          <w:tcPr>
            <w:tcW w:w="4585" w:type="pct"/>
            <w:gridSpan w:val="11"/>
            <w:noWrap w:val="0"/>
            <w:vAlign w:val="center"/>
          </w:tcPr>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restart"/>
            <w:noWrap w:val="0"/>
            <w:vAlign w:val="center"/>
          </w:tcPr>
          <w:p>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质保期内免费设备</w:t>
            </w:r>
          </w:p>
        </w:tc>
        <w:tc>
          <w:tcPr>
            <w:tcW w:w="462" w:type="pct"/>
            <w:noWrap w:val="0"/>
            <w:vAlign w:val="center"/>
          </w:tcPr>
          <w:p>
            <w:pPr>
              <w:spacing w:line="360" w:lineRule="auto"/>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1</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tcBorders>
              <w:righ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86" w:type="pct"/>
            <w:tcBorders>
              <w:lef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continue"/>
            <w:noWrap w:val="0"/>
            <w:vAlign w:val="center"/>
          </w:tcPr>
          <w:p>
            <w:pPr>
              <w:spacing w:line="360" w:lineRule="auto"/>
              <w:jc w:val="center"/>
              <w:rPr>
                <w:rFonts w:hint="eastAsia" w:ascii="楷体" w:hAnsi="楷体" w:eastAsia="楷体" w:cs="楷体"/>
                <w:color w:val="auto"/>
                <w:sz w:val="24"/>
                <w:szCs w:val="24"/>
              </w:rPr>
            </w:pPr>
          </w:p>
        </w:tc>
        <w:tc>
          <w:tcPr>
            <w:tcW w:w="462" w:type="pct"/>
            <w:noWrap w:val="0"/>
            <w:vAlign w:val="center"/>
          </w:tcPr>
          <w:p>
            <w:pPr>
              <w:spacing w:line="360" w:lineRule="auto"/>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2</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tcBorders>
              <w:righ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86" w:type="pct"/>
            <w:tcBorders>
              <w:lef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continue"/>
            <w:noWrap w:val="0"/>
            <w:vAlign w:val="center"/>
          </w:tcPr>
          <w:p>
            <w:pPr>
              <w:spacing w:line="360" w:lineRule="auto"/>
              <w:jc w:val="center"/>
              <w:rPr>
                <w:rFonts w:hint="eastAsia" w:ascii="楷体" w:hAnsi="楷体" w:eastAsia="楷体" w:cs="楷体"/>
                <w:color w:val="auto"/>
                <w:sz w:val="24"/>
                <w:szCs w:val="24"/>
              </w:rPr>
            </w:pPr>
          </w:p>
        </w:tc>
        <w:tc>
          <w:tcPr>
            <w:tcW w:w="462" w:type="pct"/>
            <w:noWrap w:val="0"/>
            <w:vAlign w:val="center"/>
          </w:tcPr>
          <w:p>
            <w:pPr>
              <w:spacing w:line="360" w:lineRule="auto"/>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3</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tcBorders>
              <w:righ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86" w:type="pct"/>
            <w:tcBorders>
              <w:left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4" w:type="pct"/>
            <w:vMerge w:val="continue"/>
            <w:noWrap w:val="0"/>
            <w:vAlign w:val="center"/>
          </w:tcPr>
          <w:p>
            <w:pPr>
              <w:spacing w:line="360" w:lineRule="auto"/>
              <w:jc w:val="center"/>
              <w:rPr>
                <w:rFonts w:hint="eastAsia" w:ascii="楷体" w:hAnsi="楷体" w:eastAsia="楷体" w:cs="楷体"/>
                <w:color w:val="auto"/>
                <w:sz w:val="24"/>
                <w:szCs w:val="24"/>
              </w:rPr>
            </w:pPr>
          </w:p>
        </w:tc>
        <w:tc>
          <w:tcPr>
            <w:tcW w:w="462" w:type="pct"/>
            <w:noWrap w:val="0"/>
            <w:vAlign w:val="center"/>
          </w:tcPr>
          <w:p>
            <w:pPr>
              <w:spacing w:line="360" w:lineRule="auto"/>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p>
        </w:tc>
        <w:tc>
          <w:tcPr>
            <w:tcW w:w="408" w:type="pct"/>
            <w:noWrap w:val="0"/>
            <w:vAlign w:val="center"/>
          </w:tcPr>
          <w:p>
            <w:pPr>
              <w:spacing w:line="360" w:lineRule="auto"/>
              <w:jc w:val="center"/>
              <w:rPr>
                <w:rFonts w:hint="eastAsia" w:ascii="楷体" w:hAnsi="楷体" w:eastAsia="楷体" w:cs="楷体"/>
                <w:color w:val="auto"/>
                <w:sz w:val="24"/>
                <w:szCs w:val="24"/>
              </w:rPr>
            </w:pPr>
          </w:p>
        </w:tc>
        <w:tc>
          <w:tcPr>
            <w:tcW w:w="470" w:type="pct"/>
            <w:noWrap w:val="0"/>
            <w:vAlign w:val="center"/>
          </w:tcPr>
          <w:p>
            <w:pPr>
              <w:spacing w:line="360" w:lineRule="auto"/>
              <w:jc w:val="center"/>
              <w:rPr>
                <w:rFonts w:hint="eastAsia" w:ascii="楷体" w:hAnsi="楷体" w:eastAsia="楷体" w:cs="楷体"/>
                <w:color w:val="auto"/>
                <w:sz w:val="24"/>
                <w:szCs w:val="24"/>
              </w:rPr>
            </w:pPr>
          </w:p>
        </w:tc>
        <w:tc>
          <w:tcPr>
            <w:tcW w:w="404" w:type="pct"/>
            <w:noWrap w:val="0"/>
            <w:vAlign w:val="center"/>
          </w:tcPr>
          <w:p>
            <w:pPr>
              <w:spacing w:line="360" w:lineRule="auto"/>
              <w:jc w:val="center"/>
              <w:rPr>
                <w:rFonts w:hint="eastAsia" w:ascii="楷体" w:hAnsi="楷体" w:eastAsia="楷体" w:cs="楷体"/>
                <w:color w:val="auto"/>
                <w:sz w:val="24"/>
                <w:szCs w:val="24"/>
              </w:rPr>
            </w:pPr>
          </w:p>
        </w:tc>
        <w:tc>
          <w:tcPr>
            <w:tcW w:w="473" w:type="pct"/>
            <w:noWrap w:val="0"/>
            <w:vAlign w:val="center"/>
          </w:tcPr>
          <w:p>
            <w:pPr>
              <w:spacing w:line="360" w:lineRule="auto"/>
              <w:jc w:val="center"/>
              <w:rPr>
                <w:rFonts w:hint="eastAsia" w:ascii="楷体" w:hAnsi="楷体" w:eastAsia="楷体" w:cs="楷体"/>
                <w:color w:val="auto"/>
                <w:sz w:val="24"/>
                <w:szCs w:val="24"/>
              </w:rPr>
            </w:pPr>
          </w:p>
        </w:tc>
        <w:tc>
          <w:tcPr>
            <w:tcW w:w="413" w:type="pct"/>
            <w:noWrap w:val="0"/>
            <w:vAlign w:val="center"/>
          </w:tcPr>
          <w:p>
            <w:pPr>
              <w:spacing w:line="360" w:lineRule="auto"/>
              <w:jc w:val="center"/>
              <w:rPr>
                <w:rFonts w:hint="eastAsia" w:ascii="楷体" w:hAnsi="楷体" w:eastAsia="楷体" w:cs="楷体"/>
                <w:color w:val="auto"/>
                <w:sz w:val="24"/>
                <w:szCs w:val="24"/>
              </w:rPr>
            </w:pPr>
          </w:p>
        </w:tc>
        <w:tc>
          <w:tcPr>
            <w:tcW w:w="416" w:type="pct"/>
            <w:noWrap w:val="0"/>
            <w:vAlign w:val="center"/>
          </w:tcPr>
          <w:p>
            <w:pPr>
              <w:spacing w:line="360" w:lineRule="auto"/>
              <w:jc w:val="center"/>
              <w:rPr>
                <w:rFonts w:hint="eastAsia" w:ascii="楷体" w:hAnsi="楷体" w:eastAsia="楷体" w:cs="楷体"/>
                <w:color w:val="auto"/>
                <w:sz w:val="24"/>
                <w:szCs w:val="24"/>
              </w:rPr>
            </w:pPr>
          </w:p>
        </w:tc>
        <w:tc>
          <w:tcPr>
            <w:tcW w:w="379" w:type="pct"/>
            <w:tcBorders>
              <w:top w:val="single" w:color="auto" w:sz="4" w:space="0"/>
            </w:tcBorders>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6" w:type="pct"/>
            <w:noWrap w:val="0"/>
            <w:vAlign w:val="center"/>
          </w:tcPr>
          <w:p>
            <w:pPr>
              <w:spacing w:line="360" w:lineRule="auto"/>
              <w:jc w:val="center"/>
              <w:rPr>
                <w:rFonts w:hint="eastAsia" w:ascii="楷体" w:hAnsi="楷体" w:eastAsia="楷体" w:cs="楷体"/>
                <w:color w:val="auto"/>
                <w:sz w:val="24"/>
                <w:szCs w:val="24"/>
              </w:rPr>
            </w:pPr>
          </w:p>
        </w:tc>
        <w:tc>
          <w:tcPr>
            <w:tcW w:w="384" w:type="pct"/>
            <w:noWrap w:val="0"/>
            <w:vAlign w:val="center"/>
          </w:tcPr>
          <w:p>
            <w:pPr>
              <w:spacing w:line="360" w:lineRule="auto"/>
              <w:jc w:val="center"/>
              <w:rPr>
                <w:rFonts w:hint="eastAsia" w:ascii="楷体" w:hAnsi="楷体" w:eastAsia="楷体" w:cs="楷体"/>
                <w:color w:val="auto"/>
                <w:sz w:val="24"/>
                <w:szCs w:val="24"/>
              </w:rPr>
            </w:pPr>
          </w:p>
        </w:tc>
      </w:tr>
    </w:tbl>
    <w:p>
      <w:pPr>
        <w:rPr>
          <w:rFonts w:hint="eastAsia" w:ascii="楷体" w:hAnsi="楷体" w:eastAsia="楷体" w:cs="楷体"/>
          <w:b/>
          <w:color w:val="auto"/>
          <w:sz w:val="24"/>
          <w:szCs w:val="24"/>
        </w:rPr>
      </w:pPr>
    </w:p>
    <w:p>
      <w:pPr>
        <w:spacing w:line="360" w:lineRule="exact"/>
        <w:rPr>
          <w:rFonts w:hint="eastAsia" w:ascii="楷体" w:hAnsi="楷体" w:eastAsia="楷体" w:cs="楷体"/>
          <w:color w:val="auto"/>
          <w:sz w:val="24"/>
          <w:szCs w:val="24"/>
        </w:rPr>
      </w:pPr>
      <w:r>
        <w:rPr>
          <w:rFonts w:hint="eastAsia" w:ascii="楷体" w:hAnsi="楷体" w:eastAsia="楷体" w:cs="楷体"/>
          <w:color w:val="auto"/>
          <w:sz w:val="24"/>
          <w:szCs w:val="24"/>
        </w:rPr>
        <w:t>供应商名称（公章）：</w:t>
      </w:r>
    </w:p>
    <w:p>
      <w:pPr>
        <w:spacing w:line="360" w:lineRule="exact"/>
        <w:rPr>
          <w:rFonts w:hint="eastAsia" w:ascii="楷体" w:hAnsi="楷体" w:eastAsia="楷体" w:cs="楷体"/>
          <w:color w:val="auto"/>
          <w:sz w:val="24"/>
          <w:szCs w:val="24"/>
        </w:rPr>
      </w:pPr>
      <w:r>
        <w:rPr>
          <w:rFonts w:hint="eastAsia" w:ascii="楷体" w:hAnsi="楷体" w:eastAsia="楷体" w:cs="楷体"/>
          <w:color w:val="auto"/>
          <w:sz w:val="24"/>
          <w:szCs w:val="24"/>
        </w:rPr>
        <w:t>供应商法人或授权代表</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签/章</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 xml:space="preserve">：                    </w:t>
      </w:r>
    </w:p>
    <w:p>
      <w:pPr>
        <w:pStyle w:val="3"/>
        <w:spacing w:line="360" w:lineRule="exact"/>
        <w:ind w:firstLine="0"/>
        <w:rPr>
          <w:rFonts w:hint="eastAsia" w:ascii="楷体" w:hAnsi="楷体" w:eastAsia="楷体" w:cs="楷体"/>
          <w:color w:val="auto"/>
          <w:sz w:val="24"/>
          <w:szCs w:val="24"/>
        </w:rPr>
      </w:pPr>
      <w:r>
        <w:rPr>
          <w:rFonts w:hint="eastAsia" w:ascii="楷体" w:hAnsi="楷体" w:eastAsia="楷体" w:cs="楷体"/>
          <w:color w:val="auto"/>
          <w:sz w:val="24"/>
          <w:szCs w:val="24"/>
        </w:rPr>
        <w:t xml:space="preserve">日期 ：   </w:t>
      </w:r>
    </w:p>
    <w:p>
      <w:pPr>
        <w:spacing w:line="360" w:lineRule="exact"/>
        <w:rPr>
          <w:rFonts w:hint="eastAsia" w:ascii="楷体" w:hAnsi="楷体" w:eastAsia="楷体" w:cs="楷体"/>
          <w:color w:val="auto"/>
          <w:sz w:val="24"/>
          <w:szCs w:val="24"/>
        </w:rPr>
      </w:pPr>
      <w:r>
        <w:rPr>
          <w:rFonts w:hint="eastAsia" w:ascii="楷体" w:hAnsi="楷体" w:eastAsia="楷体" w:cs="楷体"/>
          <w:color w:val="auto"/>
          <w:sz w:val="24"/>
          <w:szCs w:val="24"/>
        </w:rPr>
        <w:t>注：1、 表格长度方向可做扩展根据需求可补充相关资料，但不可减少。</w:t>
      </w:r>
    </w:p>
    <w:p>
      <w:pPr>
        <w:spacing w:line="360" w:lineRule="exact"/>
        <w:rPr>
          <w:rFonts w:hint="eastAsia" w:ascii="楷体" w:hAnsi="楷体" w:eastAsia="楷体" w:cs="楷体"/>
          <w:color w:val="auto"/>
          <w:sz w:val="24"/>
          <w:szCs w:val="24"/>
        </w:rPr>
      </w:pPr>
      <w:r>
        <w:rPr>
          <w:rFonts w:hint="eastAsia" w:ascii="楷体" w:hAnsi="楷体" w:eastAsia="楷体" w:cs="楷体"/>
          <w:color w:val="auto"/>
          <w:sz w:val="24"/>
          <w:szCs w:val="24"/>
        </w:rPr>
        <w:t>2、备品备件设备分项报价仅供</w:t>
      </w:r>
      <w:r>
        <w:rPr>
          <w:rFonts w:hint="eastAsia" w:ascii="楷体" w:hAnsi="楷体" w:eastAsia="楷体" w:cs="楷体"/>
          <w:color w:val="auto"/>
          <w:sz w:val="24"/>
          <w:szCs w:val="24"/>
          <w:lang w:eastAsia="zh-CN"/>
        </w:rPr>
        <w:t>采购人</w:t>
      </w:r>
      <w:r>
        <w:rPr>
          <w:rFonts w:hint="eastAsia" w:ascii="楷体" w:hAnsi="楷体" w:eastAsia="楷体" w:cs="楷体"/>
          <w:color w:val="auto"/>
          <w:sz w:val="24"/>
          <w:szCs w:val="24"/>
        </w:rPr>
        <w:t xml:space="preserve">在设备发生故障情况下采用此报价，填写此表时请谨慎。备品备件分为两部分（1、质保期内免费的备品备件、2、质保期外备品备件报价）                 </w:t>
      </w:r>
    </w:p>
    <w:p>
      <w:pPr>
        <w:pStyle w:val="3"/>
        <w:spacing w:line="360" w:lineRule="exact"/>
        <w:ind w:firstLine="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3、备品备件设备分项报价不合计于开标一览表总价，单独名列即可。</w:t>
      </w:r>
    </w:p>
    <w:p>
      <w:pPr>
        <w:pStyle w:val="3"/>
        <w:spacing w:line="360" w:lineRule="exact"/>
        <w:ind w:firstLine="0"/>
        <w:rPr>
          <w:rFonts w:hint="eastAsia" w:ascii="楷体" w:hAnsi="楷体" w:eastAsia="楷体" w:cs="楷体"/>
          <w:b/>
          <w:color w:val="auto"/>
          <w:sz w:val="24"/>
          <w:szCs w:val="24"/>
        </w:rPr>
      </w:pPr>
      <w:r>
        <w:rPr>
          <w:rFonts w:hint="eastAsia" w:ascii="楷体" w:hAnsi="楷体" w:eastAsia="楷体" w:cs="楷体"/>
          <w:color w:val="auto"/>
          <w:kern w:val="2"/>
          <w:sz w:val="24"/>
          <w:szCs w:val="24"/>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0"/>
        <w:spacing w:line="240" w:lineRule="atLeast"/>
        <w:ind w:left="1080" w:leftChars="257" w:hanging="540"/>
        <w:rPr>
          <w:rFonts w:hint="eastAsia" w:ascii="楷体" w:hAnsi="楷体" w:eastAsia="楷体" w:cs="楷体"/>
          <w:sz w:val="24"/>
          <w:highlight w:val="none"/>
        </w:rPr>
      </w:pPr>
    </w:p>
    <w:p>
      <w:pPr>
        <w:pStyle w:val="2"/>
        <w:spacing w:before="0" w:line="240" w:lineRule="atLeast"/>
        <w:ind w:left="1080" w:leftChars="257" w:hanging="540"/>
        <w:rPr>
          <w:rFonts w:hint="eastAsia" w:ascii="楷体" w:hAnsi="楷体" w:eastAsia="楷体" w:cs="楷体"/>
          <w:sz w:val="24"/>
          <w:highlight w:val="none"/>
        </w:rPr>
      </w:pPr>
      <w:bookmarkStart w:id="386" w:name="_Toc216582816"/>
      <w:bookmarkStart w:id="387" w:name="_Toc18267"/>
      <w:bookmarkStart w:id="388" w:name="_Toc11191"/>
      <w:bookmarkStart w:id="389" w:name="_Toc515647819"/>
      <w:bookmarkStart w:id="390" w:name="_Toc14037"/>
      <w:r>
        <w:rPr>
          <w:rFonts w:hint="eastAsia" w:ascii="楷体" w:hAnsi="楷体" w:eastAsia="楷体" w:cs="楷体"/>
          <w:sz w:val="24"/>
          <w:highlight w:val="none"/>
          <w:lang w:val="en-US" w:eastAsia="zh-CN"/>
        </w:rPr>
        <w:t>3</w:t>
      </w:r>
      <w:r>
        <w:rPr>
          <w:rFonts w:hint="eastAsia" w:ascii="楷体" w:hAnsi="楷体" w:eastAsia="楷体" w:cs="楷体"/>
          <w:sz w:val="24"/>
          <w:highlight w:val="none"/>
        </w:rPr>
        <w:t xml:space="preserve">   货物说明一览表</w:t>
      </w:r>
      <w:bookmarkEnd w:id="386"/>
      <w:r>
        <w:rPr>
          <w:rFonts w:hint="eastAsia" w:ascii="楷体" w:hAnsi="楷体" w:eastAsia="楷体" w:cs="楷体"/>
          <w:sz w:val="24"/>
          <w:highlight w:val="none"/>
        </w:rPr>
        <w:t>（</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格式八）</w:t>
      </w:r>
      <w:bookmarkEnd w:id="387"/>
      <w:bookmarkEnd w:id="388"/>
      <w:bookmarkEnd w:id="389"/>
      <w:bookmarkEnd w:id="390"/>
    </w:p>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 xml:space="preserve">项目名称:                                    招标编号:                       包号:                      </w:t>
      </w:r>
    </w:p>
    <w:p>
      <w:pPr>
        <w:pStyle w:val="10"/>
        <w:spacing w:line="240" w:lineRule="atLeast"/>
        <w:ind w:left="1080" w:leftChars="257" w:hanging="540"/>
        <w:rPr>
          <w:rFonts w:hint="eastAsia" w:ascii="楷体" w:hAnsi="楷体" w:eastAsia="楷体" w:cs="楷体"/>
          <w:sz w:val="24"/>
          <w:highlight w:val="none"/>
        </w:rPr>
      </w:pPr>
    </w:p>
    <w:tbl>
      <w:tblPr>
        <w:tblStyle w:val="1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序号</w:t>
            </w: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货物名称</w:t>
            </w: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主要规格</w:t>
            </w: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数量</w:t>
            </w: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交货期</w:t>
            </w: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交货地点</w:t>
            </w: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8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6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1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980" w:type="dxa"/>
            <w:noWrap w:val="0"/>
            <w:vAlign w:val="top"/>
          </w:tcPr>
          <w:p>
            <w:pPr>
              <w:pStyle w:val="10"/>
              <w:spacing w:line="240" w:lineRule="atLeast"/>
              <w:ind w:left="1080" w:leftChars="257" w:hanging="540"/>
              <w:rPr>
                <w:rFonts w:hint="eastAsia" w:ascii="楷体" w:hAnsi="楷体" w:eastAsia="楷体" w:cs="楷体"/>
                <w:sz w:val="24"/>
                <w:highlight w:val="none"/>
              </w:rPr>
            </w:pPr>
          </w:p>
        </w:tc>
      </w:tr>
    </w:tbl>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法定代表人</w:t>
      </w:r>
      <w:r>
        <w:rPr>
          <w:rFonts w:hint="eastAsia" w:ascii="楷体" w:hAnsi="楷体" w:eastAsia="楷体" w:cs="楷体"/>
          <w:sz w:val="24"/>
          <w:highlight w:val="none"/>
          <w:lang w:eastAsia="zh-CN"/>
        </w:rPr>
        <w:t>（或被委托人）</w:t>
      </w:r>
      <w:r>
        <w:rPr>
          <w:rFonts w:hint="eastAsia" w:ascii="楷体" w:hAnsi="楷体" w:eastAsia="楷体" w:cs="楷体"/>
          <w:sz w:val="24"/>
          <w:highlight w:val="none"/>
        </w:rPr>
        <w:t>签字:</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 xml:space="preserve">                 </w:t>
      </w:r>
    </w:p>
    <w:p>
      <w:pPr>
        <w:pStyle w:val="10"/>
        <w:tabs>
          <w:tab w:val="left" w:pos="5370"/>
        </w:tabs>
        <w:spacing w:line="240" w:lineRule="atLeast"/>
        <w:ind w:left="1080" w:leftChars="257" w:hanging="540"/>
        <w:rPr>
          <w:rFonts w:hint="eastAsia" w:ascii="楷体" w:hAnsi="楷体" w:eastAsia="楷体" w:cs="楷体"/>
          <w:sz w:val="24"/>
          <w:highlight w:val="none"/>
          <w:u w:val="single"/>
        </w:rPr>
      </w:pPr>
      <w:r>
        <w:rPr>
          <w:rFonts w:hint="eastAsia" w:ascii="楷体" w:hAnsi="楷体" w:eastAsia="楷体" w:cs="楷体"/>
          <w:sz w:val="24"/>
          <w:highlight w:val="none"/>
        </w:rPr>
        <w:t>投标人(盖单位章):</w:t>
      </w:r>
      <w:r>
        <w:rPr>
          <w:rFonts w:hint="eastAsia" w:ascii="楷体" w:hAnsi="楷体" w:eastAsia="楷体" w:cs="楷体"/>
          <w:sz w:val="24"/>
          <w:highlight w:val="none"/>
          <w:u w:val="single"/>
        </w:rPr>
        <w:tab/>
      </w:r>
    </w:p>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b/>
          <w:bCs/>
          <w:sz w:val="24"/>
          <w:highlight w:val="none"/>
          <w:lang w:eastAsia="zh-CN"/>
        </w:rPr>
      </w:pPr>
      <w:r>
        <w:rPr>
          <w:rFonts w:hint="eastAsia" w:ascii="楷体" w:hAnsi="楷体" w:eastAsia="楷体" w:cs="楷体"/>
          <w:b/>
          <w:bCs/>
          <w:sz w:val="24"/>
          <w:highlight w:val="none"/>
        </w:rPr>
        <w:t>注: 各项货物详细技术性能</w:t>
      </w:r>
      <w:r>
        <w:rPr>
          <w:rFonts w:hint="eastAsia" w:ascii="楷体" w:hAnsi="楷体" w:eastAsia="楷体" w:cs="楷体"/>
          <w:b/>
          <w:bCs/>
          <w:sz w:val="24"/>
          <w:highlight w:val="none"/>
          <w:lang w:eastAsia="zh-CN"/>
        </w:rPr>
        <w:t>无法在表格中表述清楚的可另</w:t>
      </w:r>
      <w:r>
        <w:rPr>
          <w:rFonts w:hint="eastAsia" w:ascii="楷体" w:hAnsi="楷体" w:eastAsia="楷体" w:cs="楷体"/>
          <w:b/>
          <w:bCs/>
          <w:sz w:val="24"/>
          <w:highlight w:val="none"/>
        </w:rPr>
        <w:t>页描述。</w:t>
      </w:r>
    </w:p>
    <w:p>
      <w:pPr>
        <w:pStyle w:val="10"/>
        <w:spacing w:line="240" w:lineRule="atLeast"/>
        <w:ind w:left="1080" w:leftChars="257" w:hanging="540"/>
        <w:jc w:val="center"/>
        <w:rPr>
          <w:rFonts w:hint="eastAsia" w:ascii="楷体" w:hAnsi="楷体" w:eastAsia="楷体" w:cs="楷体"/>
          <w:sz w:val="24"/>
          <w:highlight w:val="none"/>
        </w:rPr>
      </w:pPr>
    </w:p>
    <w:p>
      <w:pPr>
        <w:pStyle w:val="10"/>
        <w:spacing w:line="240" w:lineRule="atLeast"/>
        <w:ind w:left="1080" w:leftChars="257" w:hanging="540"/>
        <w:jc w:val="center"/>
        <w:rPr>
          <w:rFonts w:hint="eastAsia" w:ascii="楷体" w:hAnsi="楷体" w:eastAsia="楷体" w:cs="楷体"/>
          <w:sz w:val="24"/>
          <w:highlight w:val="none"/>
        </w:rPr>
        <w:sectPr>
          <w:pgSz w:w="16838" w:h="11906" w:orient="landscape"/>
          <w:pgMar w:top="1797" w:right="1440" w:bottom="1797" w:left="1440" w:header="851" w:footer="992" w:gutter="0"/>
          <w:cols w:space="720" w:num="1"/>
          <w:docGrid w:linePitch="312" w:charSpace="0"/>
        </w:sectPr>
      </w:pPr>
    </w:p>
    <w:p>
      <w:pPr>
        <w:pStyle w:val="2"/>
        <w:spacing w:before="0" w:line="240" w:lineRule="atLeast"/>
        <w:ind w:left="1080" w:leftChars="257" w:hanging="540"/>
        <w:rPr>
          <w:rFonts w:hint="eastAsia" w:ascii="楷体" w:hAnsi="楷体" w:eastAsia="楷体" w:cs="楷体"/>
          <w:sz w:val="24"/>
          <w:highlight w:val="none"/>
        </w:rPr>
      </w:pPr>
      <w:bookmarkStart w:id="391" w:name="_Toc216582817"/>
      <w:bookmarkStart w:id="392" w:name="_Toc28959"/>
      <w:bookmarkStart w:id="393" w:name="_Toc22563"/>
      <w:bookmarkStart w:id="394" w:name="_Toc5601"/>
      <w:bookmarkStart w:id="395" w:name="_Toc515647820"/>
      <w:r>
        <w:rPr>
          <w:rFonts w:hint="eastAsia" w:ascii="楷体" w:hAnsi="楷体" w:eastAsia="楷体" w:cs="楷体"/>
          <w:sz w:val="24"/>
          <w:highlight w:val="none"/>
          <w:lang w:val="en-US" w:eastAsia="zh-CN"/>
        </w:rPr>
        <w:t>4</w:t>
      </w:r>
      <w:r>
        <w:rPr>
          <w:rFonts w:hint="eastAsia" w:ascii="楷体" w:hAnsi="楷体" w:eastAsia="楷体" w:cs="楷体"/>
          <w:sz w:val="24"/>
          <w:highlight w:val="none"/>
        </w:rPr>
        <w:t xml:space="preserve">   技术规格偏离表</w:t>
      </w:r>
      <w:bookmarkEnd w:id="391"/>
      <w:r>
        <w:rPr>
          <w:rFonts w:hint="eastAsia" w:ascii="楷体" w:hAnsi="楷体" w:eastAsia="楷体" w:cs="楷体"/>
          <w:sz w:val="24"/>
          <w:highlight w:val="none"/>
        </w:rPr>
        <w:t>（</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格式九）</w:t>
      </w:r>
      <w:bookmarkEnd w:id="392"/>
      <w:bookmarkEnd w:id="393"/>
      <w:bookmarkEnd w:id="394"/>
      <w:bookmarkEnd w:id="395"/>
    </w:p>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rPr>
          <w:rFonts w:hint="eastAsia" w:ascii="楷体" w:hAnsi="楷体" w:eastAsia="楷体" w:cs="楷体"/>
          <w:sz w:val="24"/>
          <w:highlight w:val="none"/>
        </w:rPr>
      </w:pPr>
      <w:r>
        <w:rPr>
          <w:rFonts w:hint="eastAsia" w:ascii="楷体" w:hAnsi="楷体" w:eastAsia="楷体" w:cs="楷体"/>
          <w:sz w:val="24"/>
          <w:highlight w:val="none"/>
        </w:rPr>
        <w:t>项目名称:                       招标编号:                 包号:</w:t>
      </w:r>
    </w:p>
    <w:p>
      <w:pPr>
        <w:pStyle w:val="10"/>
        <w:spacing w:line="240" w:lineRule="atLeast"/>
        <w:ind w:left="1080" w:leftChars="257" w:hanging="540"/>
        <w:rPr>
          <w:rFonts w:hint="eastAsia" w:ascii="楷体" w:hAnsi="楷体" w:eastAsia="楷体" w:cs="楷体"/>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序号</w:t>
            </w:r>
          </w:p>
        </w:tc>
        <w:tc>
          <w:tcPr>
            <w:tcW w:w="1260" w:type="dxa"/>
            <w:noWrap w:val="0"/>
            <w:vAlign w:val="center"/>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货物名称</w:t>
            </w:r>
          </w:p>
        </w:tc>
        <w:tc>
          <w:tcPr>
            <w:tcW w:w="2340" w:type="dxa"/>
            <w:noWrap w:val="0"/>
            <w:vAlign w:val="center"/>
          </w:tcPr>
          <w:p>
            <w:pPr>
              <w:pStyle w:val="10"/>
              <w:spacing w:line="240" w:lineRule="atLeast"/>
              <w:ind w:left="269" w:leftChars="128"/>
              <w:jc w:val="center"/>
              <w:rPr>
                <w:rFonts w:hint="eastAsia" w:ascii="楷体" w:hAnsi="楷体" w:eastAsia="楷体" w:cs="楷体"/>
                <w:sz w:val="24"/>
                <w:highlight w:val="none"/>
              </w:rPr>
            </w:pP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条款号</w:t>
            </w:r>
          </w:p>
        </w:tc>
        <w:tc>
          <w:tcPr>
            <w:tcW w:w="1260" w:type="dxa"/>
            <w:noWrap w:val="0"/>
            <w:vAlign w:val="center"/>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招标规格</w:t>
            </w:r>
          </w:p>
        </w:tc>
        <w:tc>
          <w:tcPr>
            <w:tcW w:w="1260" w:type="dxa"/>
            <w:noWrap w:val="0"/>
            <w:vAlign w:val="center"/>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投标规格</w:t>
            </w:r>
          </w:p>
        </w:tc>
        <w:tc>
          <w:tcPr>
            <w:tcW w:w="900" w:type="dxa"/>
            <w:noWrap w:val="0"/>
            <w:vAlign w:val="center"/>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偏离</w:t>
            </w:r>
          </w:p>
        </w:tc>
        <w:tc>
          <w:tcPr>
            <w:tcW w:w="900" w:type="dxa"/>
            <w:noWrap w:val="0"/>
            <w:vAlign w:val="center"/>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3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126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bl>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法定代表人</w:t>
      </w:r>
      <w:r>
        <w:rPr>
          <w:rFonts w:hint="eastAsia" w:ascii="楷体" w:hAnsi="楷体" w:eastAsia="楷体" w:cs="楷体"/>
          <w:sz w:val="24"/>
          <w:highlight w:val="none"/>
          <w:lang w:eastAsia="zh-CN"/>
        </w:rPr>
        <w:t>（或被委托人）</w:t>
      </w:r>
      <w:r>
        <w:rPr>
          <w:rFonts w:hint="eastAsia" w:ascii="楷体" w:hAnsi="楷体" w:eastAsia="楷体" w:cs="楷体"/>
          <w:sz w:val="24"/>
          <w:highlight w:val="none"/>
        </w:rPr>
        <w:t>签字:</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 xml:space="preserve">                 </w:t>
      </w:r>
    </w:p>
    <w:p>
      <w:pPr>
        <w:pStyle w:val="10"/>
        <w:tabs>
          <w:tab w:val="left" w:pos="5370"/>
        </w:tabs>
        <w:spacing w:line="240" w:lineRule="atLeast"/>
        <w:ind w:left="1080" w:leftChars="257" w:hanging="540"/>
        <w:rPr>
          <w:rFonts w:hint="eastAsia" w:ascii="楷体" w:hAnsi="楷体" w:eastAsia="楷体" w:cs="楷体"/>
          <w:sz w:val="24"/>
          <w:highlight w:val="none"/>
          <w:u w:val="single"/>
        </w:rPr>
      </w:pPr>
      <w:r>
        <w:rPr>
          <w:rFonts w:hint="eastAsia" w:ascii="楷体" w:hAnsi="楷体" w:eastAsia="楷体" w:cs="楷体"/>
          <w:sz w:val="24"/>
          <w:highlight w:val="none"/>
        </w:rPr>
        <w:t>投标人(盖单位章):</w:t>
      </w:r>
      <w:r>
        <w:rPr>
          <w:rFonts w:hint="eastAsia" w:ascii="楷体" w:hAnsi="楷体" w:eastAsia="楷体" w:cs="楷体"/>
          <w:sz w:val="24"/>
          <w:highlight w:val="none"/>
          <w:u w:val="single"/>
        </w:rPr>
        <w:tab/>
      </w:r>
    </w:p>
    <w:p>
      <w:pPr>
        <w:pStyle w:val="10"/>
        <w:tabs>
          <w:tab w:val="left" w:pos="5580"/>
        </w:tabs>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u w:val="single"/>
        </w:rPr>
        <w:br w:type="page"/>
      </w:r>
      <w:bookmarkStart w:id="396" w:name="_Toc216582818"/>
      <w:bookmarkStart w:id="397" w:name="_Toc515647821"/>
      <w:bookmarkStart w:id="398" w:name="_Toc23"/>
      <w:bookmarkStart w:id="399" w:name="_Toc1980"/>
      <w:r>
        <w:rPr>
          <w:rFonts w:hint="eastAsia" w:ascii="楷体" w:hAnsi="楷体" w:eastAsia="楷体" w:cs="楷体"/>
          <w:sz w:val="24"/>
          <w:highlight w:val="none"/>
        </w:rPr>
        <w:t xml:space="preserve">           </w:t>
      </w:r>
      <w:r>
        <w:rPr>
          <w:rFonts w:hint="eastAsia" w:ascii="楷体" w:hAnsi="楷体" w:eastAsia="楷体" w:cs="楷体"/>
          <w:b/>
          <w:kern w:val="0"/>
          <w:sz w:val="24"/>
          <w:szCs w:val="20"/>
          <w:highlight w:val="none"/>
          <w:lang w:val="en-US" w:eastAsia="zh-CN" w:bidi="ar-SA"/>
        </w:rPr>
        <w:t xml:space="preserve">  5   商务条款偏离表</w:t>
      </w:r>
      <w:bookmarkEnd w:id="396"/>
      <w:r>
        <w:rPr>
          <w:rFonts w:hint="eastAsia" w:ascii="楷体" w:hAnsi="楷体" w:eastAsia="楷体" w:cs="楷体"/>
          <w:b/>
          <w:kern w:val="0"/>
          <w:sz w:val="24"/>
          <w:szCs w:val="20"/>
          <w:highlight w:val="none"/>
          <w:lang w:val="en-US" w:eastAsia="zh-CN" w:bidi="ar-SA"/>
        </w:rPr>
        <w:t>（响应文件格式十）</w:t>
      </w:r>
      <w:bookmarkEnd w:id="397"/>
      <w:bookmarkEnd w:id="398"/>
      <w:bookmarkEnd w:id="399"/>
    </w:p>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项目名称:                      招标编号:             包号:</w:t>
      </w:r>
    </w:p>
    <w:p>
      <w:pPr>
        <w:pStyle w:val="10"/>
        <w:spacing w:line="240" w:lineRule="atLeast"/>
        <w:ind w:left="1080" w:leftChars="257" w:hanging="540"/>
        <w:rPr>
          <w:rFonts w:hint="eastAsia" w:ascii="楷体" w:hAnsi="楷体" w:eastAsia="楷体" w:cs="楷体"/>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序号</w:t>
            </w:r>
          </w:p>
        </w:tc>
        <w:tc>
          <w:tcPr>
            <w:tcW w:w="2040" w:type="dxa"/>
            <w:noWrap w:val="0"/>
            <w:vAlign w:val="top"/>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条款号</w:t>
            </w:r>
          </w:p>
        </w:tc>
        <w:tc>
          <w:tcPr>
            <w:tcW w:w="2520" w:type="dxa"/>
            <w:noWrap w:val="0"/>
            <w:vAlign w:val="top"/>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的商务条款</w:t>
            </w:r>
          </w:p>
        </w:tc>
        <w:tc>
          <w:tcPr>
            <w:tcW w:w="2520" w:type="dxa"/>
            <w:noWrap w:val="0"/>
            <w:vAlign w:val="top"/>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的商务条款</w:t>
            </w:r>
          </w:p>
        </w:tc>
        <w:tc>
          <w:tcPr>
            <w:tcW w:w="900" w:type="dxa"/>
            <w:noWrap w:val="0"/>
            <w:vAlign w:val="top"/>
          </w:tcPr>
          <w:p>
            <w:pPr>
              <w:pStyle w:val="10"/>
              <w:spacing w:line="240" w:lineRule="atLeast"/>
              <w:jc w:val="center"/>
              <w:rPr>
                <w:rFonts w:hint="eastAsia" w:ascii="楷体" w:hAnsi="楷体" w:eastAsia="楷体" w:cs="楷体"/>
                <w:sz w:val="24"/>
                <w:highlight w:val="none"/>
              </w:rPr>
            </w:pPr>
            <w:r>
              <w:rPr>
                <w:rFonts w:hint="eastAsia" w:ascii="楷体" w:hAnsi="楷体" w:eastAsia="楷体" w:cs="楷体"/>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jc w:val="center"/>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jc w:val="center"/>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04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2520" w:type="dxa"/>
            <w:noWrap w:val="0"/>
            <w:vAlign w:val="top"/>
          </w:tcPr>
          <w:p>
            <w:pPr>
              <w:pStyle w:val="10"/>
              <w:spacing w:line="240" w:lineRule="atLeast"/>
              <w:ind w:left="1080" w:leftChars="257" w:hanging="540"/>
              <w:rPr>
                <w:rFonts w:hint="eastAsia" w:ascii="楷体" w:hAnsi="楷体" w:eastAsia="楷体" w:cs="楷体"/>
                <w:sz w:val="24"/>
                <w:highlight w:val="none"/>
              </w:rPr>
            </w:pPr>
          </w:p>
        </w:tc>
        <w:tc>
          <w:tcPr>
            <w:tcW w:w="900" w:type="dxa"/>
            <w:noWrap w:val="0"/>
            <w:vAlign w:val="top"/>
          </w:tcPr>
          <w:p>
            <w:pPr>
              <w:pStyle w:val="10"/>
              <w:spacing w:line="240" w:lineRule="atLeast"/>
              <w:ind w:left="1080" w:leftChars="257" w:hanging="540"/>
              <w:rPr>
                <w:rFonts w:hint="eastAsia" w:ascii="楷体" w:hAnsi="楷体" w:eastAsia="楷体" w:cs="楷体"/>
                <w:sz w:val="24"/>
                <w:highlight w:val="none"/>
              </w:rPr>
            </w:pPr>
          </w:p>
        </w:tc>
      </w:tr>
    </w:tbl>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法定代表人</w:t>
      </w:r>
      <w:r>
        <w:rPr>
          <w:rFonts w:hint="eastAsia" w:ascii="楷体" w:hAnsi="楷体" w:eastAsia="楷体" w:cs="楷体"/>
          <w:sz w:val="24"/>
          <w:highlight w:val="none"/>
          <w:lang w:eastAsia="zh-CN"/>
        </w:rPr>
        <w:t>（或被委托人）</w:t>
      </w:r>
      <w:r>
        <w:rPr>
          <w:rFonts w:hint="eastAsia" w:ascii="楷体" w:hAnsi="楷体" w:eastAsia="楷体" w:cs="楷体"/>
          <w:sz w:val="24"/>
          <w:highlight w:val="none"/>
        </w:rPr>
        <w:t>签字:</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rPr>
        <w:tab/>
      </w:r>
      <w:r>
        <w:rPr>
          <w:rFonts w:hint="eastAsia" w:ascii="楷体" w:hAnsi="楷体" w:eastAsia="楷体" w:cs="楷体"/>
          <w:sz w:val="24"/>
          <w:highlight w:val="none"/>
          <w:u w:val="single"/>
        </w:rPr>
        <w:t xml:space="preserve">                 </w:t>
      </w:r>
    </w:p>
    <w:p>
      <w:pPr>
        <w:pStyle w:val="10"/>
        <w:tabs>
          <w:tab w:val="left" w:pos="5370"/>
        </w:tabs>
        <w:spacing w:line="240" w:lineRule="atLeast"/>
        <w:ind w:left="1080" w:leftChars="257" w:hanging="540"/>
        <w:rPr>
          <w:rFonts w:hint="eastAsia" w:ascii="楷体" w:hAnsi="楷体" w:eastAsia="楷体" w:cs="楷体"/>
          <w:sz w:val="24"/>
          <w:highlight w:val="none"/>
          <w:u w:val="single"/>
        </w:rPr>
      </w:pPr>
      <w:r>
        <w:rPr>
          <w:rFonts w:hint="eastAsia" w:ascii="楷体" w:hAnsi="楷体" w:eastAsia="楷体" w:cs="楷体"/>
          <w:sz w:val="24"/>
          <w:highlight w:val="none"/>
        </w:rPr>
        <w:t>投标人(盖单位章):</w:t>
      </w:r>
      <w:r>
        <w:rPr>
          <w:rFonts w:hint="eastAsia" w:ascii="楷体" w:hAnsi="楷体" w:eastAsia="楷体" w:cs="楷体"/>
          <w:sz w:val="24"/>
          <w:highlight w:val="none"/>
          <w:u w:val="single"/>
        </w:rPr>
        <w:tab/>
      </w:r>
    </w:p>
    <w:p>
      <w:pPr>
        <w:pStyle w:val="10"/>
        <w:spacing w:line="240" w:lineRule="atLeast"/>
        <w:ind w:left="1080" w:leftChars="257" w:hanging="540"/>
        <w:rPr>
          <w:rFonts w:hint="eastAsia" w:ascii="楷体" w:hAnsi="楷体" w:eastAsia="楷体" w:cs="楷体"/>
          <w:sz w:val="24"/>
          <w:highlight w:val="none"/>
        </w:rPr>
      </w:pPr>
      <w:r>
        <w:rPr>
          <w:rFonts w:hint="eastAsia" w:ascii="楷体" w:hAnsi="楷体" w:eastAsia="楷体" w:cs="楷体"/>
          <w:sz w:val="24"/>
          <w:highlight w:val="none"/>
          <w:u w:val="single"/>
        </w:rPr>
        <w:br w:type="page"/>
      </w:r>
    </w:p>
    <w:p>
      <w:pPr>
        <w:pStyle w:val="2"/>
        <w:spacing w:before="0" w:line="240" w:lineRule="atLeast"/>
        <w:rPr>
          <w:rFonts w:hint="eastAsia" w:ascii="楷体" w:hAnsi="楷体" w:eastAsia="楷体" w:cs="楷体"/>
          <w:b w:val="0"/>
          <w:sz w:val="24"/>
          <w:highlight w:val="none"/>
        </w:rPr>
      </w:pPr>
      <w:bookmarkStart w:id="400" w:name="_Hlt520271212"/>
      <w:bookmarkEnd w:id="400"/>
      <w:bookmarkStart w:id="401" w:name="_Hlt520273973"/>
      <w:bookmarkEnd w:id="401"/>
      <w:bookmarkStart w:id="402" w:name="_Hlt520343000"/>
      <w:bookmarkEnd w:id="402"/>
      <w:bookmarkStart w:id="403" w:name="_Hlt520350918"/>
      <w:bookmarkEnd w:id="403"/>
      <w:bookmarkStart w:id="404" w:name="_Hlt520274407"/>
      <w:bookmarkEnd w:id="404"/>
      <w:bookmarkStart w:id="405" w:name="_Hlt520273711"/>
      <w:bookmarkEnd w:id="405"/>
      <w:bookmarkStart w:id="406" w:name="_Hlt520274911"/>
      <w:bookmarkEnd w:id="406"/>
      <w:bookmarkStart w:id="407" w:name="_Hlt520350957"/>
      <w:bookmarkEnd w:id="407"/>
      <w:bookmarkStart w:id="408" w:name="_Hlt520274065"/>
      <w:bookmarkEnd w:id="408"/>
      <w:bookmarkStart w:id="409" w:name="_Hlt520274393"/>
      <w:bookmarkEnd w:id="409"/>
      <w:bookmarkStart w:id="410" w:name="_Hlt520343392"/>
      <w:bookmarkEnd w:id="410"/>
      <w:bookmarkStart w:id="411" w:name="_Toc515647823"/>
      <w:bookmarkStart w:id="412" w:name="_Toc28788"/>
      <w:bookmarkStart w:id="413" w:name="_Toc21312"/>
      <w:bookmarkStart w:id="414" w:name="_Toc10725"/>
      <w:r>
        <w:rPr>
          <w:rFonts w:hint="eastAsia" w:ascii="楷体" w:hAnsi="楷体" w:eastAsia="楷体" w:cs="楷体"/>
          <w:sz w:val="24"/>
          <w:highlight w:val="none"/>
          <w:lang w:val="en-US" w:eastAsia="zh-CN"/>
        </w:rPr>
        <w:t>6</w:t>
      </w:r>
      <w:r>
        <w:rPr>
          <w:rFonts w:hint="eastAsia" w:ascii="楷体" w:hAnsi="楷体" w:eastAsia="楷体" w:cs="楷体"/>
          <w:sz w:val="24"/>
          <w:highlight w:val="none"/>
        </w:rPr>
        <w:t xml:space="preserve">-1 </w:t>
      </w:r>
      <w:r>
        <w:rPr>
          <w:rFonts w:hint="eastAsia" w:ascii="楷体" w:hAnsi="楷体" w:eastAsia="楷体" w:cs="楷体"/>
          <w:b w:val="0"/>
          <w:sz w:val="24"/>
          <w:highlight w:val="none"/>
        </w:rPr>
        <w:t xml:space="preserve"> </w:t>
      </w:r>
      <w:r>
        <w:rPr>
          <w:rFonts w:hint="eastAsia" w:ascii="楷体" w:hAnsi="楷体" w:eastAsia="楷体" w:cs="楷体"/>
          <w:sz w:val="24"/>
          <w:highlight w:val="none"/>
        </w:rPr>
        <w:t>投标人企业（单位）类型声明函（</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格式十一）</w:t>
      </w:r>
      <w:bookmarkEnd w:id="411"/>
      <w:bookmarkEnd w:id="412"/>
      <w:bookmarkEnd w:id="413"/>
      <w:bookmarkEnd w:id="414"/>
    </w:p>
    <w:p>
      <w:pPr>
        <w:spacing w:line="240" w:lineRule="atLeast"/>
        <w:ind w:left="1080" w:leftChars="257" w:hanging="540"/>
        <w:jc w:val="center"/>
        <w:rPr>
          <w:rFonts w:hint="eastAsia" w:ascii="楷体" w:hAnsi="楷体" w:eastAsia="楷体" w:cs="楷体"/>
          <w:b/>
          <w:kern w:val="0"/>
          <w:sz w:val="24"/>
          <w:szCs w:val="20"/>
          <w:highlight w:val="none"/>
        </w:rPr>
      </w:pPr>
    </w:p>
    <w:p>
      <w:pPr>
        <w:widowControl/>
        <w:spacing w:before="100" w:beforeAutospacing="1" w:after="100" w:afterAutospacing="1" w:line="330" w:lineRule="atLeast"/>
        <w:ind w:firstLine="480" w:firstLineChars="20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本企业（单位）郑重声明下列事项（按照实际情况勾选或填空）：</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1、</w:t>
      </w:r>
      <w:r>
        <w:rPr>
          <w:rFonts w:hint="eastAsia" w:ascii="楷体" w:hAnsi="楷体" w:eastAsia="楷体" w:cs="楷体"/>
          <w:kern w:val="0"/>
          <w:sz w:val="28"/>
          <w:szCs w:val="28"/>
          <w:highlight w:val="none"/>
        </w:rPr>
        <w:t>□</w:t>
      </w:r>
      <w:r>
        <w:rPr>
          <w:rFonts w:hint="eastAsia" w:ascii="楷体" w:hAnsi="楷体" w:eastAsia="楷体" w:cs="楷体"/>
          <w:kern w:val="0"/>
          <w:sz w:val="24"/>
          <w:highlight w:val="none"/>
        </w:rPr>
        <w:t>本企业（单位）为直接投标人提供本企业（单位）制造的货物。</w:t>
      </w:r>
    </w:p>
    <w:p>
      <w:pPr>
        <w:widowControl/>
        <w:numPr>
          <w:ilvl w:val="0"/>
          <w:numId w:val="8"/>
        </w:numPr>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（2） 本企业</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（3）</w:t>
      </w:r>
      <w:r>
        <w:rPr>
          <w:rFonts w:hint="eastAsia" w:ascii="楷体" w:hAnsi="楷体" w:eastAsia="楷体" w:cs="楷体"/>
          <w:sz w:val="30"/>
          <w:szCs w:val="30"/>
          <w:highlight w:val="none"/>
        </w:rPr>
        <w:t xml:space="preserve"> </w:t>
      </w:r>
      <w:r>
        <w:rPr>
          <w:rFonts w:hint="eastAsia" w:ascii="楷体" w:hAnsi="楷体" w:eastAsia="楷体" w:cs="楷体"/>
          <w:kern w:val="0"/>
          <w:sz w:val="24"/>
          <w:highlight w:val="none"/>
        </w:rPr>
        <w:t>根据《关于促进残疾人就业政府采购政策的通知》（财库〔2017〕141号）。本单位</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w:t>
      </w:r>
    </w:p>
    <w:p>
      <w:pPr>
        <w:widowControl/>
        <w:spacing w:before="100" w:beforeAutospacing="1" w:after="100" w:afterAutospacing="1" w:line="330" w:lineRule="atLeast"/>
        <w:jc w:val="left"/>
        <w:rPr>
          <w:rFonts w:hint="eastAsia" w:ascii="楷体" w:hAnsi="楷体" w:eastAsia="楷体" w:cs="楷体"/>
          <w:kern w:val="0"/>
          <w:sz w:val="24"/>
          <w:highlight w:val="none"/>
        </w:rPr>
      </w:pPr>
      <w:r>
        <w:rPr>
          <w:rFonts w:hint="eastAsia" w:ascii="楷体" w:hAnsi="楷体" w:eastAsia="楷体" w:cs="楷体"/>
          <w:kern w:val="0"/>
          <w:sz w:val="24"/>
          <w:highlight w:val="none"/>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投标人名称（盖单位章）：___________   </w:t>
      </w:r>
    </w:p>
    <w:p>
      <w:pPr>
        <w:widowControl/>
        <w:spacing w:before="100" w:beforeAutospacing="1" w:after="100" w:afterAutospacing="1" w:line="330" w:lineRule="atLeast"/>
        <w:ind w:firstLine="3120" w:firstLineChars="1300"/>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日　期：____________                     </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p>
    <w:p>
      <w:pPr>
        <w:spacing w:line="240" w:lineRule="atLeast"/>
        <w:ind w:left="1080" w:leftChars="257" w:hanging="540"/>
        <w:jc w:val="center"/>
        <w:rPr>
          <w:rFonts w:hint="eastAsia" w:ascii="楷体" w:hAnsi="楷体" w:eastAsia="楷体" w:cs="楷体"/>
          <w:b/>
          <w:kern w:val="0"/>
          <w:sz w:val="24"/>
          <w:szCs w:val="20"/>
          <w:highlight w:val="none"/>
        </w:rPr>
      </w:pPr>
      <w:r>
        <w:rPr>
          <w:rFonts w:hint="eastAsia" w:ascii="楷体" w:hAnsi="楷体" w:eastAsia="楷体" w:cs="楷体"/>
          <w:b/>
          <w:kern w:val="0"/>
          <w:sz w:val="24"/>
          <w:szCs w:val="20"/>
          <w:highlight w:val="none"/>
        </w:rPr>
        <w:t>　</w:t>
      </w:r>
    </w:p>
    <w:p>
      <w:pPr>
        <w:pStyle w:val="2"/>
        <w:spacing w:before="0" w:line="240" w:lineRule="atLeast"/>
        <w:rPr>
          <w:rFonts w:hint="eastAsia" w:ascii="楷体" w:hAnsi="楷体" w:eastAsia="楷体" w:cs="楷体"/>
          <w:b w:val="0"/>
          <w:sz w:val="24"/>
          <w:highlight w:val="none"/>
        </w:rPr>
      </w:pPr>
      <w:r>
        <w:rPr>
          <w:rFonts w:hint="eastAsia" w:ascii="楷体" w:hAnsi="楷体" w:eastAsia="楷体" w:cs="楷体"/>
          <w:b w:val="0"/>
          <w:sz w:val="24"/>
          <w:highlight w:val="none"/>
        </w:rPr>
        <w:br w:type="page"/>
      </w:r>
      <w:bookmarkStart w:id="415" w:name="_Toc11803"/>
      <w:bookmarkStart w:id="416" w:name="_Toc515647824"/>
      <w:bookmarkStart w:id="417" w:name="_Toc10977"/>
      <w:bookmarkStart w:id="418" w:name="_Toc1848"/>
      <w:r>
        <w:rPr>
          <w:rFonts w:hint="eastAsia" w:ascii="楷体" w:hAnsi="楷体" w:eastAsia="楷体" w:cs="楷体"/>
          <w:sz w:val="24"/>
          <w:highlight w:val="none"/>
          <w:lang w:val="en-US" w:eastAsia="zh-CN"/>
        </w:rPr>
        <w:t>6</w:t>
      </w:r>
      <w:r>
        <w:rPr>
          <w:rFonts w:hint="eastAsia" w:ascii="楷体" w:hAnsi="楷体" w:eastAsia="楷体" w:cs="楷体"/>
          <w:sz w:val="24"/>
          <w:highlight w:val="none"/>
        </w:rPr>
        <w:t>-2   制造商企业（单位）类型声明函（</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格式十二）</w:t>
      </w:r>
      <w:bookmarkEnd w:id="415"/>
      <w:bookmarkEnd w:id="416"/>
      <w:bookmarkEnd w:id="417"/>
      <w:bookmarkEnd w:id="418"/>
    </w:p>
    <w:p>
      <w:pPr>
        <w:spacing w:line="240" w:lineRule="atLeast"/>
        <w:ind w:left="1080" w:leftChars="257" w:hanging="540"/>
        <w:jc w:val="center"/>
        <w:rPr>
          <w:rFonts w:hint="eastAsia" w:ascii="楷体" w:hAnsi="楷体" w:eastAsia="楷体" w:cs="楷体"/>
          <w:b/>
          <w:kern w:val="0"/>
          <w:sz w:val="24"/>
          <w:szCs w:val="20"/>
          <w:highlight w:val="none"/>
        </w:rPr>
      </w:pP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本企业（单位）作为______单位的______ 项目的设备制造商，参加政府采购活动。根据</w:t>
      </w:r>
      <w:r>
        <w:rPr>
          <w:rFonts w:hint="eastAsia" w:ascii="楷体" w:hAnsi="楷体" w:eastAsia="楷体" w:cs="楷体"/>
          <w:kern w:val="0"/>
          <w:sz w:val="24"/>
          <w:highlight w:val="none"/>
          <w:lang w:eastAsia="zh-CN"/>
        </w:rPr>
        <w:t>《政府采购促进中小企业发展管理办法》（财库【2020】46号）</w:t>
      </w:r>
      <w:r>
        <w:rPr>
          <w:rFonts w:hint="eastAsia" w:ascii="楷体" w:hAnsi="楷体" w:eastAsia="楷体" w:cs="楷体"/>
          <w:kern w:val="0"/>
          <w:sz w:val="24"/>
          <w:highlight w:val="none"/>
        </w:rPr>
        <w:t>，《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本企业为______（请填写：中型、小型、微型）企业。</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本企业</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本单位为</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本企业（单位）提供本企业（单位）制造的货物。</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rPr>
      </w:pPr>
      <w:r>
        <w:rPr>
          <w:rFonts w:hint="eastAsia" w:ascii="楷体" w:hAnsi="楷体" w:eastAsia="楷体" w:cs="楷体"/>
          <w:kern w:val="0"/>
          <w:sz w:val="24"/>
          <w:highlight w:val="none"/>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楷体" w:hAnsi="楷体" w:eastAsia="楷体" w:cs="楷体"/>
          <w:kern w:val="0"/>
          <w:sz w:val="24"/>
          <w:highlight w:val="none"/>
          <w:u w:val="single" w:color="FFFFFF"/>
        </w:rPr>
      </w:pPr>
      <w:r>
        <w:rPr>
          <w:rFonts w:hint="eastAsia" w:ascii="楷体" w:hAnsi="楷体" w:eastAsia="楷体" w:cs="楷体"/>
          <w:kern w:val="0"/>
          <w:sz w:val="24"/>
          <w:highlight w:val="none"/>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楷体" w:hAnsi="楷体" w:eastAsia="楷体" w:cs="楷体"/>
          <w:kern w:val="0"/>
          <w:sz w:val="24"/>
          <w:highlight w:val="none"/>
        </w:rPr>
      </w:pPr>
    </w:p>
    <w:p>
      <w:pPr>
        <w:widowControl/>
        <w:spacing w:before="100" w:beforeAutospacing="1" w:after="100" w:afterAutospacing="1" w:line="330" w:lineRule="atLeast"/>
        <w:jc w:val="left"/>
        <w:rPr>
          <w:rFonts w:hint="eastAsia" w:ascii="楷体" w:hAnsi="楷体" w:eastAsia="楷体" w:cs="楷体"/>
          <w:kern w:val="0"/>
          <w:sz w:val="24"/>
          <w:highlight w:val="none"/>
        </w:rPr>
      </w:pPr>
    </w:p>
    <w:p>
      <w:pPr>
        <w:widowControl/>
        <w:spacing w:before="100" w:beforeAutospacing="1" w:after="100" w:afterAutospacing="1" w:line="330" w:lineRule="atLeast"/>
        <w:ind w:firstLine="3120" w:firstLineChars="1300"/>
        <w:jc w:val="left"/>
        <w:rPr>
          <w:rFonts w:hint="eastAsia" w:ascii="楷体" w:hAnsi="楷体" w:eastAsia="楷体" w:cs="楷体"/>
          <w:kern w:val="0"/>
          <w:sz w:val="24"/>
          <w:highlight w:val="none"/>
        </w:rPr>
      </w:pPr>
      <w:r>
        <w:rPr>
          <w:rFonts w:hint="eastAsia" w:ascii="楷体" w:hAnsi="楷体" w:eastAsia="楷体" w:cs="楷体"/>
          <w:kern w:val="0"/>
          <w:sz w:val="24"/>
          <w:highlight w:val="none"/>
          <w:u w:val="single" w:color="FFFFFF"/>
        </w:rPr>
        <w:t>制造商名称（盖单位章）</w:t>
      </w:r>
      <w:r>
        <w:rPr>
          <w:rFonts w:hint="eastAsia" w:ascii="楷体" w:hAnsi="楷体" w:eastAsia="楷体" w:cs="楷体"/>
          <w:kern w:val="0"/>
          <w:sz w:val="24"/>
          <w:highlight w:val="none"/>
        </w:rPr>
        <w:t xml:space="preserve">：                 </w:t>
      </w:r>
    </w:p>
    <w:p>
      <w:pPr>
        <w:widowControl/>
        <w:spacing w:before="100" w:beforeAutospacing="1" w:after="100" w:afterAutospacing="1" w:line="330" w:lineRule="atLeast"/>
        <w:ind w:firstLine="3120" w:firstLineChars="1300"/>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投标人名称（盖单位章）：___________  </w:t>
      </w:r>
    </w:p>
    <w:p>
      <w:pPr>
        <w:widowControl/>
        <w:spacing w:before="100" w:beforeAutospacing="1" w:after="100" w:afterAutospacing="1" w:line="330" w:lineRule="atLeast"/>
        <w:ind w:firstLine="3120" w:firstLineChars="1300"/>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日　期：____________    </w:t>
      </w:r>
    </w:p>
    <w:p>
      <w:pPr>
        <w:widowControl/>
        <w:spacing w:before="100" w:beforeAutospacing="1" w:after="100" w:afterAutospacing="1" w:line="330" w:lineRule="atLeast"/>
        <w:ind w:firstLine="3120" w:firstLineChars="1300"/>
        <w:jc w:val="left"/>
        <w:rPr>
          <w:rFonts w:hint="eastAsia" w:ascii="楷体" w:hAnsi="楷体" w:eastAsia="楷体" w:cs="楷体"/>
          <w:kern w:val="0"/>
          <w:sz w:val="24"/>
          <w:highlight w:val="none"/>
        </w:rPr>
      </w:pPr>
    </w:p>
    <w:p>
      <w:pPr>
        <w:widowControl/>
        <w:spacing w:before="100" w:beforeAutospacing="1" w:after="100" w:afterAutospacing="1" w:line="330" w:lineRule="atLeast"/>
        <w:ind w:firstLine="3120" w:firstLineChars="1300"/>
        <w:jc w:val="left"/>
        <w:rPr>
          <w:rFonts w:hint="eastAsia" w:ascii="楷体" w:hAnsi="楷体" w:eastAsia="楷体" w:cs="楷体"/>
          <w:kern w:val="0"/>
          <w:sz w:val="24"/>
          <w:highlight w:val="none"/>
        </w:rPr>
      </w:pPr>
    </w:p>
    <w:p>
      <w:pPr>
        <w:pStyle w:val="14"/>
        <w:rPr>
          <w:rFonts w:hint="eastAsia" w:ascii="楷体" w:hAnsi="楷体" w:eastAsia="楷体" w:cs="楷体"/>
          <w:kern w:val="0"/>
          <w:sz w:val="24"/>
          <w:highlight w:val="none"/>
        </w:rPr>
      </w:pPr>
    </w:p>
    <w:p>
      <w:pPr>
        <w:pStyle w:val="14"/>
        <w:rPr>
          <w:rFonts w:hint="eastAsia" w:ascii="楷体" w:hAnsi="楷体" w:eastAsia="楷体" w:cs="楷体"/>
          <w:kern w:val="0"/>
          <w:sz w:val="24"/>
          <w:highlight w:val="none"/>
        </w:rPr>
      </w:pPr>
    </w:p>
    <w:p>
      <w:pPr>
        <w:pStyle w:val="14"/>
        <w:rPr>
          <w:rFonts w:hint="eastAsia" w:ascii="楷体" w:hAnsi="楷体" w:eastAsia="楷体" w:cs="楷体"/>
          <w:kern w:val="0"/>
          <w:sz w:val="24"/>
          <w:highlight w:val="none"/>
        </w:rPr>
      </w:pPr>
    </w:p>
    <w:p>
      <w:pPr>
        <w:pStyle w:val="14"/>
        <w:rPr>
          <w:rFonts w:hint="eastAsia" w:ascii="楷体" w:hAnsi="楷体" w:eastAsia="楷体" w:cs="楷体"/>
          <w:kern w:val="0"/>
          <w:sz w:val="24"/>
          <w:highlight w:val="none"/>
        </w:rPr>
      </w:pPr>
    </w:p>
    <w:p>
      <w:pPr>
        <w:pStyle w:val="14"/>
        <w:rPr>
          <w:rFonts w:hint="eastAsia" w:ascii="楷体" w:hAnsi="楷体" w:eastAsia="楷体" w:cs="楷体"/>
          <w:kern w:val="0"/>
          <w:sz w:val="24"/>
          <w:highlight w:val="none"/>
        </w:rPr>
      </w:pPr>
    </w:p>
    <w:p>
      <w:pPr>
        <w:pStyle w:val="3"/>
        <w:rPr>
          <w:rFonts w:hint="eastAsia" w:ascii="楷体" w:hAnsi="楷体" w:eastAsia="楷体" w:cs="楷体"/>
          <w:highlight w:val="none"/>
        </w:rPr>
      </w:pPr>
    </w:p>
    <w:p>
      <w:pPr>
        <w:pStyle w:val="2"/>
        <w:spacing w:before="0" w:line="240" w:lineRule="atLeast"/>
        <w:rPr>
          <w:rFonts w:hint="eastAsia" w:ascii="楷体" w:hAnsi="楷体" w:eastAsia="楷体" w:cs="楷体"/>
          <w:sz w:val="24"/>
          <w:highlight w:val="none"/>
        </w:rPr>
      </w:pPr>
      <w:bookmarkStart w:id="419" w:name="_Toc515647825"/>
      <w:bookmarkStart w:id="420" w:name="_Toc19284"/>
      <w:bookmarkStart w:id="421" w:name="_Toc23068"/>
      <w:bookmarkStart w:id="422" w:name="_Toc14945"/>
      <w:bookmarkStart w:id="423" w:name="OLE_LINK13"/>
      <w:bookmarkStart w:id="424" w:name="OLE_LINK14"/>
      <w:r>
        <w:rPr>
          <w:rFonts w:hint="eastAsia" w:ascii="楷体" w:hAnsi="楷体" w:eastAsia="楷体" w:cs="楷体"/>
          <w:sz w:val="24"/>
          <w:highlight w:val="none"/>
          <w:lang w:val="en-US" w:eastAsia="zh-CN"/>
        </w:rPr>
        <w:t>6</w:t>
      </w:r>
      <w:r>
        <w:rPr>
          <w:rFonts w:hint="eastAsia" w:ascii="楷体" w:hAnsi="楷体" w:eastAsia="楷体" w:cs="楷体"/>
          <w:sz w:val="24"/>
          <w:highlight w:val="none"/>
        </w:rPr>
        <w:t>-3   残疾人福利性单位声明函（</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格式十三）</w:t>
      </w:r>
      <w:bookmarkEnd w:id="419"/>
      <w:bookmarkEnd w:id="420"/>
      <w:bookmarkEnd w:id="421"/>
      <w:bookmarkEnd w:id="422"/>
    </w:p>
    <w:bookmarkEnd w:id="423"/>
    <w:bookmarkEnd w:id="424"/>
    <w:p>
      <w:pPr>
        <w:spacing w:line="240" w:lineRule="atLeast"/>
        <w:ind w:left="1080" w:leftChars="257" w:hanging="540"/>
        <w:jc w:val="center"/>
        <w:rPr>
          <w:rFonts w:hint="eastAsia" w:ascii="楷体" w:hAnsi="楷体" w:eastAsia="楷体" w:cs="楷体"/>
          <w:kern w:val="0"/>
          <w:sz w:val="24"/>
          <w:szCs w:val="20"/>
          <w:highlight w:val="none"/>
        </w:rPr>
      </w:pPr>
    </w:p>
    <w:p>
      <w:pPr>
        <w:spacing w:line="240" w:lineRule="atLeast"/>
        <w:ind w:firstLine="567"/>
        <w:rPr>
          <w:rFonts w:hint="eastAsia" w:ascii="楷体" w:hAnsi="楷体" w:eastAsia="楷体" w:cs="楷体"/>
          <w:kern w:val="0"/>
          <w:sz w:val="24"/>
          <w:szCs w:val="20"/>
          <w:highlight w:val="none"/>
        </w:rPr>
      </w:pPr>
      <w:r>
        <w:rPr>
          <w:rFonts w:hint="eastAsia" w:ascii="楷体" w:hAnsi="楷体" w:eastAsia="楷体" w:cs="楷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楷体" w:hAnsi="楷体" w:eastAsia="楷体" w:cs="楷体"/>
          <w:kern w:val="0"/>
          <w:sz w:val="24"/>
          <w:szCs w:val="20"/>
          <w:highlight w:val="none"/>
        </w:rPr>
      </w:pPr>
      <w:r>
        <w:rPr>
          <w:rFonts w:hint="eastAsia" w:ascii="楷体" w:hAnsi="楷体" w:eastAsia="楷体" w:cs="楷体"/>
          <w:kern w:val="0"/>
          <w:sz w:val="24"/>
          <w:szCs w:val="20"/>
          <w:highlight w:val="none"/>
        </w:rPr>
        <w:t>本单位对上述声明的真实性负责。如有虚假，将依法承担相应责任。</w:t>
      </w:r>
    </w:p>
    <w:p>
      <w:pPr>
        <w:spacing w:line="240" w:lineRule="atLeast"/>
        <w:ind w:left="1080" w:leftChars="257" w:hanging="540"/>
        <w:jc w:val="center"/>
        <w:rPr>
          <w:rFonts w:hint="eastAsia" w:ascii="楷体" w:hAnsi="楷体" w:eastAsia="楷体" w:cs="楷体"/>
          <w:kern w:val="0"/>
          <w:sz w:val="24"/>
          <w:szCs w:val="20"/>
          <w:highlight w:val="none"/>
        </w:rPr>
      </w:pPr>
    </w:p>
    <w:p>
      <w:pPr>
        <w:spacing w:line="240" w:lineRule="atLeast"/>
        <w:ind w:left="1080" w:leftChars="257" w:hanging="540"/>
        <w:jc w:val="center"/>
        <w:rPr>
          <w:rFonts w:hint="eastAsia" w:ascii="楷体" w:hAnsi="楷体" w:eastAsia="楷体" w:cs="楷体"/>
          <w:kern w:val="0"/>
          <w:sz w:val="24"/>
          <w:szCs w:val="20"/>
          <w:highlight w:val="none"/>
        </w:rPr>
      </w:pPr>
    </w:p>
    <w:p>
      <w:pPr>
        <w:spacing w:line="240" w:lineRule="atLeast"/>
        <w:ind w:left="1080" w:leftChars="257" w:hanging="540"/>
        <w:jc w:val="center"/>
        <w:rPr>
          <w:rFonts w:hint="eastAsia" w:ascii="楷体" w:hAnsi="楷体" w:eastAsia="楷体" w:cs="楷体"/>
          <w:kern w:val="0"/>
          <w:sz w:val="24"/>
          <w:szCs w:val="20"/>
          <w:highlight w:val="none"/>
        </w:rPr>
      </w:pPr>
      <w:r>
        <w:rPr>
          <w:rFonts w:hint="eastAsia" w:ascii="楷体" w:hAnsi="楷体" w:eastAsia="楷体" w:cs="楷体"/>
          <w:kern w:val="0"/>
          <w:sz w:val="24"/>
          <w:szCs w:val="20"/>
          <w:highlight w:val="none"/>
        </w:rPr>
        <w:t xml:space="preserve">              残疾人福利性单位名称（盖单位章）：______________</w:t>
      </w:r>
    </w:p>
    <w:p>
      <w:pPr>
        <w:spacing w:line="240" w:lineRule="atLeast"/>
        <w:ind w:left="1080" w:leftChars="257" w:hanging="540"/>
        <w:jc w:val="center"/>
        <w:rPr>
          <w:rFonts w:hint="eastAsia" w:ascii="楷体" w:hAnsi="楷体" w:eastAsia="楷体" w:cs="楷体"/>
          <w:kern w:val="0"/>
          <w:sz w:val="24"/>
          <w:szCs w:val="20"/>
          <w:highlight w:val="none"/>
        </w:rPr>
      </w:pPr>
      <w:r>
        <w:rPr>
          <w:rFonts w:hint="eastAsia" w:ascii="楷体" w:hAnsi="楷体" w:eastAsia="楷体" w:cs="楷体"/>
          <w:kern w:val="0"/>
          <w:sz w:val="24"/>
          <w:szCs w:val="20"/>
          <w:highlight w:val="none"/>
        </w:rPr>
        <w:t xml:space="preserve">  </w:t>
      </w:r>
      <w:r>
        <w:rPr>
          <w:rFonts w:hint="eastAsia" w:ascii="楷体" w:hAnsi="楷体" w:eastAsia="楷体" w:cs="楷体"/>
          <w:kern w:val="0"/>
          <w:sz w:val="24"/>
          <w:szCs w:val="20"/>
          <w:highlight w:val="none"/>
          <w:u w:val="single" w:color="FFFFFF"/>
        </w:rPr>
        <w:t xml:space="preserve">         </w:t>
      </w:r>
      <w:r>
        <w:rPr>
          <w:rFonts w:hint="eastAsia" w:ascii="楷体" w:hAnsi="楷体" w:eastAsia="楷体" w:cs="楷体"/>
          <w:kern w:val="0"/>
          <w:sz w:val="24"/>
          <w:szCs w:val="20"/>
          <w:highlight w:val="none"/>
        </w:rPr>
        <w:t>日  期：_____________________________________</w:t>
      </w:r>
    </w:p>
    <w:p>
      <w:pPr>
        <w:spacing w:line="240" w:lineRule="atLeast"/>
        <w:ind w:left="1080" w:leftChars="257" w:hanging="540"/>
        <w:jc w:val="center"/>
        <w:rPr>
          <w:rFonts w:hint="eastAsia" w:ascii="楷体" w:hAnsi="楷体" w:eastAsia="楷体" w:cs="楷体"/>
          <w:b/>
          <w:kern w:val="0"/>
          <w:sz w:val="24"/>
          <w:szCs w:val="20"/>
          <w:highlight w:val="none"/>
        </w:rPr>
      </w:pPr>
    </w:p>
    <w:p>
      <w:pPr>
        <w:spacing w:line="240" w:lineRule="atLeast"/>
        <w:ind w:left="1080" w:leftChars="257" w:hanging="540"/>
        <w:jc w:val="center"/>
        <w:rPr>
          <w:rFonts w:hint="eastAsia" w:ascii="楷体" w:hAnsi="楷体" w:eastAsia="楷体" w:cs="楷体"/>
          <w:b/>
          <w:kern w:val="0"/>
          <w:sz w:val="24"/>
          <w:szCs w:val="20"/>
          <w:highlight w:val="none"/>
        </w:rPr>
      </w:pPr>
    </w:p>
    <w:p>
      <w:pPr>
        <w:spacing w:line="240" w:lineRule="atLeast"/>
        <w:ind w:left="1080" w:leftChars="257" w:hanging="540"/>
        <w:jc w:val="center"/>
        <w:rPr>
          <w:rFonts w:hint="eastAsia" w:ascii="楷体" w:hAnsi="楷体" w:eastAsia="楷体" w:cs="楷体"/>
          <w:b/>
          <w:kern w:val="0"/>
          <w:sz w:val="24"/>
          <w:szCs w:val="20"/>
          <w:highlight w:val="none"/>
        </w:rPr>
      </w:pPr>
    </w:p>
    <w:p>
      <w:pPr>
        <w:pStyle w:val="2"/>
        <w:spacing w:before="0" w:line="240" w:lineRule="atLeast"/>
        <w:ind w:left="1080" w:leftChars="257" w:hanging="540"/>
        <w:rPr>
          <w:rFonts w:hint="eastAsia" w:ascii="楷体" w:hAnsi="楷体" w:eastAsia="楷体" w:cs="楷体"/>
          <w:sz w:val="24"/>
          <w:highlight w:val="none"/>
        </w:rPr>
      </w:pPr>
      <w:bookmarkStart w:id="425" w:name="_Toc515647827"/>
      <w:bookmarkStart w:id="426" w:name="_Toc28099"/>
      <w:bookmarkStart w:id="427" w:name="_Toc14773"/>
      <w:bookmarkStart w:id="428" w:name="_Toc30795"/>
      <w:r>
        <w:rPr>
          <w:rFonts w:hint="eastAsia" w:ascii="楷体" w:hAnsi="楷体" w:eastAsia="楷体" w:cs="楷体"/>
          <w:sz w:val="24"/>
          <w:highlight w:val="none"/>
          <w:lang w:val="en-US" w:eastAsia="zh-CN"/>
        </w:rPr>
        <w:t>7</w:t>
      </w:r>
      <w:r>
        <w:rPr>
          <w:rFonts w:hint="eastAsia" w:ascii="楷体" w:hAnsi="楷体" w:eastAsia="楷体" w:cs="楷体"/>
          <w:sz w:val="24"/>
          <w:highlight w:val="none"/>
        </w:rPr>
        <w:t xml:space="preserve">   投标人关联单位的说明</w:t>
      </w:r>
      <w:bookmarkEnd w:id="425"/>
      <w:bookmarkEnd w:id="426"/>
      <w:bookmarkEnd w:id="427"/>
      <w:bookmarkEnd w:id="428"/>
    </w:p>
    <w:p>
      <w:pPr>
        <w:pStyle w:val="3"/>
        <w:jc w:val="center"/>
        <w:rPr>
          <w:rFonts w:hint="eastAsia" w:ascii="楷体" w:hAnsi="楷体" w:eastAsia="楷体" w:cs="楷体"/>
          <w:highlight w:val="none"/>
        </w:rPr>
      </w:pPr>
    </w:p>
    <w:p>
      <w:pPr>
        <w:pStyle w:val="3"/>
        <w:ind w:firstLine="480" w:firstLineChars="200"/>
        <w:rPr>
          <w:rFonts w:hint="eastAsia" w:ascii="楷体" w:hAnsi="楷体" w:eastAsia="楷体" w:cs="楷体"/>
          <w:highlight w:val="none"/>
        </w:rPr>
      </w:pPr>
      <w:r>
        <w:rPr>
          <w:rFonts w:hint="eastAsia" w:ascii="楷体" w:hAnsi="楷体" w:eastAsia="楷体" w:cs="楷体"/>
          <w:highlight w:val="none"/>
        </w:rPr>
        <w:t>说明：投标人应当如实披露与本单位存在下列关联关系的单位名称：</w:t>
      </w:r>
    </w:p>
    <w:p>
      <w:pPr>
        <w:pStyle w:val="3"/>
        <w:ind w:firstLine="480" w:firstLineChars="200"/>
        <w:rPr>
          <w:rFonts w:hint="eastAsia" w:ascii="楷体" w:hAnsi="楷体" w:eastAsia="楷体" w:cs="楷体"/>
          <w:highlight w:val="none"/>
        </w:rPr>
      </w:pPr>
      <w:r>
        <w:rPr>
          <w:rFonts w:hint="eastAsia" w:ascii="楷体" w:hAnsi="楷体" w:eastAsia="楷体" w:cs="楷体"/>
          <w:highlight w:val="none"/>
        </w:rPr>
        <w:t>（1）与投标人单位负责人为同一人的其他单位；</w:t>
      </w:r>
      <w:r>
        <w:rPr>
          <w:rFonts w:hint="eastAsia" w:ascii="楷体" w:hAnsi="楷体" w:eastAsia="楷体" w:cs="楷体"/>
          <w:highlight w:val="none"/>
        </w:rPr>
        <w:br w:type="textWrapping"/>
      </w:r>
      <w:r>
        <w:rPr>
          <w:rFonts w:hint="eastAsia" w:ascii="楷体" w:hAnsi="楷体" w:eastAsia="楷体" w:cs="楷体"/>
          <w:highlight w:val="none"/>
        </w:rPr>
        <w:t xml:space="preserve">    （2）与投标人存在直接控股、管理关系的其他单位。</w:t>
      </w:r>
    </w:p>
    <w:p>
      <w:pPr>
        <w:jc w:val="center"/>
        <w:rPr>
          <w:rFonts w:hint="eastAsia" w:ascii="楷体" w:hAnsi="楷体" w:eastAsia="楷体" w:cs="楷体"/>
          <w:highlight w:val="none"/>
        </w:rPr>
      </w:pPr>
    </w:p>
    <w:p>
      <w:pPr>
        <w:jc w:val="center"/>
        <w:rPr>
          <w:rFonts w:hint="eastAsia" w:ascii="楷体" w:hAnsi="楷体" w:eastAsia="楷体" w:cs="楷体"/>
          <w:highlight w:val="none"/>
        </w:rPr>
      </w:pPr>
    </w:p>
    <w:p>
      <w:pPr>
        <w:jc w:val="center"/>
        <w:rPr>
          <w:rFonts w:hint="eastAsia" w:ascii="楷体" w:hAnsi="楷体" w:eastAsia="楷体" w:cs="楷体"/>
          <w:highlight w:val="none"/>
        </w:rPr>
      </w:pPr>
    </w:p>
    <w:p>
      <w:pPr>
        <w:jc w:val="center"/>
        <w:rPr>
          <w:rFonts w:hint="eastAsia" w:ascii="楷体" w:hAnsi="楷体" w:eastAsia="楷体" w:cs="楷体"/>
          <w:b/>
          <w:kern w:val="0"/>
          <w:sz w:val="24"/>
          <w:szCs w:val="20"/>
          <w:highlight w:val="none"/>
          <w:lang w:val="en-US" w:eastAsia="zh-CN" w:bidi="ar-SA"/>
        </w:rPr>
      </w:pPr>
      <w:bookmarkStart w:id="429" w:name="_Toc17333"/>
      <w:bookmarkStart w:id="430" w:name="_Toc515647828"/>
      <w:bookmarkStart w:id="431" w:name="_Toc7414"/>
      <w:r>
        <w:rPr>
          <w:rFonts w:hint="eastAsia" w:ascii="楷体" w:hAnsi="楷体" w:eastAsia="楷体" w:cs="楷体"/>
          <w:b/>
          <w:kern w:val="0"/>
          <w:sz w:val="24"/>
          <w:szCs w:val="20"/>
          <w:highlight w:val="none"/>
          <w:lang w:val="en-US" w:eastAsia="zh-CN" w:bidi="ar-SA"/>
        </w:rPr>
        <w:t>8   响应文件还应包括投标人须知第10条的所有技术文件</w:t>
      </w:r>
      <w:bookmarkEnd w:id="429"/>
      <w:bookmarkEnd w:id="430"/>
      <w:bookmarkEnd w:id="431"/>
    </w:p>
    <w:p>
      <w:pPr>
        <w:spacing w:line="240" w:lineRule="atLeast"/>
        <w:ind w:left="1080" w:leftChars="257" w:hanging="540"/>
        <w:jc w:val="center"/>
        <w:rPr>
          <w:rFonts w:hint="eastAsia" w:ascii="楷体" w:hAnsi="楷体" w:eastAsia="楷体" w:cs="楷体"/>
          <w:sz w:val="24"/>
          <w:highlight w:val="none"/>
          <w:lang w:eastAsia="zh-CN"/>
        </w:rPr>
      </w:pP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如：供货方案、售后服务等</w:t>
      </w:r>
      <w:r>
        <w:rPr>
          <w:rFonts w:hint="eastAsia" w:ascii="楷体" w:hAnsi="楷体" w:eastAsia="楷体" w:cs="楷体"/>
          <w:sz w:val="24"/>
          <w:highlight w:val="none"/>
          <w:lang w:eastAsia="zh-CN"/>
        </w:rPr>
        <w:t>）</w:t>
      </w:r>
    </w:p>
    <w:p>
      <w:pPr>
        <w:pStyle w:val="3"/>
        <w:ind w:left="0" w:leftChars="0" w:firstLine="0" w:firstLineChars="0"/>
        <w:jc w:val="center"/>
        <w:rPr>
          <w:rFonts w:hint="eastAsia" w:ascii="楷体" w:hAnsi="楷体" w:eastAsia="楷体" w:cs="楷体"/>
          <w:b/>
          <w:kern w:val="0"/>
          <w:sz w:val="24"/>
          <w:szCs w:val="20"/>
          <w:lang w:val="en-US" w:eastAsia="zh-CN" w:bidi="ar-SA"/>
        </w:rPr>
      </w:pPr>
    </w:p>
    <w:p>
      <w:pPr>
        <w:spacing w:line="240" w:lineRule="atLeast"/>
        <w:ind w:left="1080" w:leftChars="257" w:hanging="540"/>
        <w:jc w:val="center"/>
        <w:rPr>
          <w:rFonts w:hint="eastAsia" w:ascii="楷体" w:hAnsi="楷体" w:eastAsia="楷体" w:cs="楷体"/>
          <w:sz w:val="24"/>
        </w:rPr>
      </w:pPr>
    </w:p>
    <w:p>
      <w:pPr>
        <w:spacing w:line="240" w:lineRule="atLeast"/>
        <w:ind w:left="1080" w:leftChars="257" w:hanging="540"/>
        <w:jc w:val="center"/>
        <w:rPr>
          <w:rFonts w:hint="eastAsia" w:ascii="楷体" w:hAnsi="楷体" w:eastAsia="楷体" w:cs="楷体"/>
          <w:sz w:val="24"/>
        </w:rPr>
      </w:pPr>
    </w:p>
    <w:p>
      <w:pPr>
        <w:spacing w:line="240" w:lineRule="atLeast"/>
        <w:jc w:val="center"/>
        <w:rPr>
          <w:rFonts w:hint="eastAsia" w:ascii="楷体" w:hAnsi="楷体" w:eastAsia="楷体" w:cs="楷体"/>
          <w:b/>
          <w:kern w:val="0"/>
          <w:sz w:val="24"/>
          <w:szCs w:val="20"/>
          <w:lang w:eastAsia="zh-CN"/>
        </w:rPr>
      </w:pPr>
      <w:r>
        <w:rPr>
          <w:rFonts w:hint="eastAsia" w:ascii="楷体" w:hAnsi="楷体" w:eastAsia="楷体" w:cs="楷体"/>
          <w:b/>
          <w:kern w:val="0"/>
          <w:sz w:val="24"/>
          <w:szCs w:val="20"/>
          <w:lang w:val="en-US" w:eastAsia="zh-CN"/>
        </w:rPr>
        <w:t xml:space="preserve">9 </w:t>
      </w:r>
      <w:r>
        <w:rPr>
          <w:rFonts w:hint="eastAsia" w:ascii="楷体" w:hAnsi="楷体" w:eastAsia="楷体" w:cs="楷体"/>
          <w:b/>
          <w:kern w:val="0"/>
          <w:sz w:val="24"/>
          <w:szCs w:val="20"/>
          <w:lang w:eastAsia="zh-CN"/>
        </w:rPr>
        <w:t>二次报价表格（</w:t>
      </w:r>
      <w:r>
        <w:rPr>
          <w:rFonts w:hint="eastAsia" w:ascii="楷体" w:hAnsi="楷体" w:eastAsia="楷体" w:cs="楷体"/>
          <w:sz w:val="24"/>
          <w:lang w:eastAsia="zh-CN"/>
        </w:rPr>
        <w:t>此表无需制作于标书中</w:t>
      </w:r>
      <w:r>
        <w:rPr>
          <w:rFonts w:hint="eastAsia" w:ascii="楷体" w:hAnsi="楷体" w:eastAsia="楷体" w:cs="楷体"/>
          <w:b/>
          <w:kern w:val="0"/>
          <w:sz w:val="24"/>
          <w:szCs w:val="20"/>
          <w:lang w:eastAsia="zh-CN"/>
        </w:rPr>
        <w:t>）</w:t>
      </w:r>
    </w:p>
    <w:tbl>
      <w:tblPr>
        <w:tblStyle w:val="17"/>
        <w:tblW w:w="5129" w:type="pct"/>
        <w:tblInd w:w="0" w:type="dxa"/>
        <w:tblLayout w:type="autofit"/>
        <w:tblCellMar>
          <w:top w:w="0" w:type="dxa"/>
          <w:left w:w="0" w:type="dxa"/>
          <w:bottom w:w="0" w:type="dxa"/>
          <w:right w:w="0" w:type="dxa"/>
        </w:tblCellMar>
      </w:tblPr>
      <w:tblGrid>
        <w:gridCol w:w="560"/>
        <w:gridCol w:w="1711"/>
        <w:gridCol w:w="3069"/>
        <w:gridCol w:w="1612"/>
        <w:gridCol w:w="1605"/>
      </w:tblGrid>
      <w:tr>
        <w:tblPrEx>
          <w:tblCellMar>
            <w:top w:w="0" w:type="dxa"/>
            <w:left w:w="0" w:type="dxa"/>
            <w:bottom w:w="0" w:type="dxa"/>
            <w:right w:w="0" w:type="dxa"/>
          </w:tblCellMar>
        </w:tblPrEx>
        <w:trPr>
          <w:trHeight w:val="90" w:hRule="atLeast"/>
        </w:trPr>
        <w:tc>
          <w:tcPr>
            <w:tcW w:w="5000" w:type="pct"/>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b/>
                <w:i w:val="0"/>
                <w:color w:val="000000"/>
                <w:sz w:val="36"/>
                <w:szCs w:val="36"/>
                <w:u w:val="none"/>
              </w:rPr>
            </w:pPr>
            <w:r>
              <w:rPr>
                <w:rFonts w:hint="eastAsia" w:ascii="楷体" w:hAnsi="楷体" w:eastAsia="楷体" w:cs="楷体"/>
                <w:b/>
                <w:i w:val="0"/>
                <w:color w:val="000000"/>
                <w:kern w:val="0"/>
                <w:sz w:val="36"/>
                <w:szCs w:val="36"/>
                <w:u w:val="none"/>
                <w:lang w:val="en-US" w:eastAsia="zh-CN" w:bidi="ar"/>
              </w:rPr>
              <w:t>二次报价表</w:t>
            </w:r>
          </w:p>
        </w:tc>
      </w:tr>
      <w:tr>
        <w:tblPrEx>
          <w:tblCellMar>
            <w:top w:w="0" w:type="dxa"/>
            <w:left w:w="0" w:type="dxa"/>
            <w:bottom w:w="0" w:type="dxa"/>
            <w:right w:w="0" w:type="dxa"/>
          </w:tblCellMar>
        </w:tblPrEx>
        <w:trPr>
          <w:trHeight w:val="520" w:hRule="atLeast"/>
        </w:trPr>
        <w:tc>
          <w:tcPr>
            <w:tcW w:w="5000" w:type="pct"/>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项目名称：塔什库尔干野生动物自然保护区服务中心采购科研监测设备（视频监测设备、湿地生态监测与管理大数据平台软件升级版软件、智能巡护移动终端、保护区卫星遥感影像）项目   KSBJ-HRGL-2021-01</w:t>
            </w:r>
          </w:p>
        </w:tc>
      </w:tr>
      <w:tr>
        <w:tblPrEx>
          <w:tblCellMar>
            <w:top w:w="0" w:type="dxa"/>
            <w:left w:w="0" w:type="dxa"/>
            <w:bottom w:w="0" w:type="dxa"/>
            <w:right w:w="0" w:type="dxa"/>
          </w:tblCellMar>
        </w:tblPrEx>
        <w:trPr>
          <w:trHeight w:val="520" w:hRule="atLeast"/>
        </w:trPr>
        <w:tc>
          <w:tcPr>
            <w:tcW w:w="3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序号</w:t>
            </w:r>
          </w:p>
        </w:tc>
        <w:tc>
          <w:tcPr>
            <w:tcW w:w="1000"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投标单位</w:t>
            </w:r>
          </w:p>
        </w:tc>
        <w:tc>
          <w:tcPr>
            <w:tcW w:w="1793"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投标报价（元）</w:t>
            </w:r>
          </w:p>
        </w:tc>
        <w:tc>
          <w:tcPr>
            <w:tcW w:w="942"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其他相关承诺</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投标代表签字</w:t>
            </w:r>
          </w:p>
        </w:tc>
      </w:tr>
      <w:tr>
        <w:tblPrEx>
          <w:tblCellMar>
            <w:top w:w="0" w:type="dxa"/>
            <w:left w:w="0" w:type="dxa"/>
            <w:bottom w:w="0" w:type="dxa"/>
            <w:right w:w="0" w:type="dxa"/>
          </w:tblCellMar>
        </w:tblPrEx>
        <w:trPr>
          <w:trHeight w:val="1818" w:hRule="atLeast"/>
        </w:trPr>
        <w:tc>
          <w:tcPr>
            <w:tcW w:w="327"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i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小写：</w:t>
            </w:r>
            <w:r>
              <w:rPr>
                <w:rFonts w:hint="eastAsia" w:ascii="楷体" w:hAnsi="楷体" w:eastAsia="楷体" w:cs="楷体"/>
                <w:i w:val="0"/>
                <w:color w:val="000000"/>
                <w:kern w:val="0"/>
                <w:sz w:val="24"/>
                <w:szCs w:val="24"/>
                <w:u w:val="none"/>
                <w:lang w:val="en-US" w:eastAsia="zh-CN" w:bidi="ar"/>
              </w:rPr>
              <w:br w:type="textWrapping"/>
            </w:r>
            <w:r>
              <w:rPr>
                <w:rFonts w:hint="eastAsia" w:ascii="楷体" w:hAnsi="楷体" w:eastAsia="楷体" w:cs="楷体"/>
                <w:i w:val="0"/>
                <w:color w:val="000000"/>
                <w:kern w:val="0"/>
                <w:sz w:val="24"/>
                <w:szCs w:val="24"/>
                <w:u w:val="none"/>
                <w:lang w:val="en-US" w:eastAsia="zh-CN" w:bidi="ar"/>
              </w:rPr>
              <w:br w:type="textWrapping"/>
            </w:r>
            <w:r>
              <w:rPr>
                <w:rFonts w:hint="eastAsia" w:ascii="楷体" w:hAnsi="楷体" w:eastAsia="楷体" w:cs="楷体"/>
                <w:i w:val="0"/>
                <w:color w:val="000000"/>
                <w:kern w:val="0"/>
                <w:sz w:val="24"/>
                <w:szCs w:val="24"/>
                <w:u w:val="none"/>
                <w:lang w:val="en-US" w:eastAsia="zh-CN" w:bidi="ar"/>
              </w:rPr>
              <w:br w:type="textWrapping"/>
            </w:r>
            <w:r>
              <w:rPr>
                <w:rFonts w:hint="eastAsia" w:ascii="楷体" w:hAnsi="楷体" w:eastAsia="楷体" w:cs="楷体"/>
                <w:i w:val="0"/>
                <w:color w:val="000000"/>
                <w:kern w:val="0"/>
                <w:sz w:val="24"/>
                <w:szCs w:val="24"/>
                <w:u w:val="none"/>
                <w:lang w:val="en-US" w:eastAsia="zh-CN" w:bidi="ar"/>
              </w:rPr>
              <w:br w:type="textWrapping"/>
            </w:r>
            <w:r>
              <w:rPr>
                <w:rFonts w:hint="eastAsia" w:ascii="楷体" w:hAnsi="楷体" w:eastAsia="楷体" w:cs="楷体"/>
                <w:i w:val="0"/>
                <w:color w:val="000000"/>
                <w:kern w:val="0"/>
                <w:sz w:val="24"/>
                <w:szCs w:val="24"/>
                <w:u w:val="none"/>
                <w:lang w:val="en-US" w:eastAsia="zh-CN" w:bidi="ar"/>
              </w:rPr>
              <w:t>大写：</w:t>
            </w:r>
          </w:p>
        </w:tc>
        <w:tc>
          <w:tcPr>
            <w:tcW w:w="9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楷体" w:hAnsi="楷体" w:eastAsia="楷体" w:cs="楷体"/>
                <w:i w:val="0"/>
                <w:color w:val="000000"/>
                <w:sz w:val="24"/>
                <w:szCs w:val="24"/>
                <w:u w:val="none"/>
              </w:rPr>
            </w:pPr>
          </w:p>
        </w:tc>
        <w:tc>
          <w:tcPr>
            <w:tcW w:w="9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楷体" w:hAnsi="楷体" w:eastAsia="楷体" w:cs="楷体"/>
                <w:i w:val="0"/>
                <w:color w:val="000000"/>
                <w:sz w:val="24"/>
                <w:szCs w:val="24"/>
                <w:u w:val="none"/>
              </w:rPr>
            </w:pPr>
          </w:p>
        </w:tc>
      </w:tr>
      <w:tr>
        <w:tblPrEx>
          <w:tblCellMar>
            <w:top w:w="0" w:type="dxa"/>
            <w:left w:w="0" w:type="dxa"/>
            <w:bottom w:w="0" w:type="dxa"/>
            <w:right w:w="0" w:type="dxa"/>
          </w:tblCellMar>
        </w:tblPrEx>
        <w:trPr>
          <w:trHeight w:val="285" w:hRule="atLeast"/>
        </w:trPr>
        <w:tc>
          <w:tcPr>
            <w:tcW w:w="5000" w:type="pct"/>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代理公司：深圳市华睿项目管理有限公司</w:t>
            </w:r>
          </w:p>
        </w:tc>
      </w:tr>
      <w:tr>
        <w:tblPrEx>
          <w:tblCellMar>
            <w:top w:w="0" w:type="dxa"/>
            <w:left w:w="0" w:type="dxa"/>
            <w:bottom w:w="0" w:type="dxa"/>
            <w:right w:w="0" w:type="dxa"/>
          </w:tblCellMar>
        </w:tblPrEx>
        <w:trPr>
          <w:trHeight w:val="285" w:hRule="atLeast"/>
        </w:trPr>
        <w:tc>
          <w:tcPr>
            <w:tcW w:w="5000" w:type="pct"/>
            <w:gridSpan w:val="5"/>
            <w:vMerge w:val="restart"/>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8064A2"/>
                <w:kern w:val="0"/>
                <w:sz w:val="24"/>
                <w:szCs w:val="24"/>
                <w:u w:val="none"/>
                <w:lang w:val="en-US" w:eastAsia="zh-CN" w:bidi="ar"/>
              </w:rPr>
              <w:t>开标时间</w:t>
            </w:r>
            <w:r>
              <w:rPr>
                <w:rFonts w:hint="eastAsia" w:ascii="楷体" w:hAnsi="楷体" w:eastAsia="楷体" w:cs="楷体"/>
                <w:i w:val="0"/>
                <w:color w:val="8064A2"/>
                <w:kern w:val="0"/>
                <w:sz w:val="24"/>
                <w:szCs w:val="24"/>
                <w:highlight w:val="none"/>
                <w:u w:val="none"/>
                <w:lang w:val="en-US" w:eastAsia="zh-CN" w:bidi="ar"/>
              </w:rPr>
              <w:t>：   年  月  日   :    （</w:t>
            </w:r>
            <w:r>
              <w:rPr>
                <w:rFonts w:hint="eastAsia" w:ascii="楷体" w:hAnsi="楷体" w:eastAsia="楷体" w:cs="楷体"/>
                <w:i w:val="0"/>
                <w:color w:val="8064A2"/>
                <w:kern w:val="0"/>
                <w:sz w:val="24"/>
                <w:szCs w:val="24"/>
                <w:u w:val="none"/>
                <w:lang w:val="en-US" w:eastAsia="zh-CN" w:bidi="ar"/>
              </w:rPr>
              <w:t>北京时间）</w:t>
            </w:r>
          </w:p>
        </w:tc>
      </w:tr>
      <w:tr>
        <w:tblPrEx>
          <w:tblCellMar>
            <w:top w:w="0" w:type="dxa"/>
            <w:left w:w="0" w:type="dxa"/>
            <w:bottom w:w="0" w:type="dxa"/>
            <w:right w:w="0" w:type="dxa"/>
          </w:tblCellMar>
        </w:tblPrEx>
        <w:trPr>
          <w:trHeight w:val="285" w:hRule="atLeast"/>
        </w:trPr>
        <w:tc>
          <w:tcPr>
            <w:tcW w:w="5000" w:type="pct"/>
            <w:gridSpan w:val="5"/>
            <w:vMerge w:val="continue"/>
            <w:tcBorders>
              <w:top w:val="nil"/>
              <w:left w:val="nil"/>
              <w:bottom w:val="nil"/>
              <w:right w:val="nil"/>
            </w:tcBorders>
            <w:noWrap/>
            <w:tcMar>
              <w:top w:w="15" w:type="dxa"/>
              <w:left w:w="15" w:type="dxa"/>
              <w:right w:w="15" w:type="dxa"/>
            </w:tcMar>
            <w:vAlign w:val="center"/>
          </w:tcPr>
          <w:p>
            <w:pPr>
              <w:rPr>
                <w:rFonts w:hint="eastAsia" w:ascii="楷体" w:hAnsi="楷体" w:eastAsia="楷体" w:cs="楷体"/>
                <w:i w:val="0"/>
                <w:color w:val="000000"/>
                <w:sz w:val="24"/>
                <w:szCs w:val="24"/>
                <w:u w:val="none"/>
              </w:rPr>
            </w:pPr>
          </w:p>
        </w:tc>
      </w:tr>
    </w:tbl>
    <w:p>
      <w:pPr>
        <w:spacing w:line="240" w:lineRule="atLeast"/>
        <w:ind w:left="1080" w:leftChars="257" w:hanging="540"/>
        <w:jc w:val="center"/>
        <w:rPr>
          <w:rFonts w:hint="eastAsia" w:ascii="楷体" w:hAnsi="楷体" w:eastAsia="楷体" w:cs="楷体"/>
          <w:sz w:val="24"/>
        </w:rPr>
      </w:pPr>
      <w:r>
        <w:rPr>
          <w:rFonts w:hint="eastAsia" w:ascii="楷体" w:hAnsi="楷体" w:eastAsia="楷体" w:cs="楷体"/>
          <w:sz w:val="24"/>
        </w:rPr>
        <w:br w:type="page"/>
      </w:r>
    </w:p>
    <w:p>
      <w:pPr>
        <w:spacing w:line="240" w:lineRule="atLeast"/>
        <w:ind w:left="1080" w:leftChars="257" w:hanging="540"/>
        <w:jc w:val="center"/>
        <w:rPr>
          <w:rFonts w:hint="eastAsia" w:ascii="楷体" w:hAnsi="楷体" w:eastAsia="楷体" w:cs="楷体"/>
          <w:sz w:val="24"/>
        </w:rPr>
      </w:pPr>
    </w:p>
    <w:p>
      <w:pPr>
        <w:spacing w:line="240" w:lineRule="atLeast"/>
        <w:ind w:left="1080" w:leftChars="257" w:hanging="540"/>
        <w:jc w:val="center"/>
        <w:rPr>
          <w:rFonts w:hint="eastAsia" w:ascii="楷体" w:hAnsi="楷体" w:eastAsia="楷体" w:cs="楷体"/>
          <w:b/>
          <w:sz w:val="30"/>
          <w:szCs w:val="30"/>
        </w:rPr>
      </w:pPr>
    </w:p>
    <w:p>
      <w:pPr>
        <w:spacing w:line="240" w:lineRule="atLeast"/>
        <w:jc w:val="center"/>
        <w:rPr>
          <w:rFonts w:hint="eastAsia" w:ascii="楷体" w:hAnsi="楷体" w:eastAsia="楷体" w:cs="楷体"/>
          <w:b/>
          <w:sz w:val="48"/>
          <w:szCs w:val="48"/>
          <w:lang w:eastAsia="zh-CN"/>
        </w:rPr>
      </w:pPr>
      <w:r>
        <w:rPr>
          <w:rFonts w:hint="eastAsia" w:ascii="楷体" w:hAnsi="楷体" w:eastAsia="楷体" w:cs="楷体"/>
          <w:b/>
          <w:sz w:val="48"/>
          <w:szCs w:val="48"/>
          <w:lang w:eastAsia="zh-CN"/>
        </w:rPr>
        <w:t>塔什库尔干野生动物自然保护区服务中心采购科研监测设备（视频监测设备、湿地生态监测与管理大数据平台软件升级版软件、智能巡护移动终端、保护区卫星遥感影像）项目</w:t>
      </w:r>
    </w:p>
    <w:p>
      <w:pPr>
        <w:spacing w:line="240" w:lineRule="atLeast"/>
        <w:jc w:val="center"/>
        <w:rPr>
          <w:rFonts w:hint="eastAsia" w:ascii="楷体" w:hAnsi="楷体" w:eastAsia="楷体" w:cs="楷体"/>
          <w:b/>
          <w:sz w:val="48"/>
          <w:szCs w:val="48"/>
          <w:lang w:eastAsia="zh-CN"/>
        </w:rPr>
      </w:pPr>
      <w:r>
        <w:rPr>
          <w:rFonts w:hint="eastAsia" w:ascii="楷体" w:hAnsi="楷体" w:eastAsia="楷体" w:cs="楷体"/>
          <w:b/>
          <w:sz w:val="48"/>
          <w:szCs w:val="48"/>
        </w:rPr>
        <w:t>竞争性磋商</w:t>
      </w:r>
      <w:r>
        <w:rPr>
          <w:rFonts w:hint="eastAsia" w:ascii="楷体" w:hAnsi="楷体" w:eastAsia="楷体" w:cs="楷体"/>
          <w:b/>
          <w:sz w:val="48"/>
          <w:szCs w:val="48"/>
          <w:lang w:eastAsia="zh-CN"/>
        </w:rPr>
        <w:t>文件</w:t>
      </w:r>
    </w:p>
    <w:p>
      <w:pPr>
        <w:pStyle w:val="3"/>
        <w:rPr>
          <w:rFonts w:hint="eastAsia"/>
        </w:rPr>
      </w:pPr>
    </w:p>
    <w:p>
      <w:pPr>
        <w:pStyle w:val="3"/>
        <w:rPr>
          <w:rFonts w:hint="eastAsia"/>
        </w:rPr>
      </w:pPr>
    </w:p>
    <w:p>
      <w:pPr>
        <w:spacing w:line="240" w:lineRule="atLeast"/>
        <w:jc w:val="center"/>
        <w:rPr>
          <w:rFonts w:hint="eastAsia" w:ascii="楷体" w:hAnsi="楷体" w:eastAsia="楷体" w:cs="楷体"/>
          <w:bCs/>
          <w:sz w:val="36"/>
          <w:szCs w:val="36"/>
          <w:lang w:val="en-US" w:eastAsia="zh-CN"/>
        </w:rPr>
      </w:pPr>
      <w:r>
        <w:rPr>
          <w:rFonts w:hint="eastAsia" w:ascii="楷体" w:hAnsi="楷体" w:eastAsia="楷体" w:cs="楷体"/>
          <w:bCs/>
          <w:sz w:val="36"/>
          <w:szCs w:val="36"/>
        </w:rPr>
        <w:t>项目编号：</w:t>
      </w:r>
      <w:r>
        <w:rPr>
          <w:rFonts w:hint="eastAsia" w:ascii="楷体" w:hAnsi="楷体" w:eastAsia="楷体" w:cs="楷体"/>
          <w:bCs/>
          <w:sz w:val="36"/>
          <w:szCs w:val="36"/>
          <w:lang w:eastAsia="zh-CN"/>
        </w:rPr>
        <w:t>KSBJ-HRGL-2021-01</w:t>
      </w:r>
    </w:p>
    <w:p>
      <w:pPr>
        <w:pStyle w:val="3"/>
        <w:rPr>
          <w:rFonts w:hint="eastAsia" w:ascii="楷体" w:hAnsi="楷体" w:eastAsia="楷体" w:cs="楷体"/>
          <w:bCs/>
          <w:sz w:val="36"/>
          <w:szCs w:val="36"/>
          <w:lang w:val="en-US" w:eastAsia="zh-CN"/>
        </w:rPr>
      </w:pPr>
    </w:p>
    <w:p>
      <w:pPr>
        <w:pStyle w:val="3"/>
        <w:rPr>
          <w:rFonts w:hint="eastAsia" w:ascii="楷体" w:hAnsi="楷体" w:eastAsia="楷体" w:cs="楷体"/>
          <w:bCs/>
          <w:sz w:val="36"/>
          <w:szCs w:val="36"/>
          <w:lang w:val="en-US" w:eastAsia="zh-CN"/>
        </w:rPr>
      </w:pPr>
    </w:p>
    <w:p>
      <w:pPr>
        <w:pStyle w:val="3"/>
        <w:ind w:left="0" w:leftChars="0" w:firstLine="0" w:firstLineChars="0"/>
        <w:rPr>
          <w:rFonts w:hint="eastAsia" w:ascii="楷体" w:hAnsi="楷体" w:eastAsia="楷体" w:cs="楷体"/>
          <w:bCs/>
          <w:sz w:val="36"/>
          <w:szCs w:val="36"/>
          <w:lang w:val="en-US" w:eastAsia="zh-CN"/>
        </w:rPr>
      </w:pPr>
    </w:p>
    <w:p>
      <w:pPr>
        <w:spacing w:line="240" w:lineRule="atLeast"/>
        <w:ind w:left="1080" w:leftChars="257" w:hanging="540"/>
        <w:jc w:val="center"/>
        <w:rPr>
          <w:rFonts w:hint="eastAsia" w:ascii="楷体" w:hAnsi="楷体" w:eastAsia="楷体" w:cs="楷体"/>
          <w:bCs/>
          <w:sz w:val="28"/>
        </w:rPr>
      </w:pPr>
    </w:p>
    <w:p>
      <w:pPr>
        <w:spacing w:line="240" w:lineRule="atLeast"/>
        <w:jc w:val="center"/>
        <w:rPr>
          <w:rFonts w:hint="eastAsia" w:ascii="楷体" w:hAnsi="楷体" w:eastAsia="楷体" w:cs="楷体"/>
          <w:bCs/>
          <w:sz w:val="48"/>
          <w:szCs w:val="48"/>
        </w:rPr>
      </w:pPr>
      <w:r>
        <w:rPr>
          <w:rFonts w:hint="eastAsia" w:ascii="楷体" w:hAnsi="楷体" w:eastAsia="楷体" w:cs="楷体"/>
          <w:bCs/>
          <w:sz w:val="48"/>
          <w:szCs w:val="48"/>
        </w:rPr>
        <w:t>第</w:t>
      </w:r>
      <w:r>
        <w:rPr>
          <w:rFonts w:hint="eastAsia" w:ascii="楷体" w:hAnsi="楷体" w:eastAsia="楷体" w:cs="楷体"/>
          <w:bCs/>
          <w:sz w:val="48"/>
          <w:szCs w:val="48"/>
          <w:lang w:eastAsia="zh-CN"/>
        </w:rPr>
        <w:t>二</w:t>
      </w:r>
      <w:r>
        <w:rPr>
          <w:rFonts w:hint="eastAsia" w:ascii="楷体" w:hAnsi="楷体" w:eastAsia="楷体" w:cs="楷体"/>
          <w:bCs/>
          <w:sz w:val="48"/>
          <w:szCs w:val="48"/>
        </w:rPr>
        <w:t>册</w:t>
      </w:r>
    </w:p>
    <w:p>
      <w:pPr>
        <w:spacing w:line="240" w:lineRule="atLeast"/>
        <w:ind w:left="1080" w:leftChars="257" w:hanging="540"/>
        <w:rPr>
          <w:rFonts w:hint="eastAsia" w:ascii="楷体" w:hAnsi="楷体" w:eastAsia="楷体" w:cs="楷体"/>
          <w:b/>
          <w:sz w:val="28"/>
        </w:rPr>
      </w:pPr>
    </w:p>
    <w:p>
      <w:pPr>
        <w:spacing w:line="240" w:lineRule="atLeast"/>
        <w:ind w:left="1080" w:leftChars="257" w:hanging="540"/>
        <w:rPr>
          <w:rFonts w:hint="eastAsia" w:ascii="楷体" w:hAnsi="楷体" w:eastAsia="楷体" w:cs="楷体"/>
          <w:b/>
          <w:sz w:val="28"/>
        </w:rPr>
      </w:pPr>
    </w:p>
    <w:p>
      <w:pPr>
        <w:spacing w:line="240" w:lineRule="atLeast"/>
        <w:ind w:left="1080" w:leftChars="257" w:hanging="540"/>
        <w:rPr>
          <w:rFonts w:hint="eastAsia" w:ascii="楷体" w:hAnsi="楷体" w:eastAsia="楷体" w:cs="楷体"/>
          <w:b/>
          <w:sz w:val="28"/>
        </w:rPr>
      </w:pPr>
    </w:p>
    <w:p>
      <w:pPr>
        <w:spacing w:line="240" w:lineRule="atLeast"/>
        <w:ind w:left="1080" w:leftChars="257" w:hanging="540"/>
        <w:rPr>
          <w:rFonts w:hint="eastAsia" w:ascii="楷体" w:hAnsi="楷体" w:eastAsia="楷体" w:cs="楷体"/>
          <w:b/>
          <w:sz w:val="28"/>
        </w:rPr>
      </w:pPr>
    </w:p>
    <w:p>
      <w:pPr>
        <w:spacing w:line="240" w:lineRule="atLeast"/>
        <w:ind w:left="1080" w:leftChars="257" w:hanging="540"/>
        <w:jc w:val="center"/>
        <w:rPr>
          <w:rFonts w:hint="eastAsia" w:ascii="楷体" w:hAnsi="楷体" w:eastAsia="楷体" w:cs="楷体"/>
          <w:b/>
          <w:sz w:val="52"/>
        </w:rPr>
      </w:pPr>
    </w:p>
    <w:p>
      <w:pPr>
        <w:spacing w:line="240" w:lineRule="atLeast"/>
        <w:ind w:left="1080" w:leftChars="257" w:hanging="540"/>
        <w:jc w:val="center"/>
        <w:rPr>
          <w:rFonts w:hint="eastAsia" w:ascii="楷体" w:hAnsi="楷体" w:eastAsia="楷体" w:cs="楷体"/>
          <w:b/>
          <w:sz w:val="52"/>
        </w:rPr>
      </w:pPr>
    </w:p>
    <w:p>
      <w:pPr>
        <w:spacing w:line="240" w:lineRule="atLeast"/>
        <w:ind w:left="1080" w:leftChars="257" w:hanging="540"/>
        <w:jc w:val="center"/>
        <w:rPr>
          <w:rFonts w:hint="eastAsia" w:ascii="楷体" w:hAnsi="楷体" w:eastAsia="楷体" w:cs="楷体"/>
          <w:b/>
          <w:sz w:val="52"/>
        </w:rPr>
      </w:pPr>
    </w:p>
    <w:p>
      <w:pPr>
        <w:pStyle w:val="4"/>
        <w:numPr>
          <w:ilvl w:val="0"/>
          <w:numId w:val="4"/>
        </w:numPr>
        <w:tabs>
          <w:tab w:val="left" w:pos="0"/>
          <w:tab w:val="clear" w:pos="3134"/>
        </w:tabs>
        <w:spacing w:before="0" w:after="0" w:line="240" w:lineRule="atLeast"/>
        <w:ind w:hanging="3134"/>
        <w:rPr>
          <w:rFonts w:hint="eastAsia" w:ascii="楷体" w:hAnsi="楷体" w:eastAsia="楷体" w:cs="楷体"/>
        </w:rPr>
      </w:pPr>
      <w:r>
        <w:rPr>
          <w:rFonts w:hint="eastAsia" w:ascii="楷体" w:hAnsi="楷体" w:eastAsia="楷体" w:cs="楷体"/>
          <w:b w:val="0"/>
          <w:sz w:val="52"/>
        </w:rPr>
        <w:br w:type="page"/>
      </w:r>
      <w:bookmarkStart w:id="432" w:name="_Toc518923124"/>
      <w:bookmarkStart w:id="433" w:name="_Toc219175634"/>
      <w:bookmarkStart w:id="434" w:name="_Toc218935350"/>
      <w:bookmarkStart w:id="435" w:name="_Toc507399902"/>
      <w:bookmarkStart w:id="436" w:name="_Toc9913"/>
      <w:bookmarkStart w:id="437" w:name="_Toc216582822"/>
      <w:r>
        <w:rPr>
          <w:rFonts w:hint="eastAsia" w:ascii="楷体" w:hAnsi="楷体" w:eastAsia="楷体" w:cs="楷体"/>
        </w:rPr>
        <w:t>投标邀请</w:t>
      </w:r>
      <w:bookmarkEnd w:id="432"/>
      <w:bookmarkEnd w:id="433"/>
      <w:bookmarkEnd w:id="434"/>
      <w:bookmarkEnd w:id="435"/>
      <w:bookmarkEnd w:id="436"/>
      <w:bookmarkEnd w:id="437"/>
    </w:p>
    <w:p>
      <w:pPr>
        <w:keepNext/>
        <w:keepLines/>
        <w:tabs>
          <w:tab w:val="left" w:pos="0"/>
        </w:tabs>
        <w:autoSpaceDE w:val="0"/>
        <w:autoSpaceDN w:val="0"/>
        <w:adjustRightInd w:val="0"/>
        <w:spacing w:line="440" w:lineRule="exact"/>
        <w:jc w:val="center"/>
        <w:outlineLvl w:val="0"/>
        <w:rPr>
          <w:rFonts w:hint="eastAsia" w:ascii="楷体" w:hAnsi="楷体" w:eastAsia="楷体" w:cs="楷体"/>
          <w:b/>
          <w:bCs/>
          <w:kern w:val="44"/>
          <w:sz w:val="24"/>
          <w:szCs w:val="24"/>
          <w:highlight w:val="none"/>
        </w:rPr>
      </w:pPr>
      <w:bookmarkStart w:id="438" w:name="_Toc35393797"/>
      <w:bookmarkStart w:id="439" w:name="_Toc28359011"/>
      <w:r>
        <w:rPr>
          <w:rFonts w:hint="eastAsia" w:ascii="楷体" w:hAnsi="楷体" w:eastAsia="楷体" w:cs="楷体"/>
          <w:b/>
          <w:bCs/>
          <w:color w:val="000000"/>
          <w:highlight w:val="none"/>
          <w:lang w:val="en-US" w:eastAsia="zh-CN"/>
        </w:rPr>
        <w:t>塔什库尔干野生动物自然保护区服务中心采购科研监测设备（视频监测设备、湿地生态监测与管理大数据平台软件升级版软件、智能巡护移动终端、保护区卫星遥感影像）项目竞争性磋商公告</w:t>
      </w:r>
      <w:bookmarkEnd w:id="438"/>
      <w:bookmarkEnd w:id="439"/>
    </w:p>
    <w:p>
      <w:pPr>
        <w:pBdr>
          <w:top w:val="single" w:color="auto" w:sz="4" w:space="1"/>
          <w:left w:val="single" w:color="auto" w:sz="4" w:space="4"/>
          <w:bottom w:val="single" w:color="auto" w:sz="4" w:space="1"/>
          <w:right w:val="single" w:color="auto" w:sz="4" w:space="4"/>
        </w:pBdr>
        <w:spacing w:line="360" w:lineRule="exact"/>
        <w:ind w:firstLine="480" w:firstLineChars="2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u w:val="single"/>
          <w:lang w:eastAsia="zh-CN"/>
        </w:rPr>
        <w:t>塔什库尔干野生动物自然保护区服务中心采购科研监测设备（视频监测设备、湿地生态监测与管理大数据平台软件升级版软件、智能巡护移动终端、保护区卫星遥感影像）项目</w:t>
      </w:r>
      <w:r>
        <w:rPr>
          <w:rFonts w:hint="eastAsia" w:ascii="楷体" w:hAnsi="楷体" w:eastAsia="楷体" w:cs="楷体"/>
          <w:sz w:val="24"/>
          <w:szCs w:val="24"/>
          <w:highlight w:val="none"/>
        </w:rPr>
        <w:t>招标项目的潜在投标人应在</w:t>
      </w:r>
      <w:r>
        <w:rPr>
          <w:rFonts w:hint="eastAsia" w:ascii="楷体" w:hAnsi="楷体" w:eastAsia="楷体" w:cs="楷体"/>
          <w:sz w:val="24"/>
          <w:szCs w:val="24"/>
          <w:highlight w:val="none"/>
          <w:u w:val="single"/>
          <w:lang w:eastAsia="zh-CN"/>
        </w:rPr>
        <w:t>政采云线上下载</w:t>
      </w:r>
      <w:r>
        <w:rPr>
          <w:rFonts w:hint="eastAsia" w:ascii="楷体" w:hAnsi="楷体" w:eastAsia="楷体" w:cs="楷体"/>
          <w:sz w:val="24"/>
          <w:szCs w:val="24"/>
          <w:highlight w:val="none"/>
        </w:rPr>
        <w:t>获取</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，并于</w:t>
      </w:r>
      <w:r>
        <w:rPr>
          <w:rFonts w:hint="eastAsia" w:ascii="楷体" w:hAnsi="楷体" w:eastAsia="楷体" w:cs="楷体"/>
          <w:color w:val="auto"/>
          <w:sz w:val="24"/>
          <w:szCs w:val="24"/>
          <w:highlight w:val="none"/>
          <w:u w:val="single"/>
        </w:rPr>
        <w:t>202</w:t>
      </w:r>
      <w:r>
        <w:rPr>
          <w:rFonts w:hint="eastAsia" w:ascii="楷体" w:hAnsi="楷体" w:eastAsia="楷体" w:cs="楷体"/>
          <w:color w:val="auto"/>
          <w:sz w:val="24"/>
          <w:szCs w:val="24"/>
          <w:highlight w:val="none"/>
          <w:u w:val="single"/>
          <w:lang w:val="en-US" w:eastAsia="zh-CN"/>
        </w:rPr>
        <w:t>1</w:t>
      </w:r>
      <w:r>
        <w:rPr>
          <w:rFonts w:hint="eastAsia" w:ascii="楷体" w:hAnsi="楷体" w:eastAsia="楷体" w:cs="楷体"/>
          <w:bCs/>
          <w:color w:val="auto"/>
          <w:sz w:val="24"/>
          <w:szCs w:val="24"/>
          <w:highlight w:val="none"/>
          <w:u w:val="single"/>
        </w:rPr>
        <w:t>年</w:t>
      </w:r>
      <w:r>
        <w:rPr>
          <w:rFonts w:hint="eastAsia" w:ascii="楷体" w:hAnsi="楷体" w:eastAsia="楷体" w:cs="楷体"/>
          <w:bCs/>
          <w:color w:val="auto"/>
          <w:sz w:val="24"/>
          <w:szCs w:val="24"/>
          <w:highlight w:val="none"/>
          <w:u w:val="single"/>
          <w:lang w:val="en-US" w:eastAsia="zh-CN"/>
        </w:rPr>
        <w:t>08月11</w:t>
      </w:r>
      <w:r>
        <w:rPr>
          <w:rFonts w:hint="eastAsia" w:ascii="楷体" w:hAnsi="楷体" w:eastAsia="楷体" w:cs="楷体"/>
          <w:bCs/>
          <w:color w:val="auto"/>
          <w:sz w:val="24"/>
          <w:szCs w:val="24"/>
          <w:highlight w:val="none"/>
          <w:u w:val="single"/>
        </w:rPr>
        <w:t>日1</w:t>
      </w:r>
      <w:r>
        <w:rPr>
          <w:rFonts w:hint="eastAsia" w:ascii="楷体" w:hAnsi="楷体" w:eastAsia="楷体" w:cs="楷体"/>
          <w:bCs/>
          <w:color w:val="auto"/>
          <w:sz w:val="24"/>
          <w:szCs w:val="24"/>
          <w:highlight w:val="none"/>
          <w:u w:val="single"/>
          <w:lang w:val="en-US" w:eastAsia="zh-CN"/>
        </w:rPr>
        <w:t>1</w:t>
      </w:r>
      <w:r>
        <w:rPr>
          <w:rFonts w:hint="eastAsia" w:ascii="楷体" w:hAnsi="楷体" w:eastAsia="楷体" w:cs="楷体"/>
          <w:bCs/>
          <w:color w:val="auto"/>
          <w:sz w:val="24"/>
          <w:szCs w:val="24"/>
          <w:highlight w:val="none"/>
          <w:u w:val="single"/>
        </w:rPr>
        <w:t xml:space="preserve"> 点 00 分</w:t>
      </w:r>
      <w:r>
        <w:rPr>
          <w:rFonts w:hint="eastAsia" w:ascii="楷体" w:hAnsi="楷体" w:eastAsia="楷体" w:cs="楷体"/>
          <w:bCs/>
          <w:sz w:val="24"/>
          <w:szCs w:val="24"/>
          <w:highlight w:val="none"/>
          <w:u w:val="single"/>
        </w:rPr>
        <w:t>（</w:t>
      </w:r>
      <w:r>
        <w:rPr>
          <w:rFonts w:hint="eastAsia" w:ascii="楷体" w:hAnsi="楷体" w:eastAsia="楷体" w:cs="楷体"/>
          <w:bCs/>
          <w:sz w:val="24"/>
          <w:szCs w:val="24"/>
          <w:highlight w:val="none"/>
        </w:rPr>
        <w:t>北京时间）前递交</w:t>
      </w:r>
      <w:r>
        <w:rPr>
          <w:rFonts w:hint="eastAsia" w:ascii="楷体" w:hAnsi="楷体" w:eastAsia="楷体" w:cs="楷体"/>
          <w:bCs/>
          <w:sz w:val="24"/>
          <w:szCs w:val="24"/>
          <w:highlight w:val="none"/>
          <w:lang w:eastAsia="zh-CN"/>
        </w:rPr>
        <w:t>响应文件</w:t>
      </w:r>
      <w:r>
        <w:rPr>
          <w:rFonts w:hint="eastAsia" w:ascii="楷体" w:hAnsi="楷体" w:eastAsia="楷体" w:cs="楷体"/>
          <w:sz w:val="24"/>
          <w:szCs w:val="24"/>
          <w:highlight w:val="none"/>
        </w:rPr>
        <w:t>。</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40" w:name="_Toc28359089"/>
      <w:bookmarkStart w:id="441" w:name="_Toc28359012"/>
      <w:bookmarkStart w:id="442" w:name="_Toc35393629"/>
      <w:bookmarkStart w:id="443" w:name="_Toc35393798"/>
      <w:r>
        <w:rPr>
          <w:rFonts w:hint="eastAsia" w:ascii="楷体" w:hAnsi="楷体" w:eastAsia="楷体" w:cs="楷体"/>
          <w:color w:val="000000"/>
          <w:highlight w:val="none"/>
          <w:lang w:val="en-US" w:eastAsia="zh-CN"/>
        </w:rPr>
        <w:t>一、项目基本情况</w:t>
      </w:r>
      <w:bookmarkEnd w:id="440"/>
      <w:bookmarkEnd w:id="441"/>
      <w:bookmarkEnd w:id="442"/>
      <w:bookmarkEnd w:id="443"/>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项目编号： KSBJ-HRGL-2021-01</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项目名称：塔什库尔干野生动物自然保护区服务中心采购科研监测设备（视频监测设备、湿地生态监测与管理大数据平台软件升级版软件、智能巡护移动终端、保护区卫星遥感影像）项目 </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采购方式：□竞争性谈判 ☑竞争性磋商 □询价</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预算金额：53.2万元</w:t>
      </w:r>
    </w:p>
    <w:p>
      <w:pPr>
        <w:widowControl/>
        <w:spacing w:before="75" w:after="75" w:line="360" w:lineRule="exact"/>
        <w:ind w:firstLine="240" w:firstLineChars="100"/>
        <w:jc w:val="left"/>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标项名称：科研监测设备</w:t>
      </w:r>
    </w:p>
    <w:p>
      <w:pPr>
        <w:widowControl/>
        <w:spacing w:before="75" w:after="75" w:line="360" w:lineRule="exact"/>
        <w:ind w:firstLine="240" w:firstLineChars="100"/>
        <w:jc w:val="left"/>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预算金额：</w:t>
      </w:r>
      <w:r>
        <w:rPr>
          <w:rFonts w:hint="eastAsia" w:ascii="楷体" w:hAnsi="楷体" w:eastAsia="楷体" w:cs="楷体"/>
          <w:color w:val="000000"/>
          <w:highlight w:val="none"/>
          <w:lang w:val="en-US" w:eastAsia="zh-CN"/>
        </w:rPr>
        <w:t>53.2万元</w:t>
      </w:r>
    </w:p>
    <w:p>
      <w:pPr>
        <w:widowControl/>
        <w:spacing w:before="75" w:after="75" w:line="360" w:lineRule="exact"/>
        <w:ind w:firstLine="240" w:firstLineChars="100"/>
        <w:jc w:val="left"/>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数量：一批</w:t>
      </w:r>
    </w:p>
    <w:p>
      <w:pPr>
        <w:widowControl/>
        <w:spacing w:before="75" w:after="75" w:line="360" w:lineRule="exact"/>
        <w:ind w:firstLine="240" w:firstLineChars="100"/>
        <w:jc w:val="left"/>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简要规格描述或项目基本概况介绍、用途：</w:t>
      </w:r>
      <w:r>
        <w:rPr>
          <w:rFonts w:hint="eastAsia" w:ascii="楷体" w:hAnsi="楷体" w:eastAsia="楷体" w:cs="楷体"/>
          <w:sz w:val="24"/>
          <w:szCs w:val="24"/>
          <w:highlight w:val="none"/>
          <w:lang w:val="en-US" w:eastAsia="zh-CN"/>
        </w:rPr>
        <w:t>智能球型摄像机、超高清解码器</w:t>
      </w:r>
      <w:r>
        <w:rPr>
          <w:rFonts w:hint="eastAsia" w:ascii="楷体" w:hAnsi="楷体" w:eastAsia="楷体" w:cs="楷体"/>
          <w:sz w:val="24"/>
          <w:szCs w:val="24"/>
          <w:highlight w:val="none"/>
          <w:lang w:eastAsia="zh-CN"/>
        </w:rPr>
        <w:t>等（详细参数详见磋商文件）</w:t>
      </w:r>
    </w:p>
    <w:p>
      <w:pPr>
        <w:widowControl/>
        <w:spacing w:before="75" w:after="75" w:line="360" w:lineRule="exact"/>
        <w:ind w:firstLine="240" w:firstLineChars="100"/>
        <w:jc w:val="left"/>
        <w:rPr>
          <w:rFonts w:hint="eastAsia" w:ascii="楷体" w:hAnsi="楷体" w:eastAsia="楷体" w:cs="楷体"/>
          <w:sz w:val="24"/>
          <w:szCs w:val="24"/>
          <w:highlight w:val="none"/>
        </w:rPr>
      </w:pPr>
      <w:r>
        <w:rPr>
          <w:rFonts w:hint="eastAsia" w:ascii="楷体" w:hAnsi="楷体" w:eastAsia="楷体" w:cs="楷体"/>
          <w:color w:val="auto"/>
          <w:sz w:val="24"/>
          <w:szCs w:val="24"/>
          <w:highlight w:val="none"/>
        </w:rPr>
        <w:t>合同履行期限：</w:t>
      </w:r>
      <w:r>
        <w:rPr>
          <w:rFonts w:hint="eastAsia" w:ascii="楷体" w:hAnsi="楷体" w:eastAsia="楷体" w:cs="楷体"/>
          <w:b w:val="0"/>
          <w:bCs w:val="0"/>
          <w:sz w:val="24"/>
          <w:highlight w:val="none"/>
          <w:lang w:val="en-US" w:eastAsia="zh-CN"/>
        </w:rPr>
        <w:t>以双方签订合同为准</w:t>
      </w:r>
      <w:r>
        <w:rPr>
          <w:rFonts w:hint="eastAsia" w:ascii="楷体" w:hAnsi="楷体" w:eastAsia="楷体" w:cs="楷体"/>
          <w:color w:val="auto"/>
          <w:sz w:val="24"/>
          <w:szCs w:val="24"/>
          <w:highlight w:val="none"/>
        </w:rPr>
        <w:t>。</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sz w:val="24"/>
          <w:szCs w:val="24"/>
          <w:highlight w:val="none"/>
        </w:rPr>
        <w:t>本项目（</w:t>
      </w:r>
      <w:r>
        <w:rPr>
          <w:rFonts w:hint="eastAsia" w:ascii="楷体" w:hAnsi="楷体" w:eastAsia="楷体" w:cs="楷体"/>
          <w:i/>
          <w:sz w:val="24"/>
          <w:szCs w:val="24"/>
          <w:highlight w:val="none"/>
        </w:rPr>
        <w:t>是/</w:t>
      </w:r>
      <w:r>
        <w:rPr>
          <w:rFonts w:hint="eastAsia" w:ascii="楷体" w:hAnsi="楷体" w:eastAsia="楷体" w:cs="楷体"/>
          <w:i/>
          <w:sz w:val="24"/>
          <w:szCs w:val="24"/>
          <w:highlight w:val="none"/>
        </w:rPr>
        <w:sym w:font="Wingdings" w:char="00FE"/>
      </w:r>
      <w:r>
        <w:rPr>
          <w:rFonts w:hint="eastAsia" w:ascii="楷体" w:hAnsi="楷体" w:eastAsia="楷体" w:cs="楷体"/>
          <w:i/>
          <w:sz w:val="24"/>
          <w:szCs w:val="24"/>
          <w:highlight w:val="none"/>
        </w:rPr>
        <w:t>否</w:t>
      </w:r>
      <w:r>
        <w:rPr>
          <w:rFonts w:hint="eastAsia" w:ascii="楷体" w:hAnsi="楷体" w:eastAsia="楷体" w:cs="楷体"/>
          <w:sz w:val="24"/>
          <w:szCs w:val="24"/>
          <w:highlight w:val="none"/>
        </w:rPr>
        <w:t>）接受联合体投标。</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44" w:name="_Toc28359013"/>
      <w:bookmarkStart w:id="445" w:name="_Toc28359090"/>
      <w:bookmarkStart w:id="446" w:name="_Toc35393630"/>
      <w:bookmarkStart w:id="447" w:name="_Toc35393799"/>
      <w:r>
        <w:rPr>
          <w:rFonts w:hint="eastAsia" w:ascii="楷体" w:hAnsi="楷体" w:eastAsia="楷体" w:cs="楷体"/>
          <w:color w:val="000000"/>
          <w:highlight w:val="none"/>
          <w:lang w:val="en-US" w:eastAsia="zh-CN"/>
        </w:rPr>
        <w:t>二、申请人的资格要求：</w:t>
      </w:r>
      <w:bookmarkEnd w:id="444"/>
      <w:bookmarkEnd w:id="445"/>
      <w:bookmarkEnd w:id="446"/>
      <w:bookmarkEnd w:id="447"/>
    </w:p>
    <w:p>
      <w:pPr>
        <w:numPr>
          <w:ilvl w:val="0"/>
          <w:numId w:val="9"/>
        </w:numPr>
        <w:spacing w:line="360" w:lineRule="exact"/>
        <w:ind w:left="425" w:leftChars="0" w:hanging="425" w:firstLineChars="0"/>
        <w:rPr>
          <w:rFonts w:hint="eastAsia" w:ascii="楷体" w:hAnsi="楷体" w:eastAsia="楷体" w:cs="楷体"/>
          <w:kern w:val="0"/>
          <w:sz w:val="24"/>
          <w:szCs w:val="24"/>
          <w:highlight w:val="none"/>
        </w:rPr>
      </w:pPr>
      <w:bookmarkStart w:id="448" w:name="_Toc28359014"/>
      <w:bookmarkStart w:id="449" w:name="_Toc28359091"/>
      <w:r>
        <w:rPr>
          <w:rFonts w:hint="eastAsia" w:ascii="楷体" w:hAnsi="楷体" w:eastAsia="楷体" w:cs="楷体"/>
          <w:sz w:val="24"/>
          <w:szCs w:val="24"/>
          <w:highlight w:val="none"/>
        </w:rPr>
        <w:t>满足《中华人民共和国政府采购法》第二十二条规定；</w:t>
      </w:r>
    </w:p>
    <w:p>
      <w:pPr>
        <w:numPr>
          <w:ilvl w:val="0"/>
          <w:numId w:val="9"/>
        </w:numPr>
        <w:spacing w:line="360" w:lineRule="exact"/>
        <w:ind w:left="425" w:leftChars="0" w:hanging="425" w:firstLineChars="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独立承担民事责任能力的企业、事业、自然人，提供营业执照等经营性证件；</w:t>
      </w:r>
    </w:p>
    <w:p>
      <w:pPr>
        <w:numPr>
          <w:ilvl w:val="0"/>
          <w:numId w:val="9"/>
        </w:numPr>
        <w:spacing w:line="360" w:lineRule="exact"/>
        <w:ind w:left="425" w:leftChars="0" w:hanging="425" w:firstLineChars="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eastAsia="zh-CN"/>
        </w:rPr>
        <w:t>法人身份证明或法人授权委托书（含法人身份证复印件）和被授权人身份有效证件原件；</w:t>
      </w:r>
    </w:p>
    <w:p>
      <w:pPr>
        <w:keepNext/>
        <w:keepLines/>
        <w:numPr>
          <w:ilvl w:val="0"/>
          <w:numId w:val="9"/>
        </w:numPr>
        <w:spacing w:before="260" w:after="260" w:line="360" w:lineRule="exact"/>
        <w:ind w:left="425" w:leftChars="0" w:hanging="425" w:firstLineChars="0"/>
        <w:outlineLvl w:val="1"/>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rPr>
        <w:t>2020年度经审计的财务审计报告（成立不满一年的提供有效的银行资信证明）</w:t>
      </w:r>
      <w:r>
        <w:rPr>
          <w:rFonts w:hint="eastAsia" w:ascii="楷体" w:hAnsi="楷体" w:eastAsia="楷体" w:cs="楷体"/>
          <w:kern w:val="0"/>
          <w:sz w:val="24"/>
          <w:szCs w:val="24"/>
          <w:highlight w:val="none"/>
        </w:rPr>
        <w:t>；</w:t>
      </w:r>
    </w:p>
    <w:p>
      <w:pPr>
        <w:keepNext/>
        <w:keepLines/>
        <w:numPr>
          <w:ilvl w:val="0"/>
          <w:numId w:val="9"/>
        </w:numPr>
        <w:spacing w:before="260" w:after="260" w:line="360" w:lineRule="exact"/>
        <w:ind w:left="425" w:leftChars="0" w:hanging="425" w:firstLineChars="0"/>
        <w:outlineLvl w:val="1"/>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eastAsia="zh-CN"/>
        </w:rPr>
        <w:t>投标企业出具近三个月社保缴纳凭证及明细证明</w:t>
      </w:r>
      <w:r>
        <w:rPr>
          <w:rFonts w:hint="eastAsia" w:ascii="楷体" w:hAnsi="楷体" w:eastAsia="楷体" w:cs="楷体"/>
          <w:kern w:val="0"/>
          <w:sz w:val="24"/>
          <w:szCs w:val="24"/>
          <w:highlight w:val="none"/>
        </w:rPr>
        <w:t>；</w:t>
      </w:r>
    </w:p>
    <w:p>
      <w:pPr>
        <w:keepNext/>
        <w:keepLines/>
        <w:numPr>
          <w:ilvl w:val="0"/>
          <w:numId w:val="9"/>
        </w:numPr>
        <w:spacing w:before="260" w:after="260" w:line="360" w:lineRule="exact"/>
        <w:ind w:left="425" w:leftChars="0" w:hanging="425" w:firstLineChars="0"/>
        <w:outlineLvl w:val="1"/>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由企业所在地税务局出具的</w:t>
      </w:r>
      <w:r>
        <w:rPr>
          <w:rFonts w:hint="eastAsia" w:ascii="楷体" w:hAnsi="楷体" w:eastAsia="楷体" w:cs="楷体"/>
          <w:kern w:val="0"/>
          <w:sz w:val="24"/>
          <w:szCs w:val="24"/>
          <w:highlight w:val="none"/>
          <w:lang w:eastAsia="zh-CN"/>
        </w:rPr>
        <w:t>近三个月</w:t>
      </w:r>
      <w:r>
        <w:rPr>
          <w:rFonts w:hint="eastAsia" w:ascii="楷体" w:hAnsi="楷体" w:eastAsia="楷体" w:cs="楷体"/>
          <w:kern w:val="0"/>
          <w:sz w:val="24"/>
          <w:szCs w:val="24"/>
          <w:highlight w:val="none"/>
        </w:rPr>
        <w:t>的完税证明；</w:t>
      </w:r>
    </w:p>
    <w:p>
      <w:pPr>
        <w:keepNext/>
        <w:keepLines/>
        <w:numPr>
          <w:ilvl w:val="0"/>
          <w:numId w:val="9"/>
        </w:numPr>
        <w:spacing w:before="260" w:after="260" w:line="360" w:lineRule="exact"/>
        <w:ind w:left="425" w:leftChars="0" w:hanging="425" w:firstLineChars="0"/>
        <w:outlineLvl w:val="1"/>
        <w:rPr>
          <w:rFonts w:hint="eastAsia" w:ascii="楷体" w:hAnsi="楷体" w:eastAsia="楷体" w:cs="楷体"/>
          <w:kern w:val="0"/>
          <w:sz w:val="24"/>
          <w:szCs w:val="24"/>
          <w:highlight w:val="none"/>
          <w:lang w:val="en-US" w:eastAsia="zh-CN"/>
        </w:rPr>
      </w:pPr>
      <w:r>
        <w:rPr>
          <w:rFonts w:hint="eastAsia" w:ascii="楷体" w:hAnsi="楷体" w:eastAsia="楷体" w:cs="楷体"/>
          <w:kern w:val="0"/>
          <w:sz w:val="24"/>
          <w:szCs w:val="24"/>
          <w:highlight w:val="none"/>
          <w:lang w:eastAsia="zh-CN"/>
        </w:rPr>
        <w:t>（自拟）近三年内无重大违法记录的声明及反商业受贿承诺书。</w:t>
      </w:r>
    </w:p>
    <w:p>
      <w:pPr>
        <w:pStyle w:val="16"/>
        <w:spacing w:after="0" w:afterAutospacing="0" w:line="280" w:lineRule="exact"/>
        <w:rPr>
          <w:rFonts w:hint="eastAsia" w:ascii="楷体" w:hAnsi="楷体" w:eastAsia="楷体" w:cs="楷体"/>
          <w:color w:val="000000"/>
          <w:highlight w:val="none"/>
          <w:lang w:val="en-US" w:eastAsia="zh-CN"/>
        </w:rPr>
      </w:pPr>
      <w:bookmarkStart w:id="450" w:name="_Toc35393631"/>
      <w:bookmarkStart w:id="451" w:name="_Toc35393800"/>
      <w:r>
        <w:rPr>
          <w:rFonts w:hint="eastAsia" w:ascii="楷体" w:hAnsi="楷体" w:eastAsia="楷体" w:cs="楷体"/>
          <w:color w:val="000000"/>
          <w:highlight w:val="none"/>
          <w:lang w:val="en-US" w:eastAsia="zh-CN"/>
        </w:rPr>
        <w:t>三、获取采购文件</w:t>
      </w:r>
      <w:bookmarkEnd w:id="448"/>
      <w:bookmarkEnd w:id="449"/>
      <w:bookmarkEnd w:id="450"/>
      <w:bookmarkEnd w:id="451"/>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时间：2021年07月30日至 2021年08月06日（磋商文件的发售期限自开始之日起不得少于5个工作日），每天上午10:30至13:30，下午16:30至19:30（北京时间，法定节假日除外 ）</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地点：</w:t>
      </w:r>
      <w:r>
        <w:rPr>
          <w:rFonts w:hint="eastAsia" w:ascii="楷体" w:hAnsi="楷体" w:eastAsia="楷体" w:cs="楷体"/>
          <w:sz w:val="24"/>
          <w:szCs w:val="24"/>
          <w:highlight w:val="none"/>
          <w:u w:val="single"/>
          <w:lang w:eastAsia="zh-CN"/>
        </w:rPr>
        <w:t>政采云线上下载</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52" w:name="_Toc35393632"/>
      <w:bookmarkStart w:id="453" w:name="_Toc28359092"/>
      <w:bookmarkStart w:id="454" w:name="_Toc35393801"/>
      <w:bookmarkStart w:id="455" w:name="_Toc28359015"/>
      <w:r>
        <w:rPr>
          <w:rFonts w:hint="eastAsia" w:ascii="楷体" w:hAnsi="楷体" w:eastAsia="楷体" w:cs="楷体"/>
          <w:color w:val="000000"/>
          <w:highlight w:val="none"/>
          <w:lang w:val="en-US" w:eastAsia="zh-CN"/>
        </w:rPr>
        <w:t>四、响应文件提交</w:t>
      </w:r>
      <w:bookmarkEnd w:id="452"/>
      <w:bookmarkEnd w:id="453"/>
      <w:bookmarkEnd w:id="454"/>
      <w:bookmarkEnd w:id="455"/>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截止时间：2021年8月11日11点00 分（北京时间）</w:t>
      </w:r>
    </w:p>
    <w:p>
      <w:pPr>
        <w:pStyle w:val="16"/>
        <w:spacing w:after="0" w:afterAutospacing="0" w:line="280" w:lineRule="exact"/>
        <w:ind w:firstLine="480" w:firstLineChars="200"/>
        <w:rPr>
          <w:rFonts w:hint="default"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地点：</w:t>
      </w:r>
      <w:r>
        <w:rPr>
          <w:rFonts w:hint="eastAsia" w:ascii="楷体" w:hAnsi="楷体" w:eastAsia="楷体" w:cs="楷体"/>
          <w:sz w:val="24"/>
          <w:szCs w:val="24"/>
          <w:highlight w:val="none"/>
          <w:u w:val="single"/>
          <w:lang w:eastAsia="zh-CN"/>
        </w:rPr>
        <w:t>喀什汇成高层3号楼202会议室</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56" w:name="_Toc35393633"/>
      <w:bookmarkStart w:id="457" w:name="_Toc35393802"/>
      <w:bookmarkStart w:id="458" w:name="_Toc28359016"/>
      <w:bookmarkStart w:id="459" w:name="_Toc28359093"/>
      <w:r>
        <w:rPr>
          <w:rFonts w:hint="eastAsia" w:ascii="楷体" w:hAnsi="楷体" w:eastAsia="楷体" w:cs="楷体"/>
          <w:color w:val="000000"/>
          <w:highlight w:val="none"/>
          <w:lang w:val="en-US" w:eastAsia="zh-CN"/>
        </w:rPr>
        <w:t>五、开启（竞争性磋商方式必须填写）</w:t>
      </w:r>
      <w:bookmarkEnd w:id="456"/>
      <w:bookmarkEnd w:id="457"/>
      <w:bookmarkEnd w:id="458"/>
      <w:bookmarkEnd w:id="459"/>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时间：2021年8月11日11点00 分（北京时间）</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地点：</w:t>
      </w:r>
      <w:r>
        <w:rPr>
          <w:rFonts w:hint="eastAsia" w:ascii="楷体" w:hAnsi="楷体" w:eastAsia="楷体" w:cs="楷体"/>
          <w:sz w:val="24"/>
          <w:szCs w:val="24"/>
          <w:highlight w:val="none"/>
          <w:u w:val="single"/>
          <w:lang w:eastAsia="zh-CN"/>
        </w:rPr>
        <w:t>喀什汇成高层3号楼202会议室</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60" w:name="_Toc28359094"/>
      <w:bookmarkStart w:id="461" w:name="_Toc35393803"/>
      <w:bookmarkStart w:id="462" w:name="_Toc28359017"/>
      <w:bookmarkStart w:id="463" w:name="_Toc35393634"/>
      <w:r>
        <w:rPr>
          <w:rFonts w:hint="eastAsia" w:ascii="楷体" w:hAnsi="楷体" w:eastAsia="楷体" w:cs="楷体"/>
          <w:color w:val="000000"/>
          <w:highlight w:val="none"/>
          <w:lang w:val="en-US" w:eastAsia="zh-CN"/>
        </w:rPr>
        <w:t>六、公告期限</w:t>
      </w:r>
      <w:bookmarkEnd w:id="460"/>
      <w:bookmarkEnd w:id="461"/>
      <w:bookmarkEnd w:id="462"/>
      <w:bookmarkEnd w:id="463"/>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自本公告发布之日起5个工作日。</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64" w:name="_Toc35393635"/>
      <w:bookmarkStart w:id="465" w:name="_Toc35393804"/>
      <w:r>
        <w:rPr>
          <w:rFonts w:hint="eastAsia" w:ascii="楷体" w:hAnsi="楷体" w:eastAsia="楷体" w:cs="楷体"/>
          <w:color w:val="000000"/>
          <w:highlight w:val="none"/>
          <w:lang w:val="en-US" w:eastAsia="zh-CN"/>
        </w:rPr>
        <w:t>七、</w:t>
      </w:r>
      <w:bookmarkEnd w:id="464"/>
      <w:bookmarkEnd w:id="465"/>
      <w:bookmarkStart w:id="466" w:name="_Toc28359095"/>
      <w:bookmarkStart w:id="467" w:name="_Toc35393636"/>
      <w:bookmarkStart w:id="468" w:name="_Toc35393805"/>
      <w:bookmarkStart w:id="469" w:name="_Toc28359018"/>
      <w:r>
        <w:rPr>
          <w:rFonts w:hint="eastAsia" w:ascii="楷体" w:hAnsi="楷体" w:eastAsia="楷体" w:cs="楷体"/>
          <w:color w:val="000000"/>
          <w:highlight w:val="none"/>
          <w:lang w:val="en-US" w:eastAsia="zh-CN"/>
        </w:rPr>
        <w:t>凡对本次采购提出询问，请按以下方式联系。</w:t>
      </w:r>
      <w:bookmarkEnd w:id="466"/>
      <w:bookmarkEnd w:id="467"/>
      <w:bookmarkEnd w:id="468"/>
      <w:bookmarkEnd w:id="469"/>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70" w:name="_Toc35393806"/>
      <w:bookmarkStart w:id="471" w:name="_Toc28359019"/>
      <w:bookmarkStart w:id="472" w:name="_Toc28359096"/>
      <w:bookmarkStart w:id="473" w:name="_Toc35393637"/>
      <w:r>
        <w:rPr>
          <w:rFonts w:hint="eastAsia" w:ascii="楷体" w:hAnsi="楷体" w:eastAsia="楷体" w:cs="楷体"/>
          <w:color w:val="000000"/>
          <w:highlight w:val="none"/>
          <w:lang w:val="en-US" w:eastAsia="zh-CN"/>
        </w:rPr>
        <w:t>1.采购人信息</w:t>
      </w:r>
      <w:bookmarkEnd w:id="470"/>
      <w:bookmarkEnd w:id="471"/>
      <w:bookmarkEnd w:id="472"/>
      <w:bookmarkEnd w:id="473"/>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名    称：塔什库尔干野生动物自然保护区服务中心 </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    址：喀什市世纪大道4号</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联系方式：0998-3492280</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74" w:name="_Toc35393638"/>
      <w:bookmarkStart w:id="475" w:name="_Toc28359020"/>
      <w:bookmarkStart w:id="476" w:name="_Toc28359097"/>
      <w:bookmarkStart w:id="477" w:name="_Toc35393807"/>
      <w:r>
        <w:rPr>
          <w:rFonts w:hint="eastAsia" w:ascii="楷体" w:hAnsi="楷体" w:eastAsia="楷体" w:cs="楷体"/>
          <w:color w:val="000000"/>
          <w:highlight w:val="none"/>
          <w:lang w:val="en-US" w:eastAsia="zh-CN"/>
        </w:rPr>
        <w:t>2.采购代理机构信息</w:t>
      </w:r>
      <w:bookmarkEnd w:id="474"/>
      <w:bookmarkEnd w:id="475"/>
      <w:bookmarkEnd w:id="476"/>
      <w:bookmarkEnd w:id="477"/>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名    称：深圳市华睿项目管理有限公司</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　　址：新疆喀什地区疏勒县南疆齐鲁工业园沂蒙路8号（喀什豫龙新型建材有限公司）院内</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联系方式：17609987982　　　　　　　　　　　　</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bookmarkStart w:id="478" w:name="_Toc28359021"/>
      <w:bookmarkStart w:id="479" w:name="_Toc28359098"/>
      <w:bookmarkStart w:id="480" w:name="_Toc35393808"/>
      <w:bookmarkStart w:id="481" w:name="_Toc35393639"/>
      <w:r>
        <w:rPr>
          <w:rFonts w:hint="eastAsia" w:ascii="楷体" w:hAnsi="楷体" w:eastAsia="楷体" w:cs="楷体"/>
          <w:color w:val="000000"/>
          <w:highlight w:val="none"/>
          <w:lang w:val="en-US" w:eastAsia="zh-CN"/>
        </w:rPr>
        <w:t>3.项目联系方式</w:t>
      </w:r>
      <w:bookmarkEnd w:id="478"/>
      <w:bookmarkEnd w:id="479"/>
      <w:bookmarkEnd w:id="480"/>
      <w:bookmarkEnd w:id="481"/>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项目联系人：王伟杰</w:t>
      </w:r>
    </w:p>
    <w:p>
      <w:pPr>
        <w:pStyle w:val="16"/>
        <w:spacing w:after="0" w:afterAutospacing="0" w:line="280" w:lineRule="exact"/>
        <w:ind w:firstLine="480" w:firstLineChars="200"/>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电　　 话：17609987982</w:t>
      </w:r>
    </w:p>
    <w:p>
      <w:pPr>
        <w:pStyle w:val="16"/>
        <w:spacing w:after="0" w:afterAutospacing="0" w:line="280" w:lineRule="exact"/>
        <w:ind w:firstLine="480" w:firstLineChars="200"/>
        <w:rPr>
          <w:rFonts w:hint="eastAsia" w:ascii="楷体" w:hAnsi="楷体" w:eastAsia="楷体" w:cs="楷体"/>
          <w:color w:val="000000"/>
          <w:highlight w:val="yellow"/>
          <w:lang w:val="en-US" w:eastAsia="zh-CN"/>
        </w:rPr>
      </w:pPr>
    </w:p>
    <w:p>
      <w:pPr>
        <w:pStyle w:val="16"/>
        <w:spacing w:after="0" w:afterAutospacing="0" w:line="240" w:lineRule="auto"/>
        <w:ind w:firstLine="480" w:firstLineChars="200"/>
        <w:rPr>
          <w:rFonts w:hint="eastAsia" w:ascii="楷体" w:hAnsi="楷体" w:eastAsia="楷体" w:cs="楷体"/>
          <w:color w:val="000000"/>
          <w:lang w:eastAsia="zh-CN"/>
        </w:rPr>
      </w:pPr>
    </w:p>
    <w:p>
      <w:pPr>
        <w:pStyle w:val="5"/>
        <w:rPr>
          <w:rFonts w:hint="eastAsia"/>
          <w:lang w:eastAsia="zh-CN"/>
        </w:rPr>
      </w:pPr>
      <w:r>
        <w:rPr>
          <w:rFonts w:hint="eastAsia"/>
          <w:lang w:eastAsia="zh-CN"/>
        </w:rPr>
        <w:br w:type="page"/>
      </w:r>
    </w:p>
    <w:p>
      <w:pPr>
        <w:pStyle w:val="4"/>
        <w:numPr>
          <w:ilvl w:val="0"/>
          <w:numId w:val="4"/>
        </w:numPr>
        <w:tabs>
          <w:tab w:val="left" w:pos="0"/>
          <w:tab w:val="clear" w:pos="3134"/>
        </w:tabs>
        <w:spacing w:before="0" w:after="0" w:line="240" w:lineRule="atLeast"/>
        <w:ind w:hanging="3134"/>
        <w:rPr>
          <w:rFonts w:hint="eastAsia" w:ascii="楷体" w:hAnsi="楷体" w:eastAsia="楷体" w:cs="楷体"/>
          <w:b w:val="0"/>
          <w:szCs w:val="32"/>
        </w:rPr>
      </w:pPr>
      <w:bookmarkStart w:id="482" w:name="_Toc28647"/>
      <w:bookmarkStart w:id="483" w:name="_Toc518923125"/>
      <w:bookmarkStart w:id="484" w:name="_Toc216582823"/>
      <w:bookmarkStart w:id="485" w:name="_Toc507399903"/>
      <w:bookmarkStart w:id="486" w:name="_Toc512937850"/>
      <w:r>
        <w:rPr>
          <w:rFonts w:hint="eastAsia" w:ascii="楷体" w:hAnsi="楷体" w:eastAsia="楷体" w:cs="楷体"/>
        </w:rPr>
        <w:t>投标人须知资料表</w:t>
      </w:r>
      <w:bookmarkEnd w:id="482"/>
      <w:bookmarkEnd w:id="483"/>
      <w:bookmarkEnd w:id="484"/>
      <w:bookmarkEnd w:id="485"/>
    </w:p>
    <w:bookmarkEnd w:id="486"/>
    <w:p>
      <w:pPr>
        <w:spacing w:line="240" w:lineRule="atLeast"/>
        <w:ind w:left="1080" w:leftChars="257" w:hanging="540"/>
        <w:rPr>
          <w:rFonts w:hint="eastAsia" w:ascii="楷体" w:hAnsi="楷体" w:eastAsia="楷体" w:cs="楷体"/>
          <w:sz w:val="24"/>
        </w:rPr>
      </w:pPr>
    </w:p>
    <w:p>
      <w:pPr>
        <w:spacing w:line="240" w:lineRule="atLeast"/>
        <w:ind w:firstLine="360" w:firstLineChars="150"/>
        <w:rPr>
          <w:rFonts w:hint="eastAsia" w:ascii="楷体" w:hAnsi="楷体" w:eastAsia="楷体" w:cs="楷体"/>
          <w:sz w:val="24"/>
        </w:rPr>
      </w:pPr>
      <w:r>
        <w:rPr>
          <w:rFonts w:hint="eastAsia" w:ascii="楷体" w:hAnsi="楷体" w:eastAsia="楷体" w:cs="楷体"/>
          <w:sz w:val="24"/>
        </w:rPr>
        <w:t xml:space="preserve"> 本表是本招标项目的具体资料，是对投标人须知的具体补充和修改，如有矛盾，应</w:t>
      </w:r>
      <w:r>
        <w:rPr>
          <w:rFonts w:hint="eastAsia" w:ascii="楷体" w:hAnsi="楷体" w:eastAsia="楷体" w:cs="楷体"/>
          <w:b/>
          <w:sz w:val="24"/>
        </w:rPr>
        <w:t>以本资料表为准</w:t>
      </w:r>
      <w:r>
        <w:rPr>
          <w:rFonts w:hint="eastAsia" w:ascii="楷体" w:hAnsi="楷体" w:eastAsia="楷体" w:cs="楷体"/>
          <w:sz w:val="24"/>
        </w:rPr>
        <w:t>。</w:t>
      </w:r>
    </w:p>
    <w:p>
      <w:pPr>
        <w:spacing w:line="240" w:lineRule="atLeast"/>
        <w:ind w:left="1080" w:leftChars="257" w:hanging="540"/>
        <w:rPr>
          <w:rFonts w:hint="eastAsia" w:ascii="楷体" w:hAnsi="楷体" w:eastAsia="楷体" w:cs="楷体"/>
          <w:sz w:val="24"/>
        </w:rPr>
      </w:pPr>
    </w:p>
    <w:tbl>
      <w:tblPr>
        <w:tblStyle w:val="17"/>
        <w:tblW w:w="85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79"/>
        <w:gridCol w:w="181"/>
        <w:gridCol w:w="6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条款号</w:t>
            </w:r>
          </w:p>
        </w:tc>
        <w:tc>
          <w:tcPr>
            <w:tcW w:w="7093" w:type="dxa"/>
            <w:gridSpan w:val="2"/>
            <w:noWrap w:val="0"/>
            <w:vAlign w:val="center"/>
          </w:tcPr>
          <w:p>
            <w:pPr>
              <w:spacing w:line="360" w:lineRule="auto"/>
              <w:ind w:left="1080" w:leftChars="257" w:hanging="540"/>
              <w:rPr>
                <w:rFonts w:hint="eastAsia" w:ascii="楷体" w:hAnsi="楷体" w:eastAsia="楷体" w:cs="楷体"/>
                <w:b/>
                <w:sz w:val="24"/>
                <w:highlight w:val="none"/>
              </w:rPr>
            </w:pPr>
            <w:r>
              <w:rPr>
                <w:rFonts w:hint="eastAsia" w:ascii="楷体" w:hAnsi="楷体" w:eastAsia="楷体" w:cs="楷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79" w:type="dxa"/>
            <w:noWrap w:val="0"/>
            <w:vAlign w:val="center"/>
          </w:tcPr>
          <w:p>
            <w:pPr>
              <w:spacing w:line="360" w:lineRule="auto"/>
              <w:ind w:left="1080" w:leftChars="257" w:hanging="54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w:t>
            </w:r>
          </w:p>
        </w:tc>
        <w:tc>
          <w:tcPr>
            <w:tcW w:w="7093" w:type="dxa"/>
            <w:gridSpan w:val="2"/>
            <w:noWrap w:val="0"/>
            <w:vAlign w:val="center"/>
          </w:tcPr>
          <w:p>
            <w:pPr>
              <w:spacing w:line="360" w:lineRule="auto"/>
              <w:rPr>
                <w:rFonts w:hint="eastAsia" w:ascii="楷体" w:hAnsi="楷体" w:eastAsia="楷体" w:cs="楷体"/>
                <w:color w:val="000000"/>
                <w:sz w:val="24"/>
                <w:highlight w:val="none"/>
                <w:u w:val="none" w:color="auto"/>
                <w:lang w:eastAsia="zh-CN"/>
              </w:rPr>
            </w:pPr>
            <w:r>
              <w:rPr>
                <w:rFonts w:hint="eastAsia" w:ascii="楷体" w:hAnsi="楷体" w:eastAsia="楷体" w:cs="楷体"/>
                <w:color w:val="000000"/>
                <w:sz w:val="24"/>
                <w:highlight w:val="none"/>
                <w:u w:val="none" w:color="auto"/>
              </w:rPr>
              <w:t>采购人：</w:t>
            </w:r>
            <w:r>
              <w:rPr>
                <w:rFonts w:hint="eastAsia" w:ascii="楷体" w:hAnsi="楷体" w:eastAsia="楷体" w:cs="楷体"/>
                <w:color w:val="000000"/>
                <w:sz w:val="24"/>
                <w:highlight w:val="none"/>
                <w:u w:val="none" w:color="auto"/>
                <w:lang w:eastAsia="zh-CN"/>
              </w:rPr>
              <w:t>塔什库尔干野生动物自然保护区服务中心</w:t>
            </w:r>
          </w:p>
          <w:p>
            <w:pPr>
              <w:spacing w:line="360" w:lineRule="auto"/>
              <w:rPr>
                <w:rFonts w:ascii="楷体" w:hAnsi="楷体" w:eastAsia="楷体" w:cs="楷体"/>
                <w:sz w:val="24"/>
                <w:highlight w:val="none"/>
                <w:u w:val="none" w:color="auto"/>
              </w:rPr>
            </w:pPr>
            <w:r>
              <w:rPr>
                <w:rFonts w:hint="eastAsia" w:ascii="楷体" w:hAnsi="楷体" w:eastAsia="楷体" w:cs="楷体"/>
                <w:color w:val="000000"/>
                <w:sz w:val="24"/>
                <w:highlight w:val="none"/>
                <w:u w:val="none" w:color="auto"/>
              </w:rPr>
              <w:t>地  址：</w:t>
            </w:r>
            <w:r>
              <w:rPr>
                <w:rFonts w:hint="eastAsia" w:ascii="楷体" w:hAnsi="楷体" w:eastAsia="楷体" w:cs="楷体"/>
                <w:sz w:val="24"/>
                <w:highlight w:val="none"/>
                <w:u w:val="none" w:color="auto"/>
              </w:rPr>
              <w:fldChar w:fldCharType="begin"/>
            </w:r>
            <w:r>
              <w:rPr>
                <w:rFonts w:hint="eastAsia" w:ascii="楷体" w:hAnsi="楷体" w:eastAsia="楷体" w:cs="楷体"/>
                <w:sz w:val="24"/>
                <w:highlight w:val="none"/>
                <w:u w:val="none" w:color="auto"/>
              </w:rPr>
              <w:instrText xml:space="preserve"> HYPERLINK "https://ditu.so.com/?k=%E6%96%B0%E7%96%86%E5%96%80%E4%BB%80%E5%B8%82%E5%AD%A6%E9%99%A2%E8%B7%AF29%E5%8F%B7&amp;src=baike_address" \t "https://baike.so.com/doc/_blank" </w:instrText>
            </w:r>
            <w:r>
              <w:rPr>
                <w:rFonts w:hint="eastAsia" w:ascii="楷体" w:hAnsi="楷体" w:eastAsia="楷体" w:cs="楷体"/>
                <w:sz w:val="24"/>
                <w:highlight w:val="none"/>
                <w:u w:val="none" w:color="auto"/>
              </w:rPr>
              <w:fldChar w:fldCharType="separate"/>
            </w:r>
            <w:r>
              <w:rPr>
                <w:rFonts w:hint="eastAsia" w:ascii="楷体" w:hAnsi="楷体" w:eastAsia="楷体" w:cs="楷体"/>
                <w:sz w:val="24"/>
                <w:highlight w:val="none"/>
                <w:u w:val="none" w:color="auto"/>
                <w:lang w:eastAsia="zh-CN"/>
              </w:rPr>
              <w:t>喀什市世纪大道4号</w:t>
            </w:r>
            <w:r>
              <w:rPr>
                <w:rFonts w:hint="eastAsia" w:ascii="楷体" w:hAnsi="楷体" w:eastAsia="楷体" w:cs="楷体"/>
                <w:sz w:val="24"/>
                <w:highlight w:val="none"/>
                <w:u w:val="none" w:color="auto"/>
              </w:rPr>
              <w:fldChar w:fldCharType="end"/>
            </w:r>
          </w:p>
          <w:p>
            <w:pPr>
              <w:spacing w:line="360" w:lineRule="auto"/>
              <w:rPr>
                <w:rFonts w:hint="eastAsia" w:ascii="楷体" w:hAnsi="楷体" w:eastAsia="楷体" w:cs="楷体"/>
                <w:color w:val="000000"/>
                <w:sz w:val="24"/>
                <w:highlight w:val="none"/>
                <w:u w:val="none" w:color="auto"/>
                <w:lang w:eastAsia="zh-CN"/>
              </w:rPr>
            </w:pPr>
            <w:r>
              <w:rPr>
                <w:rFonts w:hint="eastAsia" w:ascii="楷体" w:hAnsi="楷体" w:eastAsia="楷体" w:cs="楷体"/>
                <w:sz w:val="24"/>
                <w:highlight w:val="none"/>
                <w:u w:val="none" w:color="auto"/>
              </w:rPr>
              <w:t>联系人：</w:t>
            </w:r>
            <w:r>
              <w:rPr>
                <w:rFonts w:hint="eastAsia" w:ascii="楷体" w:hAnsi="楷体" w:eastAsia="楷体" w:cs="楷体"/>
                <w:sz w:val="24"/>
                <w:highlight w:val="none"/>
                <w:u w:val="none" w:color="auto"/>
                <w:lang w:eastAsia="zh-CN"/>
              </w:rPr>
              <w:t>李宣</w:t>
            </w:r>
            <w:r>
              <w:rPr>
                <w:rFonts w:hint="eastAsia" w:ascii="楷体" w:hAnsi="楷体" w:eastAsia="楷体" w:cs="楷体"/>
                <w:sz w:val="24"/>
                <w:highlight w:val="none"/>
                <w:u w:val="none" w:color="auto"/>
              </w:rPr>
              <w:t xml:space="preserve">   </w:t>
            </w:r>
            <w:r>
              <w:rPr>
                <w:rFonts w:hint="eastAsia" w:ascii="楷体" w:hAnsi="楷体" w:eastAsia="楷体" w:cs="楷体"/>
                <w:sz w:val="24"/>
                <w:highlight w:val="none"/>
                <w:u w:val="none" w:color="auto"/>
                <w:lang w:val="en-US" w:eastAsia="zh-CN"/>
              </w:rPr>
              <w:t xml:space="preserve">   </w:t>
            </w:r>
            <w:r>
              <w:rPr>
                <w:rFonts w:hint="eastAsia" w:ascii="楷体" w:hAnsi="楷体" w:eastAsia="楷体" w:cs="楷体"/>
                <w:sz w:val="24"/>
                <w:highlight w:val="none"/>
                <w:u w:val="none" w:color="auto"/>
              </w:rPr>
              <w:t xml:space="preserve"> 电  话：</w:t>
            </w:r>
            <w:r>
              <w:rPr>
                <w:rFonts w:hint="eastAsia" w:ascii="楷体" w:hAnsi="楷体" w:eastAsia="楷体" w:cs="楷体"/>
                <w:sz w:val="24"/>
                <w:highlight w:val="none"/>
                <w:u w:val="none" w:color="auto"/>
                <w:lang w:eastAsia="zh-CN"/>
              </w:rPr>
              <w:t>0998-3492280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1.2</w:t>
            </w:r>
          </w:p>
        </w:tc>
        <w:tc>
          <w:tcPr>
            <w:tcW w:w="7093" w:type="dxa"/>
            <w:gridSpan w:val="2"/>
            <w:noWrap w:val="0"/>
            <w:vAlign w:val="center"/>
          </w:tcPr>
          <w:p>
            <w:pPr>
              <w:spacing w:line="360" w:lineRule="auto"/>
              <w:rPr>
                <w:rFonts w:hint="eastAsia" w:ascii="楷体" w:hAnsi="楷体" w:eastAsia="楷体" w:cs="楷体"/>
                <w:sz w:val="24"/>
                <w:highlight w:val="none"/>
                <w:u w:val="none" w:color="auto"/>
              </w:rPr>
            </w:pPr>
            <w:r>
              <w:rPr>
                <w:rFonts w:hint="eastAsia" w:ascii="楷体" w:hAnsi="楷体" w:eastAsia="楷体" w:cs="楷体"/>
                <w:sz w:val="24"/>
                <w:highlight w:val="none"/>
                <w:u w:val="none" w:color="auto"/>
              </w:rPr>
              <w:t>采购代理机构：</w:t>
            </w:r>
            <w:r>
              <w:rPr>
                <w:rFonts w:hint="eastAsia" w:ascii="楷体" w:hAnsi="楷体" w:eastAsia="楷体" w:cs="楷体"/>
                <w:sz w:val="24"/>
                <w:highlight w:val="none"/>
                <w:u w:val="none" w:color="auto"/>
                <w:lang w:eastAsia="zh-CN"/>
              </w:rPr>
              <w:t>深圳市华睿项目管理有限公司</w:t>
            </w:r>
          </w:p>
          <w:p>
            <w:pPr>
              <w:spacing w:line="360" w:lineRule="auto"/>
              <w:rPr>
                <w:rFonts w:hint="eastAsia" w:ascii="楷体" w:hAnsi="楷体" w:eastAsia="楷体" w:cs="楷体"/>
                <w:sz w:val="24"/>
                <w:highlight w:val="none"/>
                <w:u w:val="none" w:color="auto"/>
              </w:rPr>
            </w:pPr>
            <w:r>
              <w:rPr>
                <w:rFonts w:hint="eastAsia" w:ascii="楷体" w:hAnsi="楷体" w:eastAsia="楷体" w:cs="楷体"/>
                <w:sz w:val="24"/>
                <w:highlight w:val="none"/>
                <w:u w:val="none" w:color="auto"/>
              </w:rPr>
              <w:t>业务联系人：　</w:t>
            </w:r>
            <w:r>
              <w:rPr>
                <w:rFonts w:hint="eastAsia" w:ascii="楷体" w:hAnsi="楷体" w:eastAsia="楷体" w:cs="楷体"/>
                <w:sz w:val="24"/>
                <w:highlight w:val="none"/>
                <w:u w:val="none" w:color="auto"/>
                <w:lang w:eastAsia="zh-CN"/>
              </w:rPr>
              <w:t>王伟杰</w:t>
            </w:r>
            <w:r>
              <w:rPr>
                <w:rFonts w:hint="eastAsia" w:ascii="楷体" w:hAnsi="楷体" w:eastAsia="楷体" w:cs="楷体"/>
                <w:sz w:val="24"/>
                <w:highlight w:val="none"/>
                <w:u w:val="none" w:color="auto"/>
              </w:rPr>
              <w:t>　 电话：</w:t>
            </w:r>
            <w:r>
              <w:rPr>
                <w:rFonts w:hint="eastAsia" w:ascii="楷体" w:hAnsi="楷体" w:eastAsia="楷体" w:cs="楷体"/>
                <w:sz w:val="24"/>
                <w:highlight w:val="none"/>
                <w:u w:val="none" w:color="auto"/>
                <w:lang w:eastAsia="zh-CN"/>
              </w:rPr>
              <w:t>17609987982</w:t>
            </w:r>
            <w:r>
              <w:rPr>
                <w:rFonts w:hint="eastAsia" w:ascii="楷体" w:hAnsi="楷体" w:eastAsia="楷体" w:cs="楷体"/>
                <w:sz w:val="24"/>
                <w:highlight w:val="none"/>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1.3.4</w:t>
            </w:r>
          </w:p>
        </w:tc>
        <w:tc>
          <w:tcPr>
            <w:tcW w:w="7093" w:type="dxa"/>
            <w:gridSpan w:val="2"/>
            <w:noWrap w:val="0"/>
            <w:vAlign w:val="center"/>
          </w:tcPr>
          <w:p>
            <w:pPr>
              <w:spacing w:line="360" w:lineRule="auto"/>
              <w:jc w:val="left"/>
              <w:rPr>
                <w:rFonts w:hint="eastAsia" w:ascii="楷体" w:hAnsi="楷体" w:eastAsia="楷体" w:cs="楷体"/>
                <w:highlight w:val="none"/>
              </w:rPr>
            </w:pPr>
            <w:r>
              <w:rPr>
                <w:rFonts w:hint="eastAsia" w:ascii="楷体" w:hAnsi="楷体" w:eastAsia="楷体" w:cs="楷体"/>
                <w:highlight w:val="none"/>
              </w:rPr>
              <w:t>合格投标人资格要求</w:t>
            </w:r>
            <w:r>
              <w:rPr>
                <w:rFonts w:hint="eastAsia" w:ascii="楷体" w:hAnsi="楷体" w:eastAsia="楷体" w:cs="楷体"/>
                <w:highlight w:val="none"/>
                <w:lang w:eastAsia="zh-CN"/>
              </w:rPr>
              <w:t>（投标人携带以下证件原件到开标现场。开标现场不接受二次提交）</w:t>
            </w:r>
            <w:r>
              <w:rPr>
                <w:rFonts w:hint="eastAsia" w:ascii="楷体" w:hAnsi="楷体" w:eastAsia="楷体" w:cs="楷体"/>
                <w:highlight w:val="none"/>
              </w:rPr>
              <w:t>：</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投标人必须满足《中华人民共和国政府采购法》第二十二条要求；</w:t>
            </w:r>
          </w:p>
          <w:p>
            <w:pPr>
              <w:pStyle w:val="23"/>
              <w:numPr>
                <w:ilvl w:val="0"/>
                <w:numId w:val="10"/>
              </w:numPr>
              <w:spacing w:line="240" w:lineRule="auto"/>
              <w:ind w:left="0" w:leftChars="0" w:right="-159" w:firstLine="480" w:firstLineChars="200"/>
              <w:jc w:val="left"/>
              <w:rPr>
                <w:rFonts w:hint="eastAsia" w:ascii="楷体" w:hAnsi="楷体" w:eastAsia="楷体" w:cs="楷体"/>
                <w:kern w:val="0"/>
                <w:sz w:val="24"/>
                <w:szCs w:val="24"/>
                <w:highlight w:val="none"/>
                <w:lang w:bidi="ar"/>
              </w:rPr>
            </w:pPr>
            <w:r>
              <w:rPr>
                <w:rFonts w:hint="eastAsia" w:ascii="楷体" w:hAnsi="楷体" w:eastAsia="楷体" w:cs="楷体"/>
                <w:color w:val="auto"/>
                <w:kern w:val="2"/>
                <w:sz w:val="24"/>
                <w:szCs w:val="24"/>
                <w:highlight w:val="none"/>
              </w:rPr>
              <w:t>独立承担民事责任能力的企业、事业、自然人，提供营业执照等经营性证件；</w:t>
            </w:r>
          </w:p>
          <w:p>
            <w:pPr>
              <w:pStyle w:val="23"/>
              <w:numPr>
                <w:ilvl w:val="0"/>
                <w:numId w:val="10"/>
              </w:numPr>
              <w:spacing w:line="240" w:lineRule="auto"/>
              <w:ind w:left="0" w:leftChars="0" w:right="-159" w:firstLine="480" w:firstLineChars="200"/>
              <w:jc w:val="left"/>
              <w:rPr>
                <w:rFonts w:hint="eastAsia" w:ascii="楷体" w:hAnsi="楷体" w:eastAsia="楷体" w:cs="楷体"/>
                <w:color w:val="auto"/>
                <w:kern w:val="2"/>
                <w:sz w:val="24"/>
                <w:szCs w:val="24"/>
                <w:highlight w:val="none"/>
              </w:rPr>
            </w:pPr>
            <w:r>
              <w:rPr>
                <w:rFonts w:hint="eastAsia" w:ascii="楷体" w:hAnsi="楷体" w:eastAsia="楷体" w:cs="楷体"/>
                <w:color w:val="auto"/>
                <w:kern w:val="2"/>
                <w:sz w:val="24"/>
                <w:szCs w:val="24"/>
                <w:highlight w:val="none"/>
                <w:lang w:eastAsia="zh-CN"/>
              </w:rPr>
              <w:t>法人身份证明或法人授权委托书（含法人身份证复印件）和被授权人身份有效证件原件；</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“信用中国”网站（http://www.creditchina.gov.cn）、中国政府采购网（http://www.ccgp.gov.cn）、国家企业信用信息公示系统(http://www.gsxt.gov.cn)无尚在处罚期内的不良行为记录</w:t>
            </w:r>
            <w:r>
              <w:rPr>
                <w:rFonts w:hint="eastAsia" w:ascii="楷体" w:hAnsi="楷体" w:eastAsia="楷体" w:cs="楷体"/>
                <w:sz w:val="24"/>
                <w:szCs w:val="24"/>
                <w:highlight w:val="none"/>
                <w:lang w:eastAsia="zh-CN"/>
              </w:rPr>
              <w:t>（以代理公司查询为准）</w:t>
            </w:r>
            <w:r>
              <w:rPr>
                <w:rFonts w:hint="eastAsia" w:ascii="楷体" w:hAnsi="楷体" w:eastAsia="楷体" w:cs="楷体"/>
                <w:kern w:val="0"/>
                <w:sz w:val="24"/>
                <w:szCs w:val="24"/>
                <w:highlight w:val="none"/>
                <w:lang w:bidi="ar"/>
              </w:rPr>
              <w:t>；</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投标单位（供应商）</w:t>
            </w:r>
            <w:r>
              <w:rPr>
                <w:rFonts w:hint="eastAsia" w:ascii="楷体" w:hAnsi="楷体" w:eastAsia="楷体" w:cs="楷体"/>
                <w:kern w:val="0"/>
                <w:sz w:val="24"/>
                <w:szCs w:val="24"/>
                <w:highlight w:val="none"/>
                <w:lang w:val="en-US" w:eastAsia="zh-CN" w:bidi="ar"/>
              </w:rPr>
              <w:t>及其法人</w:t>
            </w:r>
            <w:r>
              <w:rPr>
                <w:rFonts w:hint="eastAsia" w:ascii="楷体" w:hAnsi="楷体" w:eastAsia="楷体" w:cs="楷体"/>
                <w:kern w:val="0"/>
                <w:sz w:val="24"/>
                <w:szCs w:val="24"/>
                <w:highlight w:val="none"/>
                <w:lang w:bidi="ar"/>
              </w:rPr>
              <w:t>参加政府采购活动前三年内，在经营活动中没有重大违法记录声明；</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投标企业提供本单位缴纳的近三个月</w:t>
            </w:r>
            <w:r>
              <w:rPr>
                <w:rFonts w:hint="eastAsia" w:ascii="楷体" w:hAnsi="楷体" w:eastAsia="楷体" w:cs="楷体"/>
                <w:kern w:val="0"/>
                <w:sz w:val="24"/>
                <w:szCs w:val="24"/>
                <w:highlight w:val="none"/>
                <w:lang w:eastAsia="zh-CN"/>
              </w:rPr>
              <w:t>社保缴纳凭证及明细证明；</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 xml:space="preserve">具有税务局开具依法缴纳近三个月完税证明； </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投标单位（供应商）</w:t>
            </w:r>
            <w:r>
              <w:rPr>
                <w:rFonts w:hint="eastAsia" w:ascii="楷体" w:hAnsi="楷体" w:eastAsia="楷体" w:cs="楷体"/>
                <w:kern w:val="0"/>
                <w:sz w:val="24"/>
                <w:szCs w:val="24"/>
                <w:highlight w:val="none"/>
                <w:lang w:val="en-US" w:eastAsia="zh-CN" w:bidi="ar"/>
              </w:rPr>
              <w:t>及其法人</w:t>
            </w:r>
            <w:r>
              <w:rPr>
                <w:rFonts w:hint="eastAsia" w:ascii="楷体" w:hAnsi="楷体" w:eastAsia="楷体" w:cs="楷体"/>
                <w:kern w:val="0"/>
                <w:sz w:val="24"/>
                <w:szCs w:val="24"/>
                <w:highlight w:val="none"/>
                <w:lang w:bidi="ar"/>
              </w:rPr>
              <w:t>提供针对本次采购项目《反商业贿赂承诺书》的书面声明；</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val="en-US" w:eastAsia="zh-CN" w:bidi="ar"/>
              </w:rPr>
              <w:t>2020年度经审计的财务审计报告（成立不满一年的提供有效的银行资信证明）；</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足额缴纳投标保证金</w:t>
            </w:r>
            <w:r>
              <w:rPr>
                <w:rFonts w:hint="eastAsia" w:ascii="楷体" w:hAnsi="楷体" w:eastAsia="楷体" w:cs="楷体"/>
                <w:kern w:val="0"/>
                <w:sz w:val="24"/>
                <w:szCs w:val="24"/>
                <w:highlight w:val="none"/>
                <w:lang w:eastAsia="zh-CN" w:bidi="ar"/>
              </w:rPr>
              <w:t>。</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本项目不接受联合体投标，其他要求详见</w:t>
            </w:r>
            <w:r>
              <w:rPr>
                <w:rFonts w:hint="eastAsia" w:ascii="楷体" w:hAnsi="楷体" w:eastAsia="楷体" w:cs="楷体"/>
                <w:kern w:val="0"/>
                <w:sz w:val="24"/>
                <w:szCs w:val="24"/>
                <w:highlight w:val="none"/>
                <w:lang w:eastAsia="zh-CN" w:bidi="ar"/>
              </w:rPr>
              <w:t>磋商文件</w:t>
            </w:r>
            <w:r>
              <w:rPr>
                <w:rFonts w:hint="eastAsia" w:ascii="楷体" w:hAnsi="楷体" w:eastAsia="楷体" w:cs="楷体"/>
                <w:kern w:val="0"/>
                <w:sz w:val="24"/>
                <w:szCs w:val="24"/>
                <w:highlight w:val="none"/>
                <w:lang w:bidi="ar"/>
              </w:rPr>
              <w:t>；</w:t>
            </w:r>
          </w:p>
          <w:p>
            <w:pPr>
              <w:pStyle w:val="22"/>
              <w:numPr>
                <w:ilvl w:val="0"/>
                <w:numId w:val="10"/>
              </w:numPr>
              <w:ind w:left="0" w:leftChars="0" w:firstLine="480" w:firstLineChars="200"/>
              <w:rPr>
                <w:rFonts w:hint="eastAsia" w:ascii="楷体" w:hAnsi="楷体" w:eastAsia="楷体" w:cs="楷体"/>
                <w:kern w:val="0"/>
                <w:sz w:val="24"/>
                <w:szCs w:val="24"/>
                <w:highlight w:val="none"/>
                <w:lang w:bidi="ar"/>
              </w:rPr>
            </w:pPr>
            <w:r>
              <w:rPr>
                <w:rFonts w:hint="eastAsia" w:ascii="楷体" w:hAnsi="楷体" w:eastAsia="楷体" w:cs="楷体"/>
                <w:kern w:val="0"/>
                <w:sz w:val="24"/>
                <w:szCs w:val="24"/>
                <w:highlight w:val="none"/>
                <w:lang w:bidi="ar"/>
              </w:rPr>
              <w:t>法律法规规定的其他条件。</w:t>
            </w:r>
          </w:p>
          <w:p>
            <w:pPr>
              <w:spacing w:line="320" w:lineRule="exact"/>
              <w:jc w:val="left"/>
              <w:rPr>
                <w:rFonts w:hint="eastAsia" w:ascii="楷体" w:hAnsi="楷体" w:eastAsia="楷体" w:cs="楷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79" w:type="dxa"/>
            <w:noWrap w:val="0"/>
            <w:vAlign w:val="center"/>
          </w:tcPr>
          <w:p>
            <w:pPr>
              <w:spacing w:line="360" w:lineRule="auto"/>
              <w:ind w:left="1080" w:leftChars="257" w:hanging="54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1.3.5   </w:t>
            </w:r>
          </w:p>
        </w:tc>
        <w:tc>
          <w:tcPr>
            <w:tcW w:w="7093" w:type="dxa"/>
            <w:gridSpan w:val="2"/>
            <w:noWrap w:val="0"/>
            <w:vAlign w:val="center"/>
          </w:tcPr>
          <w:p>
            <w:pPr>
              <w:spacing w:line="360" w:lineRule="auto"/>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u w:val="single"/>
              </w:rPr>
              <w:t xml:space="preserve">是否允许采购进口产品： </w:t>
            </w:r>
            <w:r>
              <w:rPr>
                <w:rFonts w:hint="eastAsia" w:ascii="楷体" w:hAnsi="楷体" w:eastAsia="楷体" w:cs="楷体"/>
                <w:sz w:val="24"/>
                <w:szCs w:val="24"/>
                <w:highlight w:val="none"/>
                <w:u w:val="single"/>
              </w:rPr>
              <w:t>否</w:t>
            </w:r>
            <w:r>
              <w:rPr>
                <w:rFonts w:hint="eastAsia" w:ascii="楷体" w:hAnsi="楷体" w:eastAsia="楷体" w:cs="楷体"/>
                <w:color w:val="000000"/>
                <w:sz w:val="24"/>
                <w:highlight w:val="none"/>
                <w:u w:val="single"/>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1.3.6</w:t>
            </w:r>
          </w:p>
        </w:tc>
        <w:tc>
          <w:tcPr>
            <w:tcW w:w="7093" w:type="dxa"/>
            <w:gridSpan w:val="2"/>
            <w:noWrap w:val="0"/>
            <w:vAlign w:val="center"/>
          </w:tcPr>
          <w:p>
            <w:pPr>
              <w:spacing w:line="360" w:lineRule="auto"/>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u w:val="single"/>
              </w:rPr>
              <w:t xml:space="preserve">是否为专门面向中小企业采购：   </w:t>
            </w:r>
            <w:r>
              <w:rPr>
                <w:rFonts w:hint="eastAsia" w:ascii="楷体" w:hAnsi="楷体" w:eastAsia="楷体" w:cs="楷体"/>
                <w:color w:val="000000"/>
                <w:sz w:val="24"/>
                <w:highlight w:val="none"/>
                <w:u w:val="single"/>
                <w:lang w:eastAsia="zh-CN"/>
              </w:rPr>
              <w:t>是</w:t>
            </w:r>
            <w:r>
              <w:rPr>
                <w:rFonts w:hint="eastAsia" w:ascii="楷体" w:hAnsi="楷体" w:eastAsia="楷体" w:cs="楷体"/>
                <w:color w:val="000000"/>
                <w:sz w:val="24"/>
                <w:highlight w:val="none"/>
                <w:u w:val="single"/>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1.4</w:t>
            </w:r>
          </w:p>
        </w:tc>
        <w:tc>
          <w:tcPr>
            <w:tcW w:w="7093" w:type="dxa"/>
            <w:gridSpan w:val="2"/>
            <w:noWrap w:val="0"/>
            <w:vAlign w:val="center"/>
          </w:tcPr>
          <w:p>
            <w:pPr>
              <w:spacing w:line="360" w:lineRule="auto"/>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u w:val="single"/>
              </w:rPr>
              <w:t>是否允许联合体投标：  否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1.4.8</w:t>
            </w:r>
          </w:p>
        </w:tc>
        <w:tc>
          <w:tcPr>
            <w:tcW w:w="7093" w:type="dxa"/>
            <w:gridSpan w:val="2"/>
            <w:noWrap w:val="0"/>
            <w:vAlign w:val="center"/>
          </w:tcPr>
          <w:p>
            <w:pPr>
              <w:spacing w:line="360" w:lineRule="auto"/>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u w:val="singl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2.2</w:t>
            </w:r>
          </w:p>
        </w:tc>
        <w:tc>
          <w:tcPr>
            <w:tcW w:w="7093" w:type="dxa"/>
            <w:gridSpan w:val="2"/>
            <w:noWrap w:val="0"/>
            <w:vAlign w:val="center"/>
          </w:tcPr>
          <w:p>
            <w:pPr>
              <w:spacing w:line="360" w:lineRule="auto"/>
              <w:jc w:val="left"/>
              <w:rPr>
                <w:rFonts w:hint="default" w:eastAsia="楷体"/>
                <w:highlight w:val="none"/>
                <w:lang w:val="en-US" w:eastAsia="zh-CN"/>
              </w:rPr>
            </w:pPr>
            <w:r>
              <w:rPr>
                <w:rFonts w:hint="eastAsia" w:ascii="楷体" w:hAnsi="楷体" w:eastAsia="楷体" w:cs="楷体"/>
                <w:color w:val="000000"/>
                <w:sz w:val="24"/>
                <w:highlight w:val="none"/>
                <w:u w:val="single"/>
              </w:rPr>
              <w:t>项目预算金额：53.2</w:t>
            </w:r>
            <w:r>
              <w:rPr>
                <w:rFonts w:hint="eastAsia" w:ascii="楷体" w:hAnsi="楷体" w:eastAsia="楷体" w:cs="楷体"/>
                <w:color w:val="000000"/>
                <w:sz w:val="24"/>
                <w:highlight w:val="none"/>
                <w:u w:val="single"/>
                <w:lang w:val="en-US" w:eastAsia="zh-CN"/>
              </w:rPr>
              <w:t>万</w:t>
            </w:r>
            <w:r>
              <w:rPr>
                <w:rFonts w:hint="eastAsia" w:ascii="楷体" w:hAnsi="楷体" w:eastAsia="楷体" w:cs="楷体"/>
                <w:color w:val="000000"/>
                <w:sz w:val="24"/>
                <w:highlight w:val="none"/>
                <w:u w:val="single"/>
                <w:lang w:eastAsia="zh-CN"/>
              </w:rPr>
              <w:t>元</w:t>
            </w:r>
            <w:r>
              <w:rPr>
                <w:rFonts w:hint="eastAsia" w:ascii="楷体" w:hAnsi="楷体" w:eastAsia="楷体" w:cs="楷体"/>
                <w:color w:val="000000"/>
                <w:sz w:val="24"/>
                <w:highlight w:val="none"/>
                <w:u w:val="single"/>
              </w:rPr>
              <w:t>（</w:t>
            </w:r>
            <w:r>
              <w:rPr>
                <w:rFonts w:hint="eastAsia" w:ascii="楷体" w:hAnsi="楷体" w:eastAsia="楷体" w:cs="楷体"/>
                <w:color w:val="000000"/>
                <w:sz w:val="24"/>
                <w:highlight w:val="none"/>
                <w:u w:val="single"/>
                <w:lang w:val="en-US" w:eastAsia="zh-CN"/>
              </w:rPr>
              <w:t>伍拾叁万贰仟元整</w:t>
            </w:r>
            <w:r>
              <w:rPr>
                <w:rFonts w:hint="eastAsia" w:ascii="楷体" w:hAnsi="楷体" w:eastAsia="楷体" w:cs="楷体"/>
                <w:color w:val="000000"/>
                <w:sz w:val="24"/>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8.1</w:t>
            </w:r>
          </w:p>
        </w:tc>
        <w:tc>
          <w:tcPr>
            <w:tcW w:w="7093" w:type="dxa"/>
            <w:gridSpan w:val="2"/>
            <w:noWrap w:val="0"/>
            <w:vAlign w:val="center"/>
          </w:tcPr>
          <w:p>
            <w:pPr>
              <w:spacing w:line="360" w:lineRule="auto"/>
              <w:jc w:val="left"/>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u w:val="single"/>
              </w:rPr>
              <w:t>如投标商对多个包进行投标，可以中标  /  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79" w:type="dxa"/>
            <w:noWrap w:val="0"/>
            <w:vAlign w:val="center"/>
          </w:tcPr>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12.1</w:t>
            </w:r>
          </w:p>
        </w:tc>
        <w:tc>
          <w:tcPr>
            <w:tcW w:w="7093" w:type="dxa"/>
            <w:gridSpan w:val="2"/>
            <w:noWrap w:val="0"/>
            <w:vAlign w:val="center"/>
          </w:tcPr>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保证金形式：□保函  </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rPr>
              <w:t xml:space="preserve">电汇 </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rPr>
              <w:t xml:space="preserve"> 企业账户网银汇款（本项目允许的其他形式） </w:t>
            </w:r>
          </w:p>
          <w:p>
            <w:pPr>
              <w:spacing w:line="360" w:lineRule="auto"/>
              <w:rPr>
                <w:rFonts w:hint="default" w:ascii="楷体" w:hAnsi="楷体" w:eastAsia="楷体" w:cs="楷体"/>
                <w:color w:val="000000"/>
                <w:sz w:val="24"/>
                <w:highlight w:val="none"/>
                <w:lang w:val="en-US" w:eastAsia="zh-CN"/>
              </w:rPr>
            </w:pPr>
            <w:r>
              <w:rPr>
                <w:rFonts w:hint="eastAsia" w:ascii="楷体" w:hAnsi="楷体" w:eastAsia="楷体" w:cs="楷体"/>
                <w:color w:val="000000"/>
                <w:sz w:val="24"/>
                <w:highlight w:val="none"/>
              </w:rPr>
              <w:t xml:space="preserve">保证金数额： </w:t>
            </w:r>
            <w:r>
              <w:rPr>
                <w:rFonts w:hint="eastAsia" w:ascii="楷体" w:hAnsi="楷体" w:eastAsia="楷体" w:cs="楷体"/>
                <w:color w:val="000000"/>
                <w:sz w:val="24"/>
                <w:highlight w:val="none"/>
                <w:lang w:val="en-US" w:eastAsia="zh-CN"/>
              </w:rPr>
              <w:t>10000元</w:t>
            </w:r>
          </w:p>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（按照各分包控制金额2%以内的整数计算）</w:t>
            </w:r>
          </w:p>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账户名称：深圳市华睿项目管理有限公司新疆分公司</w:t>
            </w:r>
          </w:p>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账号号码：3012342809100045608</w:t>
            </w:r>
          </w:p>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开户银行：中国工商银行股份有限公司喀什分行文化路支行</w:t>
            </w:r>
          </w:p>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行号：102894000067</w:t>
            </w:r>
          </w:p>
          <w:p>
            <w:pPr>
              <w:spacing w:line="360" w:lineRule="auto"/>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rPr>
              <w:t>联系人：</w:t>
            </w:r>
            <w:r>
              <w:rPr>
                <w:rFonts w:hint="eastAsia" w:ascii="楷体" w:hAnsi="楷体" w:eastAsia="楷体" w:cs="楷体"/>
                <w:color w:val="000000"/>
                <w:sz w:val="24"/>
                <w:highlight w:val="none"/>
                <w:lang w:eastAsia="zh-CN"/>
              </w:rPr>
              <w:t>王伟杰</w:t>
            </w:r>
            <w:r>
              <w:rPr>
                <w:rFonts w:hint="eastAsia" w:ascii="楷体" w:hAnsi="楷体" w:eastAsia="楷体" w:cs="楷体"/>
                <w:color w:val="000000"/>
                <w:sz w:val="24"/>
                <w:highlight w:val="none"/>
              </w:rPr>
              <w:t xml:space="preserve"> </w:t>
            </w:r>
            <w:r>
              <w:rPr>
                <w:rFonts w:hint="eastAsia" w:ascii="楷体" w:hAnsi="楷体" w:eastAsia="楷体" w:cs="楷体"/>
                <w:color w:val="000000"/>
                <w:sz w:val="24"/>
                <w:highlight w:val="none"/>
                <w:lang w:eastAsia="zh-CN"/>
              </w:rPr>
              <w:t>17609987982</w:t>
            </w:r>
          </w:p>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打款时注明投标保证金项目名称及项目编号。到账截止时间：投标截止时间前。打款后请联系是否到账。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13.1</w:t>
            </w:r>
          </w:p>
        </w:tc>
        <w:tc>
          <w:tcPr>
            <w:tcW w:w="7093" w:type="dxa"/>
            <w:gridSpan w:val="2"/>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投标有效期：</w:t>
            </w:r>
            <w:r>
              <w:rPr>
                <w:rFonts w:hint="eastAsia" w:ascii="楷体" w:hAnsi="楷体" w:eastAsia="楷体" w:cs="楷体"/>
                <w:sz w:val="24"/>
                <w:highlight w:val="none"/>
                <w:u w:val="single"/>
              </w:rPr>
              <w:t>　60　</w:t>
            </w:r>
            <w:r>
              <w:rPr>
                <w:rFonts w:hint="eastAsia" w:ascii="楷体" w:hAnsi="楷体" w:eastAsia="楷体" w:cs="楷体"/>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79" w:type="dxa"/>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14.1</w:t>
            </w:r>
          </w:p>
        </w:tc>
        <w:tc>
          <w:tcPr>
            <w:tcW w:w="7093" w:type="dxa"/>
            <w:gridSpan w:val="2"/>
            <w:noWrap w:val="0"/>
            <w:vAlign w:val="center"/>
          </w:tcPr>
          <w:p>
            <w:pPr>
              <w:spacing w:line="240" w:lineRule="auto"/>
              <w:rPr>
                <w:rFonts w:hint="eastAsia" w:ascii="楷体" w:hAnsi="楷体" w:eastAsia="楷体" w:cs="楷体"/>
                <w:sz w:val="24"/>
                <w:highlight w:val="none"/>
              </w:rPr>
            </w:pPr>
            <w:r>
              <w:rPr>
                <w:rFonts w:hint="eastAsia" w:ascii="楷体" w:hAnsi="楷体" w:eastAsia="楷体" w:cs="楷体"/>
                <w:sz w:val="24"/>
                <w:highlight w:val="none"/>
              </w:rPr>
              <w:t>第一部分第二部分合订成册，正本：一 份、副本：</w:t>
            </w:r>
            <w:r>
              <w:rPr>
                <w:rFonts w:hint="eastAsia" w:ascii="楷体" w:hAnsi="楷体" w:eastAsia="楷体" w:cs="楷体"/>
                <w:sz w:val="24"/>
                <w:highlight w:val="none"/>
                <w:lang w:eastAsia="zh-CN"/>
              </w:rPr>
              <w:t>二</w:t>
            </w:r>
            <w:r>
              <w:rPr>
                <w:rFonts w:hint="eastAsia" w:ascii="楷体" w:hAnsi="楷体" w:eastAsia="楷体" w:cs="楷体"/>
                <w:sz w:val="24"/>
                <w:highlight w:val="none"/>
              </w:rPr>
              <w:t>份；</w:t>
            </w:r>
          </w:p>
          <w:p>
            <w:pPr>
              <w:spacing w:line="240" w:lineRule="auto"/>
              <w:rPr>
                <w:rFonts w:hint="eastAsia" w:ascii="楷体" w:hAnsi="楷体" w:eastAsia="楷体" w:cs="楷体"/>
                <w:sz w:val="24"/>
                <w:highlight w:val="none"/>
                <w:lang w:eastAsia="zh-CN"/>
              </w:rPr>
            </w:pPr>
            <w:r>
              <w:rPr>
                <w:rFonts w:hint="eastAsia" w:ascii="楷体" w:hAnsi="楷体" w:eastAsia="楷体" w:cs="楷体"/>
                <w:sz w:val="24"/>
                <w:highlight w:val="none"/>
              </w:rPr>
              <w:t>除上述文件外，还须密封递交</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电子文档 一  份，开标一览表一份</w:t>
            </w:r>
            <w:r>
              <w:rPr>
                <w:rFonts w:hint="eastAsia" w:ascii="楷体" w:hAnsi="楷体" w:eastAsia="楷体" w:cs="楷体"/>
                <w:sz w:val="24"/>
                <w:highlight w:val="none"/>
                <w:lang w:eastAsia="zh-CN"/>
              </w:rPr>
              <w:t>；</w:t>
            </w:r>
          </w:p>
          <w:p>
            <w:pPr>
              <w:spacing w:line="240" w:lineRule="auto"/>
              <w:rPr>
                <w:rFonts w:hint="eastAsia" w:ascii="楷体" w:hAnsi="楷体" w:eastAsia="楷体" w:cs="楷体"/>
                <w:sz w:val="24"/>
                <w:highlight w:val="none"/>
              </w:rPr>
            </w:pPr>
            <w:r>
              <w:rPr>
                <w:rFonts w:hint="eastAsia" w:ascii="楷体" w:hAnsi="楷体" w:eastAsia="楷体" w:cs="楷体"/>
                <w:sz w:val="24"/>
                <w:highlight w:val="none"/>
              </w:rPr>
              <w:t>正副本可装入一个封套中，但开标一览表、电子U盘（含WORD及</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正本盖章签字后的扫描件PDF，现场核查电子版，不响应的按无效投标处理）需再单独封装一份于单独封套中，所有封套加贴封条，并在封套的封口骑缝处法人</w:t>
            </w:r>
            <w:r>
              <w:rPr>
                <w:rFonts w:hint="eastAsia" w:ascii="楷体" w:hAnsi="楷体" w:eastAsia="楷体" w:cs="楷体"/>
                <w:sz w:val="24"/>
              </w:rPr>
              <w:t>（或其委托代理人）</w:t>
            </w:r>
            <w:r>
              <w:rPr>
                <w:rFonts w:hint="eastAsia" w:ascii="楷体" w:hAnsi="楷体" w:eastAsia="楷体" w:cs="楷体"/>
                <w:sz w:val="24"/>
                <w:highlight w:val="none"/>
              </w:rPr>
              <w:t>签字</w:t>
            </w:r>
            <w:r>
              <w:rPr>
                <w:rFonts w:hint="eastAsia" w:ascii="楷体" w:hAnsi="楷体" w:eastAsia="楷体" w:cs="楷体"/>
                <w:sz w:val="24"/>
                <w:highlight w:val="none"/>
                <w:lang w:eastAsia="zh-CN"/>
              </w:rPr>
              <w:t>并</w:t>
            </w:r>
            <w:r>
              <w:rPr>
                <w:rFonts w:hint="eastAsia" w:ascii="楷体" w:hAnsi="楷体" w:eastAsia="楷体" w:cs="楷体"/>
                <w:sz w:val="24"/>
                <w:highlight w:val="none"/>
              </w:rPr>
              <w:t>加盖投标企业公章。</w:t>
            </w:r>
          </w:p>
          <w:p>
            <w:pPr>
              <w:spacing w:line="240" w:lineRule="auto"/>
              <w:rPr>
                <w:rFonts w:hint="eastAsia" w:ascii="楷体" w:hAnsi="楷体" w:eastAsia="楷体" w:cs="楷体"/>
                <w:sz w:val="24"/>
                <w:highlight w:val="none"/>
              </w:rPr>
            </w:pP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使用A4纸张，胶装，每册装订应牢固、不易拆散和换页，不得采用活页装订。</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中大于A3的彩图应需要另外裱装。正本每页盖鲜章，副本可为正本复印件但需加盖骑缝章。</w:t>
            </w:r>
          </w:p>
          <w:p>
            <w:pPr>
              <w:spacing w:line="240" w:lineRule="auto"/>
              <w:rPr>
                <w:rFonts w:hint="eastAsia" w:ascii="楷体" w:hAnsi="楷体" w:eastAsia="楷体" w:cs="楷体"/>
                <w:sz w:val="24"/>
                <w:highlight w:val="none"/>
              </w:rPr>
            </w:pPr>
            <w:r>
              <w:rPr>
                <w:rFonts w:hint="eastAsia" w:ascii="楷体" w:hAnsi="楷体" w:eastAsia="楷体" w:cs="楷体"/>
                <w:sz w:val="24"/>
                <w:highlight w:val="none"/>
              </w:rPr>
              <w:t>所有响应</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要求合格投标人的</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包括随文件同时递交的图纸、U盘等附件均不予退回。</w:t>
            </w:r>
          </w:p>
          <w:p>
            <w:pPr>
              <w:spacing w:line="240" w:lineRule="auto"/>
              <w:rPr>
                <w:rFonts w:hint="eastAsia" w:ascii="楷体" w:hAnsi="楷体" w:eastAsia="楷体" w:cs="楷体"/>
                <w:sz w:val="24"/>
                <w:highlight w:val="none"/>
              </w:rPr>
            </w:pP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正反面打印，编辑目录，页码连续。</w:t>
            </w:r>
          </w:p>
          <w:p>
            <w:pPr>
              <w:spacing w:line="240" w:lineRule="auto"/>
              <w:rPr>
                <w:rFonts w:hint="eastAsia" w:ascii="楷体" w:hAnsi="楷体" w:eastAsia="楷体" w:cs="楷体"/>
                <w:sz w:val="24"/>
                <w:highlight w:val="none"/>
              </w:rPr>
            </w:pPr>
            <w:r>
              <w:rPr>
                <w:rFonts w:hint="eastAsia" w:ascii="楷体" w:hAnsi="楷体" w:eastAsia="楷体" w:cs="楷体"/>
                <w:sz w:val="24"/>
                <w:highlight w:val="none"/>
              </w:rPr>
              <w:t>评分标准中需备查的材料原件，须单独密封与</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一并提交，不接受二次提供。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8" w:hRule="atLeast"/>
        </w:trPr>
        <w:tc>
          <w:tcPr>
            <w:tcW w:w="1479" w:type="dxa"/>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16.1</w:t>
            </w:r>
          </w:p>
        </w:tc>
        <w:tc>
          <w:tcPr>
            <w:tcW w:w="7093" w:type="dxa"/>
            <w:gridSpan w:val="2"/>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投标截止时间：</w:t>
            </w:r>
            <w:r>
              <w:rPr>
                <w:rFonts w:hint="eastAsia" w:ascii="楷体" w:hAnsi="楷体" w:eastAsia="楷体" w:cs="楷体"/>
                <w:sz w:val="24"/>
                <w:highlight w:val="none"/>
                <w:lang w:val="en-US" w:eastAsia="zh-CN"/>
              </w:rPr>
              <w:t>2021年8月11日11点00 分</w:t>
            </w:r>
            <w:r>
              <w:rPr>
                <w:rFonts w:hint="eastAsia" w:ascii="楷体" w:hAnsi="楷体" w:eastAsia="楷体" w:cs="楷体"/>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18.1</w:t>
            </w:r>
          </w:p>
        </w:tc>
        <w:tc>
          <w:tcPr>
            <w:tcW w:w="7093" w:type="dxa"/>
            <w:gridSpan w:val="2"/>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开标时间：同投标截止时间</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开标地点：</w:t>
            </w:r>
            <w:r>
              <w:rPr>
                <w:rFonts w:hint="eastAsia" w:ascii="楷体" w:hAnsi="楷体" w:eastAsia="楷体" w:cs="楷体"/>
                <w:sz w:val="24"/>
                <w:szCs w:val="24"/>
                <w:highlight w:val="none"/>
                <w:u w:val="single"/>
                <w:lang w:eastAsia="zh-CN"/>
              </w:rPr>
              <w:t>喀什汇成高层3号楼202会议室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20.5</w:t>
            </w:r>
          </w:p>
        </w:tc>
        <w:tc>
          <w:tcPr>
            <w:tcW w:w="7093" w:type="dxa"/>
            <w:gridSpan w:val="2"/>
            <w:noWrap w:val="0"/>
            <w:vAlign w:val="center"/>
          </w:tcPr>
          <w:p>
            <w:pPr>
              <w:tabs>
                <w:tab w:val="left" w:pos="4276"/>
                <w:tab w:val="left" w:pos="8522"/>
              </w:tabs>
              <w:spacing w:line="360" w:lineRule="auto"/>
              <w:jc w:val="left"/>
              <w:rPr>
                <w:rFonts w:hint="eastAsia" w:ascii="楷体" w:hAnsi="楷体" w:eastAsia="楷体" w:cs="楷体"/>
                <w:kern w:val="0"/>
                <w:sz w:val="24"/>
                <w:highlight w:val="none"/>
                <w:vertAlign w:val="baseline"/>
                <w:lang w:eastAsia="zh-CN" w:bidi="ar"/>
              </w:rPr>
            </w:pPr>
            <w:r>
              <w:rPr>
                <w:rFonts w:hint="eastAsia" w:ascii="楷体" w:hAnsi="楷体" w:eastAsia="楷体" w:cs="楷体"/>
                <w:sz w:val="24"/>
                <w:highlight w:val="none"/>
              </w:rPr>
              <w:t>核心产品：</w:t>
            </w:r>
            <w:r>
              <w:rPr>
                <w:rFonts w:hint="eastAsia" w:ascii="楷体" w:hAnsi="楷体" w:eastAsia="楷体" w:cs="楷体"/>
                <w:sz w:val="24"/>
                <w:highlight w:val="none"/>
                <w:lang w:eastAsia="zh-CN"/>
              </w:rPr>
              <w:t>科研监测设备</w:t>
            </w:r>
          </w:p>
          <w:p>
            <w:pPr>
              <w:tabs>
                <w:tab w:val="left" w:pos="4276"/>
                <w:tab w:val="left" w:pos="8522"/>
              </w:tabs>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（详细产品要求详见</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 xml:space="preserve">第5章 </w:t>
            </w:r>
            <w:r>
              <w:rPr>
                <w:rFonts w:hint="eastAsia" w:ascii="楷体" w:hAnsi="楷体" w:eastAsia="楷体" w:cs="楷体"/>
                <w:sz w:val="24"/>
                <w:highlight w:val="none"/>
                <w:lang w:val="en-US" w:eastAsia="zh-CN"/>
              </w:rPr>
              <w:t>货物及技术需求</w:t>
            </w:r>
            <w:r>
              <w:rPr>
                <w:rFonts w:hint="eastAsia" w:ascii="楷体" w:hAnsi="楷体" w:eastAsia="楷体" w:cs="楷体"/>
                <w:sz w:val="24"/>
                <w:highlight w:val="none"/>
              </w:rPr>
              <w:t xml:space="preserve">一览表及技术规格）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23.2</w:t>
            </w:r>
          </w:p>
        </w:tc>
        <w:tc>
          <w:tcPr>
            <w:tcW w:w="7093" w:type="dxa"/>
            <w:gridSpan w:val="2"/>
            <w:noWrap w:val="0"/>
            <w:vAlign w:val="center"/>
          </w:tcPr>
          <w:p>
            <w:pPr>
              <w:spacing w:line="360" w:lineRule="auto"/>
              <w:rPr>
                <w:rFonts w:hint="eastAsia" w:ascii="楷体" w:hAnsi="楷体" w:eastAsia="楷体" w:cs="楷体"/>
                <w:i/>
                <w:color w:val="000000"/>
                <w:sz w:val="24"/>
                <w:highlight w:val="none"/>
              </w:rPr>
            </w:pPr>
            <w:r>
              <w:rPr>
                <w:rFonts w:hint="eastAsia" w:ascii="楷体" w:hAnsi="楷体" w:eastAsia="楷体" w:cs="楷体"/>
                <w:color w:val="000000"/>
                <w:sz w:val="24"/>
                <w:highlight w:val="none"/>
              </w:rPr>
              <w:t>评标方法：适用中华人民共和国财政部令第87号--政府采购货物和服务招标投标管理办法第五十五条综合评分法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27</w:t>
            </w:r>
          </w:p>
        </w:tc>
        <w:tc>
          <w:tcPr>
            <w:tcW w:w="7093" w:type="dxa"/>
            <w:gridSpan w:val="2"/>
            <w:noWrap w:val="0"/>
            <w:vAlign w:val="center"/>
          </w:tcPr>
          <w:p>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推荐中标候选供应商的数量：</w:t>
            </w:r>
            <w:r>
              <w:rPr>
                <w:rFonts w:hint="eastAsia" w:ascii="楷体" w:hAnsi="楷体" w:eastAsia="楷体" w:cs="楷体"/>
                <w:color w:val="000000"/>
                <w:sz w:val="24"/>
                <w:highlight w:val="none"/>
                <w:u w:val="single"/>
              </w:rPr>
              <w:t>　三名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27</w:t>
            </w:r>
          </w:p>
        </w:tc>
        <w:tc>
          <w:tcPr>
            <w:tcW w:w="7093" w:type="dxa"/>
            <w:gridSpan w:val="2"/>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招标人是否委托评标委员会直接确定中标人：</w:t>
            </w:r>
            <w:r>
              <w:rPr>
                <w:rFonts w:hint="eastAsia" w:ascii="楷体" w:hAnsi="楷体" w:eastAsia="楷体" w:cs="楷体"/>
                <w:sz w:val="24"/>
                <w:highlight w:val="none"/>
                <w:u w:val="single"/>
              </w:rPr>
              <w:t xml:space="preserve"> 否 </w:t>
            </w:r>
            <w:r>
              <w:rPr>
                <w:rFonts w:hint="eastAsia" w:ascii="楷体" w:hAnsi="楷体" w:eastAsia="楷体" w:cs="楷体"/>
                <w:sz w:val="24"/>
                <w:highlight w:val="none"/>
              </w:rPr>
              <w:t xml:space="preserve"> </w:t>
            </w:r>
            <w:r>
              <w:rPr>
                <w:rFonts w:hint="eastAsia" w:ascii="楷体" w:hAnsi="楷体" w:eastAsia="楷体" w:cs="楷体"/>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31.1</w:t>
            </w:r>
          </w:p>
        </w:tc>
        <w:tc>
          <w:tcPr>
            <w:tcW w:w="7093" w:type="dxa"/>
            <w:gridSpan w:val="2"/>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履约保证金金额：合同总价的</w:t>
            </w:r>
            <w:r>
              <w:rPr>
                <w:rFonts w:hint="eastAsia" w:ascii="楷体" w:hAnsi="楷体" w:eastAsia="楷体" w:cs="楷体"/>
                <w:sz w:val="24"/>
                <w:highlight w:val="none"/>
                <w:u w:val="single"/>
              </w:rPr>
              <w:t>　</w:t>
            </w:r>
            <w:r>
              <w:rPr>
                <w:rFonts w:hint="eastAsia" w:ascii="楷体" w:hAnsi="楷体" w:eastAsia="楷体" w:cs="楷体"/>
                <w:sz w:val="24"/>
                <w:highlight w:val="none"/>
                <w:u w:val="single"/>
                <w:lang w:val="en-US" w:eastAsia="zh-CN"/>
              </w:rPr>
              <w:t>5</w:t>
            </w:r>
            <w:r>
              <w:rPr>
                <w:rFonts w:hint="eastAsia" w:ascii="楷体" w:hAnsi="楷体" w:eastAsia="楷体" w:cs="楷体"/>
                <w:sz w:val="24"/>
                <w:highlight w:val="none"/>
                <w:u w:val="single"/>
              </w:rPr>
              <w:t>%　</w:t>
            </w:r>
            <w:r>
              <w:rPr>
                <w:rFonts w:hint="eastAsia" w:ascii="楷体" w:hAnsi="楷体" w:eastAsia="楷体" w:cs="楷体"/>
                <w:sz w:val="24"/>
                <w:highlight w:val="none"/>
              </w:rPr>
              <w:t>（不得超过政府采购合同金额的10%）</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 xml:space="preserve">履约保证金形式：电汇、支票 </w:t>
            </w:r>
          </w:p>
          <w:p>
            <w:pPr>
              <w:spacing w:line="360" w:lineRule="auto"/>
              <w:rPr>
                <w:rFonts w:hint="eastAsia" w:ascii="楷体" w:hAnsi="楷体" w:eastAsia="楷体" w:cs="楷体"/>
                <w:highlight w:val="none"/>
              </w:rPr>
            </w:pPr>
            <w:r>
              <w:rPr>
                <w:rFonts w:hint="eastAsia" w:ascii="楷体" w:hAnsi="楷体" w:eastAsia="楷体" w:cs="楷体"/>
                <w:sz w:val="24"/>
                <w:highlight w:val="none"/>
              </w:rPr>
              <w:t>提交履约保证金的时间：领取中标通知书后5日内及时向采购人账户中提交保证金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32</w:t>
            </w:r>
          </w:p>
        </w:tc>
        <w:tc>
          <w:tcPr>
            <w:tcW w:w="7093" w:type="dxa"/>
            <w:gridSpan w:val="2"/>
            <w:noWrap w:val="0"/>
            <w:vAlign w:val="center"/>
          </w:tcPr>
          <w:p>
            <w:pPr>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highlight w:val="none"/>
              </w:rPr>
              <w:t>中标服务费：☑</w:t>
            </w:r>
            <w:r>
              <w:rPr>
                <w:rFonts w:hint="eastAsia" w:ascii="楷体" w:hAnsi="楷体" w:eastAsia="楷体" w:cs="楷体"/>
                <w:sz w:val="24"/>
                <w:szCs w:val="24"/>
                <w:highlight w:val="none"/>
                <w:lang w:val="en-US" w:eastAsia="zh-CN"/>
              </w:rPr>
              <w:t>参照原国家根据发改价格[2015]299号文规定，采购人和招标代理公司双方协定，由中标企业支付中标金额的1.5%。</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√由中标单位支付。</w:t>
            </w:r>
          </w:p>
          <w:p>
            <w:pPr>
              <w:spacing w:line="360" w:lineRule="auto"/>
              <w:ind w:left="900" w:hanging="900" w:hangingChars="375"/>
              <w:rPr>
                <w:rFonts w:hint="eastAsia" w:ascii="楷体" w:hAnsi="楷体" w:eastAsia="楷体" w:cs="楷体"/>
                <w:sz w:val="24"/>
                <w:highlight w:val="none"/>
              </w:rPr>
            </w:pPr>
            <w:r>
              <w:rPr>
                <w:rFonts w:hint="eastAsia" w:ascii="楷体" w:hAnsi="楷体" w:eastAsia="楷体" w:cs="楷体"/>
                <w:sz w:val="24"/>
                <w:highlight w:val="none"/>
              </w:rPr>
              <w:t>支付形式：</w:t>
            </w:r>
            <w:r>
              <w:rPr>
                <w:rFonts w:hint="eastAsia" w:ascii="楷体" w:hAnsi="楷体" w:eastAsia="楷体" w:cs="楷体"/>
                <w:sz w:val="24"/>
                <w:highlight w:val="none"/>
                <w:u w:val="single"/>
              </w:rPr>
              <w:t xml:space="preserve"> 网银汇款、支票 </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支付时间：</w:t>
            </w:r>
            <w:r>
              <w:rPr>
                <w:rFonts w:hint="eastAsia" w:ascii="楷体" w:hAnsi="楷体" w:eastAsia="楷体" w:cs="楷体"/>
                <w:sz w:val="24"/>
                <w:highlight w:val="none"/>
                <w:u w:val="single"/>
              </w:rPr>
              <w:t xml:space="preserve"> 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33.1</w:t>
            </w:r>
          </w:p>
        </w:tc>
        <w:tc>
          <w:tcPr>
            <w:tcW w:w="7093" w:type="dxa"/>
            <w:gridSpan w:val="2"/>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本项目是否属于信用担保试点范围：</w:t>
            </w:r>
            <w:r>
              <w:rPr>
                <w:rFonts w:hint="eastAsia" w:ascii="楷体" w:hAnsi="楷体" w:eastAsia="楷体" w:cs="楷体"/>
                <w:sz w:val="24"/>
                <w:highlight w:val="none"/>
                <w:u w:val="single"/>
              </w:rPr>
              <w:t xml:space="preserve"> 否 </w:t>
            </w:r>
            <w:r>
              <w:rPr>
                <w:rFonts w:hint="eastAsia" w:ascii="楷体" w:hAnsi="楷体" w:eastAsia="楷体" w:cs="楷体"/>
                <w:sz w:val="24"/>
                <w:highlight w:val="none"/>
              </w:rPr>
              <w:t xml:space="preserve"> </w:t>
            </w:r>
            <w:r>
              <w:rPr>
                <w:rFonts w:hint="eastAsia" w:ascii="楷体" w:hAnsi="楷体" w:eastAsia="楷体" w:cs="楷体"/>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33.2</w:t>
            </w:r>
          </w:p>
        </w:tc>
        <w:tc>
          <w:tcPr>
            <w:tcW w:w="7093" w:type="dxa"/>
            <w:gridSpan w:val="2"/>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政府采购专业担保机构：</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所有政府采购项目的信用担保专业的担保机构</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中国投融资担保股份有限公司</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地址:北京市海淀区西三环北路100号光耀东方写字楼9层</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联系电话：010-88822888      传真：010-68437040</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电子邮箱：ztbxf@guaranty.com.cn</w:t>
            </w:r>
          </w:p>
          <w:p>
            <w:pPr>
              <w:spacing w:line="360" w:lineRule="auto"/>
              <w:ind w:left="-48" w:leftChars="-23" w:firstLine="48" w:firstLineChars="20"/>
              <w:rPr>
                <w:rFonts w:hint="eastAsia" w:ascii="楷体" w:hAnsi="楷体" w:eastAsia="楷体" w:cs="楷体"/>
                <w:sz w:val="24"/>
                <w:highlight w:val="none"/>
              </w:rPr>
            </w:pPr>
            <w:r>
              <w:rPr>
                <w:rFonts w:hint="eastAsia" w:ascii="楷体" w:hAnsi="楷体" w:eastAsia="楷体" w:cs="楷体"/>
                <w:sz w:val="24"/>
                <w:highlight w:val="none"/>
              </w:rPr>
              <w:t>2. 本项目采购人本级和上级财政部门政府采购有关规定增加的担保机构：无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34.3</w:t>
            </w:r>
          </w:p>
        </w:tc>
        <w:tc>
          <w:tcPr>
            <w:tcW w:w="7093" w:type="dxa"/>
            <w:gridSpan w:val="2"/>
            <w:noWrap w:val="0"/>
            <w:vAlign w:val="center"/>
          </w:tcPr>
          <w:p>
            <w:pPr>
              <w:spacing w:line="360" w:lineRule="auto"/>
              <w:ind w:left="710" w:leftChars="-23" w:hanging="758" w:hangingChars="316"/>
              <w:rPr>
                <w:rFonts w:hint="eastAsia" w:ascii="楷体" w:hAnsi="楷体" w:eastAsia="楷体" w:cs="楷体"/>
                <w:color w:val="000000"/>
                <w:sz w:val="24"/>
                <w:highlight w:val="none"/>
              </w:rPr>
            </w:pPr>
            <w:r>
              <w:rPr>
                <w:rFonts w:hint="eastAsia" w:ascii="楷体" w:hAnsi="楷体" w:eastAsia="楷体" w:cs="楷体"/>
                <w:color w:val="000000"/>
                <w:sz w:val="24"/>
                <w:highlight w:val="none"/>
              </w:rPr>
              <w:t>反腐倡廉监督电话/邮箱：喀什地区政府采购管理办公室</w:t>
            </w:r>
          </w:p>
          <w:p>
            <w:pPr>
              <w:spacing w:line="360" w:lineRule="auto"/>
              <w:ind w:left="710" w:leftChars="-23" w:hanging="758" w:hangingChars="316"/>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 联系人：</w:t>
            </w:r>
            <w:r>
              <w:rPr>
                <w:rFonts w:hint="eastAsia" w:ascii="楷体" w:hAnsi="楷体" w:eastAsia="楷体" w:cs="楷体"/>
                <w:color w:val="000000"/>
                <w:sz w:val="24"/>
                <w:highlight w:val="none"/>
                <w:lang w:eastAsia="zh-CN"/>
              </w:rPr>
              <w:t>胡迪敏</w:t>
            </w:r>
            <w:r>
              <w:rPr>
                <w:rFonts w:hint="eastAsia" w:ascii="楷体" w:hAnsi="楷体" w:eastAsia="楷体" w:cs="楷体"/>
                <w:color w:val="000000"/>
                <w:sz w:val="24"/>
                <w:highlight w:val="none"/>
              </w:rPr>
              <w:t xml:space="preserve">  联系电话：0998-2597000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79" w:type="dxa"/>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36.3</w:t>
            </w:r>
          </w:p>
        </w:tc>
        <w:tc>
          <w:tcPr>
            <w:tcW w:w="7093" w:type="dxa"/>
            <w:gridSpan w:val="2"/>
            <w:noWrap w:val="0"/>
            <w:vAlign w:val="center"/>
          </w:tcPr>
          <w:p>
            <w:pPr>
              <w:spacing w:line="360" w:lineRule="auto"/>
              <w:ind w:left="710" w:leftChars="-23" w:hanging="758" w:hangingChars="316"/>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rPr>
              <w:t>接收部门：喀什地区政府采购管理办公室</w:t>
            </w:r>
          </w:p>
          <w:p>
            <w:pPr>
              <w:spacing w:line="360" w:lineRule="auto"/>
              <w:ind w:left="710" w:leftChars="-23" w:hanging="758" w:hangingChars="316"/>
              <w:rPr>
                <w:rFonts w:hint="eastAsia" w:ascii="楷体" w:hAnsi="楷体" w:eastAsia="楷体" w:cs="楷体"/>
                <w:color w:val="000000"/>
                <w:sz w:val="24"/>
                <w:highlight w:val="none"/>
              </w:rPr>
            </w:pPr>
            <w:r>
              <w:rPr>
                <w:rFonts w:hint="eastAsia" w:ascii="楷体" w:hAnsi="楷体" w:eastAsia="楷体" w:cs="楷体"/>
                <w:color w:val="000000"/>
                <w:sz w:val="24"/>
                <w:highlight w:val="none"/>
              </w:rPr>
              <w:t>联系电话：0998-2597000</w:t>
            </w:r>
          </w:p>
          <w:p>
            <w:pPr>
              <w:spacing w:line="360" w:lineRule="auto"/>
              <w:ind w:left="710" w:leftChars="-23" w:hanging="758" w:hangingChars="316"/>
              <w:rPr>
                <w:rFonts w:hint="eastAsia" w:ascii="楷体" w:hAnsi="楷体" w:eastAsia="楷体" w:cs="楷体"/>
                <w:color w:val="000000"/>
                <w:sz w:val="24"/>
                <w:highlight w:val="none"/>
              </w:rPr>
            </w:pPr>
            <w:r>
              <w:rPr>
                <w:rFonts w:hint="eastAsia" w:ascii="楷体" w:hAnsi="楷体" w:eastAsia="楷体" w:cs="楷体"/>
                <w:color w:val="000000"/>
                <w:sz w:val="24"/>
                <w:highlight w:val="none"/>
              </w:rPr>
              <w:t>通讯地址：新疆喀什市解放北路46号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572" w:type="dxa"/>
            <w:gridSpan w:val="3"/>
            <w:tcBorders>
              <w:top w:val="single" w:color="auto" w:sz="12" w:space="0"/>
              <w:left w:val="single" w:color="auto" w:sz="12" w:space="0"/>
              <w:bottom w:val="single" w:color="auto" w:sz="12" w:space="0"/>
              <w:right w:val="single" w:color="auto" w:sz="12" w:space="0"/>
            </w:tcBorders>
            <w:noWrap w:val="0"/>
            <w:vAlign w:val="center"/>
          </w:tcPr>
          <w:p>
            <w:pPr>
              <w:spacing w:line="360" w:lineRule="auto"/>
              <w:ind w:left="1080" w:leftChars="257" w:hanging="540"/>
              <w:rPr>
                <w:rFonts w:hint="eastAsia" w:ascii="楷体" w:hAnsi="楷体" w:eastAsia="楷体" w:cs="楷体"/>
                <w:sz w:val="24"/>
                <w:highlight w:val="none"/>
              </w:rPr>
            </w:pPr>
            <w:r>
              <w:rPr>
                <w:rFonts w:hint="eastAsia" w:ascii="楷体" w:hAnsi="楷体" w:eastAsia="楷体" w:cs="楷体"/>
                <w:sz w:val="24"/>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60" w:type="dxa"/>
            <w:gridSpan w:val="2"/>
            <w:noWrap w:val="0"/>
            <w:vAlign w:val="top"/>
          </w:tcPr>
          <w:p>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1</w:t>
            </w:r>
          </w:p>
        </w:tc>
        <w:tc>
          <w:tcPr>
            <w:tcW w:w="6912" w:type="dxa"/>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不得将中标项目全部或部分转让（转包）给他人；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60" w:type="dxa"/>
            <w:gridSpan w:val="2"/>
            <w:noWrap w:val="0"/>
            <w:vAlign w:val="top"/>
          </w:tcPr>
          <w:p>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2</w:t>
            </w:r>
          </w:p>
        </w:tc>
        <w:tc>
          <w:tcPr>
            <w:tcW w:w="6912" w:type="dxa"/>
            <w:noWrap w:val="0"/>
            <w:vAlign w:val="center"/>
          </w:tcPr>
          <w:p>
            <w:pPr>
              <w:spacing w:line="360" w:lineRule="auto"/>
              <w:rPr>
                <w:rFonts w:hint="eastAsia" w:ascii="楷体" w:hAnsi="楷体" w:eastAsia="楷体" w:cs="楷体"/>
                <w:sz w:val="24"/>
                <w:highlight w:val="none"/>
              </w:rPr>
            </w:pPr>
            <w:r>
              <w:rPr>
                <w:rFonts w:hint="eastAsia" w:ascii="楷体" w:hAnsi="楷体" w:eastAsia="楷体" w:cs="楷体"/>
                <w:b/>
                <w:bCs/>
                <w:sz w:val="24"/>
                <w:highlight w:val="none"/>
              </w:rPr>
              <w:t>采购方式：竞争性磋商，允许二次报价。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60" w:type="dxa"/>
            <w:gridSpan w:val="2"/>
            <w:noWrap w:val="0"/>
            <w:vAlign w:val="top"/>
          </w:tcPr>
          <w:p>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3</w:t>
            </w:r>
          </w:p>
        </w:tc>
        <w:tc>
          <w:tcPr>
            <w:tcW w:w="6912" w:type="dxa"/>
            <w:noWrap w:val="0"/>
            <w:vAlign w:val="center"/>
          </w:tcPr>
          <w:p>
            <w:pPr>
              <w:spacing w:line="360" w:lineRule="auto"/>
              <w:rPr>
                <w:rFonts w:hint="eastAsia" w:ascii="楷体" w:hAnsi="楷体" w:eastAsia="楷体" w:cs="楷体"/>
                <w:b/>
                <w:bCs/>
                <w:sz w:val="24"/>
                <w:highlight w:val="none"/>
              </w:rPr>
            </w:pPr>
            <w:r>
              <w:rPr>
                <w:rFonts w:hint="eastAsia" w:ascii="楷体" w:hAnsi="楷体" w:eastAsia="楷体" w:cs="楷体"/>
                <w:b/>
                <w:bCs/>
                <w:sz w:val="24"/>
                <w:highlight w:val="none"/>
              </w:rPr>
              <w:t>中标公示完成后3个工作日内领取中标通知书，否则视为自动放弃中标资格。</w:t>
            </w:r>
          </w:p>
        </w:tc>
      </w:tr>
    </w:tbl>
    <w:p>
      <w:pPr>
        <w:pStyle w:val="14"/>
        <w:rPr>
          <w:rFonts w:hint="eastAsia" w:ascii="楷体" w:hAnsi="楷体" w:eastAsia="楷体" w:cs="楷体"/>
        </w:rPr>
        <w:sectPr>
          <w:headerReference r:id="rId7" w:type="default"/>
          <w:footerReference r:id="rId8" w:type="default"/>
          <w:pgSz w:w="11906" w:h="16838"/>
          <w:pgMar w:top="1440" w:right="1797" w:bottom="1440" w:left="1797" w:header="851" w:footer="992" w:gutter="0"/>
          <w:cols w:space="720" w:num="1"/>
          <w:docGrid w:linePitch="312" w:charSpace="0"/>
        </w:sectPr>
      </w:pPr>
    </w:p>
    <w:p>
      <w:pPr>
        <w:widowControl/>
        <w:jc w:val="center"/>
        <w:rPr>
          <w:rFonts w:hint="eastAsia" w:ascii="楷体" w:hAnsi="楷体" w:eastAsia="楷体" w:cs="楷体"/>
          <w:b/>
          <w:kern w:val="0"/>
          <w:sz w:val="32"/>
          <w:szCs w:val="32"/>
        </w:rPr>
      </w:pPr>
      <w:bookmarkStart w:id="487" w:name="_Toc216582811"/>
      <w:bookmarkStart w:id="488" w:name="_Toc219175635"/>
      <w:bookmarkStart w:id="489" w:name="_Toc216513787"/>
      <w:bookmarkStart w:id="490" w:name="_Toc218935351"/>
      <w:r>
        <w:rPr>
          <w:rFonts w:hint="eastAsia" w:ascii="楷体" w:hAnsi="楷体" w:eastAsia="楷体" w:cs="楷体"/>
          <w:b/>
          <w:kern w:val="0"/>
          <w:sz w:val="32"/>
          <w:szCs w:val="32"/>
        </w:rPr>
        <w:t>资格审查表</w:t>
      </w:r>
    </w:p>
    <w:p>
      <w:pPr>
        <w:rPr>
          <w:rFonts w:hint="eastAsia" w:ascii="楷体" w:hAnsi="楷体" w:eastAsia="楷体" w:cs="楷体"/>
        </w:rPr>
      </w:pPr>
    </w:p>
    <w:tbl>
      <w:tblPr>
        <w:tblStyle w:val="17"/>
        <w:tblW w:w="0" w:type="auto"/>
        <w:tblInd w:w="0" w:type="dxa"/>
        <w:tblLayout w:type="fixed"/>
        <w:tblCellMar>
          <w:top w:w="0" w:type="dxa"/>
          <w:left w:w="108" w:type="dxa"/>
          <w:bottom w:w="0" w:type="dxa"/>
          <w:right w:w="108" w:type="dxa"/>
        </w:tblCellMar>
      </w:tblPr>
      <w:tblGrid>
        <w:gridCol w:w="947"/>
        <w:gridCol w:w="1604"/>
        <w:gridCol w:w="1415"/>
        <w:gridCol w:w="4000"/>
        <w:gridCol w:w="1876"/>
        <w:gridCol w:w="1370"/>
        <w:gridCol w:w="1688"/>
        <w:gridCol w:w="978"/>
        <w:gridCol w:w="806"/>
      </w:tblGrid>
      <w:tr>
        <w:tblPrEx>
          <w:tblCellMar>
            <w:top w:w="0" w:type="dxa"/>
            <w:left w:w="108" w:type="dxa"/>
            <w:bottom w:w="0" w:type="dxa"/>
            <w:right w:w="108" w:type="dxa"/>
          </w:tblCellMar>
        </w:tblPrEx>
        <w:trPr>
          <w:trHeight w:val="563" w:hRule="atLeast"/>
        </w:trPr>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投标人名称</w:t>
            </w:r>
          </w:p>
        </w:tc>
        <w:tc>
          <w:tcPr>
            <w:tcW w:w="12931"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审查项目</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结论</w:t>
            </w:r>
          </w:p>
        </w:tc>
      </w:tr>
      <w:tr>
        <w:tblPrEx>
          <w:tblCellMar>
            <w:top w:w="0" w:type="dxa"/>
            <w:left w:w="108" w:type="dxa"/>
            <w:bottom w:w="0" w:type="dxa"/>
            <w:right w:w="108" w:type="dxa"/>
          </w:tblCellMar>
        </w:tblPrEx>
        <w:trPr>
          <w:trHeight w:val="1447" w:hRule="atLeast"/>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1604"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1"/>
                <w:szCs w:val="21"/>
                <w:highlight w:val="yellow"/>
              </w:rPr>
            </w:pPr>
            <w:r>
              <w:rPr>
                <w:rFonts w:hint="eastAsia" w:ascii="楷体" w:hAnsi="楷体" w:eastAsia="楷体" w:cs="楷体"/>
                <w:color w:val="auto"/>
                <w:kern w:val="2"/>
                <w:sz w:val="22"/>
                <w:szCs w:val="22"/>
              </w:rPr>
              <w:t>独立承担民事责任能力的企业、事业、自然人，提供营业执照等经营性证件</w:t>
            </w:r>
          </w:p>
        </w:tc>
        <w:tc>
          <w:tcPr>
            <w:tcW w:w="1415"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1"/>
                <w:szCs w:val="21"/>
                <w:highlight w:val="yellow"/>
              </w:rPr>
            </w:pPr>
            <w:r>
              <w:rPr>
                <w:rFonts w:hint="eastAsia" w:ascii="楷体" w:hAnsi="楷体" w:eastAsia="楷体" w:cs="楷体"/>
                <w:color w:val="auto"/>
                <w:kern w:val="2"/>
                <w:sz w:val="22"/>
                <w:szCs w:val="22"/>
                <w:lang w:eastAsia="zh-CN"/>
              </w:rPr>
              <w:t>法人身份证明或法人授权委托书（含法人身份证复印件）和被授权人身份有效证件原件</w:t>
            </w:r>
          </w:p>
        </w:tc>
        <w:tc>
          <w:tcPr>
            <w:tcW w:w="4000"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lang w:bidi="ar"/>
              </w:rPr>
            </w:pPr>
            <w:r>
              <w:rPr>
                <w:rFonts w:hint="eastAsia" w:ascii="楷体" w:hAnsi="楷体" w:eastAsia="楷体" w:cs="楷体"/>
                <w:kern w:val="0"/>
                <w:sz w:val="22"/>
                <w:szCs w:val="22"/>
                <w:lang w:bidi="ar"/>
              </w:rPr>
              <w:t>“信用中国”网站（http://www.creditchina.gov.cn）、中国政府采购网（http://www.ccgp.gov.cn）、国家企业信用信息公示系统(http://www.gsxt.gov.cn)无尚在处罚期内的不良行为记录</w:t>
            </w:r>
            <w:r>
              <w:rPr>
                <w:rFonts w:hint="eastAsia" w:ascii="楷体" w:hAnsi="楷体" w:eastAsia="楷体" w:cs="楷体"/>
                <w:sz w:val="22"/>
                <w:szCs w:val="22"/>
                <w:highlight w:val="none"/>
                <w:lang w:eastAsia="zh-CN"/>
              </w:rPr>
              <w:t>（以代理公司查询为准）</w:t>
            </w:r>
          </w:p>
        </w:tc>
        <w:tc>
          <w:tcPr>
            <w:tcW w:w="1876"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1"/>
                <w:szCs w:val="21"/>
                <w:highlight w:val="none"/>
              </w:rPr>
            </w:pPr>
            <w:r>
              <w:rPr>
                <w:rFonts w:hint="eastAsia" w:ascii="楷体" w:hAnsi="楷体" w:eastAsia="楷体" w:cs="楷体"/>
                <w:kern w:val="0"/>
                <w:sz w:val="22"/>
                <w:szCs w:val="22"/>
                <w:lang w:bidi="ar"/>
              </w:rPr>
              <w:t>投标单位（供应商）</w:t>
            </w:r>
            <w:r>
              <w:rPr>
                <w:rFonts w:hint="eastAsia" w:ascii="楷体" w:hAnsi="楷体" w:eastAsia="楷体" w:cs="楷体"/>
                <w:kern w:val="0"/>
                <w:sz w:val="22"/>
                <w:szCs w:val="22"/>
                <w:lang w:val="en-US" w:eastAsia="zh-CN" w:bidi="ar"/>
              </w:rPr>
              <w:t>及其法人</w:t>
            </w:r>
            <w:r>
              <w:rPr>
                <w:rFonts w:hint="eastAsia" w:ascii="楷体" w:hAnsi="楷体" w:eastAsia="楷体" w:cs="楷体"/>
                <w:kern w:val="0"/>
                <w:sz w:val="21"/>
                <w:szCs w:val="21"/>
                <w:highlight w:val="none"/>
              </w:rPr>
              <w:t>参加政府采购活动前三年内，在经营活动中没有重大违法记录声明、</w:t>
            </w:r>
            <w:r>
              <w:rPr>
                <w:rFonts w:hint="eastAsia" w:ascii="楷体" w:hAnsi="楷体" w:eastAsia="楷体" w:cs="楷体"/>
                <w:kern w:val="0"/>
                <w:sz w:val="22"/>
                <w:szCs w:val="22"/>
                <w:lang w:bidi="ar"/>
              </w:rPr>
              <w:t>投标单位（供应商）</w:t>
            </w:r>
            <w:r>
              <w:rPr>
                <w:rFonts w:hint="eastAsia" w:ascii="楷体" w:hAnsi="楷体" w:eastAsia="楷体" w:cs="楷体"/>
                <w:kern w:val="0"/>
                <w:sz w:val="22"/>
                <w:szCs w:val="22"/>
                <w:lang w:val="en-US" w:eastAsia="zh-CN" w:bidi="ar"/>
              </w:rPr>
              <w:t>及其法人</w:t>
            </w:r>
            <w:r>
              <w:rPr>
                <w:rFonts w:hint="eastAsia" w:ascii="楷体" w:hAnsi="楷体" w:eastAsia="楷体" w:cs="楷体"/>
                <w:kern w:val="0"/>
                <w:sz w:val="21"/>
                <w:szCs w:val="21"/>
                <w:highlight w:val="none"/>
              </w:rPr>
              <w:t>反商业贿赂承诺书</w:t>
            </w:r>
          </w:p>
        </w:tc>
        <w:tc>
          <w:tcPr>
            <w:tcW w:w="1370"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1"/>
                <w:szCs w:val="21"/>
                <w:highlight w:val="none"/>
              </w:rPr>
            </w:pPr>
            <w:r>
              <w:rPr>
                <w:rFonts w:hint="eastAsia" w:ascii="楷体" w:hAnsi="楷体" w:eastAsia="楷体" w:cs="楷体"/>
                <w:kern w:val="0"/>
                <w:sz w:val="21"/>
                <w:szCs w:val="21"/>
                <w:highlight w:val="none"/>
              </w:rPr>
              <w:t>投标企业缴纳的近三个月</w:t>
            </w:r>
            <w:r>
              <w:rPr>
                <w:rFonts w:hint="eastAsia" w:ascii="楷体" w:hAnsi="楷体" w:eastAsia="楷体" w:cs="楷体"/>
                <w:kern w:val="0"/>
                <w:sz w:val="22"/>
                <w:szCs w:val="22"/>
                <w:lang w:eastAsia="zh-CN"/>
              </w:rPr>
              <w:t>社保缴纳凭证及明细证明、</w:t>
            </w:r>
            <w:r>
              <w:rPr>
                <w:rFonts w:hint="eastAsia" w:ascii="楷体" w:hAnsi="楷体" w:eastAsia="楷体" w:cs="楷体"/>
                <w:kern w:val="0"/>
                <w:sz w:val="21"/>
                <w:szCs w:val="21"/>
                <w:highlight w:val="none"/>
                <w:lang w:val="en-US" w:eastAsia="zh-CN"/>
              </w:rPr>
              <w:t>完税证明</w:t>
            </w:r>
          </w:p>
        </w:tc>
        <w:tc>
          <w:tcPr>
            <w:tcW w:w="1688"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1"/>
                <w:szCs w:val="21"/>
                <w:highlight w:val="none"/>
              </w:rPr>
            </w:pPr>
            <w:r>
              <w:rPr>
                <w:rFonts w:hint="eastAsia" w:ascii="楷体" w:hAnsi="楷体" w:eastAsia="楷体" w:cs="楷体"/>
                <w:kern w:val="0"/>
                <w:sz w:val="21"/>
                <w:szCs w:val="21"/>
                <w:highlight w:val="none"/>
                <w:lang w:val="en-US" w:eastAsia="zh-CN"/>
              </w:rPr>
              <w:t>2020年度经审计的财务审计报告（成立不满一年的提供有效的银行资信证明）</w:t>
            </w:r>
          </w:p>
        </w:tc>
        <w:tc>
          <w:tcPr>
            <w:tcW w:w="978" w:type="dxa"/>
            <w:tcBorders>
              <w:top w:val="nil"/>
              <w:left w:val="nil"/>
              <w:bottom w:val="single" w:color="auto" w:sz="4" w:space="0"/>
              <w:right w:val="single" w:color="auto" w:sz="4" w:space="0"/>
            </w:tcBorders>
            <w:noWrap w:val="0"/>
            <w:vAlign w:val="center"/>
          </w:tcPr>
          <w:p>
            <w:pPr>
              <w:widowControl/>
              <w:jc w:val="center"/>
              <w:rPr>
                <w:rFonts w:hint="eastAsia" w:ascii="楷体" w:hAnsi="楷体" w:eastAsia="楷体" w:cs="楷体"/>
                <w:i/>
                <w:iCs/>
                <w:kern w:val="0"/>
                <w:sz w:val="21"/>
                <w:szCs w:val="21"/>
                <w:highlight w:val="none"/>
              </w:rPr>
            </w:pPr>
            <w:r>
              <w:rPr>
                <w:rFonts w:hint="eastAsia" w:ascii="楷体" w:hAnsi="楷体" w:eastAsia="楷体" w:cs="楷体"/>
                <w:kern w:val="0"/>
                <w:sz w:val="21"/>
                <w:szCs w:val="21"/>
                <w:highlight w:val="none"/>
              </w:rPr>
              <w:t>投标保证金缴纳证明</w:t>
            </w:r>
          </w:p>
        </w:tc>
        <w:tc>
          <w:tcPr>
            <w:tcW w:w="806" w:type="dxa"/>
            <w:tcBorders>
              <w:top w:val="nil"/>
              <w:left w:val="nil"/>
              <w:bottom w:val="single" w:color="auto" w:sz="4" w:space="0"/>
              <w:right w:val="single" w:color="auto" w:sz="4" w:space="0"/>
            </w:tcBorders>
            <w:noWrap w:val="0"/>
            <w:vAlign w:val="center"/>
          </w:tcPr>
          <w:p>
            <w:pPr>
              <w:widowControl/>
              <w:jc w:val="center"/>
              <w:rPr>
                <w:rFonts w:ascii="楷体" w:hAnsi="楷体" w:eastAsia="楷体" w:cs="楷体"/>
                <w:i/>
                <w:iCs/>
                <w:kern w:val="0"/>
                <w:sz w:val="21"/>
                <w:szCs w:val="21"/>
              </w:rPr>
            </w:pPr>
            <w:r>
              <w:rPr>
                <w:rFonts w:hint="eastAsia" w:ascii="楷体" w:hAnsi="楷体" w:eastAsia="楷体" w:cs="楷体"/>
                <w:kern w:val="0"/>
                <w:sz w:val="21"/>
                <w:szCs w:val="21"/>
              </w:rPr>
              <w:t>合格/不合格</w:t>
            </w:r>
          </w:p>
        </w:tc>
      </w:tr>
      <w:tr>
        <w:tblPrEx>
          <w:tblCellMar>
            <w:top w:w="0" w:type="dxa"/>
            <w:left w:w="108" w:type="dxa"/>
            <w:bottom w:w="0" w:type="dxa"/>
            <w:right w:w="108" w:type="dxa"/>
          </w:tblCellMar>
        </w:tblPrEx>
        <w:trPr>
          <w:trHeight w:val="806" w:hRule="atLeast"/>
        </w:trPr>
        <w:tc>
          <w:tcPr>
            <w:tcW w:w="9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04"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415"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400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87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37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8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97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80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704" w:hRule="atLeast"/>
        </w:trPr>
        <w:tc>
          <w:tcPr>
            <w:tcW w:w="9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1604"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1415"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400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187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137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168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97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80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r>
      <w:tr>
        <w:tblPrEx>
          <w:tblCellMar>
            <w:top w:w="0" w:type="dxa"/>
            <w:left w:w="108" w:type="dxa"/>
            <w:bottom w:w="0" w:type="dxa"/>
            <w:right w:w="108" w:type="dxa"/>
          </w:tblCellMar>
        </w:tblPrEx>
        <w:trPr>
          <w:trHeight w:val="687" w:hRule="atLeast"/>
        </w:trPr>
        <w:tc>
          <w:tcPr>
            <w:tcW w:w="9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04"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415"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400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87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37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8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97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80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836" w:hRule="atLeast"/>
        </w:trPr>
        <w:tc>
          <w:tcPr>
            <w:tcW w:w="9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04"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415"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400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187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37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8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97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80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850" w:hRule="atLeast"/>
        </w:trPr>
        <w:tc>
          <w:tcPr>
            <w:tcW w:w="9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04"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415"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400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87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370"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168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978"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806" w:type="dxa"/>
            <w:tcBorders>
              <w:top w:val="nil"/>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bl>
    <w:p>
      <w:pPr>
        <w:pStyle w:val="4"/>
        <w:numPr>
          <w:ilvl w:val="0"/>
          <w:numId w:val="0"/>
        </w:numPr>
        <w:spacing w:before="0" w:after="0" w:line="240" w:lineRule="atLeast"/>
        <w:jc w:val="both"/>
        <w:rPr>
          <w:rFonts w:hint="default" w:ascii="楷体" w:hAnsi="楷体" w:eastAsia="楷体" w:cs="楷体"/>
          <w:lang w:val="en-US"/>
        </w:rPr>
        <w:sectPr>
          <w:pgSz w:w="16838" w:h="11906" w:orient="landscape"/>
          <w:pgMar w:top="1514" w:right="1213" w:bottom="1344" w:left="1157" w:header="851" w:footer="992" w:gutter="0"/>
          <w:cols w:space="720" w:num="1"/>
          <w:docGrid w:linePitch="312" w:charSpace="0"/>
        </w:sectPr>
      </w:pPr>
      <w:r>
        <w:rPr>
          <w:rFonts w:hint="eastAsia" w:ascii="楷体" w:hAnsi="楷体" w:eastAsia="楷体" w:cs="楷体"/>
          <w:sz w:val="24"/>
          <w:szCs w:val="16"/>
          <w:lang w:eastAsia="zh-CN"/>
        </w:rPr>
        <w:t>注：以上证件提供原件，开标现场不接受二次提供</w:t>
      </w:r>
      <w:r>
        <w:rPr>
          <w:rFonts w:hint="eastAsia" w:ascii="楷体" w:hAnsi="楷体" w:eastAsia="楷体" w:cs="楷体"/>
          <w:sz w:val="24"/>
          <w:szCs w:val="16"/>
          <w:lang w:val="en-US" w:eastAsia="zh-CN"/>
        </w:rPr>
        <w:t>.</w:t>
      </w:r>
    </w:p>
    <w:bookmarkEnd w:id="487"/>
    <w:bookmarkEnd w:id="488"/>
    <w:bookmarkEnd w:id="489"/>
    <w:bookmarkEnd w:id="490"/>
    <w:p>
      <w:pPr>
        <w:pStyle w:val="4"/>
        <w:numPr>
          <w:ilvl w:val="0"/>
          <w:numId w:val="0"/>
        </w:numPr>
        <w:tabs>
          <w:tab w:val="left" w:pos="0"/>
        </w:tabs>
        <w:spacing w:before="0" w:after="0" w:line="240" w:lineRule="atLeast"/>
        <w:ind w:leftChars="0"/>
        <w:jc w:val="center"/>
        <w:rPr>
          <w:rFonts w:hint="eastAsia" w:ascii="楷体" w:hAnsi="楷体" w:eastAsia="楷体" w:cs="楷体"/>
        </w:rPr>
      </w:pPr>
      <w:bookmarkStart w:id="491" w:name="_Toc218935354"/>
      <w:bookmarkStart w:id="492" w:name="_Toc507399906"/>
      <w:bookmarkStart w:id="493" w:name="_Toc518923126"/>
      <w:bookmarkStart w:id="494" w:name="_Toc219175638"/>
      <w:bookmarkStart w:id="495" w:name="_Toc216582825"/>
      <w:bookmarkStart w:id="496" w:name="_Toc7112"/>
      <w:bookmarkStart w:id="497" w:name="_Toc512937852"/>
      <w:r>
        <w:rPr>
          <w:rFonts w:hint="eastAsia" w:ascii="楷体" w:hAnsi="楷体" w:eastAsia="楷体" w:cs="楷体"/>
          <w:lang w:val="en-US" w:eastAsia="zh-CN"/>
        </w:rPr>
        <w:t xml:space="preserve">第5章  </w:t>
      </w:r>
      <w:bookmarkEnd w:id="491"/>
      <w:bookmarkEnd w:id="492"/>
      <w:bookmarkEnd w:id="493"/>
      <w:bookmarkEnd w:id="494"/>
      <w:bookmarkEnd w:id="495"/>
      <w:bookmarkEnd w:id="496"/>
      <w:bookmarkStart w:id="498" w:name="_Toc515647831"/>
      <w:bookmarkStart w:id="499" w:name="_Toc9032"/>
      <w:bookmarkStart w:id="500" w:name="_Toc9887"/>
      <w:r>
        <w:rPr>
          <w:rFonts w:hint="eastAsia" w:ascii="楷体" w:hAnsi="楷体" w:eastAsia="楷体" w:cs="楷体"/>
          <w:lang w:val="en-US" w:eastAsia="zh-CN"/>
        </w:rPr>
        <w:t xml:space="preserve"> </w:t>
      </w:r>
      <w:bookmarkStart w:id="501" w:name="_Toc11972"/>
      <w:r>
        <w:rPr>
          <w:rFonts w:hint="eastAsia" w:ascii="楷体" w:hAnsi="楷体" w:eastAsia="楷体" w:cs="楷体"/>
          <w:lang w:val="en-US" w:eastAsia="zh-CN"/>
        </w:rPr>
        <w:t>货物及技术需求</w:t>
      </w:r>
      <w:bookmarkEnd w:id="498"/>
      <w:bookmarkEnd w:id="499"/>
      <w:bookmarkEnd w:id="500"/>
      <w:bookmarkEnd w:id="501"/>
      <w:r>
        <w:rPr>
          <w:rFonts w:hint="eastAsia" w:ascii="楷体" w:hAnsi="楷体" w:eastAsia="楷体" w:cs="楷体"/>
          <w:lang w:val="en-US" w:eastAsia="zh-CN"/>
        </w:rPr>
        <w:t>一览表</w:t>
      </w:r>
    </w:p>
    <w:bookmarkEnd w:id="497"/>
    <w:p>
      <w:pPr>
        <w:pStyle w:val="14"/>
        <w:rPr>
          <w:rFonts w:hint="eastAsia" w:ascii="楷体" w:hAnsi="楷体" w:eastAsia="楷体" w:cs="楷体"/>
          <w:color w:val="000000"/>
          <w:kern w:val="0"/>
          <w:sz w:val="24"/>
          <w:lang w:bidi="ar"/>
        </w:rPr>
      </w:pPr>
    </w:p>
    <w:p>
      <w:pPr>
        <w:pStyle w:val="14"/>
        <w:rPr>
          <w:rFonts w:hint="eastAsia" w:ascii="楷体" w:hAnsi="楷体" w:eastAsia="楷体" w:cs="楷体"/>
          <w:color w:val="000000"/>
          <w:kern w:val="0"/>
          <w:sz w:val="24"/>
          <w:lang w:bidi="ar"/>
        </w:rPr>
      </w:pPr>
    </w:p>
    <w:tbl>
      <w:tblPr>
        <w:tblStyle w:val="17"/>
        <w:tblpPr w:leftFromText="180" w:rightFromText="180" w:vertAnchor="text" w:horzAnchor="page" w:tblpX="1551" w:tblpY="17"/>
        <w:tblOverlap w:val="never"/>
        <w:tblW w:w="5666" w:type="pct"/>
        <w:tblInd w:w="0" w:type="dxa"/>
        <w:shd w:val="clear" w:color="auto" w:fill="auto"/>
        <w:tblLayout w:type="fixed"/>
        <w:tblCellMar>
          <w:top w:w="0" w:type="dxa"/>
          <w:left w:w="108" w:type="dxa"/>
          <w:bottom w:w="0" w:type="dxa"/>
          <w:right w:w="108" w:type="dxa"/>
        </w:tblCellMar>
      </w:tblPr>
      <w:tblGrid>
        <w:gridCol w:w="9884"/>
      </w:tblGrid>
      <w:tr>
        <w:tblPrEx>
          <w:tblCellMar>
            <w:top w:w="0" w:type="dxa"/>
            <w:left w:w="108" w:type="dxa"/>
            <w:bottom w:w="0" w:type="dxa"/>
            <w:right w:w="108" w:type="dxa"/>
          </w:tblCellMar>
        </w:tblPrEx>
        <w:trPr>
          <w:trHeight w:val="1711" w:hRule="atLeast"/>
        </w:trPr>
        <w:tc>
          <w:tcPr>
            <w:tcW w:w="5000"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塔什库尔干野生动物自然保护区服务中心采购科研监测设备（视频监测设备、湿地生态</w:t>
            </w:r>
          </w:p>
          <w:p>
            <w:pPr>
              <w:keepNext w:val="0"/>
              <w:keepLines w:val="0"/>
              <w:widowControl/>
              <w:suppressLineNumbers w:val="0"/>
              <w:jc w:val="both"/>
              <w:textAlignment w:val="center"/>
              <w:rPr>
                <w:rFonts w:hint="eastAsia" w:ascii="楷体" w:hAnsi="楷体" w:eastAsia="楷体" w:cs="楷体"/>
                <w:i w:val="0"/>
                <w:iCs w:val="0"/>
                <w:color w:val="000000"/>
                <w:sz w:val="32"/>
                <w:szCs w:val="32"/>
                <w:u w:val="none"/>
              </w:rPr>
            </w:pPr>
            <w:r>
              <w:rPr>
                <w:rFonts w:hint="eastAsia" w:ascii="楷体" w:hAnsi="楷体" w:eastAsia="楷体" w:cs="楷体"/>
                <w:i w:val="0"/>
                <w:iCs w:val="0"/>
                <w:color w:val="000000"/>
                <w:kern w:val="0"/>
                <w:sz w:val="24"/>
                <w:szCs w:val="24"/>
                <w:u w:val="none"/>
                <w:lang w:val="en-US" w:eastAsia="zh-CN" w:bidi="ar"/>
              </w:rPr>
              <w:t>监测与管理大数据平台软件升级版软件、智能巡护移动终端、保护区卫星遥感影像）项目计划表</w:t>
            </w:r>
          </w:p>
        </w:tc>
      </w:tr>
    </w:tbl>
    <w:tbl>
      <w:tblPr>
        <w:tblStyle w:val="17"/>
        <w:tblW w:w="9993" w:type="dxa"/>
        <w:tblInd w:w="-468" w:type="dxa"/>
        <w:shd w:val="clear" w:color="auto" w:fill="auto"/>
        <w:tblLayout w:type="fixed"/>
        <w:tblCellMar>
          <w:top w:w="0" w:type="dxa"/>
          <w:left w:w="108" w:type="dxa"/>
          <w:bottom w:w="0" w:type="dxa"/>
          <w:right w:w="108" w:type="dxa"/>
        </w:tblCellMar>
      </w:tblPr>
      <w:tblGrid>
        <w:gridCol w:w="506"/>
        <w:gridCol w:w="940"/>
        <w:gridCol w:w="8022"/>
        <w:gridCol w:w="525"/>
      </w:tblGrid>
      <w:tr>
        <w:trPr>
          <w:trHeight w:val="1876"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r>
      <w:tr>
        <w:tblPrEx>
          <w:shd w:val="clear" w:color="auto" w:fill="auto"/>
          <w:tblCellMar>
            <w:top w:w="0" w:type="dxa"/>
            <w:left w:w="108" w:type="dxa"/>
            <w:bottom w:w="0" w:type="dxa"/>
            <w:right w:w="108" w:type="dxa"/>
          </w:tblCellMar>
        </w:tblPrEx>
        <w:trPr>
          <w:trHeight w:val="8336"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智能球型摄像机</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摄像机靶面尺寸不小于1/1.8英寸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★视频输出支持2560×1440@25fps，分辨力不小于1400TVL，红外距离可达300米（以公安部检验报告为准）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支持30倍光学变焦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★支持最低照度可达彩色0.0002Lux，黑白0.0001Lux（以公安部检验报告为准）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★支持水平手控速度不小于550°/S，垂直速度不小于120°/S，云台定位精度为±0.1°（以公安部检验报告为准）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水平旋转范围为360°连续旋转，垂直旋转范围为-20°~90°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样机可对设定区域内的运动目标在设定时间内持续跟踪，使该目标处于主视频图像中，样机可自动调节变倍，可对该目标抓拍图片并可手动切换跟踪目标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★信噪比≥63dB，网络延时不大于100ms（以公安部检验报告为准）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★动态范围不小于106dB，照度适应范围不小于138dB，宽动态能力综合得分不小于135（以公安部检验报告为准）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★样机与客户端之间用300m五类非屏蔽网线直接连接，网络传输能力满足发送1500个数据包，重复测试3次，每次丢包数不大于1个（以公安部检验报告为准）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★具备较强的网络自适应能力，在丢包率为20%的网络环境下，仍可正常显示监视画面。（以公安部检验报告为准）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支持智能红外、透雾、强光抑制、电子防抖、数字降噪、防红外过曝功能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支持区域遮盖功能，支持设置不少于24个不规则四边形区域，可设置不同颜色；支持3D定位、断电记忆功能；支持IP地址访问控制功能，支持定时抓图或报警联动抓图上传ftp功能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★球机应具备本机存储功能，支持SD卡热插拔，最大支持256GB（以公安部检验报告为准）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支持采用H.265、H.264视频编码标准，H.264编码支持Baseline/Main/High Profile，音频编码支持G.711ulaw/G.711alaw/G.726/G.722.1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支持三码流同时输出，主码流、第三码流同时支持2560×1440@30fps，2048×1536@30fps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支持GB28181协议，支持标准Onvif协议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具备较好的防护性能环境适应性，支持IP67，8kV防浪涌，工作温度范围可达-45℃-70℃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★具备较好的电源适应性，电压在AC24V±30%或DC24V±30%范围内变化时，设备可正常工作（以公安部检验报告为准）</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PrEx>
        <w:trPr>
          <w:trHeight w:val="7079"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1个VGA接口、1个HDMI接口、1路RCA音频输入接口、1路RCA音频输出接口、2个USB2.0、2个千兆以太网接口、可内置2块SATA接口硬盘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多址设定：可将2个网口设置不同网段的IP地址；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可接入1T、2T、3T、4T、6T、8T容量的SATA接口硬盘；可接入AI硬盘；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码流分辨率：4096×2160（25帧/秒）、3840×2160(25帧/秒)、3072×2048(25帧/秒)、2560×2048(25帧/秒)、2048×1536(25帧/秒)、1920×1080(25帧/秒)、1280×720(25帧/秒)、704×576(25帧/秒）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企业技术要求：启用SVC解码，可同时正放或倒放5路400W分辨率H.265、H.264编码的视频图像，解码总资源为6个1920×1080格式的视频图像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样机显示输出分辨率具有1024×768/60Hz、1280×720/60Hz、1280×1024/60Hz、1600×1200/60Hz、1920×1080/60Hz、2560×1440/60Hz、4K(4096x2160)/30Hz，4K (3840×2160)/30Hz设置选项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企业技术要求：可同时显示输出6路H.265、H.264编码、25fps、1920×1080格式的视频图像，或8路H.265、H.264编码、15fps、1920×1080格式的视频图像，或16路H.265、H.264编码、15fps、1280×720格式的视频图像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可通过拖动时间标尺单击回放时间轴对指定时间点的录像进行回放；可通过鼠标滚轴的放大缩小调整时间轴精度，最小1秒，最大1天。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带有越界报警、区域入侵、进入区域、离开区域、人员聚集、快速移动、徘徊报警、场景变更报警、虚焦报警、人脸识别报警功能的网络摄像机，当触发报警时可联动录像、抓拍、报警输出（以公安部检测报告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接入警戒摄像机，支持对IPC的声音和声光参数进行配置， 支持通过移动侦测、区域入侵、越界侦测、进入区域和离开区域事件联动一个或多个IPC的声光报警，可以对声光联动一键撤防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可显示设备在线状态、IP、端口信息，支持设备过滤，可过滤在线、离线设备，显示异常设备；支持设备模糊检索，直接对输入字符过滤，并动态调整资源树；</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10993"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超高清解码器</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采用嵌入式架构，专用Linux系统，使用DSP解码。为了设备稳定可靠运行，不得采用工控机或者PC机的X86架构。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具有8个HDMI输出接口、1个VGA输入接口、1个DVI输入接口、2个USB口、1个语音对讲输入、1个语音对讲输出、8个音频输出、8个报警输入、8个报警输出、1个RS485接口、4个CVBS输出接口（通过转接头实现）、1个RS232接口，2个千兆网口、2个光口。样机采用AC220V电源供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具有1个电源指示灯、1个VGA信号接入指示灯和1个DVI信号接入指示灯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★支持对输入的视频画面进行90°、180°、270°旋转显示。（提供封面具有CNAS认证标识的公安部报告证明。）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★设备接入具有智能行为分析功能的摄像机，可解码显示智能行为分析信息，包括移动侦测、越界入侵、区域入侵、起身离开等，并上传报警信息。（提供封面具有CNAS认证标识的公安部报告证明。）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★★支持前端接入智能摄像机，直连前端人脸检测设备，可实时展示人脸检测结果，包括年龄、性别、是否戴眼镜等人脸属性信息；属性直接叠加画面显示。（提供封面具有CNAS认证标识的公安部报告证明。）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★支持黑白名单功能，可设置256个黑白名单；当设置白名单时，只允许白名单IP访问设备；当设置黑名单时，黑名单内IP无法访问设备（提供封面具有CNAS认证标识的公安部报告证明。）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★输入信号接入解码器后上墙显示，支持YUV422上墙显示；（提供封面具有CNAS认证标识的公安部报告证明。）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★支持PC 软件客户端、WEB 浏览器客户端、平台客户端、IPAD、可视化触控平台方式访问管理。（提供封面具有CNAS认证标识的公安部报告证明）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可通过RTSP协议、ONVIF协议接入前端设备的视频流。为保证前期项目兼容性，需要能接入海康威视私有协议（SDK）。（提供封面具有CNAS认证标识的公安部报告证明。）（！！！括号部分删除使用。写入标底此句话斟酌使用，其中海康私有协议具有强控标性，但容易被质疑，解释可以说前期项目中有海康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★支持通过IE浏览器进行网络模式设置，包括设置为流畅性优先/实时性优先。（提供封面具有CNAS认证标识的公安部报告证明。）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★可通过设备抓屏软件，将远程电脑桌面实时解码上墙显示，画面帧率可达30fps。（提供封面具有CNAS认证标识的公安部报告证明）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★可通过客户端软件导入和导出设备配置参数。提供封面具有CNAS认证标识的公安部报告证明。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通过客户端软件设置HDMI接口输出分辨率为3840*2160(30Hz、1920*1080(50Hz)、1920*1080(60Hz))、1680*1050(60Hz)、1600*1200(60Hz)、1280*1024(60Hz)、1280*720(60Hz)、1280*720(50Hz)、1024*768(60Hz)。（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★支持1、2、4、6、8、9、10、12、16、25、36画面分割显示；支持平均分割；支持分割线开启/关闭设置，支持底色设置功能。（提供封面具有CNAS认证标识的公安部报告证明）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通过客户端软件将1路输入视频图像发送至多个输出接口拼接显示，支持1x2、1x3、1x4、1x5、1x6、1x7、1x8、2x1、2x2、2x3、2x4、3x1、3x2、4x1、4x2、5x1、6x1、7x1、8x1的拼接显示（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★可将样机当前的解码输出模式设置为一个场景，样机可保存多个场景，并可通过客户端软件切换样机场景提供封面具有CNAS认证标识的公安部报告证明。（提供封面具有CNAS认证标识的公安部报告证明。）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★支持通过DVI-I视频输入接口接入分辨率为1024*768@60Hz/800*600@60Hz, 1280*1024@60Hz,1280*720@60/50Hz,1280*960@60Hz,1600*1200@60Hz,1920*1080@60/50Hz,1280*800@60Hz/1366*768@60Hz,1440*900@60Hz,1680*1050@60Hz的视频图像并显示（提供封面具有CNAS认证标识的公安部报告证明。）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支持客户端软件设置底色，当无解码画面时，设置输出显示该底色。（提供封面具有CNAS认证标识的公安部报告证明。）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可通过客户端软件将显示窗口在多个显示屏间进行拖动或跨屏显示，并可调节显示窗口大小。（提供封面具有CNAS认证标识的公安部报告证明）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支持视频轮巡功能，并可在客户端软件设置轮巡计划。（提供封面具有CNAS认证标识的公安部报告证明）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支持通过客户端软件对接入的云台进行控制；通过RS-485接口连接键盘实现键盘接入的云台进行控制。（提供封面具有CNAS认证标识的公安部报告证明。）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可通过客户端软件对设备进行恢复出厂设置。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支持NTP校时及客户端软件手动校时两种校时方式（提供封面具有CNAS认证标识的公安部报告证明。）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音频解码格式支持G.722、G.711A、G.726、G711U、MPEG2-L2、AAC。（提供封面具有CNAS认证标识的公安部报告证明。）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设备通过高温、低温、恒定湿热试验（高温55±2℃，低温-10±3℃，持续时间2H；相对湿度90%~95%、温度40±2℃，持续时间48H）。（提供封面具有CNAS认证标识的公安部报告证明。）</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7867"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具有400万像素 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★内置GPU芯片。（公安部检验报告证明）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★内置麦克风和扬声器。（公安部检验报告证明）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最低照度彩色：0.005 lx，黑白:0.0005 lx，最大亮度鉴别等级（灰度等级）不小于11级。（公安部检验报告证明）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需支持双码流技术，主码流最高2560x1440@25fps，子码流640x480@25fps。（公安部检验报告证明）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在2560x1440 @ 25fps下，清晰度不小于1400TVL。（公安部检验报告证明）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支持H.264、H.265、MJPEG视频编码格式，其中H.264支持Baseline/Main/High Profile。（公安部检验报告证明）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信噪比不小于62dB。（公安部检验报告证明）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白光补光距离不小于60米。（公安部检验报告证明）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白光补光、混合补光模式，在仅开启白光灯进行补光时，可输出彩色视频图像；支持自动和手动亮度调节模式，当在自动模式下，补光灯开启时，样机可跟据被摄物的距离自动调节补光灯亮度。（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支持检出两眼瞳距20像素点以上的人脸图片。（公安部检验报告证明）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★支持最佳抓拍和快速抓拍2种人脸图片抓拍模式设置选项。（公安部检验报告证明）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需具备区域入侵检测、越界入侵检测、进入区域、离开区域等功能。（公安部检验报告证明）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★支持声音报警功能，报警声音类型不小于10种，报警声级及报警次数可设置。（公安部检验报告证明）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★需具备智能分析抗干扰功能，当篮球、小狗、树叶等非人或车辆目标经过检测区域时，不会触发报警。（公安部检验报告证明）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★支持快捷配置功能，可在预览画面开启/关闭“快捷配置”页面，对曝光参数、OSD、智能资源分配模式等参数进行配置，并支持恢复默认操作。（公安部检验报告证明）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★支持像素显示功能，可通过IE浏览器显示监控画面上选定区域的水平及垂直方向的像素数。（公安部检验报告证明）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不低于IP67防尘防水等级。（公安部检验报告证明）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需支持DC12V供电，且在不小于DC12V±30%范围内变化时可以正常工作。（公安部检验报告证明）</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369"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无线桥接设备</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5.8Ghz无线网桥，支持中心网桥模式，分网桥模式，瘦网桥模式；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IEEE802.11a/b/g/an全兼容射频端口；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符合802.3af国际标准的远距离以太网供电（PoE），POE端口支持死机自动恢复功能；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物理带宽最大传输速率达到 300Mbps，实际带宽90Mbps以上；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具备对射频回路、数据回路、电源回路三重防雷防浪涌保护；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宽频5.8G定向天线，距离 5 公里；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7.支持远距离高保密性私有协议，保障通信质量及高保密性。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支持网管系统管理，并支持SNMP协议，通用生成树协议(STP)和快速生成树协议（RSTP）；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工作温度- 50℃ ~ + 70℃,储        存温度- 60℃ ~ + 80℃，提供检测报告；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防护等级 IP68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支持AC220V,DC12/24/48/-48供电及太阳能供电，支持POE供电；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提供国家无线电管理委员会检测通过的无线核准证及检测报告；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提供防护等级检测报告；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提供国家防爆合格证及检测报告；</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84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太阳能风能供电设备</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太阳能电池板：1）采用高光效单晶硅太阳能电池片封装而成，电池片转换效率不低于20%，组件转换效率≥18%。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2）功率：组件峰值功率300Wp。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3）采用高透光率低铁超白钢化玻璃；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4）卓越的弱光环境发电性能；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5）高强度铝合金边框，坚固耐用；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6）独特工艺使组件既美观又便于安装；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7）特有的技术避免框架内积水冻结和变形；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8）可承载5400Pa雪载和2400Pa风压.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9）适应环境温度-40℃-85℃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★具有国际CE认证.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★须出具“国家太阳能光伏产品质量监督检验中心”的检测报告；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太阳能控制箱：1）短路保护，过压过流保护，防雷保护，温度检测，市电旁路；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2）MPPT最大功率充电功能，基本充放电管理功能：控制器充电及负载管理功能；控制器充电参数可调；具备输入限功率保护、反接保护、过载保护、太阳能输入短路保护、负载短路保护、夜间防反冲保护超温保护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3）进口纯正弦波逆变电源输出满足负载需求，交流输出功率≥300W；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4）冷扎版材质设备箱,厚度：箱体1.2mm,机柜防水，防尘，防锈，耐腐蚀等要求；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5）工作温度-30℃~50℃；箱体防护等级:IP55；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★高新技术产品，厂家需提供《高新技术企业证书》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★智能控制产品，需提供《离网太阳能供电控制系统》★《太阳能供电远程监控管理系统》软著证书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太阳能蓄电池：1）蓄电池类型：太阳能储能用阀控式免维护胶体蓄电池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2）单只蓄电池容量：12V 200AH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3）低温工作性能：-10条件下蓄电池充放电效率不低于65％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4）高温工作性能：40℃条件下蓄电池充放电效率不低于95％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5）蓄电池寿命要求：-10℃～40℃环境下免维护连续工作3年后蓄电池容量衰减不超过20％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6）电解质采用先进的气相二氧化硅；隔板采用先进的PVC-SiO2胶体电池专用隔板；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7）防护等级：具有防水、防潮、防腐、保温隔热、通气等功能；防水外壳防护等级IP67。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★须出具“国家太阳能光伏产品质量监督检验中心”的检测报告；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★太阳能板 蓄电池 控制箱 风力发电机 为同一厂家.3.太阳能厂商符合国际标准质量管理体系要求，并提供有效的ISO9001，ISO14001.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电池板支架：1） 材质：热镀锌Q235A碳钢型材拼焊而成。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安装方式：落地安装.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支架水平倾斜角度：45°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抗风等级：≥10级</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PrEx>
        <w:trPr>
          <w:trHeight w:val="1037"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安装支架、配件</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立杆高：6m，挑臂：0.8m  材质：冷轧钢板，厚度0.5mm，管径：216</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95"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运输、人工、土建、安装、调试</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PrEx>
        <w:trPr>
          <w:trHeight w:val="467"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8T机械式监控硬盘</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PrEx>
        <w:trPr>
          <w:trHeight w:val="287"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设备机柜</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42U，≥600*≥600*≥2000mm</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15"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视频监控计算机</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cpu：i5  内存：8G  硬盘：1T</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635"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千兆智能路由器</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863"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高清信号线</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PrEx>
        <w:trPr>
          <w:trHeight w:val="545"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配电柜</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2P60A*1，2P25A*5，含接地排</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38"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光纤跳线</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光纤跳线</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shd w:val="clear" w:color="auto" w:fill="auto"/>
          <w:tblCellMar>
            <w:top w:w="0" w:type="dxa"/>
            <w:left w:w="108" w:type="dxa"/>
            <w:bottom w:w="0" w:type="dxa"/>
            <w:right w:w="108" w:type="dxa"/>
          </w:tblCellMar>
        </w:tblPrEx>
        <w:trPr>
          <w:trHeight w:val="275"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32（芯）</w:t>
            </w:r>
          </w:p>
        </w:tc>
      </w:tr>
      <w:tr>
        <w:tblPrEx>
          <w:shd w:val="clear" w:color="auto" w:fill="auto"/>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电源PDU</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电源PDU</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306"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网络千兆交换机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1178"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显示设备</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≥55寸液晶监视器，金属外观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★为保证产品具备良好的防护性和稳定性，监视器需提供封面首页具有CNAS标识的抗强光干扰、漏光度、跌落和电磁抗扰度检测报告复印件。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（这里写SPEC参数，尺寸、接口等）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显示单元具备透雾处理功能，显示单元具备智能透雾处理技术，支持9个等级的去雾处理能力。提供封面首页具有CNAS标识的第三方检测报告复印件。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视器支持U盘点播，内置MPEG、JPEG和RealMedia解码器，支持点播U盘、移动硬盘中的视频、图片、音频或文本资源。视频：支持TS、3g2、avi、mkv、mov、mp4、mpg、tp等文件。音频：支持mp3、wma、m4a、wav、aac等文件。图片：支持jpg、bmp、png等文件。文本：支持txt文件。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★内置数码EQ图像强化处理器，可改善弱信号下的成像品质。提供封面具有CNAS资质认证标识的检测机构出具的证明文件。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★监视器内置黑白精显模式，可将彩色信号转换成黑白灰度模式并提高图像细节辨认能力。提供封面首页具有CNAS标识的第三方检测报告复印件。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具备智能光感护眼功能，显示单元可自动识别环境光强弱，根据环境光变化调节屏幕亮度。提供封面具有CNAS资质认证标识的检测机构出具的证明文件。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视器需支持7色独立调整、精确色彩控制、肤色校正功能。内置图像处理引擎支持RGBCMYF七种颜色亮度(IBC)、色调(IHC)、饱和度(ICC)独立调整。颜色16.7M，和刷新率支持120Hz倍频刷新。内置图像处理器采用3D梳状滤波技术。3D降噪和空间降噪相结合。显示器需要具有厂家自带的自动校色系统，不需要人工参与自动对显示器进行色彩属性一致性校准。显示器色温可以以100K为单位，在2000K至10000K之间调节。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图像处理引擎符合任意帧率自动转换功能，可将输入的非50Hz/60Hz的图像转换成60Hz输出。提供封面首页具有CNAS标识的第三方检测报告复印件。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通过遥控器或自带控制软件，读取和调节显示菜单显示型号、单元位置码ID号、信号源类型、分辨率、系统运行时间、软件版本，光源温度等信息；支持拨码开关、遥控器、客户端控制软件多种方式修改屏幕ID号；显示单元具有智能工作计时引擎，可以对设备实际工作时间的计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内置图像处理器采用3D梳状滤波技术，消除动态视频图像的边缘锯齿，图像清晰、细腻。提供封面具有CNAS资质认证标识的检测机构出具的证明文件。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★监视器采用双CPU+多个协处理器核的构架;双CPU负责通讯、色彩调整及模块控制等控制功能；3个DSP核+1个FPGA核负责图像数据的处理。提供封面首页具有CNAS标识的第三方检测报告复印件。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★具有调整γ曲线的功能。提供封面首页具有CNAS标识的第三方检测报告复印件。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监视器支持智能温度控制，可选择智能模式或全速模式；智能模式由设备自动控制风扇，根据设备运行温度来控制风扇的启停及转速；全速模式下风扇全速运转为设备散热。提供封面首页具有CNAS标识的第三方检测报告复印件。 </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602"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红外检测照相机</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照片分辨率：16MP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视频分辨率：1920x1080/30fps（FHD）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文件格式：JPG/ AVI/H.264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时间间隔模式：5/30/60分钟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连拍模式：1-9张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长度：10-90秒可选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颜色：白天彩色，夜晚黑白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录音：视频模式下自动录制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照片信息：日期，时间，温度（℃/℉），月相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内存：最大64GB TF卡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探测范围：25米/75英尺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运动传感器：单PIR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角度：120°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触发速度：0.3秒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屏幕尺寸：2.0寸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红外灯数量：44颗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夜视功能：有红外灯补光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电池：8xAA 8节5号电池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产品尺寸：150*100*60mm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工作温度：-30℃~+50℃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储存温度：-40℃~+60℃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清单：相机、读卡器、绑带、说明书、保修卡、擦镜布、彩盒、太阳能面板（选配）、电池（选配）</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shd w:val="clear" w:color="auto" w:fill="auto"/>
          <w:tblCellMar>
            <w:top w:w="0" w:type="dxa"/>
            <w:left w:w="108" w:type="dxa"/>
            <w:bottom w:w="0" w:type="dxa"/>
            <w:right w:w="108" w:type="dxa"/>
          </w:tblCellMar>
        </w:tblPrEx>
        <w:trPr>
          <w:trHeight w:val="3530"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单筒望远镜</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放大倍率：20-60x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物镜直径：80mm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目镜直径：16mm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物镜镀膜：FMC全多层镀膜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目镜镀膜：FMC全多层镀膜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调焦系统：中调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调焦透镜：内调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出瞳直径：1.33-4mm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出瞳距离：18-21mm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棱镜材质：BAK4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视场角度：1-2°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1000米视野：17.5-35m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透镜组数：9片7组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产品尺寸：430X170x95mm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产品重量：1520g</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908"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湿地物识别手册（文创版）</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对护林员等林业一线保护工作的人员，开展与生态保护、数据调查为主的专项培训，进行生态保护有关的系统培训。</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w:t>
            </w:r>
          </w:p>
        </w:tc>
        <w:tc>
          <w:tcPr>
            <w:tcW w:w="8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手提式1kg七氟丙烷</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bl>
    <w:p>
      <w:pPr>
        <w:pStyle w:val="14"/>
        <w:rPr>
          <w:rFonts w:hint="eastAsia" w:ascii="楷体" w:hAnsi="楷体" w:eastAsia="楷体" w:cs="楷体"/>
          <w:color w:val="000000"/>
          <w:kern w:val="0"/>
          <w:sz w:val="24"/>
          <w:lang w:bidi="ar"/>
        </w:rPr>
      </w:pPr>
    </w:p>
    <w:p>
      <w:pPr>
        <w:widowControl/>
        <w:numPr>
          <w:ilvl w:val="0"/>
          <w:numId w:val="11"/>
        </w:numPr>
        <w:adjustRightInd w:val="0"/>
        <w:snapToGrid w:val="0"/>
        <w:spacing w:line="410" w:lineRule="exact"/>
        <w:ind w:left="720" w:hanging="720"/>
        <w:jc w:val="left"/>
        <w:rPr>
          <w:rFonts w:hint="eastAsia" w:ascii="楷体" w:hAnsi="楷体" w:eastAsia="楷体" w:cs="楷体"/>
          <w:b/>
          <w:sz w:val="28"/>
          <w:szCs w:val="28"/>
        </w:rPr>
      </w:pPr>
      <w:r>
        <w:rPr>
          <w:rFonts w:hint="eastAsia" w:ascii="楷体" w:hAnsi="楷体" w:eastAsia="楷体" w:cs="楷体"/>
          <w:b/>
          <w:sz w:val="28"/>
          <w:szCs w:val="28"/>
          <w:lang w:eastAsia="zh-CN"/>
        </w:rPr>
        <w:t>货物及技术需求</w:t>
      </w:r>
      <w:r>
        <w:rPr>
          <w:rFonts w:hint="eastAsia" w:ascii="楷体" w:hAnsi="楷体" w:eastAsia="楷体" w:cs="楷体"/>
          <w:b/>
          <w:sz w:val="28"/>
          <w:szCs w:val="28"/>
        </w:rPr>
        <w:t>：</w:t>
      </w:r>
      <w:r>
        <w:rPr>
          <w:rFonts w:hint="eastAsia" w:ascii="楷体" w:hAnsi="楷体" w:eastAsia="楷体" w:cs="楷体"/>
          <w:b/>
          <w:sz w:val="28"/>
          <w:szCs w:val="28"/>
        </w:rPr>
        <w:tab/>
      </w:r>
    </w:p>
    <w:p>
      <w:pPr>
        <w:pStyle w:val="14"/>
        <w:rPr>
          <w:rFonts w:hint="eastAsia" w:ascii="楷体" w:hAnsi="楷体" w:eastAsia="楷体" w:cs="楷体"/>
          <w:b/>
          <w:bCs w:val="0"/>
          <w:sz w:val="24"/>
          <w:szCs w:val="24"/>
          <w:highlight w:val="none"/>
          <w:lang w:eastAsia="zh-CN"/>
        </w:rPr>
      </w:pPr>
      <w:r>
        <w:rPr>
          <w:rFonts w:hint="eastAsia" w:ascii="楷体" w:hAnsi="楷体" w:eastAsia="楷体" w:cs="楷体"/>
          <w:b/>
          <w:bCs w:val="0"/>
          <w:sz w:val="24"/>
          <w:szCs w:val="24"/>
          <w:highlight w:val="none"/>
        </w:rPr>
        <w:t>注：</w:t>
      </w:r>
      <w:r>
        <w:rPr>
          <w:rFonts w:hint="eastAsia" w:ascii="楷体" w:hAnsi="楷体" w:eastAsia="楷体" w:cs="楷体"/>
          <w:b/>
          <w:bCs w:val="0"/>
          <w:sz w:val="24"/>
          <w:szCs w:val="24"/>
          <w:highlight w:val="none"/>
          <w:lang w:val="en-US" w:eastAsia="zh-CN"/>
        </w:rPr>
        <w:t>1、</w:t>
      </w:r>
      <w:r>
        <w:rPr>
          <w:rFonts w:hint="eastAsia" w:ascii="楷体" w:hAnsi="楷体" w:eastAsia="楷体" w:cs="楷体"/>
          <w:b/>
          <w:bCs w:val="0"/>
          <w:sz w:val="24"/>
          <w:szCs w:val="24"/>
          <w:highlight w:val="none"/>
        </w:rPr>
        <w:t>以上技术参数</w:t>
      </w:r>
      <w:r>
        <w:rPr>
          <w:rFonts w:hint="eastAsia" w:ascii="楷体" w:hAnsi="楷体" w:eastAsia="楷体" w:cs="楷体"/>
          <w:b/>
          <w:bCs w:val="0"/>
          <w:sz w:val="24"/>
          <w:szCs w:val="24"/>
          <w:highlight w:val="none"/>
          <w:lang w:eastAsia="zh-CN"/>
        </w:rPr>
        <w:t>未</w:t>
      </w:r>
      <w:r>
        <w:rPr>
          <w:rFonts w:hint="eastAsia" w:ascii="楷体" w:hAnsi="楷体" w:eastAsia="楷体" w:cs="楷体"/>
          <w:b/>
          <w:bCs w:val="0"/>
          <w:sz w:val="24"/>
          <w:szCs w:val="24"/>
          <w:highlight w:val="none"/>
        </w:rPr>
        <w:t>指向</w:t>
      </w:r>
      <w:r>
        <w:rPr>
          <w:rFonts w:hint="eastAsia" w:ascii="楷体" w:hAnsi="楷体" w:eastAsia="楷体" w:cs="楷体"/>
          <w:b/>
          <w:bCs w:val="0"/>
          <w:sz w:val="24"/>
          <w:szCs w:val="24"/>
          <w:highlight w:val="none"/>
          <w:lang w:eastAsia="zh-CN"/>
        </w:rPr>
        <w:t>特定</w:t>
      </w:r>
      <w:r>
        <w:rPr>
          <w:rFonts w:hint="eastAsia" w:ascii="楷体" w:hAnsi="楷体" w:eastAsia="楷体" w:cs="楷体"/>
          <w:b/>
          <w:bCs w:val="0"/>
          <w:sz w:val="24"/>
          <w:szCs w:val="24"/>
          <w:highlight w:val="none"/>
        </w:rPr>
        <w:t>品牌</w:t>
      </w:r>
      <w:r>
        <w:rPr>
          <w:rFonts w:hint="eastAsia" w:ascii="楷体" w:hAnsi="楷体" w:eastAsia="楷体" w:cs="楷体"/>
          <w:b/>
          <w:bCs w:val="0"/>
          <w:sz w:val="24"/>
          <w:szCs w:val="24"/>
          <w:highlight w:val="none"/>
          <w:lang w:eastAsia="zh-CN"/>
        </w:rPr>
        <w:t>，如有指向</w:t>
      </w:r>
      <w:r>
        <w:rPr>
          <w:rFonts w:hint="eastAsia" w:ascii="楷体" w:hAnsi="楷体" w:eastAsia="楷体" w:cs="楷体"/>
          <w:b/>
          <w:bCs w:val="0"/>
          <w:sz w:val="24"/>
          <w:szCs w:val="24"/>
          <w:highlight w:val="none"/>
        </w:rPr>
        <w:t>的指标描述，仅供参考</w:t>
      </w:r>
      <w:r>
        <w:rPr>
          <w:rFonts w:hint="eastAsia" w:ascii="楷体" w:hAnsi="楷体" w:eastAsia="楷体" w:cs="楷体"/>
          <w:b/>
          <w:bCs w:val="0"/>
          <w:sz w:val="24"/>
          <w:szCs w:val="24"/>
          <w:highlight w:val="none"/>
          <w:lang w:eastAsia="zh-CN"/>
        </w:rPr>
        <w:t>。</w:t>
      </w:r>
    </w:p>
    <w:p>
      <w:pPr>
        <w:pStyle w:val="14"/>
        <w:ind w:firstLine="482" w:firstLineChars="200"/>
        <w:rPr>
          <w:rFonts w:hint="default" w:ascii="楷体" w:hAnsi="楷体" w:eastAsia="楷体" w:cs="楷体"/>
          <w:b/>
          <w:bCs w:val="0"/>
          <w:sz w:val="24"/>
          <w:szCs w:val="24"/>
          <w:highlight w:val="none"/>
          <w:lang w:val="en-US" w:eastAsia="zh-CN"/>
        </w:rPr>
      </w:pPr>
      <w:r>
        <w:rPr>
          <w:rFonts w:hint="eastAsia" w:ascii="楷体" w:hAnsi="楷体" w:eastAsia="楷体" w:cs="楷体"/>
          <w:b/>
          <w:bCs w:val="0"/>
          <w:sz w:val="24"/>
          <w:szCs w:val="24"/>
          <w:highlight w:val="none"/>
          <w:lang w:val="en-US" w:eastAsia="zh-CN"/>
        </w:rPr>
        <w:t>2、投标企业需提供产品的配品配件，产品外观：整洁完好，布局合理；产品质地：舒适便捷。</w:t>
      </w:r>
    </w:p>
    <w:p>
      <w:pPr>
        <w:pStyle w:val="14"/>
        <w:ind w:firstLine="482" w:firstLineChars="200"/>
        <w:rPr>
          <w:rFonts w:hint="eastAsia" w:ascii="楷体" w:hAnsi="楷体" w:eastAsia="楷体" w:cs="楷体"/>
          <w:b/>
          <w:bCs w:val="0"/>
          <w:sz w:val="24"/>
          <w:szCs w:val="24"/>
          <w:highlight w:val="none"/>
          <w:lang w:eastAsia="zh-CN"/>
        </w:rPr>
      </w:pPr>
      <w:r>
        <w:rPr>
          <w:rFonts w:hint="eastAsia" w:ascii="楷体" w:hAnsi="楷体" w:eastAsia="楷体" w:cs="楷体"/>
          <w:b/>
          <w:bCs w:val="0"/>
          <w:sz w:val="24"/>
          <w:szCs w:val="24"/>
          <w:highlight w:val="none"/>
          <w:lang w:val="en-US" w:eastAsia="zh-CN"/>
        </w:rPr>
        <w:t>3、</w:t>
      </w:r>
      <w:r>
        <w:rPr>
          <w:rFonts w:hint="eastAsia" w:ascii="楷体" w:hAnsi="楷体" w:eastAsia="楷体" w:cs="楷体"/>
          <w:b/>
          <w:bCs w:val="0"/>
          <w:sz w:val="24"/>
          <w:szCs w:val="24"/>
          <w:highlight w:val="none"/>
          <w:lang w:eastAsia="zh-CN"/>
        </w:rPr>
        <w:t>需要原件备查而未提供的视为无效证明。备查原件单独密封（未密封的将不予接受）后与响应文件一并提交。不接受二次提供。</w:t>
      </w:r>
    </w:p>
    <w:p>
      <w:pPr>
        <w:pStyle w:val="14"/>
        <w:ind w:firstLine="482" w:firstLineChars="200"/>
        <w:rPr>
          <w:rFonts w:hint="default" w:ascii="楷体" w:hAnsi="楷体" w:eastAsia="楷体" w:cs="楷体"/>
          <w:b/>
          <w:bCs w:val="0"/>
          <w:sz w:val="24"/>
          <w:szCs w:val="24"/>
          <w:highlight w:val="none"/>
          <w:lang w:val="en-US" w:eastAsia="zh-CN"/>
        </w:rPr>
      </w:pPr>
      <w:r>
        <w:rPr>
          <w:rFonts w:hint="eastAsia" w:ascii="楷体" w:hAnsi="楷体" w:eastAsia="楷体" w:cs="楷体"/>
          <w:b/>
          <w:bCs w:val="0"/>
          <w:sz w:val="24"/>
          <w:szCs w:val="24"/>
          <w:highlight w:val="none"/>
          <w:lang w:val="en-US" w:eastAsia="zh-CN"/>
        </w:rPr>
        <w:t>4.标星参数为重要参数，不允许负偏离，负偏离视为无效投标。</w:t>
      </w:r>
    </w:p>
    <w:p>
      <w:pPr>
        <w:pStyle w:val="4"/>
        <w:pageBreakBefore w:val="0"/>
        <w:shd w:val="clear" w:color="auto" w:fill="auto"/>
        <w:kinsoku/>
        <w:wordWrap/>
        <w:overflowPunct/>
        <w:topLinePunct w:val="0"/>
        <w:bidi w:val="0"/>
        <w:spacing w:line="400" w:lineRule="exact"/>
        <w:jc w:val="both"/>
        <w:textAlignment w:val="auto"/>
        <w:rPr>
          <w:rFonts w:hint="eastAsia" w:ascii="楷体" w:hAnsi="楷体" w:eastAsia="楷体" w:cs="楷体"/>
          <w:sz w:val="24"/>
          <w:szCs w:val="24"/>
          <w:highlight w:val="none"/>
          <w:shd w:val="clear" w:color="auto" w:fill="auto"/>
          <w:lang w:val="en-US" w:eastAsia="zh-CN"/>
        </w:rPr>
      </w:pPr>
      <w:r>
        <w:rPr>
          <w:rFonts w:hint="eastAsia" w:ascii="楷体" w:hAnsi="楷体" w:eastAsia="楷体" w:cs="楷体"/>
          <w:sz w:val="24"/>
          <w:szCs w:val="24"/>
          <w:highlight w:val="none"/>
          <w:shd w:val="clear" w:color="auto" w:fill="auto"/>
          <w:lang w:val="en-US" w:eastAsia="zh-CN"/>
        </w:rPr>
        <w:t>二</w:t>
      </w:r>
      <w:r>
        <w:rPr>
          <w:rFonts w:hint="eastAsia" w:ascii="楷体" w:hAnsi="楷体" w:eastAsia="楷体" w:cs="楷体"/>
          <w:sz w:val="24"/>
          <w:szCs w:val="24"/>
          <w:highlight w:val="none"/>
          <w:shd w:val="clear" w:color="auto" w:fill="auto"/>
          <w:lang w:eastAsia="zh-CN"/>
        </w:rPr>
        <w:t>、</w:t>
      </w:r>
      <w:r>
        <w:rPr>
          <w:rFonts w:hint="eastAsia" w:ascii="楷体" w:hAnsi="楷体" w:eastAsia="楷体" w:cs="楷体"/>
          <w:sz w:val="24"/>
          <w:szCs w:val="24"/>
          <w:highlight w:val="none"/>
          <w:shd w:val="clear" w:color="auto" w:fill="auto"/>
          <w:lang w:val="en-US" w:eastAsia="zh-CN"/>
        </w:rPr>
        <w:t>交货方式、</w:t>
      </w:r>
      <w:r>
        <w:rPr>
          <w:rFonts w:hint="eastAsia" w:ascii="楷体" w:hAnsi="楷体" w:eastAsia="楷体" w:cs="楷体"/>
          <w:sz w:val="24"/>
          <w:szCs w:val="24"/>
          <w:highlight w:val="none"/>
          <w:shd w:val="clear" w:color="auto" w:fill="auto"/>
        </w:rPr>
        <w:t>付款方式</w:t>
      </w:r>
      <w:r>
        <w:rPr>
          <w:rFonts w:hint="eastAsia" w:ascii="楷体" w:hAnsi="楷体" w:eastAsia="楷体" w:cs="楷体"/>
          <w:sz w:val="24"/>
          <w:szCs w:val="24"/>
          <w:highlight w:val="none"/>
          <w:shd w:val="clear" w:color="auto" w:fill="auto"/>
          <w:lang w:eastAsia="zh-CN"/>
        </w:rPr>
        <w:t>及交货期</w:t>
      </w:r>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shd w:val="clear" w:color="auto" w:fill="auto"/>
          <w:lang w:val="en-US" w:eastAsia="zh-CN"/>
        </w:rPr>
        <w:t>1、</w:t>
      </w:r>
      <w:r>
        <w:rPr>
          <w:rFonts w:hint="eastAsia" w:ascii="楷体" w:hAnsi="楷体" w:eastAsia="楷体" w:cs="楷体"/>
          <w:sz w:val="24"/>
          <w:szCs w:val="24"/>
          <w:highlight w:val="none"/>
          <w:lang w:val="en-US" w:eastAsia="zh-CN"/>
        </w:rPr>
        <w:t>交货地点、交货期限、质保期限：</w:t>
      </w:r>
    </w:p>
    <w:tbl>
      <w:tblPr>
        <w:tblStyle w:val="18"/>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3394"/>
        <w:gridCol w:w="3000"/>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Style w:val="23"/>
              <w:pageBreakBefore w:val="0"/>
              <w:kinsoku/>
              <w:wordWrap/>
              <w:overflowPunct/>
              <w:topLinePunct w:val="0"/>
              <w:bidi w:val="0"/>
              <w:spacing w:line="400" w:lineRule="exact"/>
              <w:ind w:left="0" w:leftChars="0" w:firstLine="0" w:firstLineChars="0"/>
              <w:textAlignment w:val="auto"/>
              <w:rPr>
                <w:rFonts w:hint="eastAsia" w:ascii="楷体" w:hAnsi="楷体" w:eastAsia="楷体" w:cs="楷体"/>
                <w:sz w:val="24"/>
                <w:szCs w:val="24"/>
                <w:highlight w:val="none"/>
                <w:vertAlign w:val="baseline"/>
                <w:lang w:val="en-US" w:eastAsia="zh-CN"/>
              </w:rPr>
            </w:pPr>
            <w:r>
              <w:rPr>
                <w:rFonts w:hint="eastAsia" w:ascii="楷体" w:hAnsi="楷体" w:eastAsia="楷体" w:cs="楷体"/>
                <w:sz w:val="24"/>
                <w:szCs w:val="24"/>
                <w:highlight w:val="none"/>
                <w:vertAlign w:val="baseline"/>
                <w:lang w:val="en-US" w:eastAsia="zh-CN"/>
              </w:rPr>
              <w:t>标项</w:t>
            </w:r>
          </w:p>
        </w:tc>
        <w:tc>
          <w:tcPr>
            <w:tcW w:w="3394" w:type="dxa"/>
            <w:noWrap w:val="0"/>
            <w:vAlign w:val="top"/>
          </w:tcPr>
          <w:p>
            <w:pPr>
              <w:pStyle w:val="23"/>
              <w:pageBreakBefore w:val="0"/>
              <w:kinsoku/>
              <w:wordWrap/>
              <w:overflowPunct/>
              <w:topLinePunct w:val="0"/>
              <w:bidi w:val="0"/>
              <w:spacing w:line="400" w:lineRule="exact"/>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交货地点</w:t>
            </w:r>
          </w:p>
        </w:tc>
        <w:tc>
          <w:tcPr>
            <w:tcW w:w="3000" w:type="dxa"/>
            <w:noWrap w:val="0"/>
            <w:vAlign w:val="top"/>
          </w:tcPr>
          <w:p>
            <w:pPr>
              <w:pStyle w:val="23"/>
              <w:pageBreakBefore w:val="0"/>
              <w:kinsoku/>
              <w:wordWrap/>
              <w:overflowPunct/>
              <w:topLinePunct w:val="0"/>
              <w:bidi w:val="0"/>
              <w:spacing w:line="400" w:lineRule="exact"/>
              <w:ind w:left="0" w:leftChars="0" w:firstLine="0" w:firstLine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交货期限</w:t>
            </w:r>
          </w:p>
        </w:tc>
        <w:tc>
          <w:tcPr>
            <w:tcW w:w="1752" w:type="dxa"/>
            <w:noWrap w:val="0"/>
            <w:vAlign w:val="top"/>
          </w:tcPr>
          <w:p>
            <w:pPr>
              <w:pStyle w:val="23"/>
              <w:pageBreakBefore w:val="0"/>
              <w:kinsoku/>
              <w:wordWrap/>
              <w:overflowPunct/>
              <w:topLinePunct w:val="0"/>
              <w:bidi w:val="0"/>
              <w:spacing w:line="400" w:lineRule="exact"/>
              <w:ind w:left="0" w:leftChars="0" w:firstLine="0" w:firstLine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质保期限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2" w:type="dxa"/>
            <w:noWrap w:val="0"/>
            <w:vAlign w:val="top"/>
          </w:tcPr>
          <w:p>
            <w:pPr>
              <w:pStyle w:val="23"/>
              <w:pageBreakBefore w:val="0"/>
              <w:kinsoku/>
              <w:wordWrap/>
              <w:overflowPunct/>
              <w:topLinePunct w:val="0"/>
              <w:bidi w:val="0"/>
              <w:spacing w:line="400" w:lineRule="exact"/>
              <w:ind w:left="0" w:leftChars="0" w:firstLine="0" w:firstLineChars="0"/>
              <w:jc w:val="center"/>
              <w:textAlignment w:val="auto"/>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vertAlign w:val="baseline"/>
                <w:lang w:val="en-US" w:eastAsia="zh-CN"/>
              </w:rPr>
              <w:t>1</w:t>
            </w:r>
          </w:p>
        </w:tc>
        <w:tc>
          <w:tcPr>
            <w:tcW w:w="3394" w:type="dxa"/>
            <w:noWrap w:val="0"/>
            <w:vAlign w:val="top"/>
          </w:tcPr>
          <w:p>
            <w:pPr>
              <w:pStyle w:val="23"/>
              <w:pageBreakBefore w:val="0"/>
              <w:kinsoku/>
              <w:wordWrap/>
              <w:overflowPunct/>
              <w:topLinePunct w:val="0"/>
              <w:bidi w:val="0"/>
              <w:spacing w:line="400" w:lineRule="exact"/>
              <w:ind w:left="0" w:leftChars="0" w:firstLine="0" w:firstLineChars="0"/>
              <w:textAlignment w:val="auto"/>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lang w:val="en-US" w:eastAsia="zh-CN"/>
              </w:rPr>
              <w:t>塔什库尔干野生动物自然保护区服务中心采购人指定地点</w:t>
            </w:r>
          </w:p>
        </w:tc>
        <w:tc>
          <w:tcPr>
            <w:tcW w:w="3000" w:type="dxa"/>
            <w:noWrap w:val="0"/>
            <w:vAlign w:val="top"/>
          </w:tcPr>
          <w:p>
            <w:pPr>
              <w:pStyle w:val="23"/>
              <w:pageBreakBefore w:val="0"/>
              <w:kinsoku/>
              <w:wordWrap/>
              <w:overflowPunct/>
              <w:topLinePunct w:val="0"/>
              <w:bidi w:val="0"/>
              <w:spacing w:line="400" w:lineRule="exact"/>
              <w:ind w:left="0" w:leftChars="0" w:firstLine="0" w:firstLine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签订合同后30日历日内货到安装调试完毕</w:t>
            </w:r>
          </w:p>
        </w:tc>
        <w:tc>
          <w:tcPr>
            <w:tcW w:w="1752" w:type="dxa"/>
            <w:noWrap w:val="0"/>
            <w:vAlign w:val="top"/>
          </w:tcPr>
          <w:p>
            <w:pPr>
              <w:pStyle w:val="23"/>
              <w:pageBreakBefore w:val="0"/>
              <w:kinsoku/>
              <w:wordWrap/>
              <w:overflowPunct/>
              <w:topLinePunct w:val="0"/>
              <w:bidi w:val="0"/>
              <w:spacing w:line="400" w:lineRule="exact"/>
              <w:ind w:left="0" w:leftChars="0" w:firstLine="0" w:firstLineChars="0"/>
              <w:jc w:val="both"/>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noWrap w:val="0"/>
            <w:vAlign w:val="top"/>
          </w:tcPr>
          <w:p>
            <w:pPr>
              <w:pStyle w:val="23"/>
              <w:pageBreakBefore w:val="0"/>
              <w:kinsoku/>
              <w:wordWrap/>
              <w:overflowPunct/>
              <w:topLinePunct w:val="0"/>
              <w:bidi w:val="0"/>
              <w:spacing w:line="400" w:lineRule="exact"/>
              <w:ind w:left="0" w:leftChars="0" w:firstLine="0" w:firstLineChars="0"/>
              <w:textAlignment w:val="auto"/>
              <w:rPr>
                <w:rFonts w:hint="eastAsia" w:ascii="楷体" w:hAnsi="楷体" w:eastAsia="楷体" w:cs="楷体"/>
                <w:b w:val="0"/>
                <w:bCs w:val="0"/>
                <w:sz w:val="24"/>
                <w:szCs w:val="24"/>
                <w:highlight w:val="none"/>
                <w:vertAlign w:val="baseline"/>
                <w:lang w:val="en-US" w:eastAsia="zh-CN"/>
              </w:rPr>
            </w:pPr>
            <w:r>
              <w:rPr>
                <w:rFonts w:hint="eastAsia" w:ascii="楷体" w:hAnsi="楷体" w:eastAsia="楷体" w:cs="楷体"/>
                <w:b w:val="0"/>
                <w:bCs w:val="0"/>
                <w:sz w:val="24"/>
                <w:szCs w:val="24"/>
                <w:highlight w:val="none"/>
                <w:lang w:val="en-US" w:eastAsia="zh-CN"/>
              </w:rPr>
              <w:t>注：</w:t>
            </w:r>
          </w:p>
        </w:tc>
        <w:tc>
          <w:tcPr>
            <w:tcW w:w="8146" w:type="dxa"/>
            <w:gridSpan w:val="3"/>
            <w:noWrap w:val="0"/>
            <w:vAlign w:val="top"/>
          </w:tcPr>
          <w:p>
            <w:pPr>
              <w:pStyle w:val="23"/>
              <w:pageBreakBefore w:val="0"/>
              <w:shd w:val="clear" w:color="auto" w:fill="auto"/>
              <w:kinsoku/>
              <w:wordWrap/>
              <w:overflowPunct/>
              <w:topLinePunct w:val="0"/>
              <w:bidi w:val="0"/>
              <w:spacing w:line="400" w:lineRule="exact"/>
              <w:ind w:left="0" w:leftChars="0" w:firstLine="0" w:firstLine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交货期限：中标人每逾期交货1天扣除合同金额的2%，逾期交货7天以上扣除合同金额的30%并且采购人有权解除合同，一切经济责任由中标人承担；</w:t>
            </w:r>
          </w:p>
        </w:tc>
      </w:tr>
    </w:tbl>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w:t>
      </w:r>
      <w:r>
        <w:rPr>
          <w:rFonts w:hint="eastAsia" w:ascii="楷体" w:hAnsi="楷体" w:eastAsia="楷体" w:cs="楷体"/>
          <w:b/>
          <w:bCs/>
          <w:sz w:val="24"/>
          <w:szCs w:val="24"/>
          <w:highlight w:val="none"/>
          <w:lang w:val="en-US" w:eastAsia="zh-CN"/>
        </w:rPr>
        <w:t>付款方式：中标企业缴纳履约保证金后与采购人签订合同，签订合同后将全部货物供货、安装并验收合格后支付合同价款的100%（具体以签合同为主），履约完成后，由投标人向采购人缴纳质保金（与履约保证金金额一致）后采购人退还其履约保证金，质保期满后质保金无息退还（如遇特殊情况甲乙双方协商解决）；</w:t>
      </w:r>
    </w:p>
    <w:p>
      <w:pPr>
        <w:spacing w:line="240" w:lineRule="atLeast"/>
        <w:ind w:firstLine="480" w:firstLineChars="200"/>
        <w:jc w:val="left"/>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3、履约保证金：</w:t>
      </w:r>
      <w:r>
        <w:rPr>
          <w:rFonts w:hint="eastAsia" w:ascii="楷体" w:hAnsi="楷体" w:eastAsia="楷体" w:cs="楷体"/>
          <w:sz w:val="24"/>
          <w:szCs w:val="24"/>
          <w:highlight w:val="none"/>
        </w:rPr>
        <w:t>签订合同前</w:t>
      </w:r>
      <w:r>
        <w:rPr>
          <w:rFonts w:hint="eastAsia" w:ascii="楷体" w:hAnsi="楷体" w:eastAsia="楷体" w:cs="楷体"/>
          <w:sz w:val="24"/>
          <w:szCs w:val="24"/>
          <w:highlight w:val="none"/>
          <w:lang w:val="en-US" w:eastAsia="zh-CN"/>
        </w:rPr>
        <w:t xml:space="preserve">最晚 </w:t>
      </w:r>
      <w:r>
        <w:rPr>
          <w:rFonts w:hint="eastAsia" w:ascii="楷体" w:hAnsi="楷体" w:eastAsia="楷体" w:cs="楷体"/>
          <w:sz w:val="24"/>
          <w:szCs w:val="24"/>
          <w:highlight w:val="none"/>
          <w:u w:val="single"/>
        </w:rPr>
        <w:t xml:space="preserve"> 2</w:t>
      </w:r>
      <w:r>
        <w:rPr>
          <w:rFonts w:hint="eastAsia" w:ascii="楷体" w:hAnsi="楷体" w:eastAsia="楷体" w:cs="楷体"/>
          <w:color w:val="auto"/>
          <w:sz w:val="24"/>
          <w:szCs w:val="24"/>
          <w:highlight w:val="none"/>
          <w:u w:val="single"/>
          <w:shd w:val="clear" w:color="auto" w:fill="auto"/>
          <w:lang w:eastAsia="zh-CN"/>
        </w:rPr>
        <w:t>个</w:t>
      </w:r>
      <w:r>
        <w:rPr>
          <w:rFonts w:hint="eastAsia" w:ascii="楷体" w:hAnsi="楷体" w:eastAsia="楷体" w:cs="楷体"/>
          <w:sz w:val="24"/>
          <w:szCs w:val="24"/>
          <w:highlight w:val="none"/>
        </w:rPr>
        <w:t>日历日</w:t>
      </w:r>
      <w:r>
        <w:rPr>
          <w:rFonts w:hint="eastAsia" w:ascii="楷体" w:hAnsi="楷体" w:eastAsia="楷体" w:cs="楷体"/>
          <w:sz w:val="24"/>
          <w:szCs w:val="24"/>
          <w:highlight w:val="none"/>
          <w:lang w:val="en-US" w:eastAsia="zh-CN"/>
        </w:rPr>
        <w:t>汇入采购人指定账户。不按照要求缴纳履约保证金的，不予签订合同并视为中标人违约，依法处理</w:t>
      </w:r>
      <w:r>
        <w:rPr>
          <w:rFonts w:hint="eastAsia" w:ascii="楷体" w:hAnsi="楷体" w:eastAsia="楷体" w:cs="楷体"/>
          <w:b w:val="0"/>
          <w:color w:val="auto"/>
          <w:kern w:val="2"/>
          <w:sz w:val="24"/>
          <w:szCs w:val="24"/>
          <w:highlight w:val="none"/>
          <w:u w:val="none"/>
          <w:lang w:val="en-US" w:eastAsia="zh-CN" w:bidi="ar-SA"/>
        </w:rPr>
        <w:t>。采购合同必须依照磋商文件及项目实际要求拟定。</w:t>
      </w:r>
    </w:p>
    <w:p>
      <w:pPr>
        <w:pStyle w:val="23"/>
        <w:pageBreakBefore w:val="0"/>
        <w:shd w:val="clear" w:color="auto" w:fill="auto"/>
        <w:kinsoku/>
        <w:wordWrap/>
        <w:overflowPunct/>
        <w:topLinePunct w:val="0"/>
        <w:bidi w:val="0"/>
        <w:spacing w:line="400" w:lineRule="exact"/>
        <w:ind w:firstLine="480"/>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4、质量保证金：合同价款的5%，质保期满后一次性无息退还。</w:t>
      </w:r>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color w:val="000000"/>
          <w:kern w:val="0"/>
          <w:sz w:val="24"/>
          <w:szCs w:val="24"/>
          <w:highlight w:val="none"/>
          <w:lang w:bidi="ar"/>
        </w:rPr>
      </w:pPr>
      <w:r>
        <w:rPr>
          <w:rFonts w:hint="eastAsia" w:ascii="楷体" w:hAnsi="楷体" w:eastAsia="楷体" w:cs="楷体"/>
          <w:sz w:val="24"/>
          <w:szCs w:val="24"/>
          <w:highlight w:val="none"/>
          <w:lang w:val="en-US" w:eastAsia="zh-CN"/>
        </w:rPr>
        <w:t>5、验收要求：</w:t>
      </w:r>
      <w:r>
        <w:rPr>
          <w:rFonts w:hint="eastAsia" w:ascii="楷体" w:hAnsi="楷体" w:eastAsia="楷体" w:cs="楷体"/>
          <w:sz w:val="24"/>
          <w:szCs w:val="24"/>
          <w:highlight w:val="none"/>
        </w:rPr>
        <w:t>供应商货到采购人指定地点后提供货品的检测报告等相关材料作为验收证明材料。</w:t>
      </w:r>
      <w:r>
        <w:rPr>
          <w:rFonts w:hint="eastAsia" w:ascii="楷体" w:hAnsi="楷体" w:eastAsia="楷体" w:cs="楷体"/>
          <w:color w:val="000000"/>
          <w:kern w:val="0"/>
          <w:sz w:val="24"/>
          <w:szCs w:val="24"/>
          <w:highlight w:val="none"/>
          <w:lang w:bidi="ar"/>
        </w:rPr>
        <w:t>所供货物全部到齐后，参照规定的数量、质量、技术指标，出具验收报告等，由供应商提出验收申请，由采购人组织代理公司协助进行验收，验收邀请未中标投标企业、市场监督管理局等人员进行验收。</w:t>
      </w:r>
      <w:r>
        <w:rPr>
          <w:rFonts w:hint="eastAsia" w:ascii="楷体" w:hAnsi="楷体" w:eastAsia="楷体" w:cs="楷体"/>
          <w:sz w:val="24"/>
          <w:szCs w:val="24"/>
          <w:highlight w:val="none"/>
        </w:rPr>
        <w:t>验收不合格的，采购人有权要求换货。供应商换货必须在5个日历日内完成。换货产生的一切费用由供应商承担。如供应商拒绝换货或换货时间超过5个日历日，采购人有权拒绝支付货款。换货后，货物任然验收不合格采购人可以拒绝支付货款。</w:t>
      </w:r>
      <w:r>
        <w:rPr>
          <w:rFonts w:hint="eastAsia" w:ascii="楷体" w:hAnsi="楷体" w:eastAsia="楷体" w:cs="楷体"/>
          <w:bCs/>
          <w:kern w:val="0"/>
          <w:sz w:val="24"/>
          <w:szCs w:val="24"/>
          <w:highlight w:val="none"/>
        </w:rPr>
        <w:t>依据</w:t>
      </w:r>
      <w:r>
        <w:rPr>
          <w:rFonts w:hint="eastAsia" w:ascii="宋体" w:hAnsi="宋体" w:eastAsia="宋体" w:cs="宋体"/>
          <w:color w:val="auto"/>
          <w:sz w:val="21"/>
          <w:szCs w:val="21"/>
        </w:rPr>
        <w:t>（财库[2020]46号）</w:t>
      </w:r>
      <w:r>
        <w:rPr>
          <w:rFonts w:hint="eastAsia" w:ascii="楷体" w:hAnsi="楷体" w:eastAsia="楷体" w:cs="楷体"/>
          <w:bCs/>
          <w:kern w:val="0"/>
          <w:sz w:val="24"/>
          <w:szCs w:val="24"/>
          <w:highlight w:val="none"/>
        </w:rPr>
        <w:t xml:space="preserve"> 财政部</w:t>
      </w:r>
      <w:r>
        <w:rPr>
          <w:rFonts w:hint="eastAsia" w:ascii="楷体" w:hAnsi="楷体" w:eastAsia="楷体" w:cs="楷体"/>
          <w:color w:val="000000"/>
          <w:kern w:val="0"/>
          <w:sz w:val="24"/>
          <w:szCs w:val="24"/>
          <w:highlight w:val="none"/>
          <w:lang w:bidi="ar"/>
        </w:rPr>
        <w:t>关于进一步加强政府采购需求和履约验收管理的指导意见》进行验收。</w:t>
      </w:r>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color w:val="000000"/>
          <w:kern w:val="0"/>
          <w:sz w:val="24"/>
          <w:szCs w:val="24"/>
          <w:highlight w:val="none"/>
          <w:lang w:bidi="ar"/>
        </w:rPr>
      </w:pPr>
      <w:r>
        <w:rPr>
          <w:rFonts w:hint="eastAsia" w:ascii="楷体" w:hAnsi="楷体" w:eastAsia="楷体" w:cs="楷体"/>
          <w:color w:val="000000"/>
          <w:kern w:val="0"/>
          <w:sz w:val="24"/>
          <w:szCs w:val="24"/>
          <w:highlight w:val="none"/>
          <w:lang w:bidi="ar"/>
        </w:rPr>
        <w:t>设备到达安装现场后，</w:t>
      </w:r>
      <w:r>
        <w:rPr>
          <w:rFonts w:hint="eastAsia" w:ascii="楷体" w:hAnsi="楷体" w:eastAsia="楷体" w:cs="楷体"/>
          <w:color w:val="000000"/>
          <w:kern w:val="0"/>
          <w:sz w:val="24"/>
          <w:szCs w:val="24"/>
          <w:highlight w:val="none"/>
          <w:lang w:val="en-US" w:eastAsia="zh-CN" w:bidi="ar"/>
        </w:rPr>
        <w:t>需要</w:t>
      </w:r>
      <w:r>
        <w:rPr>
          <w:rFonts w:hint="eastAsia" w:ascii="楷体" w:hAnsi="楷体" w:eastAsia="楷体" w:cs="楷体"/>
          <w:color w:val="000000"/>
          <w:kern w:val="0"/>
          <w:sz w:val="24"/>
          <w:szCs w:val="24"/>
          <w:highlight w:val="none"/>
          <w:lang w:bidi="ar"/>
        </w:rPr>
        <w:t>由公司技术人员和用户共同清点完毕后，工程实施小组的工程师将开</w:t>
      </w:r>
      <w:bookmarkStart w:id="739" w:name="_GoBack"/>
      <w:bookmarkEnd w:id="739"/>
      <w:r>
        <w:rPr>
          <w:rFonts w:hint="eastAsia" w:ascii="楷体" w:hAnsi="楷体" w:eastAsia="楷体" w:cs="楷体"/>
          <w:color w:val="000000"/>
          <w:kern w:val="0"/>
          <w:sz w:val="24"/>
          <w:szCs w:val="24"/>
          <w:highlight w:val="none"/>
          <w:lang w:bidi="ar"/>
        </w:rPr>
        <w:t>始设备安装调试工作</w:t>
      </w:r>
      <w:r>
        <w:rPr>
          <w:rFonts w:hint="eastAsia" w:ascii="楷体" w:hAnsi="楷体" w:eastAsia="楷体" w:cs="楷体"/>
          <w:color w:val="000000"/>
          <w:kern w:val="0"/>
          <w:sz w:val="24"/>
          <w:szCs w:val="24"/>
          <w:highlight w:val="none"/>
          <w:lang w:eastAsia="zh-CN" w:bidi="ar"/>
        </w:rPr>
        <w:t>，</w:t>
      </w:r>
      <w:r>
        <w:rPr>
          <w:rFonts w:hint="eastAsia" w:ascii="楷体" w:hAnsi="楷体" w:eastAsia="楷体" w:cs="楷体"/>
          <w:color w:val="000000"/>
          <w:kern w:val="0"/>
          <w:sz w:val="24"/>
          <w:szCs w:val="24"/>
          <w:highlight w:val="none"/>
          <w:lang w:bidi="ar"/>
        </w:rPr>
        <w:t>设备安装和调试的同时，将对使用单位的设备操作和维护人员进行现场培训，同时为每个设备及系统提供一套完整的技术资料。</w:t>
      </w:r>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color w:val="000000"/>
          <w:kern w:val="0"/>
          <w:sz w:val="24"/>
          <w:szCs w:val="24"/>
          <w:highlight w:val="none"/>
          <w:lang w:val="en-US" w:eastAsia="zh-CN" w:bidi="ar"/>
        </w:rPr>
      </w:pPr>
      <w:bookmarkStart w:id="502" w:name="_Toc6197"/>
      <w:bookmarkStart w:id="503" w:name="_Toc27604"/>
      <w:r>
        <w:rPr>
          <w:rFonts w:hint="eastAsia" w:ascii="楷体" w:hAnsi="楷体" w:eastAsia="楷体" w:cs="楷体"/>
          <w:color w:val="000000"/>
          <w:kern w:val="0"/>
          <w:sz w:val="24"/>
          <w:szCs w:val="24"/>
          <w:highlight w:val="none"/>
          <w:lang w:val="en-US" w:eastAsia="zh-CN" w:bidi="ar"/>
        </w:rPr>
        <w:t>6、实施方案及售后服务</w:t>
      </w:r>
      <w:bookmarkEnd w:id="502"/>
      <w:bookmarkEnd w:id="503"/>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①、卖方须到买方提供的现场免费安装、调试设备，进行操作试验，直至运行正常，为仪器操作人员提供免费的操作及维护培训。维修响应7x24小时响应，在质保期内出现故障中标单位在接到故障报修电话后，10小时内必须赶到现场解决故障；</w:t>
      </w:r>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②、供方负责免费运输、卸货、安装调试、进行现场操作培训并提供货物发票。</w:t>
      </w:r>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color w:val="000000"/>
          <w:kern w:val="0"/>
          <w:sz w:val="24"/>
          <w:szCs w:val="24"/>
          <w:highlight w:val="none"/>
          <w:lang w:val="en-US" w:eastAsia="zh-CN" w:bidi="ar"/>
        </w:rPr>
      </w:pPr>
      <w:r>
        <w:rPr>
          <w:rFonts w:hint="default" w:ascii="楷体" w:hAnsi="楷体" w:eastAsia="楷体" w:cs="楷体"/>
          <w:color w:val="000000"/>
          <w:kern w:val="0"/>
          <w:sz w:val="24"/>
          <w:szCs w:val="24"/>
          <w:highlight w:val="none"/>
          <w:lang w:val="en-US" w:eastAsia="zh-CN" w:bidi="ar"/>
        </w:rPr>
        <w:t>③</w:t>
      </w:r>
      <w:r>
        <w:rPr>
          <w:rFonts w:hint="eastAsia" w:ascii="楷体" w:hAnsi="楷体" w:eastAsia="楷体" w:cs="楷体"/>
          <w:color w:val="000000"/>
          <w:kern w:val="0"/>
          <w:sz w:val="24"/>
          <w:szCs w:val="24"/>
          <w:highlight w:val="none"/>
          <w:lang w:val="en-US" w:eastAsia="zh-CN" w:bidi="ar"/>
        </w:rPr>
        <w:t>、实施方案为项目总体供货实施说明（含但不限于供货进度计划、运输计划投入、人员安排、配送、安装等）、项目质量总体目标及质量保证措施、应急措施（如货品质量未达标准的应急措施等）、规范性文件说明等；</w:t>
      </w:r>
    </w:p>
    <w:p>
      <w:pPr>
        <w:pStyle w:val="23"/>
        <w:pageBreakBefore w:val="0"/>
        <w:shd w:val="clear" w:color="auto" w:fill="auto"/>
        <w:kinsoku/>
        <w:wordWrap/>
        <w:overflowPunct/>
        <w:topLinePunct w:val="0"/>
        <w:bidi w:val="0"/>
        <w:spacing w:line="400" w:lineRule="exact"/>
        <w:ind w:firstLine="480"/>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7、培训要求</w:t>
      </w:r>
    </w:p>
    <w:p>
      <w:pPr>
        <w:pStyle w:val="23"/>
        <w:pageBreakBefore w:val="0"/>
        <w:shd w:val="clear" w:color="auto" w:fill="auto"/>
        <w:kinsoku/>
        <w:wordWrap/>
        <w:overflowPunct/>
        <w:topLinePunct w:val="0"/>
        <w:bidi w:val="0"/>
        <w:spacing w:line="400" w:lineRule="exact"/>
        <w:ind w:firstLine="480"/>
        <w:textAlignment w:val="auto"/>
        <w:rPr>
          <w:rFonts w:hint="default" w:ascii="楷体" w:hAnsi="楷体" w:eastAsia="楷体" w:cs="楷体"/>
          <w:b w:val="0"/>
          <w:bCs w:val="0"/>
          <w:sz w:val="24"/>
          <w:szCs w:val="24"/>
          <w:highlight w:val="none"/>
          <w:lang w:val="en-US" w:eastAsia="zh-CN"/>
        </w:rPr>
      </w:pPr>
      <w:r>
        <w:rPr>
          <w:rFonts w:hint="eastAsia" w:ascii="楷体" w:hAnsi="楷体" w:eastAsia="楷体" w:cs="楷体"/>
          <w:color w:val="000000"/>
          <w:kern w:val="0"/>
          <w:sz w:val="24"/>
          <w:szCs w:val="24"/>
          <w:highlight w:val="none"/>
          <w:lang w:val="en-US" w:eastAsia="zh-CN" w:bidi="ar"/>
        </w:rPr>
        <w:t>对</w:t>
      </w:r>
      <w:r>
        <w:rPr>
          <w:rFonts w:hint="eastAsia" w:ascii="楷体" w:hAnsi="楷体" w:eastAsia="楷体" w:cs="楷体"/>
          <w:b w:val="0"/>
          <w:bCs w:val="0"/>
          <w:sz w:val="24"/>
          <w:szCs w:val="24"/>
          <w:highlight w:val="none"/>
          <w:lang w:val="en-US" w:eastAsia="zh-CN"/>
        </w:rPr>
        <w:t>喀什地区护边相关人员（约5人）进行培训，达到可熟练操作的程度。</w:t>
      </w:r>
    </w:p>
    <w:p>
      <w:pPr>
        <w:pStyle w:val="23"/>
        <w:pageBreakBefore w:val="0"/>
        <w:numPr>
          <w:ilvl w:val="0"/>
          <w:numId w:val="12"/>
        </w:numPr>
        <w:shd w:val="clear" w:color="auto" w:fill="auto"/>
        <w:kinsoku/>
        <w:wordWrap/>
        <w:overflowPunct/>
        <w:topLinePunct w:val="0"/>
        <w:bidi w:val="0"/>
        <w:spacing w:line="400" w:lineRule="exact"/>
        <w:ind w:firstLine="480"/>
        <w:textAlignment w:val="auto"/>
        <w:rPr>
          <w:rFonts w:hint="eastAsia" w:ascii="楷体" w:hAnsi="楷体" w:eastAsia="楷体" w:cs="楷体"/>
          <w:b w:val="0"/>
          <w:bCs/>
          <w:kern w:val="0"/>
          <w:sz w:val="24"/>
          <w:szCs w:val="24"/>
          <w:highlight w:val="none"/>
          <w:lang w:val="en-US" w:eastAsia="zh-CN" w:bidi="ar-SA"/>
        </w:rPr>
      </w:pPr>
      <w:r>
        <w:rPr>
          <w:rFonts w:hint="eastAsia" w:ascii="楷体" w:hAnsi="楷体" w:eastAsia="楷体" w:cs="楷体"/>
          <w:b w:val="0"/>
          <w:bCs/>
          <w:kern w:val="0"/>
          <w:sz w:val="24"/>
          <w:szCs w:val="24"/>
          <w:highlight w:val="none"/>
          <w:lang w:val="en-US" w:eastAsia="zh-CN" w:bidi="ar-SA"/>
        </w:rPr>
        <w:t>其他要求：</w:t>
      </w:r>
    </w:p>
    <w:p>
      <w:pPr>
        <w:pStyle w:val="23"/>
        <w:pageBreakBefore w:val="0"/>
        <w:numPr>
          <w:ilvl w:val="0"/>
          <w:numId w:val="12"/>
        </w:numPr>
        <w:shd w:val="clear" w:color="auto" w:fill="auto"/>
        <w:kinsoku/>
        <w:wordWrap/>
        <w:overflowPunct/>
        <w:topLinePunct w:val="0"/>
        <w:bidi w:val="0"/>
        <w:spacing w:line="400" w:lineRule="exact"/>
        <w:ind w:firstLine="480"/>
        <w:textAlignment w:val="auto"/>
        <w:rPr>
          <w:rFonts w:hint="eastAsia" w:ascii="楷体" w:hAnsi="楷体" w:eastAsia="楷体" w:cs="楷体"/>
          <w:b w:val="0"/>
          <w:bCs/>
          <w:kern w:val="0"/>
          <w:sz w:val="24"/>
          <w:szCs w:val="24"/>
          <w:highlight w:val="none"/>
          <w:lang w:val="en-US" w:eastAsia="zh-CN" w:bidi="ar-SA"/>
        </w:rPr>
      </w:pPr>
      <w:r>
        <w:rPr>
          <w:rFonts w:hint="eastAsia" w:ascii="楷体" w:hAnsi="楷体" w:eastAsia="楷体" w:cs="楷体"/>
          <w:b w:val="0"/>
          <w:bCs/>
          <w:kern w:val="0"/>
          <w:sz w:val="24"/>
          <w:szCs w:val="24"/>
          <w:highlight w:val="none"/>
          <w:lang w:val="en-US" w:eastAsia="zh-CN" w:bidi="ar-SA"/>
        </w:rPr>
        <w:t>此项目报价含购置成本、税费、安装费、调试费、维护费、运杂费、培训费等全部费用。项目地点位于：塔什库尔干县达布达尔乡热斯喀木村（具体详细地址中标后由甲方提供）</w:t>
      </w:r>
    </w:p>
    <w:p>
      <w:pPr>
        <w:pStyle w:val="23"/>
        <w:pageBreakBefore w:val="0"/>
        <w:numPr>
          <w:ilvl w:val="0"/>
          <w:numId w:val="12"/>
        </w:numPr>
        <w:shd w:val="clear" w:color="auto" w:fill="auto"/>
        <w:kinsoku/>
        <w:wordWrap/>
        <w:overflowPunct/>
        <w:topLinePunct w:val="0"/>
        <w:bidi w:val="0"/>
        <w:spacing w:line="400" w:lineRule="exact"/>
        <w:ind w:firstLine="480"/>
        <w:textAlignment w:val="auto"/>
        <w:rPr>
          <w:rFonts w:hint="eastAsia" w:ascii="楷体" w:hAnsi="楷体" w:eastAsia="楷体" w:cs="楷体"/>
          <w:b w:val="0"/>
          <w:bCs/>
          <w:kern w:val="0"/>
          <w:sz w:val="24"/>
          <w:szCs w:val="24"/>
          <w:highlight w:val="none"/>
          <w:lang w:val="en-US" w:eastAsia="zh-CN" w:bidi="ar-SA"/>
        </w:rPr>
      </w:pPr>
      <w:r>
        <w:rPr>
          <w:rFonts w:hint="eastAsia" w:ascii="楷体" w:hAnsi="楷体" w:eastAsia="楷体" w:cs="楷体"/>
          <w:b w:val="0"/>
          <w:bCs/>
          <w:kern w:val="0"/>
          <w:sz w:val="24"/>
          <w:szCs w:val="24"/>
          <w:highlight w:val="none"/>
          <w:lang w:val="en-US" w:eastAsia="zh-CN" w:bidi="ar-SA"/>
        </w:rPr>
        <w:t>（2）投标单位需提供本次采购所有设备的第三方检测机构出具的质量检验报告。</w:t>
      </w:r>
    </w:p>
    <w:p>
      <w:pPr>
        <w:pStyle w:val="14"/>
        <w:rPr>
          <w:rFonts w:hint="default" w:ascii="楷体" w:hAnsi="楷体" w:eastAsia="楷体" w:cs="楷体"/>
          <w:b/>
          <w:sz w:val="28"/>
          <w:szCs w:val="36"/>
          <w:lang w:val="en-US" w:eastAsia="zh-CN"/>
        </w:rPr>
      </w:pPr>
      <w:r>
        <w:rPr>
          <w:rFonts w:hint="default" w:ascii="楷体" w:hAnsi="楷体" w:eastAsia="楷体" w:cs="楷体"/>
          <w:b/>
          <w:sz w:val="28"/>
          <w:szCs w:val="36"/>
          <w:lang w:val="en-US" w:eastAsia="zh-CN"/>
        </w:rPr>
        <w:br w:type="page"/>
      </w:r>
    </w:p>
    <w:p>
      <w:pPr>
        <w:pStyle w:val="4"/>
        <w:numPr>
          <w:ilvl w:val="0"/>
          <w:numId w:val="0"/>
        </w:numPr>
        <w:tabs>
          <w:tab w:val="left" w:pos="0"/>
        </w:tabs>
        <w:spacing w:before="0" w:after="0" w:line="240" w:lineRule="atLeast"/>
        <w:ind w:left="-15" w:leftChars="0"/>
        <w:jc w:val="center"/>
        <w:rPr>
          <w:rFonts w:hint="eastAsia" w:ascii="楷体" w:hAnsi="楷体" w:eastAsia="楷体" w:cs="楷体"/>
        </w:rPr>
      </w:pPr>
      <w:bookmarkStart w:id="504" w:name="_Toc219175639"/>
      <w:bookmarkStart w:id="505" w:name="_Toc216582826"/>
      <w:bookmarkStart w:id="506" w:name="_Toc218935355"/>
      <w:r>
        <w:rPr>
          <w:rFonts w:hint="eastAsia" w:ascii="楷体" w:hAnsi="楷体" w:eastAsia="楷体" w:cs="楷体"/>
          <w:lang w:eastAsia="zh-CN"/>
        </w:rPr>
        <w:t>第</w:t>
      </w:r>
      <w:r>
        <w:rPr>
          <w:rFonts w:hint="eastAsia" w:ascii="楷体" w:hAnsi="楷体" w:eastAsia="楷体" w:cs="楷体"/>
          <w:lang w:val="en-US" w:eastAsia="zh-CN"/>
        </w:rPr>
        <w:t>6章</w:t>
      </w:r>
      <w:r>
        <w:rPr>
          <w:rFonts w:hint="eastAsia" w:ascii="楷体" w:hAnsi="楷体" w:eastAsia="楷体" w:cs="楷体"/>
        </w:rPr>
        <w:t xml:space="preserve">  </w:t>
      </w:r>
      <w:bookmarkStart w:id="507" w:name="_Toc10220"/>
      <w:bookmarkStart w:id="508" w:name="_Toc507399907"/>
      <w:bookmarkStart w:id="509" w:name="_Toc518923127"/>
      <w:r>
        <w:rPr>
          <w:rFonts w:hint="eastAsia" w:ascii="楷体" w:hAnsi="楷体" w:eastAsia="楷体" w:cs="楷体"/>
        </w:rPr>
        <w:t>评标方法和标准</w:t>
      </w:r>
      <w:bookmarkEnd w:id="504"/>
      <w:bookmarkEnd w:id="505"/>
      <w:bookmarkEnd w:id="506"/>
      <w:bookmarkEnd w:id="507"/>
      <w:bookmarkEnd w:id="508"/>
      <w:bookmarkEnd w:id="509"/>
    </w:p>
    <w:p>
      <w:pPr>
        <w:pStyle w:val="7"/>
        <w:tabs>
          <w:tab w:val="clear" w:pos="567"/>
        </w:tabs>
        <w:spacing w:before="0" w:line="240" w:lineRule="atLeast"/>
        <w:ind w:firstLine="540" w:firstLineChars="225"/>
        <w:rPr>
          <w:rFonts w:hint="eastAsia" w:ascii="楷体" w:hAnsi="楷体" w:eastAsia="楷体" w:cs="楷体"/>
        </w:rPr>
      </w:pPr>
    </w:p>
    <w:p>
      <w:pPr>
        <w:pStyle w:val="7"/>
        <w:spacing w:before="0"/>
        <w:ind w:firstLine="540" w:firstLineChars="225"/>
        <w:rPr>
          <w:rFonts w:hint="eastAsia" w:ascii="楷体" w:hAnsi="楷体" w:eastAsia="楷体" w:cs="楷体"/>
          <w:highlight w:val="none"/>
        </w:rPr>
      </w:pPr>
      <w:r>
        <w:rPr>
          <w:rFonts w:hint="eastAsia" w:ascii="楷体" w:hAnsi="楷体" w:eastAsia="楷体" w:cs="楷体"/>
          <w:highlight w:val="none"/>
        </w:rPr>
        <w:t>本项目将按照</w:t>
      </w:r>
      <w:r>
        <w:rPr>
          <w:rFonts w:hint="eastAsia" w:ascii="楷体" w:hAnsi="楷体" w:eastAsia="楷体" w:cs="楷体"/>
          <w:highlight w:val="none"/>
          <w:lang w:eastAsia="zh-CN"/>
        </w:rPr>
        <w:t>磋商文件</w:t>
      </w:r>
      <w:r>
        <w:rPr>
          <w:rFonts w:hint="eastAsia" w:ascii="楷体" w:hAnsi="楷体" w:eastAsia="楷体" w:cs="楷体"/>
          <w:highlight w:val="none"/>
        </w:rPr>
        <w:t>第一章投标人须知中“五 开标及评标”、“六 确定中标”及本章的规定评标。</w:t>
      </w:r>
    </w:p>
    <w:p>
      <w:pPr>
        <w:ind w:firstLine="460" w:firstLineChars="192"/>
        <w:outlineLvl w:val="0"/>
        <w:rPr>
          <w:rFonts w:hint="eastAsia" w:ascii="楷体" w:hAnsi="楷体" w:eastAsia="楷体" w:cs="楷体"/>
          <w:sz w:val="24"/>
          <w:highlight w:val="none"/>
        </w:rPr>
      </w:pPr>
      <w:bookmarkStart w:id="510" w:name="_Toc14010"/>
      <w:r>
        <w:rPr>
          <w:rFonts w:hint="eastAsia" w:ascii="楷体" w:hAnsi="楷体" w:eastAsia="楷体" w:cs="楷体"/>
          <w:sz w:val="24"/>
          <w:highlight w:val="none"/>
        </w:rPr>
        <w:t>一、评标依据</w:t>
      </w:r>
      <w:bookmarkEnd w:id="510"/>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1、评标工作严格执行</w:t>
      </w:r>
      <w:r>
        <w:rPr>
          <w:rFonts w:hint="eastAsia" w:ascii="楷体" w:hAnsi="楷体" w:eastAsia="楷体" w:cs="楷体"/>
          <w:sz w:val="24"/>
          <w:highlight w:val="none"/>
          <w:lang w:val="en-US" w:eastAsia="zh-CN"/>
        </w:rPr>
        <w:t>《中华人民共和国政府采购法》、《中华人民共和国政府采购法实施条例》、《政府采购竞争性磋商采购方式管理暂行办法》财库〔2014〕214号</w:t>
      </w:r>
      <w:r>
        <w:rPr>
          <w:rFonts w:hint="eastAsia" w:ascii="楷体" w:hAnsi="楷体" w:eastAsia="楷体" w:cs="楷体"/>
          <w:sz w:val="24"/>
          <w:highlight w:val="none"/>
        </w:rPr>
        <w:t>以及国家和地方颁布的有关法令、法规。</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2、评标的依据是</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及其补充通知、投标人的</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及其澄清文件以及本评标办法。</w:t>
      </w:r>
    </w:p>
    <w:p>
      <w:pPr>
        <w:ind w:firstLine="460" w:firstLineChars="192"/>
        <w:rPr>
          <w:rFonts w:hint="eastAsia" w:ascii="楷体" w:hAnsi="楷体" w:eastAsia="楷体" w:cs="楷体"/>
          <w:sz w:val="24"/>
          <w:highlight w:val="none"/>
          <w:lang w:val="en-US" w:eastAsia="zh-CN"/>
        </w:rPr>
      </w:pPr>
      <w:r>
        <w:rPr>
          <w:rFonts w:hint="eastAsia" w:ascii="楷体" w:hAnsi="楷体" w:eastAsia="楷体" w:cs="楷体"/>
          <w:sz w:val="24"/>
          <w:highlight w:val="none"/>
        </w:rPr>
        <w:t>3、本次</w:t>
      </w:r>
      <w:r>
        <w:rPr>
          <w:rFonts w:hint="eastAsia" w:ascii="楷体" w:hAnsi="楷体" w:eastAsia="楷体" w:cs="楷体"/>
          <w:sz w:val="24"/>
          <w:highlight w:val="none"/>
          <w:lang w:val="en-US" w:eastAsia="zh-CN"/>
        </w:rPr>
        <w:t>评标采用综合评分法。评分标准详见附表三综合评分法评分标准，</w:t>
      </w:r>
      <w:r>
        <w:rPr>
          <w:rFonts w:hint="eastAsia" w:ascii="楷体" w:hAnsi="楷体" w:eastAsia="楷体" w:cs="楷体"/>
          <w:b/>
          <w:bCs/>
          <w:i/>
          <w:iCs/>
          <w:sz w:val="24"/>
          <w:highlight w:val="none"/>
          <w:u w:val="single"/>
          <w:lang w:val="en-US" w:eastAsia="zh-CN"/>
        </w:rPr>
        <w:t>其中、技术 57 分、商务部分13 分、报价部分 30 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二、评标委员会</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招标机构将按照《中华人民共和国政府采购法》及有关规定并在招标领导小组的领导下组建评标委员会，其成员由技术、经济等方面的专家、招标人代表组成。评标委员会依法根据</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的规定对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进行评审、质疑、评价和比较，向招标人推荐中标候选人。</w:t>
      </w:r>
    </w:p>
    <w:p>
      <w:pPr>
        <w:ind w:firstLine="463" w:firstLineChars="192"/>
        <w:rPr>
          <w:rFonts w:hint="eastAsia" w:ascii="楷体" w:hAnsi="楷体" w:eastAsia="楷体" w:cs="楷体"/>
          <w:sz w:val="24"/>
          <w:highlight w:val="none"/>
        </w:rPr>
      </w:pPr>
      <w:r>
        <w:rPr>
          <w:rFonts w:hint="eastAsia" w:ascii="楷体" w:hAnsi="楷体" w:eastAsia="楷体" w:cs="楷体"/>
          <w:b/>
          <w:bCs/>
          <w:sz w:val="24"/>
          <w:highlight w:val="none"/>
        </w:rPr>
        <w:t>特别说明：为保证本项目</w:t>
      </w:r>
      <w:r>
        <w:rPr>
          <w:rFonts w:hint="eastAsia" w:ascii="楷体" w:hAnsi="楷体" w:eastAsia="楷体" w:cs="楷体"/>
          <w:b/>
          <w:bCs/>
          <w:sz w:val="24"/>
          <w:highlight w:val="none"/>
          <w:lang w:eastAsia="zh-CN"/>
        </w:rPr>
        <w:t>货品质量和</w:t>
      </w:r>
      <w:r>
        <w:rPr>
          <w:rFonts w:hint="eastAsia" w:ascii="楷体" w:hAnsi="楷体" w:eastAsia="楷体" w:cs="楷体"/>
          <w:b/>
          <w:bCs/>
          <w:sz w:val="24"/>
          <w:highlight w:val="none"/>
        </w:rPr>
        <w:t>服务质量，良好的售后服务；最低报价不作为中标的唯一依据。</w:t>
      </w:r>
    </w:p>
    <w:p>
      <w:pPr>
        <w:ind w:firstLine="460" w:firstLineChars="192"/>
        <w:rPr>
          <w:rFonts w:hint="default" w:ascii="楷体" w:hAnsi="楷体" w:eastAsia="楷体" w:cs="楷体"/>
          <w:sz w:val="24"/>
          <w:highlight w:val="none"/>
          <w:lang w:val="en-US" w:eastAsia="zh-CN"/>
        </w:rPr>
      </w:pPr>
      <w:r>
        <w:rPr>
          <w:rFonts w:hint="eastAsia" w:ascii="楷体" w:hAnsi="楷体" w:eastAsia="楷体" w:cs="楷体"/>
          <w:sz w:val="24"/>
          <w:highlight w:val="none"/>
        </w:rPr>
        <w:t>三、</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的澄清</w:t>
      </w:r>
      <w:r>
        <w:rPr>
          <w:rFonts w:hint="eastAsia" w:ascii="楷体" w:hAnsi="楷体" w:eastAsia="楷体" w:cs="楷体"/>
          <w:sz w:val="24"/>
          <w:highlight w:val="none"/>
          <w:lang w:val="en-US" w:eastAsia="zh-CN"/>
        </w:rPr>
        <w:t xml:space="preserve">  </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1、为有助于对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2、重要澄清的答复应是书面的，澄清答复不得对投标的价格、技术指标和参数等内容进行实质性修改。澄清文件须由投标人法定代表人或法人授权代表签字或加盖投标人公章并作为</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的组成部分。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四、对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的评估和比较</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1、对实质性响应的</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进行评估和比较。</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2、除考虑投标价格外，还应考虑以下因素：</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1.供货、安装服务期及付款方式；</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2.供货、安装服务能力；</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3.产品的质量和适用性；</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4.配套供货、安装服务设备的安全性；</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5.提供供货、安装服务的能力；</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6.零备件、专用工具及相关服务的费用；</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7.</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中所要求的有关服务的费用；</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8.发货到最终目的地的内陆运输、保险及其他费用。</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9.其他特殊因素（如节能、安全和环保等）。</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五、评标过程的保密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1、开标后，凡是属于审查、澄清、评价和比较的有关资料以及中标建议等评标委员会成员或参与评标的有关工作人员均不得向投标人或其他无关的人员透露。</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2、投标人在评标过程中，发现其进行</w:t>
      </w:r>
      <w:r>
        <w:rPr>
          <w:rFonts w:hint="eastAsia" w:ascii="楷体" w:hAnsi="楷体" w:eastAsia="楷体" w:cs="楷体"/>
          <w:sz w:val="24"/>
          <w:highlight w:val="none"/>
          <w:lang w:val="en-US" w:eastAsia="zh-CN"/>
        </w:rPr>
        <w:t>意</w:t>
      </w:r>
      <w:r>
        <w:rPr>
          <w:rFonts w:hint="eastAsia" w:ascii="楷体" w:hAnsi="楷体" w:eastAsia="楷体" w:cs="楷体"/>
          <w:sz w:val="24"/>
          <w:highlight w:val="none"/>
        </w:rPr>
        <w:t>图影响评标结果的不符合《政府采购法》 及本项目招标有关规定的活动时，将被取消中标资格。</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六、初步评审</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1、评标委员会可以要求投标人对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中含义不明确、对同类问题表述不一致或者有明显文字和计算错误的内容作必要的澄清、说明或补正。澄清、说明或补正应以书面方式进行,并不得超出</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的范围或者改变</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的实质性内容。</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中的大写金额和小写金额不一致的以大写金额为准；总价金额与单价金额不一致的，以单价计算出的总价金额为准。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w:t>
      </w:r>
      <w:r>
        <w:rPr>
          <w:rFonts w:hint="eastAsia" w:ascii="楷体" w:hAnsi="楷体" w:eastAsia="楷体" w:cs="楷体"/>
          <w:sz w:val="24"/>
          <w:highlight w:val="none"/>
          <w:lang w:val="en-US" w:eastAsia="zh-CN"/>
        </w:rPr>
        <w:t>投标人在投标报价中应该对其报价进行全面分析。</w:t>
      </w:r>
      <w:r>
        <w:rPr>
          <w:rFonts w:hint="eastAsia" w:ascii="楷体" w:hAnsi="楷体" w:eastAsia="楷体" w:cs="楷体"/>
          <w:sz w:val="24"/>
          <w:highlight w:val="none"/>
        </w:rPr>
        <w:t>在评标过程中，评标委员会发现投标人的报价明显低于其他投标报价</w:t>
      </w:r>
      <w:r>
        <w:rPr>
          <w:rFonts w:hint="eastAsia" w:ascii="楷体" w:hAnsi="楷体" w:eastAsia="楷体" w:cs="楷体"/>
          <w:sz w:val="24"/>
          <w:highlight w:val="none"/>
          <w:lang w:eastAsia="zh-CN"/>
        </w:rPr>
        <w:t>，</w:t>
      </w:r>
      <w:r>
        <w:rPr>
          <w:rFonts w:hint="eastAsia" w:ascii="楷体" w:hAnsi="楷体" w:eastAsia="楷体" w:cs="楷体"/>
          <w:sz w:val="24"/>
          <w:highlight w:val="none"/>
        </w:rPr>
        <w:t>评标委员会认定该投标人以低于成本报价竞标，其投标应作无效投标处理。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3、投标最低报价，不作为是否中标的依据。</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4、招标方不接受不符合国家相关规定的投标报价或优惠方案。</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5、在评标过程中，评标委员会发现投标人以他人名义投标、串标、以行贿手段谋取中标或者以其他弄虚作假方式投标的，该投标人的投标将作无效投标处理。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6、投标人的资格条件不符合国家有关规定和</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要求的，或者拒不按照要求对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进行澄清、说明或补正的，评标委员会应将其投标作无效投标处理。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7、评标委员会应当审查所有有效</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是否对</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提出的所有实质性要求和条件做出响应。未能在实质上响应的投标，应作无效投标处理。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8、投标人不得误导、干扰评标委员会的评标活动，否则其投标将作无效投标处理。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9、评标委员会应当根据</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，审查并逐项列出</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的全部投标偏差。投标偏差分为重大偏差和细微偏差。</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10、评标委员会将确定每一投标人是否对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的要求做出了实质性响应，而没有重大偏离。实质性响应的投标是指符合</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的所有条款、条件和规定且没有重 大偏离和保留的投标。重大偏离或保留系指影响到</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规定的服务范围和质量，或限制了采购人的权利和投标人的义务，而纠正这些偏离将影响到其他提交实质性响应的 投标人的公平竞争地位。</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11、下列情况属于重大偏差：</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没有投标人授权代表签字和加盖公章的；</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中附有招标人不能接受的条件的；</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3.不符合</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中规定的其他实质性要求的。</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有上述情形之一的，为未能对</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做出实质性响应的投标，将作无效投标处理。</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12、细微偏差是指投标实质上响应了</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要求，但在个别地方提供了不完整 的技术信息和数据等情况，并且补正这些遗漏或不完整不会对其他投标人造成不公平的 结果。细微偏差不影响</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的有效性。</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评标委员会应当要求存在细小偏差的投标人在评标结束前以书面形式予以补正。拒 绝补正的，在详细评审时可以对细微偏差作不利于该投标人的量化。</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响应性的审查</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1.开标后，评标委员会将对</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进行审查，检查</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是否完整，是否出现计算性错误，</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正本是否由投标代表按规定签名，是否满足</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的格式要求，是否提供投标保证金。</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lang w:val="en-US" w:eastAsia="zh-CN"/>
        </w:rPr>
        <w:t>2</w:t>
      </w:r>
      <w:r>
        <w:rPr>
          <w:rFonts w:hint="eastAsia" w:ascii="楷体" w:hAnsi="楷体" w:eastAsia="楷体" w:cs="楷体"/>
          <w:sz w:val="24"/>
          <w:highlight w:val="none"/>
        </w:rPr>
        <w:t>.评标委员会判断</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的实质性响应仅基于</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本身而不靠外部证据。</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lang w:val="en-US" w:eastAsia="zh-CN"/>
        </w:rPr>
        <w:t>3</w:t>
      </w:r>
      <w:r>
        <w:rPr>
          <w:rFonts w:hint="eastAsia" w:ascii="楷体" w:hAnsi="楷体" w:eastAsia="楷体" w:cs="楷体"/>
          <w:sz w:val="24"/>
          <w:highlight w:val="none"/>
        </w:rPr>
        <w:t>.评标委员会将拒绝被确定为非实质性响应的投标。投标人不能通过修正或撤消不符合之处而使其投标成为实质性响应的投标。</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七、详细评审</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1、经初步评审合格的</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，评标委员会应当根据</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确定的评标标准和方法，对其技术和商务部分作进一步的评审和比较。</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2、根据国务院《政府采购法实施条例》的规定，本项目可使用的评标方法为：</w:t>
      </w:r>
    </w:p>
    <w:p>
      <w:pPr>
        <w:ind w:firstLine="460" w:firstLineChars="192"/>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eastAsia="zh-CN"/>
        </w:rPr>
        <w:t>）</w:t>
      </w:r>
      <w:r>
        <w:rPr>
          <w:rFonts w:hint="eastAsia" w:ascii="楷体" w:hAnsi="楷体" w:eastAsia="楷体" w:cs="楷体"/>
          <w:sz w:val="24"/>
          <w:highlight w:val="none"/>
        </w:rPr>
        <w:t>.综合评分法，是指</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满足</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全部实质性要求且按照评审因素的量化指标评审得分最高的供应商为中标候选人的评标方法。</w:t>
      </w:r>
    </w:p>
    <w:p>
      <w:pPr>
        <w:ind w:firstLine="463" w:firstLineChars="192"/>
        <w:rPr>
          <w:rFonts w:hint="eastAsia" w:ascii="楷体" w:hAnsi="楷体" w:eastAsia="楷体" w:cs="楷体"/>
          <w:b/>
          <w:bCs/>
          <w:sz w:val="24"/>
          <w:highlight w:val="none"/>
        </w:rPr>
      </w:pPr>
      <w:r>
        <w:rPr>
          <w:rFonts w:hint="eastAsia" w:ascii="楷体" w:hAnsi="楷体" w:eastAsia="楷体" w:cs="楷体"/>
          <w:b/>
          <w:bCs/>
          <w:sz w:val="24"/>
          <w:highlight w:val="none"/>
        </w:rPr>
        <w:t>3.本项目依据投标须知中规定的评标办法进行评标，即综合评分法。</w:t>
      </w:r>
    </w:p>
    <w:p>
      <w:pPr>
        <w:ind w:firstLine="460" w:firstLineChars="192"/>
        <w:rPr>
          <w:rFonts w:hint="eastAsia" w:ascii="楷体" w:hAnsi="楷体" w:eastAsia="楷体" w:cs="楷体"/>
          <w:b w:val="0"/>
          <w:bCs w:val="0"/>
          <w:lang w:val="en-US" w:eastAsia="zh-CN"/>
        </w:rPr>
      </w:pPr>
      <w:r>
        <w:rPr>
          <w:rFonts w:hint="eastAsia" w:ascii="楷体" w:hAnsi="楷体" w:eastAsia="楷体" w:cs="楷体"/>
          <w:b w:val="0"/>
          <w:bCs w:val="0"/>
          <w:sz w:val="24"/>
          <w:highlight w:val="none"/>
        </w:rPr>
        <w:t>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评审得分相同且投标报价相同的，</w:t>
      </w:r>
      <w:r>
        <w:rPr>
          <w:rFonts w:hint="eastAsia" w:ascii="楷体" w:hAnsi="楷体" w:eastAsia="楷体" w:cs="楷体"/>
          <w:b w:val="0"/>
          <w:bCs w:val="0"/>
          <w:sz w:val="24"/>
          <w:highlight w:val="none"/>
          <w:lang w:val="en-US" w:eastAsia="zh-CN"/>
        </w:rPr>
        <w:t>质量技术高的排在前，评审得分相同且投标报价相同的，质量技术分相同的，售后服务分高的排在前。</w:t>
      </w:r>
    </w:p>
    <w:p>
      <w:pPr>
        <w:ind w:firstLine="460" w:firstLineChars="192"/>
        <w:rPr>
          <w:rFonts w:hint="eastAsia" w:ascii="楷体" w:hAnsi="楷体" w:eastAsia="楷体" w:cs="楷体"/>
          <w:b/>
          <w:bCs/>
          <w:sz w:val="24"/>
          <w:highlight w:val="none"/>
          <w:lang w:eastAsia="zh-CN"/>
        </w:rPr>
      </w:pPr>
      <w:r>
        <w:rPr>
          <w:rFonts w:hint="eastAsia" w:ascii="楷体" w:hAnsi="楷体" w:eastAsia="楷体" w:cs="楷体"/>
          <w:sz w:val="24"/>
          <w:highlight w:val="none"/>
        </w:rPr>
        <w:t>4、评标完成后，评标委员会将拟定书面评标报告提交给招标方。评标报告应当载明投标人的投标项目、所作的任何修正、对商业偏差的调整、对技术偏差的调整、对各评审因素的评估以及对每一投标的最终评审结果。</w:t>
      </w:r>
      <w:r>
        <w:rPr>
          <w:rFonts w:hint="eastAsia" w:ascii="楷体" w:hAnsi="楷体" w:eastAsia="楷体" w:cs="楷体"/>
          <w:b/>
          <w:bCs/>
          <w:sz w:val="24"/>
          <w:highlight w:val="none"/>
          <w:lang w:eastAsia="zh-CN"/>
        </w:rPr>
        <w:t>评标委员会推荐前三名候选供应商，采购人根据推荐名单确定中标人。</w:t>
      </w:r>
    </w:p>
    <w:p>
      <w:pPr>
        <w:pStyle w:val="7"/>
        <w:spacing w:before="0"/>
        <w:ind w:left="-181" w:leftChars="-86" w:firstLine="663" w:firstLineChars="275"/>
        <w:rPr>
          <w:rFonts w:hint="eastAsia" w:ascii="楷体" w:hAnsi="楷体" w:eastAsia="楷体" w:cs="楷体"/>
          <w:b/>
          <w:bCs/>
          <w:highlight w:val="none"/>
        </w:rPr>
      </w:pPr>
      <w:r>
        <w:rPr>
          <w:rFonts w:hint="eastAsia" w:ascii="楷体" w:hAnsi="楷体" w:eastAsia="楷体" w:cs="楷体"/>
          <w:b/>
          <w:bCs/>
          <w:highlight w:val="none"/>
          <w:lang w:val="en-US" w:eastAsia="zh-CN"/>
        </w:rPr>
        <w:t>5</w:t>
      </w:r>
      <w:r>
        <w:rPr>
          <w:rFonts w:hint="eastAsia" w:ascii="楷体" w:hAnsi="楷体" w:eastAsia="楷体" w:cs="楷体"/>
          <w:b/>
          <w:bCs/>
          <w:highlight w:val="none"/>
        </w:rPr>
        <w:t>、评审标准</w:t>
      </w:r>
    </w:p>
    <w:p>
      <w:pPr>
        <w:pStyle w:val="7"/>
        <w:spacing w:before="0"/>
        <w:ind w:left="-181" w:leftChars="-86" w:firstLine="663" w:firstLineChars="275"/>
        <w:rPr>
          <w:rFonts w:hint="eastAsia" w:ascii="楷体" w:hAnsi="楷体" w:eastAsia="楷体" w:cs="楷体"/>
          <w:b/>
          <w:bCs/>
          <w:highlight w:val="none"/>
        </w:rPr>
      </w:pPr>
    </w:p>
    <w:p>
      <w:pPr>
        <w:spacing w:line="360" w:lineRule="auto"/>
        <w:ind w:firstLine="474" w:firstLineChars="200"/>
        <w:jc w:val="center"/>
        <w:rPr>
          <w:rFonts w:hint="eastAsia" w:ascii="楷体" w:hAnsi="楷体" w:eastAsia="楷体" w:cs="楷体"/>
          <w:b/>
          <w:spacing w:val="-2"/>
          <w:sz w:val="24"/>
        </w:rPr>
      </w:pPr>
      <w:r>
        <w:rPr>
          <w:rFonts w:hint="eastAsia" w:ascii="楷体" w:hAnsi="楷体" w:eastAsia="楷体" w:cs="楷体"/>
          <w:b/>
          <w:spacing w:val="-2"/>
          <w:sz w:val="24"/>
        </w:rPr>
        <w:t>附表一 响应文件响应程度初步审查表</w:t>
      </w:r>
    </w:p>
    <w:p>
      <w:pPr>
        <w:pStyle w:val="7"/>
        <w:tabs>
          <w:tab w:val="clear" w:pos="567"/>
        </w:tabs>
        <w:spacing w:before="0" w:line="240" w:lineRule="atLeast"/>
        <w:ind w:firstLine="540" w:firstLineChars="225"/>
        <w:rPr>
          <w:rFonts w:hint="eastAsia" w:ascii="楷体" w:hAnsi="楷体" w:eastAsia="楷体" w:cs="楷体"/>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4"/>
        <w:gridCol w:w="5848"/>
        <w:gridCol w:w="554"/>
        <w:gridCol w:w="569"/>
        <w:gridCol w:w="472"/>
        <w:gridCol w:w="5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302"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360" w:lineRule="auto"/>
              <w:jc w:val="center"/>
              <w:rPr>
                <w:rFonts w:hint="eastAsia" w:ascii="楷体" w:hAnsi="楷体" w:eastAsia="楷体" w:cs="楷体"/>
                <w:b/>
                <w:szCs w:val="21"/>
              </w:rPr>
            </w:pPr>
            <w:r>
              <w:rPr>
                <w:rFonts w:hint="eastAsia" w:ascii="楷体" w:hAnsi="楷体" w:eastAsia="楷体" w:cs="楷体"/>
                <w:b/>
                <w:szCs w:val="21"/>
              </w:rPr>
              <w:t>评审内容</w:t>
            </w:r>
          </w:p>
        </w:tc>
        <w:tc>
          <w:tcPr>
            <w:tcW w:w="2191" w:type="dxa"/>
            <w:gridSpan w:val="4"/>
            <w:tcBorders>
              <w:top w:val="single" w:color="auto" w:sz="12" w:space="0"/>
              <w:left w:val="single" w:color="auto" w:sz="4" w:space="0"/>
              <w:bottom w:val="single" w:color="auto" w:sz="4" w:space="0"/>
              <w:right w:val="single" w:color="auto" w:sz="12" w:space="0"/>
            </w:tcBorders>
            <w:noWrap w:val="0"/>
            <w:vAlign w:val="center"/>
          </w:tcPr>
          <w:p>
            <w:pPr>
              <w:spacing w:line="360" w:lineRule="auto"/>
              <w:jc w:val="center"/>
              <w:rPr>
                <w:rFonts w:hint="eastAsia" w:ascii="楷体" w:hAnsi="楷体" w:eastAsia="楷体" w:cs="楷体"/>
                <w:b/>
                <w:szCs w:val="21"/>
              </w:rPr>
            </w:pPr>
            <w:r>
              <w:rPr>
                <w:rFonts w:hint="eastAsia" w:ascii="楷体" w:hAnsi="楷体" w:eastAsia="楷体" w:cs="楷体"/>
                <w:b/>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302"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360" w:lineRule="auto"/>
              <w:jc w:val="left"/>
              <w:rPr>
                <w:rFonts w:hint="eastAsia" w:ascii="楷体" w:hAnsi="楷体" w:eastAsia="楷体" w:cs="楷体"/>
                <w:b/>
                <w:szCs w:val="21"/>
              </w:rPr>
            </w:pPr>
          </w:p>
        </w:tc>
        <w:tc>
          <w:tcPr>
            <w:tcW w:w="554" w:type="dxa"/>
            <w:tcBorders>
              <w:top w:val="single" w:color="auto" w:sz="4" w:space="0"/>
              <w:left w:val="single" w:color="auto" w:sz="4" w:space="0"/>
              <w:bottom w:val="single" w:color="auto" w:sz="6" w:space="0"/>
              <w:right w:val="single" w:color="auto" w:sz="4" w:space="0"/>
            </w:tcBorders>
            <w:noWrap w:val="0"/>
            <w:vAlign w:val="top"/>
          </w:tcPr>
          <w:p>
            <w:pPr>
              <w:spacing w:line="360" w:lineRule="auto"/>
              <w:jc w:val="center"/>
              <w:rPr>
                <w:rFonts w:hint="eastAsia" w:ascii="楷体" w:hAnsi="楷体" w:eastAsia="楷体" w:cs="楷体"/>
                <w:b/>
                <w:szCs w:val="21"/>
              </w:rPr>
            </w:pPr>
            <w:r>
              <w:rPr>
                <w:rFonts w:hint="eastAsia" w:ascii="楷体" w:hAnsi="楷体" w:eastAsia="楷体" w:cs="楷体"/>
                <w:b/>
                <w:szCs w:val="21"/>
              </w:rPr>
              <w:t>1</w:t>
            </w:r>
          </w:p>
        </w:tc>
        <w:tc>
          <w:tcPr>
            <w:tcW w:w="569" w:type="dxa"/>
            <w:tcBorders>
              <w:top w:val="single" w:color="auto" w:sz="4" w:space="0"/>
              <w:left w:val="single" w:color="auto" w:sz="4" w:space="0"/>
              <w:bottom w:val="single" w:color="auto" w:sz="6" w:space="0"/>
              <w:right w:val="single" w:color="auto" w:sz="6" w:space="0"/>
            </w:tcBorders>
            <w:noWrap w:val="0"/>
            <w:vAlign w:val="top"/>
          </w:tcPr>
          <w:p>
            <w:pPr>
              <w:spacing w:line="360" w:lineRule="auto"/>
              <w:jc w:val="center"/>
              <w:rPr>
                <w:rFonts w:hint="eastAsia" w:ascii="楷体" w:hAnsi="楷体" w:eastAsia="楷体" w:cs="楷体"/>
                <w:b/>
                <w:szCs w:val="21"/>
              </w:rPr>
            </w:pPr>
            <w:r>
              <w:rPr>
                <w:rFonts w:hint="eastAsia" w:ascii="楷体" w:hAnsi="楷体" w:eastAsia="楷体" w:cs="楷体"/>
                <w:b/>
                <w:szCs w:val="21"/>
              </w:rPr>
              <w:t>2</w:t>
            </w:r>
          </w:p>
        </w:tc>
        <w:tc>
          <w:tcPr>
            <w:tcW w:w="47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cs="楷体"/>
                <w:b/>
                <w:szCs w:val="21"/>
              </w:rPr>
            </w:pPr>
            <w:r>
              <w:rPr>
                <w:rFonts w:hint="eastAsia" w:ascii="楷体" w:hAnsi="楷体" w:eastAsia="楷体" w:cs="楷体"/>
                <w:b/>
                <w:szCs w:val="21"/>
              </w:rPr>
              <w:t>3</w:t>
            </w:r>
          </w:p>
        </w:tc>
        <w:tc>
          <w:tcPr>
            <w:tcW w:w="5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hint="eastAsia" w:ascii="楷体" w:hAnsi="楷体" w:eastAsia="楷体" w:cs="楷体"/>
                <w:b/>
                <w:szCs w:val="21"/>
              </w:rPr>
            </w:pPr>
            <w:r>
              <w:rPr>
                <w:rFonts w:hint="eastAsia" w:ascii="楷体" w:hAnsi="楷体" w:eastAsia="楷体" w:cs="楷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1</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rPr>
              <w:t>法定代表人为同一个人的两个及两个以上法人，母公司、全资子公司及其控股公司，在同一项目中同时投标；</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2</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rPr>
              <w:t>供应商名称或组织机构与购买</w:t>
            </w:r>
            <w:r>
              <w:rPr>
                <w:rFonts w:hint="eastAsia" w:ascii="楷体" w:hAnsi="楷体" w:eastAsia="楷体" w:cs="楷体"/>
                <w:kern w:val="0"/>
                <w:szCs w:val="21"/>
                <w:lang w:eastAsia="zh-CN"/>
              </w:rPr>
              <w:t>磋商文件</w:t>
            </w:r>
            <w:r>
              <w:rPr>
                <w:rFonts w:hint="eastAsia" w:ascii="楷体" w:hAnsi="楷体" w:eastAsia="楷体" w:cs="楷体"/>
                <w:kern w:val="0"/>
                <w:szCs w:val="21"/>
              </w:rPr>
              <w:t>时不一致，未提供有效证明文件；</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3</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rPr>
              <w:t>对</w:t>
            </w:r>
            <w:r>
              <w:rPr>
                <w:rFonts w:hint="eastAsia" w:ascii="楷体" w:hAnsi="楷体" w:eastAsia="楷体" w:cs="楷体"/>
                <w:kern w:val="0"/>
                <w:szCs w:val="21"/>
                <w:lang w:eastAsia="zh-CN"/>
              </w:rPr>
              <w:t>磋商文件</w:t>
            </w:r>
            <w:r>
              <w:rPr>
                <w:rFonts w:hint="eastAsia" w:ascii="楷体" w:hAnsi="楷体" w:eastAsia="楷体" w:cs="楷体"/>
                <w:kern w:val="0"/>
                <w:szCs w:val="21"/>
              </w:rPr>
              <w:t>主要条款和承诺存在重大出入或保留；</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4</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rPr>
              <w:t>供应商未按</w:t>
            </w:r>
            <w:r>
              <w:rPr>
                <w:rFonts w:hint="eastAsia" w:ascii="楷体" w:hAnsi="楷体" w:eastAsia="楷体" w:cs="楷体"/>
                <w:kern w:val="0"/>
                <w:szCs w:val="21"/>
                <w:lang w:eastAsia="zh-CN"/>
              </w:rPr>
              <w:t>磋商文件</w:t>
            </w:r>
            <w:r>
              <w:rPr>
                <w:rFonts w:hint="eastAsia" w:ascii="楷体" w:hAnsi="楷体" w:eastAsia="楷体" w:cs="楷体"/>
                <w:kern w:val="0"/>
                <w:szCs w:val="21"/>
              </w:rPr>
              <w:t>规定提交投标份数，正本1份；副本2份；开标一览表一份；电子U盘一份；</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5</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rPr>
              <w:t>供应商未按</w:t>
            </w:r>
            <w:r>
              <w:rPr>
                <w:rFonts w:hint="eastAsia" w:ascii="楷体" w:hAnsi="楷体" w:eastAsia="楷体" w:cs="楷体"/>
                <w:kern w:val="0"/>
                <w:szCs w:val="21"/>
                <w:lang w:eastAsia="zh-CN"/>
              </w:rPr>
              <w:t>磋商文件</w:t>
            </w:r>
            <w:r>
              <w:rPr>
                <w:rFonts w:hint="eastAsia" w:ascii="楷体" w:hAnsi="楷体" w:eastAsia="楷体" w:cs="楷体"/>
                <w:kern w:val="0"/>
                <w:szCs w:val="21"/>
              </w:rPr>
              <w:t>要求的格式填写，无内容不全或关键字迹模糊、无法辨认的情况；</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6</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lang w:eastAsia="zh-CN"/>
              </w:rPr>
              <w:t>响应文件</w:t>
            </w:r>
            <w:r>
              <w:rPr>
                <w:rFonts w:hint="eastAsia" w:ascii="楷体" w:hAnsi="楷体" w:eastAsia="楷体" w:cs="楷体"/>
                <w:kern w:val="0"/>
                <w:szCs w:val="21"/>
              </w:rPr>
              <w:t>未按照</w:t>
            </w:r>
            <w:r>
              <w:rPr>
                <w:rFonts w:hint="eastAsia" w:ascii="楷体" w:hAnsi="楷体" w:eastAsia="楷体" w:cs="楷体"/>
                <w:kern w:val="0"/>
                <w:szCs w:val="21"/>
                <w:lang w:eastAsia="zh-CN"/>
              </w:rPr>
              <w:t>磋商文件</w:t>
            </w:r>
            <w:r>
              <w:rPr>
                <w:rFonts w:hint="eastAsia" w:ascii="楷体" w:hAnsi="楷体" w:eastAsia="楷体" w:cs="楷体"/>
                <w:kern w:val="0"/>
                <w:szCs w:val="21"/>
              </w:rPr>
              <w:t>要求编写、装订、印鉴及签字；</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rPr>
            </w:pPr>
            <w:r>
              <w:rPr>
                <w:rFonts w:hint="eastAsia" w:ascii="楷体" w:hAnsi="楷体" w:eastAsia="楷体" w:cs="楷体"/>
                <w:kern w:val="0"/>
                <w:szCs w:val="21"/>
              </w:rPr>
              <w:t>7</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lang w:eastAsia="zh-CN"/>
              </w:rPr>
              <w:t>响应文件</w:t>
            </w:r>
            <w:r>
              <w:rPr>
                <w:rFonts w:hint="eastAsia" w:ascii="楷体" w:hAnsi="楷体" w:eastAsia="楷体" w:cs="楷体"/>
                <w:kern w:val="0"/>
                <w:szCs w:val="21"/>
              </w:rPr>
              <w:t>中投标有效期不满足</w:t>
            </w:r>
            <w:r>
              <w:rPr>
                <w:rFonts w:hint="eastAsia" w:ascii="楷体" w:hAnsi="楷体" w:eastAsia="楷体" w:cs="楷体"/>
                <w:kern w:val="0"/>
                <w:szCs w:val="21"/>
                <w:lang w:eastAsia="zh-CN"/>
              </w:rPr>
              <w:t>磋商文件</w:t>
            </w:r>
            <w:r>
              <w:rPr>
                <w:rFonts w:hint="eastAsia" w:ascii="楷体" w:hAnsi="楷体" w:eastAsia="楷体" w:cs="楷体"/>
                <w:kern w:val="0"/>
                <w:szCs w:val="21"/>
              </w:rPr>
              <w:t>要求的；</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napToGrid w:val="0"/>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lang w:eastAsia="zh-CN"/>
              </w:rPr>
            </w:pPr>
            <w:r>
              <w:rPr>
                <w:rFonts w:hint="eastAsia" w:ascii="楷体" w:hAnsi="楷体" w:eastAsia="楷体" w:cs="楷体"/>
                <w:kern w:val="0"/>
                <w:szCs w:val="21"/>
                <w:lang w:val="en-US" w:eastAsia="zh-CN"/>
              </w:rPr>
              <w:t>8</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kern w:val="0"/>
                <w:szCs w:val="21"/>
              </w:rPr>
              <w:t>供应商有违反招标投标纪律的情况；</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454"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cs="楷体"/>
                <w:kern w:val="0"/>
                <w:szCs w:val="21"/>
                <w:lang w:eastAsia="zh-CN"/>
              </w:rPr>
            </w:pPr>
            <w:r>
              <w:rPr>
                <w:rFonts w:hint="eastAsia" w:ascii="楷体" w:hAnsi="楷体" w:eastAsia="楷体" w:cs="楷体"/>
                <w:kern w:val="0"/>
                <w:szCs w:val="21"/>
                <w:lang w:val="en-US" w:eastAsia="zh-CN"/>
              </w:rPr>
              <w:t>9</w:t>
            </w:r>
          </w:p>
        </w:tc>
        <w:tc>
          <w:tcPr>
            <w:tcW w:w="5848"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楷体" w:hAnsi="楷体" w:eastAsia="楷体" w:cs="楷体"/>
                <w:kern w:val="0"/>
                <w:szCs w:val="21"/>
              </w:rPr>
            </w:pPr>
            <w:r>
              <w:rPr>
                <w:rFonts w:hint="eastAsia" w:ascii="楷体" w:hAnsi="楷体" w:eastAsia="楷体" w:cs="楷体"/>
                <w:bCs/>
                <w:szCs w:val="21"/>
              </w:rPr>
              <w:t>未提供</w:t>
            </w:r>
            <w:r>
              <w:rPr>
                <w:rFonts w:hint="eastAsia" w:ascii="楷体" w:hAnsi="楷体" w:eastAsia="楷体" w:cs="楷体"/>
                <w:bCs/>
                <w:szCs w:val="21"/>
                <w:lang w:eastAsia="zh-CN"/>
              </w:rPr>
              <w:t>磋商文件</w:t>
            </w:r>
            <w:r>
              <w:rPr>
                <w:rFonts w:hint="eastAsia" w:ascii="楷体" w:hAnsi="楷体" w:eastAsia="楷体" w:cs="楷体"/>
                <w:bCs/>
                <w:kern w:val="0"/>
                <w:szCs w:val="21"/>
              </w:rPr>
              <w:t>中规定的其他实质性要求；</w:t>
            </w:r>
          </w:p>
        </w:tc>
        <w:tc>
          <w:tcPr>
            <w:tcW w:w="554" w:type="dxa"/>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楷体" w:hAnsi="楷体" w:eastAsia="楷体" w:cs="楷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6302" w:type="dxa"/>
            <w:gridSpan w:val="2"/>
            <w:tcBorders>
              <w:top w:val="single" w:color="auto" w:sz="6" w:space="0"/>
              <w:left w:val="single" w:color="auto" w:sz="12" w:space="0"/>
              <w:bottom w:val="single" w:color="auto" w:sz="12" w:space="0"/>
              <w:right w:val="single" w:color="auto" w:sz="4" w:space="0"/>
            </w:tcBorders>
            <w:noWrap w:val="0"/>
            <w:vAlign w:val="top"/>
          </w:tcPr>
          <w:p>
            <w:pPr>
              <w:widowControl/>
              <w:spacing w:line="360" w:lineRule="auto"/>
              <w:rPr>
                <w:rFonts w:hint="eastAsia" w:ascii="楷体" w:hAnsi="楷体" w:eastAsia="楷体" w:cs="楷体"/>
                <w:sz w:val="24"/>
              </w:rPr>
            </w:pPr>
            <w:r>
              <w:rPr>
                <w:rFonts w:hint="eastAsia" w:ascii="楷体" w:hAnsi="楷体" w:eastAsia="楷体" w:cs="楷体"/>
                <w:sz w:val="24"/>
              </w:rPr>
              <w:t>结论：是否通过评审</w:t>
            </w:r>
          </w:p>
          <w:p>
            <w:pPr>
              <w:widowControl/>
              <w:spacing w:line="360" w:lineRule="auto"/>
              <w:rPr>
                <w:rFonts w:hint="eastAsia" w:ascii="楷体" w:hAnsi="楷体" w:eastAsia="楷体" w:cs="楷体"/>
                <w:kern w:val="0"/>
                <w:szCs w:val="21"/>
              </w:rPr>
            </w:pPr>
            <w:r>
              <w:rPr>
                <w:rFonts w:hint="eastAsia" w:ascii="楷体" w:hAnsi="楷体" w:eastAsia="楷体" w:cs="楷体"/>
                <w:sz w:val="24"/>
              </w:rPr>
              <w:t>未通过初步评审的，为无效投标。</w:t>
            </w:r>
          </w:p>
        </w:tc>
        <w:tc>
          <w:tcPr>
            <w:tcW w:w="554" w:type="dxa"/>
            <w:tcBorders>
              <w:top w:val="single" w:color="auto" w:sz="6" w:space="0"/>
              <w:left w:val="single" w:color="auto" w:sz="4" w:space="0"/>
              <w:bottom w:val="single" w:color="auto" w:sz="12" w:space="0"/>
              <w:right w:val="single" w:color="auto" w:sz="4" w:space="0"/>
            </w:tcBorders>
            <w:noWrap w:val="0"/>
            <w:vAlign w:val="top"/>
          </w:tcPr>
          <w:p>
            <w:pPr>
              <w:spacing w:line="360" w:lineRule="auto"/>
              <w:rPr>
                <w:rFonts w:hint="eastAsia" w:ascii="楷体" w:hAnsi="楷体" w:eastAsia="楷体" w:cs="楷体"/>
                <w:kern w:val="0"/>
                <w:szCs w:val="21"/>
              </w:rPr>
            </w:pPr>
          </w:p>
        </w:tc>
        <w:tc>
          <w:tcPr>
            <w:tcW w:w="569" w:type="dxa"/>
            <w:tcBorders>
              <w:top w:val="single" w:color="auto" w:sz="6" w:space="0"/>
              <w:left w:val="single" w:color="auto" w:sz="4" w:space="0"/>
              <w:bottom w:val="single" w:color="auto" w:sz="12" w:space="0"/>
              <w:right w:val="single" w:color="auto" w:sz="6" w:space="0"/>
            </w:tcBorders>
            <w:noWrap w:val="0"/>
            <w:vAlign w:val="top"/>
          </w:tcPr>
          <w:p>
            <w:pPr>
              <w:spacing w:line="360" w:lineRule="auto"/>
              <w:rPr>
                <w:rFonts w:hint="eastAsia" w:ascii="楷体" w:hAnsi="楷体" w:eastAsia="楷体" w:cs="楷体"/>
                <w:kern w:val="0"/>
                <w:szCs w:val="21"/>
              </w:rPr>
            </w:pPr>
          </w:p>
        </w:tc>
        <w:tc>
          <w:tcPr>
            <w:tcW w:w="472"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hint="eastAsia" w:ascii="楷体" w:hAnsi="楷体" w:eastAsia="楷体" w:cs="楷体"/>
                <w:kern w:val="0"/>
                <w:szCs w:val="21"/>
              </w:rPr>
            </w:pPr>
          </w:p>
        </w:tc>
        <w:tc>
          <w:tcPr>
            <w:tcW w:w="596" w:type="dxa"/>
            <w:tcBorders>
              <w:top w:val="single" w:color="auto" w:sz="6" w:space="0"/>
              <w:left w:val="single" w:color="auto" w:sz="6" w:space="0"/>
              <w:bottom w:val="single" w:color="auto" w:sz="12" w:space="0"/>
              <w:right w:val="single" w:color="auto" w:sz="12" w:space="0"/>
            </w:tcBorders>
            <w:noWrap w:val="0"/>
            <w:vAlign w:val="top"/>
          </w:tcPr>
          <w:p>
            <w:pPr>
              <w:spacing w:line="360" w:lineRule="auto"/>
              <w:rPr>
                <w:rFonts w:hint="eastAsia" w:ascii="楷体" w:hAnsi="楷体" w:eastAsia="楷体" w:cs="楷体"/>
                <w:kern w:val="0"/>
                <w:szCs w:val="21"/>
              </w:rPr>
            </w:pPr>
          </w:p>
        </w:tc>
      </w:tr>
    </w:tbl>
    <w:p>
      <w:pPr>
        <w:pStyle w:val="7"/>
        <w:tabs>
          <w:tab w:val="clear" w:pos="567"/>
        </w:tabs>
        <w:spacing w:before="0" w:line="240" w:lineRule="atLeast"/>
        <w:ind w:firstLine="540" w:firstLineChars="225"/>
        <w:rPr>
          <w:rFonts w:hint="eastAsia" w:ascii="楷体" w:hAnsi="楷体" w:eastAsia="楷体" w:cs="楷体"/>
        </w:rPr>
      </w:pPr>
    </w:p>
    <w:p>
      <w:pPr>
        <w:spacing w:line="360" w:lineRule="auto"/>
        <w:ind w:firstLine="472" w:firstLineChars="200"/>
        <w:rPr>
          <w:rFonts w:hint="eastAsia" w:ascii="楷体" w:hAnsi="楷体" w:eastAsia="楷体" w:cs="楷体"/>
          <w:spacing w:val="-2"/>
          <w:sz w:val="24"/>
        </w:rPr>
      </w:pPr>
      <w:r>
        <w:rPr>
          <w:rFonts w:hint="eastAsia" w:ascii="楷体" w:hAnsi="楷体" w:eastAsia="楷体" w:cs="楷体"/>
          <w:spacing w:val="-2"/>
          <w:sz w:val="24"/>
        </w:rPr>
        <w:t>如果响应性文件中有一项未通过上述审查标准，评审委员会将认定整个响应性文件不响应磋商文件而予以废标，并且不允许投标人通过修改或撤销其不符合要求的差异或保留，使之成为具有投标的磋商。</w:t>
      </w:r>
    </w:p>
    <w:p>
      <w:pPr>
        <w:pStyle w:val="7"/>
        <w:rPr>
          <w:rFonts w:hint="eastAsia" w:ascii="楷体" w:hAnsi="楷体" w:eastAsia="楷体" w:cs="楷体"/>
          <w:spacing w:val="-2"/>
        </w:rPr>
      </w:pPr>
    </w:p>
    <w:tbl>
      <w:tblPr>
        <w:tblStyle w:val="17"/>
        <w:tblW w:w="5000" w:type="pct"/>
        <w:tblInd w:w="0" w:type="dxa"/>
        <w:tblLayout w:type="autofit"/>
        <w:tblCellMar>
          <w:top w:w="0" w:type="dxa"/>
          <w:left w:w="108" w:type="dxa"/>
          <w:bottom w:w="0" w:type="dxa"/>
          <w:right w:w="108" w:type="dxa"/>
        </w:tblCellMar>
      </w:tblPr>
      <w:tblGrid>
        <w:gridCol w:w="2128"/>
        <w:gridCol w:w="4689"/>
        <w:gridCol w:w="696"/>
        <w:gridCol w:w="680"/>
        <w:gridCol w:w="529"/>
      </w:tblGrid>
      <w:tr>
        <w:tblPrEx>
          <w:tblCellMar>
            <w:top w:w="0" w:type="dxa"/>
            <w:left w:w="108" w:type="dxa"/>
            <w:bottom w:w="0" w:type="dxa"/>
            <w:right w:w="108" w:type="dxa"/>
          </w:tblCellMar>
        </w:tblPrEx>
        <w:trPr>
          <w:trHeight w:val="585" w:hRule="atLeast"/>
        </w:trPr>
        <w:tc>
          <w:tcPr>
            <w:tcW w:w="5000" w:type="pct"/>
            <w:gridSpan w:val="5"/>
            <w:tcBorders>
              <w:top w:val="nil"/>
              <w:left w:val="nil"/>
              <w:bottom w:val="single" w:color="auto" w:sz="4" w:space="0"/>
              <w:right w:val="nil"/>
            </w:tcBorders>
            <w:noWrap w:val="0"/>
            <w:vAlign w:val="center"/>
          </w:tcPr>
          <w:p>
            <w:pPr>
              <w:widowControl/>
              <w:jc w:val="center"/>
              <w:rPr>
                <w:rFonts w:hint="eastAsia" w:ascii="楷体" w:hAnsi="楷体" w:eastAsia="楷体" w:cs="楷体"/>
                <w:b/>
                <w:bCs/>
                <w:kern w:val="0"/>
                <w:sz w:val="32"/>
                <w:szCs w:val="32"/>
              </w:rPr>
            </w:pPr>
            <w:r>
              <w:rPr>
                <w:rFonts w:hint="eastAsia" w:ascii="楷体" w:hAnsi="楷体" w:eastAsia="楷体" w:cs="楷体"/>
                <w:b/>
                <w:spacing w:val="-2"/>
                <w:sz w:val="24"/>
              </w:rPr>
              <w:t>附表二、商务符合性审查表</w:t>
            </w:r>
          </w:p>
        </w:tc>
      </w:tr>
      <w:tr>
        <w:tblPrEx>
          <w:tblCellMar>
            <w:top w:w="0" w:type="dxa"/>
            <w:left w:w="108" w:type="dxa"/>
            <w:bottom w:w="0" w:type="dxa"/>
            <w:right w:w="108" w:type="dxa"/>
          </w:tblCellMar>
        </w:tblPrEx>
        <w:trPr>
          <w:trHeight w:val="754" w:hRule="atLeast"/>
        </w:trPr>
        <w:tc>
          <w:tcPr>
            <w:tcW w:w="3908"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kern w:val="0"/>
                <w:sz w:val="22"/>
                <w:szCs w:val="22"/>
              </w:rPr>
            </w:pPr>
            <w:r>
              <w:rPr>
                <w:rFonts w:hint="eastAsia" w:ascii="楷体" w:hAnsi="楷体" w:eastAsia="楷体" w:cs="楷体"/>
                <w:b/>
                <w:kern w:val="0"/>
                <w:sz w:val="22"/>
                <w:szCs w:val="22"/>
              </w:rPr>
              <w:t>审查事项</w:t>
            </w:r>
          </w:p>
        </w:tc>
        <w:tc>
          <w:tcPr>
            <w:tcW w:w="1091"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kern w:val="0"/>
                <w:sz w:val="22"/>
                <w:szCs w:val="22"/>
              </w:rPr>
            </w:pPr>
            <w:r>
              <w:rPr>
                <w:rFonts w:hint="eastAsia" w:ascii="楷体" w:hAnsi="楷体" w:eastAsia="楷体" w:cs="楷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kern w:val="0"/>
                <w:sz w:val="22"/>
                <w:szCs w:val="22"/>
              </w:rPr>
            </w:pPr>
            <w:r>
              <w:rPr>
                <w:rFonts w:hint="eastAsia" w:ascii="楷体" w:hAnsi="楷体" w:eastAsia="楷体" w:cs="楷体"/>
                <w:b/>
                <w:kern w:val="0"/>
                <w:sz w:val="22"/>
                <w:szCs w:val="22"/>
                <w:lang w:eastAsia="zh-CN"/>
              </w:rPr>
              <w:t>磋商文件</w:t>
            </w:r>
            <w:r>
              <w:rPr>
                <w:rFonts w:hint="eastAsia" w:ascii="楷体" w:hAnsi="楷体" w:eastAsia="楷体" w:cs="楷体"/>
                <w:b/>
                <w:kern w:val="0"/>
                <w:sz w:val="22"/>
                <w:szCs w:val="22"/>
              </w:rPr>
              <w:t>条款（投标人须知、投标人须知资料表条款号）</w:t>
            </w:r>
          </w:p>
        </w:tc>
        <w:tc>
          <w:tcPr>
            <w:tcW w:w="268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kern w:val="0"/>
                <w:sz w:val="22"/>
                <w:szCs w:val="22"/>
              </w:rPr>
            </w:pPr>
            <w:r>
              <w:rPr>
                <w:rFonts w:hint="eastAsia" w:ascii="楷体" w:hAnsi="楷体" w:eastAsia="楷体" w:cs="楷体"/>
                <w:b/>
                <w:kern w:val="0"/>
                <w:sz w:val="22"/>
                <w:szCs w:val="22"/>
              </w:rPr>
              <w:t>本项目要求</w:t>
            </w:r>
          </w:p>
        </w:tc>
        <w:tc>
          <w:tcPr>
            <w:tcW w:w="39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中小企业投标要求（1.3.5）</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kern w:val="0"/>
                <w:szCs w:val="21"/>
              </w:rPr>
              <w:t>本项目</w:t>
            </w:r>
            <w:r>
              <w:rPr>
                <w:rFonts w:hint="eastAsia" w:ascii="楷体" w:hAnsi="楷体" w:eastAsia="楷体" w:cs="楷体"/>
                <w:i/>
                <w:iCs/>
                <w:kern w:val="0"/>
                <w:szCs w:val="21"/>
                <w:u w:val="single"/>
              </w:rPr>
              <w:t>适用</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r>
      <w:tr>
        <w:tblPrEx>
          <w:tblCellMar>
            <w:top w:w="0" w:type="dxa"/>
            <w:left w:w="108" w:type="dxa"/>
            <w:bottom w:w="0" w:type="dxa"/>
            <w:right w:w="108" w:type="dxa"/>
          </w:tblCellMar>
        </w:tblPrEx>
        <w:trPr>
          <w:trHeight w:val="586"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联合体投标规定</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（1.4）</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kern w:val="0"/>
                <w:szCs w:val="21"/>
              </w:rPr>
              <w:t>本项目</w:t>
            </w:r>
            <w:r>
              <w:rPr>
                <w:rFonts w:hint="eastAsia" w:ascii="楷体" w:hAnsi="楷体" w:eastAsia="楷体" w:cs="楷体"/>
                <w:i/>
                <w:kern w:val="0"/>
                <w:szCs w:val="21"/>
                <w:u w:val="single"/>
              </w:rPr>
              <w:t>不接受联合体投标</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投标人的关联性</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（1.5）</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kern w:val="0"/>
                <w:szCs w:val="21"/>
              </w:rPr>
              <w:t xml:space="preserve">在同一标包内，单位负责人非同一人或者不存在直接控股、管理关系的不同供应商。 </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未参与其他服务</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（1.6）</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未为本项目提供整体设计、规范编制或者项目管理、监理、检测等服务。</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未发现影响采购人决策行为（1.7）</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投标人在投标过程中未向采购人提供、给予任何有价值的物品，影响其正常决策行为。</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满足投标范围的完整性要求</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（8.1）</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投标人对所投分包</w:t>
            </w:r>
            <w:r>
              <w:rPr>
                <w:rFonts w:hint="eastAsia" w:ascii="楷体" w:hAnsi="楷体" w:eastAsia="楷体" w:cs="楷体"/>
                <w:szCs w:val="21"/>
                <w:lang w:eastAsia="zh-CN"/>
              </w:rPr>
              <w:t>磋商文件</w:t>
            </w:r>
            <w:r>
              <w:rPr>
                <w:rFonts w:hint="eastAsia" w:ascii="楷体" w:hAnsi="楷体" w:eastAsia="楷体" w:cs="楷体"/>
                <w:szCs w:val="21"/>
              </w:rPr>
              <w:t xml:space="preserve">中所列的所有服务内容进行投标。 </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未包含价格调整要求</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（11.4）</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投标人所报的各分项投标报价在合同履行过程中是固定不变的，不得以任何理由予以变更。</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投标保证金（12.1）</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szCs w:val="21"/>
              </w:rPr>
            </w:pPr>
            <w:r>
              <w:rPr>
                <w:rFonts w:hint="eastAsia" w:ascii="楷体" w:hAnsi="楷体" w:eastAsia="楷体" w:cs="楷体"/>
                <w:szCs w:val="21"/>
              </w:rPr>
              <w:t>符合</w:t>
            </w:r>
            <w:r>
              <w:rPr>
                <w:rFonts w:hint="eastAsia" w:ascii="楷体" w:hAnsi="楷体" w:eastAsia="楷体" w:cs="楷体"/>
                <w:szCs w:val="21"/>
                <w:lang w:eastAsia="zh-CN"/>
              </w:rPr>
              <w:t>磋商文件</w:t>
            </w:r>
            <w:r>
              <w:rPr>
                <w:rFonts w:hint="eastAsia" w:ascii="楷体" w:hAnsi="楷体" w:eastAsia="楷体" w:cs="楷体"/>
                <w:szCs w:val="21"/>
              </w:rPr>
              <w:t>要求</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投标有效期满足要求</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（13.1）</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自提交</w:t>
            </w:r>
            <w:r>
              <w:rPr>
                <w:rFonts w:hint="eastAsia" w:ascii="楷体" w:hAnsi="楷体" w:eastAsia="楷体" w:cs="楷体"/>
                <w:szCs w:val="21"/>
                <w:lang w:eastAsia="zh-CN"/>
              </w:rPr>
              <w:t>响应文件</w:t>
            </w:r>
            <w:r>
              <w:rPr>
                <w:rFonts w:hint="eastAsia" w:ascii="楷体" w:hAnsi="楷体" w:eastAsia="楷体" w:cs="楷体"/>
                <w:szCs w:val="21"/>
              </w:rPr>
              <w:t>截止之日起</w:t>
            </w:r>
            <w:r>
              <w:rPr>
                <w:rFonts w:hint="eastAsia" w:ascii="楷体" w:hAnsi="楷体" w:eastAsia="楷体" w:cs="楷体"/>
                <w:szCs w:val="21"/>
                <w:u w:val="single"/>
              </w:rPr>
              <w:t xml:space="preserve"> </w:t>
            </w:r>
            <w:r>
              <w:rPr>
                <w:rFonts w:hint="eastAsia" w:ascii="楷体" w:hAnsi="楷体" w:eastAsia="楷体" w:cs="楷体"/>
                <w:szCs w:val="21"/>
                <w:u w:val="single"/>
                <w:lang w:val="en-US" w:eastAsia="zh-CN"/>
              </w:rPr>
              <w:t>60</w:t>
            </w:r>
            <w:r>
              <w:rPr>
                <w:rFonts w:hint="eastAsia" w:ascii="楷体" w:hAnsi="楷体" w:eastAsia="楷体" w:cs="楷体"/>
                <w:szCs w:val="21"/>
                <w:u w:val="single"/>
              </w:rPr>
              <w:t>日</w:t>
            </w:r>
            <w:r>
              <w:rPr>
                <w:rFonts w:hint="eastAsia" w:ascii="楷体" w:hAnsi="楷体" w:eastAsia="楷体" w:cs="楷体"/>
                <w:szCs w:val="21"/>
              </w:rPr>
              <w:t>历日内</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lang w:eastAsia="zh-CN"/>
              </w:rPr>
              <w:t>响应文件</w:t>
            </w:r>
            <w:r>
              <w:rPr>
                <w:rFonts w:hint="eastAsia" w:ascii="楷体" w:hAnsi="楷体" w:eastAsia="楷体" w:cs="楷体"/>
                <w:kern w:val="0"/>
                <w:sz w:val="22"/>
                <w:szCs w:val="22"/>
              </w:rPr>
              <w:t>的签署和盖章符合要求</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（14.2、14.4）</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szCs w:val="21"/>
              </w:rPr>
            </w:pPr>
            <w:r>
              <w:rPr>
                <w:rFonts w:hint="eastAsia" w:ascii="楷体" w:hAnsi="楷体" w:eastAsia="楷体" w:cs="楷体"/>
                <w:szCs w:val="21"/>
              </w:rPr>
              <w:t>按照</w:t>
            </w:r>
            <w:r>
              <w:rPr>
                <w:rFonts w:hint="eastAsia" w:ascii="楷体" w:hAnsi="楷体" w:eastAsia="楷体" w:cs="楷体"/>
                <w:szCs w:val="21"/>
                <w:lang w:eastAsia="zh-CN"/>
              </w:rPr>
              <w:t>磋商文件</w:t>
            </w:r>
            <w:r>
              <w:rPr>
                <w:rFonts w:hint="eastAsia" w:ascii="楷体" w:hAnsi="楷体" w:eastAsia="楷体" w:cs="楷体"/>
                <w:szCs w:val="21"/>
              </w:rPr>
              <w:t>规定要求签署、盖章。</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rPr>
          <w:trHeight w:val="57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lang w:eastAsia="zh-CN"/>
              </w:rPr>
              <w:t>响应文件</w:t>
            </w:r>
            <w:r>
              <w:rPr>
                <w:rFonts w:hint="eastAsia" w:ascii="楷体" w:hAnsi="楷体" w:eastAsia="楷体" w:cs="楷体"/>
                <w:kern w:val="0"/>
                <w:sz w:val="22"/>
                <w:szCs w:val="22"/>
              </w:rPr>
              <w:t>的装订方式</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（14.3）</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所有</w:t>
            </w:r>
            <w:r>
              <w:rPr>
                <w:rFonts w:hint="eastAsia" w:ascii="楷体" w:hAnsi="楷体" w:eastAsia="楷体" w:cs="楷体"/>
                <w:szCs w:val="21"/>
                <w:lang w:eastAsia="zh-CN"/>
              </w:rPr>
              <w:t>响应文件</w:t>
            </w:r>
            <w:r>
              <w:rPr>
                <w:rFonts w:hint="eastAsia" w:ascii="楷体" w:hAnsi="楷体" w:eastAsia="楷体" w:cs="楷体"/>
                <w:szCs w:val="21"/>
              </w:rPr>
              <w:t>采用不可拆装的胶订方式装订</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接受价格的算术修正</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（20.2）</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lang w:eastAsia="zh-CN"/>
              </w:rPr>
              <w:t>响应文件</w:t>
            </w:r>
            <w:r>
              <w:rPr>
                <w:rFonts w:hint="eastAsia" w:ascii="楷体" w:hAnsi="楷体" w:eastAsia="楷体" w:cs="楷体"/>
                <w:szCs w:val="21"/>
              </w:rPr>
              <w:t>报价出现前后不一致的，应按照</w:t>
            </w:r>
            <w:r>
              <w:rPr>
                <w:rFonts w:hint="eastAsia" w:ascii="楷体" w:hAnsi="楷体" w:eastAsia="楷体" w:cs="楷体"/>
                <w:szCs w:val="21"/>
                <w:lang w:eastAsia="zh-CN"/>
              </w:rPr>
              <w:t>磋商文件</w:t>
            </w:r>
            <w:r>
              <w:rPr>
                <w:rFonts w:hint="eastAsia" w:ascii="楷体" w:hAnsi="楷体" w:eastAsia="楷体" w:cs="楷体"/>
                <w:szCs w:val="21"/>
              </w:rPr>
              <w:t>规定的顺序修正。</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符合强制采购节能产品要求</w:t>
            </w:r>
          </w:p>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（20.3）</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kern w:val="0"/>
                <w:szCs w:val="21"/>
              </w:rPr>
              <w:t>本项目</w:t>
            </w:r>
            <w:r>
              <w:rPr>
                <w:rFonts w:hint="eastAsia" w:ascii="楷体" w:hAnsi="楷体" w:eastAsia="楷体" w:cs="楷体"/>
                <w:i/>
                <w:kern w:val="0"/>
                <w:szCs w:val="21"/>
                <w:u w:val="single"/>
              </w:rPr>
              <w:t>适用</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未发现串通投标（22.2）</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未与其他投标人串通投标，或者与招标人串通投标。</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kern w:val="0"/>
                <w:sz w:val="22"/>
                <w:szCs w:val="22"/>
              </w:rPr>
              <w:t>报价说明可以接受（22.2）</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rPr>
              <w:t>投标人的报价明显低于其他通过符合性审查投标人的报价，有可能影响履约的，投标人能按照规定证明其报价合理性。</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r>
              <w:rPr>
                <w:rFonts w:hint="eastAsia" w:ascii="楷体" w:hAnsi="楷体" w:eastAsia="楷体" w:cs="楷体"/>
                <w:kern w:val="0"/>
                <w:sz w:val="22"/>
                <w:szCs w:val="22"/>
              </w:rPr>
              <w:t>　</w:t>
            </w:r>
          </w:p>
        </w:tc>
      </w:tr>
      <w:tr>
        <w:tblPrEx>
          <w:tblCellMar>
            <w:top w:w="0" w:type="dxa"/>
            <w:left w:w="108" w:type="dxa"/>
            <w:bottom w:w="0" w:type="dxa"/>
            <w:right w:w="108" w:type="dxa"/>
          </w:tblCellMar>
        </w:tblPrEx>
        <w:trPr>
          <w:trHeight w:val="510" w:hRule="atLeast"/>
        </w:trPr>
        <w:tc>
          <w:tcPr>
            <w:tcW w:w="12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r>
              <w:rPr>
                <w:rFonts w:hint="eastAsia" w:ascii="楷体" w:hAnsi="楷体" w:eastAsia="楷体" w:cs="楷体"/>
                <w:sz w:val="22"/>
                <w:szCs w:val="22"/>
              </w:rPr>
              <w:t>无采购人不能接受的附加条件（22.2）</w:t>
            </w:r>
          </w:p>
        </w:tc>
        <w:tc>
          <w:tcPr>
            <w:tcW w:w="268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r>
              <w:rPr>
                <w:rFonts w:hint="eastAsia" w:ascii="楷体" w:hAnsi="楷体" w:eastAsia="楷体" w:cs="楷体"/>
                <w:szCs w:val="21"/>
                <w:lang w:eastAsia="zh-CN"/>
              </w:rPr>
              <w:t>响应文件</w:t>
            </w:r>
            <w:r>
              <w:rPr>
                <w:rFonts w:hint="eastAsia" w:ascii="楷体" w:hAnsi="楷体" w:eastAsia="楷体" w:cs="楷体"/>
                <w:szCs w:val="21"/>
              </w:rPr>
              <w:t xml:space="preserve">未含有采购人不能接受的附加条件。 </w:t>
            </w:r>
          </w:p>
        </w:tc>
        <w:tc>
          <w:tcPr>
            <w:tcW w:w="399"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90"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c>
          <w:tcPr>
            <w:tcW w:w="301" w:type="pct"/>
            <w:tcBorders>
              <w:top w:val="single" w:color="auto" w:sz="4" w:space="0"/>
              <w:left w:val="nil"/>
              <w:bottom w:val="single" w:color="auto" w:sz="4" w:space="0"/>
              <w:right w:val="single" w:color="auto" w:sz="4" w:space="0"/>
            </w:tcBorders>
            <w:noWrap w:val="0"/>
            <w:vAlign w:val="center"/>
          </w:tcPr>
          <w:p>
            <w:pPr>
              <w:widowControl/>
              <w:jc w:val="left"/>
              <w:rPr>
                <w:rFonts w:hint="eastAsia" w:ascii="楷体" w:hAnsi="楷体" w:eastAsia="楷体" w:cs="楷体"/>
                <w:kern w:val="0"/>
                <w:sz w:val="22"/>
                <w:szCs w:val="22"/>
              </w:rPr>
            </w:pPr>
          </w:p>
        </w:tc>
      </w:tr>
      <w:tr>
        <w:tblPrEx>
          <w:tblCellMar>
            <w:top w:w="0" w:type="dxa"/>
            <w:left w:w="108" w:type="dxa"/>
            <w:bottom w:w="0" w:type="dxa"/>
            <w:right w:w="108" w:type="dxa"/>
          </w:tblCellMar>
        </w:tblPrEx>
        <w:trPr>
          <w:trHeight w:val="494" w:hRule="atLeast"/>
        </w:trPr>
        <w:tc>
          <w:tcPr>
            <w:tcW w:w="3908"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szCs w:val="21"/>
              </w:rPr>
            </w:pPr>
            <w:r>
              <w:rPr>
                <w:rFonts w:hint="eastAsia" w:ascii="楷体" w:hAnsi="楷体" w:eastAsia="楷体" w:cs="楷体"/>
                <w:b/>
                <w:kern w:val="0"/>
                <w:sz w:val="22"/>
                <w:szCs w:val="22"/>
              </w:rPr>
              <w:t>结论</w:t>
            </w:r>
          </w:p>
        </w:tc>
        <w:tc>
          <w:tcPr>
            <w:tcW w:w="399"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p>
        </w:tc>
        <w:tc>
          <w:tcPr>
            <w:tcW w:w="39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p>
        </w:tc>
        <w:tc>
          <w:tcPr>
            <w:tcW w:w="30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楷体" w:hAnsi="楷体" w:eastAsia="楷体" w:cs="楷体"/>
                <w:kern w:val="0"/>
                <w:sz w:val="22"/>
                <w:szCs w:val="22"/>
              </w:rPr>
            </w:pPr>
          </w:p>
        </w:tc>
      </w:tr>
    </w:tbl>
    <w:p>
      <w:pPr>
        <w:pStyle w:val="10"/>
        <w:rPr>
          <w:rFonts w:hint="eastAsia" w:ascii="楷体" w:hAnsi="楷体" w:eastAsia="楷体" w:cs="楷体"/>
        </w:rPr>
      </w:pPr>
    </w:p>
    <w:p>
      <w:pPr>
        <w:spacing w:line="360" w:lineRule="auto"/>
        <w:rPr>
          <w:rFonts w:hint="eastAsia" w:ascii="楷体" w:hAnsi="楷体" w:eastAsia="楷体" w:cs="楷体"/>
          <w:b/>
          <w:bCs/>
          <w:sz w:val="21"/>
          <w:szCs w:val="21"/>
          <w:highlight w:val="none"/>
        </w:rPr>
      </w:pPr>
      <w:r>
        <w:rPr>
          <w:rFonts w:hint="eastAsia" w:ascii="楷体" w:hAnsi="楷体" w:eastAsia="楷体" w:cs="楷体"/>
          <w:b/>
          <w:bCs/>
          <w:sz w:val="21"/>
          <w:szCs w:val="21"/>
          <w:highlight w:val="none"/>
        </w:rPr>
        <w:t>备注：1.如果</w:t>
      </w:r>
      <w:r>
        <w:rPr>
          <w:rFonts w:hint="eastAsia" w:ascii="楷体" w:hAnsi="楷体" w:eastAsia="楷体" w:cs="楷体"/>
          <w:b/>
          <w:bCs/>
          <w:sz w:val="21"/>
          <w:szCs w:val="21"/>
          <w:highlight w:val="none"/>
          <w:lang w:eastAsia="zh-CN"/>
        </w:rPr>
        <w:t>响应文件</w:t>
      </w:r>
      <w:r>
        <w:rPr>
          <w:rFonts w:hint="eastAsia" w:ascii="楷体" w:hAnsi="楷体" w:eastAsia="楷体" w:cs="楷体"/>
          <w:b/>
          <w:bCs/>
          <w:sz w:val="21"/>
          <w:szCs w:val="21"/>
          <w:highlight w:val="none"/>
        </w:rPr>
        <w:t>中有一项未通过上述审查标准，评标委员会将认定整个</w:t>
      </w:r>
      <w:r>
        <w:rPr>
          <w:rFonts w:hint="eastAsia" w:ascii="楷体" w:hAnsi="楷体" w:eastAsia="楷体" w:cs="楷体"/>
          <w:b/>
          <w:bCs/>
          <w:sz w:val="21"/>
          <w:szCs w:val="21"/>
          <w:highlight w:val="none"/>
          <w:lang w:eastAsia="zh-CN"/>
        </w:rPr>
        <w:t>响应文件</w:t>
      </w:r>
      <w:r>
        <w:rPr>
          <w:rFonts w:hint="eastAsia" w:ascii="楷体" w:hAnsi="楷体" w:eastAsia="楷体" w:cs="楷体"/>
          <w:b/>
          <w:bCs/>
          <w:sz w:val="21"/>
          <w:szCs w:val="21"/>
          <w:highlight w:val="none"/>
        </w:rPr>
        <w:t>未响应</w:t>
      </w:r>
      <w:r>
        <w:rPr>
          <w:rFonts w:hint="eastAsia" w:ascii="楷体" w:hAnsi="楷体" w:eastAsia="楷体" w:cs="楷体"/>
          <w:b/>
          <w:bCs/>
          <w:sz w:val="21"/>
          <w:szCs w:val="21"/>
          <w:highlight w:val="none"/>
          <w:lang w:eastAsia="zh-CN"/>
        </w:rPr>
        <w:t>磋商文件</w:t>
      </w:r>
      <w:r>
        <w:rPr>
          <w:rFonts w:hint="eastAsia" w:ascii="楷体" w:hAnsi="楷体" w:eastAsia="楷体" w:cs="楷体"/>
          <w:b/>
          <w:bCs/>
          <w:sz w:val="21"/>
          <w:szCs w:val="21"/>
          <w:highlight w:val="none"/>
        </w:rPr>
        <w:t>而予以废标处理。</w:t>
      </w:r>
    </w:p>
    <w:p>
      <w:pPr>
        <w:numPr>
          <w:ilvl w:val="0"/>
          <w:numId w:val="13"/>
        </w:numPr>
        <w:spacing w:line="360" w:lineRule="auto"/>
        <w:ind w:left="843" w:leftChars="0" w:firstLine="0" w:firstLineChars="0"/>
        <w:rPr>
          <w:rFonts w:hint="eastAsia" w:ascii="楷体" w:hAnsi="楷体" w:eastAsia="楷体" w:cs="楷体"/>
          <w:b/>
          <w:bCs/>
          <w:sz w:val="21"/>
          <w:szCs w:val="21"/>
          <w:highlight w:val="none"/>
        </w:rPr>
      </w:pPr>
      <w:r>
        <w:rPr>
          <w:rFonts w:hint="eastAsia" w:ascii="楷体" w:hAnsi="楷体" w:eastAsia="楷体" w:cs="楷体"/>
          <w:b/>
          <w:bCs/>
          <w:sz w:val="21"/>
          <w:szCs w:val="21"/>
          <w:highlight w:val="none"/>
        </w:rPr>
        <w:t>表中所述分项评审结果分两种：（1）合格用“√”表示；（2）不</w:t>
      </w:r>
    </w:p>
    <w:p>
      <w:pPr>
        <w:numPr>
          <w:ilvl w:val="0"/>
          <w:numId w:val="0"/>
        </w:numPr>
        <w:spacing w:line="360" w:lineRule="auto"/>
        <w:rPr>
          <w:rFonts w:hint="eastAsia" w:ascii="楷体" w:hAnsi="楷体" w:eastAsia="楷体" w:cs="楷体"/>
        </w:rPr>
      </w:pPr>
      <w:r>
        <w:rPr>
          <w:rFonts w:hint="eastAsia" w:ascii="楷体" w:hAnsi="楷体" w:eastAsia="楷体" w:cs="楷体"/>
          <w:b/>
          <w:bCs/>
          <w:sz w:val="21"/>
          <w:szCs w:val="21"/>
          <w:highlight w:val="none"/>
        </w:rPr>
        <w:t>合格用“×”表示。</w:t>
      </w:r>
    </w:p>
    <w:p>
      <w:pPr>
        <w:pStyle w:val="14"/>
        <w:jc w:val="center"/>
        <w:rPr>
          <w:rFonts w:hint="eastAsia" w:ascii="楷体" w:hAnsi="楷体" w:eastAsia="楷体" w:cs="楷体"/>
          <w:b/>
          <w:spacing w:val="-2"/>
          <w:sz w:val="24"/>
          <w:highlight w:val="none"/>
        </w:rPr>
      </w:pPr>
      <w:r>
        <w:rPr>
          <w:rFonts w:hint="eastAsia" w:ascii="楷体" w:hAnsi="楷体" w:eastAsia="楷体" w:cs="楷体"/>
          <w:b/>
          <w:spacing w:val="-2"/>
          <w:sz w:val="24"/>
          <w:highlight w:val="none"/>
        </w:rPr>
        <w:t>附表三、</w:t>
      </w:r>
      <w:r>
        <w:rPr>
          <w:rFonts w:hint="eastAsia" w:ascii="楷体" w:hAnsi="楷体" w:eastAsia="楷体" w:cs="楷体"/>
          <w:b/>
          <w:spacing w:val="-2"/>
          <w:sz w:val="24"/>
          <w:highlight w:val="none"/>
          <w:lang w:val="en-US" w:eastAsia="zh-CN"/>
        </w:rPr>
        <w:t>综合评分法评分标准</w:t>
      </w:r>
    </w:p>
    <w:tbl>
      <w:tblPr>
        <w:tblStyle w:val="17"/>
        <w:tblW w:w="88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7"/>
        <w:gridCol w:w="889"/>
        <w:gridCol w:w="413"/>
        <w:gridCol w:w="6002"/>
        <w:gridCol w:w="450"/>
        <w:gridCol w:w="431"/>
        <w:gridCol w:w="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933" w:hRule="atLeast"/>
          <w:jc w:val="center"/>
        </w:trPr>
        <w:tc>
          <w:tcPr>
            <w:tcW w:w="617"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center"/>
              <w:textAlignment w:val="auto"/>
              <w:rPr>
                <w:sz w:val="18"/>
              </w:rPr>
            </w:pPr>
            <w:r>
              <w:rPr>
                <w:sz w:val="18"/>
              </w:rPr>
              <w:t>序号</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center"/>
              <w:textAlignment w:val="auto"/>
              <w:rPr>
                <w:sz w:val="18"/>
              </w:rPr>
            </w:pPr>
            <w:r>
              <w:rPr>
                <w:sz w:val="18"/>
              </w:rPr>
              <w:t>考核项目</w:t>
            </w:r>
          </w:p>
        </w:tc>
        <w:tc>
          <w:tcPr>
            <w:tcW w:w="413"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分值</w:t>
            </w:r>
          </w:p>
        </w:tc>
        <w:tc>
          <w:tcPr>
            <w:tcW w:w="6002"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评分标准</w:t>
            </w: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 xml:space="preserve">1、技术 </w:t>
            </w:r>
            <w:r>
              <w:rPr>
                <w:rFonts w:hint="eastAsia"/>
                <w:sz w:val="18"/>
                <w:lang w:val="en-US" w:eastAsia="zh-CN"/>
              </w:rPr>
              <w:t>57</w:t>
            </w:r>
            <w:r>
              <w:rPr>
                <w:sz w:val="18"/>
              </w:rPr>
              <w:t xml:space="preserve"> 分</w:t>
            </w: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2</w:t>
            </w:r>
            <w:r>
              <w:rPr>
                <w:spacing w:val="-1"/>
                <w:sz w:val="18"/>
              </w:rPr>
              <w:t>、商务部分</w:t>
            </w:r>
            <w:r>
              <w:rPr>
                <w:rFonts w:hint="eastAsia"/>
                <w:spacing w:val="-1"/>
                <w:sz w:val="18"/>
                <w:lang w:val="en-US" w:eastAsia="zh-CN"/>
              </w:rPr>
              <w:t>13</w:t>
            </w:r>
            <w:r>
              <w:rPr>
                <w:spacing w:val="-23"/>
                <w:sz w:val="18"/>
              </w:rPr>
              <w:t xml:space="preserve"> 分</w:t>
            </w:r>
          </w:p>
          <w:p>
            <w:pPr>
              <w:pStyle w:val="30"/>
              <w:keepNext w:val="0"/>
              <w:keepLines w:val="0"/>
              <w:pageBreakBefore w:val="0"/>
              <w:widowControl w:val="0"/>
              <w:kinsoku/>
              <w:wordWrap/>
              <w:overflowPunct/>
              <w:topLinePunct w:val="0"/>
              <w:autoSpaceDE w:val="0"/>
              <w:autoSpaceDN w:val="0"/>
              <w:bidi w:val="0"/>
              <w:adjustRightInd w:val="0"/>
              <w:snapToGrid/>
              <w:spacing w:before="0" w:line="212" w:lineRule="exact"/>
              <w:ind w:left="0" w:right="0"/>
              <w:jc w:val="center"/>
              <w:textAlignment w:val="auto"/>
              <w:rPr>
                <w:sz w:val="18"/>
              </w:rPr>
            </w:pPr>
            <w:r>
              <w:rPr>
                <w:sz w:val="18"/>
              </w:rPr>
              <w:t>3</w:t>
            </w:r>
            <w:r>
              <w:rPr>
                <w:spacing w:val="-8"/>
                <w:sz w:val="18"/>
              </w:rPr>
              <w:t xml:space="preserve">、报价部分 </w:t>
            </w:r>
            <w:r>
              <w:rPr>
                <w:sz w:val="18"/>
              </w:rPr>
              <w:t>30</w:t>
            </w:r>
            <w:r>
              <w:rPr>
                <w:spacing w:val="-23"/>
                <w:sz w:val="18"/>
              </w:rPr>
              <w:t xml:space="preserve"> 分</w:t>
            </w:r>
          </w:p>
        </w:tc>
        <w:tc>
          <w:tcPr>
            <w:tcW w:w="450"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both"/>
              <w:textAlignment w:val="auto"/>
              <w:rPr>
                <w:sz w:val="18"/>
              </w:rPr>
            </w:pPr>
            <w:r>
              <w:rPr>
                <w:sz w:val="18"/>
              </w:rPr>
              <w:t>投标人</w:t>
            </w:r>
          </w:p>
        </w:tc>
        <w:tc>
          <w:tcPr>
            <w:tcW w:w="431"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sz w:val="18"/>
              </w:rPr>
            </w:pPr>
            <w:r>
              <w:rPr>
                <w:sz w:val="18"/>
              </w:rPr>
              <w:t>…</w:t>
            </w: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sz w:val="18"/>
              </w:rPr>
            </w:pP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543" w:hRule="atLeast"/>
          <w:jc w:val="center"/>
        </w:trPr>
        <w:tc>
          <w:tcPr>
            <w:tcW w:w="617"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一</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center"/>
              <w:textAlignment w:val="auto"/>
              <w:rPr>
                <w:sz w:val="18"/>
              </w:rPr>
            </w:pPr>
            <w:r>
              <w:rPr>
                <w:sz w:val="18"/>
              </w:rPr>
              <w:t>技术部分</w:t>
            </w:r>
          </w:p>
        </w:tc>
        <w:tc>
          <w:tcPr>
            <w:tcW w:w="413"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rFonts w:hint="eastAsia"/>
                <w:sz w:val="18"/>
                <w:lang w:val="en-US" w:eastAsia="zh-CN"/>
              </w:rPr>
              <w:t>57</w:t>
            </w:r>
            <w:r>
              <w:rPr>
                <w:sz w:val="18"/>
              </w:rPr>
              <w:t>分</w:t>
            </w:r>
          </w:p>
        </w:tc>
        <w:tc>
          <w:tcPr>
            <w:tcW w:w="6002"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both"/>
              <w:textAlignment w:val="auto"/>
              <w:rPr>
                <w:sz w:val="18"/>
              </w:rPr>
            </w:pPr>
            <w:r>
              <w:rPr>
                <w:sz w:val="18"/>
              </w:rPr>
              <w:t>具体按下列标准要求进行评审</w:t>
            </w:r>
          </w:p>
        </w:tc>
        <w:tc>
          <w:tcPr>
            <w:tcW w:w="450"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c>
          <w:tcPr>
            <w:tcW w:w="431"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 w:type="dxa"/>
          <w:trHeight w:val="1149" w:hRule="atLeast"/>
          <w:jc w:val="center"/>
        </w:trPr>
        <w:tc>
          <w:tcPr>
            <w:tcW w:w="617"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both"/>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1</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both"/>
              <w:textAlignment w:val="auto"/>
              <w:rPr>
                <w:sz w:val="18"/>
              </w:rPr>
            </w:pPr>
            <w:r>
              <w:rPr>
                <w:sz w:val="18"/>
              </w:rPr>
              <w:t>设备技术及质量</w:t>
            </w:r>
          </w:p>
        </w:tc>
        <w:tc>
          <w:tcPr>
            <w:tcW w:w="413"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both"/>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rFonts w:hint="eastAsia"/>
                <w:sz w:val="18"/>
                <w:lang w:val="en-US" w:eastAsia="zh-CN"/>
              </w:rPr>
              <w:t>30</w:t>
            </w:r>
            <w:r>
              <w:rPr>
                <w:sz w:val="18"/>
              </w:rPr>
              <w:t xml:space="preserve"> 分</w:t>
            </w:r>
          </w:p>
        </w:tc>
        <w:tc>
          <w:tcPr>
            <w:tcW w:w="6002"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hint="eastAsia" w:eastAsia="楷体"/>
                <w:sz w:val="18"/>
                <w:lang w:eastAsia="zh-CN"/>
              </w:rPr>
            </w:pPr>
            <w:r>
              <w:rPr>
                <w:rFonts w:hint="eastAsia" w:eastAsia="楷体"/>
                <w:sz w:val="18"/>
                <w:lang w:eastAsia="zh-CN"/>
              </w:rPr>
              <w:t>标书中第3章货物需求一览表及技术规格中参数均为核心，不允许出现负偏离，如投标单位所投产品出现负偏离则直接按废标处理。</w:t>
            </w:r>
          </w:p>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hint="eastAsia" w:eastAsia="楷体"/>
                <w:sz w:val="18"/>
                <w:lang w:eastAsia="zh-CN"/>
              </w:rPr>
            </w:pPr>
            <w:r>
              <w:rPr>
                <w:rFonts w:hint="eastAsia" w:eastAsia="楷体"/>
                <w:sz w:val="18"/>
                <w:lang w:eastAsia="zh-CN"/>
              </w:rPr>
              <w:t>设备需提供厂家有效证明资料（产品检测报告或产品彩页或说明书，产品彩页中需体现设备详细参数，产品检测报告需与投标产品型号一致。）一项得3分，未提供的不得分。最多得</w:t>
            </w:r>
            <w:r>
              <w:rPr>
                <w:rFonts w:hint="eastAsia"/>
                <w:sz w:val="18"/>
                <w:lang w:val="en-US" w:eastAsia="zh-CN"/>
              </w:rPr>
              <w:t>30</w:t>
            </w:r>
            <w:r>
              <w:rPr>
                <w:rFonts w:hint="eastAsia" w:eastAsia="楷体"/>
                <w:sz w:val="18"/>
                <w:lang w:eastAsia="zh-CN"/>
              </w:rPr>
              <w:t>分</w:t>
            </w:r>
          </w:p>
        </w:tc>
        <w:tc>
          <w:tcPr>
            <w:tcW w:w="450"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1" w:type="dxa"/>
            <w:vAlign w:val="top"/>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jc w:val="center"/>
        </w:trPr>
        <w:tc>
          <w:tcPr>
            <w:tcW w:w="617"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rFonts w:hint="eastAsia" w:eastAsia="楷体"/>
                <w:sz w:val="18"/>
                <w:lang w:val="en-US" w:eastAsia="zh-CN"/>
              </w:rPr>
            </w:pPr>
            <w:r>
              <w:rPr>
                <w:rFonts w:hint="eastAsia"/>
                <w:sz w:val="18"/>
                <w:lang w:val="en-US" w:eastAsia="zh-CN"/>
              </w:rPr>
              <w:t>2</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val="0"/>
                <w:bCs/>
                <w:sz w:val="18"/>
                <w:lang w:val="en-US" w:eastAsia="zh-CN"/>
              </w:rPr>
            </w:pPr>
            <w:r>
              <w:rPr>
                <w:rFonts w:hint="eastAsia"/>
                <w:b w:val="0"/>
                <w:bCs/>
                <w:sz w:val="18"/>
              </w:rPr>
              <w:t>供货进度计划</w:t>
            </w:r>
          </w:p>
        </w:tc>
        <w:tc>
          <w:tcPr>
            <w:tcW w:w="413"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rFonts w:hint="eastAsia"/>
                <w:b w:val="0"/>
                <w:bCs/>
                <w:sz w:val="18"/>
                <w:lang w:val="en-US" w:eastAsia="zh-CN"/>
              </w:rPr>
            </w:pPr>
            <w:r>
              <w:rPr>
                <w:rFonts w:hint="eastAsia"/>
                <w:b w:val="0"/>
                <w:bCs/>
                <w:sz w:val="18"/>
                <w:lang w:val="en-US" w:eastAsia="zh-CN"/>
              </w:rPr>
              <w:t>8</w:t>
            </w:r>
          </w:p>
        </w:tc>
        <w:tc>
          <w:tcPr>
            <w:tcW w:w="6002"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left"/>
              <w:textAlignment w:val="auto"/>
              <w:rPr>
                <w:b w:val="0"/>
                <w:bCs/>
                <w:sz w:val="18"/>
                <w:lang w:val="en-US" w:eastAsia="zh-CN"/>
              </w:rPr>
            </w:pPr>
            <w:r>
              <w:rPr>
                <w:rFonts w:hint="eastAsia"/>
                <w:b w:val="0"/>
                <w:bCs/>
                <w:sz w:val="18"/>
              </w:rPr>
              <w:t>1、供货进度计划合理有序，得</w:t>
            </w:r>
            <w:r>
              <w:rPr>
                <w:rFonts w:hint="eastAsia"/>
                <w:b w:val="0"/>
                <w:bCs/>
                <w:sz w:val="18"/>
                <w:lang w:val="en-US" w:eastAsia="zh-CN"/>
              </w:rPr>
              <w:t>8</w:t>
            </w:r>
            <w:r>
              <w:rPr>
                <w:rFonts w:hint="eastAsia"/>
                <w:b w:val="0"/>
                <w:bCs/>
                <w:sz w:val="18"/>
              </w:rPr>
              <w:t>-</w:t>
            </w:r>
            <w:r>
              <w:rPr>
                <w:rFonts w:hint="eastAsia"/>
                <w:b w:val="0"/>
                <w:bCs/>
                <w:sz w:val="18"/>
                <w:lang w:val="en-US" w:eastAsia="zh-CN"/>
              </w:rPr>
              <w:t>5</w:t>
            </w:r>
            <w:r>
              <w:rPr>
                <w:rFonts w:hint="eastAsia"/>
                <w:b w:val="0"/>
                <w:bCs/>
                <w:sz w:val="18"/>
              </w:rPr>
              <w:t>分；</w:t>
            </w:r>
            <w:r>
              <w:rPr>
                <w:rFonts w:hint="eastAsia"/>
                <w:b w:val="0"/>
                <w:bCs/>
                <w:sz w:val="18"/>
              </w:rPr>
              <w:br w:type="textWrapping"/>
            </w:r>
            <w:r>
              <w:rPr>
                <w:rFonts w:hint="eastAsia"/>
                <w:b w:val="0"/>
                <w:bCs/>
                <w:sz w:val="18"/>
              </w:rPr>
              <w:t>2、供货进度计划较合理，得</w:t>
            </w:r>
            <w:r>
              <w:rPr>
                <w:rFonts w:hint="eastAsia"/>
                <w:b w:val="0"/>
                <w:bCs/>
                <w:sz w:val="18"/>
                <w:lang w:val="en-US" w:eastAsia="zh-CN"/>
              </w:rPr>
              <w:t>5</w:t>
            </w:r>
            <w:r>
              <w:rPr>
                <w:rFonts w:hint="eastAsia"/>
                <w:b w:val="0"/>
                <w:bCs/>
                <w:sz w:val="18"/>
              </w:rPr>
              <w:t>-</w:t>
            </w:r>
            <w:r>
              <w:rPr>
                <w:rFonts w:hint="eastAsia"/>
                <w:b w:val="0"/>
                <w:bCs/>
                <w:sz w:val="18"/>
                <w:lang w:val="en-US" w:eastAsia="zh-CN"/>
              </w:rPr>
              <w:t>3</w:t>
            </w:r>
            <w:r>
              <w:rPr>
                <w:rFonts w:hint="eastAsia"/>
                <w:b w:val="0"/>
                <w:bCs/>
                <w:sz w:val="18"/>
              </w:rPr>
              <w:t>分；</w:t>
            </w:r>
            <w:r>
              <w:rPr>
                <w:rFonts w:hint="eastAsia"/>
                <w:b w:val="0"/>
                <w:bCs/>
                <w:sz w:val="18"/>
              </w:rPr>
              <w:br w:type="textWrapping"/>
            </w:r>
            <w:r>
              <w:rPr>
                <w:rFonts w:hint="eastAsia"/>
                <w:b w:val="0"/>
                <w:bCs/>
                <w:sz w:val="18"/>
              </w:rPr>
              <w:t>3、供货进度计划一般，得</w:t>
            </w:r>
            <w:r>
              <w:rPr>
                <w:rFonts w:hint="eastAsia"/>
                <w:b w:val="0"/>
                <w:bCs/>
                <w:sz w:val="18"/>
                <w:lang w:val="en-US" w:eastAsia="zh-CN"/>
              </w:rPr>
              <w:t>3</w:t>
            </w:r>
            <w:r>
              <w:rPr>
                <w:rFonts w:hint="eastAsia"/>
                <w:b w:val="0"/>
                <w:bCs/>
                <w:sz w:val="18"/>
              </w:rPr>
              <w:t>-0分。</w:t>
            </w:r>
          </w:p>
        </w:tc>
        <w:tc>
          <w:tcPr>
            <w:tcW w:w="450"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2" w:hRule="atLeast"/>
          <w:jc w:val="center"/>
        </w:trPr>
        <w:tc>
          <w:tcPr>
            <w:tcW w:w="617"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rFonts w:hint="default"/>
                <w:sz w:val="18"/>
                <w:lang w:val="en-US" w:eastAsia="zh-CN"/>
              </w:rPr>
            </w:pPr>
            <w:r>
              <w:rPr>
                <w:rFonts w:hint="eastAsia"/>
                <w:sz w:val="18"/>
                <w:lang w:val="en-US" w:eastAsia="zh-CN"/>
              </w:rPr>
              <w:t>3</w:t>
            </w:r>
          </w:p>
        </w:tc>
        <w:tc>
          <w:tcPr>
            <w:tcW w:w="889" w:type="dxa"/>
            <w:vAlign w:val="center"/>
          </w:tcPr>
          <w:p>
            <w:pPr>
              <w:rPr>
                <w:rFonts w:hint="eastAsia" w:ascii="楷体" w:hAnsi="楷体" w:eastAsia="楷体" w:cs="楷体"/>
                <w:b w:val="0"/>
                <w:bCs/>
                <w:kern w:val="2"/>
                <w:sz w:val="18"/>
                <w:szCs w:val="24"/>
                <w:lang w:val="en-US" w:eastAsia="zh-CN" w:bidi="zh-CN"/>
              </w:rPr>
            </w:pPr>
            <w:r>
              <w:rPr>
                <w:rFonts w:hint="eastAsia" w:ascii="楷体" w:hAnsi="楷体" w:eastAsia="楷体" w:cs="楷体"/>
                <w:b w:val="0"/>
                <w:bCs/>
                <w:kern w:val="2"/>
                <w:sz w:val="18"/>
                <w:szCs w:val="24"/>
                <w:lang w:val="zh-CN" w:eastAsia="zh-CN" w:bidi="zh-CN"/>
              </w:rPr>
              <w:t>供货期</w:t>
            </w:r>
          </w:p>
        </w:tc>
        <w:tc>
          <w:tcPr>
            <w:tcW w:w="413" w:type="dxa"/>
            <w:vAlign w:val="center"/>
          </w:tcPr>
          <w:p>
            <w:pPr>
              <w:jc w:val="center"/>
              <w:rPr>
                <w:rFonts w:hint="eastAsia" w:ascii="楷体" w:hAnsi="楷体" w:eastAsia="楷体" w:cs="楷体"/>
                <w:b w:val="0"/>
                <w:bCs/>
                <w:kern w:val="2"/>
                <w:sz w:val="18"/>
                <w:szCs w:val="24"/>
                <w:lang w:val="en-US" w:eastAsia="zh-CN" w:bidi="zh-CN"/>
              </w:rPr>
            </w:pPr>
            <w:r>
              <w:rPr>
                <w:rFonts w:hint="eastAsia" w:ascii="楷体" w:hAnsi="楷体" w:eastAsia="楷体" w:cs="楷体"/>
                <w:b w:val="0"/>
                <w:bCs/>
                <w:kern w:val="2"/>
                <w:sz w:val="18"/>
                <w:szCs w:val="24"/>
                <w:lang w:val="en-US" w:eastAsia="zh-CN" w:bidi="zh-CN"/>
              </w:rPr>
              <w:t>4</w:t>
            </w:r>
          </w:p>
        </w:tc>
        <w:tc>
          <w:tcPr>
            <w:tcW w:w="6002"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rFonts w:hint="eastAsia"/>
                <w:b w:val="0"/>
                <w:bCs/>
                <w:sz w:val="18"/>
              </w:rPr>
            </w:pPr>
            <w:r>
              <w:rPr>
                <w:rFonts w:hint="eastAsia"/>
                <w:b w:val="0"/>
                <w:bCs/>
                <w:sz w:val="18"/>
                <w:lang w:val="en-US" w:eastAsia="zh-CN"/>
              </w:rPr>
              <w:t>供货期安排须详细阐述从货物发货时间、货物交接等各个阶段时间安排。不可预见突发处理时间进行合理计划等方面情况进行评议并打分，供货期安排方案合理等方面情况进行评议并打分，可行得4分，一般得2分，差得0分。</w:t>
            </w:r>
          </w:p>
        </w:tc>
        <w:tc>
          <w:tcPr>
            <w:tcW w:w="450"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617" w:type="dxa"/>
            <w:vMerge w:val="restart"/>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rFonts w:hint="eastAsia" w:eastAsia="楷体"/>
                <w:sz w:val="18"/>
                <w:lang w:eastAsia="zh-CN"/>
              </w:rPr>
            </w:pPr>
            <w:r>
              <w:rPr>
                <w:rFonts w:hint="eastAsia"/>
                <w:sz w:val="18"/>
                <w:lang w:val="en-US" w:eastAsia="zh-CN"/>
              </w:rPr>
              <w:t>4</w:t>
            </w:r>
          </w:p>
        </w:tc>
        <w:tc>
          <w:tcPr>
            <w:tcW w:w="889" w:type="dxa"/>
            <w:vMerge w:val="restart"/>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center"/>
              <w:textAlignment w:val="auto"/>
              <w:rPr>
                <w:sz w:val="18"/>
              </w:rPr>
            </w:pPr>
            <w:r>
              <w:rPr>
                <w:sz w:val="18"/>
              </w:rPr>
              <w:t>售后服务及培训</w:t>
            </w:r>
          </w:p>
        </w:tc>
        <w:tc>
          <w:tcPr>
            <w:tcW w:w="413" w:type="dxa"/>
            <w:vMerge w:val="restart"/>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15 分</w:t>
            </w:r>
          </w:p>
        </w:tc>
        <w:tc>
          <w:tcPr>
            <w:tcW w:w="6002"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sz w:val="18"/>
              </w:rPr>
              <w:t>售后服务、培训方案完整、可行、产品配件及备品备件情况，承诺明确，有专人负责本项目本地区售后，明确维保响应时效、排除故障时效，并提供售后维修网点的列表（包括经营场所地址、负责联系人及电话等）。所有投标企业横向比较，得 0-15 分</w:t>
            </w:r>
          </w:p>
        </w:tc>
        <w:tc>
          <w:tcPr>
            <w:tcW w:w="450" w:type="dxa"/>
            <w:vMerge w:val="restart"/>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vMerge w:val="restart"/>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hint="eastAsia" w:ascii="Times New Roman" w:eastAsia="楷体"/>
                <w:sz w:val="1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jc w:val="center"/>
        </w:trPr>
        <w:tc>
          <w:tcPr>
            <w:tcW w:w="617"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2"/>
                <w:szCs w:val="2"/>
              </w:rPr>
            </w:pPr>
          </w:p>
        </w:tc>
        <w:tc>
          <w:tcPr>
            <w:tcW w:w="889"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2"/>
                <w:szCs w:val="2"/>
              </w:rPr>
            </w:pPr>
          </w:p>
        </w:tc>
        <w:tc>
          <w:tcPr>
            <w:tcW w:w="413"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2"/>
                <w:szCs w:val="2"/>
              </w:rPr>
            </w:pPr>
          </w:p>
        </w:tc>
        <w:tc>
          <w:tcPr>
            <w:tcW w:w="6002"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sz w:val="18"/>
              </w:rPr>
              <w:t>注：（1）未提供本项目售后及维修人员名单的，扣 2 分；</w:t>
            </w:r>
          </w:p>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spacing w:val="-12"/>
                <w:sz w:val="18"/>
              </w:rPr>
              <w:t>（2）</w:t>
            </w:r>
            <w:r>
              <w:rPr>
                <w:spacing w:val="-1"/>
                <w:sz w:val="18"/>
              </w:rPr>
              <w:t>未提供维保响应时效及排除故障时效，</w:t>
            </w:r>
            <w:r>
              <w:rPr>
                <w:spacing w:val="-17"/>
                <w:sz w:val="18"/>
              </w:rPr>
              <w:t>1</w:t>
            </w:r>
            <w:r>
              <w:rPr>
                <w:spacing w:val="-7"/>
                <w:sz w:val="18"/>
              </w:rPr>
              <w:t xml:space="preserve"> 小时≤时效承诺＜3 </w:t>
            </w:r>
            <w:r>
              <w:rPr>
                <w:spacing w:val="-12"/>
                <w:sz w:val="18"/>
              </w:rPr>
              <w:t xml:space="preserve">小时，扣 </w:t>
            </w:r>
            <w:r>
              <w:rPr>
                <w:sz w:val="18"/>
              </w:rPr>
              <w:t>1</w:t>
            </w:r>
            <w:r>
              <w:rPr>
                <w:spacing w:val="-17"/>
                <w:sz w:val="18"/>
              </w:rPr>
              <w:t xml:space="preserve"> 分；</w:t>
            </w:r>
            <w:r>
              <w:rPr>
                <w:spacing w:val="-3"/>
                <w:sz w:val="18"/>
              </w:rPr>
              <w:t>3</w:t>
            </w:r>
            <w:r>
              <w:rPr>
                <w:spacing w:val="-7"/>
                <w:sz w:val="18"/>
              </w:rPr>
              <w:t xml:space="preserve"> 小时≤时效承诺</w:t>
            </w:r>
            <w:r>
              <w:rPr>
                <w:sz w:val="18"/>
              </w:rPr>
              <w:t>＜4</w:t>
            </w:r>
            <w:r>
              <w:rPr>
                <w:spacing w:val="-18"/>
                <w:sz w:val="18"/>
              </w:rPr>
              <w:t xml:space="preserve"> 小时，扣 </w:t>
            </w:r>
            <w:r>
              <w:rPr>
                <w:sz w:val="18"/>
              </w:rPr>
              <w:t>3</w:t>
            </w:r>
            <w:r>
              <w:rPr>
                <w:spacing w:val="-10"/>
                <w:sz w:val="18"/>
              </w:rPr>
              <w:t xml:space="preserve"> 分；时效承诺≥ </w:t>
            </w:r>
            <w:r>
              <w:rPr>
                <w:sz w:val="18"/>
              </w:rPr>
              <w:t>4</w:t>
            </w:r>
            <w:r>
              <w:rPr>
                <w:spacing w:val="-18"/>
                <w:sz w:val="18"/>
              </w:rPr>
              <w:t xml:space="preserve"> 小时的，扣 </w:t>
            </w:r>
            <w:r>
              <w:rPr>
                <w:sz w:val="18"/>
              </w:rPr>
              <w:t>5</w:t>
            </w:r>
            <w:r>
              <w:rPr>
                <w:spacing w:val="-34"/>
                <w:sz w:val="18"/>
              </w:rPr>
              <w:t xml:space="preserve"> 分</w:t>
            </w:r>
            <w:r>
              <w:rPr>
                <w:sz w:val="18"/>
              </w:rPr>
              <w:t>（</w:t>
            </w:r>
            <w:r>
              <w:rPr>
                <w:spacing w:val="-2"/>
                <w:sz w:val="18"/>
              </w:rPr>
              <w:t>提供有效证明文件如售后场所</w:t>
            </w:r>
            <w:r>
              <w:rPr>
                <w:spacing w:val="-3"/>
                <w:sz w:val="18"/>
              </w:rPr>
              <w:t>（</w:t>
            </w:r>
            <w:r>
              <w:rPr>
                <w:spacing w:val="-2"/>
                <w:sz w:val="18"/>
              </w:rPr>
              <w:t>房屋产权证或</w:t>
            </w:r>
            <w:r>
              <w:rPr>
                <w:sz w:val="18"/>
              </w:rPr>
              <w:t>者租赁合同）、自有交通工具，投标企业携带证明材料原件至开标现场备查，不提供或提供不完整的均不认可。</w:t>
            </w:r>
          </w:p>
        </w:tc>
        <w:tc>
          <w:tcPr>
            <w:tcW w:w="450" w:type="dxa"/>
            <w:vMerge w:val="continue"/>
          </w:tcPr>
          <w:p>
            <w:pPr>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sz w:val="2"/>
                <w:szCs w:val="2"/>
              </w:rPr>
            </w:pPr>
          </w:p>
        </w:tc>
        <w:tc>
          <w:tcPr>
            <w:tcW w:w="433" w:type="dxa"/>
            <w:gridSpan w:val="2"/>
            <w:vMerge w:val="continue"/>
          </w:tcPr>
          <w:p>
            <w:pPr>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jc w:val="center"/>
        </w:trPr>
        <w:tc>
          <w:tcPr>
            <w:tcW w:w="617"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二</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line="230" w:lineRule="atLeast"/>
              <w:ind w:left="0" w:right="0"/>
              <w:jc w:val="center"/>
              <w:textAlignment w:val="auto"/>
              <w:rPr>
                <w:sz w:val="18"/>
              </w:rPr>
            </w:pPr>
            <w:r>
              <w:rPr>
                <w:sz w:val="18"/>
              </w:rPr>
              <w:t>商务部分</w:t>
            </w:r>
          </w:p>
        </w:tc>
        <w:tc>
          <w:tcPr>
            <w:tcW w:w="413"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1</w:t>
            </w:r>
            <w:r>
              <w:rPr>
                <w:rFonts w:hint="eastAsia"/>
                <w:sz w:val="18"/>
                <w:lang w:val="en-US" w:eastAsia="zh-CN"/>
              </w:rPr>
              <w:t>3</w:t>
            </w:r>
            <w:r>
              <w:rPr>
                <w:sz w:val="18"/>
              </w:rPr>
              <w:t xml:space="preserve"> 分</w:t>
            </w:r>
          </w:p>
        </w:tc>
        <w:tc>
          <w:tcPr>
            <w:tcW w:w="6002"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sz w:val="18"/>
              </w:rPr>
            </w:pPr>
            <w:r>
              <w:rPr>
                <w:sz w:val="18"/>
              </w:rPr>
              <w:t>具体按下列标准要求进行评审</w:t>
            </w:r>
          </w:p>
        </w:tc>
        <w:tc>
          <w:tcPr>
            <w:tcW w:w="450"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617" w:type="dxa"/>
            <w:tcBorders>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5</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供货期限</w:t>
            </w:r>
          </w:p>
        </w:tc>
        <w:tc>
          <w:tcPr>
            <w:tcW w:w="413" w:type="dxa"/>
            <w:tcBorders>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2 分</w:t>
            </w:r>
          </w:p>
        </w:tc>
        <w:tc>
          <w:tcPr>
            <w:tcW w:w="6002" w:type="dxa"/>
            <w:tcBorders>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sz w:val="18"/>
              </w:rPr>
            </w:pPr>
            <w:r>
              <w:rPr>
                <w:sz w:val="18"/>
              </w:rPr>
              <w:t>投标人承诺供货期在满足</w:t>
            </w:r>
            <w:r>
              <w:rPr>
                <w:rFonts w:hint="eastAsia"/>
                <w:sz w:val="18"/>
                <w:lang w:eastAsia="zh-CN"/>
              </w:rPr>
              <w:t>磋商文件</w:t>
            </w:r>
            <w:r>
              <w:rPr>
                <w:sz w:val="18"/>
              </w:rPr>
              <w:t>要求前提下，每提前一天加 1</w:t>
            </w:r>
          </w:p>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sz w:val="18"/>
              </w:rPr>
            </w:pPr>
            <w:r>
              <w:rPr>
                <w:sz w:val="18"/>
              </w:rPr>
              <w:t>分，最高得 2 分。</w:t>
            </w:r>
          </w:p>
        </w:tc>
        <w:tc>
          <w:tcPr>
            <w:tcW w:w="450"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617"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6</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center"/>
              <w:textAlignment w:val="auto"/>
              <w:rPr>
                <w:sz w:val="18"/>
              </w:rPr>
            </w:pPr>
            <w:r>
              <w:rPr>
                <w:sz w:val="18"/>
              </w:rPr>
              <w:t>合法来源证明</w:t>
            </w:r>
          </w:p>
        </w:tc>
        <w:tc>
          <w:tcPr>
            <w:tcW w:w="413"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3 分</w:t>
            </w:r>
          </w:p>
        </w:tc>
        <w:tc>
          <w:tcPr>
            <w:tcW w:w="6002" w:type="dxa"/>
            <w:tcBorders>
              <w:top w:val="single" w:color="000000" w:sz="4" w:space="0"/>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sz w:val="18"/>
              </w:rPr>
            </w:pPr>
            <w:r>
              <w:rPr>
                <w:sz w:val="18"/>
              </w:rPr>
              <w:t>提供所有所投产品的合法来源证明（合法来源中必须包含厂家供</w:t>
            </w:r>
            <w:r>
              <w:rPr>
                <w:spacing w:val="-2"/>
                <w:sz w:val="18"/>
              </w:rPr>
              <w:t>货证明及</w:t>
            </w:r>
            <w:r>
              <w:rPr>
                <w:rFonts w:hint="eastAsia"/>
                <w:spacing w:val="-2"/>
                <w:sz w:val="18"/>
                <w:lang w:val="en-US" w:eastAsia="zh-CN"/>
              </w:rPr>
              <w:t>设备</w:t>
            </w:r>
            <w:r>
              <w:rPr>
                <w:spacing w:val="-2"/>
                <w:sz w:val="18"/>
              </w:rPr>
              <w:t>编号原件、厂家官网技术参数截图</w:t>
            </w:r>
            <w:r>
              <w:rPr>
                <w:sz w:val="18"/>
              </w:rPr>
              <w:t>（并附网址</w:t>
            </w:r>
            <w:r>
              <w:rPr>
                <w:spacing w:val="-12"/>
                <w:sz w:val="18"/>
              </w:rPr>
              <w:t xml:space="preserve">）， </w:t>
            </w:r>
            <w:r>
              <w:rPr>
                <w:spacing w:val="-4"/>
                <w:sz w:val="18"/>
              </w:rPr>
              <w:t xml:space="preserve">未提供或提供不全的此项得 </w:t>
            </w:r>
            <w:r>
              <w:rPr>
                <w:sz w:val="18"/>
              </w:rPr>
              <w:t>0</w:t>
            </w:r>
            <w:r>
              <w:rPr>
                <w:spacing w:val="-15"/>
                <w:sz w:val="18"/>
              </w:rPr>
              <w:t xml:space="preserve"> 分。</w:t>
            </w:r>
            <w:r>
              <w:rPr>
                <w:sz w:val="18"/>
              </w:rPr>
              <w:t>）</w:t>
            </w:r>
          </w:p>
        </w:tc>
        <w:tc>
          <w:tcPr>
            <w:tcW w:w="450"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617"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7</w:t>
            </w: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line="230" w:lineRule="atLeast"/>
              <w:ind w:left="0" w:right="0"/>
              <w:jc w:val="center"/>
              <w:textAlignment w:val="auto"/>
              <w:rPr>
                <w:sz w:val="18"/>
              </w:rPr>
            </w:pPr>
            <w:r>
              <w:rPr>
                <w:spacing w:val="-11"/>
                <w:sz w:val="18"/>
              </w:rPr>
              <w:t>辅件及备品备</w:t>
            </w:r>
            <w:r>
              <w:rPr>
                <w:sz w:val="18"/>
              </w:rPr>
              <w:t>件</w:t>
            </w:r>
          </w:p>
        </w:tc>
        <w:tc>
          <w:tcPr>
            <w:tcW w:w="413"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5 分</w:t>
            </w:r>
          </w:p>
        </w:tc>
        <w:tc>
          <w:tcPr>
            <w:tcW w:w="6002" w:type="dxa"/>
            <w:tcBorders>
              <w:top w:val="single" w:color="000000" w:sz="4" w:space="0"/>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sz w:val="18"/>
              </w:rPr>
              <w:t>横向比较设备所配备的辅件、附件、零部件、备品备件的供应情况及耐用性和使用寿命等。承诺能够长期供应且价格低于市场售价。（无承诺扣 2 分）</w:t>
            </w:r>
          </w:p>
        </w:tc>
        <w:tc>
          <w:tcPr>
            <w:tcW w:w="450"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617"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p>
        </w:tc>
        <w:tc>
          <w:tcPr>
            <w:tcW w:w="889" w:type="dxa"/>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line="230" w:lineRule="atLeast"/>
              <w:ind w:left="0" w:right="0"/>
              <w:jc w:val="center"/>
              <w:textAlignment w:val="auto"/>
              <w:rPr>
                <w:spacing w:val="-11"/>
                <w:sz w:val="18"/>
              </w:rPr>
            </w:pPr>
            <w:r>
              <w:rPr>
                <w:rFonts w:hint="eastAsia"/>
                <w:spacing w:val="-11"/>
                <w:sz w:val="18"/>
                <w:lang w:eastAsia="zh-CN"/>
              </w:rPr>
              <w:t>响应文件</w:t>
            </w:r>
            <w:r>
              <w:rPr>
                <w:rFonts w:hint="eastAsia"/>
                <w:spacing w:val="-11"/>
                <w:sz w:val="18"/>
              </w:rPr>
              <w:t>规范程度</w:t>
            </w:r>
          </w:p>
        </w:tc>
        <w:tc>
          <w:tcPr>
            <w:tcW w:w="413"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rFonts w:hint="eastAsia"/>
                <w:spacing w:val="-11"/>
                <w:sz w:val="18"/>
              </w:rPr>
              <w:t>（</w:t>
            </w:r>
            <w:r>
              <w:rPr>
                <w:rFonts w:hint="eastAsia"/>
                <w:spacing w:val="-11"/>
                <w:sz w:val="18"/>
                <w:lang w:val="en-US" w:eastAsia="zh-CN"/>
              </w:rPr>
              <w:t>3</w:t>
            </w:r>
            <w:r>
              <w:rPr>
                <w:rFonts w:hint="eastAsia"/>
                <w:spacing w:val="-11"/>
                <w:sz w:val="18"/>
              </w:rPr>
              <w:t>分）</w:t>
            </w:r>
          </w:p>
        </w:tc>
        <w:tc>
          <w:tcPr>
            <w:tcW w:w="6002" w:type="dxa"/>
            <w:tcBorders>
              <w:top w:val="single" w:color="000000" w:sz="4" w:space="0"/>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rFonts w:hint="eastAsia"/>
                <w:sz w:val="18"/>
                <w:lang w:eastAsia="zh-CN"/>
              </w:rPr>
              <w:t>响应文件</w:t>
            </w:r>
            <w:r>
              <w:rPr>
                <w:rFonts w:hint="eastAsia"/>
                <w:sz w:val="18"/>
              </w:rPr>
              <w:t>制作规范，易于快速查找评分项，有目录，页码连续，无细微偏差得</w:t>
            </w:r>
            <w:r>
              <w:rPr>
                <w:rFonts w:hint="eastAsia"/>
                <w:sz w:val="18"/>
                <w:lang w:val="en-US" w:eastAsia="zh-CN"/>
              </w:rPr>
              <w:t>3</w:t>
            </w:r>
            <w:r>
              <w:rPr>
                <w:rFonts w:hint="eastAsia"/>
                <w:sz w:val="18"/>
              </w:rPr>
              <w:t>分；</w:t>
            </w:r>
            <w:r>
              <w:rPr>
                <w:rFonts w:hint="eastAsia"/>
                <w:sz w:val="18"/>
                <w:lang w:eastAsia="zh-CN"/>
              </w:rPr>
              <w:t>响应文件</w:t>
            </w:r>
            <w:r>
              <w:rPr>
                <w:rFonts w:hint="eastAsia"/>
                <w:sz w:val="18"/>
              </w:rPr>
              <w:t>制作一般，有细微偏差得</w:t>
            </w:r>
            <w:r>
              <w:rPr>
                <w:rFonts w:hint="eastAsia"/>
                <w:sz w:val="18"/>
                <w:lang w:val="en-US" w:eastAsia="zh-CN"/>
              </w:rPr>
              <w:t>2</w:t>
            </w:r>
            <w:r>
              <w:rPr>
                <w:rFonts w:hint="eastAsia"/>
                <w:sz w:val="18"/>
              </w:rPr>
              <w:t>分；</w:t>
            </w:r>
            <w:r>
              <w:rPr>
                <w:rFonts w:hint="eastAsia"/>
                <w:sz w:val="18"/>
                <w:lang w:eastAsia="zh-CN"/>
              </w:rPr>
              <w:t>响应文件</w:t>
            </w:r>
            <w:r>
              <w:rPr>
                <w:rFonts w:hint="eastAsia"/>
                <w:sz w:val="18"/>
              </w:rPr>
              <w:t>制作不规范，细微偏差超过4项的不得分。</w:t>
            </w:r>
            <w:r>
              <w:rPr>
                <w:rFonts w:hint="eastAsia"/>
                <w:sz w:val="18"/>
                <w:lang w:val="en-US" w:eastAsia="zh-CN"/>
              </w:rPr>
              <w:t>最高得3分</w:t>
            </w:r>
          </w:p>
        </w:tc>
        <w:tc>
          <w:tcPr>
            <w:tcW w:w="450" w:type="dxa"/>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rFonts w:ascii="Times New Roman"/>
                <w:sz w:val="18"/>
              </w:rPr>
            </w:pPr>
          </w:p>
        </w:tc>
        <w:tc>
          <w:tcPr>
            <w:tcW w:w="433" w:type="dxa"/>
            <w:gridSpan w:val="2"/>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617"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三</w:t>
            </w:r>
          </w:p>
        </w:tc>
        <w:tc>
          <w:tcPr>
            <w:tcW w:w="889" w:type="dxa"/>
            <w:tcBorders>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报价</w:t>
            </w:r>
          </w:p>
        </w:tc>
        <w:tc>
          <w:tcPr>
            <w:tcW w:w="413"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30 分</w:t>
            </w:r>
          </w:p>
        </w:tc>
        <w:tc>
          <w:tcPr>
            <w:tcW w:w="6452" w:type="dxa"/>
            <w:gridSpan w:val="2"/>
            <w:tcBorders>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textAlignment w:val="auto"/>
              <w:rPr>
                <w:sz w:val="18"/>
              </w:rPr>
            </w:pPr>
            <w:r>
              <w:rPr>
                <w:sz w:val="18"/>
              </w:rPr>
              <w:t>具体按下列标准要求进行评审</w:t>
            </w:r>
          </w:p>
        </w:tc>
        <w:tc>
          <w:tcPr>
            <w:tcW w:w="433" w:type="dxa"/>
            <w:gridSpan w:val="2"/>
            <w:tcBorders>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jc w:val="center"/>
        </w:trPr>
        <w:tc>
          <w:tcPr>
            <w:tcW w:w="617"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rFonts w:hint="eastAsia" w:eastAsia="楷体"/>
                <w:sz w:val="18"/>
                <w:lang w:eastAsia="zh-CN"/>
              </w:rPr>
            </w:pPr>
            <w:r>
              <w:rPr>
                <w:rFonts w:hint="eastAsia"/>
                <w:sz w:val="18"/>
                <w:lang w:val="en-US" w:eastAsia="zh-CN"/>
              </w:rPr>
              <w:t>8</w:t>
            </w:r>
          </w:p>
        </w:tc>
        <w:tc>
          <w:tcPr>
            <w:tcW w:w="889"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line="242" w:lineRule="auto"/>
              <w:ind w:left="0" w:right="0"/>
              <w:jc w:val="center"/>
              <w:textAlignment w:val="auto"/>
              <w:rPr>
                <w:rFonts w:hint="eastAsia" w:eastAsia="楷体"/>
                <w:sz w:val="18"/>
                <w:lang w:eastAsia="zh-CN"/>
              </w:rPr>
            </w:pPr>
            <w:r>
              <w:rPr>
                <w:rFonts w:hint="eastAsia"/>
                <w:sz w:val="18"/>
                <w:lang w:eastAsia="zh-CN"/>
              </w:rPr>
              <w:t>最终报价</w:t>
            </w:r>
          </w:p>
        </w:tc>
        <w:tc>
          <w:tcPr>
            <w:tcW w:w="413" w:type="dxa"/>
            <w:tcBorders>
              <w:top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b/>
                <w:sz w:val="18"/>
              </w:rPr>
            </w:pPr>
          </w:p>
          <w:p>
            <w:pPr>
              <w:pStyle w:val="30"/>
              <w:keepNext w:val="0"/>
              <w:keepLines w:val="0"/>
              <w:pageBreakBefore w:val="0"/>
              <w:widowControl w:val="0"/>
              <w:kinsoku/>
              <w:wordWrap/>
              <w:overflowPunct/>
              <w:topLinePunct w:val="0"/>
              <w:autoSpaceDE w:val="0"/>
              <w:autoSpaceDN w:val="0"/>
              <w:bidi w:val="0"/>
              <w:adjustRightInd w:val="0"/>
              <w:snapToGrid/>
              <w:spacing w:before="0"/>
              <w:ind w:left="0" w:right="0"/>
              <w:jc w:val="center"/>
              <w:textAlignment w:val="auto"/>
              <w:rPr>
                <w:sz w:val="18"/>
              </w:rPr>
            </w:pPr>
            <w:r>
              <w:rPr>
                <w:sz w:val="18"/>
              </w:rPr>
              <w:t>30 分</w:t>
            </w:r>
          </w:p>
        </w:tc>
        <w:tc>
          <w:tcPr>
            <w:tcW w:w="6452" w:type="dxa"/>
            <w:gridSpan w:val="2"/>
            <w:tcBorders>
              <w:top w:val="single" w:color="000000" w:sz="4" w:space="0"/>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sz w:val="18"/>
              </w:rPr>
              <w:t>各供应商的价格得分的计算公式：采用低价优先法计算，即满足</w:t>
            </w:r>
            <w:r>
              <w:rPr>
                <w:rFonts w:hint="eastAsia"/>
                <w:sz w:val="18"/>
                <w:lang w:eastAsia="zh-CN"/>
              </w:rPr>
              <w:t>磋商文件</w:t>
            </w:r>
            <w:r>
              <w:rPr>
                <w:sz w:val="18"/>
              </w:rPr>
              <w:t>要求且投标价格最低的投标报价为评标基准价，其价格分为满分。其他投标人的价格分统一按照下列公式计算：</w:t>
            </w:r>
          </w:p>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sz w:val="18"/>
              </w:rPr>
              <w:t>投标报价得分=(评标基准价／投标报价)×价格权值×100。计算分数时四舍五入取小数点后两位,分数最高不超过 30 分。</w:t>
            </w:r>
          </w:p>
          <w:p>
            <w:pPr>
              <w:pStyle w:val="30"/>
              <w:keepNext w:val="0"/>
              <w:keepLines w:val="0"/>
              <w:pageBreakBefore w:val="0"/>
              <w:widowControl w:val="0"/>
              <w:kinsoku/>
              <w:wordWrap/>
              <w:overflowPunct/>
              <w:topLinePunct w:val="0"/>
              <w:autoSpaceDE w:val="0"/>
              <w:autoSpaceDN w:val="0"/>
              <w:bidi w:val="0"/>
              <w:adjustRightInd w:val="0"/>
              <w:snapToGrid/>
              <w:spacing w:before="0" w:line="240" w:lineRule="auto"/>
              <w:ind w:left="0" w:right="0"/>
              <w:jc w:val="both"/>
              <w:textAlignment w:val="auto"/>
              <w:rPr>
                <w:sz w:val="18"/>
              </w:rPr>
            </w:pPr>
            <w:r>
              <w:rPr>
                <w:sz w:val="18"/>
              </w:rPr>
              <w:t>评标过程中，不得去掉报价中的最低和最高报价。因落实政府采购政策进行价格调整的，以调整后的价格计算评标基准价和投标报价。有效投标报价为通过初步审查的供应商报价。</w:t>
            </w:r>
          </w:p>
        </w:tc>
        <w:tc>
          <w:tcPr>
            <w:tcW w:w="433" w:type="dxa"/>
            <w:gridSpan w:val="2"/>
            <w:tcBorders>
              <w:top w:val="single" w:color="000000" w:sz="4" w:space="0"/>
              <w:bottom w:val="single" w:color="000000" w:sz="4" w:space="0"/>
            </w:tcBorders>
          </w:tcPr>
          <w:p>
            <w:pPr>
              <w:pStyle w:val="30"/>
              <w:keepNext w:val="0"/>
              <w:keepLines w:val="0"/>
              <w:pageBreakBefore w:val="0"/>
              <w:widowControl w:val="0"/>
              <w:kinsoku/>
              <w:wordWrap/>
              <w:overflowPunct/>
              <w:topLinePunct w:val="0"/>
              <w:autoSpaceDE w:val="0"/>
              <w:autoSpaceDN w:val="0"/>
              <w:bidi w:val="0"/>
              <w:adjustRightInd w:val="0"/>
              <w:snapToGrid/>
              <w:spacing w:before="0"/>
              <w:ind w:left="0" w:right="0"/>
              <w:textAlignment w:val="auto"/>
              <w:rPr>
                <w:rFonts w:ascii="Times New Roman"/>
                <w:sz w:val="18"/>
              </w:rPr>
            </w:pPr>
          </w:p>
        </w:tc>
      </w:tr>
    </w:tbl>
    <w:p/>
    <w:p>
      <w:pPr>
        <w:pStyle w:val="14"/>
        <w:rPr>
          <w:rFonts w:hint="eastAsia" w:ascii="楷体" w:hAnsi="楷体" w:eastAsia="楷体" w:cs="楷体"/>
        </w:rPr>
      </w:pPr>
    </w:p>
    <w:p>
      <w:pPr>
        <w:widowControl/>
        <w:spacing w:line="360" w:lineRule="auto"/>
        <w:rPr>
          <w:rFonts w:hint="eastAsia" w:ascii="楷体" w:hAnsi="楷体" w:eastAsia="楷体" w:cs="楷体"/>
          <w:color w:val="000000"/>
          <w:sz w:val="24"/>
        </w:rPr>
      </w:pPr>
      <w:r>
        <w:rPr>
          <w:rFonts w:hint="eastAsia" w:ascii="楷体" w:hAnsi="楷体" w:eastAsia="楷体" w:cs="楷体"/>
          <w:color w:val="000000"/>
          <w:sz w:val="24"/>
        </w:rPr>
        <w:t>注：1.根据</w:t>
      </w:r>
      <w:r>
        <w:rPr>
          <w:rFonts w:hint="eastAsia" w:ascii="楷体" w:hAnsi="楷体" w:eastAsia="楷体" w:cs="楷体"/>
          <w:color w:val="000000"/>
          <w:sz w:val="24"/>
          <w:lang w:eastAsia="zh-CN"/>
        </w:rPr>
        <w:t>《政府采购促进中小企业发展管理办法》（财库【2020】46号）</w:t>
      </w:r>
      <w:r>
        <w:rPr>
          <w:rFonts w:hint="eastAsia" w:ascii="楷体" w:hAnsi="楷体" w:eastAsia="楷体" w:cs="楷体"/>
          <w:color w:val="000000"/>
          <w:sz w:val="24"/>
        </w:rPr>
        <w:t>、《财政部 司法部关于政府采购支持监狱企业发展有关问题的通知》（财库〔2014〕68号）和《三部门联合发布关于促进残疾人就业政府采购政策的通知》（财库〔2017〕141号）的规定，对满足价格扣除条件且在</w:t>
      </w:r>
      <w:r>
        <w:rPr>
          <w:rFonts w:hint="eastAsia" w:ascii="楷体" w:hAnsi="楷体" w:eastAsia="楷体" w:cs="楷体"/>
          <w:color w:val="000000"/>
          <w:sz w:val="24"/>
          <w:lang w:eastAsia="zh-CN"/>
        </w:rPr>
        <w:t>响应文件</w:t>
      </w:r>
      <w:r>
        <w:rPr>
          <w:rFonts w:hint="eastAsia" w:ascii="楷体" w:hAnsi="楷体" w:eastAsia="楷体" w:cs="楷体"/>
          <w:color w:val="000000"/>
          <w:sz w:val="24"/>
        </w:rPr>
        <w:t>中提交了《投标人企业类型声明函》、《残疾人福利性单位声明函》或省级以上监狱管理局、戒毒管理局（含新疆生产建设兵团）出具的属于监狱企业的证明文件的投标人，其投标报价扣除</w:t>
      </w:r>
      <w:r>
        <w:rPr>
          <w:rFonts w:hint="eastAsia" w:ascii="楷体" w:hAnsi="楷体" w:eastAsia="楷体" w:cs="楷体"/>
          <w:color w:val="000000"/>
          <w:sz w:val="24"/>
          <w:u w:val="single"/>
        </w:rPr>
        <w:t xml:space="preserve"> 6 </w:t>
      </w:r>
      <w:r>
        <w:rPr>
          <w:rFonts w:hint="eastAsia" w:ascii="楷体" w:hAnsi="楷体" w:eastAsia="楷体" w:cs="楷体"/>
          <w:color w:val="000000"/>
          <w:sz w:val="24"/>
        </w:rPr>
        <w:t xml:space="preserve"> %后参与评审。对于同时属于小微企业、监狱企业或残疾人福利性单位的，不重复进行投标报价扣除。</w:t>
      </w:r>
    </w:p>
    <w:p>
      <w:pPr>
        <w:widowControl/>
        <w:spacing w:line="360" w:lineRule="auto"/>
        <w:ind w:firstLine="480" w:firstLineChars="200"/>
        <w:jc w:val="left"/>
        <w:rPr>
          <w:rFonts w:hint="eastAsia" w:ascii="楷体" w:hAnsi="楷体" w:eastAsia="楷体" w:cs="楷体"/>
          <w:color w:val="000000"/>
          <w:sz w:val="24"/>
        </w:rPr>
      </w:pPr>
      <w:r>
        <w:rPr>
          <w:rFonts w:hint="eastAsia" w:ascii="楷体" w:hAnsi="楷体" w:eastAsia="楷体" w:cs="楷体"/>
          <w:color w:val="000000"/>
          <w:sz w:val="24"/>
        </w:rPr>
        <w:t>2.</w:t>
      </w:r>
      <w:r>
        <w:rPr>
          <w:rFonts w:hint="eastAsia" w:ascii="楷体" w:hAnsi="楷体" w:eastAsia="楷体" w:cs="楷体"/>
          <w:b/>
          <w:bCs/>
          <w:i/>
          <w:iCs/>
          <w:color w:val="000000"/>
          <w:sz w:val="24"/>
        </w:rPr>
        <w:t>（本项目不接受联合体投标）</w:t>
      </w:r>
      <w:r>
        <w:rPr>
          <w:rFonts w:hint="eastAsia" w:ascii="楷体" w:hAnsi="楷体" w:eastAsia="楷体" w:cs="楷体"/>
          <w:color w:val="000000"/>
          <w:sz w:val="24"/>
        </w:rPr>
        <w:t>联合协议中约定，小型、微型企业和监狱企业的协议合同金额占到联合体协议合同总金额30%以上的，可给予联合体</w:t>
      </w:r>
      <w:r>
        <w:rPr>
          <w:rFonts w:hint="eastAsia" w:ascii="楷体" w:hAnsi="楷体" w:eastAsia="楷体" w:cs="楷体"/>
          <w:color w:val="000000"/>
          <w:sz w:val="24"/>
          <w:u w:val="single"/>
        </w:rPr>
        <w:t xml:space="preserve">  3  </w:t>
      </w:r>
      <w:r>
        <w:rPr>
          <w:rFonts w:hint="eastAsia" w:ascii="楷体" w:hAnsi="楷体" w:eastAsia="楷体" w:cs="楷体"/>
          <w:color w:val="000000"/>
          <w:sz w:val="24"/>
        </w:rPr>
        <w:t>%的价格扣除。</w:t>
      </w:r>
    </w:p>
    <w:p>
      <w:pPr>
        <w:widowControl/>
        <w:spacing w:line="360" w:lineRule="auto"/>
        <w:ind w:firstLine="480" w:firstLineChars="200"/>
        <w:jc w:val="left"/>
        <w:rPr>
          <w:rFonts w:hint="eastAsia" w:ascii="楷体" w:hAnsi="楷体" w:eastAsia="楷体" w:cs="楷体"/>
          <w:color w:val="000000"/>
          <w:sz w:val="24"/>
        </w:rPr>
      </w:pPr>
      <w:r>
        <w:rPr>
          <w:rFonts w:hint="eastAsia" w:ascii="楷体" w:hAnsi="楷体" w:eastAsia="楷体" w:cs="楷体"/>
          <w:color w:val="000000"/>
          <w:sz w:val="24"/>
        </w:rPr>
        <w:t>联合体各方均为小型、微型企业和监狱企业的，联合体视同为小型、微型企业和监狱企业。</w:t>
      </w:r>
    </w:p>
    <w:p>
      <w:pPr>
        <w:pStyle w:val="7"/>
        <w:tabs>
          <w:tab w:val="clear" w:pos="567"/>
        </w:tabs>
        <w:spacing w:before="0" w:line="360" w:lineRule="auto"/>
        <w:ind w:left="-61" w:leftChars="-29" w:firstLine="540" w:firstLineChars="225"/>
        <w:rPr>
          <w:rFonts w:hint="eastAsia" w:ascii="楷体" w:hAnsi="楷体" w:eastAsia="楷体" w:cs="楷体"/>
          <w:i/>
          <w:iCs/>
          <w:color w:val="000000"/>
          <w:u w:val="single"/>
          <w:lang w:val="en-US" w:eastAsia="zh-CN"/>
        </w:rPr>
      </w:pPr>
      <w:r>
        <w:rPr>
          <w:rFonts w:hint="eastAsia" w:ascii="楷体" w:hAnsi="楷体" w:eastAsia="楷体" w:cs="楷体"/>
          <w:color w:val="000000"/>
        </w:rPr>
        <w:t>3.投标人所投产品如被列入财政部与国家主管部门颁发的节能产品目录或环境标志产品目录或无线局域网产品目录，应提供相关证明，在评标时予以优先采购，具体优惠措施为：</w:t>
      </w:r>
      <w:r>
        <w:rPr>
          <w:rFonts w:hint="eastAsia" w:ascii="楷体" w:hAnsi="楷体" w:eastAsia="楷体" w:cs="楷体"/>
          <w:color w:val="000000"/>
          <w:lang w:val="en-US" w:eastAsia="zh-CN"/>
        </w:rPr>
        <w:t>无</w:t>
      </w:r>
    </w:p>
    <w:p>
      <w:pPr>
        <w:pStyle w:val="7"/>
        <w:tabs>
          <w:tab w:val="clear" w:pos="567"/>
        </w:tabs>
        <w:spacing w:before="0" w:line="360" w:lineRule="auto"/>
        <w:ind w:left="-181" w:leftChars="-86" w:firstLine="660" w:firstLineChars="275"/>
        <w:rPr>
          <w:rFonts w:hint="eastAsia" w:ascii="楷体" w:hAnsi="楷体" w:eastAsia="楷体" w:cs="楷体"/>
          <w:color w:val="000000"/>
        </w:rPr>
      </w:pPr>
      <w:r>
        <w:rPr>
          <w:rFonts w:hint="eastAsia" w:ascii="楷体" w:hAnsi="楷体" w:eastAsia="楷体" w:cs="楷体"/>
          <w:color w:val="000000"/>
        </w:rPr>
        <w:t>4.如采购人所采购产品为政府强制采购的节能产品，投标人所投产品的品牌及型号必须为清单中有效期内产品并提供证明文件，否则其投标将被认定为</w:t>
      </w:r>
      <w:r>
        <w:rPr>
          <w:rFonts w:hint="eastAsia" w:ascii="楷体" w:hAnsi="楷体" w:eastAsia="楷体" w:cs="楷体"/>
          <w:b/>
          <w:bCs/>
          <w:color w:val="000000"/>
        </w:rPr>
        <w:t>投标无效</w:t>
      </w:r>
      <w:r>
        <w:rPr>
          <w:rFonts w:hint="eastAsia" w:ascii="楷体" w:hAnsi="楷体" w:eastAsia="楷体" w:cs="楷体"/>
          <w:color w:val="000000"/>
        </w:rPr>
        <w:t>。</w:t>
      </w:r>
    </w:p>
    <w:p>
      <w:pPr>
        <w:pStyle w:val="7"/>
        <w:tabs>
          <w:tab w:val="clear" w:pos="567"/>
        </w:tabs>
        <w:spacing w:before="0" w:line="360" w:lineRule="auto"/>
        <w:ind w:left="-181" w:leftChars="-86" w:firstLine="660" w:firstLineChars="275"/>
        <w:rPr>
          <w:rFonts w:hint="eastAsia" w:ascii="楷体" w:hAnsi="楷体" w:eastAsia="楷体" w:cs="楷体"/>
          <w:color w:val="000000"/>
        </w:rPr>
      </w:pPr>
      <w:r>
        <w:rPr>
          <w:rFonts w:hint="eastAsia" w:ascii="楷体" w:hAnsi="楷体" w:eastAsia="楷体" w:cs="楷体"/>
          <w:color w:val="000000"/>
        </w:rPr>
        <w:t>5.对创新产品或创新性企业的优惠措施为</w:t>
      </w:r>
      <w:r>
        <w:rPr>
          <w:rFonts w:hint="eastAsia" w:ascii="楷体" w:hAnsi="楷体" w:eastAsia="楷体" w:cs="楷体"/>
          <w:color w:val="000000"/>
          <w:u w:val="single"/>
        </w:rPr>
        <w:t xml:space="preserve">：无       </w:t>
      </w:r>
    </w:p>
    <w:p>
      <w:pPr>
        <w:pStyle w:val="7"/>
        <w:tabs>
          <w:tab w:val="clear" w:pos="567"/>
        </w:tabs>
        <w:spacing w:before="0" w:line="360" w:lineRule="auto"/>
        <w:ind w:left="-181" w:leftChars="-86" w:firstLine="660" w:firstLineChars="275"/>
        <w:rPr>
          <w:rFonts w:hint="eastAsia" w:ascii="楷体" w:hAnsi="楷体" w:eastAsia="楷体" w:cs="楷体"/>
          <w:color w:val="000000"/>
        </w:rPr>
      </w:pPr>
      <w:r>
        <w:rPr>
          <w:rFonts w:hint="eastAsia" w:ascii="楷体" w:hAnsi="楷体" w:eastAsia="楷体" w:cs="楷体"/>
          <w:color w:val="000000"/>
        </w:rPr>
        <w:t>6.同品牌处理办法：</w:t>
      </w:r>
    </w:p>
    <w:p>
      <w:pPr>
        <w:pStyle w:val="16"/>
        <w:shd w:val="clear" w:color="auto" w:fill="FFFFFF"/>
        <w:spacing w:before="0" w:beforeAutospacing="0" w:after="0" w:afterAutospacing="0" w:line="360" w:lineRule="auto"/>
        <w:ind w:firstLine="480"/>
        <w:rPr>
          <w:rFonts w:hint="eastAsia" w:ascii="楷体" w:hAnsi="楷体" w:eastAsia="楷体" w:cs="楷体"/>
          <w:color w:val="000000"/>
        </w:rPr>
      </w:pPr>
      <w:r>
        <w:rPr>
          <w:rFonts w:hint="eastAsia" w:ascii="楷体" w:hAnsi="楷体" w:eastAsia="楷体" w:cs="楷体"/>
          <w:color w:val="000000"/>
        </w:rPr>
        <w:t>如采用综合评标法，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楷体" w:hAnsi="楷体" w:eastAsia="楷体" w:cs="楷体"/>
          <w:color w:val="000000"/>
          <w:lang w:eastAsia="zh-CN"/>
        </w:rPr>
        <w:t>磋商文件</w:t>
      </w:r>
      <w:r>
        <w:rPr>
          <w:rFonts w:hint="eastAsia" w:ascii="楷体" w:hAnsi="楷体" w:eastAsia="楷体" w:cs="楷体"/>
          <w:color w:val="000000"/>
        </w:rPr>
        <w:t>规定的方式确定一个投标人获得中标人推荐资格，</w:t>
      </w:r>
      <w:r>
        <w:rPr>
          <w:rFonts w:hint="eastAsia" w:ascii="楷体" w:hAnsi="楷体" w:eastAsia="楷体" w:cs="楷体"/>
          <w:color w:val="000000"/>
          <w:lang w:eastAsia="zh-CN"/>
        </w:rPr>
        <w:t>磋商文件</w:t>
      </w:r>
      <w:r>
        <w:rPr>
          <w:rFonts w:hint="eastAsia" w:ascii="楷体" w:hAnsi="楷体" w:eastAsia="楷体" w:cs="楷体"/>
          <w:color w:val="000000"/>
        </w:rPr>
        <w:t>未规定的采取随机抽取方式确定，其他同品牌投标人不作为中标候选人。</w:t>
      </w:r>
    </w:p>
    <w:p>
      <w:pPr>
        <w:pStyle w:val="16"/>
        <w:shd w:val="clear" w:color="auto" w:fill="FFFFFF"/>
        <w:spacing w:before="0" w:beforeAutospacing="0" w:after="0" w:afterAutospacing="0" w:line="360" w:lineRule="auto"/>
        <w:ind w:firstLine="480"/>
        <w:rPr>
          <w:rFonts w:hint="eastAsia" w:ascii="楷体" w:hAnsi="楷体" w:eastAsia="楷体" w:cs="楷体"/>
          <w:color w:val="000000"/>
        </w:rPr>
      </w:pPr>
      <w:r>
        <w:rPr>
          <w:rFonts w:hint="eastAsia" w:ascii="楷体" w:hAnsi="楷体" w:eastAsia="楷体" w:cs="楷体"/>
          <w:color w:val="000000"/>
        </w:rPr>
        <w:t xml:space="preserve">7.中标候选人并列式时的处理方式：   </w:t>
      </w:r>
    </w:p>
    <w:p>
      <w:pPr>
        <w:pStyle w:val="7"/>
        <w:tabs>
          <w:tab w:val="clear" w:pos="567"/>
        </w:tabs>
        <w:spacing w:before="0" w:line="360" w:lineRule="auto"/>
        <w:ind w:left="-181" w:leftChars="-86" w:firstLine="660" w:firstLineChars="275"/>
        <w:rPr>
          <w:rFonts w:hint="eastAsia" w:ascii="楷体" w:hAnsi="楷体" w:eastAsia="楷体" w:cs="楷体"/>
          <w:color w:val="000000"/>
        </w:rPr>
      </w:pPr>
      <w:r>
        <w:rPr>
          <w:rFonts w:hint="eastAsia" w:ascii="楷体" w:hAnsi="楷体" w:eastAsia="楷体" w:cs="楷体"/>
          <w:color w:val="000000"/>
        </w:rPr>
        <w:t>如采用综合评标法，则：</w:t>
      </w:r>
      <w:r>
        <w:rPr>
          <w:rFonts w:hint="eastAsia" w:ascii="楷体" w:hAnsi="楷体" w:eastAsia="楷体" w:cs="楷体"/>
          <w:color w:val="000000"/>
          <w:u w:val="single"/>
        </w:rPr>
        <w:t xml:space="preserve"> 评审得分相同的且投标报价不同的，按投标报价低的中标；评审得分相同且投标报价相同的，</w:t>
      </w:r>
      <w:r>
        <w:rPr>
          <w:rFonts w:hint="eastAsia" w:ascii="楷体" w:hAnsi="楷体" w:eastAsia="楷体" w:cs="楷体"/>
          <w:color w:val="000000"/>
          <w:u w:val="single"/>
          <w:lang w:val="en-US" w:eastAsia="zh-CN"/>
        </w:rPr>
        <w:t>质量技术高的排在前，评审得分相同且投标报价相同的，质量技术分相同的，售后服务分高的排在前。</w:t>
      </w:r>
    </w:p>
    <w:p>
      <w:pPr>
        <w:pStyle w:val="7"/>
        <w:tabs>
          <w:tab w:val="clear" w:pos="567"/>
        </w:tabs>
        <w:spacing w:before="0" w:line="360" w:lineRule="auto"/>
        <w:rPr>
          <w:rFonts w:hint="eastAsia" w:ascii="楷体" w:hAnsi="楷体" w:eastAsia="楷体" w:cs="楷体"/>
          <w:b/>
          <w:bCs w:val="0"/>
          <w:sz w:val="48"/>
          <w:szCs w:val="48"/>
          <w:lang w:eastAsia="zh-CN"/>
        </w:rPr>
      </w:pPr>
      <w:r>
        <w:rPr>
          <w:rFonts w:hint="eastAsia" w:ascii="楷体" w:hAnsi="楷体" w:eastAsia="楷体" w:cs="楷体"/>
          <w:b/>
          <w:spacing w:val="-2"/>
          <w:sz w:val="24"/>
        </w:rPr>
        <w:br w:type="page"/>
      </w:r>
      <w:bookmarkStart w:id="511" w:name="_Toc507399904"/>
    </w:p>
    <w:p>
      <w:pPr>
        <w:spacing w:line="240" w:lineRule="atLeast"/>
        <w:ind w:left="1080" w:leftChars="257" w:hanging="540"/>
        <w:jc w:val="center"/>
        <w:rPr>
          <w:rFonts w:hint="eastAsia" w:ascii="楷体" w:hAnsi="楷体" w:eastAsia="楷体" w:cs="楷体"/>
          <w:bCs/>
          <w:sz w:val="48"/>
          <w:szCs w:val="48"/>
          <w:lang w:eastAsia="zh-CN"/>
        </w:rPr>
      </w:pPr>
      <w:r>
        <w:rPr>
          <w:rFonts w:hint="eastAsia" w:ascii="楷体" w:hAnsi="楷体" w:eastAsia="楷体" w:cs="楷体"/>
          <w:b/>
          <w:bCs w:val="0"/>
          <w:sz w:val="48"/>
          <w:szCs w:val="48"/>
          <w:lang w:eastAsia="zh-CN"/>
        </w:rPr>
        <w:t>塔什库尔干野生动物自然保护区服务中心采购科研监测设备（视频监测设备、湿地生态监测与管理大数据平台软件升级版软件、智能巡护移动终端、保护区卫星遥感影像）项目</w:t>
      </w:r>
      <w:r>
        <w:rPr>
          <w:rFonts w:hint="eastAsia" w:ascii="楷体" w:hAnsi="楷体" w:eastAsia="楷体" w:cs="楷体"/>
          <w:b/>
          <w:bCs w:val="0"/>
          <w:sz w:val="48"/>
          <w:szCs w:val="48"/>
        </w:rPr>
        <w:t>竞争性磋商</w:t>
      </w:r>
      <w:r>
        <w:rPr>
          <w:rFonts w:hint="eastAsia" w:ascii="楷体" w:hAnsi="楷体" w:eastAsia="楷体" w:cs="楷体"/>
          <w:b/>
          <w:bCs w:val="0"/>
          <w:sz w:val="48"/>
          <w:szCs w:val="48"/>
          <w:lang w:eastAsia="zh-CN"/>
        </w:rPr>
        <w:t>文件</w:t>
      </w:r>
    </w:p>
    <w:p>
      <w:pPr>
        <w:pStyle w:val="3"/>
        <w:rPr>
          <w:rFonts w:hint="eastAsia"/>
        </w:rPr>
      </w:pPr>
    </w:p>
    <w:p>
      <w:pPr>
        <w:spacing w:line="240" w:lineRule="atLeast"/>
        <w:ind w:left="1080" w:leftChars="257" w:hanging="540"/>
        <w:jc w:val="center"/>
        <w:rPr>
          <w:rFonts w:hint="eastAsia" w:ascii="楷体" w:hAnsi="楷体" w:eastAsia="楷体" w:cs="楷体"/>
          <w:bCs/>
          <w:sz w:val="32"/>
          <w:szCs w:val="32"/>
        </w:rPr>
      </w:pPr>
      <w:r>
        <w:rPr>
          <w:rFonts w:hint="eastAsia" w:ascii="楷体" w:hAnsi="楷体" w:eastAsia="楷体" w:cs="楷体"/>
          <w:bCs/>
          <w:sz w:val="52"/>
          <w:szCs w:val="52"/>
        </w:rPr>
        <w:t xml:space="preserve"> </w:t>
      </w:r>
      <w:r>
        <w:rPr>
          <w:rFonts w:hint="eastAsia" w:ascii="楷体" w:hAnsi="楷体" w:eastAsia="楷体" w:cs="楷体"/>
          <w:bCs/>
          <w:sz w:val="36"/>
          <w:szCs w:val="36"/>
        </w:rPr>
        <w:t>项目编号：</w:t>
      </w:r>
      <w:r>
        <w:rPr>
          <w:rFonts w:hint="eastAsia" w:ascii="楷体" w:hAnsi="楷体" w:eastAsia="楷体" w:cs="楷体"/>
          <w:bCs/>
          <w:sz w:val="36"/>
          <w:szCs w:val="36"/>
          <w:lang w:eastAsia="zh-CN"/>
        </w:rPr>
        <w:t>KSBJ-HRGL-2021-01</w:t>
      </w:r>
    </w:p>
    <w:p>
      <w:pPr>
        <w:pStyle w:val="3"/>
        <w:ind w:left="0" w:leftChars="0" w:firstLine="0" w:firstLineChars="0"/>
        <w:rPr>
          <w:rFonts w:hint="eastAsia" w:ascii="楷体" w:hAnsi="楷体" w:eastAsia="楷体" w:cs="楷体"/>
          <w:bCs/>
          <w:sz w:val="32"/>
          <w:szCs w:val="32"/>
        </w:rPr>
      </w:pPr>
    </w:p>
    <w:p>
      <w:pPr>
        <w:pStyle w:val="3"/>
        <w:rPr>
          <w:rFonts w:hint="eastAsia"/>
        </w:rPr>
      </w:pPr>
    </w:p>
    <w:p>
      <w:pPr>
        <w:spacing w:line="240" w:lineRule="atLeast"/>
        <w:ind w:left="1080" w:leftChars="257" w:hanging="540"/>
        <w:jc w:val="center"/>
        <w:rPr>
          <w:rFonts w:hint="eastAsia" w:ascii="楷体" w:hAnsi="楷体" w:eastAsia="楷体" w:cs="楷体"/>
          <w:b/>
          <w:sz w:val="32"/>
          <w:szCs w:val="32"/>
        </w:rPr>
      </w:pPr>
    </w:p>
    <w:p>
      <w:pPr>
        <w:spacing w:line="240" w:lineRule="atLeast"/>
        <w:ind w:left="1080" w:leftChars="257" w:hanging="540"/>
        <w:jc w:val="center"/>
        <w:rPr>
          <w:rFonts w:hint="eastAsia" w:ascii="楷体" w:hAnsi="楷体" w:eastAsia="楷体" w:cs="楷体"/>
          <w:b/>
          <w:sz w:val="32"/>
          <w:szCs w:val="32"/>
        </w:rPr>
      </w:pPr>
    </w:p>
    <w:p>
      <w:pPr>
        <w:spacing w:line="240" w:lineRule="atLeast"/>
        <w:ind w:left="1080" w:leftChars="257" w:hanging="540"/>
        <w:jc w:val="center"/>
        <w:rPr>
          <w:rFonts w:hint="eastAsia" w:ascii="楷体" w:hAnsi="楷体" w:eastAsia="楷体" w:cs="楷体"/>
          <w:b/>
          <w:sz w:val="32"/>
          <w:szCs w:val="32"/>
        </w:rPr>
      </w:pPr>
    </w:p>
    <w:p>
      <w:pPr>
        <w:spacing w:line="240" w:lineRule="atLeast"/>
        <w:ind w:left="1080" w:leftChars="257" w:hanging="540"/>
        <w:rPr>
          <w:rFonts w:hint="eastAsia" w:ascii="楷体" w:hAnsi="楷体" w:eastAsia="楷体" w:cs="楷体"/>
          <w:b/>
          <w:sz w:val="28"/>
        </w:rPr>
      </w:pPr>
    </w:p>
    <w:p>
      <w:pPr>
        <w:spacing w:line="240" w:lineRule="atLeast"/>
        <w:ind w:left="1080" w:leftChars="257" w:hanging="540"/>
        <w:jc w:val="center"/>
        <w:rPr>
          <w:rFonts w:hint="eastAsia" w:ascii="楷体" w:hAnsi="楷体" w:eastAsia="楷体" w:cs="楷体"/>
          <w:b/>
          <w:sz w:val="48"/>
          <w:szCs w:val="48"/>
        </w:rPr>
      </w:pPr>
      <w:r>
        <w:rPr>
          <w:rFonts w:hint="eastAsia" w:ascii="楷体" w:hAnsi="楷体" w:eastAsia="楷体" w:cs="楷体"/>
          <w:b/>
          <w:sz w:val="48"/>
          <w:szCs w:val="48"/>
        </w:rPr>
        <w:t>第三册</w:t>
      </w:r>
    </w:p>
    <w:p>
      <w:pPr>
        <w:spacing w:line="240" w:lineRule="atLeast"/>
        <w:ind w:left="1080" w:leftChars="257" w:hanging="540"/>
        <w:jc w:val="center"/>
        <w:rPr>
          <w:rFonts w:hint="eastAsia" w:ascii="楷体" w:hAnsi="楷体" w:eastAsia="楷体" w:cs="楷体"/>
          <w:b/>
          <w:sz w:val="52"/>
        </w:rPr>
      </w:pPr>
    </w:p>
    <w:p>
      <w:pPr>
        <w:spacing w:line="240" w:lineRule="atLeast"/>
        <w:ind w:left="1080" w:leftChars="257" w:hanging="540"/>
        <w:jc w:val="center"/>
        <w:rPr>
          <w:rFonts w:hint="eastAsia" w:ascii="楷体" w:hAnsi="楷体" w:eastAsia="楷体" w:cs="楷体"/>
          <w:b/>
          <w:sz w:val="52"/>
        </w:rPr>
      </w:pPr>
    </w:p>
    <w:p>
      <w:pPr>
        <w:spacing w:line="240" w:lineRule="atLeast"/>
        <w:ind w:left="1080" w:leftChars="257" w:hanging="540"/>
        <w:jc w:val="center"/>
        <w:rPr>
          <w:rFonts w:hint="eastAsia" w:ascii="楷体" w:hAnsi="楷体" w:eastAsia="楷体" w:cs="楷体"/>
          <w:b/>
          <w:sz w:val="52"/>
        </w:rPr>
      </w:pPr>
    </w:p>
    <w:p>
      <w:pPr>
        <w:rPr>
          <w:rFonts w:hint="eastAsia" w:ascii="楷体" w:hAnsi="楷体" w:eastAsia="楷体" w:cs="楷体"/>
        </w:rPr>
      </w:pPr>
      <w:r>
        <w:rPr>
          <w:rFonts w:hint="eastAsia" w:ascii="楷体" w:hAnsi="楷体" w:eastAsia="楷体" w:cs="楷体"/>
          <w:b/>
          <w:sz w:val="52"/>
        </w:rPr>
        <w:br w:type="page"/>
      </w:r>
    </w:p>
    <w:bookmarkEnd w:id="511"/>
    <w:p>
      <w:pPr>
        <w:rPr>
          <w:rFonts w:hint="eastAsia" w:ascii="楷体" w:hAnsi="楷体" w:eastAsia="楷体" w:cs="楷体"/>
          <w:highlight w:val="none"/>
        </w:rPr>
      </w:pPr>
    </w:p>
    <w:p>
      <w:pPr>
        <w:pStyle w:val="4"/>
        <w:numPr>
          <w:ilvl w:val="0"/>
          <w:numId w:val="14"/>
        </w:numPr>
        <w:tabs>
          <w:tab w:val="left" w:pos="0"/>
          <w:tab w:val="clear" w:pos="3134"/>
        </w:tabs>
        <w:spacing w:before="0" w:after="0" w:line="240" w:lineRule="atLeast"/>
        <w:ind w:left="0" w:hanging="15"/>
        <w:rPr>
          <w:rFonts w:hint="eastAsia" w:ascii="楷体" w:hAnsi="楷体" w:eastAsia="楷体" w:cs="楷体"/>
          <w:highlight w:val="none"/>
        </w:rPr>
      </w:pPr>
      <w:bookmarkStart w:id="512" w:name="_Toc15096"/>
      <w:bookmarkStart w:id="513" w:name="_Toc4796"/>
      <w:bookmarkStart w:id="514" w:name="_Toc515647833"/>
      <w:bookmarkStart w:id="515" w:name="_Toc6865"/>
      <w:r>
        <w:rPr>
          <w:rFonts w:hint="eastAsia" w:ascii="楷体" w:hAnsi="楷体" w:eastAsia="楷体" w:cs="楷体"/>
          <w:highlight w:val="none"/>
        </w:rPr>
        <w:t>政府采购合同</w:t>
      </w:r>
      <w:bookmarkEnd w:id="512"/>
      <w:bookmarkEnd w:id="513"/>
      <w:bookmarkEnd w:id="514"/>
      <w:bookmarkEnd w:id="515"/>
      <w:bookmarkStart w:id="516" w:name="_Hlt487972895"/>
      <w:bookmarkEnd w:id="516"/>
      <w:bookmarkStart w:id="517" w:name="_Toc487900382"/>
      <w:bookmarkStart w:id="518" w:name="_Toc216513788"/>
    </w:p>
    <w:bookmarkEnd w:id="517"/>
    <w:bookmarkEnd w:id="518"/>
    <w:p>
      <w:pPr>
        <w:spacing w:line="240" w:lineRule="atLeast"/>
        <w:rPr>
          <w:rFonts w:hint="eastAsia" w:ascii="楷体" w:hAnsi="楷体" w:eastAsia="楷体" w:cs="楷体"/>
          <w:b/>
          <w:kern w:val="44"/>
          <w:sz w:val="32"/>
          <w:szCs w:val="20"/>
          <w:highlight w:val="none"/>
        </w:rPr>
      </w:pPr>
    </w:p>
    <w:p>
      <w:pPr>
        <w:spacing w:line="240" w:lineRule="atLeast"/>
        <w:ind w:left="-567" w:leftChars="-270" w:firstLine="540"/>
        <w:jc w:val="center"/>
        <w:rPr>
          <w:rFonts w:hint="eastAsia" w:ascii="楷体" w:hAnsi="楷体" w:eastAsia="楷体" w:cs="楷体"/>
          <w:kern w:val="44"/>
          <w:sz w:val="28"/>
          <w:szCs w:val="28"/>
          <w:highlight w:val="none"/>
        </w:rPr>
      </w:pPr>
      <w:r>
        <w:rPr>
          <w:rFonts w:hint="eastAsia" w:ascii="楷体" w:hAnsi="楷体" w:eastAsia="楷体" w:cs="楷体"/>
          <w:kern w:val="44"/>
          <w:sz w:val="28"/>
          <w:szCs w:val="28"/>
          <w:highlight w:val="none"/>
        </w:rPr>
        <w:t>请参照货物类政府采购合同参考范本订立采购合同。</w:t>
      </w:r>
    </w:p>
    <w:p>
      <w:pPr>
        <w:rPr>
          <w:rFonts w:hint="eastAsia" w:ascii="楷体" w:hAnsi="楷体" w:eastAsia="楷体" w:cs="楷体"/>
          <w:b/>
          <w:sz w:val="28"/>
          <w:szCs w:val="28"/>
          <w:highlight w:val="none"/>
        </w:rPr>
      </w:pPr>
      <w:r>
        <w:rPr>
          <w:rFonts w:hint="eastAsia" w:ascii="楷体" w:hAnsi="楷体" w:eastAsia="楷体" w:cs="楷体"/>
          <w:sz w:val="24"/>
          <w:highlight w:val="none"/>
        </w:rPr>
        <w:t>合同编号：</w:t>
      </w:r>
      <w:r>
        <w:rPr>
          <w:rFonts w:hint="eastAsia" w:ascii="楷体" w:hAnsi="楷体" w:eastAsia="楷体" w:cs="楷体"/>
          <w:sz w:val="24"/>
          <w:highlight w:val="none"/>
          <w:u w:val="single"/>
        </w:rPr>
        <w:t xml:space="preserve">           </w:t>
      </w:r>
    </w:p>
    <w:p>
      <w:pPr>
        <w:spacing w:line="480" w:lineRule="auto"/>
        <w:jc w:val="center"/>
        <w:rPr>
          <w:rFonts w:hint="eastAsia" w:ascii="楷体" w:hAnsi="楷体" w:eastAsia="楷体" w:cs="楷体"/>
          <w:b/>
          <w:sz w:val="44"/>
          <w:szCs w:val="44"/>
          <w:highlight w:val="none"/>
        </w:rPr>
      </w:pPr>
      <w:r>
        <w:rPr>
          <w:rFonts w:hint="eastAsia" w:ascii="楷体" w:hAnsi="楷体" w:eastAsia="楷体" w:cs="楷体"/>
          <w:b/>
          <w:sz w:val="44"/>
          <w:szCs w:val="44"/>
          <w:highlight w:val="none"/>
        </w:rPr>
        <w:t>政府采购合同参考范本</w:t>
      </w:r>
    </w:p>
    <w:p>
      <w:pPr>
        <w:spacing w:line="480" w:lineRule="auto"/>
        <w:jc w:val="center"/>
        <w:rPr>
          <w:rFonts w:hint="eastAsia" w:ascii="楷体" w:hAnsi="楷体" w:eastAsia="楷体" w:cs="楷体"/>
          <w:b/>
          <w:sz w:val="24"/>
          <w:highlight w:val="none"/>
        </w:rPr>
      </w:pPr>
      <w:r>
        <w:rPr>
          <w:rFonts w:hint="eastAsia" w:ascii="楷体" w:hAnsi="楷体" w:eastAsia="楷体" w:cs="楷体"/>
          <w:b/>
          <w:sz w:val="24"/>
          <w:highlight w:val="none"/>
        </w:rPr>
        <w:t>（货物类）</w:t>
      </w:r>
    </w:p>
    <w:p>
      <w:pPr>
        <w:pStyle w:val="25"/>
        <w:ind w:firstLine="0"/>
        <w:rPr>
          <w:rFonts w:hint="eastAsia" w:ascii="楷体" w:hAnsi="楷体" w:eastAsia="楷体" w:cs="楷体"/>
          <w:szCs w:val="24"/>
          <w:highlight w:val="none"/>
        </w:rPr>
      </w:pPr>
    </w:p>
    <w:p>
      <w:pPr>
        <w:pStyle w:val="25"/>
        <w:ind w:firstLine="0"/>
        <w:rPr>
          <w:rFonts w:hint="eastAsia" w:ascii="楷体" w:hAnsi="楷体" w:eastAsia="楷体" w:cs="楷体"/>
          <w:szCs w:val="24"/>
          <w:highlight w:val="none"/>
        </w:rPr>
      </w:pPr>
    </w:p>
    <w:p>
      <w:pPr>
        <w:pStyle w:val="25"/>
        <w:ind w:firstLine="0"/>
        <w:rPr>
          <w:rFonts w:hint="eastAsia" w:ascii="楷体" w:hAnsi="楷体" w:eastAsia="楷体" w:cs="楷体"/>
          <w:szCs w:val="24"/>
          <w:highlight w:val="none"/>
        </w:rPr>
      </w:pPr>
    </w:p>
    <w:p>
      <w:pPr>
        <w:pStyle w:val="25"/>
        <w:ind w:firstLine="0"/>
        <w:jc w:val="center"/>
        <w:rPr>
          <w:rFonts w:hint="eastAsia" w:ascii="楷体" w:hAnsi="楷体" w:eastAsia="楷体" w:cs="楷体"/>
          <w:b/>
          <w:szCs w:val="24"/>
          <w:highlight w:val="none"/>
        </w:rPr>
      </w:pPr>
      <w:r>
        <w:rPr>
          <w:rFonts w:hint="eastAsia" w:ascii="楷体" w:hAnsi="楷体" w:eastAsia="楷体" w:cs="楷体"/>
          <w:b/>
          <w:szCs w:val="24"/>
          <w:highlight w:val="none"/>
        </w:rPr>
        <w:t>第一部分 合同书</w:t>
      </w:r>
    </w:p>
    <w:p>
      <w:pPr>
        <w:pStyle w:val="25"/>
        <w:ind w:firstLine="0"/>
        <w:rPr>
          <w:rFonts w:hint="eastAsia" w:ascii="楷体" w:hAnsi="楷体" w:eastAsia="楷体" w:cs="楷体"/>
          <w:szCs w:val="24"/>
          <w:highlight w:val="none"/>
        </w:rPr>
      </w:pPr>
    </w:p>
    <w:p>
      <w:pPr>
        <w:pStyle w:val="25"/>
        <w:ind w:firstLine="0"/>
        <w:rPr>
          <w:rFonts w:hint="eastAsia" w:ascii="楷体" w:hAnsi="楷体" w:eastAsia="楷体" w:cs="楷体"/>
          <w:szCs w:val="24"/>
          <w:highlight w:val="none"/>
        </w:rPr>
      </w:pPr>
    </w:p>
    <w:p>
      <w:pPr>
        <w:spacing w:before="120" w:line="22" w:lineRule="atLeast"/>
        <w:rPr>
          <w:rFonts w:hint="eastAsia" w:ascii="楷体" w:hAnsi="楷体" w:eastAsia="楷体" w:cs="楷体"/>
          <w:sz w:val="24"/>
          <w:highlight w:val="none"/>
        </w:rPr>
      </w:pPr>
    </w:p>
    <w:p>
      <w:pPr>
        <w:spacing w:before="120" w:line="22" w:lineRule="atLeast"/>
        <w:ind w:left="960"/>
        <w:rPr>
          <w:rFonts w:hint="eastAsia" w:ascii="楷体" w:hAnsi="楷体" w:eastAsia="楷体" w:cs="楷体"/>
          <w:sz w:val="24"/>
          <w:highlight w:val="none"/>
        </w:rPr>
      </w:pPr>
      <w:r>
        <w:rPr>
          <w:rFonts w:hint="eastAsia" w:ascii="楷体" w:hAnsi="楷体" w:eastAsia="楷体" w:cs="楷体"/>
          <w:sz w:val="24"/>
          <w:highlight w:val="none"/>
        </w:rPr>
        <w:t>项目名称：</w:t>
      </w:r>
      <w:r>
        <w:rPr>
          <w:rFonts w:hint="eastAsia" w:ascii="楷体" w:hAnsi="楷体" w:eastAsia="楷体" w:cs="楷体"/>
          <w:sz w:val="24"/>
          <w:highlight w:val="none"/>
          <w:u w:val="single"/>
        </w:rPr>
        <w:t xml:space="preserve">                                   </w:t>
      </w:r>
    </w:p>
    <w:p>
      <w:pPr>
        <w:pStyle w:val="26"/>
        <w:spacing w:before="120" w:line="22" w:lineRule="atLeast"/>
        <w:rPr>
          <w:rFonts w:hint="eastAsia" w:ascii="楷体" w:hAnsi="楷体" w:eastAsia="楷体" w:cs="楷体"/>
          <w:szCs w:val="24"/>
          <w:highlight w:val="none"/>
        </w:rPr>
      </w:pPr>
    </w:p>
    <w:p>
      <w:pPr>
        <w:pStyle w:val="26"/>
        <w:spacing w:before="120" w:line="22" w:lineRule="atLeast"/>
        <w:rPr>
          <w:rFonts w:hint="eastAsia" w:ascii="楷体" w:hAnsi="楷体" w:eastAsia="楷体" w:cs="楷体"/>
          <w:szCs w:val="24"/>
          <w:highlight w:val="none"/>
        </w:rPr>
      </w:pPr>
    </w:p>
    <w:p>
      <w:pPr>
        <w:rPr>
          <w:rFonts w:hint="eastAsia" w:ascii="楷体" w:hAnsi="楷体" w:eastAsia="楷体" w:cs="楷体"/>
          <w:highlight w:val="none"/>
        </w:rPr>
      </w:pPr>
    </w:p>
    <w:p>
      <w:pPr>
        <w:spacing w:before="120" w:line="22" w:lineRule="atLeast"/>
        <w:ind w:left="960"/>
        <w:rPr>
          <w:rFonts w:hint="eastAsia" w:ascii="楷体" w:hAnsi="楷体" w:eastAsia="楷体" w:cs="楷体"/>
          <w:sz w:val="24"/>
          <w:highlight w:val="none"/>
          <w:u w:val="single"/>
        </w:rPr>
      </w:pPr>
      <w:r>
        <w:rPr>
          <w:rFonts w:hint="eastAsia" w:ascii="楷体" w:hAnsi="楷体" w:eastAsia="楷体" w:cs="楷体"/>
          <w:sz w:val="24"/>
          <w:highlight w:val="none"/>
        </w:rPr>
        <w:t>甲方：</w:t>
      </w:r>
      <w:r>
        <w:rPr>
          <w:rFonts w:hint="eastAsia" w:ascii="楷体" w:hAnsi="楷体" w:eastAsia="楷体" w:cs="楷体"/>
          <w:sz w:val="24"/>
          <w:highlight w:val="none"/>
          <w:u w:val="single"/>
        </w:rPr>
        <w:t xml:space="preserve">                                       </w:t>
      </w:r>
    </w:p>
    <w:p>
      <w:pPr>
        <w:spacing w:before="120" w:line="22" w:lineRule="atLeast"/>
        <w:rPr>
          <w:rFonts w:hint="eastAsia" w:ascii="楷体" w:hAnsi="楷体" w:eastAsia="楷体" w:cs="楷体"/>
          <w:sz w:val="24"/>
          <w:highlight w:val="none"/>
        </w:rPr>
      </w:pPr>
    </w:p>
    <w:p>
      <w:pPr>
        <w:spacing w:before="120" w:line="22" w:lineRule="atLeast"/>
        <w:ind w:left="960"/>
        <w:rPr>
          <w:rFonts w:hint="eastAsia" w:ascii="楷体" w:hAnsi="楷体" w:eastAsia="楷体" w:cs="楷体"/>
          <w:sz w:val="24"/>
          <w:highlight w:val="none"/>
          <w:u w:val="single"/>
        </w:rPr>
      </w:pPr>
      <w:r>
        <w:rPr>
          <w:rFonts w:hint="eastAsia" w:ascii="楷体" w:hAnsi="楷体" w:eastAsia="楷体" w:cs="楷体"/>
          <w:sz w:val="24"/>
          <w:highlight w:val="none"/>
        </w:rPr>
        <w:t>乙方：</w:t>
      </w:r>
      <w:r>
        <w:rPr>
          <w:rFonts w:hint="eastAsia" w:ascii="楷体" w:hAnsi="楷体" w:eastAsia="楷体" w:cs="楷体"/>
          <w:sz w:val="24"/>
          <w:highlight w:val="none"/>
          <w:u w:val="single"/>
        </w:rPr>
        <w:t xml:space="preserve">                                       </w:t>
      </w:r>
    </w:p>
    <w:p>
      <w:pPr>
        <w:spacing w:before="120" w:line="22" w:lineRule="atLeast"/>
        <w:rPr>
          <w:rFonts w:hint="eastAsia" w:ascii="楷体" w:hAnsi="楷体" w:eastAsia="楷体" w:cs="楷体"/>
          <w:sz w:val="24"/>
          <w:highlight w:val="none"/>
        </w:rPr>
      </w:pPr>
    </w:p>
    <w:p>
      <w:pPr>
        <w:spacing w:before="120" w:line="22" w:lineRule="atLeast"/>
        <w:ind w:firstLine="960" w:firstLineChars="400"/>
        <w:rPr>
          <w:rFonts w:hint="eastAsia" w:ascii="楷体" w:hAnsi="楷体" w:eastAsia="楷体" w:cs="楷体"/>
          <w:sz w:val="24"/>
          <w:highlight w:val="none"/>
          <w:u w:val="single"/>
        </w:rPr>
      </w:pPr>
      <w:r>
        <w:rPr>
          <w:rFonts w:hint="eastAsia" w:ascii="楷体" w:hAnsi="楷体" w:eastAsia="楷体" w:cs="楷体"/>
          <w:sz w:val="24"/>
          <w:highlight w:val="none"/>
        </w:rPr>
        <w:t>签订地：</w:t>
      </w:r>
      <w:r>
        <w:rPr>
          <w:rFonts w:hint="eastAsia" w:ascii="楷体" w:hAnsi="楷体" w:eastAsia="楷体" w:cs="楷体"/>
          <w:sz w:val="24"/>
          <w:highlight w:val="none"/>
          <w:u w:val="single"/>
        </w:rPr>
        <w:t xml:space="preserve">                                     </w:t>
      </w:r>
    </w:p>
    <w:p>
      <w:pPr>
        <w:spacing w:before="120" w:line="22" w:lineRule="atLeast"/>
        <w:rPr>
          <w:rFonts w:hint="eastAsia" w:ascii="楷体" w:hAnsi="楷体" w:eastAsia="楷体" w:cs="楷体"/>
          <w:sz w:val="24"/>
          <w:highlight w:val="none"/>
        </w:rPr>
      </w:pPr>
    </w:p>
    <w:p>
      <w:pPr>
        <w:spacing w:before="120" w:line="22" w:lineRule="atLeast"/>
        <w:ind w:firstLine="960" w:firstLineChars="400"/>
        <w:rPr>
          <w:rFonts w:hint="eastAsia" w:ascii="楷体" w:hAnsi="楷体" w:eastAsia="楷体" w:cs="楷体"/>
          <w:sz w:val="24"/>
          <w:highlight w:val="none"/>
          <w:u w:val="single"/>
        </w:rPr>
      </w:pPr>
      <w:r>
        <w:rPr>
          <w:rFonts w:hint="eastAsia" w:ascii="楷体" w:hAnsi="楷体" w:eastAsia="楷体" w:cs="楷体"/>
          <w:sz w:val="24"/>
          <w:highlight w:val="none"/>
        </w:rPr>
        <w:t>签订日期：</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年</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月</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日</w:t>
      </w:r>
    </w:p>
    <w:p>
      <w:pPr>
        <w:autoSpaceDE w:val="0"/>
        <w:autoSpaceDN w:val="0"/>
        <w:adjustRightInd w:val="0"/>
        <w:spacing w:line="600" w:lineRule="exact"/>
        <w:ind w:firstLine="640"/>
        <w:jc w:val="center"/>
        <w:rPr>
          <w:rFonts w:hint="eastAsia" w:ascii="楷体" w:hAnsi="楷体" w:eastAsia="楷体" w:cs="楷体"/>
          <w:sz w:val="24"/>
          <w:highlight w:val="none"/>
        </w:rPr>
        <w:sectPr>
          <w:headerReference r:id="rId9" w:type="default"/>
          <w:footerReference r:id="rId10" w:type="default"/>
          <w:pgSz w:w="11907" w:h="16840"/>
          <w:pgMar w:top="1587" w:right="1587" w:bottom="1361" w:left="1814" w:header="851" w:footer="850" w:gutter="0"/>
          <w:cols w:space="720" w:num="1"/>
          <w:rtlGutter w:val="0"/>
          <w:docGrid w:linePitch="462" w:charSpace="0"/>
        </w:sectPr>
      </w:pP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u w:val="single"/>
          <w:lang w:val="zh-CN"/>
        </w:rPr>
        <w:t xml:space="preserve">        </w:t>
      </w:r>
      <w:r>
        <w:rPr>
          <w:rFonts w:hint="eastAsia" w:ascii="楷体" w:hAnsi="楷体" w:eastAsia="楷体" w:cs="楷体"/>
          <w:sz w:val="24"/>
          <w:highlight w:val="none"/>
          <w:lang w:val="zh-CN"/>
        </w:rPr>
        <w:t>年</w:t>
      </w:r>
      <w:r>
        <w:rPr>
          <w:rFonts w:hint="eastAsia" w:ascii="楷体" w:hAnsi="楷体" w:eastAsia="楷体" w:cs="楷体"/>
          <w:sz w:val="24"/>
          <w:highlight w:val="none"/>
          <w:u w:val="single"/>
          <w:lang w:val="zh-CN"/>
        </w:rPr>
        <w:t xml:space="preserve">    </w:t>
      </w:r>
      <w:r>
        <w:rPr>
          <w:rFonts w:hint="eastAsia" w:ascii="楷体" w:hAnsi="楷体" w:eastAsia="楷体" w:cs="楷体"/>
          <w:sz w:val="24"/>
          <w:highlight w:val="none"/>
          <w:lang w:val="zh-CN"/>
        </w:rPr>
        <w:t>月</w:t>
      </w:r>
      <w:r>
        <w:rPr>
          <w:rFonts w:hint="eastAsia" w:ascii="楷体" w:hAnsi="楷体" w:eastAsia="楷体" w:cs="楷体"/>
          <w:sz w:val="24"/>
          <w:highlight w:val="none"/>
          <w:u w:val="single"/>
          <w:lang w:val="zh-CN"/>
        </w:rPr>
        <w:t xml:space="preserve">    </w:t>
      </w:r>
      <w:r>
        <w:rPr>
          <w:rFonts w:hint="eastAsia" w:ascii="楷体" w:hAnsi="楷体" w:eastAsia="楷体" w:cs="楷体"/>
          <w:sz w:val="24"/>
          <w:highlight w:val="none"/>
          <w:lang w:val="zh-CN"/>
        </w:rPr>
        <w:t>日</w:t>
      </w:r>
      <w:r>
        <w:rPr>
          <w:rFonts w:hint="eastAsia" w:ascii="楷体" w:hAnsi="楷体" w:eastAsia="楷体" w:cs="楷体"/>
          <w:sz w:val="24"/>
          <w:highlight w:val="none"/>
        </w:rPr>
        <w:t>，</w:t>
      </w:r>
      <w:r>
        <w:rPr>
          <w:rFonts w:hint="eastAsia" w:ascii="楷体" w:hAnsi="楷体" w:eastAsia="楷体" w:cs="楷体"/>
          <w:sz w:val="24"/>
          <w:highlight w:val="none"/>
          <w:u w:val="single"/>
        </w:rPr>
        <w:t xml:space="preserve">   （采购人名称）   </w:t>
      </w:r>
      <w:r>
        <w:rPr>
          <w:rFonts w:hint="eastAsia" w:ascii="楷体" w:hAnsi="楷体" w:eastAsia="楷体" w:cs="楷体"/>
          <w:sz w:val="24"/>
          <w:highlight w:val="none"/>
        </w:rPr>
        <w:t>以</w:t>
      </w:r>
      <w:r>
        <w:rPr>
          <w:rFonts w:hint="eastAsia" w:ascii="楷体" w:hAnsi="楷体" w:eastAsia="楷体" w:cs="楷体"/>
          <w:sz w:val="24"/>
          <w:highlight w:val="none"/>
          <w:u w:val="single"/>
        </w:rPr>
        <w:t xml:space="preserve">   （政府采购方式）  </w:t>
      </w:r>
      <w:r>
        <w:rPr>
          <w:rFonts w:hint="eastAsia" w:ascii="楷体" w:hAnsi="楷体" w:eastAsia="楷体" w:cs="楷体"/>
          <w:sz w:val="24"/>
          <w:highlight w:val="none"/>
        </w:rPr>
        <w:t>对</w:t>
      </w:r>
      <w:r>
        <w:rPr>
          <w:rFonts w:hint="eastAsia" w:ascii="楷体" w:hAnsi="楷体" w:eastAsia="楷体" w:cs="楷体"/>
          <w:sz w:val="24"/>
          <w:highlight w:val="none"/>
          <w:u w:val="single"/>
        </w:rPr>
        <w:t xml:space="preserve">   （同前页项目名称）   </w:t>
      </w:r>
      <w:r>
        <w:rPr>
          <w:rFonts w:hint="eastAsia" w:ascii="楷体" w:hAnsi="楷体" w:eastAsia="楷体" w:cs="楷体"/>
          <w:sz w:val="24"/>
          <w:highlight w:val="none"/>
        </w:rPr>
        <w:t>项目进行了采购。经</w:t>
      </w:r>
      <w:r>
        <w:rPr>
          <w:rFonts w:hint="eastAsia" w:ascii="楷体" w:hAnsi="楷体" w:eastAsia="楷体" w:cs="楷体"/>
          <w:sz w:val="24"/>
          <w:highlight w:val="none"/>
          <w:u w:val="single"/>
        </w:rPr>
        <w:t xml:space="preserve">   （相关评定主体名称）   </w:t>
      </w:r>
      <w:r>
        <w:rPr>
          <w:rFonts w:hint="eastAsia" w:ascii="楷体" w:hAnsi="楷体" w:eastAsia="楷体" w:cs="楷体"/>
          <w:sz w:val="24"/>
          <w:highlight w:val="none"/>
        </w:rPr>
        <w:t>评定，</w:t>
      </w:r>
      <w:r>
        <w:rPr>
          <w:rFonts w:hint="eastAsia" w:ascii="楷体" w:hAnsi="楷体" w:eastAsia="楷体" w:cs="楷体"/>
          <w:sz w:val="24"/>
          <w:highlight w:val="none"/>
          <w:u w:val="single"/>
        </w:rPr>
        <w:t xml:space="preserve">   （中标供应商名称）</w:t>
      </w:r>
      <w:r>
        <w:rPr>
          <w:rFonts w:hint="eastAsia" w:ascii="楷体" w:hAnsi="楷体" w:eastAsia="楷体" w:cs="楷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zh-CN"/>
        </w:rPr>
        <w:t>根据《中华人民共和国合同法》、《中华人民共和国政府采购法》等相关法律法规之规定，按照平等、自愿、公平和诚实信用的原则，经</w:t>
      </w:r>
      <w:r>
        <w:rPr>
          <w:rFonts w:hint="eastAsia" w:ascii="楷体" w:hAnsi="楷体" w:eastAsia="楷体" w:cs="楷体"/>
          <w:sz w:val="24"/>
          <w:highlight w:val="none"/>
          <w:u w:val="single"/>
        </w:rPr>
        <w:t xml:space="preserve">   （采购人名称）   </w:t>
      </w:r>
      <w:r>
        <w:rPr>
          <w:rFonts w:hint="eastAsia" w:ascii="楷体" w:hAnsi="楷体" w:eastAsia="楷体" w:cs="楷体"/>
          <w:sz w:val="24"/>
          <w:highlight w:val="none"/>
          <w:lang w:val="zh-CN"/>
        </w:rPr>
        <w:t>(以下简称：甲方)和</w:t>
      </w:r>
      <w:r>
        <w:rPr>
          <w:rFonts w:hint="eastAsia" w:ascii="楷体" w:hAnsi="楷体" w:eastAsia="楷体" w:cs="楷体"/>
          <w:sz w:val="24"/>
          <w:highlight w:val="none"/>
          <w:u w:val="single"/>
        </w:rPr>
        <w:t xml:space="preserve">   （中标供应商名称）   </w:t>
      </w:r>
      <w:r>
        <w:rPr>
          <w:rFonts w:hint="eastAsia" w:ascii="楷体" w:hAnsi="楷体" w:eastAsia="楷体" w:cs="楷体"/>
          <w:sz w:val="24"/>
          <w:highlight w:val="none"/>
          <w:lang w:val="zh-CN"/>
        </w:rPr>
        <w:t>(以下简称：乙方)协商一致，约定以下合同</w:t>
      </w:r>
      <w:r>
        <w:rPr>
          <w:rFonts w:hint="eastAsia" w:ascii="楷体" w:hAnsi="楷体" w:eastAsia="楷体" w:cs="楷体"/>
          <w:sz w:val="24"/>
          <w:highlight w:val="none"/>
        </w:rPr>
        <w:t>条款，以兹共同遵守、全面履行。</w:t>
      </w:r>
    </w:p>
    <w:p>
      <w:pPr>
        <w:spacing w:line="560" w:lineRule="exact"/>
        <w:ind w:firstLine="482" w:firstLineChars="200"/>
        <w:outlineLvl w:val="0"/>
        <w:rPr>
          <w:rFonts w:hint="eastAsia" w:ascii="楷体" w:hAnsi="楷体" w:eastAsia="楷体" w:cs="楷体"/>
          <w:b/>
          <w:sz w:val="24"/>
          <w:highlight w:val="none"/>
        </w:rPr>
      </w:pPr>
      <w:bookmarkStart w:id="519" w:name="_Toc3029"/>
      <w:bookmarkStart w:id="520" w:name="_Toc25925"/>
      <w:bookmarkStart w:id="521" w:name="_Toc24059"/>
      <w:bookmarkStart w:id="522" w:name="_Toc2232"/>
      <w:bookmarkStart w:id="523" w:name="_Toc29732"/>
      <w:r>
        <w:rPr>
          <w:rFonts w:hint="eastAsia" w:ascii="楷体" w:hAnsi="楷体" w:eastAsia="楷体" w:cs="楷体"/>
          <w:b/>
          <w:sz w:val="24"/>
          <w:highlight w:val="none"/>
        </w:rPr>
        <w:t>1.1 合同组成部分</w:t>
      </w:r>
      <w:bookmarkEnd w:id="519"/>
      <w:bookmarkEnd w:id="520"/>
      <w:bookmarkEnd w:id="521"/>
      <w:bookmarkEnd w:id="522"/>
      <w:bookmarkEnd w:id="523"/>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1.1.1 本合同及其补充合同、变更协议；</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1.1.2 中标通知书；</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1.1.3 </w:t>
      </w:r>
      <w:r>
        <w:rPr>
          <w:rFonts w:hint="eastAsia" w:ascii="楷体" w:hAnsi="楷体" w:eastAsia="楷体" w:cs="楷体"/>
          <w:sz w:val="24"/>
          <w:highlight w:val="none"/>
          <w:lang w:eastAsia="zh-CN"/>
        </w:rPr>
        <w:t>响应文件</w:t>
      </w:r>
      <w:r>
        <w:rPr>
          <w:rFonts w:hint="eastAsia" w:ascii="楷体" w:hAnsi="楷体" w:eastAsia="楷体" w:cs="楷体"/>
          <w:sz w:val="24"/>
          <w:highlight w:val="none"/>
        </w:rPr>
        <w:t>（含澄清或者说明文件）；</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1.1.4 </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（含澄清或者修改文件）；</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1.1.5 其他相关采购文件。</w:t>
      </w:r>
    </w:p>
    <w:p>
      <w:pPr>
        <w:spacing w:line="560" w:lineRule="exact"/>
        <w:ind w:firstLine="482" w:firstLineChars="200"/>
        <w:outlineLvl w:val="0"/>
        <w:rPr>
          <w:rFonts w:hint="eastAsia" w:ascii="楷体" w:hAnsi="楷体" w:eastAsia="楷体" w:cs="楷体"/>
          <w:b/>
          <w:sz w:val="24"/>
          <w:highlight w:val="none"/>
        </w:rPr>
      </w:pPr>
      <w:bookmarkStart w:id="524" w:name="_Toc24300"/>
      <w:bookmarkStart w:id="525" w:name="_Toc16142"/>
      <w:bookmarkStart w:id="526" w:name="_Toc27126"/>
      <w:bookmarkStart w:id="527" w:name="_Toc21295"/>
      <w:bookmarkStart w:id="528" w:name="_Toc18620"/>
      <w:r>
        <w:rPr>
          <w:rFonts w:hint="eastAsia" w:ascii="楷体" w:hAnsi="楷体" w:eastAsia="楷体" w:cs="楷体"/>
          <w:b/>
          <w:sz w:val="24"/>
          <w:highlight w:val="none"/>
        </w:rPr>
        <w:t>1.2 货物</w:t>
      </w:r>
      <w:bookmarkEnd w:id="524"/>
      <w:bookmarkEnd w:id="525"/>
      <w:bookmarkEnd w:id="526"/>
      <w:bookmarkEnd w:id="527"/>
      <w:bookmarkEnd w:id="528"/>
    </w:p>
    <w:p>
      <w:pPr>
        <w:spacing w:line="560" w:lineRule="exact"/>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1.2.1 货物名称：</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560" w:lineRule="exact"/>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1.2.2 货物数量：</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1.2.3 货物质量：</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560" w:lineRule="exact"/>
        <w:ind w:firstLine="482" w:firstLineChars="200"/>
        <w:outlineLvl w:val="0"/>
        <w:rPr>
          <w:rFonts w:hint="eastAsia" w:ascii="楷体" w:hAnsi="楷体" w:eastAsia="楷体" w:cs="楷体"/>
          <w:b/>
          <w:sz w:val="24"/>
          <w:highlight w:val="none"/>
        </w:rPr>
      </w:pPr>
      <w:bookmarkStart w:id="529" w:name="_Toc21631"/>
      <w:bookmarkStart w:id="530" w:name="_Toc8071"/>
      <w:bookmarkStart w:id="531" w:name="_Toc21551"/>
      <w:bookmarkStart w:id="532" w:name="_Toc23292"/>
      <w:bookmarkStart w:id="533" w:name="_Toc30452"/>
      <w:r>
        <w:rPr>
          <w:rFonts w:hint="eastAsia" w:ascii="楷体" w:hAnsi="楷体" w:eastAsia="楷体" w:cs="楷体"/>
          <w:b/>
          <w:sz w:val="24"/>
          <w:highlight w:val="none"/>
        </w:rPr>
        <w:t>1.3 价款</w:t>
      </w:r>
      <w:bookmarkEnd w:id="529"/>
      <w:bookmarkEnd w:id="530"/>
      <w:bookmarkEnd w:id="531"/>
      <w:bookmarkEnd w:id="532"/>
      <w:bookmarkEnd w:id="533"/>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本合同总价为：￥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元（大写：</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元人民币）。</w:t>
      </w:r>
    </w:p>
    <w:p>
      <w:pPr>
        <w:spacing w:line="560" w:lineRule="exact"/>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7"/>
              <w:spacing w:line="560" w:lineRule="exact"/>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序号</w:t>
            </w:r>
          </w:p>
        </w:tc>
        <w:tc>
          <w:tcPr>
            <w:tcW w:w="340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分项名称</w:t>
            </w:r>
          </w:p>
        </w:tc>
        <w:tc>
          <w:tcPr>
            <w:tcW w:w="2552" w:type="dxa"/>
            <w:noWrap w:val="0"/>
            <w:vAlign w:val="center"/>
          </w:tcPr>
          <w:p>
            <w:pPr>
              <w:pStyle w:val="27"/>
              <w:spacing w:line="560" w:lineRule="exact"/>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340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255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340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255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340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255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340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c>
          <w:tcPr>
            <w:tcW w:w="255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7"/>
              <w:spacing w:line="560" w:lineRule="exact"/>
              <w:ind w:firstLine="20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rPr>
              <w:t>总价</w:t>
            </w:r>
          </w:p>
        </w:tc>
        <w:tc>
          <w:tcPr>
            <w:tcW w:w="2552" w:type="dxa"/>
            <w:noWrap w:val="0"/>
            <w:vAlign w:val="center"/>
          </w:tcPr>
          <w:p>
            <w:pPr>
              <w:pStyle w:val="27"/>
              <w:spacing w:line="560" w:lineRule="exact"/>
              <w:ind w:firstLine="200"/>
              <w:jc w:val="center"/>
              <w:rPr>
                <w:rFonts w:hint="eastAsia" w:ascii="楷体" w:hAnsi="楷体" w:eastAsia="楷体" w:cs="楷体"/>
                <w:kern w:val="2"/>
                <w:sz w:val="24"/>
                <w:szCs w:val="24"/>
                <w:highlight w:val="none"/>
              </w:rPr>
            </w:pPr>
          </w:p>
        </w:tc>
      </w:tr>
    </w:tbl>
    <w:p>
      <w:pPr>
        <w:spacing w:line="560" w:lineRule="exact"/>
        <w:ind w:firstLine="482" w:firstLineChars="200"/>
        <w:outlineLvl w:val="0"/>
        <w:rPr>
          <w:rFonts w:hint="eastAsia" w:ascii="楷体" w:hAnsi="楷体" w:eastAsia="楷体" w:cs="楷体"/>
          <w:b/>
          <w:sz w:val="24"/>
          <w:highlight w:val="none"/>
        </w:rPr>
      </w:pPr>
      <w:bookmarkStart w:id="534" w:name="_Toc1814"/>
      <w:bookmarkStart w:id="535" w:name="_Toc20866"/>
      <w:bookmarkStart w:id="536" w:name="_Toc10340"/>
      <w:bookmarkStart w:id="537" w:name="_Toc12416"/>
      <w:bookmarkStart w:id="538" w:name="_Toc22618"/>
      <w:r>
        <w:rPr>
          <w:rFonts w:hint="eastAsia" w:ascii="楷体" w:hAnsi="楷体" w:eastAsia="楷体" w:cs="楷体"/>
          <w:b/>
          <w:sz w:val="24"/>
          <w:highlight w:val="none"/>
        </w:rPr>
        <w:t>1.4 付款方式和发票开具方式</w:t>
      </w:r>
      <w:bookmarkEnd w:id="534"/>
      <w:bookmarkEnd w:id="535"/>
      <w:bookmarkEnd w:id="536"/>
      <w:bookmarkEnd w:id="537"/>
      <w:bookmarkEnd w:id="538"/>
    </w:p>
    <w:p>
      <w:pPr>
        <w:widowControl/>
        <w:spacing w:line="360" w:lineRule="auto"/>
        <w:rPr>
          <w:rFonts w:hint="eastAsia" w:ascii="楷体" w:hAnsi="楷体" w:eastAsia="楷体" w:cs="楷体"/>
          <w:color w:val="auto"/>
          <w:sz w:val="24"/>
          <w:highlight w:val="none"/>
        </w:rPr>
      </w:pPr>
      <w:r>
        <w:rPr>
          <w:rFonts w:hint="eastAsia" w:ascii="楷体" w:hAnsi="楷体" w:eastAsia="楷体" w:cs="楷体"/>
          <w:sz w:val="24"/>
          <w:highlight w:val="none"/>
        </w:rPr>
        <w:t>1.4.1 付款方式：</w:t>
      </w:r>
      <w:r>
        <w:rPr>
          <w:rFonts w:hint="eastAsia" w:ascii="楷体" w:hAnsi="楷体" w:eastAsia="楷体" w:cs="楷体"/>
          <w:b/>
          <w:bCs/>
          <w:i/>
          <w:iCs/>
          <w:color w:val="auto"/>
          <w:sz w:val="24"/>
          <w:highlight w:val="none"/>
          <w:u w:val="single"/>
          <w:lang w:val="en-US" w:eastAsia="zh-CN"/>
        </w:rPr>
        <w:t xml:space="preserve">                          。 </w:t>
      </w:r>
    </w:p>
    <w:p>
      <w:pPr>
        <w:spacing w:line="56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1.4.2 发票开具方式：</w:t>
      </w:r>
      <w:r>
        <w:rPr>
          <w:rFonts w:hint="eastAsia" w:ascii="楷体" w:hAnsi="楷体" w:eastAsia="楷体" w:cs="楷体"/>
          <w:color w:val="auto"/>
          <w:sz w:val="24"/>
          <w:highlight w:val="none"/>
          <w:u w:val="single"/>
        </w:rPr>
        <w:t xml:space="preserve"> </w:t>
      </w:r>
      <w:r>
        <w:rPr>
          <w:rFonts w:hint="eastAsia" w:ascii="楷体" w:hAnsi="楷体" w:eastAsia="楷体" w:cs="楷体"/>
          <w:b/>
          <w:bCs/>
          <w:i/>
          <w:iCs/>
          <w:color w:val="auto"/>
          <w:sz w:val="24"/>
          <w:highlight w:val="none"/>
          <w:u w:val="single"/>
        </w:rPr>
        <w:t>增值税发票</w:t>
      </w:r>
      <w:r>
        <w:rPr>
          <w:rFonts w:hint="eastAsia" w:ascii="楷体" w:hAnsi="楷体" w:eastAsia="楷体" w:cs="楷体"/>
          <w:b/>
          <w:bCs/>
          <w:i/>
          <w:iCs/>
          <w:color w:val="auto"/>
          <w:sz w:val="24"/>
          <w:highlight w:val="none"/>
          <w:u w:val="single"/>
          <w:lang w:val="en-US" w:eastAsia="zh-CN"/>
        </w:rPr>
        <w:t>普通发票</w:t>
      </w:r>
      <w:r>
        <w:rPr>
          <w:rFonts w:hint="eastAsia" w:ascii="楷体" w:hAnsi="楷体" w:eastAsia="楷体" w:cs="楷体"/>
          <w:b/>
          <w:bCs/>
          <w:i/>
          <w:iCs/>
          <w:color w:val="auto"/>
          <w:sz w:val="24"/>
          <w:highlight w:val="none"/>
          <w:u w:val="single"/>
        </w:rPr>
        <w:t xml:space="preserve"> 。</w:t>
      </w:r>
    </w:p>
    <w:p>
      <w:pPr>
        <w:spacing w:line="560" w:lineRule="exact"/>
        <w:ind w:firstLine="482" w:firstLineChars="200"/>
        <w:outlineLvl w:val="0"/>
        <w:rPr>
          <w:rFonts w:hint="eastAsia" w:ascii="楷体" w:hAnsi="楷体" w:eastAsia="楷体" w:cs="楷体"/>
          <w:b/>
          <w:color w:val="auto"/>
          <w:sz w:val="24"/>
          <w:highlight w:val="none"/>
        </w:rPr>
      </w:pPr>
      <w:bookmarkStart w:id="539" w:name="_Toc12980"/>
      <w:bookmarkStart w:id="540" w:name="_Toc19304"/>
      <w:bookmarkStart w:id="541" w:name="_Toc2846"/>
      <w:bookmarkStart w:id="542" w:name="_Toc5767"/>
      <w:bookmarkStart w:id="543" w:name="_Toc32071"/>
      <w:r>
        <w:rPr>
          <w:rFonts w:hint="eastAsia" w:ascii="楷体" w:hAnsi="楷体" w:eastAsia="楷体" w:cs="楷体"/>
          <w:b/>
          <w:color w:val="auto"/>
          <w:sz w:val="24"/>
          <w:highlight w:val="none"/>
        </w:rPr>
        <w:t>1.5 货物交付期限、地点和方式</w:t>
      </w:r>
      <w:bookmarkEnd w:id="539"/>
      <w:bookmarkEnd w:id="540"/>
      <w:bookmarkEnd w:id="541"/>
      <w:bookmarkEnd w:id="542"/>
      <w:bookmarkEnd w:id="543"/>
    </w:p>
    <w:p>
      <w:pPr>
        <w:spacing w:line="560" w:lineRule="exact"/>
        <w:ind w:firstLine="480" w:firstLineChars="200"/>
        <w:rPr>
          <w:rFonts w:hint="default" w:ascii="楷体" w:hAnsi="楷体" w:eastAsia="楷体" w:cs="楷体"/>
          <w:b/>
          <w:bCs/>
          <w:i/>
          <w:iCs/>
          <w:color w:val="auto"/>
          <w:sz w:val="24"/>
          <w:highlight w:val="magenta"/>
          <w:u w:val="single"/>
          <w:lang w:val="en-US"/>
        </w:rPr>
      </w:pPr>
      <w:r>
        <w:rPr>
          <w:rFonts w:hint="eastAsia" w:ascii="楷体" w:hAnsi="楷体" w:eastAsia="楷体" w:cs="楷体"/>
          <w:color w:val="auto"/>
          <w:sz w:val="24"/>
          <w:highlight w:val="none"/>
        </w:rPr>
        <w:t>1.5.1 交付期限：</w:t>
      </w:r>
      <w:r>
        <w:rPr>
          <w:rFonts w:hint="eastAsia" w:ascii="楷体" w:hAnsi="楷体" w:eastAsia="楷体" w:cs="楷体"/>
          <w:b/>
          <w:bCs/>
          <w:i/>
          <w:iCs/>
          <w:color w:val="auto"/>
          <w:sz w:val="24"/>
          <w:highlight w:val="none"/>
          <w:u w:val="single"/>
          <w:lang w:val="en-US" w:eastAsia="zh-CN"/>
        </w:rPr>
        <w:t xml:space="preserve">                                               </w:t>
      </w:r>
      <w:r>
        <w:rPr>
          <w:rFonts w:hint="eastAsia" w:ascii="楷体" w:hAnsi="楷体" w:eastAsia="楷体" w:cs="楷体"/>
          <w:b w:val="0"/>
          <w:bCs w:val="0"/>
          <w:i w:val="0"/>
          <w:iCs w:val="0"/>
          <w:color w:val="auto"/>
          <w:sz w:val="24"/>
          <w:highlight w:val="none"/>
          <w:u w:val="none"/>
          <w:lang w:val="en-US" w:eastAsia="zh-CN"/>
        </w:rPr>
        <w:t>；</w:t>
      </w:r>
    </w:p>
    <w:p>
      <w:pPr>
        <w:spacing w:line="56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1.5.2 交付地点：</w:t>
      </w:r>
      <w:r>
        <w:rPr>
          <w:rFonts w:hint="eastAsia" w:ascii="楷体" w:hAnsi="楷体" w:eastAsia="楷体" w:cs="楷体"/>
          <w:b/>
          <w:bCs/>
          <w:i/>
          <w:iCs/>
          <w:color w:val="auto"/>
          <w:sz w:val="24"/>
          <w:highlight w:val="none"/>
          <w:u w:val="single"/>
          <w:lang w:val="en-US" w:eastAsia="zh-CN"/>
        </w:rPr>
        <w:t xml:space="preserve">                                               </w:t>
      </w:r>
      <w:r>
        <w:rPr>
          <w:rFonts w:hint="eastAsia" w:ascii="楷体" w:hAnsi="楷体" w:eastAsia="楷体" w:cs="楷体"/>
          <w:b w:val="0"/>
          <w:bCs w:val="0"/>
          <w:i w:val="0"/>
          <w:iCs w:val="0"/>
          <w:color w:val="auto"/>
          <w:sz w:val="24"/>
          <w:highlight w:val="none"/>
          <w:u w:val="none"/>
          <w:lang w:val="en-US" w:eastAsia="zh-CN"/>
        </w:rPr>
        <w:t>；</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1.5.3 交付方式：</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560" w:lineRule="exact"/>
        <w:ind w:firstLine="482" w:firstLineChars="200"/>
        <w:outlineLvl w:val="0"/>
        <w:rPr>
          <w:rFonts w:hint="eastAsia" w:ascii="楷体" w:hAnsi="楷体" w:eastAsia="楷体" w:cs="楷体"/>
          <w:b/>
          <w:sz w:val="24"/>
          <w:highlight w:val="none"/>
        </w:rPr>
      </w:pPr>
      <w:bookmarkStart w:id="544" w:name="_Toc27250"/>
      <w:bookmarkStart w:id="545" w:name="_Toc21423"/>
      <w:bookmarkStart w:id="546" w:name="_Toc27953"/>
      <w:bookmarkStart w:id="547" w:name="_Toc30489"/>
      <w:bookmarkStart w:id="548" w:name="_Toc19554"/>
      <w:r>
        <w:rPr>
          <w:rFonts w:hint="eastAsia" w:ascii="楷体" w:hAnsi="楷体" w:eastAsia="楷体" w:cs="楷体"/>
          <w:b/>
          <w:sz w:val="24"/>
          <w:highlight w:val="none"/>
        </w:rPr>
        <w:t>1.6 违约责任</w:t>
      </w:r>
      <w:bookmarkEnd w:id="544"/>
      <w:bookmarkEnd w:id="545"/>
      <w:bookmarkEnd w:id="546"/>
      <w:bookmarkEnd w:id="547"/>
      <w:bookmarkEnd w:id="548"/>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%计算，最高限额为本合同总价的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1.6.2 除不可抗力外，如果甲方没有按照本合同约定的付款方式付款，那么乙方可要求甲方支付违约金，违约金按每迟延付款一日的应付而未付款的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%计算，最高限额为本合同总价的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楷体" w:hAnsi="楷体" w:eastAsia="楷体" w:cs="楷体"/>
          <w:b/>
          <w:sz w:val="24"/>
          <w:highlight w:val="none"/>
        </w:rPr>
      </w:pPr>
      <w:bookmarkStart w:id="549" w:name="_Toc6434"/>
      <w:bookmarkStart w:id="550" w:name="_Toc28375"/>
      <w:bookmarkStart w:id="551" w:name="_Toc15583"/>
      <w:bookmarkStart w:id="552" w:name="_Toc32113"/>
      <w:bookmarkStart w:id="553" w:name="_Toc16021"/>
      <w:r>
        <w:rPr>
          <w:rFonts w:hint="eastAsia" w:ascii="楷体" w:hAnsi="楷体" w:eastAsia="楷体" w:cs="楷体"/>
          <w:b/>
          <w:sz w:val="24"/>
          <w:highlight w:val="none"/>
        </w:rPr>
        <w:t>1.7 合同争议的解决</w:t>
      </w:r>
      <w:bookmarkEnd w:id="549"/>
      <w:bookmarkEnd w:id="550"/>
      <w:bookmarkEnd w:id="551"/>
      <w:bookmarkEnd w:id="552"/>
      <w:bookmarkEnd w:id="553"/>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本合同履行过程中发生的任何争议，双方当事人均可通过和解或者调解解决；不愿和解、调解或者和解、调解不成的，可以选择下列第</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种方式解决：</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1.7.1 将争议提交</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仲裁委员会依申请仲裁时其现行有效的仲裁规则裁决；</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1.7.2 向</w:t>
      </w:r>
      <w:r>
        <w:rPr>
          <w:rFonts w:hint="eastAsia" w:ascii="楷体" w:hAnsi="楷体" w:eastAsia="楷体" w:cs="楷体"/>
          <w:sz w:val="24"/>
          <w:highlight w:val="none"/>
          <w:u w:val="single"/>
        </w:rPr>
        <w:t xml:space="preserve">   （被告住所地、合同履行地、合同签订地、原告住所地、标的物所在地等与争议有实际联系的地点中选出的人民法院名称）    </w:t>
      </w:r>
      <w:r>
        <w:rPr>
          <w:rFonts w:hint="eastAsia" w:ascii="楷体" w:hAnsi="楷体" w:eastAsia="楷体" w:cs="楷体"/>
          <w:sz w:val="24"/>
          <w:highlight w:val="none"/>
        </w:rPr>
        <w:t>人民法院起诉。</w:t>
      </w:r>
    </w:p>
    <w:p>
      <w:pPr>
        <w:spacing w:line="560" w:lineRule="exact"/>
        <w:ind w:firstLine="482" w:firstLineChars="200"/>
        <w:outlineLvl w:val="0"/>
        <w:rPr>
          <w:rFonts w:hint="eastAsia" w:ascii="楷体" w:hAnsi="楷体" w:eastAsia="楷体" w:cs="楷体"/>
          <w:b/>
          <w:sz w:val="24"/>
          <w:highlight w:val="none"/>
        </w:rPr>
      </w:pPr>
      <w:bookmarkStart w:id="554" w:name="_Toc3442"/>
      <w:bookmarkStart w:id="555" w:name="_Toc11173"/>
      <w:bookmarkStart w:id="556" w:name="_Toc7245"/>
      <w:bookmarkStart w:id="557" w:name="_Toc26373"/>
      <w:bookmarkStart w:id="558" w:name="_Toc15322"/>
      <w:r>
        <w:rPr>
          <w:rFonts w:hint="eastAsia" w:ascii="楷体" w:hAnsi="楷体" w:eastAsia="楷体" w:cs="楷体"/>
          <w:b/>
          <w:sz w:val="24"/>
          <w:highlight w:val="none"/>
        </w:rPr>
        <w:t>1.8 合同生效</w:t>
      </w:r>
      <w:bookmarkEnd w:id="554"/>
      <w:bookmarkEnd w:id="555"/>
      <w:bookmarkEnd w:id="556"/>
      <w:bookmarkEnd w:id="557"/>
      <w:bookmarkEnd w:id="558"/>
    </w:p>
    <w:p>
      <w:pPr>
        <w:spacing w:line="560" w:lineRule="exact"/>
        <w:ind w:firstLine="480" w:firstLineChars="200"/>
        <w:rPr>
          <w:rFonts w:hint="eastAsia" w:ascii="楷体" w:hAnsi="楷体" w:eastAsia="楷体" w:cs="楷体"/>
          <w:b/>
          <w:sz w:val="24"/>
          <w:highlight w:val="none"/>
        </w:rPr>
      </w:pPr>
      <w:r>
        <w:rPr>
          <w:rFonts w:hint="eastAsia" w:ascii="楷体" w:hAnsi="楷体" w:eastAsia="楷体" w:cs="楷体"/>
          <w:sz w:val="24"/>
          <w:highlight w:val="none"/>
        </w:rPr>
        <w:t>本合同自双方当事人盖章或者签字时生效。</w:t>
      </w:r>
    </w:p>
    <w:p>
      <w:pPr>
        <w:autoSpaceDE w:val="0"/>
        <w:autoSpaceDN w:val="0"/>
        <w:adjustRightInd w:val="0"/>
        <w:spacing w:line="560" w:lineRule="exact"/>
        <w:rPr>
          <w:rFonts w:hint="eastAsia" w:ascii="楷体" w:hAnsi="楷体" w:eastAsia="楷体" w:cs="楷体"/>
          <w:sz w:val="24"/>
          <w:highlight w:val="none"/>
          <w:lang w:val="zh-CN"/>
        </w:rPr>
      </w:pP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b/>
          <w:sz w:val="24"/>
          <w:highlight w:val="none"/>
          <w:lang w:val="zh-CN"/>
        </w:rPr>
        <w:t>甲方</w:t>
      </w:r>
      <w:r>
        <w:rPr>
          <w:rFonts w:hint="eastAsia" w:ascii="楷体" w:hAnsi="楷体" w:eastAsia="楷体" w:cs="楷体"/>
          <w:sz w:val="24"/>
          <w:highlight w:val="none"/>
          <w:lang w:val="zh-CN"/>
        </w:rPr>
        <w:t xml:space="preserve">：                             </w:t>
      </w:r>
      <w:r>
        <w:rPr>
          <w:rFonts w:hint="eastAsia" w:ascii="楷体" w:hAnsi="楷体" w:eastAsia="楷体" w:cs="楷体"/>
          <w:b/>
          <w:sz w:val="24"/>
          <w:highlight w:val="none"/>
          <w:lang w:val="zh-CN"/>
        </w:rPr>
        <w:t xml:space="preserve">      乙方</w:t>
      </w:r>
      <w:r>
        <w:rPr>
          <w:rFonts w:hint="eastAsia" w:ascii="楷体" w:hAnsi="楷体" w:eastAsia="楷体" w:cs="楷体"/>
          <w:sz w:val="24"/>
          <w:highlight w:val="none"/>
          <w:lang w:val="zh-CN"/>
        </w:rPr>
        <w:t>：</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统一社会信用代码：                        统一社会信用代码或身份证号码：</w:t>
      </w:r>
    </w:p>
    <w:p>
      <w:pPr>
        <w:autoSpaceDE w:val="0"/>
        <w:autoSpaceDN w:val="0"/>
        <w:adjustRightInd w:val="0"/>
        <w:spacing w:line="560" w:lineRule="exact"/>
        <w:rPr>
          <w:rFonts w:hint="eastAsia" w:ascii="楷体" w:hAnsi="楷体" w:eastAsia="楷体" w:cs="楷体"/>
          <w:sz w:val="24"/>
          <w:highlight w:val="none"/>
          <w:lang w:val="zh-CN"/>
        </w:rPr>
      </w:pP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住所：                                   住所：</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法定代表人或                             法定代表人</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 xml:space="preserve">授权代表（签字）：                        或授权代表（签字）: </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联系人：                                 联系人：</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约定送达地址：                           约定送达地址：</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邮政编码：                               邮政编码：</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 xml:space="preserve">电话:                                    电话: </w:t>
      </w:r>
    </w:p>
    <w:p>
      <w:pPr>
        <w:autoSpaceDE w:val="0"/>
        <w:autoSpaceDN w:val="0"/>
        <w:adjustRightInd w:val="0"/>
        <w:spacing w:line="56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传真:                                    传真:</w:t>
      </w:r>
    </w:p>
    <w:p>
      <w:pPr>
        <w:autoSpaceDE w:val="0"/>
        <w:autoSpaceDN w:val="0"/>
        <w:adjustRightInd w:val="0"/>
        <w:spacing w:line="560" w:lineRule="exact"/>
        <w:rPr>
          <w:rFonts w:hint="eastAsia" w:ascii="楷体" w:hAnsi="楷体" w:eastAsia="楷体" w:cs="楷体"/>
          <w:sz w:val="24"/>
          <w:highlight w:val="none"/>
        </w:rPr>
      </w:pPr>
      <w:r>
        <w:rPr>
          <w:rFonts w:hint="eastAsia" w:ascii="楷体" w:hAnsi="楷体" w:eastAsia="楷体" w:cs="楷体"/>
          <w:sz w:val="24"/>
          <w:highlight w:val="none"/>
          <w:lang w:val="zh-CN"/>
        </w:rPr>
        <w:t>电子邮箱：                               电子邮箱：</w:t>
      </w:r>
    </w:p>
    <w:p>
      <w:pPr>
        <w:autoSpaceDE w:val="0"/>
        <w:autoSpaceDN w:val="0"/>
        <w:adjustRightInd w:val="0"/>
        <w:spacing w:line="560" w:lineRule="exact"/>
        <w:rPr>
          <w:rFonts w:hint="eastAsia" w:ascii="楷体" w:hAnsi="楷体" w:eastAsia="楷体" w:cs="楷体"/>
          <w:sz w:val="24"/>
          <w:highlight w:val="none"/>
        </w:rPr>
      </w:pPr>
      <w:r>
        <w:rPr>
          <w:rFonts w:hint="eastAsia" w:ascii="楷体" w:hAnsi="楷体" w:eastAsia="楷体" w:cs="楷体"/>
          <w:sz w:val="24"/>
          <w:highlight w:val="none"/>
        </w:rPr>
        <w:t xml:space="preserve">开户银行：                               开户银行： </w:t>
      </w:r>
    </w:p>
    <w:p>
      <w:pPr>
        <w:autoSpaceDE w:val="0"/>
        <w:autoSpaceDN w:val="0"/>
        <w:adjustRightInd w:val="0"/>
        <w:spacing w:line="560" w:lineRule="exact"/>
        <w:rPr>
          <w:rFonts w:hint="eastAsia" w:ascii="楷体" w:hAnsi="楷体" w:eastAsia="楷体" w:cs="楷体"/>
          <w:sz w:val="24"/>
          <w:highlight w:val="none"/>
        </w:rPr>
      </w:pPr>
      <w:r>
        <w:rPr>
          <w:rFonts w:hint="eastAsia" w:ascii="楷体" w:hAnsi="楷体" w:eastAsia="楷体" w:cs="楷体"/>
          <w:sz w:val="24"/>
          <w:highlight w:val="none"/>
        </w:rPr>
        <w:t xml:space="preserve">开户名称：                               开户名称： </w:t>
      </w:r>
    </w:p>
    <w:p>
      <w:pPr>
        <w:autoSpaceDE w:val="0"/>
        <w:autoSpaceDN w:val="0"/>
        <w:adjustRightInd w:val="0"/>
        <w:spacing w:line="560" w:lineRule="exact"/>
        <w:rPr>
          <w:rFonts w:hint="eastAsia" w:ascii="楷体" w:hAnsi="楷体" w:eastAsia="楷体" w:cs="楷体"/>
          <w:sz w:val="24"/>
          <w:highlight w:val="none"/>
        </w:rPr>
      </w:pPr>
      <w:r>
        <w:rPr>
          <w:rFonts w:hint="eastAsia" w:ascii="楷体" w:hAnsi="楷体" w:eastAsia="楷体" w:cs="楷体"/>
          <w:sz w:val="24"/>
          <w:highlight w:val="none"/>
        </w:rPr>
        <w:t>开户账号：</w:t>
      </w:r>
      <w:r>
        <w:rPr>
          <w:rFonts w:hint="eastAsia" w:ascii="楷体" w:hAnsi="楷体" w:eastAsia="楷体" w:cs="楷体"/>
          <w:sz w:val="24"/>
          <w:highlight w:val="none"/>
          <w:lang w:val="zh-CN"/>
        </w:rPr>
        <w:t xml:space="preserve">                               </w:t>
      </w:r>
      <w:r>
        <w:rPr>
          <w:rFonts w:hint="eastAsia" w:ascii="楷体" w:hAnsi="楷体" w:eastAsia="楷体" w:cs="楷体"/>
          <w:sz w:val="24"/>
          <w:highlight w:val="none"/>
        </w:rPr>
        <w:t>开户账号：</w:t>
      </w:r>
    </w:p>
    <w:p>
      <w:pPr>
        <w:widowControl/>
        <w:spacing w:line="560" w:lineRule="exact"/>
        <w:jc w:val="left"/>
        <w:rPr>
          <w:rFonts w:hint="eastAsia" w:ascii="楷体" w:hAnsi="楷体" w:eastAsia="楷体" w:cs="楷体"/>
          <w:b/>
          <w:highlight w:val="none"/>
        </w:rPr>
      </w:pPr>
      <w:bookmarkStart w:id="559" w:name="_Toc331685783"/>
    </w:p>
    <w:p>
      <w:pPr>
        <w:widowControl/>
        <w:spacing w:line="560" w:lineRule="exact"/>
        <w:jc w:val="left"/>
        <w:rPr>
          <w:rFonts w:hint="eastAsia" w:ascii="楷体" w:hAnsi="楷体" w:eastAsia="楷体" w:cs="楷体"/>
          <w:b/>
          <w:highlight w:val="none"/>
        </w:rPr>
      </w:pPr>
    </w:p>
    <w:p>
      <w:pPr>
        <w:pStyle w:val="14"/>
        <w:rPr>
          <w:rFonts w:hint="eastAsia" w:ascii="楷体" w:hAnsi="楷体" w:eastAsia="楷体" w:cs="楷体"/>
          <w:b/>
          <w:kern w:val="0"/>
          <w:sz w:val="24"/>
          <w:highlight w:val="none"/>
        </w:rPr>
      </w:pPr>
    </w:p>
    <w:p>
      <w:pPr>
        <w:pStyle w:val="25"/>
        <w:spacing w:line="560" w:lineRule="exact"/>
        <w:ind w:firstLine="200"/>
        <w:jc w:val="center"/>
        <w:rPr>
          <w:rFonts w:hint="eastAsia" w:ascii="楷体" w:hAnsi="楷体" w:eastAsia="楷体" w:cs="楷体"/>
          <w:b/>
          <w:szCs w:val="24"/>
          <w:highlight w:val="none"/>
        </w:rPr>
      </w:pPr>
      <w:r>
        <w:rPr>
          <w:rFonts w:hint="eastAsia" w:ascii="楷体" w:hAnsi="楷体" w:eastAsia="楷体" w:cs="楷体"/>
          <w:b/>
          <w:szCs w:val="24"/>
          <w:highlight w:val="none"/>
        </w:rPr>
        <w:t>第二部分 合同一般条款</w:t>
      </w:r>
      <w:bookmarkEnd w:id="559"/>
    </w:p>
    <w:p>
      <w:pPr>
        <w:spacing w:line="560" w:lineRule="exact"/>
        <w:ind w:firstLine="482" w:firstLineChars="200"/>
        <w:outlineLvl w:val="0"/>
        <w:rPr>
          <w:rFonts w:hint="eastAsia" w:ascii="楷体" w:hAnsi="楷体" w:eastAsia="楷体" w:cs="楷体"/>
          <w:b/>
          <w:sz w:val="24"/>
          <w:highlight w:val="none"/>
        </w:rPr>
      </w:pPr>
      <w:bookmarkStart w:id="560" w:name="_Ref467379205"/>
      <w:bookmarkStart w:id="561" w:name="_Ref467379094"/>
      <w:bookmarkStart w:id="562" w:name="_Toc259093669"/>
      <w:bookmarkStart w:id="563" w:name="_Ref467378404"/>
      <w:bookmarkStart w:id="564" w:name="_Ref467379195"/>
      <w:bookmarkStart w:id="565" w:name="_Ref467378463"/>
      <w:bookmarkStart w:id="566" w:name="_Ref467379101"/>
      <w:bookmarkStart w:id="567" w:name="_Ref467378499"/>
      <w:bookmarkStart w:id="568" w:name="_Toc19614"/>
      <w:bookmarkStart w:id="569" w:name="_Toc279701240"/>
      <w:bookmarkStart w:id="570" w:name="_Ref467379225"/>
      <w:bookmarkStart w:id="571" w:name="_Toc28763"/>
      <w:bookmarkStart w:id="572" w:name="_Ref467379109"/>
      <w:bookmarkStart w:id="573" w:name="_Toc7271"/>
      <w:bookmarkStart w:id="574" w:name="_Toc487900349"/>
      <w:bookmarkStart w:id="575" w:name="_Toc16917"/>
      <w:bookmarkStart w:id="576" w:name="_Ref467379214"/>
      <w:bookmarkStart w:id="577" w:name="_Toc25285"/>
      <w:r>
        <w:rPr>
          <w:rFonts w:hint="eastAsia" w:ascii="楷体" w:hAnsi="楷体" w:eastAsia="楷体" w:cs="楷体"/>
          <w:b/>
          <w:sz w:val="24"/>
          <w:highlight w:val="none"/>
        </w:rPr>
        <w:t>2.1 定义</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本合同中的下列词语应按以下内容进行解释：</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楷体" w:hAnsi="楷体" w:eastAsia="楷体" w:cs="楷体"/>
          <w:sz w:val="24"/>
          <w:highlight w:val="none"/>
        </w:rPr>
      </w:pPr>
      <w:bookmarkStart w:id="578" w:name="_Ref467378840"/>
      <w:r>
        <w:rPr>
          <w:rFonts w:hint="eastAsia" w:ascii="楷体" w:hAnsi="楷体" w:eastAsia="楷体" w:cs="楷体"/>
          <w:sz w:val="24"/>
          <w:highlight w:val="none"/>
        </w:rPr>
        <w:t>2.1.4 “甲方”系指与中标供应商签署合同的采购人</w:t>
      </w:r>
      <w:bookmarkEnd w:id="578"/>
      <w:r>
        <w:rPr>
          <w:rFonts w:hint="eastAsia" w:ascii="楷体" w:hAnsi="楷体" w:eastAsia="楷体" w:cs="楷体"/>
          <w:sz w:val="24"/>
          <w:highlight w:val="none"/>
        </w:rPr>
        <w:t>；采购人委托采购代理机构代表其与乙方签订合同的，采购人的授权委托书作为合同附件。</w:t>
      </w:r>
    </w:p>
    <w:p>
      <w:pPr>
        <w:spacing w:line="560" w:lineRule="exact"/>
        <w:ind w:firstLine="480" w:firstLineChars="200"/>
        <w:rPr>
          <w:rFonts w:hint="eastAsia" w:ascii="楷体" w:hAnsi="楷体" w:eastAsia="楷体" w:cs="楷体"/>
          <w:sz w:val="24"/>
          <w:highlight w:val="none"/>
        </w:rPr>
      </w:pPr>
      <w:bookmarkStart w:id="579" w:name="_Ref467379400"/>
      <w:r>
        <w:rPr>
          <w:rFonts w:hint="eastAsia" w:ascii="楷体" w:hAnsi="楷体" w:eastAsia="楷体" w:cs="楷体"/>
          <w:sz w:val="24"/>
          <w:highlight w:val="none"/>
        </w:rPr>
        <w:t>2.1.5 “乙方”系指根据合同约定交付货物的中标供应商</w:t>
      </w:r>
      <w:bookmarkEnd w:id="579"/>
      <w:r>
        <w:rPr>
          <w:rFonts w:hint="eastAsia" w:ascii="楷体" w:hAnsi="楷体" w:eastAsia="楷体" w:cs="楷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楷体" w:hAnsi="楷体" w:eastAsia="楷体" w:cs="楷体"/>
          <w:sz w:val="24"/>
          <w:highlight w:val="none"/>
        </w:rPr>
      </w:pPr>
      <w:bookmarkStart w:id="580" w:name="_Ref467379436"/>
      <w:r>
        <w:rPr>
          <w:rFonts w:hint="eastAsia" w:ascii="楷体" w:hAnsi="楷体" w:eastAsia="楷体" w:cs="楷体"/>
          <w:sz w:val="24"/>
          <w:highlight w:val="none"/>
        </w:rPr>
        <w:t>2.1.6 “现场”系指合同约定货物将要运至或者安装的地点。</w:t>
      </w:r>
      <w:bookmarkEnd w:id="580"/>
    </w:p>
    <w:p>
      <w:pPr>
        <w:spacing w:line="560" w:lineRule="exact"/>
        <w:ind w:firstLine="482" w:firstLineChars="200"/>
        <w:outlineLvl w:val="0"/>
        <w:rPr>
          <w:rFonts w:hint="eastAsia" w:ascii="楷体" w:hAnsi="楷体" w:eastAsia="楷体" w:cs="楷体"/>
          <w:b/>
          <w:sz w:val="24"/>
          <w:highlight w:val="none"/>
        </w:rPr>
      </w:pPr>
      <w:bookmarkStart w:id="581" w:name="_Toc259093670"/>
      <w:bookmarkStart w:id="582" w:name="_Toc279701241"/>
      <w:bookmarkStart w:id="583" w:name="_Toc487900350"/>
      <w:bookmarkStart w:id="584" w:name="_Toc8850"/>
      <w:bookmarkStart w:id="585" w:name="_Toc32504"/>
      <w:bookmarkStart w:id="586" w:name="_Toc13336"/>
      <w:bookmarkStart w:id="587" w:name="_Toc18298"/>
      <w:bookmarkStart w:id="588" w:name="_Toc27635"/>
      <w:r>
        <w:rPr>
          <w:rFonts w:hint="eastAsia" w:ascii="楷体" w:hAnsi="楷体" w:eastAsia="楷体" w:cs="楷体"/>
          <w:b/>
          <w:sz w:val="24"/>
          <w:highlight w:val="none"/>
        </w:rPr>
        <w:t>2.2 技术规范</w:t>
      </w:r>
      <w:bookmarkEnd w:id="581"/>
      <w:bookmarkEnd w:id="582"/>
      <w:bookmarkEnd w:id="583"/>
      <w:bookmarkEnd w:id="584"/>
      <w:bookmarkEnd w:id="585"/>
      <w:bookmarkEnd w:id="586"/>
      <w:bookmarkEnd w:id="587"/>
      <w:bookmarkEnd w:id="588"/>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楷体" w:hAnsi="楷体" w:eastAsia="楷体" w:cs="楷体"/>
          <w:b/>
          <w:sz w:val="24"/>
          <w:highlight w:val="none"/>
        </w:rPr>
      </w:pPr>
      <w:bookmarkStart w:id="589" w:name="_Toc27853"/>
      <w:bookmarkStart w:id="590" w:name="_Toc9829"/>
      <w:bookmarkStart w:id="591" w:name="_Toc19772"/>
      <w:bookmarkStart w:id="592" w:name="_Toc487900351"/>
      <w:bookmarkStart w:id="593" w:name="_Toc279701242"/>
      <w:bookmarkStart w:id="594" w:name="_Toc31634"/>
      <w:bookmarkStart w:id="595" w:name="_Toc259093671"/>
      <w:bookmarkStart w:id="596" w:name="_Toc21196"/>
      <w:r>
        <w:rPr>
          <w:rFonts w:hint="eastAsia" w:ascii="楷体" w:hAnsi="楷体" w:eastAsia="楷体" w:cs="楷体"/>
          <w:b/>
          <w:sz w:val="24"/>
          <w:highlight w:val="none"/>
        </w:rPr>
        <w:t>2.3 知识产权</w:t>
      </w:r>
      <w:bookmarkEnd w:id="589"/>
      <w:bookmarkEnd w:id="590"/>
      <w:bookmarkEnd w:id="591"/>
      <w:bookmarkEnd w:id="592"/>
      <w:bookmarkEnd w:id="593"/>
      <w:bookmarkEnd w:id="594"/>
      <w:bookmarkEnd w:id="595"/>
      <w:bookmarkEnd w:id="596"/>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2.3.2具有知识产权的计算机软件等货物的知识产权归属，详见</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w:t>
      </w:r>
    </w:p>
    <w:p>
      <w:pPr>
        <w:spacing w:line="560" w:lineRule="exact"/>
        <w:ind w:firstLine="482" w:firstLineChars="200"/>
        <w:outlineLvl w:val="0"/>
        <w:rPr>
          <w:rFonts w:hint="eastAsia" w:ascii="楷体" w:hAnsi="楷体" w:eastAsia="楷体" w:cs="楷体"/>
          <w:b/>
          <w:sz w:val="24"/>
          <w:highlight w:val="none"/>
        </w:rPr>
      </w:pPr>
      <w:bookmarkStart w:id="597" w:name="_Toc14980"/>
      <w:bookmarkStart w:id="598" w:name="_Toc4194"/>
      <w:bookmarkStart w:id="599" w:name="_Toc11932"/>
      <w:bookmarkStart w:id="600" w:name="_Toc6366"/>
      <w:bookmarkStart w:id="601" w:name="_Toc29149"/>
      <w:r>
        <w:rPr>
          <w:rFonts w:hint="eastAsia" w:ascii="楷体" w:hAnsi="楷体" w:eastAsia="楷体" w:cs="楷体"/>
          <w:b/>
          <w:sz w:val="24"/>
          <w:highlight w:val="none"/>
        </w:rPr>
        <w:t>2.4 包装和装运</w:t>
      </w:r>
      <w:bookmarkEnd w:id="597"/>
      <w:bookmarkEnd w:id="598"/>
      <w:bookmarkEnd w:id="599"/>
      <w:bookmarkEnd w:id="600"/>
      <w:bookmarkEnd w:id="601"/>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2.4.1除</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2.4.2 装运货物的要求和通知，详见</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w:t>
      </w:r>
    </w:p>
    <w:p>
      <w:pPr>
        <w:spacing w:line="560" w:lineRule="exact"/>
        <w:ind w:firstLine="482" w:firstLineChars="200"/>
        <w:outlineLvl w:val="0"/>
        <w:rPr>
          <w:rFonts w:hint="eastAsia" w:ascii="楷体" w:hAnsi="楷体" w:eastAsia="楷体" w:cs="楷体"/>
          <w:b/>
          <w:sz w:val="24"/>
          <w:highlight w:val="none"/>
        </w:rPr>
      </w:pPr>
      <w:bookmarkStart w:id="602" w:name="_Ref467379527"/>
      <w:bookmarkStart w:id="603" w:name="_Toc279701245"/>
      <w:bookmarkStart w:id="604" w:name="_Ref467378541"/>
      <w:bookmarkStart w:id="605" w:name="_Toc259093674"/>
      <w:bookmarkStart w:id="606" w:name="_Toc487900354"/>
      <w:bookmarkStart w:id="607" w:name="_Ref467379536"/>
      <w:bookmarkStart w:id="608" w:name="_Ref467378591"/>
      <w:bookmarkStart w:id="609" w:name="_Ref467379542"/>
      <w:bookmarkStart w:id="610" w:name="_Toc26182"/>
      <w:bookmarkStart w:id="611" w:name="_Toc9627"/>
      <w:bookmarkStart w:id="612" w:name="_Toc30272"/>
      <w:bookmarkStart w:id="613" w:name="_Toc26738"/>
      <w:bookmarkStart w:id="614" w:name="_Toc19074"/>
      <w:r>
        <w:rPr>
          <w:rFonts w:hint="eastAsia" w:ascii="楷体" w:hAnsi="楷体" w:eastAsia="楷体" w:cs="楷体"/>
          <w:b/>
          <w:sz w:val="24"/>
          <w:highlight w:val="none"/>
        </w:rPr>
        <w:t>2.</w:t>
      </w:r>
      <w:bookmarkEnd w:id="602"/>
      <w:bookmarkEnd w:id="603"/>
      <w:bookmarkEnd w:id="604"/>
      <w:bookmarkEnd w:id="605"/>
      <w:bookmarkEnd w:id="606"/>
      <w:bookmarkEnd w:id="607"/>
      <w:bookmarkEnd w:id="608"/>
      <w:bookmarkEnd w:id="609"/>
      <w:r>
        <w:rPr>
          <w:rFonts w:hint="eastAsia" w:ascii="楷体" w:hAnsi="楷体" w:eastAsia="楷体" w:cs="楷体"/>
          <w:b/>
          <w:sz w:val="24"/>
          <w:highlight w:val="none"/>
        </w:rPr>
        <w:t>5 履约检查和问题反馈</w:t>
      </w:r>
      <w:bookmarkEnd w:id="610"/>
      <w:bookmarkEnd w:id="611"/>
      <w:bookmarkEnd w:id="612"/>
      <w:bookmarkEnd w:id="613"/>
      <w:bookmarkEnd w:id="614"/>
    </w:p>
    <w:p>
      <w:pPr>
        <w:spacing w:line="560" w:lineRule="exact"/>
        <w:ind w:firstLine="480" w:firstLineChars="200"/>
        <w:rPr>
          <w:rFonts w:hint="eastAsia" w:ascii="楷体" w:hAnsi="楷体" w:eastAsia="楷体" w:cs="楷体"/>
          <w:sz w:val="24"/>
          <w:highlight w:val="none"/>
        </w:rPr>
      </w:pPr>
      <w:bookmarkStart w:id="615" w:name="_Ref467379657"/>
      <w:r>
        <w:rPr>
          <w:rFonts w:hint="eastAsia" w:ascii="楷体" w:hAnsi="楷体" w:eastAsia="楷体" w:cs="楷体"/>
          <w:sz w:val="24"/>
          <w:highlight w:val="none"/>
        </w:rPr>
        <w:t>2.5.1</w:t>
      </w:r>
      <w:bookmarkEnd w:id="615"/>
      <w:bookmarkStart w:id="616" w:name="_Toc186431854"/>
      <w:bookmarkStart w:id="617" w:name="_Ref467379807"/>
      <w:bookmarkStart w:id="618" w:name="_Toc279701247"/>
      <w:bookmarkStart w:id="619" w:name="_Toc259093676"/>
      <w:bookmarkStart w:id="620" w:name="_Toc487900357"/>
      <w:bookmarkStart w:id="621" w:name="_Ref467379793"/>
      <w:r>
        <w:rPr>
          <w:rFonts w:hint="eastAsia" w:ascii="楷体" w:hAnsi="楷体" w:eastAsia="楷体" w:cs="楷体"/>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2.5.2 合同履行期间，甲方有权将履行过程中出现的问题反馈给乙方，双方当事人应以书面形式约定需要完善和改进的内容</w:t>
      </w:r>
      <w:bookmarkEnd w:id="616"/>
      <w:bookmarkStart w:id="622" w:name="_Toc186431855"/>
      <w:r>
        <w:rPr>
          <w:rFonts w:hint="eastAsia" w:ascii="楷体" w:hAnsi="楷体" w:eastAsia="楷体" w:cs="楷体"/>
          <w:sz w:val="24"/>
          <w:highlight w:val="none"/>
        </w:rPr>
        <w:t>。</w:t>
      </w:r>
    </w:p>
    <w:bookmarkEnd w:id="622"/>
    <w:p>
      <w:pPr>
        <w:spacing w:line="560" w:lineRule="exact"/>
        <w:ind w:firstLine="482" w:firstLineChars="200"/>
        <w:outlineLvl w:val="0"/>
        <w:rPr>
          <w:rFonts w:hint="eastAsia" w:ascii="楷体" w:hAnsi="楷体" w:eastAsia="楷体" w:cs="楷体"/>
          <w:b/>
          <w:sz w:val="24"/>
          <w:highlight w:val="none"/>
        </w:rPr>
      </w:pPr>
      <w:bookmarkStart w:id="623" w:name="_Toc30972"/>
      <w:bookmarkStart w:id="624" w:name="_Toc7836"/>
      <w:bookmarkStart w:id="625" w:name="_Toc28451"/>
      <w:bookmarkStart w:id="626" w:name="_Toc19219"/>
      <w:bookmarkStart w:id="627" w:name="_Toc26884"/>
      <w:r>
        <w:rPr>
          <w:rFonts w:hint="eastAsia" w:ascii="楷体" w:hAnsi="楷体" w:eastAsia="楷体" w:cs="楷体"/>
          <w:b/>
          <w:sz w:val="24"/>
          <w:highlight w:val="none"/>
        </w:rPr>
        <w:t>2.6 结算方式和付款条件</w:t>
      </w:r>
      <w:bookmarkEnd w:id="617"/>
      <w:bookmarkEnd w:id="618"/>
      <w:bookmarkEnd w:id="619"/>
      <w:bookmarkEnd w:id="620"/>
      <w:bookmarkEnd w:id="621"/>
      <w:bookmarkEnd w:id="623"/>
      <w:bookmarkEnd w:id="624"/>
      <w:bookmarkEnd w:id="625"/>
      <w:bookmarkEnd w:id="626"/>
      <w:bookmarkEnd w:id="627"/>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详见</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w:t>
      </w:r>
    </w:p>
    <w:p>
      <w:pPr>
        <w:spacing w:line="560" w:lineRule="exact"/>
        <w:ind w:firstLine="482" w:firstLineChars="200"/>
        <w:outlineLvl w:val="0"/>
        <w:rPr>
          <w:rFonts w:hint="eastAsia" w:ascii="楷体" w:hAnsi="楷体" w:eastAsia="楷体" w:cs="楷体"/>
          <w:b/>
          <w:sz w:val="24"/>
          <w:highlight w:val="none"/>
        </w:rPr>
      </w:pPr>
      <w:bookmarkStart w:id="628" w:name="_Toc487900358"/>
      <w:bookmarkStart w:id="629" w:name="_Ref467379923"/>
      <w:bookmarkStart w:id="630" w:name="_Toc279701248"/>
      <w:bookmarkStart w:id="631" w:name="_Ref467379863"/>
      <w:bookmarkStart w:id="632" w:name="_Toc259093677"/>
      <w:bookmarkStart w:id="633" w:name="_Ref467379852"/>
      <w:bookmarkStart w:id="634" w:name="_Toc17710"/>
      <w:bookmarkStart w:id="635" w:name="_Toc16110"/>
      <w:bookmarkStart w:id="636" w:name="_Toc774"/>
      <w:bookmarkStart w:id="637" w:name="_Toc3225"/>
      <w:bookmarkStart w:id="638" w:name="_Toc3778"/>
      <w:r>
        <w:rPr>
          <w:rFonts w:hint="eastAsia" w:ascii="楷体" w:hAnsi="楷体" w:eastAsia="楷体" w:cs="楷体"/>
          <w:b/>
          <w:sz w:val="24"/>
          <w:highlight w:val="none"/>
        </w:rPr>
        <w:t>2.7 技术资料</w:t>
      </w:r>
      <w:bookmarkEnd w:id="628"/>
      <w:bookmarkEnd w:id="629"/>
      <w:bookmarkEnd w:id="630"/>
      <w:bookmarkEnd w:id="631"/>
      <w:bookmarkEnd w:id="632"/>
      <w:bookmarkEnd w:id="633"/>
      <w:r>
        <w:rPr>
          <w:rFonts w:hint="eastAsia" w:ascii="楷体" w:hAnsi="楷体" w:eastAsia="楷体" w:cs="楷体"/>
          <w:b/>
          <w:sz w:val="24"/>
          <w:highlight w:val="none"/>
        </w:rPr>
        <w:t>和保密义务</w:t>
      </w:r>
      <w:bookmarkEnd w:id="634"/>
      <w:bookmarkEnd w:id="635"/>
      <w:bookmarkEnd w:id="636"/>
      <w:bookmarkEnd w:id="637"/>
      <w:bookmarkEnd w:id="638"/>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2.7.2 乙方有义务妥善保管和保护由甲方提供的前款信息和资料等；</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楷体" w:hAnsi="楷体" w:eastAsia="楷体" w:cs="楷体"/>
          <w:b/>
          <w:sz w:val="24"/>
          <w:highlight w:val="none"/>
        </w:rPr>
      </w:pPr>
      <w:bookmarkStart w:id="639" w:name="_Toc24637"/>
      <w:bookmarkStart w:id="640" w:name="_Toc26530"/>
      <w:bookmarkStart w:id="641" w:name="_Toc7860"/>
      <w:r>
        <w:rPr>
          <w:rFonts w:hint="eastAsia" w:ascii="楷体" w:hAnsi="楷体" w:eastAsia="楷体" w:cs="楷体"/>
          <w:b/>
          <w:sz w:val="24"/>
          <w:highlight w:val="none"/>
        </w:rPr>
        <w:t>2.8 质量保证</w:t>
      </w:r>
      <w:bookmarkEnd w:id="639"/>
      <w:bookmarkEnd w:id="640"/>
      <w:bookmarkEnd w:id="641"/>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楷体" w:hAnsi="楷体" w:eastAsia="楷体" w:cs="楷体"/>
          <w:b/>
          <w:sz w:val="24"/>
          <w:highlight w:val="none"/>
        </w:rPr>
      </w:pPr>
      <w:bookmarkStart w:id="642" w:name="_Toc28827"/>
      <w:bookmarkStart w:id="643" w:name="_Toc25813"/>
      <w:bookmarkStart w:id="644" w:name="_Toc17244"/>
      <w:bookmarkStart w:id="645" w:name="_Toc259093681"/>
      <w:bookmarkStart w:id="646" w:name="_Toc487900362"/>
      <w:bookmarkStart w:id="647" w:name="_Toc279701252"/>
      <w:r>
        <w:rPr>
          <w:rFonts w:hint="eastAsia" w:ascii="楷体" w:hAnsi="楷体" w:eastAsia="楷体" w:cs="楷体"/>
          <w:b/>
          <w:sz w:val="24"/>
          <w:highlight w:val="none"/>
        </w:rPr>
        <w:t>2.9 货物的风险负担</w:t>
      </w:r>
      <w:bookmarkEnd w:id="642"/>
      <w:bookmarkEnd w:id="643"/>
      <w:bookmarkEnd w:id="644"/>
    </w:p>
    <w:p>
      <w:pPr>
        <w:spacing w:line="560" w:lineRule="exact"/>
        <w:ind w:firstLine="480" w:firstLineChars="200"/>
        <w:rPr>
          <w:rFonts w:hint="eastAsia" w:ascii="楷体" w:hAnsi="楷体" w:eastAsia="楷体" w:cs="楷体"/>
          <w:b/>
          <w:sz w:val="24"/>
          <w:highlight w:val="none"/>
        </w:rPr>
      </w:pPr>
      <w:r>
        <w:rPr>
          <w:rFonts w:hint="eastAsia" w:ascii="楷体" w:hAnsi="楷体" w:eastAsia="楷体" w:cs="楷体"/>
          <w:sz w:val="24"/>
          <w:highlight w:val="none"/>
        </w:rPr>
        <w:t>货物或者在途货物或者交付给第一承运人后的货物毁损、灭失的风险负担详见</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w:t>
      </w:r>
    </w:p>
    <w:p>
      <w:pPr>
        <w:spacing w:line="560" w:lineRule="exact"/>
        <w:ind w:firstLine="482" w:firstLineChars="200"/>
        <w:outlineLvl w:val="0"/>
        <w:rPr>
          <w:rFonts w:hint="eastAsia" w:ascii="楷体" w:hAnsi="楷体" w:eastAsia="楷体" w:cs="楷体"/>
          <w:b/>
          <w:sz w:val="24"/>
          <w:highlight w:val="none"/>
        </w:rPr>
      </w:pPr>
      <w:bookmarkStart w:id="648" w:name="_Toc26734"/>
      <w:bookmarkStart w:id="649" w:name="_Toc13400"/>
      <w:bookmarkStart w:id="650" w:name="_Toc14055"/>
      <w:r>
        <w:rPr>
          <w:rFonts w:hint="eastAsia" w:ascii="楷体" w:hAnsi="楷体" w:eastAsia="楷体" w:cs="楷体"/>
          <w:b/>
          <w:sz w:val="24"/>
          <w:highlight w:val="none"/>
        </w:rPr>
        <w:t>2.10 延迟交货</w:t>
      </w:r>
      <w:bookmarkEnd w:id="645"/>
      <w:bookmarkEnd w:id="646"/>
      <w:bookmarkEnd w:id="647"/>
      <w:bookmarkEnd w:id="648"/>
      <w:bookmarkEnd w:id="649"/>
      <w:bookmarkEnd w:id="650"/>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楷体" w:hAnsi="楷体" w:eastAsia="楷体" w:cs="楷体"/>
          <w:b/>
          <w:sz w:val="24"/>
          <w:highlight w:val="none"/>
        </w:rPr>
      </w:pPr>
      <w:bookmarkStart w:id="651" w:name="_Toc16597"/>
      <w:bookmarkStart w:id="652" w:name="_Toc12656"/>
      <w:bookmarkStart w:id="653" w:name="_Toc7502"/>
      <w:bookmarkStart w:id="654" w:name="_Toc279701254"/>
      <w:bookmarkStart w:id="655" w:name="_Toc487900364"/>
      <w:bookmarkStart w:id="656" w:name="_Ref467378121"/>
      <w:bookmarkStart w:id="657" w:name="_Toc259093683"/>
      <w:r>
        <w:rPr>
          <w:rFonts w:hint="eastAsia" w:ascii="楷体" w:hAnsi="楷体" w:eastAsia="楷体" w:cs="楷体"/>
          <w:b/>
          <w:sz w:val="24"/>
          <w:highlight w:val="none"/>
        </w:rPr>
        <w:t>2.11 合同变更</w:t>
      </w:r>
      <w:bookmarkEnd w:id="651"/>
      <w:bookmarkEnd w:id="652"/>
      <w:bookmarkEnd w:id="653"/>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2.11.2 合同继续履行将损害国家利益和社会公共利益的，双方当事人应当以书面形式变更合同。有过错的一方应当承担赔偿责任，双方当事人都有过错的，各自承担相应的责任。</w:t>
      </w:r>
      <w:bookmarkStart w:id="658" w:name="_Toc279701259"/>
      <w:bookmarkStart w:id="659" w:name="_Toc259093688"/>
      <w:bookmarkStart w:id="660" w:name="_Toc487900369"/>
    </w:p>
    <w:p>
      <w:pPr>
        <w:spacing w:line="560" w:lineRule="exact"/>
        <w:ind w:firstLine="482" w:firstLineChars="200"/>
        <w:outlineLvl w:val="0"/>
        <w:rPr>
          <w:rFonts w:hint="eastAsia" w:ascii="楷体" w:hAnsi="楷体" w:eastAsia="楷体" w:cs="楷体"/>
          <w:b/>
          <w:sz w:val="24"/>
          <w:highlight w:val="none"/>
        </w:rPr>
      </w:pPr>
      <w:bookmarkStart w:id="661" w:name="_Toc31024"/>
      <w:bookmarkStart w:id="662" w:name="_Toc823"/>
      <w:bookmarkStart w:id="663" w:name="_Toc15237"/>
      <w:bookmarkStart w:id="664" w:name="_Toc10366"/>
      <w:bookmarkStart w:id="665" w:name="_Toc22955"/>
      <w:r>
        <w:rPr>
          <w:rFonts w:hint="eastAsia" w:ascii="楷体" w:hAnsi="楷体" w:eastAsia="楷体" w:cs="楷体"/>
          <w:b/>
          <w:sz w:val="24"/>
          <w:highlight w:val="none"/>
        </w:rPr>
        <w:t>2.12 合同转让</w:t>
      </w:r>
      <w:bookmarkEnd w:id="658"/>
      <w:bookmarkEnd w:id="659"/>
      <w:bookmarkEnd w:id="660"/>
      <w:r>
        <w:rPr>
          <w:rFonts w:hint="eastAsia" w:ascii="楷体" w:hAnsi="楷体" w:eastAsia="楷体" w:cs="楷体"/>
          <w:b/>
          <w:sz w:val="24"/>
          <w:highlight w:val="none"/>
        </w:rPr>
        <w:t>和分包</w:t>
      </w:r>
      <w:bookmarkEnd w:id="661"/>
      <w:bookmarkEnd w:id="662"/>
      <w:bookmarkEnd w:id="663"/>
      <w:bookmarkEnd w:id="664"/>
      <w:bookmarkEnd w:id="665"/>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楷体" w:hAnsi="楷体" w:eastAsia="楷体" w:cs="楷体"/>
          <w:b/>
          <w:sz w:val="24"/>
          <w:highlight w:val="none"/>
        </w:rPr>
      </w:pPr>
      <w:bookmarkStart w:id="666" w:name="_Toc20207"/>
      <w:bookmarkStart w:id="667" w:name="_Toc13566"/>
      <w:bookmarkStart w:id="668" w:name="_Toc14066"/>
      <w:bookmarkStart w:id="669" w:name="_Toc16508"/>
      <w:bookmarkStart w:id="670" w:name="_Toc18393"/>
      <w:r>
        <w:rPr>
          <w:rFonts w:hint="eastAsia" w:ascii="楷体" w:hAnsi="楷体" w:eastAsia="楷体" w:cs="楷体"/>
          <w:b/>
          <w:sz w:val="24"/>
          <w:highlight w:val="none"/>
        </w:rPr>
        <w:t>2.13 不可抗力</w:t>
      </w:r>
      <w:bookmarkEnd w:id="666"/>
      <w:bookmarkEnd w:id="667"/>
      <w:bookmarkEnd w:id="668"/>
      <w:bookmarkEnd w:id="669"/>
      <w:bookmarkEnd w:id="670"/>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2.13.2 因不可抗力致使不能实现合同目的的，当事人可以解除合同；</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2.13.3 因不可抗力致使合同有变更必要的，双方当事人应在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约定时间内以书面形式变更合同；</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2.13.4受不可抗力影响的一方在不可抗力发生后，应在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约定时间内以书面形式通知对方当事人，并在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约定时间内，将有关部门出具的证明文件送达对方当事人。</w:t>
      </w:r>
    </w:p>
    <w:p>
      <w:pPr>
        <w:spacing w:line="560" w:lineRule="exact"/>
        <w:ind w:firstLine="482" w:firstLineChars="200"/>
        <w:outlineLvl w:val="0"/>
        <w:rPr>
          <w:rFonts w:hint="eastAsia" w:ascii="楷体" w:hAnsi="楷体" w:eastAsia="楷体" w:cs="楷体"/>
          <w:b/>
          <w:sz w:val="24"/>
          <w:highlight w:val="none"/>
        </w:rPr>
      </w:pPr>
      <w:bookmarkStart w:id="671" w:name="_Toc689"/>
      <w:bookmarkStart w:id="672" w:name="_Toc279701255"/>
      <w:bookmarkStart w:id="673" w:name="_Toc4684"/>
      <w:bookmarkStart w:id="674" w:name="_Toc6969"/>
      <w:bookmarkStart w:id="675" w:name="_Toc293"/>
      <w:bookmarkStart w:id="676" w:name="_Toc487900365"/>
      <w:bookmarkStart w:id="677" w:name="_Toc259093684"/>
      <w:bookmarkStart w:id="678" w:name="_Toc30676"/>
      <w:r>
        <w:rPr>
          <w:rFonts w:hint="eastAsia" w:ascii="楷体" w:hAnsi="楷体" w:eastAsia="楷体" w:cs="楷体"/>
          <w:b/>
          <w:sz w:val="24"/>
          <w:highlight w:val="none"/>
        </w:rPr>
        <w:t>2.14 税费</w:t>
      </w:r>
      <w:bookmarkEnd w:id="671"/>
      <w:bookmarkEnd w:id="672"/>
      <w:bookmarkEnd w:id="673"/>
      <w:bookmarkEnd w:id="674"/>
      <w:bookmarkEnd w:id="675"/>
      <w:bookmarkEnd w:id="676"/>
      <w:bookmarkEnd w:id="677"/>
      <w:bookmarkEnd w:id="678"/>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与合同有关的一切税费，均按照中华人民共和国法律的相关规定。</w:t>
      </w:r>
    </w:p>
    <w:p>
      <w:pPr>
        <w:spacing w:line="560" w:lineRule="exact"/>
        <w:ind w:firstLine="482" w:firstLineChars="200"/>
        <w:outlineLvl w:val="0"/>
        <w:rPr>
          <w:rFonts w:hint="eastAsia" w:ascii="楷体" w:hAnsi="楷体" w:eastAsia="楷体" w:cs="楷体"/>
          <w:b/>
          <w:sz w:val="24"/>
          <w:highlight w:val="none"/>
        </w:rPr>
      </w:pPr>
      <w:bookmarkStart w:id="679" w:name="_Toc22424"/>
      <w:bookmarkStart w:id="680" w:name="_Toc487900368"/>
      <w:bookmarkStart w:id="681" w:name="_Toc16959"/>
      <w:bookmarkStart w:id="682" w:name="_Toc8298"/>
      <w:bookmarkStart w:id="683" w:name="_Toc279701258"/>
      <w:bookmarkStart w:id="684" w:name="_Toc28"/>
      <w:bookmarkStart w:id="685" w:name="_Toc259093687"/>
      <w:bookmarkStart w:id="686" w:name="_Toc7102"/>
      <w:r>
        <w:rPr>
          <w:rFonts w:hint="eastAsia" w:ascii="楷体" w:hAnsi="楷体" w:eastAsia="楷体" w:cs="楷体"/>
          <w:b/>
          <w:sz w:val="24"/>
          <w:highlight w:val="none"/>
        </w:rPr>
        <w:t>2.15 乙方破产</w:t>
      </w:r>
      <w:bookmarkEnd w:id="679"/>
      <w:bookmarkEnd w:id="680"/>
      <w:bookmarkEnd w:id="681"/>
      <w:bookmarkEnd w:id="682"/>
      <w:bookmarkEnd w:id="683"/>
      <w:bookmarkEnd w:id="684"/>
      <w:bookmarkEnd w:id="685"/>
      <w:bookmarkEnd w:id="686"/>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楷体" w:hAnsi="楷体" w:eastAsia="楷体" w:cs="楷体"/>
          <w:b/>
          <w:sz w:val="24"/>
          <w:highlight w:val="none"/>
        </w:rPr>
      </w:pPr>
      <w:bookmarkStart w:id="687" w:name="_Toc29334"/>
      <w:bookmarkStart w:id="688" w:name="_Toc15387"/>
      <w:bookmarkStart w:id="689" w:name="_Toc6134"/>
      <w:bookmarkStart w:id="690" w:name="_Toc29333"/>
      <w:bookmarkStart w:id="691" w:name="_Toc4282"/>
      <w:r>
        <w:rPr>
          <w:rFonts w:hint="eastAsia" w:ascii="楷体" w:hAnsi="楷体" w:eastAsia="楷体" w:cs="楷体"/>
          <w:b/>
          <w:sz w:val="24"/>
          <w:highlight w:val="none"/>
        </w:rPr>
        <w:t>2.16 合同中止、终止</w:t>
      </w:r>
      <w:bookmarkEnd w:id="687"/>
      <w:bookmarkEnd w:id="688"/>
      <w:bookmarkEnd w:id="689"/>
      <w:bookmarkEnd w:id="690"/>
      <w:bookmarkEnd w:id="691"/>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2.16.1 双方当事人不得擅自中止或者终止合同；</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楷体" w:hAnsi="楷体" w:eastAsia="楷体" w:cs="楷体"/>
          <w:b/>
          <w:sz w:val="24"/>
          <w:highlight w:val="none"/>
        </w:rPr>
      </w:pPr>
      <w:bookmarkStart w:id="692" w:name="_Toc25784"/>
      <w:bookmarkStart w:id="693" w:name="_Toc15677"/>
      <w:bookmarkStart w:id="694" w:name="_Toc6596"/>
      <w:bookmarkStart w:id="695" w:name="_Toc1125"/>
      <w:bookmarkStart w:id="696" w:name="_Toc14563"/>
      <w:r>
        <w:rPr>
          <w:rFonts w:hint="eastAsia" w:ascii="楷体" w:hAnsi="楷体" w:eastAsia="楷体" w:cs="楷体"/>
          <w:b/>
          <w:sz w:val="24"/>
          <w:highlight w:val="none"/>
        </w:rPr>
        <w:t>2.17 检验和验收</w:t>
      </w:r>
      <w:bookmarkEnd w:id="692"/>
      <w:bookmarkEnd w:id="693"/>
      <w:bookmarkEnd w:id="694"/>
      <w:bookmarkEnd w:id="695"/>
      <w:bookmarkEnd w:id="696"/>
    </w:p>
    <w:p>
      <w:pPr>
        <w:tabs>
          <w:tab w:val="left" w:pos="360"/>
          <w:tab w:val="left" w:pos="540"/>
          <w:tab w:val="left" w:pos="1080"/>
        </w:tabs>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2.17.1货物交付前，乙方应对货物的质量、数量等方面进行详细、全面的检验，并向甲方出具证明货物符合合同约定的文件；货物交付时，乙方在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2.17.3 检验和验收标准、程序等具体内容以及前述验收书的效力详见</w:t>
      </w:r>
      <w:r>
        <w:rPr>
          <w:rFonts w:hint="eastAsia" w:ascii="楷体" w:hAnsi="楷体" w:eastAsia="楷体" w:cs="楷体"/>
          <w:b/>
          <w:i/>
          <w:sz w:val="24"/>
          <w:highlight w:val="none"/>
          <w:u w:val="single"/>
        </w:rPr>
        <w:t>合同专用条款</w:t>
      </w:r>
      <w:r>
        <w:rPr>
          <w:rFonts w:hint="eastAsia" w:ascii="楷体" w:hAnsi="楷体" w:eastAsia="楷体" w:cs="楷体"/>
          <w:i/>
          <w:sz w:val="24"/>
          <w:highlight w:val="none"/>
        </w:rPr>
        <w:t>。</w:t>
      </w:r>
    </w:p>
    <w:bookmarkEnd w:id="654"/>
    <w:bookmarkEnd w:id="655"/>
    <w:bookmarkEnd w:id="656"/>
    <w:bookmarkEnd w:id="657"/>
    <w:p>
      <w:pPr>
        <w:spacing w:line="560" w:lineRule="exact"/>
        <w:ind w:firstLine="482" w:firstLineChars="200"/>
        <w:outlineLvl w:val="0"/>
        <w:rPr>
          <w:rFonts w:hint="eastAsia" w:ascii="楷体" w:hAnsi="楷体" w:eastAsia="楷体" w:cs="楷体"/>
          <w:b/>
          <w:sz w:val="24"/>
          <w:highlight w:val="none"/>
        </w:rPr>
      </w:pPr>
      <w:bookmarkStart w:id="697" w:name="_Toc487900371"/>
      <w:bookmarkStart w:id="698" w:name="_Toc279701261"/>
      <w:bookmarkStart w:id="699" w:name="_Toc259093690"/>
      <w:bookmarkStart w:id="700" w:name="_Toc26232"/>
      <w:bookmarkStart w:id="701" w:name="_Toc19604"/>
      <w:bookmarkStart w:id="702" w:name="_Toc25182"/>
      <w:bookmarkStart w:id="703" w:name="_Toc23358"/>
      <w:bookmarkStart w:id="704" w:name="_Toc11284"/>
      <w:r>
        <w:rPr>
          <w:rFonts w:hint="eastAsia" w:ascii="楷体" w:hAnsi="楷体" w:eastAsia="楷体" w:cs="楷体"/>
          <w:b/>
          <w:sz w:val="24"/>
          <w:highlight w:val="none"/>
        </w:rPr>
        <w:t>2.18 通知</w:t>
      </w:r>
      <w:bookmarkEnd w:id="697"/>
      <w:bookmarkEnd w:id="698"/>
      <w:bookmarkEnd w:id="699"/>
      <w:r>
        <w:rPr>
          <w:rFonts w:hint="eastAsia" w:ascii="楷体" w:hAnsi="楷体" w:eastAsia="楷体" w:cs="楷体"/>
          <w:b/>
          <w:sz w:val="24"/>
          <w:highlight w:val="none"/>
        </w:rPr>
        <w:t>和送达</w:t>
      </w:r>
      <w:bookmarkEnd w:id="700"/>
      <w:bookmarkEnd w:id="701"/>
      <w:bookmarkEnd w:id="702"/>
      <w:bookmarkEnd w:id="703"/>
      <w:bookmarkEnd w:id="704"/>
    </w:p>
    <w:p>
      <w:pPr>
        <w:spacing w:line="560" w:lineRule="exact"/>
        <w:ind w:firstLine="480" w:firstLineChars="200"/>
        <w:rPr>
          <w:rFonts w:hint="eastAsia" w:ascii="楷体" w:hAnsi="楷体" w:eastAsia="楷体" w:cs="楷体"/>
          <w:sz w:val="24"/>
          <w:highlight w:val="none"/>
        </w:rPr>
      </w:pPr>
      <w:bookmarkStart w:id="705" w:name="_Toc6698"/>
      <w:bookmarkStart w:id="706" w:name="_Toc3135"/>
      <w:bookmarkStart w:id="707" w:name="_Toc487900372"/>
      <w:bookmarkStart w:id="708" w:name="_Toc259093691"/>
      <w:bookmarkStart w:id="709" w:name="_Toc279701262"/>
      <w:r>
        <w:rPr>
          <w:rFonts w:hint="eastAsia" w:ascii="楷体" w:hAnsi="楷体" w:eastAsia="楷体" w:cs="楷体"/>
          <w:sz w:val="24"/>
          <w:highlight w:val="none"/>
        </w:rPr>
        <w:t>2.18.1 任何一方因履行合同而以合同第一部分尾部所列明的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发出的所有通知、文件、材料，均视为已向对方当事人送达；任何一方变更上述送达方式或者地址的，应于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个工作日内书面通知对方当事人，在对方当事人收到有关变更通知之前，变更前的约定送达方式或者地址仍视为有效。</w:t>
      </w:r>
      <w:bookmarkEnd w:id="705"/>
      <w:bookmarkEnd w:id="706"/>
    </w:p>
    <w:p>
      <w:pPr>
        <w:spacing w:line="560" w:lineRule="exact"/>
        <w:ind w:firstLine="480" w:firstLineChars="200"/>
        <w:rPr>
          <w:rFonts w:hint="eastAsia" w:ascii="楷体" w:hAnsi="楷体" w:eastAsia="楷体" w:cs="楷体"/>
          <w:sz w:val="24"/>
          <w:highlight w:val="none"/>
        </w:rPr>
      </w:pPr>
      <w:bookmarkStart w:id="710" w:name="_Toc23294"/>
      <w:bookmarkStart w:id="711" w:name="_Toc23128"/>
      <w:r>
        <w:rPr>
          <w:rFonts w:hint="eastAsia" w:ascii="楷体" w:hAnsi="楷体" w:eastAsia="楷体" w:cs="楷体"/>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710"/>
      <w:bookmarkEnd w:id="711"/>
    </w:p>
    <w:p>
      <w:pPr>
        <w:spacing w:line="560" w:lineRule="exact"/>
        <w:ind w:firstLine="482" w:firstLineChars="200"/>
        <w:outlineLvl w:val="0"/>
        <w:rPr>
          <w:rFonts w:hint="eastAsia" w:ascii="楷体" w:hAnsi="楷体" w:eastAsia="楷体" w:cs="楷体"/>
          <w:b/>
          <w:sz w:val="24"/>
          <w:highlight w:val="none"/>
        </w:rPr>
      </w:pPr>
      <w:bookmarkStart w:id="712" w:name="_Toc30599"/>
      <w:bookmarkStart w:id="713" w:name="_Toc3604"/>
      <w:bookmarkStart w:id="714" w:name="_Toc4355"/>
      <w:bookmarkStart w:id="715" w:name="_Toc16614"/>
      <w:bookmarkStart w:id="716" w:name="_Toc18540"/>
      <w:r>
        <w:rPr>
          <w:rFonts w:hint="eastAsia" w:ascii="楷体" w:hAnsi="楷体" w:eastAsia="楷体" w:cs="楷体"/>
          <w:b/>
          <w:sz w:val="24"/>
          <w:highlight w:val="none"/>
        </w:rPr>
        <w:t>2.19 计量单位</w:t>
      </w:r>
      <w:bookmarkEnd w:id="707"/>
      <w:bookmarkEnd w:id="708"/>
      <w:bookmarkEnd w:id="709"/>
      <w:bookmarkEnd w:id="712"/>
      <w:bookmarkEnd w:id="713"/>
      <w:bookmarkEnd w:id="714"/>
      <w:bookmarkEnd w:id="715"/>
      <w:bookmarkEnd w:id="716"/>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除技术规范中另有规定外,合同的计量单位均使用国家法定计量单位。</w:t>
      </w:r>
    </w:p>
    <w:p>
      <w:pPr>
        <w:spacing w:line="560" w:lineRule="exact"/>
        <w:ind w:firstLine="482" w:firstLineChars="200"/>
        <w:outlineLvl w:val="0"/>
        <w:rPr>
          <w:rFonts w:hint="eastAsia" w:ascii="楷体" w:hAnsi="楷体" w:eastAsia="楷体" w:cs="楷体"/>
          <w:b/>
          <w:sz w:val="24"/>
          <w:highlight w:val="none"/>
        </w:rPr>
      </w:pPr>
      <w:bookmarkStart w:id="717" w:name="_Toc10330"/>
      <w:bookmarkStart w:id="718" w:name="_Toc12773"/>
      <w:bookmarkStart w:id="719" w:name="_Toc259093692"/>
      <w:bookmarkStart w:id="720" w:name="_Toc279701263"/>
      <w:bookmarkStart w:id="721" w:name="_Toc7596"/>
      <w:bookmarkStart w:id="722" w:name="_Toc6705"/>
      <w:bookmarkStart w:id="723" w:name="_Toc487900373"/>
      <w:bookmarkStart w:id="724" w:name="_Toc18567"/>
      <w:r>
        <w:rPr>
          <w:rFonts w:hint="eastAsia" w:ascii="楷体" w:hAnsi="楷体" w:eastAsia="楷体" w:cs="楷体"/>
          <w:b/>
          <w:sz w:val="24"/>
          <w:highlight w:val="none"/>
        </w:rPr>
        <w:t>2.20 合同使用的文字和适用的法律</w:t>
      </w:r>
      <w:bookmarkEnd w:id="717"/>
      <w:bookmarkEnd w:id="718"/>
      <w:bookmarkEnd w:id="719"/>
      <w:bookmarkEnd w:id="720"/>
      <w:bookmarkEnd w:id="721"/>
      <w:bookmarkEnd w:id="722"/>
      <w:bookmarkEnd w:id="723"/>
      <w:bookmarkEnd w:id="724"/>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2.20.1 合同使用汉语书就、变更和解释；</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2.20.2 合同适用中华人民共和国法律。</w:t>
      </w:r>
    </w:p>
    <w:p>
      <w:pPr>
        <w:spacing w:line="560" w:lineRule="exact"/>
        <w:ind w:firstLine="482" w:firstLineChars="200"/>
        <w:outlineLvl w:val="0"/>
        <w:rPr>
          <w:rFonts w:hint="eastAsia" w:ascii="楷体" w:hAnsi="楷体" w:eastAsia="楷体" w:cs="楷体"/>
          <w:b/>
          <w:sz w:val="24"/>
          <w:highlight w:val="none"/>
        </w:rPr>
      </w:pPr>
      <w:bookmarkStart w:id="725" w:name="_Toc6248"/>
      <w:bookmarkStart w:id="726" w:name="_Toc21437"/>
      <w:bookmarkStart w:id="727" w:name="_Toc279701264"/>
      <w:bookmarkStart w:id="728" w:name="_Toc3148"/>
      <w:bookmarkStart w:id="729" w:name="_Toc12004"/>
      <w:bookmarkStart w:id="730" w:name="_Toc16673"/>
      <w:bookmarkStart w:id="731" w:name="_Toc259093693"/>
      <w:bookmarkStart w:id="732" w:name="_Toc487900374"/>
      <w:r>
        <w:rPr>
          <w:rFonts w:hint="eastAsia" w:ascii="楷体" w:hAnsi="楷体" w:eastAsia="楷体" w:cs="楷体"/>
          <w:b/>
          <w:sz w:val="24"/>
          <w:highlight w:val="none"/>
        </w:rPr>
        <w:t>2.21 履约保证金</w:t>
      </w:r>
      <w:bookmarkEnd w:id="725"/>
      <w:bookmarkEnd w:id="726"/>
      <w:bookmarkEnd w:id="727"/>
      <w:bookmarkEnd w:id="728"/>
      <w:bookmarkEnd w:id="729"/>
      <w:bookmarkEnd w:id="730"/>
      <w:bookmarkEnd w:id="731"/>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2.21.1 采购文件要求乙方提交履约保证金的，乙方应按</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2.21.2  履约保证金在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约定期间内或者货物质量保证期内不予退还或者应完全有效，前述约定期间届满或者货物质量保证期届满之日起</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个工作日内，甲方应将履约保证金退还乙方；</w:t>
      </w:r>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32"/>
    <w:p>
      <w:pPr>
        <w:spacing w:line="560" w:lineRule="exact"/>
        <w:ind w:firstLine="482" w:firstLineChars="200"/>
        <w:outlineLvl w:val="0"/>
        <w:rPr>
          <w:rFonts w:hint="eastAsia" w:ascii="楷体" w:hAnsi="楷体" w:eastAsia="楷体" w:cs="楷体"/>
          <w:b/>
          <w:sz w:val="24"/>
          <w:highlight w:val="none"/>
        </w:rPr>
      </w:pPr>
      <w:bookmarkStart w:id="733" w:name="_Toc14001"/>
      <w:bookmarkStart w:id="734" w:name="_Toc25292"/>
      <w:bookmarkStart w:id="735" w:name="_Toc19890"/>
      <w:bookmarkStart w:id="736" w:name="_Toc6885"/>
      <w:bookmarkStart w:id="737" w:name="_Toc6464"/>
      <w:r>
        <w:rPr>
          <w:rFonts w:hint="eastAsia" w:ascii="楷体" w:hAnsi="楷体" w:eastAsia="楷体" w:cs="楷体"/>
          <w:b/>
          <w:sz w:val="24"/>
          <w:highlight w:val="none"/>
        </w:rPr>
        <w:t>2.22 合同份数</w:t>
      </w:r>
      <w:bookmarkEnd w:id="733"/>
      <w:bookmarkEnd w:id="734"/>
      <w:bookmarkEnd w:id="735"/>
      <w:bookmarkEnd w:id="736"/>
      <w:bookmarkEnd w:id="737"/>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合同份数按</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规定，每份均具有同等法律效力。</w:t>
      </w:r>
    </w:p>
    <w:p>
      <w:pPr>
        <w:pStyle w:val="25"/>
        <w:spacing w:line="560" w:lineRule="exact"/>
        <w:ind w:firstLine="0"/>
        <w:jc w:val="center"/>
        <w:rPr>
          <w:rFonts w:hint="eastAsia" w:ascii="楷体" w:hAnsi="楷体" w:eastAsia="楷体" w:cs="楷体"/>
          <w:b/>
          <w:szCs w:val="24"/>
          <w:highlight w:val="none"/>
        </w:rPr>
      </w:pPr>
      <w:r>
        <w:rPr>
          <w:rFonts w:hint="eastAsia" w:ascii="楷体" w:hAnsi="楷体" w:eastAsia="楷体" w:cs="楷体"/>
          <w:szCs w:val="24"/>
          <w:highlight w:val="none"/>
        </w:rPr>
        <w:br w:type="page"/>
      </w:r>
      <w:bookmarkStart w:id="738" w:name="_Toc331685784"/>
      <w:r>
        <w:rPr>
          <w:rFonts w:hint="eastAsia" w:ascii="楷体" w:hAnsi="楷体" w:eastAsia="楷体" w:cs="楷体"/>
          <w:b/>
          <w:szCs w:val="24"/>
          <w:highlight w:val="none"/>
        </w:rPr>
        <w:t>第三部分  合同专用条款</w:t>
      </w:r>
      <w:bookmarkEnd w:id="738"/>
    </w:p>
    <w:p>
      <w:p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楷体" w:hAnsi="楷体" w:eastAsia="楷体" w:cs="楷体"/>
                <w:b/>
                <w:sz w:val="24"/>
                <w:highlight w:val="none"/>
              </w:rPr>
            </w:pPr>
            <w:r>
              <w:rPr>
                <w:rFonts w:hint="eastAsia" w:ascii="楷体" w:hAnsi="楷体" w:eastAsia="楷体" w:cs="楷体"/>
                <w:b/>
                <w:sz w:val="24"/>
                <w:highlight w:val="none"/>
              </w:rPr>
              <w:t>条款号</w:t>
            </w:r>
          </w:p>
        </w:tc>
        <w:tc>
          <w:tcPr>
            <w:tcW w:w="7633" w:type="dxa"/>
            <w:noWrap w:val="0"/>
            <w:vAlign w:val="center"/>
          </w:tcPr>
          <w:p>
            <w:pPr>
              <w:spacing w:line="560" w:lineRule="exact"/>
              <w:jc w:val="center"/>
              <w:rPr>
                <w:rFonts w:hint="eastAsia" w:ascii="楷体" w:hAnsi="楷体" w:eastAsia="楷体" w:cs="楷体"/>
                <w:b/>
                <w:sz w:val="24"/>
                <w:highlight w:val="none"/>
              </w:rPr>
            </w:pPr>
            <w:r>
              <w:rPr>
                <w:rFonts w:hint="eastAsia" w:ascii="楷体" w:hAnsi="楷体" w:eastAsia="楷体" w:cs="楷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楷体" w:hAnsi="楷体" w:eastAsia="楷体" w:cs="楷体"/>
                <w:sz w:val="24"/>
                <w:highlight w:val="none"/>
              </w:rPr>
            </w:pPr>
          </w:p>
        </w:tc>
        <w:tc>
          <w:tcPr>
            <w:tcW w:w="7633" w:type="dxa"/>
            <w:noWrap w:val="0"/>
            <w:vAlign w:val="center"/>
          </w:tcPr>
          <w:p>
            <w:pPr>
              <w:spacing w:line="560" w:lineRule="exact"/>
              <w:rPr>
                <w:rFonts w:hint="eastAsia" w:ascii="楷体" w:hAnsi="楷体" w:eastAsia="楷体" w:cs="楷体"/>
                <w:sz w:val="24"/>
                <w:highlight w:val="none"/>
              </w:rPr>
            </w:pPr>
          </w:p>
        </w:tc>
      </w:tr>
    </w:tbl>
    <w:p>
      <w:pPr>
        <w:spacing w:after="156" w:line="560" w:lineRule="exact"/>
        <w:ind w:firstLine="480"/>
        <w:rPr>
          <w:rFonts w:hint="eastAsia" w:ascii="楷体" w:hAnsi="楷体" w:eastAsia="楷体" w:cs="楷体"/>
          <w:highlight w:val="none"/>
        </w:rPr>
      </w:pPr>
    </w:p>
    <w:p>
      <w:pPr>
        <w:pStyle w:val="2"/>
        <w:spacing w:before="0" w:line="240" w:lineRule="atLeast"/>
        <w:ind w:left="1080" w:leftChars="257" w:hanging="540"/>
        <w:rPr>
          <w:rFonts w:hint="eastAsia" w:ascii="楷体" w:hAnsi="楷体" w:eastAsia="楷体" w:cs="楷体"/>
          <w:sz w:val="24"/>
        </w:rPr>
      </w:pPr>
    </w:p>
    <w:p>
      <w:pPr>
        <w:rPr>
          <w:rFonts w:hint="eastAsia" w:ascii="楷体" w:hAnsi="楷体" w:eastAsia="楷体" w:cs="楷体"/>
        </w:rPr>
      </w:pPr>
    </w:p>
    <w:p>
      <w:pPr>
        <w:pStyle w:val="2"/>
        <w:spacing w:before="0" w:line="240" w:lineRule="atLeast"/>
        <w:ind w:left="1080" w:leftChars="257" w:hanging="540"/>
        <w:rPr>
          <w:rFonts w:hint="eastAsia" w:ascii="楷体" w:hAnsi="楷体" w:eastAsia="楷体" w:cs="楷体"/>
          <w:sz w:val="24"/>
        </w:rPr>
      </w:pPr>
    </w:p>
    <w:p>
      <w:pPr>
        <w:pStyle w:val="2"/>
        <w:spacing w:before="0" w:line="240" w:lineRule="atLeast"/>
        <w:ind w:left="1080" w:leftChars="257" w:hanging="540"/>
        <w:rPr>
          <w:rFonts w:hint="eastAsia" w:ascii="楷体" w:hAnsi="楷体" w:eastAsia="楷体" w:cs="楷体"/>
          <w:sz w:val="24"/>
        </w:rPr>
      </w:pPr>
    </w:p>
    <w:p>
      <w:pPr>
        <w:pStyle w:val="2"/>
        <w:spacing w:before="0" w:line="240" w:lineRule="atLeast"/>
        <w:ind w:left="1080" w:leftChars="257" w:hanging="540"/>
        <w:rPr>
          <w:rFonts w:hint="eastAsia" w:ascii="楷体" w:hAnsi="楷体" w:eastAsia="楷体" w:cs="楷体"/>
          <w:sz w:val="24"/>
        </w:rPr>
      </w:pPr>
    </w:p>
    <w:p/>
    <w:p/>
    <w:p/>
    <w:sectPr>
      <w:headerReference r:id="rId11" w:type="default"/>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1"/>
                            <w:rPr>
                              <w:rStyle w:val="20"/>
                            </w:rPr>
                          </w:pPr>
                          <w:r>
                            <w:fldChar w:fldCharType="begin"/>
                          </w:r>
                          <w:r>
                            <w:rPr>
                              <w:rStyle w:val="20"/>
                            </w:rPr>
                            <w:instrText xml:space="preserve">PAGE  </w:instrText>
                          </w:r>
                          <w:r>
                            <w:fldChar w:fldCharType="separate"/>
                          </w:r>
                          <w:r>
                            <w:rPr>
                              <w:rStyle w:val="20"/>
                            </w:rP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xAIkjRAAAAAgEAAA8AAAAAAAAAAQAgAAAAIgAAAGRycy9kb3du&#10;cmV2LnhtbFBLAQIUABQAAAAIAIdO4kBMr0EyzQEAAJYDAAAOAAAAAAAAAAEAIAAAACABAABkcnMv&#10;ZTJvRG9jLnhtbFBLBQYAAAAABgAGAFkBAABfBQAAAAA=&#10;">
              <v:fill on="f" focussize="0,0"/>
              <v:stroke on="f"/>
              <v:imagedata o:title=""/>
              <o:lock v:ext="edit" aspectratio="f"/>
              <v:textbox inset="0mm,0mm,0mm,0mm" style="mso-fit-shape-to-text:t;">
                <w:txbxContent>
                  <w:p>
                    <w:pPr>
                      <w:pStyle w:val="11"/>
                      <w:rPr>
                        <w:rStyle w:val="20"/>
                      </w:rPr>
                    </w:pPr>
                    <w:r>
                      <w:fldChar w:fldCharType="begin"/>
                    </w:r>
                    <w:r>
                      <w:rPr>
                        <w:rStyle w:val="20"/>
                      </w:rPr>
                      <w:instrText xml:space="preserve">PAGE  </w:instrText>
                    </w:r>
                    <w:r>
                      <w:fldChar w:fldCharType="separate"/>
                    </w:r>
                    <w:r>
                      <w:rPr>
                        <w:rStyle w:val="20"/>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IF20QzPAQAAlwMAAA4AAAAAAAAAAQAgAAAAIAEAAGRy&#10;cy9lMm9Eb2MueG1sUEsFBgAAAAAGAAYAWQEAAGEFAAAAAA==&#10;">
              <v:fill on="f" focussize="0,0"/>
              <v:stroke on="f"/>
              <v:imagedata o:title=""/>
              <o:lock v:ext="edit" aspectratio="f"/>
              <v:textbox inset="0mm,0mm,0mm,0mm" style="mso-fit-shape-to-text:t;">
                <w:txbxContent>
                  <w:p>
                    <w:pPr>
                      <w:pStyle w:val="11"/>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73</w:t>
                    </w:r>
                    <w:r>
                      <w:rPr>
                        <w:rFonts w:hint="eastAsia"/>
                      </w:rPr>
                      <w:fldChar w:fldCharType="end"/>
                    </w:r>
                    <w:r>
                      <w:rPr>
                        <w:rFonts w:hint="eastAsia"/>
                      </w:rPr>
                      <w:t xml:space="preserve"> 页</w:t>
                    </w:r>
                  </w:p>
                </w:txbxContent>
              </v:textbox>
            </v:shape>
          </w:pict>
        </mc:Fallback>
      </mc:AlternateContent>
    </w:r>
  </w:p>
  <w:p>
    <w:pPr>
      <w:pStyle w:val="11"/>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rPr>
                              <w:rStyle w:val="20"/>
                            </w:rPr>
                          </w:pPr>
                          <w:r>
                            <w:fldChar w:fldCharType="begin"/>
                          </w:r>
                          <w:r>
                            <w:rPr>
                              <w:rStyle w:val="20"/>
                            </w:rPr>
                            <w:instrText xml:space="preserve">PAGE  </w:instrText>
                          </w:r>
                          <w:r>
                            <w:fldChar w:fldCharType="separate"/>
                          </w:r>
                          <w:r>
                            <w:rPr>
                              <w:rStyle w:val="20"/>
                            </w:rP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c4/n5M4BAACXAwAADgAAAAAAAAABACAAAAAgAQAAZHJz&#10;L2Uyb0RvYy54bWxQSwUGAAAAAAYABgBZAQAAYAUAAAAA&#10;">
              <v:fill on="f" focussize="0,0"/>
              <v:stroke on="f"/>
              <v:imagedata o:title=""/>
              <o:lock v:ext="edit" aspectratio="f"/>
              <v:textbox inset="0mm,0mm,0mm,0mm" style="mso-fit-shape-to-text:t;">
                <w:txbxContent>
                  <w:p>
                    <w:pPr>
                      <w:pStyle w:val="11"/>
                      <w:rPr>
                        <w:rStyle w:val="20"/>
                      </w:rPr>
                    </w:pPr>
                    <w:r>
                      <w:fldChar w:fldCharType="begin"/>
                    </w:r>
                    <w:r>
                      <w:rPr>
                        <w:rStyle w:val="20"/>
                      </w:rPr>
                      <w:instrText xml:space="preserve">PAGE  </w:instrText>
                    </w:r>
                    <w:r>
                      <w:fldChar w:fldCharType="separate"/>
                    </w:r>
                    <w:r>
                      <w:rPr>
                        <w:rStyle w:val="20"/>
                      </w:rP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73</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1"/>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73</w:t>
                    </w:r>
                    <w:r>
                      <w:rPr>
                        <w:rFonts w:hint="eastAsia"/>
                      </w:rPr>
                      <w:fldChar w:fldCharType="end"/>
                    </w:r>
                    <w:r>
                      <w:rPr>
                        <w:rFonts w:hint="eastAsia"/>
                      </w:rPr>
                      <w:t xml:space="preserve"> 页</w:t>
                    </w:r>
                  </w:p>
                </w:txbxContent>
              </v:textbox>
            </v:shape>
          </w:pict>
        </mc:Fallback>
      </mc:AlternateContent>
    </w:r>
  </w:p>
  <w:p>
    <w:pPr>
      <w:pStyle w:val="1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53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J6ceOXPAQAAlwMAAA4AAAAAAAAAAQAgAAAAIAEAAGRy&#10;cy9lMm9Eb2MueG1sUEsFBgAAAAAGAAYAWQEAAGEFA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53</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48ADC"/>
    <w:multiLevelType w:val="singleLevel"/>
    <w:tmpl w:val="85F48ADC"/>
    <w:lvl w:ilvl="0" w:tentative="0">
      <w:start w:val="1"/>
      <w:numFmt w:val="decimalEnclosedCircleChinese"/>
      <w:suff w:val="nothing"/>
      <w:lvlText w:val="%1　"/>
      <w:lvlJc w:val="left"/>
      <w:pPr>
        <w:ind w:left="0" w:firstLine="400"/>
      </w:pPr>
      <w:rPr>
        <w:rFonts w:hint="eastAsia"/>
      </w:rPr>
    </w:lvl>
  </w:abstractNum>
  <w:abstractNum w:abstractNumId="1">
    <w:nsid w:val="C0C79D96"/>
    <w:multiLevelType w:val="singleLevel"/>
    <w:tmpl w:val="C0C79D96"/>
    <w:lvl w:ilvl="0" w:tentative="0">
      <w:start w:val="1"/>
      <w:numFmt w:val="decimal"/>
      <w:lvlText w:val="%1."/>
      <w:lvlJc w:val="left"/>
      <w:pPr>
        <w:ind w:left="425" w:hanging="425"/>
      </w:pPr>
      <w:rPr>
        <w:rFonts w:hint="default"/>
      </w:rPr>
    </w:lvl>
  </w:abstractNum>
  <w:abstractNum w:abstractNumId="2">
    <w:nsid w:val="00000004"/>
    <w:multiLevelType w:val="multilevel"/>
    <w:tmpl w:val="00000004"/>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474C1D3"/>
    <w:multiLevelType w:val="singleLevel"/>
    <w:tmpl w:val="3474C1D3"/>
    <w:lvl w:ilvl="0" w:tentative="0">
      <w:start w:val="1"/>
      <w:numFmt w:val="decimal"/>
      <w:lvlText w:val="(%1)"/>
      <w:lvlJc w:val="left"/>
      <w:pPr>
        <w:ind w:left="425" w:hanging="425"/>
      </w:pPr>
      <w:rPr>
        <w:rFonts w:hint="default"/>
      </w:rPr>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59C7800C"/>
    <w:multiLevelType w:val="singleLevel"/>
    <w:tmpl w:val="59C7800C"/>
    <w:lvl w:ilvl="0" w:tentative="0">
      <w:start w:val="8"/>
      <w:numFmt w:val="decimal"/>
      <w:suff w:val="nothing"/>
      <w:lvlText w:val="%1、"/>
      <w:lvlJc w:val="left"/>
    </w:lvl>
  </w:abstractNum>
  <w:abstractNum w:abstractNumId="9">
    <w:nsid w:val="5EBFB155"/>
    <w:multiLevelType w:val="singleLevel"/>
    <w:tmpl w:val="5EBFB155"/>
    <w:lvl w:ilvl="0" w:tentative="0">
      <w:start w:val="2"/>
      <w:numFmt w:val="decimal"/>
      <w:suff w:val="nothing"/>
      <w:lvlText w:val="%1、"/>
      <w:lvlJc w:val="left"/>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1">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6F205BF6"/>
    <w:multiLevelType w:val="multilevel"/>
    <w:tmpl w:val="6F205BF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8B4029D"/>
    <w:multiLevelType w:val="singleLevel"/>
    <w:tmpl w:val="78B4029D"/>
    <w:lvl w:ilvl="0" w:tentative="0">
      <w:start w:val="2"/>
      <w:numFmt w:val="decimal"/>
      <w:lvlText w:val="%1."/>
      <w:lvlJc w:val="left"/>
      <w:pPr>
        <w:tabs>
          <w:tab w:val="left" w:pos="312"/>
        </w:tabs>
        <w:ind w:left="843" w:firstLine="0"/>
      </w:pPr>
    </w:lvl>
  </w:abstractNum>
  <w:num w:numId="1">
    <w:abstractNumId w:val="5"/>
  </w:num>
  <w:num w:numId="2">
    <w:abstractNumId w:val="10"/>
  </w:num>
  <w:num w:numId="3">
    <w:abstractNumId w:val="4"/>
  </w:num>
  <w:num w:numId="4">
    <w:abstractNumId w:val="2"/>
  </w:num>
  <w:num w:numId="5">
    <w:abstractNumId w:val="9"/>
  </w:num>
  <w:num w:numId="6">
    <w:abstractNumId w:val="6"/>
  </w:num>
  <w:num w:numId="7">
    <w:abstractNumId w:val="11"/>
  </w:num>
  <w:num w:numId="8">
    <w:abstractNumId w:val="7"/>
  </w:num>
  <w:num w:numId="9">
    <w:abstractNumId w:val="1"/>
  </w:num>
  <w:num w:numId="10">
    <w:abstractNumId w:val="0"/>
  </w:num>
  <w:num w:numId="11">
    <w:abstractNumId w:val="12"/>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57A71"/>
    <w:rsid w:val="038717DB"/>
    <w:rsid w:val="0B0D04EC"/>
    <w:rsid w:val="0F727645"/>
    <w:rsid w:val="126302DF"/>
    <w:rsid w:val="12DF39C7"/>
    <w:rsid w:val="160B08DC"/>
    <w:rsid w:val="18784C92"/>
    <w:rsid w:val="1AA5445A"/>
    <w:rsid w:val="1EC37379"/>
    <w:rsid w:val="1FE25558"/>
    <w:rsid w:val="24F4591F"/>
    <w:rsid w:val="25B44D6B"/>
    <w:rsid w:val="273E2D73"/>
    <w:rsid w:val="28257CE1"/>
    <w:rsid w:val="2AB63265"/>
    <w:rsid w:val="2B750BB2"/>
    <w:rsid w:val="2D0C0CA8"/>
    <w:rsid w:val="2E755EB3"/>
    <w:rsid w:val="2F1B5F67"/>
    <w:rsid w:val="33A938DD"/>
    <w:rsid w:val="3AF8748A"/>
    <w:rsid w:val="3DE064DB"/>
    <w:rsid w:val="42C82214"/>
    <w:rsid w:val="45160567"/>
    <w:rsid w:val="484C0B8D"/>
    <w:rsid w:val="4934081F"/>
    <w:rsid w:val="4A065204"/>
    <w:rsid w:val="4D3348F4"/>
    <w:rsid w:val="4E0F63BF"/>
    <w:rsid w:val="4FE8634A"/>
    <w:rsid w:val="4FF93269"/>
    <w:rsid w:val="51590250"/>
    <w:rsid w:val="532626A4"/>
    <w:rsid w:val="567270E2"/>
    <w:rsid w:val="574E2E7B"/>
    <w:rsid w:val="5A5671FC"/>
    <w:rsid w:val="5D615D64"/>
    <w:rsid w:val="6031320C"/>
    <w:rsid w:val="607B3867"/>
    <w:rsid w:val="6157758E"/>
    <w:rsid w:val="6609373F"/>
    <w:rsid w:val="67A03B83"/>
    <w:rsid w:val="6BB0155A"/>
    <w:rsid w:val="6E666A0D"/>
    <w:rsid w:val="711179BA"/>
    <w:rsid w:val="71634180"/>
    <w:rsid w:val="72D82E52"/>
    <w:rsid w:val="775F2141"/>
    <w:rsid w:val="79714630"/>
    <w:rsid w:val="7AD10550"/>
    <w:rsid w:val="7CBE401C"/>
    <w:rsid w:val="7D957A71"/>
    <w:rsid w:val="7F293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2"/>
    <w:basedOn w:val="1"/>
    <w:qFormat/>
    <w:uiPriority w:val="0"/>
    <w:pPr>
      <w:spacing w:after="120" w:line="480" w:lineRule="auto"/>
    </w:pPr>
    <w:rPr>
      <w:rFonts w:ascii="Arial" w:hAnsi="Arial"/>
      <w:sz w:val="24"/>
    </w:rPr>
  </w:style>
  <w:style w:type="paragraph" w:styleId="9">
    <w:name w:val="toc 3"/>
    <w:basedOn w:val="1"/>
    <w:next w:val="1"/>
    <w:qFormat/>
    <w:uiPriority w:val="0"/>
    <w:pPr>
      <w:tabs>
        <w:tab w:val="left" w:pos="1260"/>
        <w:tab w:val="right" w:leader="dot" w:pos="8630"/>
      </w:tabs>
      <w:ind w:left="840" w:leftChars="400"/>
    </w:pPr>
    <w:rPr>
      <w:rFonts w:ascii="Times New Roman" w:hAnsi="Times New Roman" w:eastAsia="宋体" w:cs="Times New Roman"/>
    </w:r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rPr>
  </w:style>
  <w:style w:type="paragraph" w:styleId="14">
    <w:name w:val="footnote text"/>
    <w:basedOn w:val="1"/>
    <w:qFormat/>
    <w:uiPriority w:val="0"/>
    <w:pPr>
      <w:snapToGrid w:val="0"/>
      <w:jc w:val="left"/>
    </w:pPr>
    <w:rPr>
      <w:rFonts w:ascii="Times New Roman" w:hAnsi="Times New Roman" w:eastAsia="宋体" w:cs="Times New Roman"/>
      <w:sz w:val="18"/>
    </w:rPr>
  </w:style>
  <w:style w:type="paragraph" w:styleId="15">
    <w:name w:val="toc 2"/>
    <w:basedOn w:val="1"/>
    <w:next w:val="1"/>
    <w:qFormat/>
    <w:uiPriority w:val="0"/>
    <w:pPr>
      <w:ind w:left="420" w:leftChars="200"/>
    </w:pPr>
    <w:rPr>
      <w:rFonts w:ascii="Times New Roman" w:hAnsi="Times New Roman" w:eastAsia="宋体" w:cs="Times New Roman"/>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rPr>
      <w:rFonts w:ascii="Times New Roman" w:hAnsi="Times New Roman" w:eastAsia="宋体" w:cs="Times New Roman"/>
    </w:rPr>
  </w:style>
  <w:style w:type="paragraph" w:customStyle="1" w:styleId="21">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22">
    <w:name w:val="列出段落1"/>
    <w:basedOn w:val="1"/>
    <w:qFormat/>
    <w:uiPriority w:val="0"/>
    <w:pPr>
      <w:ind w:firstLine="420" w:firstLineChars="200"/>
    </w:pPr>
    <w:rPr>
      <w:rFonts w:ascii="Calibri" w:hAnsi="Calibri" w:eastAsia="宋体" w:cs="Times New Roman"/>
      <w:szCs w:val="22"/>
    </w:rPr>
  </w:style>
  <w:style w:type="paragraph" w:styleId="23">
    <w:name w:val="List Paragraph"/>
    <w:basedOn w:val="1"/>
    <w:qFormat/>
    <w:uiPriority w:val="0"/>
    <w:pPr>
      <w:widowControl/>
      <w:ind w:firstLine="420" w:firstLineChars="200"/>
      <w:jc w:val="left"/>
    </w:pPr>
    <w:rPr>
      <w:rFonts w:ascii="Times New Roman" w:hAnsi="Times New Roman" w:eastAsia="宋体" w:cs="Times New Roman"/>
      <w:kern w:val="0"/>
      <w:sz w:val="24"/>
    </w:rPr>
  </w:style>
  <w:style w:type="paragraph" w:customStyle="1" w:styleId="2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kern w:val="2"/>
      <w:sz w:val="24"/>
    </w:rPr>
  </w:style>
  <w:style w:type="paragraph" w:customStyle="1" w:styleId="2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6">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7">
    <w:name w:val="纯文本1"/>
    <w:basedOn w:val="1"/>
    <w:qFormat/>
    <w:uiPriority w:val="0"/>
    <w:rPr>
      <w:rFonts w:ascii="宋体" w:hAnsi="Courier New"/>
      <w:kern w:val="0"/>
      <w:sz w:val="20"/>
      <w:szCs w:val="20"/>
    </w:rPr>
  </w:style>
  <w:style w:type="character" w:customStyle="1" w:styleId="28">
    <w:name w:val="font71"/>
    <w:basedOn w:val="19"/>
    <w:qFormat/>
    <w:uiPriority w:val="0"/>
    <w:rPr>
      <w:rFonts w:hint="eastAsia" w:ascii="宋体" w:hAnsi="宋体" w:eastAsia="宋体" w:cs="宋体"/>
      <w:color w:val="000000"/>
      <w:sz w:val="20"/>
      <w:szCs w:val="20"/>
      <w:u w:val="none"/>
    </w:rPr>
  </w:style>
  <w:style w:type="character" w:customStyle="1" w:styleId="29">
    <w:name w:val="font01"/>
    <w:basedOn w:val="19"/>
    <w:qFormat/>
    <w:uiPriority w:val="0"/>
    <w:rPr>
      <w:rFonts w:hint="eastAsia" w:ascii="宋体" w:hAnsi="宋体" w:eastAsia="宋体" w:cs="宋体"/>
      <w:color w:val="000000"/>
      <w:sz w:val="22"/>
      <w:szCs w:val="22"/>
      <w:u w:val="none"/>
    </w:rPr>
  </w:style>
  <w:style w:type="paragraph" w:customStyle="1" w:styleId="30">
    <w:name w:val="Table Paragraph"/>
    <w:basedOn w:val="1"/>
    <w:qFormat/>
    <w:uiPriority w:val="1"/>
    <w:rPr>
      <w:rFonts w:ascii="楷体" w:hAnsi="楷体" w:eastAsia="楷体" w:cs="楷体"/>
      <w:lang w:val="zh-CN" w:eastAsia="zh-CN" w:bidi="zh-CN"/>
    </w:rPr>
  </w:style>
  <w:style w:type="paragraph" w:customStyle="1" w:styleId="3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43562</Words>
  <Characters>47236</Characters>
  <Lines>0</Lines>
  <Paragraphs>0</Paragraphs>
  <TotalTime>30</TotalTime>
  <ScaleCrop>false</ScaleCrop>
  <LinksUpToDate>false</LinksUpToDate>
  <CharactersWithSpaces>51962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2021-05-26T07:01:00Z</dcterms:created>
  <dc:creator>Beatahx</dc:creator>
  <cp:lastModifiedBy>Administrator</cp:lastModifiedBy>
  <cp:lastPrinted>2021-06-28T09:01:00Z</cp:lastPrinted>
  <dcterms:modified xsi:type="dcterms:W3CDTF">2021-07-30T04:28:30Z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4E133486C025440A9722A5335DCBDC33</vt:lpwstr>
  </property>
</Properties>
</file>