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仿宋" w:hAnsi="仿宋" w:eastAsia="仿宋" w:cs="仿宋"/>
          <w:b/>
          <w:color w:val="000000" w:themeColor="text1"/>
          <w:sz w:val="44"/>
          <w:szCs w:val="44"/>
          <w:highlight w:val="none"/>
          <w14:textFill>
            <w14:solidFill>
              <w14:schemeClr w14:val="tx1"/>
            </w14:solidFill>
          </w14:textFill>
        </w:rPr>
      </w:pPr>
    </w:p>
    <w:p>
      <w:pPr>
        <w:snapToGrid w:val="0"/>
        <w:jc w:val="center"/>
        <w:rPr>
          <w:rFonts w:hint="eastAsia" w:ascii="仿宋" w:hAnsi="仿宋" w:eastAsia="仿宋" w:cs="仿宋"/>
          <w:b/>
          <w:color w:val="000000" w:themeColor="text1"/>
          <w:spacing w:val="20"/>
          <w:kern w:val="10"/>
          <w:sz w:val="52"/>
          <w:szCs w:val="52"/>
          <w:highlight w:val="none"/>
          <w:lang w:eastAsia="zh-CN"/>
          <w14:textFill>
            <w14:solidFill>
              <w14:schemeClr w14:val="tx1"/>
            </w14:solidFill>
          </w14:textFill>
        </w:rPr>
      </w:pPr>
    </w:p>
    <w:p>
      <w:pPr>
        <w:pStyle w:val="29"/>
        <w:keepNext w:val="0"/>
        <w:keepLines w:val="0"/>
        <w:widowControl/>
        <w:suppressLineNumbers w:val="0"/>
        <w:spacing w:before="75" w:beforeAutospacing="0" w:after="75" w:afterAutospacing="0" w:line="300" w:lineRule="atLeast"/>
        <w:ind w:left="0" w:right="0" w:firstLine="420"/>
        <w:jc w:val="center"/>
        <w:rPr>
          <w:rFonts w:hint="default" w:ascii="仿宋" w:hAnsi="仿宋" w:eastAsia="仿宋" w:cs="仿宋"/>
          <w:i w:val="0"/>
          <w:caps w:val="0"/>
          <w:color w:val="000000" w:themeColor="text1"/>
          <w:spacing w:val="0"/>
          <w:sz w:val="44"/>
          <w:szCs w:val="44"/>
          <w:lang w:val="en-US"/>
          <w14:textFill>
            <w14:solidFill>
              <w14:schemeClr w14:val="tx1"/>
            </w14:solidFill>
          </w14:textFill>
        </w:rPr>
      </w:pPr>
      <w:r>
        <w:rPr>
          <w:rFonts w:hint="eastAsia" w:ascii="仿宋" w:hAnsi="仿宋" w:eastAsia="仿宋" w:cs="仿宋"/>
          <w:i w:val="0"/>
          <w:caps w:val="0"/>
          <w:color w:val="000000" w:themeColor="text1"/>
          <w:spacing w:val="0"/>
          <w:sz w:val="44"/>
          <w:szCs w:val="44"/>
          <w:lang w:val="en-US" w:eastAsia="zh-CN"/>
          <w14:textFill>
            <w14:solidFill>
              <w14:schemeClr w14:val="tx1"/>
            </w14:solidFill>
          </w14:textFill>
        </w:rPr>
        <w:t>2021年和田市林果业技术扶持项目二次</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磋</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商</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文</w:t>
      </w:r>
    </w:p>
    <w:p>
      <w:pPr>
        <w:spacing w:line="1200" w:lineRule="auto"/>
        <w:jc w:val="center"/>
        <w:rPr>
          <w:rFonts w:hint="eastAsia" w:ascii="仿宋" w:hAnsi="仿宋" w:eastAsia="仿宋" w:cs="仿宋"/>
          <w:color w:val="000000" w:themeColor="text1"/>
          <w:spacing w:val="26"/>
          <w:sz w:val="72"/>
          <w:szCs w:val="72"/>
          <w:highlight w:val="none"/>
          <w14:textFill>
            <w14:solidFill>
              <w14:schemeClr w14:val="tx1"/>
            </w14:solidFill>
          </w14:textFill>
        </w:rPr>
      </w:pPr>
      <w:r>
        <w:rPr>
          <w:rFonts w:hint="eastAsia" w:ascii="仿宋" w:hAnsi="仿宋" w:eastAsia="仿宋" w:cs="仿宋"/>
          <w:color w:val="000000" w:themeColor="text1"/>
          <w:spacing w:val="26"/>
          <w:sz w:val="72"/>
          <w:szCs w:val="72"/>
          <w:highlight w:val="none"/>
          <w14:textFill>
            <w14:solidFill>
              <w14:schemeClr w14:val="tx1"/>
            </w14:solidFill>
          </w14:textFill>
        </w:rPr>
        <w:t>件</w:t>
      </w:r>
    </w:p>
    <w:p>
      <w:pPr>
        <w:snapToGrid w:val="0"/>
        <w:jc w:val="center"/>
        <w:rPr>
          <w:rFonts w:hint="eastAsia" w:ascii="仿宋" w:hAnsi="仿宋" w:eastAsia="仿宋" w:cs="仿宋"/>
          <w:b/>
          <w:color w:val="000000" w:themeColor="text1"/>
          <w:spacing w:val="20"/>
          <w:kern w:val="10"/>
          <w:sz w:val="52"/>
          <w:szCs w:val="52"/>
          <w:highlight w:val="none"/>
          <w14:textFill>
            <w14:solidFill>
              <w14:schemeClr w14:val="tx1"/>
            </w14:solidFill>
          </w14:textFill>
        </w:rPr>
      </w:pPr>
    </w:p>
    <w:p>
      <w:pPr>
        <w:jc w:val="center"/>
        <w:rPr>
          <w:rFonts w:hint="default" w:ascii="仿宋" w:hAnsi="仿宋" w:eastAsia="仿宋" w:cs="仿宋"/>
          <w:b/>
          <w:color w:val="000000" w:themeColor="text1"/>
          <w:sz w:val="30"/>
          <w:szCs w:val="30"/>
          <w:highlight w:val="none"/>
          <w:lang w:val="en-US" w:eastAsia="zh-CN"/>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采购编号：</w:t>
      </w:r>
      <w:r>
        <w:rPr>
          <w:rFonts w:hint="eastAsia" w:ascii="仿宋" w:hAnsi="仿宋" w:eastAsia="仿宋" w:cs="仿宋"/>
          <w:b/>
          <w:color w:val="000000" w:themeColor="text1"/>
          <w:sz w:val="30"/>
          <w:szCs w:val="30"/>
          <w:highlight w:val="none"/>
          <w:lang w:eastAsia="zh-CN"/>
          <w14:textFill>
            <w14:solidFill>
              <w14:schemeClr w14:val="tx1"/>
            </w14:solidFill>
          </w14:textFill>
        </w:rPr>
        <w:t>HTSZFCGZBDL-2021-089-2</w:t>
      </w:r>
    </w:p>
    <w:p>
      <w:pPr>
        <w:spacing w:line="360" w:lineRule="auto"/>
        <w:jc w:val="center"/>
        <w:textAlignment w:val="top"/>
        <w:rPr>
          <w:rFonts w:hint="eastAsia" w:ascii="仿宋" w:hAnsi="仿宋" w:eastAsia="仿宋" w:cs="仿宋"/>
          <w:b/>
          <w:color w:val="000000" w:themeColor="text1"/>
          <w:spacing w:val="100"/>
          <w:sz w:val="32"/>
          <w:szCs w:val="32"/>
          <w:highlight w:val="none"/>
          <w14:textFill>
            <w14:solidFill>
              <w14:schemeClr w14:val="tx1"/>
            </w14:solidFill>
          </w14:textFill>
        </w:rPr>
      </w:pPr>
      <w:r>
        <w:rPr>
          <w:rFonts w:hint="eastAsia" w:ascii="仿宋" w:hAnsi="仿宋" w:eastAsia="仿宋" w:cs="仿宋"/>
          <w:b/>
          <w:color w:val="000000" w:themeColor="text1"/>
          <w:spacing w:val="100"/>
          <w:sz w:val="32"/>
          <w:szCs w:val="32"/>
          <w:highlight w:val="none"/>
          <w14:textFill>
            <w14:solidFill>
              <w14:schemeClr w14:val="tx1"/>
            </w14:solidFill>
          </w14:textFill>
        </w:rPr>
        <w:t>新疆晓君招标有限公司</w:t>
      </w:r>
    </w:p>
    <w:p>
      <w:pPr>
        <w:pStyle w:val="19"/>
        <w:jc w:val="center"/>
        <w:rPr>
          <w:rFonts w:hint="eastAsia" w:ascii="仿宋" w:hAnsi="仿宋" w:eastAsia="仿宋" w:cs="仿宋"/>
          <w:b/>
          <w:color w:val="000000" w:themeColor="text1"/>
          <w:spacing w:val="40"/>
          <w:sz w:val="36"/>
          <w:szCs w:val="36"/>
          <w:highlight w:val="none"/>
          <w14:textFill>
            <w14:solidFill>
              <w14:schemeClr w14:val="tx1"/>
            </w14:solidFill>
          </w14:textFill>
        </w:rPr>
      </w:pPr>
      <w:r>
        <w:rPr>
          <w:rFonts w:hint="eastAsia" w:ascii="仿宋" w:hAnsi="仿宋" w:eastAsia="仿宋" w:cs="仿宋"/>
          <w:b/>
          <w:color w:val="000000" w:themeColor="text1"/>
          <w:spacing w:val="40"/>
          <w:sz w:val="36"/>
          <w:szCs w:val="36"/>
          <w:highlight w:val="none"/>
          <w14:textFill>
            <w14:solidFill>
              <w14:schemeClr w14:val="tx1"/>
            </w14:solidFill>
          </w14:textFill>
        </w:rPr>
        <w:t>202</w:t>
      </w:r>
      <w:r>
        <w:rPr>
          <w:rFonts w:hint="eastAsia" w:ascii="仿宋" w:hAnsi="仿宋" w:eastAsia="仿宋" w:cs="仿宋"/>
          <w:b/>
          <w:color w:val="000000" w:themeColor="text1"/>
          <w:spacing w:val="40"/>
          <w:sz w:val="36"/>
          <w:szCs w:val="36"/>
          <w:highlight w:val="none"/>
          <w:lang w:val="en-US" w:eastAsia="zh-CN"/>
          <w14:textFill>
            <w14:solidFill>
              <w14:schemeClr w14:val="tx1"/>
            </w14:solidFill>
          </w14:textFill>
        </w:rPr>
        <w:t>1</w:t>
      </w:r>
      <w:r>
        <w:rPr>
          <w:rFonts w:hint="eastAsia" w:ascii="仿宋" w:hAnsi="仿宋" w:eastAsia="仿宋" w:cs="仿宋"/>
          <w:b/>
          <w:color w:val="000000" w:themeColor="text1"/>
          <w:spacing w:val="40"/>
          <w:sz w:val="36"/>
          <w:szCs w:val="36"/>
          <w:highlight w:val="none"/>
          <w14:textFill>
            <w14:solidFill>
              <w14:schemeClr w14:val="tx1"/>
            </w14:solidFill>
          </w14:textFill>
        </w:rPr>
        <w:t>年</w:t>
      </w:r>
      <w:r>
        <w:rPr>
          <w:rFonts w:hint="eastAsia" w:ascii="仿宋" w:hAnsi="仿宋" w:eastAsia="仿宋" w:cs="仿宋"/>
          <w:b/>
          <w:color w:val="000000" w:themeColor="text1"/>
          <w:spacing w:val="40"/>
          <w:sz w:val="36"/>
          <w:szCs w:val="36"/>
          <w:highlight w:val="none"/>
          <w:lang w:val="en-US" w:eastAsia="zh-CN"/>
          <w14:textFill>
            <w14:solidFill>
              <w14:schemeClr w14:val="tx1"/>
            </w14:solidFill>
          </w14:textFill>
        </w:rPr>
        <w:t>8</w:t>
      </w:r>
      <w:r>
        <w:rPr>
          <w:rFonts w:hint="eastAsia" w:ascii="仿宋" w:hAnsi="仿宋" w:eastAsia="仿宋" w:cs="仿宋"/>
          <w:b/>
          <w:color w:val="000000" w:themeColor="text1"/>
          <w:spacing w:val="40"/>
          <w:sz w:val="36"/>
          <w:szCs w:val="36"/>
          <w:highlight w:val="none"/>
          <w14:textFill>
            <w14:solidFill>
              <w14:schemeClr w14:val="tx1"/>
            </w14:solidFill>
          </w14:textFill>
        </w:rPr>
        <w:t>月</w:t>
      </w:r>
    </w:p>
    <w:p>
      <w:pPr>
        <w:rPr>
          <w:rFonts w:hint="eastAsia" w:ascii="仿宋" w:hAnsi="仿宋" w:eastAsia="仿宋" w:cs="仿宋"/>
          <w:color w:val="000000" w:themeColor="text1"/>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ascii="仿宋" w:hAnsi="仿宋" w:eastAsia="仿宋" w:cs="仿宋"/>
          <w:color w:val="000000" w:themeColor="text1"/>
          <w14:textFill>
            <w14:solidFill>
              <w14:schemeClr w14:val="tx1"/>
            </w14:solidFill>
          </w14:textFill>
        </w:rPr>
      </w:pPr>
    </w:p>
    <w:p>
      <w:pPr>
        <w:spacing w:line="360" w:lineRule="auto"/>
        <w:jc w:val="both"/>
        <w:rPr>
          <w:rFonts w:hint="eastAsia" w:ascii="仿宋" w:hAnsi="仿宋" w:eastAsia="仿宋" w:cs="仿宋"/>
          <w:b/>
          <w:color w:val="000000" w:themeColor="text1"/>
          <w:sz w:val="44"/>
          <w:highlight w:val="none"/>
          <w14:textFill>
            <w14:solidFill>
              <w14:schemeClr w14:val="tx1"/>
            </w14:solidFill>
          </w14:textFill>
        </w:rPr>
      </w:pPr>
    </w:p>
    <w:p>
      <w:pPr>
        <w:pStyle w:val="8"/>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color w:val="000000" w:themeColor="text1"/>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招投标监督管理机构备案登记栏：</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628" w:type="dxa"/>
            <w:noWrap w:val="0"/>
            <w:vAlign w:val="top"/>
          </w:tcPr>
          <w:p>
            <w:pPr>
              <w:jc w:val="center"/>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p>
          <w:p>
            <w:pPr>
              <w:pStyle w:val="31"/>
              <w:ind w:firstLine="540"/>
              <w:rPr>
                <w:rFonts w:hint="eastAsia" w:ascii="仿宋" w:hAnsi="仿宋" w:eastAsia="仿宋" w:cs="仿宋"/>
                <w:color w:val="000000" w:themeColor="text1"/>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p>
          <w:p>
            <w:pPr>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本招标文件已报备</w:t>
            </w:r>
          </w:p>
          <w:p>
            <w:pPr>
              <w:jc w:val="center"/>
              <w:rPr>
                <w:rFonts w:hint="eastAsia" w:ascii="仿宋" w:hAnsi="仿宋" w:eastAsia="仿宋" w:cs="仿宋"/>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pStyle w:val="31"/>
              <w:ind w:firstLine="540"/>
              <w:rPr>
                <w:rFonts w:hint="eastAsia" w:ascii="仿宋" w:hAnsi="仿宋" w:eastAsia="仿宋" w:cs="仿宋"/>
                <w:color w:val="000000" w:themeColor="text1"/>
                <w:highlight w:val="none"/>
                <w14:textFill>
                  <w14:solidFill>
                    <w14:schemeClr w14:val="tx1"/>
                  </w14:solidFill>
                </w14:textFill>
              </w:rPr>
            </w:pPr>
          </w:p>
          <w:p>
            <w:pPr>
              <w:pStyle w:val="31"/>
              <w:ind w:firstLine="542"/>
              <w:rPr>
                <w:rFonts w:hint="eastAsia" w:ascii="仿宋" w:hAnsi="仿宋" w:eastAsia="仿宋" w:cs="仿宋"/>
                <w:b/>
                <w:bCs/>
                <w:color w:val="000000" w:themeColor="text1"/>
                <w:highlight w:val="none"/>
                <w14:textFill>
                  <w14:solidFill>
                    <w14:schemeClr w14:val="tx1"/>
                  </w14:solidFill>
                </w14:textFill>
              </w:rPr>
            </w:pPr>
          </w:p>
          <w:p>
            <w:pPr>
              <w:pStyle w:val="31"/>
              <w:ind w:firstLine="542"/>
              <w:rPr>
                <w:rFonts w:hint="eastAsia" w:ascii="仿宋" w:hAnsi="仿宋" w:eastAsia="仿宋" w:cs="仿宋"/>
                <w:b/>
                <w:bCs/>
                <w:color w:val="000000" w:themeColor="text1"/>
                <w:highlight w:val="none"/>
                <w14:textFill>
                  <w14:solidFill>
                    <w14:schemeClr w14:val="tx1"/>
                  </w14:solidFill>
                </w14:textFill>
              </w:rPr>
            </w:pPr>
          </w:p>
          <w:p>
            <w:pPr>
              <w:rPr>
                <w:rFonts w:hint="eastAsia" w:ascii="仿宋" w:hAnsi="仿宋" w:eastAsia="仿宋" w:cs="仿宋"/>
                <w:b/>
                <w:bCs/>
                <w:color w:val="000000" w:themeColor="text1"/>
                <w:sz w:val="24"/>
                <w:highlight w:val="none"/>
                <w14:textFill>
                  <w14:solidFill>
                    <w14:schemeClr w14:val="tx1"/>
                  </w14:solidFill>
                </w14:textFill>
              </w:rPr>
            </w:pPr>
          </w:p>
          <w:p>
            <w:pPr>
              <w:pStyle w:val="29"/>
              <w:keepNext w:val="0"/>
              <w:keepLines w:val="0"/>
              <w:widowControl/>
              <w:suppressLineNumbers w:val="0"/>
              <w:spacing w:before="75" w:beforeAutospacing="0" w:after="75" w:afterAutospacing="0" w:line="300" w:lineRule="atLeast"/>
              <w:ind w:left="0" w:right="0" w:firstLine="420"/>
              <w:rPr>
                <w:rFonts w:hint="default" w:ascii="仿宋" w:hAnsi="仿宋" w:eastAsia="仿宋" w:cs="仿宋"/>
                <w:i w:val="0"/>
                <w:caps w:val="0"/>
                <w:color w:val="000000" w:themeColor="text1"/>
                <w:spacing w:val="0"/>
                <w:sz w:val="24"/>
                <w:szCs w:val="24"/>
                <w:lang w:val="en-US"/>
                <w14:textFill>
                  <w14:solidFill>
                    <w14:schemeClr w14:val="tx1"/>
                  </w14:solidFill>
                </w14:textFill>
              </w:rPr>
            </w:pPr>
            <w:r>
              <w:rPr>
                <w:rFonts w:hint="eastAsia" w:ascii="仿宋" w:hAnsi="仿宋" w:eastAsia="仿宋" w:cs="仿宋"/>
                <w:bCs/>
                <w:color w:val="000000" w:themeColor="text1"/>
                <w:sz w:val="24"/>
                <w:szCs w:val="24"/>
                <w:highlight w:val="none"/>
                <w:lang w:val="zh-CN"/>
                <w14:textFill>
                  <w14:solidFill>
                    <w14:schemeClr w14:val="tx1"/>
                  </w14:solidFill>
                </w14:textFill>
              </w:rPr>
              <w:t>项目名称：</w:t>
            </w:r>
            <w:r>
              <w:rPr>
                <w:rFonts w:hint="eastAsia" w:ascii="仿宋" w:hAnsi="仿宋" w:eastAsia="仿宋" w:cs="仿宋"/>
                <w:i w:val="0"/>
                <w:caps w:val="0"/>
                <w:color w:val="000000" w:themeColor="text1"/>
                <w:spacing w:val="0"/>
                <w:sz w:val="24"/>
                <w:szCs w:val="24"/>
                <w:lang w:val="en-US" w:eastAsia="zh-CN"/>
                <w14:textFill>
                  <w14:solidFill>
                    <w14:schemeClr w14:val="tx1"/>
                  </w14:solidFill>
                </w14:textFill>
              </w:rPr>
              <w:t>2021年和田市林果业技术扶持项目二次</w:t>
            </w:r>
          </w:p>
          <w:p>
            <w:pPr>
              <w:rPr>
                <w:rFonts w:hint="eastAsia" w:ascii="仿宋" w:hAnsi="仿宋" w:eastAsia="仿宋" w:cs="仿宋"/>
                <w:b/>
                <w:bCs/>
                <w:color w:val="000000" w:themeColor="text1"/>
                <w:sz w:val="24"/>
                <w:highlight w:val="none"/>
                <w14:textFill>
                  <w14:solidFill>
                    <w14:schemeClr w14:val="tx1"/>
                  </w14:solidFill>
                </w14:textFill>
              </w:rPr>
            </w:pP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p>
            <w:pPr>
              <w:rPr>
                <w:rFonts w:hint="eastAsia" w:ascii="仿宋" w:hAnsi="仿宋" w:eastAsia="仿宋" w:cs="仿宋"/>
                <w:b/>
                <w:bCs/>
                <w:color w:val="000000" w:themeColor="text1"/>
                <w:sz w:val="24"/>
                <w:highlight w:val="none"/>
                <w14:textFill>
                  <w14:solidFill>
                    <w14:schemeClr w14:val="tx1"/>
                  </w14:solidFill>
                </w14:textFill>
              </w:rPr>
            </w:pPr>
          </w:p>
        </w:tc>
      </w:tr>
    </w:tbl>
    <w:p>
      <w:pPr>
        <w:spacing w:line="360" w:lineRule="auto"/>
        <w:jc w:val="righ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和田市</w:t>
      </w:r>
      <w:r>
        <w:rPr>
          <w:rFonts w:hint="eastAsia" w:ascii="仿宋" w:hAnsi="仿宋" w:eastAsia="仿宋" w:cs="仿宋"/>
          <w:b/>
          <w:bCs/>
          <w:color w:val="000000" w:themeColor="text1"/>
          <w:sz w:val="24"/>
          <w:highlight w:val="none"/>
          <w14:textFill>
            <w14:solidFill>
              <w14:schemeClr w14:val="tx1"/>
            </w14:solidFill>
          </w14:textFill>
        </w:rPr>
        <w:t xml:space="preserve">政府采购管理办公室 </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目   录</w:t>
      </w:r>
    </w:p>
    <w:p>
      <w:pPr>
        <w:spacing w:line="360" w:lineRule="auto"/>
        <w:rPr>
          <w:rFonts w:hint="eastAsia" w:ascii="仿宋" w:hAnsi="仿宋" w:eastAsia="仿宋" w:cs="仿宋"/>
          <w:b/>
          <w:color w:val="000000" w:themeColor="text1"/>
          <w:sz w:val="44"/>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第一部分:磋商邀请函………………………………………………1-1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第二部分:磋商须知…………………………………………………2-1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第三部分:用户需求书………………………………………………3-1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第四部分:合同条款…………………………………………………4-1</w:t>
      </w: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pPr>
    </w:p>
    <w:p>
      <w:pPr>
        <w:spacing w:line="360" w:lineRule="auto"/>
        <w:rPr>
          <w:rFonts w:hint="eastAsia" w:ascii="仿宋" w:hAnsi="仿宋" w:eastAsia="仿宋" w:cs="仿宋"/>
          <w:color w:val="000000" w:themeColor="text1"/>
          <w:sz w:val="30"/>
          <w:szCs w:val="30"/>
          <w:highlight w:val="none"/>
          <w14:textFill>
            <w14:solidFill>
              <w14:schemeClr w14:val="tx1"/>
            </w14:solidFill>
          </w14:textFill>
        </w:rPr>
        <w:sectPr>
          <w:headerReference r:id="rId3" w:type="default"/>
          <w:pgSz w:w="11906" w:h="16838"/>
          <w:pgMar w:top="1440" w:right="1588" w:bottom="1440" w:left="1588" w:header="851" w:footer="992" w:gutter="0"/>
          <w:cols w:space="720" w:num="1"/>
          <w:docGrid w:type="lines" w:linePitch="312" w:charSpace="0"/>
        </w:sectPr>
      </w:pPr>
      <w:r>
        <w:rPr>
          <w:rFonts w:hint="eastAsia" w:ascii="仿宋" w:hAnsi="仿宋" w:eastAsia="仿宋" w:cs="仿宋"/>
          <w:color w:val="000000" w:themeColor="text1"/>
          <w:sz w:val="30"/>
          <w:szCs w:val="30"/>
          <w:highlight w:val="none"/>
          <w14:textFill>
            <w14:solidFill>
              <w14:schemeClr w14:val="tx1"/>
            </w14:solidFill>
          </w14:textFill>
        </w:rPr>
        <w:t>第五部分:响应文件格式……………………………………………5-1</w:t>
      </w: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第一部分</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磋 商 邀 请 函</w:t>
      </w: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p>
    <w:p>
      <w:pPr>
        <w:spacing w:line="480" w:lineRule="exact"/>
        <w:jc w:val="center"/>
        <w:rPr>
          <w:rFonts w:hint="eastAsia" w:ascii="仿宋" w:hAnsi="仿宋" w:eastAsia="仿宋" w:cs="仿宋"/>
          <w:color w:val="000000" w:themeColor="text1"/>
          <w:sz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highlight w:val="none"/>
          <w14:textFill>
            <w14:solidFill>
              <w14:schemeClr w14:val="tx1"/>
            </w14:solidFill>
          </w14:textFill>
        </w:rPr>
      </w:pPr>
    </w:p>
    <w:p>
      <w:pPr>
        <w:spacing w:line="360" w:lineRule="auto"/>
        <w:jc w:val="center"/>
        <w:rPr>
          <w:rFonts w:hint="eastAsia" w:ascii="仿宋" w:hAnsi="仿宋" w:eastAsia="仿宋" w:cs="仿宋"/>
          <w:color w:val="000000" w:themeColor="text1"/>
          <w:sz w:val="24"/>
          <w:highlight w:val="none"/>
          <w14:textFill>
            <w14:solidFill>
              <w14:schemeClr w14:val="tx1"/>
            </w14:solidFill>
          </w14:textFill>
        </w:rPr>
      </w:pPr>
    </w:p>
    <w:p>
      <w:pPr>
        <w:tabs>
          <w:tab w:val="left" w:pos="1665"/>
        </w:tabs>
        <w:spacing w:line="360" w:lineRule="auto"/>
        <w:rPr>
          <w:rFonts w:hint="eastAsia" w:ascii="仿宋" w:hAnsi="仿宋" w:eastAsia="仿宋" w:cs="仿宋"/>
          <w:color w:val="000000" w:themeColor="text1"/>
          <w:sz w:val="24"/>
          <w:highlight w:val="none"/>
          <w14:textFill>
            <w14:solidFill>
              <w14:schemeClr w14:val="tx1"/>
            </w14:solidFill>
          </w14:textFill>
        </w:rPr>
      </w:pPr>
    </w:p>
    <w:p>
      <w:pPr>
        <w:pStyle w:val="3"/>
        <w:keepNext w:val="0"/>
        <w:keepLines w:val="0"/>
        <w:widowControl/>
        <w:suppressLineNumbers w:val="0"/>
        <w:spacing w:line="360" w:lineRule="atLeast"/>
        <w:jc w:val="center"/>
        <w:rPr>
          <w:rFonts w:hint="eastAsia" w:ascii="仿宋" w:hAnsi="仿宋" w:eastAsia="仿宋" w:cs="仿宋"/>
          <w:color w:val="000000" w:themeColor="text1"/>
          <w:sz w:val="28"/>
          <w:lang w:val="en-US" w:eastAsia="zh-CN"/>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Style w:val="36"/>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2021年和田市林果业技术扶持项目</w:t>
      </w:r>
      <w:r>
        <w:rPr>
          <w:rFonts w:hint="eastAsia" w:ascii="仿宋" w:hAnsi="仿宋" w:eastAsia="仿宋" w:cs="仿宋"/>
          <w:i w:val="0"/>
          <w:iCs w:val="0"/>
          <w:caps w:val="0"/>
          <w:color w:val="000000" w:themeColor="text1"/>
          <w:spacing w:val="0"/>
          <w:sz w:val="24"/>
          <w:szCs w:val="24"/>
          <w:lang w:val="en-US" w:eastAsia="zh-CN" w:bidi="ar-SA"/>
          <w14:textFill>
            <w14:solidFill>
              <w14:schemeClr w14:val="tx1"/>
            </w14:solidFill>
          </w14:textFill>
        </w:rPr>
        <w:t>的潜在投标人在符合该招标（采购）公告投标人资格要求条件的前提下，可于本公告发布之日起供应商登陆政采云平台https://www.zcygov.cn/在线下载获取采购文件，并于2021年8月16日点11：00分（北京时间）前递交投标文件。</w:t>
      </w:r>
    </w:p>
    <w:p>
      <w:pPr>
        <w:pStyle w:val="29"/>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6"/>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一、</w:t>
      </w:r>
      <w:r>
        <w:rPr>
          <w:rStyle w:val="36"/>
          <w:rFonts w:hint="eastAsia" w:ascii="仿宋" w:hAnsi="仿宋" w:eastAsia="仿宋" w:cs="仿宋"/>
          <w:i w:val="0"/>
          <w:iCs w:val="0"/>
          <w:caps w:val="0"/>
          <w:color w:val="000000" w:themeColor="text1"/>
          <w:spacing w:val="0"/>
          <w:sz w:val="24"/>
          <w:szCs w:val="24"/>
          <w14:textFill>
            <w14:solidFill>
              <w14:schemeClr w14:val="tx1"/>
            </w14:solidFill>
          </w14:textFill>
        </w:rPr>
        <w:t>项目基本情况</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default"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项目编号：</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HTSZFCGZBDL-2021-089-2</w:t>
      </w:r>
    </w:p>
    <w:p>
      <w:pPr>
        <w:pStyle w:val="2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项目名称：</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2021年和田市林果业技术扶持项目</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采购方式：</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竞争性磋商</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预算金额（元）：</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60万元</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最高限价（元）：</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60万元</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采购需求</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：聘请和田市林果业技术扶持项目专家团队，对全市16.7万亩（主要是9.7万亩核桃和4.25万红枣种植地以及2.75万亩其他果树种植地）林果业进行技术扶持。</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本项目（否）接受联合体投标。</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i w:val="0"/>
          <w:iCs w:val="0"/>
          <w:caps w:val="0"/>
          <w:color w:val="000000" w:themeColor="text1"/>
          <w:spacing w:val="0"/>
          <w:sz w:val="24"/>
          <w:szCs w:val="24"/>
          <w14:textFill>
            <w14:solidFill>
              <w14:schemeClr w14:val="tx1"/>
            </w14:solidFill>
          </w14:textFill>
        </w:rPr>
        <w:t>二、</w:t>
      </w:r>
      <w:r>
        <w:rPr>
          <w:rStyle w:val="36"/>
          <w:rFonts w:hint="eastAsia" w:ascii="仿宋" w:hAnsi="仿宋" w:eastAsia="仿宋" w:cs="仿宋"/>
          <w:i w:val="0"/>
          <w:iCs w:val="0"/>
          <w:caps w:val="0"/>
          <w:color w:val="000000" w:themeColor="text1"/>
          <w:spacing w:val="0"/>
          <w:sz w:val="24"/>
          <w:szCs w:val="24"/>
          <w14:textFill>
            <w14:solidFill>
              <w14:schemeClr w14:val="tx1"/>
            </w14:solidFill>
          </w14:textFill>
        </w:rPr>
        <w:t>申请人的资格要求：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1.满足《中华人民共和国政府采购法》第二十二条规定；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2）提供 2019年度或 2020年度经审计的《财务审计报告书》</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原件</w:t>
      </w:r>
      <w:r>
        <w:rPr>
          <w:rFonts w:hint="eastAsia" w:ascii="仿宋" w:hAnsi="仿宋" w:eastAsia="仿宋" w:cs="仿宋"/>
          <w:i w:val="0"/>
          <w:iCs w:val="0"/>
          <w:caps w:val="0"/>
          <w:color w:val="000000" w:themeColor="text1"/>
          <w:spacing w:val="0"/>
          <w:sz w:val="24"/>
          <w:szCs w:val="24"/>
          <w14:textFill>
            <w14:solidFill>
              <w14:schemeClr w14:val="tx1"/>
            </w14:solidFill>
          </w14:textFill>
        </w:rPr>
        <w:t>，或银行出具的资信证明材料</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原件</w:t>
      </w:r>
      <w:r>
        <w:rPr>
          <w:rFonts w:hint="eastAsia" w:ascii="仿宋" w:hAnsi="仿宋" w:eastAsia="仿宋" w:cs="仿宋"/>
          <w:i w:val="0"/>
          <w:iCs w:val="0"/>
          <w:caps w:val="0"/>
          <w:color w:val="000000" w:themeColor="text1"/>
          <w:spacing w:val="0"/>
          <w:sz w:val="24"/>
          <w:szCs w:val="24"/>
          <w14:textFill>
            <w14:solidFill>
              <w14:schemeClr w14:val="tx1"/>
            </w14:solidFill>
          </w14:textFill>
        </w:rPr>
        <w:t>；</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2021年1月-6月</w:t>
      </w:r>
      <w:r>
        <w:rPr>
          <w:rFonts w:hint="eastAsia" w:ascii="仿宋" w:hAnsi="仿宋" w:eastAsia="仿宋" w:cs="仿宋"/>
          <w:i w:val="0"/>
          <w:iCs w:val="0"/>
          <w:caps w:val="0"/>
          <w:color w:val="000000" w:themeColor="text1"/>
          <w:spacing w:val="0"/>
          <w:sz w:val="24"/>
          <w:szCs w:val="24"/>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4）</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提供近段时间内（2021年1月-6月）的缴纳社保证明材料加盖公章。如依法不需要缴纳社会保障资金的，应提供相应文件证明；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6）提供参加政府采购活动前3年内在经营活动中没有重大违法记录的书面声明；（提供《投标人资格声明函》）。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2.落实政府采购政策需满足的资格要求：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需要落实的政府采购政策：《政府采购促进中小企业发展暂行办法》（财库[2011]181号）、《关于政府采购支持监狱企业发展有关问题的通知》（财库[2014]68号）、《关于环境标志产品政府采购实施的意见》（财库[2006]90号、《节能产品政府采购实施意见》的通知（财库[2004]185号）。</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3.本项目的特定资格要求：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14:textFill>
            <w14:solidFill>
              <w14:schemeClr w14:val="tx1"/>
            </w14:solidFill>
          </w14:textFill>
        </w:rPr>
        <w:t>）为采购项目提供整体设计、规范编制或者项目管理、监理、检测等服务的供应商，不得再参加该采购项目同一合同项下的其他采购活动。（提供《投标人资格声明函》）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4"/>
          <w:szCs w:val="24"/>
          <w14:textFill>
            <w14:solidFill>
              <w14:schemeClr w14:val="tx1"/>
            </w14:solidFill>
          </w14:textFill>
        </w:rPr>
        <w:t>）单位负责人为同一人或者存在直接控股、管理关系的不同供应商，不得参加同一合同项下的政府采购活动。（提供《投标人资格声明函》）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三、获取招标文件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获取文件时间：2021年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8月4</w:t>
      </w:r>
      <w:r>
        <w:rPr>
          <w:rFonts w:hint="eastAsia" w:ascii="仿宋" w:hAnsi="仿宋" w:eastAsia="仿宋" w:cs="仿宋"/>
          <w:i w:val="0"/>
          <w:iCs w:val="0"/>
          <w:caps w:val="0"/>
          <w:color w:val="000000" w:themeColor="text1"/>
          <w:spacing w:val="0"/>
          <w:sz w:val="24"/>
          <w:szCs w:val="24"/>
          <w14:textFill>
            <w14:solidFill>
              <w14:schemeClr w14:val="tx1"/>
            </w14:solidFill>
          </w14:textFill>
        </w:rPr>
        <w:t>日至2021年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8</w:t>
      </w:r>
      <w:r>
        <w:rPr>
          <w:rFonts w:hint="eastAsia" w:ascii="仿宋" w:hAnsi="仿宋" w:eastAsia="仿宋" w:cs="仿宋"/>
          <w:i w:val="0"/>
          <w:iCs w:val="0"/>
          <w:caps w:val="0"/>
          <w:color w:val="000000" w:themeColor="text1"/>
          <w:spacing w:val="0"/>
          <w:sz w:val="24"/>
          <w:szCs w:val="24"/>
          <w14:textFill>
            <w14:solidFill>
              <w14:schemeClr w14:val="tx1"/>
            </w14:solidFill>
          </w14:textFill>
        </w:rPr>
        <w:t>月</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15</w:t>
      </w:r>
      <w:r>
        <w:rPr>
          <w:rFonts w:hint="eastAsia" w:ascii="仿宋" w:hAnsi="仿宋" w:eastAsia="仿宋" w:cs="仿宋"/>
          <w:i w:val="0"/>
          <w:iCs w:val="0"/>
          <w:caps w:val="0"/>
          <w:color w:val="000000" w:themeColor="text1"/>
          <w:spacing w:val="0"/>
          <w:sz w:val="24"/>
          <w:szCs w:val="24"/>
          <w14:textFill>
            <w14:solidFill>
              <w14:schemeClr w14:val="tx1"/>
            </w14:solidFill>
          </w14:textFill>
        </w:rPr>
        <w:t>日（提供期限自本公告发布之日起不得少于5个工作日），每天上午10：00至14:00，下午16:00至19:30（北京时间，法定节假日除外）</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获取文件地点：新疆政府采购网（http://www.ccgp-xinjiang.gov.cn/）</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方式：在符合该招标（采购）公告投标人资格要求条件的前提下，供应商登</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录</w:t>
      </w:r>
      <w:r>
        <w:rPr>
          <w:rFonts w:hint="eastAsia" w:ascii="仿宋" w:hAnsi="仿宋" w:eastAsia="仿宋" w:cs="仿宋"/>
          <w:i w:val="0"/>
          <w:iCs w:val="0"/>
          <w:caps w:val="0"/>
          <w:color w:val="000000" w:themeColor="text1"/>
          <w:spacing w:val="0"/>
          <w:sz w:val="24"/>
          <w:szCs w:val="24"/>
          <w14:textFill>
            <w14:solidFill>
              <w14:schemeClr w14:val="tx1"/>
            </w14:solidFill>
          </w14:textFill>
        </w:rPr>
        <w:t>政采云平台https://www.zcygov.cn/在线申请获取采购文件（进入“项目采购”应用，在获取采购文件菜单中选择项目，申请获取采购文件）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文件售价（元）：0</w:t>
      </w:r>
    </w:p>
    <w:p>
      <w:pPr>
        <w:pStyle w:val="29"/>
        <w:keepNext w:val="0"/>
        <w:keepLines w:val="0"/>
        <w:pageBreakBefore w:val="0"/>
        <w:widowControl/>
        <w:suppressLineNumbers w:val="0"/>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6"/>
          <w:rFonts w:hint="eastAsia" w:ascii="仿宋" w:hAnsi="仿宋" w:eastAsia="仿宋" w:cs="仿宋"/>
          <w:i w:val="0"/>
          <w:iCs w:val="0"/>
          <w:caps w:val="0"/>
          <w:color w:val="000000" w:themeColor="text1"/>
          <w:spacing w:val="0"/>
          <w:sz w:val="24"/>
          <w:szCs w:val="24"/>
          <w14:textFill>
            <w14:solidFill>
              <w14:schemeClr w14:val="tx1"/>
            </w14:solidFill>
          </w14:textFill>
        </w:rPr>
        <w:t>四、提交投标文件截止时间、开标时间和地点</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提交投标文件截止时间：2021年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8月16日11：00</w:t>
      </w:r>
      <w:r>
        <w:rPr>
          <w:rFonts w:hint="eastAsia" w:ascii="仿宋" w:hAnsi="仿宋" w:eastAsia="仿宋" w:cs="仿宋"/>
          <w:i w:val="0"/>
          <w:iCs w:val="0"/>
          <w:caps w:val="0"/>
          <w:color w:val="000000" w:themeColor="text1"/>
          <w:spacing w:val="0"/>
          <w:sz w:val="24"/>
          <w:szCs w:val="24"/>
          <w14:textFill>
            <w14:solidFill>
              <w14:schemeClr w14:val="tx1"/>
            </w14:solidFill>
          </w14:textFill>
        </w:rPr>
        <w:t>（北京时间）</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投标地点：和田地区行政服务和公共资源交易中心（和田市北京工业园区杭州大道78号</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开标时间：2021年</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8月16日11：00</w:t>
      </w:r>
      <w:r>
        <w:rPr>
          <w:rFonts w:hint="eastAsia" w:ascii="仿宋" w:hAnsi="仿宋" w:eastAsia="仿宋" w:cs="仿宋"/>
          <w:i w:val="0"/>
          <w:iCs w:val="0"/>
          <w:caps w:val="0"/>
          <w:color w:val="000000" w:themeColor="text1"/>
          <w:spacing w:val="0"/>
          <w:sz w:val="24"/>
          <w:szCs w:val="24"/>
          <w14:textFill>
            <w14:solidFill>
              <w14:schemeClr w14:val="tx1"/>
            </w14:solidFill>
          </w14:textFill>
        </w:rPr>
        <w:t>（北京时间）</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开标地点：和田地区行政服务和公共资源交易中心（和田市北京工业园区杭州大道78号</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pStyle w:val="29"/>
        <w:keepNext w:val="0"/>
        <w:keepLines w:val="0"/>
        <w:pageBreakBefore w:val="0"/>
        <w:widowControl/>
        <w:suppressLineNumbers w:val="0"/>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6"/>
          <w:rFonts w:hint="eastAsia" w:ascii="仿宋" w:hAnsi="仿宋" w:eastAsia="仿宋" w:cs="仿宋"/>
          <w:i w:val="0"/>
          <w:iCs w:val="0"/>
          <w:caps w:val="0"/>
          <w:color w:val="000000" w:themeColor="text1"/>
          <w:spacing w:val="0"/>
          <w:sz w:val="24"/>
          <w:szCs w:val="24"/>
          <w14:textFill>
            <w14:solidFill>
              <w14:schemeClr w14:val="tx1"/>
            </w14:solidFill>
          </w14:textFill>
        </w:rPr>
        <w:t>五、公告期限</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自本公告发布之日起5个工作日。</w:t>
      </w:r>
    </w:p>
    <w:p>
      <w:pPr>
        <w:pStyle w:val="29"/>
        <w:keepNext w:val="0"/>
        <w:keepLines w:val="0"/>
        <w:pageBreakBefore w:val="0"/>
        <w:widowControl/>
        <w:suppressLineNumbers w:val="0"/>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6"/>
          <w:rFonts w:hint="eastAsia" w:ascii="仿宋" w:hAnsi="仿宋" w:eastAsia="仿宋" w:cs="仿宋"/>
          <w:i w:val="0"/>
          <w:iCs w:val="0"/>
          <w:caps w:val="0"/>
          <w:color w:val="000000" w:themeColor="text1"/>
          <w:spacing w:val="0"/>
          <w:sz w:val="24"/>
          <w:szCs w:val="24"/>
          <w14:textFill>
            <w14:solidFill>
              <w14:schemeClr w14:val="tx1"/>
            </w14:solidFill>
          </w14:textFill>
        </w:rPr>
        <w:t>六、其他补充事宜</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29"/>
        <w:keepNext w:val="0"/>
        <w:keepLines w:val="0"/>
        <w:pageBreakBefore w:val="0"/>
        <w:widowControl/>
        <w:suppressLineNumbers w:val="0"/>
        <w:kinsoku/>
        <w:wordWrap/>
        <w:overflowPunct/>
        <w:topLinePunct w:val="0"/>
        <w:autoSpaceDE/>
        <w:autoSpaceDN/>
        <w:bidi w:val="0"/>
        <w:adjustRightInd/>
        <w:snapToGrid/>
        <w:spacing w:before="132" w:beforeAutospacing="0" w:after="132" w:afterAutospacing="0" w:line="360" w:lineRule="auto"/>
        <w:ind w:left="0" w:right="0"/>
        <w:jc w:val="both"/>
        <w:textAlignment w:val="auto"/>
        <w:rPr>
          <w:rFonts w:hint="eastAsia" w:ascii="仿宋" w:hAnsi="仿宋" w:eastAsia="仿宋" w:cs="仿宋"/>
          <w:color w:val="000000" w:themeColor="text1"/>
          <w:sz w:val="24"/>
          <w:szCs w:val="24"/>
          <w14:textFill>
            <w14:solidFill>
              <w14:schemeClr w14:val="tx1"/>
            </w14:solidFill>
          </w14:textFill>
        </w:rPr>
      </w:pPr>
      <w:r>
        <w:rPr>
          <w:rStyle w:val="36"/>
          <w:rFonts w:hint="eastAsia" w:ascii="仿宋" w:hAnsi="仿宋" w:eastAsia="仿宋" w:cs="仿宋"/>
          <w:i w:val="0"/>
          <w:iCs w:val="0"/>
          <w:caps w:val="0"/>
          <w:color w:val="000000" w:themeColor="text1"/>
          <w:spacing w:val="0"/>
          <w:sz w:val="24"/>
          <w:szCs w:val="24"/>
          <w14:textFill>
            <w14:solidFill>
              <w14:schemeClr w14:val="tx1"/>
            </w14:solidFill>
          </w14:textFill>
        </w:rPr>
        <w:t>七、对本次采购提出询问，请按以下方式联系</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1.采购人信息</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采购人名称：和田市林业和草原局</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联系人： 阿布都热合曼·阿布来提</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联系电话：13999657199</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2.采购代理机构信息</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名 称：新疆晓君招标有限公司</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地 址：</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新疆和田市阿恰勒西路马热甫3巷122号</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联系方式：17799150765</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3.项目联系方式</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项目联系人：杨强</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电 话：17799150765</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000000" w:themeColor="text1"/>
          <w:sz w:val="28"/>
          <w:szCs w:val="2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ascii="仿宋" w:hAnsi="仿宋" w:eastAsia="仿宋" w:cs="仿宋"/>
          <w:b/>
          <w:color w:val="000000" w:themeColor="text1"/>
          <w:sz w:val="44"/>
          <w:highlight w:val="none"/>
          <w14:textFill>
            <w14:solidFill>
              <w14:schemeClr w14:val="tx1"/>
            </w14:solidFill>
          </w14:textFill>
        </w:rPr>
      </w:pPr>
    </w:p>
    <w:p>
      <w:pPr>
        <w:rPr>
          <w:rFonts w:hint="eastAsia" w:ascii="仿宋" w:hAnsi="仿宋" w:eastAsia="仿宋" w:cs="仿宋"/>
          <w:b/>
          <w:color w:val="000000" w:themeColor="text1"/>
          <w:sz w:val="44"/>
          <w:highlight w:val="none"/>
          <w14:textFill>
            <w14:solidFill>
              <w14:schemeClr w14:val="tx1"/>
            </w14:solidFill>
          </w14:textFill>
        </w:rPr>
      </w:pPr>
    </w:p>
    <w:p>
      <w:pPr>
        <w:pStyle w:val="14"/>
        <w:rPr>
          <w:rFonts w:hint="eastAsia"/>
          <w:color w:val="000000" w:themeColor="text1"/>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第二部分</w:t>
      </w: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p>
    <w:p>
      <w:pPr>
        <w:pStyle w:val="8"/>
        <w:rPr>
          <w:rFonts w:hint="eastAsia" w:ascii="仿宋" w:hAnsi="仿宋" w:eastAsia="仿宋" w:cs="仿宋"/>
          <w:color w:val="000000" w:themeColor="text1"/>
          <w14:textFill>
            <w14:solidFill>
              <w14:schemeClr w14:val="tx1"/>
            </w14:solidFill>
          </w14:textFill>
        </w:rPr>
      </w:pPr>
    </w:p>
    <w:p>
      <w:pPr>
        <w:spacing w:line="360" w:lineRule="auto"/>
        <w:jc w:val="center"/>
        <w:rPr>
          <w:rFonts w:hint="eastAsia" w:ascii="仿宋" w:hAnsi="仿宋" w:eastAsia="仿宋" w:cs="仿宋"/>
          <w:b/>
          <w:color w:val="000000" w:themeColor="text1"/>
          <w:sz w:val="44"/>
          <w:highlight w:val="none"/>
          <w14:textFill>
            <w14:solidFill>
              <w14:schemeClr w14:val="tx1"/>
            </w14:solidFill>
          </w14:textFill>
        </w:rPr>
      </w:pPr>
      <w:r>
        <w:rPr>
          <w:rFonts w:hint="eastAsia" w:ascii="仿宋" w:hAnsi="仿宋" w:eastAsia="仿宋" w:cs="仿宋"/>
          <w:b/>
          <w:color w:val="000000" w:themeColor="text1"/>
          <w:sz w:val="44"/>
          <w:highlight w:val="none"/>
          <w14:textFill>
            <w14:solidFill>
              <w14:schemeClr w14:val="tx1"/>
            </w14:solidFill>
          </w14:textFill>
        </w:rPr>
        <w:t>磋 商 须 知</w:t>
      </w:r>
    </w:p>
    <w:p>
      <w:pPr>
        <w:pStyle w:val="22"/>
        <w:spacing w:line="360" w:lineRule="auto"/>
        <w:jc w:val="center"/>
        <w:rPr>
          <w:rFonts w:hint="eastAsia" w:ascii="仿宋" w:hAnsi="仿宋" w:eastAsia="仿宋" w:cs="仿宋"/>
          <w:color w:val="000000" w:themeColor="text1"/>
          <w:highlight w:val="none"/>
          <w14:textFill>
            <w14:solidFill>
              <w14:schemeClr w14:val="tx1"/>
            </w14:solidFill>
          </w14:textFill>
        </w:rPr>
      </w:pPr>
    </w:p>
    <w:p>
      <w:pPr>
        <w:pStyle w:val="24"/>
        <w:spacing w:line="360" w:lineRule="auto"/>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br w:type="page"/>
      </w:r>
      <w:bookmarkStart w:id="0" w:name="_Toc42952414"/>
      <w:r>
        <w:rPr>
          <w:rFonts w:hint="eastAsia" w:ascii="仿宋" w:hAnsi="仿宋" w:eastAsia="仿宋" w:cs="仿宋"/>
          <w:bCs w:val="0"/>
          <w:color w:val="000000" w:themeColor="text1"/>
          <w:kern w:val="2"/>
          <w:sz w:val="32"/>
          <w:szCs w:val="32"/>
          <w:highlight w:val="none"/>
          <w14:textFill>
            <w14:solidFill>
              <w14:schemeClr w14:val="tx1"/>
            </w14:solidFill>
          </w14:textFill>
        </w:rPr>
        <w:t>一、说明</w:t>
      </w:r>
      <w:bookmarkEnd w:id="0"/>
    </w:p>
    <w:p>
      <w:pPr>
        <w:pStyle w:val="4"/>
        <w:numPr>
          <w:ilvl w:val="0"/>
          <w:numId w:val="2"/>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适用范围</w:t>
      </w:r>
    </w:p>
    <w:p>
      <w:pPr>
        <w:pStyle w:val="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本次代理招标采购的货物及相关服务项目，属政府采购项目。</w:t>
      </w:r>
    </w:p>
    <w:p>
      <w:pPr>
        <w:pStyle w:val="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   资金来源：</w:t>
      </w: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r>
        <w:rPr>
          <w:rFonts w:hint="eastAsia" w:ascii="仿宋" w:hAnsi="仿宋" w:eastAsia="仿宋" w:cs="仿宋"/>
          <w:color w:val="000000" w:themeColor="text1"/>
          <w:sz w:val="24"/>
          <w:szCs w:val="24"/>
          <w:highlight w:val="none"/>
          <w14:textFill>
            <w14:solidFill>
              <w14:schemeClr w14:val="tx1"/>
            </w14:solidFill>
          </w14:textFill>
        </w:rPr>
        <w:t>。</w:t>
      </w:r>
    </w:p>
    <w:p>
      <w:pPr>
        <w:pStyle w:val="4"/>
        <w:numPr>
          <w:ilvl w:val="0"/>
          <w:numId w:val="2"/>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定义</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“采购人”指本采购项目的委托人。</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“采购代理机构”指新疆晓君招标有限公司。</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“供应商”指向采购代理机构提交响应文件并参与磋商的法人。</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“成交人” 指经法定程序确定并授予</w:t>
      </w:r>
      <w:bookmarkStart w:id="43" w:name="_GoBack"/>
      <w:r>
        <w:rPr>
          <w:rFonts w:hint="eastAsia" w:ascii="仿宋" w:hAnsi="仿宋" w:eastAsia="仿宋" w:cs="仿宋"/>
          <w:color w:val="000000" w:themeColor="text1"/>
          <w:sz w:val="24"/>
          <w:szCs w:val="24"/>
          <w:highlight w:val="none"/>
          <w14:textFill>
            <w14:solidFill>
              <w14:schemeClr w14:val="tx1"/>
            </w14:solidFill>
          </w14:textFill>
        </w:rPr>
        <w:t>合同</w:t>
      </w:r>
      <w:bookmarkEnd w:id="43"/>
      <w:r>
        <w:rPr>
          <w:rFonts w:hint="eastAsia" w:ascii="仿宋" w:hAnsi="仿宋" w:eastAsia="仿宋" w:cs="仿宋"/>
          <w:color w:val="000000" w:themeColor="text1"/>
          <w:sz w:val="24"/>
          <w:szCs w:val="24"/>
          <w:highlight w:val="none"/>
          <w14:textFill>
            <w14:solidFill>
              <w14:schemeClr w14:val="tx1"/>
            </w14:solidFill>
          </w14:textFill>
        </w:rPr>
        <w:t>的供应商。</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“货物”指供应商按磋商文件的规定，须向采购人提供的一切产品、物品及其它材料等。</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“服务”指供应商提供的货物所需的相关服务以及用户需求书中要求的其它服务。</w:t>
      </w:r>
    </w:p>
    <w:p>
      <w:pPr>
        <w:pStyle w:val="5"/>
        <w:numPr>
          <w:ilvl w:val="1"/>
          <w:numId w:val="1"/>
        </w:numPr>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磋商文件中规定的“书面形式”包括纸质文件和磋商文件中规定的电子文件。</w:t>
      </w:r>
    </w:p>
    <w:p>
      <w:pPr>
        <w:pStyle w:val="4"/>
        <w:numPr>
          <w:ilvl w:val="0"/>
          <w:numId w:val="2"/>
        </w:numPr>
        <w:tabs>
          <w:tab w:val="clear" w:pos="420"/>
        </w:tabs>
        <w:spacing w:beforeLines="0" w:afterLines="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合格的供应商</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1.满足《中华人民共和国政府采购法》第二十二条规定；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2）提供 2019年度或 2020年度经审计的《财务审计报告书》</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原件</w:t>
      </w:r>
      <w:r>
        <w:rPr>
          <w:rFonts w:hint="eastAsia" w:ascii="仿宋" w:hAnsi="仿宋" w:eastAsia="仿宋" w:cs="仿宋"/>
          <w:i w:val="0"/>
          <w:iCs w:val="0"/>
          <w:caps w:val="0"/>
          <w:color w:val="000000" w:themeColor="text1"/>
          <w:spacing w:val="0"/>
          <w:sz w:val="24"/>
          <w:szCs w:val="24"/>
          <w14:textFill>
            <w14:solidFill>
              <w14:schemeClr w14:val="tx1"/>
            </w14:solidFill>
          </w14:textFill>
        </w:rPr>
        <w:t>，或银行出具的资信证明材料</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原件</w:t>
      </w:r>
      <w:r>
        <w:rPr>
          <w:rFonts w:hint="eastAsia" w:ascii="仿宋" w:hAnsi="仿宋" w:eastAsia="仿宋" w:cs="仿宋"/>
          <w:i w:val="0"/>
          <w:iCs w:val="0"/>
          <w:caps w:val="0"/>
          <w:color w:val="000000" w:themeColor="text1"/>
          <w:spacing w:val="0"/>
          <w:sz w:val="24"/>
          <w:szCs w:val="24"/>
          <w14:textFill>
            <w14:solidFill>
              <w14:schemeClr w14:val="tx1"/>
            </w14:solidFill>
          </w14:textFill>
        </w:rPr>
        <w:t>；</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2021年1月-6月</w:t>
      </w:r>
      <w:r>
        <w:rPr>
          <w:rFonts w:hint="eastAsia" w:ascii="仿宋" w:hAnsi="仿宋" w:eastAsia="仿宋" w:cs="仿宋"/>
          <w:i w:val="0"/>
          <w:iCs w:val="0"/>
          <w:caps w:val="0"/>
          <w:color w:val="000000" w:themeColor="text1"/>
          <w:spacing w:val="0"/>
          <w:sz w:val="24"/>
          <w:szCs w:val="24"/>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4）</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提供近段时间内（2021年1月-6月）的缴纳社保证明材料加盖公章。如依法不需要缴纳社会保障资金的，应提供相应文件证明；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6）提供参加政府采购活动前3年内在经营活动中没有重大违法记录的书面声明；（提供《投标人资格声明函》）。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2.落实政府采购政策需满足的资格要求：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需要落实的政府采购政策：《政府采购促进中小企业发展暂行办法》（财库[2011]181号）、《关于政府采购支持监狱企业发展有关问题的通知》（财库[2014]68号）、《关于环境标志产品政府采购实施的意见》（财库[2006]90号、《节能产品政府采购实施意见》的通知（财库[2004]185号）。</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3.本项目的特定资格要求：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14:textFill>
            <w14:solidFill>
              <w14:schemeClr w14:val="tx1"/>
            </w14:solidFill>
          </w14:textFill>
        </w:rPr>
        <w:t>）为采购项目提供整体设计、规范编制或者项目管理、监理、检测等服务的供应商，不得再参加该采购项目同一合同项下的其他采购活动。（提供《投标人资格声明函》）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4"/>
          <w:szCs w:val="24"/>
          <w14:textFill>
            <w14:solidFill>
              <w14:schemeClr w14:val="tx1"/>
            </w14:solidFill>
          </w14:textFill>
        </w:rPr>
        <w:t>）单位负责人为同一人或者存在直接控股、管理关系的不同供应商，不得参加同一合同项下的政府采购活动。（提供《投标人资格声明函》）</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注:开标现场携带手持件资料：</w:t>
      </w:r>
    </w:p>
    <w:p>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投标人应在开标现场随身手持以下资料，由监督人员进行查验</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（1）投标人需具备经年审合格的法人营业执照；</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2）法定代表人投标需携带法定代表人证明书（原件）及法定代表人身份证（原件）、法定代表人社保缴纳证明（2021年1月-6月）；委托代理人投标需携带法定代表人授权委托书（原件）及委托代理人身份证（原件）、授权委托人社保缴纳证明（（2021年1月-6月）；</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（3）提供 2019年度或 2020年度经审计的《财务审计报告书》原件，或银行出具的资信证明材料原件；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（4）提供近段时间内（2021年1月-6月）的缴纳税收的完税证明或税务部门出具的纳税证明；如依法免税的，应提供相应文件证明原件；</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（5）提供近段时间内（2021年1月-6月）的缴纳社保证明材料加盖公章。如依法不需要缴纳社会保障资金的，应提供相应文件证明；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（6）投标保证金电子回单。</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t>（7）同意磋商文件的声明。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宋体" w:hAnsi="宋体" w:eastAsia="宋体" w:cs="宋体"/>
          <w:b/>
          <w:color w:val="000000"/>
          <w:kern w:val="0"/>
          <w:sz w:val="24"/>
          <w:szCs w:val="24"/>
          <w:lang w:val="en-US" w:eastAsia="zh-CN" w:bidi="ar"/>
        </w:rPr>
        <w:t>注：若未按要求单独提供相关资料，投标文件将不予开启，做无效投标处理。</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32"/>
          <w:szCs w:val="32"/>
          <w:highlight w:val="none"/>
          <w14:textFill>
            <w14:solidFill>
              <w14:schemeClr w14:val="tx1"/>
            </w14:solidFill>
          </w14:textFill>
        </w:rPr>
      </w:pPr>
      <w:bookmarkStart w:id="1" w:name="_Toc61460073"/>
      <w:r>
        <w:rPr>
          <w:rFonts w:hint="eastAsia" w:ascii="仿宋" w:hAnsi="仿宋" w:eastAsia="仿宋" w:cs="仿宋"/>
          <w:bCs w:val="0"/>
          <w:color w:val="000000" w:themeColor="text1"/>
          <w:kern w:val="2"/>
          <w:sz w:val="32"/>
          <w:szCs w:val="32"/>
          <w:highlight w:val="none"/>
          <w14:textFill>
            <w14:solidFill>
              <w14:schemeClr w14:val="tx1"/>
            </w14:solidFill>
          </w14:textFill>
        </w:rPr>
        <w:t>二、磋商文件</w:t>
      </w:r>
      <w:bookmarkEnd w:id="1"/>
    </w:p>
    <w:p>
      <w:pPr>
        <w:spacing w:before="60" w:line="360" w:lineRule="auto"/>
        <w:ind w:right="420" w:right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     磋商文件的组成</w:t>
      </w:r>
    </w:p>
    <w:p>
      <w:pPr>
        <w:widowControl w:val="0"/>
        <w:tabs>
          <w:tab w:val="left" w:pos="720"/>
          <w:tab w:val="left" w:pos="1438"/>
        </w:tabs>
        <w:spacing w:before="60" w:line="360" w:lineRule="auto"/>
        <w:ind w:left="720" w:right="420" w:rightChars="20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磋商文件包括以下部分：</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磋商邀请函；</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响应须知；</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用户需求书；</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合同条款；</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响应文件格式。</w:t>
      </w:r>
    </w:p>
    <w:p>
      <w:pP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磋商文件的澄清</w:t>
      </w:r>
    </w:p>
    <w:p>
      <w:pPr>
        <w:widowControl w:val="0"/>
        <w:numPr>
          <w:ilvl w:val="0"/>
          <w:numId w:val="3"/>
        </w:numPr>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负责对磋商文件解释并视情况对本项目中比较复杂的事项进行说明和依法回答供应商提出的疑问及问题。需要澄清和回答的疑问和问题应以书面形式按本文件规定的联系方式和地址送达采购代理机构。采购代理机构将根据具体情况采用其认为适当的方式予以回复, 并在必要时将不标明问题来源的书面答复发给本项目的供应商。该澄清答复将视为本文件的组成部分。</w:t>
      </w:r>
    </w:p>
    <w:p>
      <w:pPr>
        <w:spacing w:before="60" w:line="360" w:lineRule="auto"/>
        <w:ind w:right="420" w:righ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磋商文件的补充和修改</w:t>
      </w:r>
    </w:p>
    <w:p>
      <w:pPr>
        <w:widowControl w:val="0"/>
        <w:tabs>
          <w:tab w:val="left" w:pos="720"/>
        </w:tabs>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   根据项目的需要,采购代理机构可对磋商文件进行修改和变更。</w:t>
      </w:r>
    </w:p>
    <w:p>
      <w:pPr>
        <w:widowControl w:val="0"/>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   磋商文件的修改将以书面的形式于报价递交截止时间前通知本磋商文件的所有收受人。该修改文件将构成磋商文件的一部分。供应商应在收到该修改文件后立即以书面形式予以确认并受其约束。</w:t>
      </w:r>
    </w:p>
    <w:p>
      <w:pPr>
        <w:widowControl w:val="0"/>
        <w:tabs>
          <w:tab w:val="left" w:pos="720"/>
        </w:tabs>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3.3   考虑到该修改和变更的影响，采购人和采购代理机构可决定推迟报价递交截止时间。</w:t>
      </w:r>
    </w:p>
    <w:p>
      <w:pPr>
        <w:widowControl w:val="0"/>
        <w:tabs>
          <w:tab w:val="left" w:pos="720"/>
        </w:tabs>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3.4   在磋商过程中,磋商文件内容如有实质性的变更,磋商小组应以书面形式通知所有参与磋商的供应商。若供应商对此类实质性变更不予接受,可以要求退出磋商,否则将被视为接受此变更并受其约束。</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三、响应文件</w:t>
      </w:r>
    </w:p>
    <w:p>
      <w:pP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     响应文件的编写</w:t>
      </w:r>
    </w:p>
    <w:p>
      <w:pPr>
        <w:widowControl w:val="0"/>
        <w:numPr>
          <w:ilvl w:val="0"/>
          <w:numId w:val="4"/>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供应商应仔细阅读磋商文件的所有内容，并按其规定的内容和格式，提交完整的响应文件。</w:t>
      </w:r>
    </w:p>
    <w:p>
      <w:pPr>
        <w:widowControl w:val="0"/>
        <w:numPr>
          <w:ilvl w:val="0"/>
          <w:numId w:val="4"/>
        </w:numPr>
        <w:tabs>
          <w:tab w:val="left" w:pos="735"/>
          <w:tab w:val="left" w:pos="1080"/>
          <w:tab w:val="clear" w:pos="1438"/>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响应文件和来往函件应用中文书写，计量单位应使用中华人民共和国法定计量单位。（除非磋商文件中另有规定）</w:t>
      </w:r>
    </w:p>
    <w:p>
      <w:pPr>
        <w:widowControl w:val="0"/>
        <w:numPr>
          <w:ilvl w:val="0"/>
          <w:numId w:val="4"/>
        </w:numPr>
        <w:tabs>
          <w:tab w:val="left" w:pos="735"/>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供应商应按磋商文件要求的报价范围进行报价。</w:t>
      </w:r>
    </w:p>
    <w:p>
      <w:pPr>
        <w:widowControl w:val="0"/>
        <w:numPr>
          <w:ilvl w:val="0"/>
          <w:numId w:val="4"/>
        </w:numPr>
        <w:tabs>
          <w:tab w:val="left" w:pos="735"/>
          <w:tab w:val="left" w:pos="900"/>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供应商应以人民币报价。若由单价计算得出的总价与报价总价不一致，以单价计算得出的总价作为报价总价。若中文文字形式表示的数值与数字形式表示的数值不一致，以中文文字形式表示的数值为准。</w:t>
      </w:r>
    </w:p>
    <w:p>
      <w:pPr>
        <w:tabs>
          <w:tab w:val="left" w:pos="360"/>
          <w:tab w:val="left" w:pos="720"/>
        </w:tabs>
        <w:spacing w:before="60" w:line="360" w:lineRule="auto"/>
        <w:ind w:leftChars="-1" w:hanging="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     响应文件的构成及要求</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    报价部分（参见磋商文件第五部分响应文件格式）；</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    商务响应文件（参见磋商文件第五部分响应文件格式）；</w:t>
      </w:r>
    </w:p>
    <w:p>
      <w:pPr>
        <w:widowControl w:val="0"/>
        <w:tabs>
          <w:tab w:val="left" w:pos="735"/>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    服务方案响应文件（参见磋商文件第五部分响应文件格式）；</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    供应商认为需加以说明的其它内容；</w:t>
      </w:r>
    </w:p>
    <w:p>
      <w:pPr>
        <w:widowControl w:val="0"/>
        <w:tabs>
          <w:tab w:val="left" w:pos="735"/>
          <w:tab w:val="left" w:pos="840"/>
        </w:tabs>
        <w:spacing w:before="60" w:line="360" w:lineRule="auto"/>
        <w:ind w:left="823" w:hanging="940" w:hangingChars="39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    供应商报价的内容与磋商文件的技术、商务要求有偏离时，无论这种偏离是否有利于买方，供应商都应按附件的格式如实填写技术规格偏离表和商务条款偏离表。</w:t>
      </w:r>
    </w:p>
    <w:p>
      <w:pPr>
        <w:widowControl w:val="0"/>
        <w:tabs>
          <w:tab w:val="left" w:pos="735"/>
          <w:tab w:val="left" w:pos="840"/>
        </w:tabs>
        <w:spacing w:before="60" w:line="360" w:lineRule="auto"/>
        <w:ind w:left="720" w:hanging="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2.6    供应商应按响应文件格式的要求提交资格文件，并对这些资格文件的真实性负责。</w:t>
      </w:r>
    </w:p>
    <w:p>
      <w:pPr>
        <w:tabs>
          <w:tab w:val="left" w:pos="360"/>
          <w:tab w:val="left" w:pos="720"/>
        </w:tabs>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     响应文件的签署、装订和密封</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w:t>
      </w:r>
      <w:r>
        <w:rPr>
          <w:rFonts w:hint="eastAsia" w:ascii="仿宋" w:hAnsi="仿宋" w:eastAsia="仿宋" w:cs="仿宋"/>
          <w:b/>
          <w:bCs/>
          <w:color w:val="000000" w:themeColor="text1"/>
          <w:sz w:val="24"/>
          <w:szCs w:val="24"/>
          <w:highlight w:val="none"/>
          <w14:textFill>
            <w14:solidFill>
              <w14:schemeClr w14:val="tx1"/>
            </w14:solidFill>
          </w14:textFill>
        </w:rPr>
        <w:t>正本一套、副本叁套</w:t>
      </w:r>
      <w:r>
        <w:rPr>
          <w:rFonts w:hint="eastAsia" w:ascii="仿宋" w:hAnsi="仿宋" w:eastAsia="仿宋" w:cs="仿宋"/>
          <w:color w:val="000000" w:themeColor="text1"/>
          <w:sz w:val="24"/>
          <w:szCs w:val="24"/>
          <w:highlight w:val="none"/>
          <w14:textFill>
            <w14:solidFill>
              <w14:schemeClr w14:val="tx1"/>
            </w14:solidFill>
          </w14:textFill>
        </w:rPr>
        <w:t>、内容应一致，</w:t>
      </w:r>
      <w:r>
        <w:rPr>
          <w:rFonts w:hint="eastAsia" w:ascii="仿宋" w:hAnsi="仿宋" w:eastAsia="仿宋" w:cs="仿宋"/>
          <w:b/>
          <w:bCs/>
          <w:color w:val="000000" w:themeColor="text1"/>
          <w:sz w:val="24"/>
          <w:szCs w:val="24"/>
          <w:highlight w:val="none"/>
          <w14:textFill>
            <w14:solidFill>
              <w14:schemeClr w14:val="tx1"/>
            </w14:solidFill>
          </w14:textFill>
        </w:rPr>
        <w:t>如果正本与副本不符，以正本为准（正本每一页须加盖公章）</w:t>
      </w:r>
      <w:r>
        <w:rPr>
          <w:rFonts w:hint="eastAsia" w:ascii="仿宋" w:hAnsi="仿宋" w:eastAsia="仿宋" w:cs="仿宋"/>
          <w:color w:val="000000" w:themeColor="text1"/>
          <w:sz w:val="24"/>
          <w:szCs w:val="24"/>
          <w:highlight w:val="none"/>
          <w14:textFill>
            <w14:solidFill>
              <w14:schemeClr w14:val="tx1"/>
            </w14:solidFill>
          </w14:textFill>
        </w:rPr>
        <w:t>。响应文件正本应由供应商的法定代表人或经法定代表人正式授权的代表在响应文件上签字，并需将以书面形式出具的“法定代表人授权书”附在响应文件中。任何行间插字、涂改和增删，必须由供应商盖章才有效。</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报价人应同时提交报价文件的电子文件一套（</w:t>
      </w:r>
      <w:r>
        <w:rPr>
          <w:rFonts w:hint="eastAsia" w:ascii="仿宋" w:hAnsi="仿宋" w:eastAsia="仿宋" w:cs="仿宋"/>
          <w:b/>
          <w:bCs/>
          <w:color w:val="000000" w:themeColor="text1"/>
          <w:sz w:val="24"/>
          <w:szCs w:val="24"/>
          <w14:textFill>
            <w14:solidFill>
              <w14:schemeClr w14:val="tx1"/>
            </w14:solidFill>
          </w14:textFill>
        </w:rPr>
        <w:t>以U盘形式</w:t>
      </w:r>
      <w:r>
        <w:rPr>
          <w:rFonts w:hint="eastAsia" w:ascii="仿宋" w:hAnsi="仿宋" w:eastAsia="仿宋" w:cs="仿宋"/>
          <w:color w:val="000000" w:themeColor="text1"/>
          <w:sz w:val="24"/>
          <w:szCs w:val="24"/>
          <w14:textFill>
            <w14:solidFill>
              <w14:schemeClr w14:val="tx1"/>
            </w14:solidFill>
          </w14:textFill>
        </w:rPr>
        <w:t>）附在正本里，</w:t>
      </w:r>
      <w:r>
        <w:rPr>
          <w:rFonts w:hint="eastAsia" w:ascii="仿宋" w:hAnsi="仿宋" w:eastAsia="仿宋" w:cs="仿宋"/>
          <w:color w:val="000000" w:themeColor="text1"/>
          <w:sz w:val="24"/>
          <w:szCs w:val="24"/>
          <w:lang w:val="en-US" w:eastAsia="zh-CN"/>
          <w14:textFill>
            <w14:solidFill>
              <w14:schemeClr w14:val="tx1"/>
            </w14:solidFill>
          </w14:textFill>
        </w:rPr>
        <w:t>电子版U盘必须是正本扫描件，并制作成与正本完全一致的PDF格式文本及word文档</w:t>
      </w:r>
      <w:r>
        <w:rPr>
          <w:rFonts w:hint="eastAsia" w:ascii="仿宋" w:hAnsi="仿宋" w:eastAsia="仿宋" w:cs="仿宋"/>
          <w:color w:val="000000" w:themeColor="text1"/>
          <w:sz w:val="24"/>
          <w:szCs w:val="24"/>
          <w14:textFill>
            <w14:solidFill>
              <w14:schemeClr w14:val="tx1"/>
            </w14:solidFill>
          </w14:textFill>
        </w:rPr>
        <w:t>。不按以上要求递交的，视为</w:t>
      </w:r>
      <w:r>
        <w:rPr>
          <w:rFonts w:hint="eastAsia" w:ascii="仿宋" w:hAnsi="仿宋" w:eastAsia="仿宋" w:cs="仿宋"/>
          <w:color w:val="000000" w:themeColor="text1"/>
          <w:sz w:val="24"/>
          <w:szCs w:val="24"/>
          <w:lang w:eastAsia="zh-CN"/>
          <w14:textFill>
            <w14:solidFill>
              <w14:schemeClr w14:val="tx1"/>
            </w14:solidFill>
          </w14:textFill>
        </w:rPr>
        <w:t>报价</w:t>
      </w:r>
      <w:r>
        <w:rPr>
          <w:rFonts w:hint="eastAsia" w:ascii="仿宋" w:hAnsi="仿宋" w:eastAsia="仿宋" w:cs="仿宋"/>
          <w:color w:val="000000" w:themeColor="text1"/>
          <w:sz w:val="24"/>
          <w:szCs w:val="24"/>
          <w14:textFill>
            <w14:solidFill>
              <w14:schemeClr w14:val="tx1"/>
            </w14:solidFill>
          </w14:textFill>
        </w:rPr>
        <w:t>文件不完整。</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响应文件正本须用A4纸及不褪色墨水书写或打印，由供应商的法定代表人或经其正式授权的代表签字。授权代表须将以书面形式出具的“授权证书”附在响应文件中。</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的正本，磋商文件中已明示需盖章签名处，均须由供应商加盖供应商公章，并经供应商法定代表人或其授权代表签名。如果《响应资料表》允许供应商为联合体，联合体在签署响应文件时应在供应商名称后面注明“联合体”字样。</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响应文件副本可采用响应文件的正本复印而成，A4纸装订成册。</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没有按照要求递交响应文件及传真和电传的响应文件将被拒绝。 </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供应商应将响应文件正本和所有的副本分开密封装在封套中，封套须加盖公章且在封套上标明“正本”“副本”字样。</w:t>
      </w:r>
    </w:p>
    <w:p>
      <w:pPr>
        <w:widowControl w:val="0"/>
        <w:numPr>
          <w:ilvl w:val="0"/>
          <w:numId w:val="5"/>
        </w:numPr>
        <w:tabs>
          <w:tab w:val="left" w:pos="735"/>
          <w:tab w:val="clear" w:pos="481"/>
        </w:tabs>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封套均应按以下要求标记：</w:t>
      </w:r>
    </w:p>
    <w:tbl>
      <w:tblPr>
        <w:tblStyle w:val="32"/>
        <w:tblW w:w="8759"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8759" w:type="dxa"/>
          </w:tcPr>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（正本/副本）</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于“      年     月     日     时    分”之前不准启封（即磋商截止时间）</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2021年和田市林果业技术扶持项目二次</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收件人名称：新疆晓君招标有限公司          </w:t>
            </w:r>
          </w:p>
          <w:p>
            <w:pPr>
              <w:spacing w:line="360" w:lineRule="auto"/>
              <w:ind w:left="18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编号</w:t>
            </w:r>
            <w:r>
              <w:rPr>
                <w:rFonts w:hint="eastAsia" w:ascii="仿宋" w:hAnsi="仿宋" w:eastAsia="仿宋" w:cs="仿宋"/>
                <w:color w:val="000000" w:themeColor="text1"/>
                <w:sz w:val="24"/>
                <w:szCs w:val="24"/>
                <w:highlight w:val="none"/>
                <w:lang w:val="en-US" w:eastAsia="zh-CN"/>
                <w14:textFill>
                  <w14:solidFill>
                    <w14:schemeClr w14:val="tx1"/>
                  </w14:solidFill>
                </w14:textFill>
              </w:rPr>
              <w:t>：HTSZFCGZBDL-2021-089-2</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供应商名称：XXXX                             </w:t>
            </w:r>
          </w:p>
          <w:p>
            <w:pPr>
              <w:spacing w:line="360" w:lineRule="auto"/>
              <w:ind w:left="18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供应商地址：XXXX                              邮政编码：XXXX</w:t>
            </w:r>
          </w:p>
          <w:p>
            <w:pPr>
              <w:pStyle w:val="5"/>
              <w:tabs>
                <w:tab w:val="left" w:pos="102"/>
              </w:tabs>
              <w:ind w:left="-599" w:firstLine="919" w:firstLineChars="383"/>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供应商代表：XXXX                              联系电话：XXXX</w:t>
            </w:r>
          </w:p>
        </w:tc>
      </w:tr>
    </w:tbl>
    <w:p>
      <w:pPr>
        <w:widowControl w:val="0"/>
        <w:numPr>
          <w:ilvl w:val="0"/>
          <w:numId w:val="5"/>
        </w:numP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封套均应写明供应商名称和地址，以便如果其响应文件被宣布为“迟交”时，能原封退回。</w:t>
      </w:r>
    </w:p>
    <w:p>
      <w:pPr>
        <w:widowControl w:val="0"/>
        <w:numPr>
          <w:ilvl w:val="0"/>
          <w:numId w:val="5"/>
        </w:numPr>
        <w:tabs>
          <w:tab w:val="left" w:pos="735"/>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4"/>
          <w:sz w:val="24"/>
          <w:szCs w:val="24"/>
          <w:highlight w:val="none"/>
          <w14:textFill>
            <w14:solidFill>
              <w14:schemeClr w14:val="tx1"/>
            </w14:solidFill>
          </w14:textFill>
        </w:rPr>
        <w:t>如果封套未按本须知的要求密封和加写标记，采购代理机构概不接受。</w:t>
      </w:r>
    </w:p>
    <w:p>
      <w:pPr>
        <w:tabs>
          <w:tab w:val="left" w:pos="360"/>
          <w:tab w:val="left" w:pos="720"/>
        </w:tabs>
        <w:snapToGrid w:val="0"/>
        <w:spacing w:before="60" w:line="360" w:lineRule="auto"/>
        <w:ind w:leftChars="-1" w:hanging="2"/>
        <w:rPr>
          <w:rFonts w:hint="eastAsia" w:ascii="仿宋" w:hAnsi="仿宋" w:eastAsia="仿宋" w:cs="仿宋"/>
          <w:color w:val="000000" w:themeColor="text1"/>
          <w:spacing w:val="-4"/>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3.11  响应文件</w:t>
      </w:r>
      <w:r>
        <w:rPr>
          <w:rFonts w:hint="eastAsia" w:ascii="仿宋" w:hAnsi="仿宋" w:eastAsia="仿宋" w:cs="仿宋"/>
          <w:color w:val="000000" w:themeColor="text1"/>
          <w:spacing w:val="-4"/>
          <w:sz w:val="24"/>
          <w:szCs w:val="24"/>
          <w:highlight w:val="none"/>
          <w14:textFill>
            <w14:solidFill>
              <w14:schemeClr w14:val="tx1"/>
            </w14:solidFill>
          </w14:textFill>
        </w:rPr>
        <w:t>未按本须知的要求密封、签署和加写标记，将会导致符合性审查不通过。</w:t>
      </w:r>
    </w:p>
    <w:p>
      <w:pPr>
        <w:tabs>
          <w:tab w:val="left" w:pos="360"/>
          <w:tab w:val="left" w:pos="720"/>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4     报价有效期</w:t>
      </w:r>
    </w:p>
    <w:p>
      <w:pPr>
        <w:widowControl w:val="0"/>
        <w:numPr>
          <w:ilvl w:val="0"/>
          <w:numId w:val="6"/>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报价有效期为90天。在特殊情况下，采购代理机构可于报价有效期满之前要求供应商同意延长有效期，要求与答复均应以书面形式表示。供应商可以拒绝上述要求而其投标保证金不会被没收，同意延期的供应商原报价有效期内应享之权利及应负之责任也相应延续。</w:t>
      </w:r>
    </w:p>
    <w:p>
      <w:pPr>
        <w:tabs>
          <w:tab w:val="left" w:pos="360"/>
          <w:tab w:val="left" w:pos="735"/>
        </w:tabs>
        <w:snapToGrid w:val="0"/>
        <w:spacing w:before="60" w:line="360" w:lineRule="auto"/>
        <w:ind w:leftChars="-1" w:hanging="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5     投标保证金</w:t>
      </w:r>
    </w:p>
    <w:p>
      <w:pPr>
        <w:tabs>
          <w:tab w:val="left" w:pos="315"/>
          <w:tab w:val="left" w:pos="1785"/>
          <w:tab w:val="left" w:pos="2310"/>
          <w:tab w:val="left" w:pos="8640"/>
        </w:tabs>
        <w:snapToGrid w:val="0"/>
        <w:spacing w:before="60" w:line="360" w:lineRule="auto"/>
        <w:ind w:left="735" w:hanging="840" w:hangingChars="3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5.1    本项目的投标</w:t>
      </w:r>
      <w:r>
        <w:rPr>
          <w:rFonts w:hint="eastAsia" w:ascii="仿宋" w:hAnsi="仿宋" w:eastAsia="仿宋" w:cs="仿宋"/>
          <w:b/>
          <w:bCs/>
          <w:color w:val="000000" w:themeColor="text1"/>
          <w:sz w:val="24"/>
          <w:szCs w:val="24"/>
          <w:highlight w:val="none"/>
          <w14:textFill>
            <w14:solidFill>
              <w14:schemeClr w14:val="tx1"/>
            </w14:solidFill>
          </w14:textFill>
        </w:rPr>
        <w:t>保证金金额为人</w:t>
      </w:r>
      <w:r>
        <w:rPr>
          <w:rFonts w:hint="eastAsia" w:ascii="仿宋" w:hAnsi="仿宋" w:eastAsia="仿宋" w:cs="仿宋"/>
          <w:b/>
          <w:color w:val="000000" w:themeColor="text1"/>
          <w:sz w:val="24"/>
          <w:szCs w:val="24"/>
          <w:highlight w:val="none"/>
          <w14:textFill>
            <w14:solidFill>
              <w14:schemeClr w14:val="tx1"/>
            </w14:solidFill>
          </w14:textFill>
        </w:rPr>
        <w:t>民币</w:t>
      </w:r>
      <w:r>
        <w:rPr>
          <w:rFonts w:hint="eastAsia" w:ascii="仿宋" w:hAnsi="仿宋" w:eastAsia="仿宋" w:cs="仿宋"/>
          <w:b/>
          <w:color w:val="000000" w:themeColor="text1"/>
          <w:sz w:val="24"/>
          <w:szCs w:val="24"/>
          <w:highlight w:val="none"/>
          <w:lang w:val="en-US" w:eastAsia="zh-CN"/>
          <w14:textFill>
            <w14:solidFill>
              <w14:schemeClr w14:val="tx1"/>
            </w14:solidFill>
          </w14:textFill>
        </w:rPr>
        <w:t>壹万贰仟元</w:t>
      </w:r>
      <w:r>
        <w:rPr>
          <w:rFonts w:hint="eastAsia" w:ascii="仿宋" w:hAnsi="仿宋" w:eastAsia="仿宋" w:cs="仿宋"/>
          <w:b/>
          <w:color w:val="000000" w:themeColor="text1"/>
          <w:sz w:val="24"/>
          <w:szCs w:val="24"/>
          <w:highlight w:val="none"/>
          <w:lang w:eastAsia="zh-CN"/>
          <w14:textFill>
            <w14:solidFill>
              <w14:schemeClr w14:val="tx1"/>
            </w14:solidFill>
          </w14:textFill>
        </w:rPr>
        <w:t>整</w:t>
      </w: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12000.00</w:t>
      </w:r>
      <w:r>
        <w:rPr>
          <w:rFonts w:hint="eastAsia" w:ascii="仿宋" w:hAnsi="仿宋" w:eastAsia="仿宋" w:cs="仿宋"/>
          <w:b/>
          <w:bCs/>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4"/>
          <w:szCs w:val="24"/>
          <w:highlight w:val="none"/>
          <w14:textFill>
            <w14:solidFill>
              <w14:schemeClr w14:val="tx1"/>
            </w14:solidFill>
          </w14:textFill>
        </w:rPr>
        <w:t>投标保证金是响应文件的组成部分。</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投标保证金是为了保护采购代理机构和采购人免遭因供应商的行为所造成的损失，采购代理机构和采购人在因供应商的行为而受到损害时，可以根据本须知的规定没收供应商的投标保证金。</w:t>
      </w:r>
    </w:p>
    <w:p>
      <w:pPr>
        <w:tabs>
          <w:tab w:val="left" w:pos="72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b/>
          <w:color w:val="000000" w:themeColor="text1"/>
          <w:sz w:val="24"/>
          <w:szCs w:val="24"/>
          <w:highlight w:val="none"/>
          <w14:textFill>
            <w14:solidFill>
              <w14:schemeClr w14:val="tx1"/>
            </w14:solidFill>
          </w14:textFill>
        </w:rPr>
        <w:t>投标保证金可以采用电汇、</w:t>
      </w:r>
      <w:r>
        <w:rPr>
          <w:rFonts w:hint="eastAsia" w:ascii="仿宋" w:hAnsi="仿宋" w:eastAsia="仿宋" w:cs="仿宋"/>
          <w:b/>
          <w:color w:val="000000" w:themeColor="text1"/>
          <w:sz w:val="24"/>
          <w:szCs w:val="24"/>
          <w:highlight w:val="none"/>
          <w:lang w:eastAsia="zh-CN"/>
          <w14:textFill>
            <w14:solidFill>
              <w14:schemeClr w14:val="tx1"/>
            </w14:solidFill>
          </w14:textFill>
        </w:rPr>
        <w:t>银行转账</w:t>
      </w:r>
      <w:r>
        <w:rPr>
          <w:rFonts w:hint="eastAsia" w:ascii="仿宋" w:hAnsi="仿宋" w:eastAsia="仿宋" w:cs="仿宋"/>
          <w:b/>
          <w:color w:val="000000" w:themeColor="text1"/>
          <w:sz w:val="24"/>
          <w:szCs w:val="24"/>
          <w:highlight w:val="none"/>
          <w14:textFill>
            <w14:solidFill>
              <w14:schemeClr w14:val="tx1"/>
            </w14:solidFill>
          </w14:textFill>
        </w:rPr>
        <w:t>形式提交：</w:t>
      </w:r>
    </w:p>
    <w:p>
      <w:pPr>
        <w:spacing w:line="360" w:lineRule="auto"/>
        <w:ind w:left="540" w:leftChars="257"/>
        <w:rPr>
          <w:rFonts w:hint="eastAsia" w:ascii="仿宋" w:hAnsi="仿宋" w:eastAsia="仿宋" w:cs="仿宋"/>
          <w:b/>
          <w:bCs/>
          <w:color w:val="000000" w:themeColor="text1"/>
          <w:sz w:val="24"/>
          <w:szCs w:val="24"/>
          <w:shd w:val="clear" w:color="auto" w:fill="FFFFFF"/>
          <w14:textFill>
            <w14:solidFill>
              <w14:schemeClr w14:val="tx1"/>
            </w14:solidFill>
          </w14:textFill>
        </w:rPr>
      </w:pPr>
      <w:r>
        <w:rPr>
          <w:rStyle w:val="77"/>
          <w:rFonts w:hint="eastAsia" w:ascii="仿宋" w:hAnsi="仿宋" w:eastAsia="仿宋" w:cs="仿宋"/>
          <w:b/>
          <w:color w:val="000000" w:themeColor="text1"/>
          <w:sz w:val="24"/>
          <w:szCs w:val="24"/>
          <w:highlight w:val="none"/>
          <w:lang w:eastAsia="zh-CN"/>
          <w14:textFill>
            <w14:solidFill>
              <w14:schemeClr w14:val="tx1"/>
            </w14:solidFill>
          </w14:textFill>
        </w:rPr>
        <w:t>(1)</w:t>
      </w:r>
      <w:r>
        <w:rPr>
          <w:rFonts w:hint="eastAsia" w:ascii="仿宋" w:hAnsi="仿宋" w:eastAsia="仿宋" w:cs="仿宋"/>
          <w:b/>
          <w:color w:val="000000" w:themeColor="text1"/>
          <w:sz w:val="24"/>
          <w:szCs w:val="24"/>
          <w:highlight w:val="none"/>
          <w14:textFill>
            <w14:solidFill>
              <w14:schemeClr w14:val="tx1"/>
            </w14:solidFill>
          </w14:textFill>
        </w:rPr>
        <w:t>通过电汇、银行转账</w:t>
      </w:r>
      <w:r>
        <w:rPr>
          <w:rFonts w:hint="eastAsia" w:ascii="仿宋" w:hAnsi="仿宋" w:eastAsia="仿宋" w:cs="仿宋"/>
          <w:b/>
          <w:color w:val="000000" w:themeColor="text1"/>
          <w:sz w:val="24"/>
          <w:szCs w:val="24"/>
          <w:highlight w:val="none"/>
          <w:lang w:eastAsia="zh-CN"/>
          <w14:textFill>
            <w14:solidFill>
              <w14:schemeClr w14:val="tx1"/>
            </w14:solidFill>
          </w14:textFill>
        </w:rPr>
        <w:t>、</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保函</w:t>
      </w:r>
      <w:r>
        <w:rPr>
          <w:rFonts w:hint="eastAsia" w:ascii="仿宋" w:hAnsi="仿宋" w:eastAsia="仿宋" w:cs="仿宋"/>
          <w:b/>
          <w:color w:val="000000" w:themeColor="text1"/>
          <w:sz w:val="24"/>
          <w:szCs w:val="24"/>
          <w:highlight w:val="none"/>
          <w14:textFill>
            <w14:solidFill>
              <w14:schemeClr w14:val="tx1"/>
            </w14:solidFill>
          </w14:textFill>
        </w:rPr>
        <w:t>形式递交保证金，由供应商对公账户转入如下账户（交款时供应商向银行提供项目编号，由银行开具收款单盖章交给客户留底，作为保证金收取依据）。</w:t>
      </w:r>
    </w:p>
    <w:p>
      <w:pPr>
        <w:spacing w:line="360" w:lineRule="auto"/>
        <w:ind w:firstLine="482" w:firstLineChars="200"/>
        <w:jc w:val="left"/>
        <w:rPr>
          <w:rFonts w:hint="eastAsia" w:ascii="仿宋" w:hAnsi="仿宋" w:eastAsia="仿宋" w:cs="仿宋"/>
          <w:b/>
          <w:bCs/>
          <w:color w:val="000000" w:themeColor="text1"/>
          <w:sz w:val="24"/>
          <w:szCs w:val="24"/>
          <w:shd w:val="clear" w:color="auto" w:fill="FFFFFF"/>
          <w14:textFill>
            <w14:solidFill>
              <w14:schemeClr w14:val="tx1"/>
            </w14:solidFill>
          </w14:textFill>
        </w:rPr>
      </w:pPr>
      <w:r>
        <w:rPr>
          <w:rFonts w:hint="eastAsia" w:ascii="仿宋" w:hAnsi="仿宋" w:eastAsia="仿宋" w:cs="仿宋"/>
          <w:b/>
          <w:bCs/>
          <w:color w:val="000000" w:themeColor="text1"/>
          <w:sz w:val="24"/>
          <w:szCs w:val="24"/>
          <w:shd w:val="clear" w:color="auto" w:fill="FFFFFF"/>
          <w14:textFill>
            <w14:solidFill>
              <w14:schemeClr w14:val="tx1"/>
            </w14:solidFill>
          </w14:textFill>
        </w:rPr>
        <w:t>投标保证金缴纳账户：</w:t>
      </w:r>
    </w:p>
    <w:p>
      <w:pPr>
        <w:spacing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开户名称：和田市公共资源交易中心</w:t>
      </w:r>
    </w:p>
    <w:p>
      <w:pPr>
        <w:spacing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开户银行：中国银行股份有限公司和田市乌鲁木齐北路支行</w:t>
      </w:r>
    </w:p>
    <w:p>
      <w:pPr>
        <w:spacing w:line="360" w:lineRule="auto"/>
        <w:ind w:firstLine="482" w:firstLineChars="200"/>
        <w:jc w:val="lef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账号：108281584917</w:t>
      </w:r>
    </w:p>
    <w:p>
      <w:pPr>
        <w:spacing w:line="360" w:lineRule="auto"/>
        <w:jc w:val="left"/>
        <w:rPr>
          <w:rFonts w:hint="eastAsia" w:ascii="仿宋" w:hAnsi="仿宋" w:eastAsia="仿宋" w:cs="仿宋"/>
          <w:b/>
          <w:bCs/>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4"/>
          <w:szCs w:val="24"/>
          <w:highlight w:val="none"/>
          <w:u w:val="single"/>
          <w14:textFill>
            <w14:solidFill>
              <w14:schemeClr w14:val="tx1"/>
            </w14:solidFill>
          </w14:textFill>
        </w:rPr>
        <w:t>[递交投标保证金请注明：采购编号</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HTSZFCGZBDL-2021-089-2</w:t>
      </w:r>
      <w:r>
        <w:rPr>
          <w:rFonts w:hint="eastAsia" w:ascii="仿宋" w:hAnsi="仿宋" w:eastAsia="仿宋" w:cs="仿宋"/>
          <w:b/>
          <w:bCs/>
          <w:color w:val="000000" w:themeColor="text1"/>
          <w:sz w:val="24"/>
          <w:szCs w:val="24"/>
          <w:highlight w:val="none"/>
          <w:u w:val="single"/>
          <w14:textFill>
            <w14:solidFill>
              <w14:schemeClr w14:val="tx1"/>
            </w14:solidFill>
          </w14:textFill>
        </w:rPr>
        <w:t>]</w:t>
      </w:r>
    </w:p>
    <w:p>
      <w:pPr>
        <w:numPr>
          <w:ilvl w:val="0"/>
          <w:numId w:val="7"/>
        </w:numPr>
        <w:spacing w:line="360" w:lineRule="auto"/>
        <w:ind w:left="973" w:leftChars="172" w:hanging="612" w:hangingChars="255"/>
        <w:rPr>
          <w:rFonts w:hint="eastAsia" w:ascii="仿宋" w:hAnsi="仿宋" w:eastAsia="仿宋" w:cs="仿宋"/>
          <w:b/>
          <w:iCs/>
          <w:color w:val="000000" w:themeColor="text1"/>
          <w:sz w:val="24"/>
          <w:szCs w:val="24"/>
          <w:highlight w:val="none"/>
          <w14:textFill>
            <w14:solidFill>
              <w14:schemeClr w14:val="tx1"/>
            </w14:solidFill>
          </w14:textFill>
        </w:rPr>
      </w:pPr>
      <w:r>
        <w:rPr>
          <w:rFonts w:hint="eastAsia" w:ascii="仿宋" w:hAnsi="仿宋" w:eastAsia="仿宋" w:cs="仿宋"/>
          <w:iCs/>
          <w:color w:val="000000" w:themeColor="text1"/>
          <w:sz w:val="24"/>
          <w:szCs w:val="24"/>
          <w:highlight w:val="none"/>
          <w14:textFill>
            <w14:solidFill>
              <w14:schemeClr w14:val="tx1"/>
            </w14:solidFill>
          </w14:textFill>
        </w:rPr>
        <w:t>保证金的提交要求：</w:t>
      </w:r>
      <w:r>
        <w:rPr>
          <w:rFonts w:hint="eastAsia" w:ascii="仿宋" w:hAnsi="仿宋" w:eastAsia="仿宋" w:cs="仿宋"/>
          <w:b/>
          <w:color w:val="000000" w:themeColor="text1"/>
          <w:sz w:val="24"/>
          <w:szCs w:val="24"/>
          <w:highlight w:val="none"/>
          <w14:textFill>
            <w14:solidFill>
              <w14:schemeClr w14:val="tx1"/>
            </w14:solidFill>
          </w14:textFill>
        </w:rPr>
        <w:t>由供应商对公账户直接存入</w:t>
      </w:r>
      <w:r>
        <w:rPr>
          <w:rFonts w:hint="eastAsia" w:ascii="仿宋" w:hAnsi="仿宋" w:eastAsia="仿宋" w:cs="仿宋"/>
          <w:b/>
          <w:iCs/>
          <w:color w:val="000000" w:themeColor="text1"/>
          <w:sz w:val="24"/>
          <w:szCs w:val="24"/>
          <w:highlight w:val="none"/>
          <w14:textFill>
            <w14:solidFill>
              <w14:schemeClr w14:val="tx1"/>
            </w14:solidFill>
          </w14:textFill>
        </w:rPr>
        <w:t>采购代理机构指定账户，开标现场不接受任何形式的投标保证金。递交响应文件时投标保证金须已到账，以代理机构查询结果为准。投标保证金</w:t>
      </w:r>
      <w:r>
        <w:rPr>
          <w:rFonts w:hint="eastAsia" w:ascii="仿宋" w:hAnsi="仿宋" w:eastAsia="仿宋" w:cs="仿宋"/>
          <w:b/>
          <w:iCs/>
          <w:color w:val="000000" w:themeColor="text1"/>
          <w:sz w:val="24"/>
          <w:szCs w:val="24"/>
          <w:highlight w:val="none"/>
          <w:lang w:eastAsia="zh-CN"/>
          <w14:textFill>
            <w14:solidFill>
              <w14:schemeClr w14:val="tx1"/>
            </w14:solidFill>
          </w14:textFill>
        </w:rPr>
        <w:t>缴纳</w:t>
      </w:r>
      <w:r>
        <w:rPr>
          <w:rFonts w:hint="eastAsia" w:ascii="仿宋" w:hAnsi="仿宋" w:eastAsia="仿宋" w:cs="仿宋"/>
          <w:b/>
          <w:iCs/>
          <w:color w:val="000000" w:themeColor="text1"/>
          <w:sz w:val="24"/>
          <w:szCs w:val="24"/>
          <w:highlight w:val="none"/>
          <w14:textFill>
            <w14:solidFill>
              <w14:schemeClr w14:val="tx1"/>
            </w14:solidFill>
          </w14:textFill>
        </w:rPr>
        <w:t>凭据须按磋商文件第五部分《响应文件要求》格式提供。为了提高采购效率，节约社会交易成本与时间，我司希望购买了采购文件而决定不参加本次报价的供应商，在响应文件递交截止时间的3日前，按《磋商邀请》中的联系方式，以书面形式告知采购代理机构。对您的支持与配合，谨此致谢！</w:t>
      </w:r>
    </w:p>
    <w:p>
      <w:pPr>
        <w:pStyle w:val="8"/>
        <w:numPr>
          <w:ilvl w:val="0"/>
          <w:numId w:val="7"/>
        </w:numPr>
        <w:spacing w:line="360" w:lineRule="auto"/>
        <w:rPr>
          <w:rFonts w:hint="eastAsia" w:ascii="仿宋" w:hAnsi="仿宋" w:eastAsia="仿宋" w:cs="仿宋"/>
          <w:b/>
          <w:iCs/>
          <w:color w:val="000000" w:themeColor="text1"/>
          <w:sz w:val="24"/>
          <w:szCs w:val="24"/>
          <w:highlight w:val="none"/>
          <w:lang w:val="en-US" w:eastAsia="zh-CN" w:bidi="ar-SA"/>
          <w14:textFill>
            <w14:solidFill>
              <w14:schemeClr w14:val="tx1"/>
            </w14:solidFill>
          </w14:textFill>
        </w:rPr>
      </w:pPr>
      <w:r>
        <w:rPr>
          <w:rFonts w:hint="eastAsia" w:ascii="仿宋" w:hAnsi="仿宋" w:eastAsia="仿宋" w:cs="仿宋"/>
          <w:iCs/>
          <w:color w:val="000000" w:themeColor="text1"/>
          <w:sz w:val="24"/>
          <w:szCs w:val="24"/>
          <w:highlight w:val="none"/>
          <w:lang w:val="en-US" w:eastAsia="zh-CN" w:bidi="ar-SA"/>
          <w14:textFill>
            <w14:solidFill>
              <w14:schemeClr w14:val="tx1"/>
            </w14:solidFill>
          </w14:textFill>
        </w:rPr>
        <w:t>退保证金需要</w:t>
      </w:r>
      <w:r>
        <w:rPr>
          <w:rFonts w:hint="eastAsia" w:ascii="仿宋" w:hAnsi="仿宋" w:eastAsia="仿宋" w:cs="仿宋"/>
          <w:b/>
          <w:iCs/>
          <w:color w:val="000000" w:themeColor="text1"/>
          <w:sz w:val="24"/>
          <w:szCs w:val="24"/>
          <w:highlight w:val="none"/>
          <w:lang w:val="en-US" w:eastAsia="zh-CN" w:bidi="ar-SA"/>
          <w14:textFill>
            <w14:solidFill>
              <w14:schemeClr w14:val="tx1"/>
            </w14:solidFill>
          </w14:textFill>
        </w:rPr>
        <w:t>：投标保证金回执单、法定代表人证明书（原件）及法定代表人身份证（原件），委托代理人投标需携带法定代表人授权委托书（原件）及委托代理人身份证（原件）、开户许可证、收据。</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5.4</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未成交供应商的投标保证金，将按本须知规定的报价有效期满后三十（30）天内或在发出《成交结果通知书》之日起5个工作日内原额退还（以先到的时间为准，在此时限内退回的保证金不计利息）。</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成交供应商的投标保证金的退还必须同时满足以下要求：</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成交供应商按本须知的规定签订了成交合同；</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成交供应商按本须知的规定支付了成交服务费。</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下列任何一种情况发生时，投标保证金将被没收：</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供应商在磋商文件规定的报价有效期内撤回其报价；</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成交供应商在规定期限内未能根据报价须知的规定签订合同。</w:t>
      </w:r>
    </w:p>
    <w:p>
      <w:pPr>
        <w:tabs>
          <w:tab w:val="left" w:pos="360"/>
          <w:tab w:val="left" w:pos="735"/>
        </w:tabs>
        <w:snapToGrid w:val="0"/>
        <w:spacing w:before="60" w:line="360" w:lineRule="auto"/>
        <w:ind w:leftChars="-1" w:hanging="2"/>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6     响应文件的递交和撤回</w:t>
      </w:r>
    </w:p>
    <w:p>
      <w:pPr>
        <w:widowControl w:val="0"/>
        <w:numPr>
          <w:ilvl w:val="0"/>
          <w:numId w:val="8"/>
        </w:num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供应商应按竞争性磋商邀请函中规定的时间和地点于报价递交截止时间之前递交响应文件。迟于报价递交截止时间递交的响应文件将被视为无效。</w:t>
      </w:r>
    </w:p>
    <w:p>
      <w:pPr>
        <w:widowControl w:val="0"/>
        <w:numPr>
          <w:ilvl w:val="1"/>
          <w:numId w:val="8"/>
        </w:numPr>
        <w:tabs>
          <w:tab w:val="left" w:pos="90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磋商期间应磋商小组的要求所做的报价修改和最后报价应在磋商小组规定的时间内递交；</w:t>
      </w:r>
    </w:p>
    <w:p>
      <w:pPr>
        <w:widowControl w:val="0"/>
        <w:snapToGrid w:val="0"/>
        <w:spacing w:before="60" w:line="360" w:lineRule="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（2）  在报价递交截止时间前供应商可以撤回报价，但在报价递交截止时间之后不允许撤回报价。</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四、磋商及评审</w:t>
      </w:r>
    </w:p>
    <w:p>
      <w:pPr>
        <w:tabs>
          <w:tab w:val="left" w:pos="735"/>
        </w:tabs>
        <w:adjustRightInd w:val="0"/>
        <w:snapToGrid w:val="0"/>
        <w:spacing w:before="60" w:line="360" w:lineRule="auto"/>
        <w:ind w:left="957" w:right="31" w:rightChars="15" w:hanging="957" w:hangingChars="397"/>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w: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b/>
          <w:color w:val="000000" w:themeColor="text1"/>
          <w:sz w:val="24"/>
          <w:szCs w:val="24"/>
          <w:highlight w:val="none"/>
          <w14:textFill>
            <w14:solidFill>
              <w14:schemeClr w14:val="tx1"/>
            </w14:solidFill>
          </w14:textFill>
        </w:rPr>
        <w:t>磋商小组</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本次采购依法组建磋商小组。磋商小组由3人或以上单数组成。</w:t>
      </w:r>
    </w:p>
    <w:p>
      <w:pPr>
        <w:tabs>
          <w:tab w:val="left" w:pos="720"/>
        </w:tabs>
        <w:adjustRightInd w:val="0"/>
        <w:snapToGrid w:val="0"/>
        <w:spacing w:before="60" w:line="360" w:lineRule="auto"/>
        <w:ind w:left="840" w:right="31" w:rightChars="15"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磋商小组在磋商及评审过程中出现意见不一致时，应遵循少数服从多数原则。</w:t>
      </w:r>
    </w:p>
    <w:p>
      <w:pPr>
        <w:tabs>
          <w:tab w:val="left" w:pos="720"/>
        </w:tabs>
        <w:adjustRightInd w:val="0"/>
        <w:snapToGrid w:val="0"/>
        <w:spacing w:before="60" w:line="360" w:lineRule="auto"/>
        <w:ind w:left="718" w:right="31" w:rightChars="15"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磋商小组依法根据磋商文件的规定与供应商进行磋商及对最终形成的响应文件和最终磋商结果进行详细评审,并据此推荐成交候选人。</w:t>
      </w:r>
    </w:p>
    <w:p>
      <w:pPr>
        <w:tabs>
          <w:tab w:val="left" w:pos="72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2  </w:t>
      </w:r>
      <w:r>
        <w:rPr>
          <w:rFonts w:hint="eastAsia" w:ascii="仿宋" w:hAnsi="仿宋" w:eastAsia="仿宋" w:cs="仿宋"/>
          <w:b/>
          <w:color w:val="000000" w:themeColor="text1"/>
          <w:spacing w:val="10"/>
          <w:sz w:val="24"/>
          <w:szCs w:val="24"/>
          <w:highlight w:val="none"/>
          <w14:textFill>
            <w14:solidFill>
              <w14:schemeClr w14:val="tx1"/>
            </w14:solidFill>
          </w14:textFill>
        </w:rPr>
        <w:t xml:space="preserve">  磋商程序</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磋商小组将以随机抽签的形式对在本须知规定的时间内递交响应文件的供应商进行磋商排序。</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在按磋商排序的顺序逐一与供应商分别就技术、商务和价格进行相同轮次（一个或多个回合）磋商，并形成磋商纪要文件。磋商目的在于澄清报价、明确需求，使所有供应商的响应具有可比性。在磋商中，磋商的任何一方不得透露与磋商有关的其它供应商的技术资料、报价和其它信息。</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磋商小组可以根据磋商文件和磋商情况实质性变动采购需求中的技术、服务要求以及合同草案条款，但不得变动磋商文件的其它内容。实质性变动的内容，须经采购人代表确认。对磋商文件作出的实质性变动是磋商文件的有效组成部分，磋商小组应当及时以书面形式同时通知所有参加磋商的供应商。</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最后报价：供应商应在磋商小组规定的时间内统一密封提交最后报价（最后报价时间视磋商进程由磋商小组决定）。</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磋商过程对用户需求（包括规格、数量和服务等涉及价格变动因素）没有</w:t>
      </w:r>
      <w:r>
        <w:rPr>
          <w:rFonts w:hint="eastAsia" w:ascii="仿宋" w:hAnsi="仿宋" w:eastAsia="仿宋" w:cs="仿宋"/>
          <w:color w:val="000000" w:themeColor="text1"/>
          <w:sz w:val="24"/>
          <w:szCs w:val="24"/>
          <w:highlight w:val="none"/>
          <w:lang w:eastAsia="zh-CN"/>
          <w14:textFill>
            <w14:solidFill>
              <w14:schemeClr w14:val="tx1"/>
            </w14:solidFill>
          </w14:textFill>
        </w:rPr>
        <w:t>做出</w:t>
      </w:r>
      <w:r>
        <w:rPr>
          <w:rFonts w:hint="eastAsia" w:ascii="仿宋" w:hAnsi="仿宋" w:eastAsia="仿宋" w:cs="仿宋"/>
          <w:color w:val="000000" w:themeColor="text1"/>
          <w:sz w:val="24"/>
          <w:szCs w:val="24"/>
          <w:highlight w:val="none"/>
          <w14:textFill>
            <w14:solidFill>
              <w14:schemeClr w14:val="tx1"/>
            </w14:solidFill>
          </w14:textFill>
        </w:rPr>
        <w:t>改变的，供应商的后次报价不得高于其前次报价；</w:t>
      </w:r>
    </w:p>
    <w:p>
      <w:p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若供应商的后次报价高于其前次报价的，磋商小组有权确定其报价为无效报价；</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磋商的内容包括但不限于：商务条件、技术规格、产品质量、验收、合同执行计划、相关服务、质量保证、采购人配合等内容。</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磋商的时间及地点(见磋商邀请函)。</w:t>
      </w:r>
    </w:p>
    <w:p>
      <w:pPr>
        <w:widowControl w:val="0"/>
        <w:numPr>
          <w:ilvl w:val="0"/>
          <w:numId w:val="9"/>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在磋商过程中，供应商提交的响应文件、澄清文件、最后响应文件等，由供应商</w:t>
      </w:r>
      <w:r>
        <w:rPr>
          <w:rFonts w:hint="eastAsia" w:ascii="仿宋" w:hAnsi="仿宋" w:eastAsia="仿宋" w:cs="仿宋"/>
          <w:color w:val="000000" w:themeColor="text1"/>
          <w:sz w:val="24"/>
          <w:szCs w:val="24"/>
          <w:highlight w:val="none"/>
          <w:lang w:eastAsia="zh-CN"/>
          <w14:textFill>
            <w14:solidFill>
              <w14:schemeClr w14:val="tx1"/>
            </w14:solidFill>
          </w14:textFill>
        </w:rPr>
        <w:t>法定代表人</w:t>
      </w:r>
      <w:r>
        <w:rPr>
          <w:rFonts w:hint="eastAsia" w:ascii="仿宋" w:hAnsi="仿宋" w:eastAsia="仿宋" w:cs="仿宋"/>
          <w:color w:val="000000" w:themeColor="text1"/>
          <w:sz w:val="24"/>
          <w:szCs w:val="24"/>
          <w:highlight w:val="none"/>
          <w14:textFill>
            <w14:solidFill>
              <w14:schemeClr w14:val="tx1"/>
            </w14:solidFill>
          </w14:textFill>
        </w:rPr>
        <w:t>或授权代表当场签字后生效，供应商应受其约束。</w:t>
      </w:r>
    </w:p>
    <w:p>
      <w:pPr>
        <w:tabs>
          <w:tab w:val="left" w:pos="840"/>
        </w:tabs>
        <w:snapToGrid w:val="0"/>
        <w:spacing w:before="60" w:line="360" w:lineRule="auto"/>
        <w:ind w:right="420" w:rightChars="200"/>
        <w:outlineLvl w:val="1"/>
        <w:rPr>
          <w:rFonts w:hint="eastAsia" w:ascii="仿宋" w:hAnsi="仿宋" w:eastAsia="仿宋" w:cs="仿宋"/>
          <w:b/>
          <w:color w:val="000000" w:themeColor="text1"/>
          <w:spacing w:val="10"/>
          <w:sz w:val="24"/>
          <w:szCs w:val="24"/>
          <w:highlight w:val="none"/>
          <w14:textFill>
            <w14:solidFill>
              <w14:schemeClr w14:val="tx1"/>
            </w14:solidFill>
          </w14:textFill>
        </w:rPr>
      </w:pPr>
      <w:r>
        <w:rPr>
          <w:rFonts w:hint="eastAsia" w:ascii="仿宋" w:hAnsi="仿宋" w:eastAsia="仿宋" w:cs="仿宋"/>
          <w:b/>
          <w:color w:val="000000" w:themeColor="text1"/>
          <w:spacing w:val="10"/>
          <w:sz w:val="24"/>
          <w:szCs w:val="24"/>
          <w:highlight w:val="none"/>
          <w14:textFill>
            <w14:solidFill>
              <w14:schemeClr w14:val="tx1"/>
            </w14:solidFill>
          </w14:textFill>
        </w:rPr>
        <w:t>3    评审</w:t>
      </w:r>
    </w:p>
    <w:p>
      <w:pPr>
        <w:widowControl w:val="0"/>
        <w:numPr>
          <w:ilvl w:val="0"/>
          <w:numId w:val="10"/>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磋商小组将只对确定为实质上响应磋商文件要求的报价、澄清和最后报价等内容进行详细评审。</w:t>
      </w:r>
    </w:p>
    <w:p>
      <w:pPr>
        <w:widowControl w:val="0"/>
        <w:numPr>
          <w:ilvl w:val="0"/>
          <w:numId w:val="10"/>
        </w:numPr>
        <w:tabs>
          <w:tab w:val="left" w:pos="720"/>
          <w:tab w:val="clear" w:pos="481"/>
        </w:tabs>
        <w:snapToGrid w:val="0"/>
        <w:spacing w:before="60" w:line="360" w:lineRule="auto"/>
        <w:ind w:hanging="48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实质上没有响应磋商文件要求的响应文件将被视为无效报价。</w:t>
      </w:r>
    </w:p>
    <w:p>
      <w:pPr>
        <w:widowControl w:val="0"/>
        <w:numPr>
          <w:ilvl w:val="0"/>
          <w:numId w:val="10"/>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磋商小组将按磋商文件规定的原则进行评审。</w:t>
      </w:r>
    </w:p>
    <w:p>
      <w:pPr>
        <w:snapToGrid w:val="0"/>
        <w:spacing w:before="60" w:line="360" w:lineRule="auto"/>
        <w:outlineLvl w:val="1"/>
        <w:rPr>
          <w:rFonts w:hint="eastAsia" w:ascii="仿宋" w:hAnsi="仿宋" w:eastAsia="仿宋" w:cs="仿宋"/>
          <w:b/>
          <w:bCs/>
          <w:color w:val="000000" w:themeColor="text1"/>
          <w:sz w:val="24"/>
          <w:szCs w:val="24"/>
          <w:highlight w:val="none"/>
          <w14:textFill>
            <w14:solidFill>
              <w14:schemeClr w14:val="tx1"/>
            </w14:solidFill>
          </w14:textFill>
        </w:rPr>
      </w:pPr>
      <w:bookmarkStart w:id="2" w:name="_Toc61460075"/>
      <w:r>
        <w:rPr>
          <w:rFonts w:hint="eastAsia" w:ascii="仿宋" w:hAnsi="仿宋" w:eastAsia="仿宋" w:cs="仿宋"/>
          <w:b/>
          <w:bCs/>
          <w:color w:val="000000" w:themeColor="text1"/>
          <w:sz w:val="24"/>
          <w:szCs w:val="24"/>
          <w:highlight w:val="none"/>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评审办法</w:t>
      </w:r>
    </w:p>
    <w:p>
      <w:pPr>
        <w:tabs>
          <w:tab w:val="left" w:pos="720"/>
        </w:tabs>
        <w:snapToGrid w:val="0"/>
        <w:spacing w:before="60" w:line="360" w:lineRule="auto"/>
        <w:ind w:right="-105" w:right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评审原则</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本次采购采用竞争性磋商方式进行，评审由依法组成的磋商小组负责完成。评审基本原则：评审工作应依据国家部委和地方采购的有关规定，遵循“公开、公平、公正、择优、诚实信用”的原则。</w:t>
      </w:r>
    </w:p>
    <w:p>
      <w:pPr>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本次竞争性磋商采购的评审采用</w:t>
      </w:r>
      <w:r>
        <w:rPr>
          <w:rFonts w:hint="eastAsia" w:ascii="仿宋" w:hAnsi="仿宋" w:eastAsia="仿宋" w:cs="仿宋"/>
          <w:b/>
          <w:color w:val="000000" w:themeColor="text1"/>
          <w:sz w:val="24"/>
          <w:szCs w:val="24"/>
          <w:highlight w:val="none"/>
          <w14:textFill>
            <w14:solidFill>
              <w14:schemeClr w14:val="tx1"/>
            </w14:solidFill>
          </w14:textFill>
        </w:rPr>
        <w:t>综合评分法</w:t>
      </w:r>
      <w:r>
        <w:rPr>
          <w:rFonts w:hint="eastAsia" w:ascii="仿宋" w:hAnsi="仿宋" w:eastAsia="仿宋" w:cs="仿宋"/>
          <w:color w:val="000000" w:themeColor="text1"/>
          <w:sz w:val="24"/>
          <w:szCs w:val="24"/>
          <w:highlight w:val="none"/>
          <w14:textFill>
            <w14:solidFill>
              <w14:schemeClr w14:val="tx1"/>
            </w14:solidFill>
          </w14:textFill>
        </w:rPr>
        <w:t>。本次评审是以磋商文件，最终形成的响应文件和磋商承诺文件和最后报价为依据，在需求明确的基础上，按公正、科学、客观、平等竞争的要求，推荐技术先进、报价合理、经验丰富、信誉良好、售后服务好及综合实力强的成交供应商。</w:t>
      </w:r>
    </w:p>
    <w:p>
      <w:pPr>
        <w:widowControl w:val="0"/>
        <w:snapToGrid w:val="0"/>
        <w:spacing w:before="60" w:line="360" w:lineRule="auto"/>
        <w:ind w:left="735" w:hanging="840" w:hangingChars="3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参加磋商工作的所有人员应遵守国家部委和地方采购的有关规定，严格保密，确保竞争性磋商工作公平、公正，任何单位和个人不得无理干预磋商小组的正常工作。</w:t>
      </w:r>
    </w:p>
    <w:p>
      <w:pPr>
        <w:snapToGrid w:val="0"/>
        <w:spacing w:before="60" w:line="360" w:lineRule="auto"/>
        <w:ind w:left="718" w:hanging="820" w:hangingChars="3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4.2</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磋商评审程序和评审方法</w:t>
      </w:r>
    </w:p>
    <w:p>
      <w:pPr>
        <w:numPr>
          <w:ilvl w:val="0"/>
          <w:numId w:val="11"/>
        </w:num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评标委员会根据“投标文件初步评审表”对投标文件的资格性和符合性进行评审，不能通过</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资格性审查的供应商，无需进行符合性审查，只有对“投标文件初步评审表”所列各项作出</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实质性响应的投标文件才能通过初步评审。对是否实质性响应磋商文件的要求有争议的投</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标，评标委员会将以记名方式表决，得票超过半数的供应商有资格进入下一阶段的评审，否</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则将被淘汰。</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按照磋商评审程序的规定，磋商小组首先阅读供应商的响应文件，据此与供应商进行技术、商务、价格的澄清、修正和磋商，磋商中发现供应商的响应文件资料不齐或欠缺时,准许其在规定时间内补足相应资料，如不能补足，该报价则将会由于不符合磋商的基本要求而被拒绝。本项目磋商如无特殊情况，磋商小组要求供应商进行二轮报价，即在磋商后的第二次报价为最后报价。根据财库[2015]124号，在采购过程中符合要求的供应商只有2家的，竞争性磋商采购活动继续进行，即提交最后报价的供应商可以为2家。</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综合评分及其统计：按照评标程序、评分标准以及权重分配的规定，磋商小组成员分别就各个供应商的服务状况、商务状况及其对磋商文件要求的响应情况进行评议和比较，评出其</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评分。各评委的评分的算术平均值即为该供应商的</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然后，评出磋商报价得分。将技术评分、商务评分和价格评分别乘以权重再相加得出综合得分，综合得分按由高到低顺序排列。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widowControl w:val="0"/>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（4）  </w:t>
      </w:r>
      <w:r>
        <w:rPr>
          <w:rFonts w:hint="eastAsia" w:ascii="仿宋" w:hAnsi="仿宋" w:eastAsia="仿宋" w:cs="仿宋"/>
          <w:color w:val="000000" w:themeColor="text1"/>
          <w:sz w:val="24"/>
          <w:szCs w:val="24"/>
          <w:highlight w:val="none"/>
          <w:lang w:eastAsia="zh-CN"/>
          <w14:textFill>
            <w14:solidFill>
              <w14:schemeClr w14:val="tx1"/>
            </w14:solidFill>
          </w14:textFill>
        </w:rPr>
        <w:t>服务</w:t>
      </w:r>
      <w:r>
        <w:rPr>
          <w:rFonts w:hint="eastAsia" w:ascii="仿宋" w:hAnsi="仿宋" w:eastAsia="仿宋" w:cs="仿宋"/>
          <w:color w:val="000000" w:themeColor="text1"/>
          <w:sz w:val="24"/>
          <w:szCs w:val="24"/>
          <w:highlight w:val="none"/>
          <w14:textFill>
            <w14:solidFill>
              <w14:schemeClr w14:val="tx1"/>
            </w14:solidFill>
          </w14:textFill>
        </w:rPr>
        <w:t>商务和价格的评审：</w:t>
      </w:r>
    </w:p>
    <w:p>
      <w:pPr>
        <w:tabs>
          <w:tab w:val="left" w:pos="360"/>
          <w:tab w:val="left" w:pos="1030"/>
        </w:tabs>
        <w:snapToGrid w:val="0"/>
        <w:spacing w:before="60" w:line="360" w:lineRule="auto"/>
        <w:ind w:left="828" w:leftChars="200" w:hanging="408" w:hangingChars="1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评分各单项所占权重详见附表《</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打分表》；（按四舍五入原则取值并保留小数点后两位有效数字。）</w:t>
      </w: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分；其它供应商的价格分统一按照下列公式计算：磋商报价得分=磋商基准价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最后磋商报价×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p>
    <w:p>
      <w:pPr>
        <w:widowControl w:val="0"/>
        <w:snapToGrid w:val="0"/>
        <w:spacing w:before="60" w:line="360" w:lineRule="auto"/>
        <w:ind w:left="735" w:left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如此类推，算出所有供应商的价格评分。（按四舍五入原则取值并保留小数点后两位有效数字。）</w:t>
      </w:r>
    </w:p>
    <w:p>
      <w:pP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根据财政部、工业和信息化部印发的《政府采购促进中小企业发展暂行办法》（财库[2011]181号）的规定，对小型和微型企业产品的价格给予6%的扣除，用扣除后的价格参与评审；提供的服务中仅有部分小型和微型企业的，则按所提供小型和微型企业服务的价格予以扣除。</w:t>
      </w:r>
    </w:p>
    <w:p>
      <w:pPr>
        <w:spacing w:line="360" w:lineRule="auto"/>
        <w:ind w:left="780" w:leftChars="200"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2）《政府采购促进中小企业发展暂行办法》所指中小企业（含中型、小型、微型企业，下同）应当同时符合以下条件：</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1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①</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符合中小企业划分标准； </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 2 \* GB3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t>②</w: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 xml:space="preserve"> 提供本企业制造的货物、承担的项目或者服务，或者提供其他中小企业制造的货物。本项所称货物不包括使用大型企业注册商标的货物。中小企业划分标准以《工业和信息化部、国家统计局、国家发展和改革委员会、财政部关于印发中小企业划型标准规定的通知》（工信部联企业[2011]300号）规定的划分标准为准。</w:t>
      </w:r>
    </w:p>
    <w:p>
      <w:pPr>
        <w:widowControl w:val="0"/>
        <w:snapToGrid w:val="0"/>
        <w:spacing w:line="360" w:lineRule="auto"/>
        <w:ind w:left="795" w:leftChars="15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3）参加政府采购活动的中小企业应当提供《中小企业声明函》（格式见第五部分报价文件格式）。</w:t>
      </w:r>
    </w:p>
    <w:p>
      <w:pPr>
        <w:widowControl w:val="0"/>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4</w:t>
      </w:r>
      <w:r>
        <w:rPr>
          <w:rFonts w:hint="eastAsia" w:ascii="仿宋" w:hAnsi="仿宋" w:eastAsia="仿宋" w:cs="仿宋"/>
          <w:color w:val="000000" w:themeColor="text1"/>
          <w:sz w:val="24"/>
          <w:szCs w:val="24"/>
          <w:highlight w:val="none"/>
          <w14:textFill>
            <w14:solidFill>
              <w14:schemeClr w14:val="tx1"/>
            </w14:solidFill>
          </w14:textFill>
        </w:rPr>
        <w:t xml:space="preserve">） 监狱企业视同小型、微型企业，享受评审中价格扣除。 </w:t>
      </w:r>
    </w:p>
    <w:p>
      <w:pPr>
        <w:widowControl w:val="0"/>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 xml:space="preserve">）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tabs>
          <w:tab w:val="left" w:pos="180"/>
          <w:tab w:val="left" w:pos="720"/>
          <w:tab w:val="left" w:pos="900"/>
          <w:tab w:val="left" w:pos="1080"/>
        </w:tabs>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 xml:space="preserve">） 监狱企业参加政府采购活动时，应当提供由省级以上监狱管理局、戒毒管理局（含新疆生产建设兵团）出具的属于监狱企业的证明文件，否则不予认可。 </w:t>
      </w:r>
    </w:p>
    <w:p>
      <w:pPr>
        <w:tabs>
          <w:tab w:val="left" w:pos="180"/>
          <w:tab w:val="left" w:pos="720"/>
          <w:tab w:val="left" w:pos="900"/>
          <w:tab w:val="left" w:pos="1080"/>
        </w:tabs>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 xml:space="preserve">） 报价人同时为小型、微型企业和监狱企业的，评审中只享受一次价格扣除。不重复进行价格扣除。   </w:t>
      </w:r>
    </w:p>
    <w:p>
      <w:pPr>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（5） </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及价格权重分配</w:t>
      </w:r>
    </w:p>
    <w:tbl>
      <w:tblPr>
        <w:tblStyle w:val="32"/>
        <w:tblW w:w="841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04"/>
        <w:gridCol w:w="3156"/>
        <w:gridCol w:w="31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评分项目</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评分（F1）</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价格评分(F2)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04"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    重</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z w:val="24"/>
                <w:szCs w:val="24"/>
                <w:highlight w:val="none"/>
                <w14:textFill>
                  <w14:solidFill>
                    <w14:schemeClr w14:val="tx1"/>
                  </w14:solidFill>
                </w14:textFill>
              </w:rPr>
              <w:t>0%</w:t>
            </w:r>
          </w:p>
        </w:tc>
        <w:tc>
          <w:tcPr>
            <w:tcW w:w="3156" w:type="dxa"/>
            <w:vAlign w:val="center"/>
          </w:tcPr>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w:t>
            </w:r>
          </w:p>
        </w:tc>
      </w:tr>
    </w:tbl>
    <w:p>
      <w:pPr>
        <w:widowControl w:val="0"/>
        <w:tabs>
          <w:tab w:val="left" w:pos="540"/>
        </w:tabs>
        <w:spacing w:line="480" w:lineRule="auto"/>
        <w:ind w:firstLine="240" w:firstLineChars="1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评标总得分=F1＋F2</w:t>
      </w:r>
    </w:p>
    <w:p>
      <w:pPr>
        <w:snapToGrid w:val="0"/>
        <w:spacing w:before="60"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F1、F2分别为</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得分、价格得分</w:t>
      </w:r>
    </w:p>
    <w:p>
      <w:pPr>
        <w:tabs>
          <w:tab w:val="left" w:pos="720"/>
          <w:tab w:val="left" w:pos="4013"/>
        </w:tabs>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4.3</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推荐</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p>
    <w:p>
      <w:pPr>
        <w:widowControl w:val="0"/>
        <w:snapToGrid w:val="0"/>
        <w:spacing w:before="60" w:line="360" w:lineRule="auto"/>
        <w:ind w:left="735" w:hanging="840" w:hangingChars="35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磋商小组按综合得分由高到低顺序排列推荐成交候选人，综合得分相同的，按下列顺序比较确定：（1）小型或微型企业；（2）节能产品；（3）环保产品；（4）投标报价（由低到高）；（5）</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评分（由高到低）。综合得分和投标报价均相同的，按下列顺序比较确定：（1）小型或微型企业；（2）节能产品；（3）环保产品；（4）</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评分（由高到低）。综合得分最高的报价人为第一中标候选供应商，综合得分次高的报价人为第二中标候选供应商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以此类推。</w:t>
      </w:r>
    </w:p>
    <w:p>
      <w:pPr>
        <w:snapToGrid w:val="0"/>
        <w:spacing w:before="60" w:line="360" w:lineRule="auto"/>
        <w:ind w:left="54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4.4</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评审报告</w:t>
      </w:r>
    </w:p>
    <w:p>
      <w:pPr>
        <w:snapToGrid w:val="0"/>
        <w:spacing w:before="60" w:line="360" w:lineRule="auto"/>
        <w:ind w:left="540" w:left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磋商小组依据评审结果出具评审报告。</w:t>
      </w:r>
    </w:p>
    <w:p>
      <w:pPr>
        <w:tabs>
          <w:tab w:val="left" w:pos="540"/>
        </w:tabs>
        <w:snapToGrid w:val="0"/>
        <w:spacing w:before="60"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4.5</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磋商、评审过程的保密性。</w:t>
      </w:r>
    </w:p>
    <w:p>
      <w:pPr>
        <w:widowControl w:val="0"/>
        <w:numPr>
          <w:ilvl w:val="0"/>
          <w:numId w:val="12"/>
        </w:numP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接受报价后，直至成交供应商与买方签订合同后止，凡与磋商、审查、澄清、评价、比较、确定成交人意见有关的内容，任何人均不得向供应商及与磋商评审无关的其它人透露。</w:t>
      </w:r>
    </w:p>
    <w:p>
      <w:pPr>
        <w:widowControl w:val="0"/>
        <w:numPr>
          <w:ilvl w:val="0"/>
          <w:numId w:val="12"/>
        </w:numPr>
        <w:tabs>
          <w:tab w:val="left" w:pos="540"/>
          <w:tab w:val="clear" w:pos="481"/>
        </w:tabs>
        <w:snapToGrid w:val="0"/>
        <w:spacing w:before="60" w:line="360" w:lineRule="auto"/>
        <w:ind w:left="540" w:hanging="54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报价递交截止时间起到确定成交供应商日止，供应商不得与参加磋商、评审的有关人员私下接触。在磋商评审过程中，如果供应商试图在响应文件审查、澄清、比较及推荐成交供应商方面向参与磋商评审的有关人员和采购人施加任何影响，其报价将被拒绝。</w:t>
      </w:r>
    </w:p>
    <w:p>
      <w:pP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4.6</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接受和拒绝任何或所有报价的权利。</w:t>
      </w:r>
    </w:p>
    <w:p>
      <w:pPr>
        <w:widowControl w:val="0"/>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代理采购机构和采购人保留在成交之前任何时候接受或拒绝任何报价，以及宣布竞争性磋商无效或拒绝所有报价的</w:t>
      </w:r>
      <w:r>
        <w:rPr>
          <w:rFonts w:hint="eastAsia" w:ascii="仿宋" w:hAnsi="仿宋" w:eastAsia="仿宋" w:cs="仿宋"/>
          <w:color w:val="000000" w:themeColor="text1"/>
          <w:sz w:val="24"/>
          <w:szCs w:val="24"/>
          <w:highlight w:val="none"/>
          <w:lang w:eastAsia="zh-CN"/>
          <w14:textFill>
            <w14:solidFill>
              <w14:schemeClr w14:val="tx1"/>
            </w14:solidFill>
          </w14:textFill>
        </w:rPr>
        <w:t>权利</w:t>
      </w:r>
      <w:r>
        <w:rPr>
          <w:rFonts w:hint="eastAsia" w:ascii="仿宋" w:hAnsi="仿宋" w:eastAsia="仿宋" w:cs="仿宋"/>
          <w:color w:val="000000" w:themeColor="text1"/>
          <w:sz w:val="24"/>
          <w:szCs w:val="24"/>
          <w:highlight w:val="none"/>
          <w14:textFill>
            <w14:solidFill>
              <w14:schemeClr w14:val="tx1"/>
            </w14:solidFill>
          </w14:textFill>
        </w:rPr>
        <w:t>，对受影响的供应商不承担任何责任。</w:t>
      </w:r>
    </w:p>
    <w:p>
      <w:pPr>
        <w:snapToGrid w:val="0"/>
        <w:spacing w:before="60" w:line="360" w:lineRule="auto"/>
        <w:ind w:left="540" w:right="-105" w:rightChars="-5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4.7</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变更服务方案的权利。</w:t>
      </w:r>
    </w:p>
    <w:p>
      <w:pPr>
        <w:widowControl w:val="0"/>
        <w:snapToGrid w:val="0"/>
        <w:spacing w:before="60" w:line="360" w:lineRule="auto"/>
        <w:ind w:left="525" w:leftChars="25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在竞争性磋商过程中，采购人有权变更服务方案或采购数量，如果供应商根据采购人提出的变更要求调整方案或价格后未能获得合同，采购人和采购代理机构不承担任何责任。</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五、</w:t>
      </w:r>
      <w:r>
        <w:rPr>
          <w:rFonts w:hint="eastAsia" w:ascii="仿宋" w:hAnsi="仿宋" w:eastAsia="仿宋" w:cs="仿宋"/>
          <w:bCs w:val="0"/>
          <w:color w:val="000000" w:themeColor="text1"/>
          <w:kern w:val="2"/>
          <w:sz w:val="24"/>
          <w:szCs w:val="24"/>
          <w:highlight w:val="none"/>
          <w:lang w:eastAsia="zh-CN"/>
          <w14:textFill>
            <w14:solidFill>
              <w14:schemeClr w14:val="tx1"/>
            </w14:solidFill>
          </w14:textFill>
        </w:rPr>
        <w:t>成交供应商</w:t>
      </w:r>
      <w:r>
        <w:rPr>
          <w:rFonts w:hint="eastAsia" w:ascii="仿宋" w:hAnsi="仿宋" w:eastAsia="仿宋" w:cs="仿宋"/>
          <w:bCs w:val="0"/>
          <w:color w:val="000000" w:themeColor="text1"/>
          <w:kern w:val="2"/>
          <w:sz w:val="24"/>
          <w:szCs w:val="24"/>
          <w:highlight w:val="none"/>
          <w14:textFill>
            <w14:solidFill>
              <w14:schemeClr w14:val="tx1"/>
            </w14:solidFill>
          </w14:textFill>
        </w:rPr>
        <w:t>及服务费</w:t>
      </w:r>
      <w:bookmarkEnd w:id="2"/>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5.1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供应商的确定</w:t>
      </w:r>
    </w:p>
    <w:p>
      <w:pPr>
        <w:snapToGrid w:val="0"/>
        <w:spacing w:before="60" w:line="360" w:lineRule="auto"/>
        <w:ind w:left="614" w:leftChars="-1" w:right="420" w:rightChars="200" w:hanging="616" w:hangingChars="257"/>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根据磋商小组评审结果，采购人依法确定</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5.2   </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采购</w:t>
      </w:r>
      <w:r>
        <w:rPr>
          <w:rFonts w:hint="eastAsia" w:ascii="仿宋" w:hAnsi="仿宋" w:eastAsia="仿宋" w:cs="仿宋"/>
          <w:b/>
          <w:bCs/>
          <w:color w:val="000000" w:themeColor="text1"/>
          <w:sz w:val="24"/>
          <w:szCs w:val="24"/>
          <w:highlight w:val="none"/>
          <w14:textFill>
            <w14:solidFill>
              <w14:schemeClr w14:val="tx1"/>
            </w14:solidFill>
          </w14:textFill>
        </w:rPr>
        <w:t>结果公告</w:t>
      </w:r>
    </w:p>
    <w:p>
      <w:pPr>
        <w:snapToGrid w:val="0"/>
        <w:spacing w:before="60" w:line="360" w:lineRule="auto"/>
        <w:ind w:left="567" w:right="31" w:rightChars="15" w:hanging="648" w:hangingChars="2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采购代理机构将在</w:t>
      </w:r>
      <w:r>
        <w:rPr>
          <w:rFonts w:hint="eastAsia" w:ascii="仿宋" w:hAnsi="仿宋" w:eastAsia="仿宋" w:cs="仿宋"/>
          <w:color w:val="000000" w:themeColor="text1"/>
          <w:sz w:val="24"/>
          <w:szCs w:val="24"/>
          <w:highlight w:val="none"/>
          <w:lang w:eastAsia="zh-CN"/>
          <w14:textFill>
            <w14:solidFill>
              <w14:schemeClr w14:val="tx1"/>
            </w14:solidFill>
          </w14:textFill>
        </w:rPr>
        <w:t>新疆</w:t>
      </w:r>
      <w:r>
        <w:rPr>
          <w:rFonts w:hint="eastAsia" w:ascii="仿宋" w:hAnsi="仿宋" w:eastAsia="仿宋" w:cs="仿宋"/>
          <w:color w:val="000000" w:themeColor="text1"/>
          <w:sz w:val="24"/>
          <w:szCs w:val="24"/>
          <w:highlight w:val="none"/>
          <w14:textFill>
            <w14:solidFill>
              <w14:schemeClr w14:val="tx1"/>
            </w14:solidFill>
          </w14:textFill>
        </w:rPr>
        <w:t>政府采购网发布公告，公告内容包括磋商项目名称、</w:t>
      </w:r>
      <w:r>
        <w:rPr>
          <w:rFonts w:hint="eastAsia" w:ascii="仿宋" w:hAnsi="仿宋" w:eastAsia="仿宋" w:cs="仿宋"/>
          <w:color w:val="000000" w:themeColor="text1"/>
          <w:sz w:val="24"/>
          <w:szCs w:val="24"/>
          <w:highlight w:val="none"/>
          <w:lang w:eastAsia="zh-CN"/>
          <w14:textFill>
            <w14:solidFill>
              <w14:schemeClr w14:val="tx1"/>
            </w14:solidFill>
          </w14:textFill>
        </w:rPr>
        <w:t>成交供应商</w:t>
      </w:r>
      <w:r>
        <w:rPr>
          <w:rFonts w:hint="eastAsia" w:ascii="仿宋" w:hAnsi="仿宋" w:eastAsia="仿宋" w:cs="仿宋"/>
          <w:color w:val="000000" w:themeColor="text1"/>
          <w:sz w:val="24"/>
          <w:szCs w:val="24"/>
          <w:highlight w:val="none"/>
          <w14:textFill>
            <w14:solidFill>
              <w14:schemeClr w14:val="tx1"/>
            </w14:solidFill>
          </w14:textFill>
        </w:rPr>
        <w:t>名单、采购人名称和电话。</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5.3   质疑和投诉</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供应商认为磋商文件、采购过程和中标结果使自己的权益受到损害的，可以在知道或应当知道其权益受到损害之日起七个工作日内，现场以书面形式向采购人或采购代理机构提出质疑。供应商必须在法定质疑期内一次性提出针对同一采购程序环节的质疑。</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质疑书必须由供应商法定代表人签署本人姓名并加盖单位公章，质疑书由参加本采购项目的全权代表签署本人姓名，须附有法定代表人的授权委托书（授权委托书须载明委托的具体权限和事项）。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质疑人提交质疑书为一式三份，主要内容须包括：（1）质疑人全称、地址、邮政编码等；（2）被质疑采购项目的名称和编号；（3）被质疑人及与质疑事项有关的当事人的自然人姓名或者法人、其它组织的名称；（4）质疑事项所依据的具体事实和理由、相关证据材料以及明确的请求；（5）有效联系人和联系电话；（6）提起质疑的日期。</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（4）  质疑文件提交方式：由自然人本人或法定代表人或者营业执照等注册登记证书上的负责人携带营业执照等注册登记证书原件、质疑函原件及身份证明原件到现场提交[自然人本人或法定代表人或者负责人不能到达现场的，可以委托他人到现场代交，但必须出具营业执照等注册登记证书原件、质疑函原件、法人资格证明书原件及授权委托书原件，明确委托事宜。同时被委托人须携带身份证明原件及合法有效的工作证明原件（指在委托人单位任职的第三方证明材料）]。 </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  质疑处理根据“谁主张、谁举证”的原则，对于采购代理机构对有关质疑事项不具有法定调查、认定权限的，质疑人应当依法申请具有法定职权的部门查清、认定，并将相关结果提供给采购代理机构；质疑事项属于有关法律、法规和规章规定处于保密阶段的事项，质疑人须提供信息来源或有效证据，否则认定为无效质疑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  采购代理机构处理质疑事项原则上采取书面审查的办法。采购代理机构认为有必要时，可以进行调查取证，也可以组织质疑人和被质疑人当面进行质证，对采购代理机构进行调查的质疑事项，质疑人、被质疑人等应当如实反映情况，并提供采购代理机构所需要的相关材料。</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  质疑人拒绝配合政府代理机构依法进行调查的，按自动撤回质疑处理；被质疑人在规定时限内，无正当理由未提交相关证据和其它有关材料的，视同放弃说明权利，认可质疑事项。</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  质疑人已经参与了本采购项目的谈判活动，又对磋商文件内容提出质疑的，采购代理机构可视为质疑已超过有效期，将依法不予受理。</w:t>
      </w:r>
    </w:p>
    <w:p>
      <w:pPr>
        <w:tabs>
          <w:tab w:val="left" w:pos="735"/>
        </w:tabs>
        <w:snapToGrid w:val="0"/>
        <w:spacing w:before="60" w:line="336" w:lineRule="auto"/>
        <w:ind w:left="735" w:right="420" w:rightChars="20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  质疑人必须对质疑或投诉内容的真实性承担法律责任。捏造事实或虚假及恶意质疑的，采购代理机构可提请同级采购监管部门将其列入不良记录名单，在一至三年内禁止参加采购活动，并将处理决定在相关媒体上公布。</w:t>
      </w:r>
    </w:p>
    <w:p>
      <w:pPr>
        <w:tabs>
          <w:tab w:val="left" w:pos="540"/>
        </w:tabs>
        <w:snapToGrid w:val="0"/>
        <w:spacing w:before="60" w:line="336" w:lineRule="auto"/>
        <w:ind w:left="851" w:leftChars="-85" w:hanging="1029" w:hangingChars="42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供应商对评审结果进行质疑或投诉的，可根据有关法规的规定，向相关部门书面提出，但需对质疑或投诉内容的真实性承担责任。</w:t>
      </w:r>
    </w:p>
    <w:p>
      <w:pPr>
        <w:widowControl w:val="0"/>
        <w:tabs>
          <w:tab w:val="left" w:pos="720"/>
        </w:tabs>
        <w:snapToGrid w:val="0"/>
        <w:spacing w:before="60" w:line="336"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 采购人或采购代理机构应在收到供应商书面质疑后7个工作日内，对质疑内容作出答复。</w:t>
      </w:r>
    </w:p>
    <w:p>
      <w:pPr>
        <w:tabs>
          <w:tab w:val="left" w:pos="540"/>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采购代理机构：新疆晓君招标有限公司</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  址：</w:t>
      </w:r>
      <w:r>
        <w:rPr>
          <w:rFonts w:hint="eastAsia" w:ascii="仿宋" w:hAnsi="仿宋" w:eastAsia="仿宋" w:cs="仿宋"/>
          <w:color w:val="000000" w:themeColor="text1"/>
          <w:sz w:val="24"/>
          <w:szCs w:val="24"/>
          <w:highlight w:val="none"/>
          <w:lang w:eastAsia="zh-CN"/>
          <w14:textFill>
            <w14:solidFill>
              <w14:schemeClr w14:val="tx1"/>
            </w14:solidFill>
          </w14:textFill>
        </w:rPr>
        <w:t>新疆和田市阿恰勒西路马热甫3巷122号</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话：0991-3198448</w:t>
      </w:r>
    </w:p>
    <w:p>
      <w:pPr>
        <w:tabs>
          <w:tab w:val="left" w:pos="735"/>
        </w:tabs>
        <w:snapToGrid w:val="0"/>
        <w:spacing w:before="60" w:line="336" w:lineRule="auto"/>
        <w:ind w:firstLine="960" w:firstLineChars="4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  编：83000</w:t>
      </w:r>
      <w:r>
        <w:rPr>
          <w:rFonts w:hint="eastAsia" w:ascii="仿宋" w:hAnsi="仿宋" w:eastAsia="仿宋" w:cs="仿宋"/>
          <w:color w:val="000000" w:themeColor="text1"/>
          <w:sz w:val="24"/>
          <w:szCs w:val="24"/>
          <w:highlight w:val="none"/>
          <w:lang w:val="en-US" w:eastAsia="zh-CN"/>
          <w14:textFill>
            <w14:solidFill>
              <w14:schemeClr w14:val="tx1"/>
            </w14:solidFill>
          </w14:textFill>
        </w:rPr>
        <w:t>0</w:t>
      </w:r>
    </w:p>
    <w:p>
      <w:pPr>
        <w:tabs>
          <w:tab w:val="left" w:pos="540"/>
        </w:tabs>
        <w:snapToGrid w:val="0"/>
        <w:spacing w:before="60" w:line="336"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联系人：杨先生</w:t>
      </w:r>
    </w:p>
    <w:p>
      <w:pPr>
        <w:spacing w:line="480" w:lineRule="auto"/>
        <w:ind w:firstLine="964" w:firstLine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附：《质疑函》范本格式</w:t>
      </w:r>
    </w:p>
    <w:tbl>
      <w:tblPr>
        <w:tblStyle w:val="3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287" w:type="dxa"/>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质疑函范本</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一、质疑供应商基本信息</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质疑供应商：____________________________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联系电话：________________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邮   编：________________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二、质疑项目基本情况</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质疑项目的名称：________________________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质疑项目的编号：</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包   号：________________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采购人名称：____________________________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询价文件获取日期：______________________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三、质疑事项具体内容</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质疑事项1                                        </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质疑事项2</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事实依据：____________________________________________________________________________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top w:val="single" w:color="auto" w:sz="12" w:space="0"/>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法律依据：____________________________________________________________________________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p>
          <w:p>
            <w:pPr>
              <w:widowControl w:val="0"/>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四、与质疑事项相关的质疑请求</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请求：________________________________________________________________________________</w:t>
            </w:r>
          </w:p>
          <w:p>
            <w:pPr>
              <w:widowControl w:val="0"/>
              <w:pBdr>
                <w:bottom w:val="single" w:color="auto" w:sz="12" w:space="0"/>
              </w:pBdr>
              <w:jc w:val="left"/>
              <w:rPr>
                <w:rFonts w:hint="eastAsia" w:ascii="仿宋" w:hAnsi="仿宋" w:eastAsia="仿宋" w:cs="仿宋"/>
                <w:color w:val="000000" w:themeColor="text1"/>
                <w:sz w:val="24"/>
                <w:szCs w:val="24"/>
                <w:highlight w:val="none"/>
                <w14:textFill>
                  <w14:solidFill>
                    <w14:schemeClr w14:val="tx1"/>
                  </w14:solidFill>
                </w14:textFill>
              </w:rPr>
            </w:pP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______________________________________________________________________________________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法定代表人签字(签章)：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授权代表签字(签章)：_________________</w:t>
            </w:r>
          </w:p>
          <w:p>
            <w:pPr>
              <w:widowControl w:val="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公章：___________________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日期：___________________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widowControl w:val="0"/>
              <w:jc w:val="both"/>
              <w:rPr>
                <w:rFonts w:hint="eastAsia" w:ascii="仿宋" w:hAnsi="仿宋" w:eastAsia="仿宋" w:cs="仿宋"/>
                <w:color w:val="000000" w:themeColor="text1"/>
                <w:sz w:val="24"/>
                <w:szCs w:val="24"/>
                <w:highlight w:val="none"/>
                <w:u w:val="single"/>
                <w14:textFill>
                  <w14:solidFill>
                    <w14:schemeClr w14:val="tx1"/>
                  </w14:solidFill>
                </w14:textFill>
              </w:rPr>
            </w:pPr>
          </w:p>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证据目录清单</w:t>
            </w:r>
          </w:p>
          <w:tbl>
            <w:tblPr>
              <w:tblStyle w:val="3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14"/>
              <w:gridCol w:w="2615"/>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证据名称</w:t>
                  </w: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证据来源</w:t>
                  </w: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2614"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5"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16" w:type="dxa"/>
                  <w:vAlign w:val="center"/>
                </w:tcPr>
                <w:p>
                  <w:pPr>
                    <w:widowControl w:val="0"/>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widowControl w:val="0"/>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tabs>
          <w:tab w:val="left" w:pos="735"/>
        </w:tabs>
        <w:snapToGrid w:val="0"/>
        <w:spacing w:before="60" w:line="360" w:lineRule="auto"/>
        <w:ind w:firstLine="960" w:firstLineChars="400"/>
        <w:rPr>
          <w:rFonts w:hint="eastAsia" w:ascii="仿宋" w:hAnsi="仿宋" w:eastAsia="仿宋" w:cs="仿宋"/>
          <w:color w:val="000000" w:themeColor="text1"/>
          <w:sz w:val="24"/>
          <w:szCs w:val="24"/>
          <w:highlight w:val="none"/>
          <w14:textFill>
            <w14:solidFill>
              <w14:schemeClr w14:val="tx1"/>
            </w14:solidFill>
          </w14:textFill>
        </w:rPr>
      </w:pPr>
    </w:p>
    <w:p>
      <w:pPr>
        <w:pStyle w:val="5"/>
        <w:ind w:left="840" w:hanging="960" w:hangingChars="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  供应商对采购人或采购代理机构的答复不满意或他们未在规定时间内给予答复的，提出质疑的供应商可以在答复期满后15个工作日内</w:t>
      </w:r>
      <w:r>
        <w:rPr>
          <w:rFonts w:hint="eastAsia" w:ascii="仿宋" w:hAnsi="仿宋" w:eastAsia="仿宋" w:cs="仿宋"/>
          <w:color w:val="000000" w:themeColor="text1"/>
          <w:spacing w:val="-4"/>
          <w:sz w:val="24"/>
          <w:szCs w:val="24"/>
          <w:highlight w:val="none"/>
          <w14:textFill>
            <w14:solidFill>
              <w14:schemeClr w14:val="tx1"/>
            </w14:solidFill>
          </w14:textFill>
        </w:rPr>
        <w:t>向采购监督管理机构投诉。</w:t>
      </w:r>
    </w:p>
    <w:p>
      <w:pP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5.4   </w:t>
      </w:r>
      <w:r>
        <w:rPr>
          <w:rFonts w:hint="eastAsia" w:ascii="仿宋" w:hAnsi="仿宋" w:eastAsia="仿宋" w:cs="仿宋"/>
          <w:b/>
          <w:bCs/>
          <w:color w:val="000000" w:themeColor="text1"/>
          <w:sz w:val="24"/>
          <w:szCs w:val="24"/>
          <w:highlight w:val="none"/>
          <w:lang w:eastAsia="zh-CN"/>
          <w14:textFill>
            <w14:solidFill>
              <w14:schemeClr w14:val="tx1"/>
            </w14:solidFill>
          </w14:textFill>
        </w:rPr>
        <w:t>中标</w:t>
      </w:r>
      <w:r>
        <w:rPr>
          <w:rFonts w:hint="eastAsia" w:ascii="仿宋" w:hAnsi="仿宋" w:eastAsia="仿宋" w:cs="仿宋"/>
          <w:b/>
          <w:bCs/>
          <w:color w:val="000000" w:themeColor="text1"/>
          <w:sz w:val="24"/>
          <w:szCs w:val="24"/>
          <w:highlight w:val="none"/>
          <w14:textFill>
            <w14:solidFill>
              <w14:schemeClr w14:val="tx1"/>
            </w14:solidFill>
          </w14:textFill>
        </w:rPr>
        <w:t>通知书</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中标结果公告发布的同时，采购代理机构以书面形式向中标供应商发出《成交通知书》；中标供应商收到《成交通知书》后以书面形式向采购代理机构确认。</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《中标通知书》将是合同的一个组成部分，对采购人和中标供应商具有同等法律效力；《中标通知书》发出后，采购人改变中标结果，或者中标供应商放弃中标的，均应承担相应的法律责任。</w:t>
      </w:r>
    </w:p>
    <w:p>
      <w:pPr>
        <w:widowControl w:val="0"/>
        <w:numPr>
          <w:ilvl w:val="0"/>
          <w:numId w:val="13"/>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采购代理机构在向中标供应商发出《中标通知书》的同时，发布《招标结果公告》，将招标结果通知未中标供应商。</w:t>
      </w:r>
    </w:p>
    <w:p>
      <w:pPr>
        <w:tabs>
          <w:tab w:val="left" w:pos="735"/>
        </w:tabs>
        <w:snapToGrid w:val="0"/>
        <w:spacing w:before="60" w:line="360" w:lineRule="auto"/>
        <w:ind w:left="422" w:right="420" w:rightChars="200" w:hanging="482"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5.5   签订合同</w:t>
      </w:r>
    </w:p>
    <w:p>
      <w:pPr>
        <w:widowControl w:val="0"/>
        <w:numPr>
          <w:ilvl w:val="0"/>
          <w:numId w:val="14"/>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成交供应商在收到《中标通知书》后，应按照《中标通知书》规定的时间内，派遣其授权代表与采购人签署合同。</w:t>
      </w:r>
    </w:p>
    <w:p>
      <w:pPr>
        <w:widowControl w:val="0"/>
        <w:numPr>
          <w:ilvl w:val="0"/>
          <w:numId w:val="14"/>
        </w:numPr>
        <w:tabs>
          <w:tab w:val="left" w:pos="720"/>
          <w:tab w:val="clear" w:pos="481"/>
        </w:tabs>
        <w:snapToGrid w:val="0"/>
        <w:spacing w:before="60" w:line="360" w:lineRule="auto"/>
        <w:ind w:left="7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合同的组成基于但不限于以下部分：</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a.《合同书》；</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b. 磋商文件及其澄清、补充文件；</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c. 成交供应商的响应文件及其澄清、补充文件；</w:t>
      </w:r>
    </w:p>
    <w:p>
      <w:pPr>
        <w:tabs>
          <w:tab w:val="left" w:pos="735"/>
        </w:tabs>
        <w:snapToGrid w:val="0"/>
        <w:spacing w:before="60" w:line="360" w:lineRule="auto"/>
        <w:ind w:left="420" w:leftChars="200" w:right="420" w:rightChars="200" w:firstLine="340" w:firstLineChars="14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d.《中标通知书》。</w:t>
      </w:r>
    </w:p>
    <w:p>
      <w:pPr>
        <w:tabs>
          <w:tab w:val="left" w:pos="735"/>
        </w:tabs>
        <w:snapToGrid w:val="0"/>
        <w:spacing w:before="60" w:line="360" w:lineRule="auto"/>
        <w:ind w:left="422" w:right="420" w:rightChars="200" w:hanging="482" w:hanging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5.6  服务费</w:t>
      </w:r>
    </w:p>
    <w:p>
      <w:pPr>
        <w:pStyle w:val="5"/>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（1）中标</w:t>
      </w:r>
      <w:r>
        <w:rPr>
          <w:rFonts w:hint="eastAsia" w:ascii="仿宋" w:hAnsi="仿宋" w:eastAsia="仿宋" w:cs="仿宋"/>
          <w:color w:val="000000" w:themeColor="text1"/>
          <w:spacing w:val="-4"/>
          <w:sz w:val="24"/>
          <w:szCs w:val="24"/>
          <w:highlight w:val="none"/>
          <w14:textFill>
            <w14:solidFill>
              <w14:schemeClr w14:val="tx1"/>
            </w14:solidFill>
          </w14:textFill>
        </w:rPr>
        <w:t>人</w:t>
      </w:r>
      <w:r>
        <w:rPr>
          <w:rFonts w:hint="eastAsia" w:ascii="仿宋" w:hAnsi="仿宋" w:eastAsia="仿宋" w:cs="仿宋"/>
          <w:color w:val="000000" w:themeColor="text1"/>
          <w:sz w:val="24"/>
          <w:szCs w:val="24"/>
          <w:highlight w:val="none"/>
          <w14:textFill>
            <w14:solidFill>
              <w14:schemeClr w14:val="tx1"/>
            </w14:solidFill>
          </w14:textFill>
        </w:rPr>
        <w:t>在</w:t>
      </w:r>
      <w:r>
        <w:rPr>
          <w:rFonts w:hint="eastAsia" w:ascii="仿宋" w:hAnsi="仿宋" w:eastAsia="仿宋" w:cs="仿宋"/>
          <w:color w:val="000000" w:themeColor="text1"/>
          <w:sz w:val="24"/>
          <w:szCs w:val="24"/>
          <w:highlight w:val="none"/>
          <w:lang w:eastAsia="zh-CN"/>
          <w14:textFill>
            <w14:solidFill>
              <w14:schemeClr w14:val="tx1"/>
            </w14:solidFill>
          </w14:textFill>
        </w:rPr>
        <w:t>获</w:t>
      </w:r>
      <w:r>
        <w:rPr>
          <w:rFonts w:hint="eastAsia" w:ascii="仿宋" w:hAnsi="仿宋" w:eastAsia="仿宋" w:cs="仿宋"/>
          <w:color w:val="000000" w:themeColor="text1"/>
          <w:sz w:val="24"/>
          <w:szCs w:val="24"/>
          <w:highlight w:val="none"/>
          <w14:textFill>
            <w14:solidFill>
              <w14:schemeClr w14:val="tx1"/>
            </w14:solidFill>
          </w14:textFill>
        </w:rPr>
        <w:t>取《成交通知书》时应向采购代理机构交纳中标服务费，</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本项目招标代理服务费的中标金额的百分之1.5。</w:t>
      </w:r>
    </w:p>
    <w:p>
      <w:pPr>
        <w:pStyle w:val="5"/>
        <w:snapToGrid w:val="0"/>
        <w:spacing w:before="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(2)成交服务费以人民币支付。</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(3)成交服务费支付方式：一次性以电汇、支票或现金等形式支付。</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(4)成交服务费不在报价中单列。</w:t>
      </w:r>
    </w:p>
    <w:p>
      <w:pPr>
        <w:pStyle w:val="5"/>
        <w:snapToGrid w:val="0"/>
        <w:spacing w:before="60"/>
        <w:ind w:firstLine="120" w:firstLineChars="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(5)供应商如果不按规定交纳成交服务费，采购代理机构将在成交人的投标保证金中抵扣服务费。</w:t>
      </w:r>
    </w:p>
    <w:p>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六、保密约定</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 在磋商的全过程中，双方人员都应自觉遵守保密约定，以维护招标采购工作的公正、公平，保证招标采购工作的正常进行和完成；</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 磋商期间，各方不得向无关人员，尤其是向供应商透露招标工作的内部秘密，如：供应商的名称、数量以及与招标投标有关的重要情况；</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 开标前采购人向采购代理机构索要已获取磋商文件的潜在供应商的名称、数量、联系方式或者其它可能与公平竞争有关的招标投标文情况（资料），采购人必须以书面形式索要并具体列出索要的文件清单，采购代理机构同意提供的，采购人要写出有效的收条并严格履行法定的保密义务；</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4）任何一方不应私自与供应商就本投标内容进行单方接触或谈判。因工作需要或业务目的的任何对外活动均应事前、事后互相知会与沟通情况，以使工作协调；</w:t>
      </w:r>
    </w:p>
    <w:p>
      <w:pPr>
        <w:spacing w:line="480" w:lineRule="exact"/>
        <w:ind w:left="420" w:hanging="480" w:hanging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5）凡因单方泄露情况而导致工作不能顺利进行或无法进行，均视为对项目和对方利益的侵害，责任应由泄密方承担。</w:t>
      </w:r>
    </w:p>
    <w:p>
      <w:pPr>
        <w:pStyle w:val="3"/>
        <w:widowControl w:val="0"/>
        <w:tabs>
          <w:tab w:val="left" w:pos="840"/>
        </w:tabs>
        <w:adjustRightInd w:val="0"/>
        <w:snapToGrid w:val="0"/>
        <w:spacing w:before="240" w:after="120" w:afterLines="50" w:line="360" w:lineRule="auto"/>
        <w:jc w:val="both"/>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bCs w:val="0"/>
          <w:color w:val="000000" w:themeColor="text1"/>
          <w:kern w:val="2"/>
          <w:sz w:val="24"/>
          <w:szCs w:val="24"/>
          <w:highlight w:val="none"/>
          <w14:textFill>
            <w14:solidFill>
              <w14:schemeClr w14:val="tx1"/>
            </w14:solidFill>
          </w14:textFill>
        </w:rPr>
        <w:t>七、磋商文件的解释权</w:t>
      </w:r>
    </w:p>
    <w:p>
      <w:pPr>
        <w:pStyle w:val="5"/>
        <w:snapToGrid w:val="0"/>
        <w:spacing w:before="60"/>
        <w:ind w:left="630" w:hanging="720" w:hangingChars="300"/>
        <w:rPr>
          <w:rFonts w:hint="eastAsia" w:ascii="仿宋" w:hAnsi="仿宋" w:eastAsia="仿宋" w:cs="仿宋"/>
          <w:color w:val="000000" w:themeColor="text1"/>
          <w:sz w:val="24"/>
          <w:szCs w:val="24"/>
          <w:highlight w:val="none"/>
          <w14:textFill>
            <w14:solidFill>
              <w14:schemeClr w14:val="tx1"/>
            </w14:solidFill>
          </w14:textFill>
        </w:rPr>
        <w:sectPr>
          <w:headerReference r:id="rId4" w:type="default"/>
          <w:footerReference r:id="rId5" w:type="default"/>
          <w:pgSz w:w="11907" w:h="16840"/>
          <w:pgMar w:top="1440" w:right="1418" w:bottom="1440" w:left="1418" w:header="851" w:footer="851" w:gutter="0"/>
          <w:pgNumType w:start="1"/>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7.1   本磋商文件的解释权归</w:t>
      </w:r>
      <w:r>
        <w:rPr>
          <w:rFonts w:hint="eastAsia" w:ascii="仿宋" w:hAnsi="仿宋" w:eastAsia="仿宋" w:cs="仿宋"/>
          <w:b/>
          <w:color w:val="000000" w:themeColor="text1"/>
          <w:sz w:val="24"/>
          <w:szCs w:val="24"/>
          <w:highlight w:val="none"/>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 xml:space="preserve">所有。 </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lang w:val="en-US" w:eastAsia="zh-CN"/>
          <w14:textFill>
            <w14:solidFill>
              <w14:schemeClr w14:val="tx1"/>
            </w14:solidFill>
          </w14:textFill>
        </w:rPr>
        <w:t>2021年和田市林果业技术扶持项目（编号HTSZFCGZBDL-2021-089-2)</w:t>
      </w:r>
    </w:p>
    <w:p>
      <w:pPr>
        <w:pStyle w:val="5"/>
        <w:snapToGrid w:val="0"/>
        <w:spacing w:before="60"/>
        <w:ind w:left="904" w:hanging="723" w:hangingChars="30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初步评审细则表</w:t>
      </w:r>
    </w:p>
    <w:p>
      <w:pPr>
        <w:wordWrap w:val="0"/>
        <w:spacing w:line="360" w:lineRule="auto"/>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评委签名：____________</w:t>
      </w:r>
    </w:p>
    <w:tbl>
      <w:tblPr>
        <w:tblStyle w:val="32"/>
        <w:tblW w:w="15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6435"/>
        <w:gridCol w:w="1833"/>
        <w:gridCol w:w="1833"/>
        <w:gridCol w:w="1834"/>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891" w:type="dxa"/>
            <w:gridSpan w:val="2"/>
            <w:tcBorders>
              <w:tl2br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报价单位</w:t>
            </w: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评审内容           </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456"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资格性审查</w:t>
            </w: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与公告中合格供应商资格条件要求一致</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0" w:type="dxa"/>
            <w:gridSpan w:val="6"/>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不能通过资格性审查的供应商，不需进行以下内容的审查。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restart"/>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符合性审查</w:t>
            </w: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投标保证金已足额递交</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响应文件完整、符合磋商文件规定的密封、签署、盖章</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报价价格是固定唯一的</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投标有效期为90天</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投标总报价没有超出</w:t>
            </w:r>
            <w:r>
              <w:rPr>
                <w:rFonts w:hint="eastAsia" w:ascii="仿宋" w:hAnsi="仿宋" w:eastAsia="仿宋" w:cs="仿宋"/>
                <w:color w:val="000000" w:themeColor="text1"/>
                <w:sz w:val="24"/>
                <w:szCs w:val="24"/>
                <w:highlight w:val="none"/>
                <w:lang w:val="en-US" w:eastAsia="zh-CN"/>
                <w14:textFill>
                  <w14:solidFill>
                    <w14:schemeClr w14:val="tx1"/>
                  </w14:solidFill>
                </w14:textFill>
              </w:rPr>
              <w:t>最高限价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60万元</w:t>
            </w:r>
            <w:r>
              <w:rPr>
                <w:rFonts w:hint="eastAsia" w:ascii="仿宋" w:hAnsi="仿宋" w:eastAsia="仿宋" w:cs="仿宋"/>
                <w:color w:val="000000" w:themeColor="text1"/>
                <w:sz w:val="24"/>
                <w:szCs w:val="24"/>
                <w:highlight w:val="none"/>
                <w14:textFill>
                  <w14:solidFill>
                    <w14:schemeClr w14:val="tx1"/>
                  </w14:solidFill>
                </w14:textFill>
              </w:rPr>
              <w:t>）</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商务没有重大偏离或保留</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8"/>
                <w:sz w:val="24"/>
                <w:szCs w:val="24"/>
                <w:highlight w:val="none"/>
                <w14:textFill>
                  <w14:solidFill>
                    <w14:schemeClr w14:val="tx1"/>
                  </w14:solidFill>
                </w14:textFill>
              </w:rPr>
              <w:t>满足《用户需求书》中功能要求、质量指标和服务要求</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456" w:type="dxa"/>
            <w:vMerge w:val="continue"/>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p>
        </w:tc>
        <w:tc>
          <w:tcPr>
            <w:tcW w:w="6435" w:type="dxa"/>
            <w:vAlign w:val="center"/>
          </w:tcPr>
          <w:p>
            <w:pPr>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没有其它未实质性响应磋商文件的要求</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891" w:type="dxa"/>
            <w:gridSpan w:val="2"/>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结         论</w:t>
            </w: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4"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29"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1．表中只需填写“√/通过”或“×/不通过”</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2．在结论栏中按“一票否决”填写“合格”或“不合格”。</w:t>
      </w:r>
    </w:p>
    <w:p>
      <w:pPr>
        <w:pStyle w:val="29"/>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left="0" w:right="0" w:firstLine="420"/>
        <w:jc w:val="center"/>
        <w:textAlignment w:val="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lang w:val="en-US" w:eastAsia="zh-CN"/>
          <w14:textFill>
            <w14:solidFill>
              <w14:schemeClr w14:val="tx1"/>
            </w14:solidFill>
          </w14:textFill>
        </w:rPr>
        <w:t>2021年和田市林果业技术扶持项目（编号：</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HTSZFCGZBDL-2021-089-2</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w:t>
      </w:r>
      <w:r>
        <w:rPr>
          <w:rFonts w:hint="eastAsia" w:ascii="仿宋" w:hAnsi="仿宋" w:eastAsia="仿宋" w:cs="仿宋"/>
          <w:b/>
          <w:color w:val="000000" w:themeColor="text1"/>
          <w:sz w:val="24"/>
          <w:szCs w:val="24"/>
          <w:highlight w:val="none"/>
          <w:lang w:eastAsia="zh-CN"/>
          <w14:textFill>
            <w14:solidFill>
              <w14:schemeClr w14:val="tx1"/>
            </w14:solidFill>
          </w14:textFill>
        </w:rPr>
        <w:t>服务商务评分表</w:t>
      </w:r>
    </w:p>
    <w:p>
      <w:pPr>
        <w:wordWrap w:val="0"/>
        <w:snapToGrid w:val="0"/>
        <w:spacing w:after="60"/>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评委签名：____________</w:t>
      </w:r>
    </w:p>
    <w:tbl>
      <w:tblPr>
        <w:tblStyle w:val="32"/>
        <w:tblW w:w="14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136"/>
        <w:gridCol w:w="719"/>
        <w:gridCol w:w="9375"/>
        <w:gridCol w:w="719"/>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293" w:type="dxa"/>
            <w:gridSpan w:val="4"/>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lang w:eastAsia="zh-CN"/>
                <w14:textFill>
                  <w14:solidFill>
                    <w14:schemeClr w14:val="tx1"/>
                  </w14:solidFill>
                </w14:textFill>
              </w:rPr>
              <w:t>服务商务</w:t>
            </w:r>
            <w:r>
              <w:rPr>
                <w:rFonts w:hint="eastAsia" w:ascii="仿宋" w:hAnsi="仿宋" w:eastAsia="仿宋" w:cs="仿宋"/>
                <w:b/>
                <w:color w:val="000000" w:themeColor="text1"/>
                <w:sz w:val="21"/>
                <w:szCs w:val="21"/>
                <w:highlight w:val="none"/>
                <w14:textFill>
                  <w14:solidFill>
                    <w14:schemeClr w14:val="tx1"/>
                  </w14:solidFill>
                </w14:textFill>
              </w:rPr>
              <w:t>评分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得分</w:t>
            </w: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3"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bidi="zh-CN"/>
                <w14:textFill>
                  <w14:solidFill>
                    <w14:schemeClr w14:val="tx1"/>
                  </w14:solidFill>
                </w14:textFill>
              </w:rPr>
              <w:t>评价指标及权重</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bidi="zh-CN"/>
                <w14:textFill>
                  <w14:solidFill>
                    <w14:schemeClr w14:val="tx1"/>
                  </w14:solidFill>
                </w14:textFill>
              </w:rPr>
              <w:t>子项</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bidi="zh-CN"/>
                <w14:textFill>
                  <w14:solidFill>
                    <w14:schemeClr w14:val="tx1"/>
                  </w14:solidFill>
                </w14:textFill>
              </w:rPr>
              <w:t>分值</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bidi="zh-CN"/>
                <w14:textFill>
                  <w14:solidFill>
                    <w14:schemeClr w14:val="tx1"/>
                  </w14:solidFill>
                </w14:textFill>
              </w:rPr>
              <w:t xml:space="preserve">评分细则及分值范围 </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63" w:type="dxa"/>
            <w:vMerge w:val="restart"/>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eastAsia="zh-CN" w:bidi="zh-CN"/>
                <w14:textFill>
                  <w14:solidFill>
                    <w14:schemeClr w14:val="tx1"/>
                  </w14:solidFill>
                </w14:textFill>
              </w:rPr>
            </w:pPr>
            <w:r>
              <w:rPr>
                <w:rFonts w:hint="eastAsia" w:ascii="仿宋" w:hAnsi="仿宋" w:eastAsia="仿宋" w:cs="仿宋"/>
                <w:color w:val="000000" w:themeColor="text1"/>
                <w:sz w:val="21"/>
                <w:szCs w:val="21"/>
                <w:lang w:val="zh-CN" w:eastAsia="zh-CN" w:bidi="zh-CN"/>
                <w14:textFill>
                  <w14:solidFill>
                    <w14:schemeClr w14:val="tx1"/>
                  </w14:solidFill>
                </w14:textFill>
              </w:rPr>
              <w:t>服务</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eastAsia="zh-CN" w:bidi="zh-CN"/>
                <w14:textFill>
                  <w14:solidFill>
                    <w14:schemeClr w14:val="tx1"/>
                  </w14:solidFill>
                </w14:textFill>
              </w:rPr>
            </w:pPr>
            <w:r>
              <w:rPr>
                <w:rFonts w:hint="eastAsia" w:ascii="仿宋" w:hAnsi="仿宋" w:eastAsia="仿宋" w:cs="仿宋"/>
                <w:color w:val="000000" w:themeColor="text1"/>
                <w:sz w:val="21"/>
                <w:szCs w:val="21"/>
                <w:lang w:val="zh-CN" w:eastAsia="zh-CN" w:bidi="zh-CN"/>
                <w14:textFill>
                  <w14:solidFill>
                    <w14:schemeClr w14:val="tx1"/>
                  </w14:solidFill>
                </w14:textFill>
              </w:rPr>
              <w:t>评分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val="zh-CN" w:eastAsia="zh-CN" w:bidi="zh-CN"/>
                <w14:textFill>
                  <w14:solidFill>
                    <w14:schemeClr w14:val="tx1"/>
                  </w14:solidFill>
                </w14:textFill>
              </w:rPr>
              <w:t>（</w:t>
            </w:r>
            <w:r>
              <w:rPr>
                <w:rFonts w:hint="eastAsia" w:ascii="仿宋" w:hAnsi="仿宋" w:eastAsia="仿宋" w:cs="仿宋"/>
                <w:color w:val="000000" w:themeColor="text1"/>
                <w:sz w:val="21"/>
                <w:szCs w:val="21"/>
                <w:lang w:val="en-US" w:eastAsia="zh-CN" w:bidi="zh-CN"/>
                <w14:textFill>
                  <w14:solidFill>
                    <w14:schemeClr w14:val="tx1"/>
                  </w14:solidFill>
                </w14:textFill>
              </w:rPr>
              <w:t>65</w:t>
            </w:r>
            <w:r>
              <w:rPr>
                <w:rFonts w:hint="eastAsia" w:ascii="仿宋" w:hAnsi="仿宋" w:eastAsia="仿宋" w:cs="仿宋"/>
                <w:color w:val="000000" w:themeColor="text1"/>
                <w:sz w:val="21"/>
                <w:szCs w:val="21"/>
                <w:lang w:val="zh-CN" w:eastAsia="zh-CN" w:bidi="zh-CN"/>
                <w14:textFill>
                  <w14:solidFill>
                    <w14:schemeClr w14:val="tx1"/>
                  </w14:solidFill>
                </w14:textFill>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对采购需求响应程度</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10</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 xml:space="preserve">根据投标人对采购需求的理解程度，重点难点的分析进行情况评审：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 xml:space="preserve">对采购需求理解透彻，对项目重点难点的理解十分到位，提出的重点难点有利于项目实施，满足或优于采购需求的，得10分；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对采购需求理解比较透彻，对项目重点难点的理解比较到位，提出的重点难点比较有利于项目实施，比较满足采购需求的，得6分；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对采购需求理解一般，对项目重点难点的理解分析基本到位，基本符合采购需求的，得3分；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对采购需求理解较差，对项目重点难点的理解分析有所欠缺，不能满足采购需求的，得1分；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 xml:space="preserve">其他或无响应，得0分。 </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项目技术服务方案</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15</w:t>
            </w:r>
          </w:p>
        </w:tc>
        <w:tc>
          <w:tcPr>
            <w:tcW w:w="9375" w:type="dxa"/>
            <w:vAlign w:val="center"/>
          </w:tcPr>
          <w:p>
            <w:pPr>
              <w:snapToGrid w:val="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根据投标人对项目拟定的技术路线、工作内容对用户需求书的响应是否全面准确，工作深度是否符合国家、省、市的相关要求和采购人的需求等方面进行综合评审:</w:t>
            </w:r>
          </w:p>
          <w:p>
            <w:pPr>
              <w:snapToGrid w:val="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总体清晰、明确，研究方法和技术路线合理可行，技术方案的基本内容、技术路线、方式方法和进度安排科学合理，并对重难点问题有预判，有针对性,得1</w:t>
            </w: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分；</w:t>
            </w:r>
          </w:p>
          <w:p>
            <w:pPr>
              <w:snapToGrid w:val="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总体较清晰、明确，研究方法和技术路线基本合理可行，技术方案的基本内容、技术路线、方式方法和进度安排比较详细，按采购需求进行了多项的分析描述，得</w:t>
            </w:r>
            <w:r>
              <w:rPr>
                <w:rFonts w:hint="eastAsia" w:ascii="仿宋" w:hAnsi="仿宋" w:eastAsia="仿宋" w:cs="仿宋"/>
                <w:color w:val="000000" w:themeColor="text1"/>
                <w:sz w:val="21"/>
                <w:szCs w:val="21"/>
                <w:lang w:val="en-US" w:eastAsia="zh-CN"/>
                <w14:textFill>
                  <w14:solidFill>
                    <w14:schemeClr w14:val="tx1"/>
                  </w14:solidFill>
                </w14:textFill>
              </w:rPr>
              <w:t>10</w:t>
            </w:r>
            <w:r>
              <w:rPr>
                <w:rFonts w:hint="eastAsia" w:ascii="仿宋" w:hAnsi="仿宋" w:eastAsia="仿宋" w:cs="仿宋"/>
                <w:color w:val="000000" w:themeColor="text1"/>
                <w:sz w:val="21"/>
                <w:szCs w:val="21"/>
                <w14:textFill>
                  <w14:solidFill>
                    <w14:schemeClr w14:val="tx1"/>
                  </w14:solidFill>
                </w14:textFill>
              </w:rPr>
              <w:t>分；</w:t>
            </w:r>
          </w:p>
          <w:p>
            <w:pPr>
              <w:snapToGrid w:val="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总体基本清晰，研究方法和技术路线一般，技术方案的基本内容、方式方法安排基本满足要求，得5分；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总体模糊、不够明确，研究方法和技术路线不合理，技术方案的基本内容、方式方法安排不合理得</w:t>
            </w: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分。</w:t>
            </w:r>
          </w:p>
          <w:p>
            <w:pPr>
              <w:pStyle w:val="14"/>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为提供服务方案得0分。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eastAsia="zh-CN" w:bidi="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对项目的了解和熟悉程度</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10</w:t>
            </w:r>
          </w:p>
        </w:tc>
        <w:tc>
          <w:tcPr>
            <w:tcW w:w="9375" w:type="dxa"/>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对项目和理解和服务方案进行评审：</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对情况了解充分，完全满足项目要求，得</w:t>
            </w: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 xml:space="preserve"> 分;</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对情况了解比较充分，基本满足项目要求，得</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分;</w:t>
            </w:r>
          </w:p>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对情况了解一般，基本满足项目要求，得 </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 xml:space="preserve"> 分;</w:t>
            </w:r>
          </w:p>
          <w:p>
            <w:pPr>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对情况不了解，不满足项目要求，得0分。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培训教材</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15</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根据投标人对采购需求中要求的核桃及红枣</w:t>
            </w:r>
            <w:r>
              <w:rPr>
                <w:rFonts w:hint="eastAsia" w:ascii="仿宋" w:hAnsi="仿宋" w:eastAsia="仿宋" w:cs="仿宋"/>
                <w:color w:val="000000" w:themeColor="text1"/>
                <w:sz w:val="21"/>
                <w:szCs w:val="21"/>
                <w:lang w:val="en-US" w:eastAsia="zh-CN"/>
                <w14:textFill>
                  <w14:solidFill>
                    <w14:schemeClr w14:val="tx1"/>
                  </w14:solidFill>
                </w14:textFill>
              </w:rPr>
              <w:t>标准栽培管理、整形修剪、嫁接改优及病虫害防治等“口袋书”、“掌上书”、“明白册”教材</w:t>
            </w:r>
            <w:r>
              <w:rPr>
                <w:rFonts w:hint="eastAsia" w:ascii="仿宋" w:hAnsi="仿宋" w:eastAsia="仿宋" w:cs="仿宋"/>
                <w:color w:val="000000" w:themeColor="text1"/>
                <w:sz w:val="21"/>
                <w:szCs w:val="21"/>
                <w:rtl w:val="0"/>
                <w:lang w:val="en-US" w:eastAsia="zh-CN" w:bidi="zh-CN"/>
                <w14:textFill>
                  <w14:solidFill>
                    <w14:schemeClr w14:val="tx1"/>
                  </w14:solidFill>
                </w14:textFill>
              </w:rPr>
              <w:t>内容进行评审：</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教材完整、详细、具体、合理可行，满足或优于采购需求的，得15分；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 xml:space="preserve">教材比较完整、详细、具体、合理可行，比较满足采购需求的，得10分；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 xml:space="preserve">教材基本完整、不够详细、具体、可行，基本满足采购需求的，得5分；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 xml:space="preserve">方案不完整、不可行，不满足采购需求的，得1分； </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 xml:space="preserve">未提供教材的，得0分。 </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zh-CN" w:eastAsia="zh-CN" w:bidi="zh-CN"/>
                <w14:textFill>
                  <w14:solidFill>
                    <w14:schemeClr w14:val="tx1"/>
                  </w14:solidFill>
                </w14:textFill>
              </w:rPr>
              <w:t>计划安排、进度保证措施</w:t>
            </w:r>
          </w:p>
        </w:tc>
        <w:tc>
          <w:tcPr>
            <w:tcW w:w="719"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5</w:t>
            </w:r>
          </w:p>
        </w:tc>
        <w:tc>
          <w:tcPr>
            <w:tcW w:w="9375" w:type="dxa"/>
            <w:vAlign w:val="center"/>
          </w:tcPr>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根据各投标人提供的计划安排的合理性、工期的长短、组织实施及进度安排方案进行综合评审：</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严格把握提交时限，根据本项目工作的关键时间点有序推进，项目进度控制科学，时间节点清晰合理，并附有详细的确保完成工作措施，得</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满足招标文件中规定的服务期限要求，各阶段时间节点较为明确，并附有较详细的确保完成工作措施，得</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只承诺满足招标文件中规定的服务期限以内完成的，时间节点划分照搬招标文件或较为简单，得</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分；</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未承诺满足招标文件中规定的服务期限以内完成的，时间节点划分照搬招标文件，得0分。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b/>
                <w:bCs/>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zh-CN" w:eastAsia="zh-CN" w:bidi="zh-CN"/>
                <w14:textFill>
                  <w14:solidFill>
                    <w14:schemeClr w14:val="tx1"/>
                  </w14:solidFill>
                </w14:textFill>
              </w:rPr>
              <w:t>投标人对本项目的合理化建议</w:t>
            </w:r>
          </w:p>
        </w:tc>
        <w:tc>
          <w:tcPr>
            <w:tcW w:w="719" w:type="dxa"/>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sz w:val="21"/>
                <w:szCs w:val="21"/>
                <w:rtl w:val="0"/>
                <w:lang w:val="en-US" w:eastAsia="zh-CN" w:bidi="zh-CN"/>
                <w14:textFill>
                  <w14:solidFill>
                    <w14:schemeClr w14:val="tx1"/>
                  </w14:solidFill>
                </w14:textFill>
              </w:rPr>
            </w:pPr>
            <w:r>
              <w:rPr>
                <w:rFonts w:hint="eastAsia" w:ascii="仿宋" w:hAnsi="仿宋" w:eastAsia="仿宋" w:cs="仿宋"/>
                <w:color w:val="000000" w:themeColor="text1"/>
                <w:sz w:val="21"/>
                <w:szCs w:val="21"/>
                <w:rtl w:val="0"/>
                <w:lang w:val="en-US" w:eastAsia="zh-CN" w:bidi="zh-CN"/>
                <w14:textFill>
                  <w14:solidFill>
                    <w14:schemeClr w14:val="tx1"/>
                  </w14:solidFill>
                </w14:textFill>
              </w:rPr>
              <w:t>5</w:t>
            </w:r>
          </w:p>
        </w:tc>
        <w:tc>
          <w:tcPr>
            <w:tcW w:w="9375" w:type="dxa"/>
            <w:vAlign w:val="center"/>
          </w:tcPr>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针对本项目的特点、难点，提出具有科学合理、可行及具体措施的建议，进行评审</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建议针对性强、具有可操作性、合理性，得 5 分；</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建议针对性较强，可操作性一般， 得 3 分；</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建议针对性一般，欠缺可操作性， 得 1 分；</w:t>
            </w:r>
          </w:p>
          <w:p>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无或其他，得 0 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1063" w:type="dxa"/>
            <w:vMerge w:val="continue"/>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b w:val="0"/>
                <w:bCs w:val="0"/>
                <w:color w:val="000000" w:themeColor="text1"/>
                <w:sz w:val="21"/>
                <w:szCs w:val="21"/>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服务质量保障措施</w:t>
            </w:r>
          </w:p>
        </w:tc>
        <w:tc>
          <w:tcPr>
            <w:tcW w:w="71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5</w:t>
            </w:r>
          </w:p>
          <w:p>
            <w:pPr>
              <w:pStyle w:val="78"/>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000000" w:themeColor="text1"/>
                <w:sz w:val="21"/>
                <w:szCs w:val="21"/>
                <w:rtl w:val="0"/>
                <w:lang w:val="en-US" w:eastAsia="zh-CN" w:bidi="zh-CN"/>
                <w14:textFill>
                  <w14:solidFill>
                    <w14:schemeClr w14:val="tx1"/>
                  </w14:solidFill>
                </w14:textFill>
              </w:rPr>
            </w:pPr>
          </w:p>
        </w:tc>
        <w:tc>
          <w:tcPr>
            <w:tcW w:w="9375" w:type="dxa"/>
            <w:vAlign w:val="top"/>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有严格合理的质量保证体系，对整个项目质量管理有具体的保障制度和措施，针对性强，能很好的保证项目质量，得5分；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提供有较合理质量保证措施，质量保证及质量承诺符合项目需求，得3分；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提供相对简单的质量保证措施，没有针对性，得1分；</w:t>
            </w:r>
          </w:p>
          <w:p>
            <w:pPr>
              <w:pStyle w:val="14"/>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val="0"/>
                <w:bCs w:val="0"/>
                <w:color w:val="000000" w:themeColor="text1"/>
                <w:sz w:val="21"/>
                <w:szCs w:val="21"/>
                <w:rtl w:val="0"/>
                <w:lang w:val="en-US" w:eastAsia="zh-CN" w:bidi="zh-CN"/>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未提供质量保证措施得0分。</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63" w:type="dxa"/>
            <w:vMerge w:val="restart"/>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r>
              <w:rPr>
                <w:rFonts w:hint="eastAsia" w:ascii="仿宋" w:hAnsi="仿宋" w:eastAsia="仿宋" w:cs="仿宋"/>
                <w:color w:val="000000" w:themeColor="text1"/>
                <w:sz w:val="21"/>
                <w:szCs w:val="21"/>
                <w:lang w:bidi="zh-CN"/>
                <w14:textFill>
                  <w14:solidFill>
                    <w14:schemeClr w14:val="tx1"/>
                  </w14:solidFill>
                </w14:textFill>
              </w:rPr>
              <w:t>商务评分（</w:t>
            </w:r>
            <w:r>
              <w:rPr>
                <w:rFonts w:hint="eastAsia" w:ascii="仿宋" w:hAnsi="仿宋" w:eastAsia="仿宋" w:cs="仿宋"/>
                <w:color w:val="000000" w:themeColor="text1"/>
                <w:sz w:val="21"/>
                <w:szCs w:val="21"/>
                <w:lang w:val="en-US" w:eastAsia="zh-CN" w:bidi="zh-CN"/>
                <w14:textFill>
                  <w14:solidFill>
                    <w14:schemeClr w14:val="tx1"/>
                  </w14:solidFill>
                </w14:textFill>
              </w:rPr>
              <w:t>25</w:t>
            </w:r>
            <w:r>
              <w:rPr>
                <w:rFonts w:hint="eastAsia" w:ascii="仿宋" w:hAnsi="仿宋" w:eastAsia="仿宋" w:cs="仿宋"/>
                <w:color w:val="000000" w:themeColor="text1"/>
                <w:sz w:val="21"/>
                <w:szCs w:val="21"/>
                <w:lang w:bidi="zh-CN"/>
                <w14:textFill>
                  <w14:solidFill>
                    <w14:schemeClr w14:val="tx1"/>
                  </w14:solidFill>
                </w14:textFill>
              </w:rPr>
              <w:t>）</w:t>
            </w:r>
          </w:p>
        </w:tc>
        <w:tc>
          <w:tcPr>
            <w:tcW w:w="1136"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投标人业绩</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lang w:val="en-US" w:bidi="zh-CN"/>
                <w14:textFill>
                  <w14:solidFill>
                    <w14:schemeClr w14:val="tx1"/>
                  </w14:solidFill>
                </w14:textFill>
              </w:rPr>
            </w:pPr>
            <w:r>
              <w:rPr>
                <w:rFonts w:hint="eastAsia" w:ascii="仿宋" w:hAnsi="仿宋" w:eastAsia="仿宋" w:cs="仿宋"/>
                <w:color w:val="000000" w:themeColor="text1"/>
                <w:sz w:val="21"/>
                <w:szCs w:val="21"/>
                <w:lang w:val="en-US" w:bidi="zh-CN"/>
                <w14:textFill>
                  <w14:solidFill>
                    <w14:schemeClr w14:val="tx1"/>
                  </w14:solidFill>
                </w14:textFill>
              </w:rPr>
              <w:t>4</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提供近2年实施的类似项目的采购合同，每提供一个项目材料得2分。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zh-CN"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（提供证明材料原件现场备查，不提供不得分）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06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服务团队</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17</w:t>
            </w:r>
          </w:p>
        </w:tc>
        <w:tc>
          <w:tcPr>
            <w:tcW w:w="9375"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bidi="zh-CN"/>
                <w14:textFill>
                  <w14:solidFill>
                    <w14:schemeClr w14:val="tx1"/>
                  </w14:solidFill>
                </w14:textFill>
              </w:rPr>
              <w:t>一、</w:t>
            </w:r>
            <w:r>
              <w:rPr>
                <w:rFonts w:hint="eastAsia" w:ascii="仿宋" w:hAnsi="仿宋" w:eastAsia="仿宋" w:cs="仿宋"/>
                <w:color w:val="000000" w:themeColor="text1"/>
                <w:sz w:val="21"/>
                <w:szCs w:val="21"/>
                <w:lang w:bidi="zh-CN"/>
                <w14:textFill>
                  <w14:solidFill>
                    <w14:schemeClr w14:val="tx1"/>
                  </w14:solidFill>
                </w14:textFill>
              </w:rPr>
              <w:t>根据投标人对拟派服务人员</w:t>
            </w:r>
            <w:r>
              <w:rPr>
                <w:rFonts w:hint="eastAsia" w:ascii="仿宋" w:hAnsi="仿宋" w:eastAsia="仿宋" w:cs="仿宋"/>
                <w:color w:val="000000" w:themeColor="text1"/>
                <w:sz w:val="21"/>
                <w:szCs w:val="21"/>
                <w:lang w:val="en-US" w:bidi="zh-CN"/>
                <w14:textFill>
                  <w14:solidFill>
                    <w14:schemeClr w14:val="tx1"/>
                  </w14:solidFill>
                </w14:textFill>
              </w:rPr>
              <w:t>资质情况进行评分</w:t>
            </w:r>
            <w:r>
              <w:rPr>
                <w:rFonts w:hint="eastAsia" w:ascii="仿宋" w:hAnsi="仿宋" w:eastAsia="仿宋" w:cs="仿宋"/>
                <w:color w:val="000000" w:themeColor="text1"/>
                <w:sz w:val="21"/>
                <w:szCs w:val="21"/>
                <w:lang w:bidi="zh-CN"/>
                <w14:textFill>
                  <w14:solidFill>
                    <w14:schemeClr w14:val="tx1"/>
                  </w14:solidFill>
                </w14:textFill>
              </w:rPr>
              <w:t>，要求</w:t>
            </w:r>
            <w:r>
              <w:rPr>
                <w:rFonts w:hint="eastAsia" w:ascii="仿宋" w:hAnsi="仿宋" w:eastAsia="仿宋" w:cs="仿宋"/>
                <w:color w:val="000000" w:themeColor="text1"/>
                <w:sz w:val="21"/>
                <w:szCs w:val="21"/>
                <w:lang w:val="en-US" w:eastAsia="zh-CN" w:bidi="zh-CN"/>
                <w14:textFill>
                  <w14:solidFill>
                    <w14:schemeClr w14:val="tx1"/>
                  </w14:solidFill>
                </w14:textFill>
              </w:rPr>
              <w:t>服务团队实践经验丰富，技术支撑力量强，项目服务团队中每有1名林业高级职称及以上技术人员得3分，每有一名林业中级职称人员得1分，最高得12分。</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（提供证书复印件，不提供不得分）</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lang w:val="zh-CN" w:bidi="zh-CN"/>
                <w14:textFill>
                  <w14:solidFill>
                    <w14:schemeClr w14:val="tx1"/>
                  </w14:solidFill>
                </w14:textFill>
              </w:rPr>
            </w:pPr>
            <w:r>
              <w:rPr>
                <w:rFonts w:hint="eastAsia" w:ascii="仿宋" w:hAnsi="仿宋" w:eastAsia="仿宋" w:cs="仿宋"/>
                <w:color w:val="000000" w:themeColor="text1"/>
                <w:sz w:val="21"/>
                <w:szCs w:val="21"/>
                <w:lang w:val="en-US" w:bidi="zh-CN"/>
                <w14:textFill>
                  <w14:solidFill>
                    <w14:schemeClr w14:val="tx1"/>
                  </w14:solidFill>
                </w14:textFill>
              </w:rPr>
              <w:t>二、</w:t>
            </w:r>
            <w:r>
              <w:rPr>
                <w:rFonts w:hint="eastAsia" w:ascii="仿宋" w:hAnsi="仿宋" w:eastAsia="仿宋" w:cs="仿宋"/>
                <w:color w:val="000000" w:themeColor="text1"/>
                <w:sz w:val="21"/>
                <w:szCs w:val="21"/>
                <w:lang w:val="zh-CN" w:bidi="zh-CN"/>
                <w14:textFill>
                  <w14:solidFill>
                    <w14:schemeClr w14:val="tx1"/>
                  </w14:solidFill>
                </w14:textFill>
              </w:rPr>
              <w:t>根据投标人拟投入得技术力量进行评审</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lang w:val="zh-CN" w:bidi="zh-CN"/>
                <w14:textFill>
                  <w14:solidFill>
                    <w14:schemeClr w14:val="tx1"/>
                  </w14:solidFill>
                </w14:textFill>
              </w:rPr>
            </w:pPr>
            <w:r>
              <w:rPr>
                <w:rFonts w:hint="eastAsia" w:ascii="仿宋" w:hAnsi="仿宋" w:eastAsia="仿宋" w:cs="仿宋"/>
                <w:color w:val="000000" w:themeColor="text1"/>
                <w:sz w:val="21"/>
                <w:szCs w:val="21"/>
                <w:lang w:val="zh-CN" w:bidi="zh-CN"/>
                <w14:textFill>
                  <w14:solidFill>
                    <w14:schemeClr w14:val="tx1"/>
                  </w14:solidFill>
                </w14:textFill>
              </w:rPr>
              <w:t>1、人员配置合理，技术力量充分，完全胜任本项目服务要求得</w:t>
            </w:r>
            <w:r>
              <w:rPr>
                <w:rFonts w:hint="eastAsia" w:ascii="仿宋" w:hAnsi="仿宋" w:eastAsia="仿宋" w:cs="仿宋"/>
                <w:color w:val="000000" w:themeColor="text1"/>
                <w:sz w:val="21"/>
                <w:szCs w:val="21"/>
                <w:lang w:val="en-US" w:bidi="zh-CN"/>
                <w14:textFill>
                  <w14:solidFill>
                    <w14:schemeClr w14:val="tx1"/>
                  </w14:solidFill>
                </w14:textFill>
              </w:rPr>
              <w:t>5</w:t>
            </w:r>
            <w:r>
              <w:rPr>
                <w:rFonts w:hint="eastAsia" w:ascii="仿宋" w:hAnsi="仿宋" w:eastAsia="仿宋" w:cs="仿宋"/>
                <w:color w:val="000000" w:themeColor="text1"/>
                <w:sz w:val="21"/>
                <w:szCs w:val="21"/>
                <w:lang w:val="zh-CN" w:bidi="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lang w:val="zh-CN" w:bidi="zh-CN"/>
                <w14:textFill>
                  <w14:solidFill>
                    <w14:schemeClr w14:val="tx1"/>
                  </w14:solidFill>
                </w14:textFill>
              </w:rPr>
            </w:pPr>
            <w:r>
              <w:rPr>
                <w:rFonts w:hint="eastAsia" w:ascii="仿宋" w:hAnsi="仿宋" w:eastAsia="仿宋" w:cs="仿宋"/>
                <w:color w:val="000000" w:themeColor="text1"/>
                <w:sz w:val="21"/>
                <w:szCs w:val="21"/>
                <w:lang w:val="zh-CN" w:bidi="zh-CN"/>
                <w14:textFill>
                  <w14:solidFill>
                    <w14:schemeClr w14:val="tx1"/>
                  </w14:solidFill>
                </w14:textFill>
              </w:rPr>
              <w:t>2、人员配置合理，技术力量一般，基本满足本项目服务要求得</w:t>
            </w:r>
            <w:r>
              <w:rPr>
                <w:rFonts w:hint="eastAsia" w:ascii="仿宋" w:hAnsi="仿宋" w:eastAsia="仿宋" w:cs="仿宋"/>
                <w:color w:val="000000" w:themeColor="text1"/>
                <w:sz w:val="21"/>
                <w:szCs w:val="21"/>
                <w:lang w:val="en-US" w:bidi="zh-CN"/>
                <w14:textFill>
                  <w14:solidFill>
                    <w14:schemeClr w14:val="tx1"/>
                  </w14:solidFill>
                </w14:textFill>
              </w:rPr>
              <w:t>3</w:t>
            </w:r>
            <w:r>
              <w:rPr>
                <w:rFonts w:hint="eastAsia" w:ascii="仿宋" w:hAnsi="仿宋" w:eastAsia="仿宋" w:cs="仿宋"/>
                <w:color w:val="000000" w:themeColor="text1"/>
                <w:sz w:val="21"/>
                <w:szCs w:val="21"/>
                <w:lang w:val="zh-CN" w:bidi="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lang w:val="zh-CN" w:bidi="zh-CN"/>
                <w14:textFill>
                  <w14:solidFill>
                    <w14:schemeClr w14:val="tx1"/>
                  </w14:solidFill>
                </w14:textFill>
              </w:rPr>
            </w:pPr>
            <w:r>
              <w:rPr>
                <w:rFonts w:hint="eastAsia" w:ascii="仿宋" w:hAnsi="仿宋" w:eastAsia="仿宋" w:cs="仿宋"/>
                <w:color w:val="000000" w:themeColor="text1"/>
                <w:sz w:val="21"/>
                <w:szCs w:val="21"/>
                <w:lang w:val="zh-CN" w:bidi="zh-CN"/>
                <w14:textFill>
                  <w14:solidFill>
                    <w14:schemeClr w14:val="tx1"/>
                  </w14:solidFill>
                </w14:textFill>
              </w:rPr>
              <w:t>3、人员配置一般，技术力量较弱，无法完全满足本项目服务要求得</w:t>
            </w:r>
            <w:r>
              <w:rPr>
                <w:rFonts w:hint="eastAsia" w:ascii="仿宋" w:hAnsi="仿宋" w:eastAsia="仿宋" w:cs="仿宋"/>
                <w:color w:val="000000" w:themeColor="text1"/>
                <w:sz w:val="21"/>
                <w:szCs w:val="21"/>
                <w:lang w:val="en-US" w:bidi="zh-CN"/>
                <w14:textFill>
                  <w14:solidFill>
                    <w14:schemeClr w14:val="tx1"/>
                  </w14:solidFill>
                </w14:textFill>
              </w:rPr>
              <w:t>1</w:t>
            </w:r>
            <w:r>
              <w:rPr>
                <w:rFonts w:hint="eastAsia" w:ascii="仿宋" w:hAnsi="仿宋" w:eastAsia="仿宋" w:cs="仿宋"/>
                <w:color w:val="000000" w:themeColor="text1"/>
                <w:sz w:val="21"/>
                <w:szCs w:val="21"/>
                <w:lang w:val="zh-CN" w:bidi="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zh-CN" w:eastAsia="zh-CN" w:bidi="zh-CN"/>
                <w14:textFill>
                  <w14:solidFill>
                    <w14:schemeClr w14:val="tx1"/>
                  </w14:solidFill>
                </w14:textFill>
              </w:rPr>
            </w:pPr>
            <w:r>
              <w:rPr>
                <w:rFonts w:hint="eastAsia" w:ascii="仿宋" w:hAnsi="仿宋" w:eastAsia="仿宋" w:cs="仿宋"/>
                <w:color w:val="000000" w:themeColor="text1"/>
                <w:sz w:val="21"/>
                <w:szCs w:val="21"/>
                <w:lang w:val="en-US" w:bidi="zh-CN"/>
                <w14:textFill>
                  <w14:solidFill>
                    <w14:schemeClr w14:val="tx1"/>
                  </w14:solidFill>
                </w14:textFill>
              </w:rPr>
              <w:t>以上两项评分人员配置须提供社保缴纳证明材料或劳动合同，否则不得分。</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63" w:type="dxa"/>
            <w:vMerge w:val="continue"/>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bidi="zh-CN"/>
                <w14:textFill>
                  <w14:solidFill>
                    <w14:schemeClr w14:val="tx1"/>
                  </w14:solidFill>
                </w14:textFill>
              </w:rPr>
            </w:pPr>
          </w:p>
        </w:tc>
        <w:tc>
          <w:tcPr>
            <w:tcW w:w="1136"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项目管理与安全保障措施</w:t>
            </w:r>
          </w:p>
        </w:tc>
        <w:tc>
          <w:tcPr>
            <w:tcW w:w="719" w:type="dxa"/>
            <w:vAlign w:val="center"/>
          </w:tcPr>
          <w:p>
            <w:pPr>
              <w:keepNext w:val="0"/>
              <w:keepLines w:val="0"/>
              <w:pageBreakBefore w:val="0"/>
              <w:widowControl w:val="0"/>
              <w:kinsoku/>
              <w:wordWrap/>
              <w:overflowPunct/>
              <w:topLinePunct w:val="0"/>
              <w:autoSpaceDE/>
              <w:autoSpaceDN/>
              <w:bidi w:val="0"/>
              <w:adjustRightInd/>
              <w:snapToGrid/>
              <w:spacing w:after="0" w:afterAutospacing="0" w:line="240" w:lineRule="auto"/>
              <w:jc w:val="center"/>
              <w:rPr>
                <w:rFonts w:hint="eastAsia" w:ascii="仿宋" w:hAnsi="仿宋" w:eastAsia="仿宋" w:cs="仿宋"/>
                <w:color w:val="000000" w:themeColor="text1"/>
                <w:sz w:val="21"/>
                <w:szCs w:val="21"/>
                <w:lang w:val="en-US" w:eastAsia="zh-CN" w:bidi="zh-CN"/>
                <w14:textFill>
                  <w14:solidFill>
                    <w14:schemeClr w14:val="tx1"/>
                  </w14:solidFill>
                </w14:textFill>
              </w:rPr>
            </w:pPr>
            <w:r>
              <w:rPr>
                <w:rFonts w:hint="eastAsia" w:ascii="仿宋" w:hAnsi="仿宋" w:eastAsia="仿宋" w:cs="仿宋"/>
                <w:color w:val="000000" w:themeColor="text1"/>
                <w:sz w:val="21"/>
                <w:szCs w:val="21"/>
                <w:lang w:val="en-US" w:eastAsia="zh-CN" w:bidi="zh-CN"/>
                <w14:textFill>
                  <w14:solidFill>
                    <w14:schemeClr w14:val="tx1"/>
                  </w14:solidFill>
                </w14:textFill>
              </w:rPr>
              <w:t>4</w:t>
            </w:r>
          </w:p>
        </w:tc>
        <w:tc>
          <w:tcPr>
            <w:tcW w:w="9375" w:type="dxa"/>
            <w:vAlign w:val="center"/>
          </w:tcPr>
          <w:p>
            <w:pPr>
              <w:keepNext w:val="0"/>
              <w:keepLines w:val="0"/>
              <w:pageBreakBefore w:val="0"/>
              <w:kinsoku/>
              <w:wordWrap/>
              <w:overflowPunct/>
              <w:topLinePunct w:val="0"/>
              <w:autoSpaceDE/>
              <w:autoSpaceDN/>
              <w:bidi w:val="0"/>
              <w:adjustRightInd/>
              <w:snapToGrid/>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根据项目实际情况，投标人管理制度、监管安全措施及运作流程等方面进行横向对比：</w:t>
            </w:r>
          </w:p>
          <w:p>
            <w:pPr>
              <w:keepNext w:val="0"/>
              <w:keepLines w:val="0"/>
              <w:pageBreakBefore w:val="0"/>
              <w:kinsoku/>
              <w:wordWrap/>
              <w:overflowPunct/>
              <w:topLinePunct w:val="0"/>
              <w:autoSpaceDE/>
              <w:autoSpaceDN/>
              <w:bidi w:val="0"/>
              <w:adjustRightInd/>
              <w:snapToGrid/>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机构管理科学严谨，监管安全措施具体可行，运作流程流畅，得</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机构管理较科学严谨，监管安全措施较具体，具有一定可行性，运作流程较流畅，得</w:t>
            </w: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分；</w:t>
            </w:r>
          </w:p>
          <w:p>
            <w:pPr>
              <w:keepNext w:val="0"/>
              <w:keepLines w:val="0"/>
              <w:pageBreakBefore w:val="0"/>
              <w:kinsoku/>
              <w:wordWrap/>
              <w:overflowPunct/>
              <w:topLinePunct w:val="0"/>
              <w:autoSpaceDE/>
              <w:autoSpaceDN/>
              <w:bidi w:val="0"/>
              <w:adjustRightInd/>
              <w:snapToGrid/>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机构管理的科学性、严谨性不高，监管安全措施不够具体，可行性不强，运作流程不够流畅，得2分；</w:t>
            </w:r>
          </w:p>
          <w:p>
            <w:pPr>
              <w:keepNext w:val="0"/>
              <w:keepLines w:val="0"/>
              <w:pageBreakBefore w:val="0"/>
              <w:widowControl w:val="0"/>
              <w:kinsoku/>
              <w:wordWrap/>
              <w:overflowPunct/>
              <w:topLinePunct w:val="0"/>
              <w:autoSpaceDE/>
              <w:autoSpaceDN/>
              <w:bidi w:val="0"/>
              <w:adjustRightInd/>
              <w:snapToGrid/>
              <w:spacing w:after="0" w:afterAutospacing="0" w:line="240" w:lineRule="auto"/>
              <w:jc w:val="left"/>
              <w:rPr>
                <w:rFonts w:hint="eastAsia" w:ascii="仿宋" w:hAnsi="仿宋" w:eastAsia="仿宋" w:cs="仿宋"/>
                <w:color w:val="000000" w:themeColor="text1"/>
                <w:sz w:val="21"/>
                <w:szCs w:val="21"/>
                <w:rtl w:val="0"/>
                <w:lang w:val="zh-CN" w:eastAsia="zh-CN" w:bidi="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机构管理的科学性、严谨性低，监管安全措施简单，可行性差，运作流程流畅度低，得1分</w:t>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293" w:type="dxa"/>
            <w:gridSpan w:val="4"/>
            <w:tcBorders>
              <w:left w:val="single" w:color="auto" w:sz="4" w:space="0"/>
            </w:tcBorders>
            <w:vAlign w:val="center"/>
          </w:tcPr>
          <w:p>
            <w:pPr>
              <w:pStyle w:val="78"/>
              <w:keepNext w:val="0"/>
              <w:keepLines w:val="0"/>
              <w:pageBreakBefore w:val="0"/>
              <w:kinsoku/>
              <w:wordWrap/>
              <w:overflowPunct/>
              <w:topLinePunct w:val="0"/>
              <w:autoSpaceDE/>
              <w:autoSpaceDN/>
              <w:bidi w:val="0"/>
              <w:adjustRightInd/>
              <w:snapToGrid/>
              <w:spacing w:line="240" w:lineRule="auto"/>
              <w:ind w:left="107" w:right="-29"/>
              <w:jc w:val="center"/>
              <w:rPr>
                <w:rFonts w:hint="eastAsia" w:ascii="仿宋" w:hAnsi="仿宋" w:eastAsia="仿宋" w:cs="仿宋"/>
                <w:color w:val="000000" w:themeColor="text1"/>
                <w:spacing w:val="-15"/>
                <w:sz w:val="21"/>
                <w:szCs w:val="21"/>
                <w:highlight w:val="none"/>
                <w:lang w:val="en-US"/>
                <w14:textFill>
                  <w14:solidFill>
                    <w14:schemeClr w14:val="tx1"/>
                  </w14:solidFill>
                </w14:textFill>
              </w:rPr>
            </w:pPr>
            <w:r>
              <w:rPr>
                <w:rFonts w:hint="eastAsia" w:ascii="仿宋" w:hAnsi="仿宋" w:eastAsia="仿宋" w:cs="仿宋"/>
                <w:color w:val="000000" w:themeColor="text1"/>
                <w:spacing w:val="-15"/>
                <w:sz w:val="21"/>
                <w:szCs w:val="21"/>
                <w:highlight w:val="none"/>
                <w:lang w:val="en-US"/>
                <w14:textFill>
                  <w14:solidFill>
                    <w14:schemeClr w14:val="tx1"/>
                  </w14:solidFill>
                </w14:textFill>
              </w:rPr>
              <w:t>合计</w:t>
            </w:r>
          </w:p>
        </w:tc>
        <w:tc>
          <w:tcPr>
            <w:tcW w:w="719"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0分</w:t>
            </w:r>
          </w:p>
        </w:tc>
        <w:tc>
          <w:tcPr>
            <w:tcW w:w="1377" w:type="dxa"/>
            <w:vAlign w:val="center"/>
          </w:tcPr>
          <w:p>
            <w:pPr>
              <w:keepNext w:val="0"/>
              <w:keepLines w:val="0"/>
              <w:pageBreakBefore w:val="0"/>
              <w:kinsoku/>
              <w:wordWrap/>
              <w:overflowPunct/>
              <w:topLinePunct w:val="0"/>
              <w:autoSpaceDE/>
              <w:autoSpaceDN/>
              <w:bidi w:val="0"/>
              <w:adjustRightInd/>
              <w:snapToGrid/>
              <w:spacing w:line="240" w:lineRule="auto"/>
              <w:rPr>
                <w:rFonts w:hint="eastAsia" w:ascii="仿宋" w:hAnsi="仿宋" w:eastAsia="仿宋" w:cs="仿宋"/>
                <w:color w:val="000000" w:themeColor="text1"/>
                <w:sz w:val="21"/>
                <w:szCs w:val="21"/>
                <w:highlight w:val="none"/>
                <w14:textFill>
                  <w14:solidFill>
                    <w14:schemeClr w14:val="tx1"/>
                  </w14:solidFill>
                </w14:textFill>
              </w:rPr>
            </w:pPr>
          </w:p>
        </w:tc>
      </w:tr>
    </w:tbl>
    <w:p>
      <w:pPr>
        <w:rPr>
          <w:rFonts w:hint="eastAsia" w:ascii="仿宋" w:hAnsi="仿宋" w:eastAsia="仿宋" w:cs="仿宋"/>
          <w:color w:val="000000" w:themeColor="text1"/>
          <w:sz w:val="24"/>
          <w:szCs w:val="24"/>
          <w:highlight w:val="none"/>
          <w14:textFill>
            <w14:solidFill>
              <w14:schemeClr w14:val="tx1"/>
            </w14:solidFill>
          </w14:textFill>
        </w:rPr>
      </w:pP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注：1、评委按分项的规定分数范围内给各供应商进行打分，并统计总分。</w:t>
      </w:r>
    </w:p>
    <w:p>
      <w:pPr>
        <w:tabs>
          <w:tab w:val="left" w:pos="360"/>
          <w:tab w:val="left" w:pos="1030"/>
        </w:tabs>
        <w:snapToGrid w:val="0"/>
        <w:spacing w:before="60" w:line="360" w:lineRule="auto"/>
        <w:ind w:left="797" w:leftChars="208" w:hanging="360" w:hangingChars="150"/>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价格评分：取满足磋商文件要求且最后报价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最低</w:t>
      </w:r>
      <w:r>
        <w:rPr>
          <w:rFonts w:hint="eastAsia" w:ascii="仿宋" w:hAnsi="仿宋" w:eastAsia="仿宋" w:cs="仿宋"/>
          <w:color w:val="000000" w:themeColor="text1"/>
          <w:sz w:val="24"/>
          <w:szCs w:val="24"/>
          <w:highlight w:val="none"/>
          <w14:textFill>
            <w14:solidFill>
              <w14:schemeClr w14:val="tx1"/>
            </w14:solidFill>
          </w14:textFill>
        </w:rPr>
        <w:t>的供应商为磋商基准价，其价格分为满分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分；其它供应商的价格分统一按照下列公式计算：磋商报价得分=磋商基准价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最终磋商</w:t>
      </w:r>
      <w:r>
        <w:rPr>
          <w:rFonts w:hint="eastAsia" w:ascii="仿宋" w:hAnsi="仿宋" w:eastAsia="仿宋" w:cs="仿宋"/>
          <w:color w:val="000000" w:themeColor="text1"/>
          <w:sz w:val="24"/>
          <w:szCs w:val="24"/>
          <w:highlight w:val="none"/>
          <w:lang w:eastAsia="zh-CN"/>
          <w14:textFill>
            <w14:solidFill>
              <w14:schemeClr w14:val="tx1"/>
            </w14:solidFill>
          </w14:textFill>
        </w:rPr>
        <w:t>报价</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sectPr>
          <w:headerReference r:id="rId6" w:type="default"/>
          <w:footerReference r:id="rId7" w:type="default"/>
          <w:pgSz w:w="16840" w:h="11907" w:orient="landscape"/>
          <w:pgMar w:top="1418" w:right="1440" w:bottom="1418" w:left="1559" w:header="851" w:footer="851" w:gutter="0"/>
          <w:cols w:space="720" w:num="1"/>
          <w:docGrid w:linePitch="285" w:charSpace="0"/>
        </w:sectPr>
      </w:pPr>
    </w:p>
    <w:p>
      <w:pPr>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第三部分</w:t>
      </w:r>
    </w:p>
    <w:p>
      <w:pPr>
        <w:adjustRightInd w:val="0"/>
        <w:snapToGrid w:val="0"/>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851" w:hanging="851"/>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用 户 需 求 书</w:t>
      </w:r>
    </w:p>
    <w:p>
      <w:p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注：1、磋商文件中，加★项是实质性响应要求。供应商要特别加以注意，必须对此回答并完全满足这些要求。否则若有一项“★”的指标未响应或不满足，将按无效报价处理。</w:t>
      </w:r>
    </w:p>
    <w:p>
      <w:pPr>
        <w:numPr>
          <w:ilvl w:val="0"/>
          <w:numId w:val="15"/>
        </w:numPr>
        <w:tabs>
          <w:tab w:val="left" w:pos="3255"/>
        </w:tabs>
        <w:adjustRightInd w:val="0"/>
        <w:snapToGrid w:val="0"/>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磋商文件中，如标有“▲”的条款均为评审的重要评分指标，供应商若有部分“▲”条款未响应或不满足，将导致其响应性评审严重扣分。</w:t>
      </w:r>
    </w:p>
    <w:p>
      <w:pPr>
        <w:snapToGrid w:val="0"/>
        <w:spacing w:line="360" w:lineRule="auto"/>
        <w:ind w:firstLine="482" w:firstLineChars="200"/>
        <w:rPr>
          <w:rFonts w:hint="eastAsia" w:ascii="仿宋" w:hAnsi="仿宋" w:eastAsia="仿宋" w:cs="仿宋"/>
          <w:b/>
          <w:color w:val="000000" w:themeColor="text1"/>
          <w:sz w:val="24"/>
          <w:szCs w:val="24"/>
          <w:highlight w:val="none"/>
          <w14:textFill>
            <w14:solidFill>
              <w14:schemeClr w14:val="tx1"/>
            </w14:solidFill>
          </w14:textFill>
        </w:rPr>
      </w:pP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1、投标人不允许仅对包内其中部分内容进行投标。</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2.采购人需求中打“★”号条款为实质性响应条款，投标人如有任何一条负偏离则导致投标无效。</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3" w:name="子包01：4个行政村财务代理服务"/>
      <w:bookmarkEnd w:id="3"/>
      <w:bookmarkStart w:id="4" w:name="一、项目概况"/>
      <w:bookmarkEnd w:id="4"/>
      <w:r>
        <w:rPr>
          <w:rFonts w:hint="eastAsia" w:ascii="仿宋" w:hAnsi="仿宋" w:eastAsia="仿宋" w:cs="仿宋"/>
          <w:color w:val="000000" w:themeColor="text1"/>
          <w:sz w:val="24"/>
          <w:szCs w:val="24"/>
          <w:highlight w:val="none"/>
          <w14:textFill>
            <w14:solidFill>
              <w14:schemeClr w14:val="tx1"/>
            </w14:solidFill>
          </w14:textFill>
        </w:rPr>
        <w:t>一、项目概况</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本</w:t>
      </w:r>
      <w:r>
        <w:rPr>
          <w:rFonts w:hint="eastAsia" w:ascii="仿宋" w:hAnsi="仿宋" w:eastAsia="仿宋" w:cs="仿宋"/>
          <w:color w:val="000000" w:themeColor="text1"/>
          <w:sz w:val="24"/>
          <w:szCs w:val="24"/>
          <w:highlight w:val="none"/>
          <w:lang w:val="en-US" w:eastAsia="zh-CN"/>
          <w14:textFill>
            <w14:solidFill>
              <w14:schemeClr w14:val="tx1"/>
            </w14:solidFill>
          </w14:textFill>
        </w:rPr>
        <w:t>项目为 2021年和田市林果业技术扶持项目。</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2、和田市林果业技术扶持项目实施期间，一定要做到总体目标明确，特别是总体目标的三个核心技术问题一定扎实推进。</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首先是抓基础抓根本，找出林果业永久性产量低、质量差的根本原因，从改良土壤的基础工作入手。通过理论培训和现场示范培训相结合的手段，让广大果农充分认识到果园业长期施用化肥及化学农药，已使土壤结构养分失调，物理性状变差，地块有害金属和有害病菌严重超标并使土地板结日益严重。因此，土壤改良是核心，是林果持续发展和绿色发展的首要条件。</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4、其二是田间管理工作。打顶抹芽，整形修剪，树冠培养，对全市林管员及果农开展分期分批培训已是刻不容缓。</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其三是病虫害防治工作。由于近两年以来病虫害日趋严重，已极大地影响了林果的产量和质量，也直接影响到果农的收益。为普及林果病虫害防治知识，开展不同形式和不同人群的专业技术培训。全市林管员培训和果农的培训也是十万火急。</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其次，根据和田市的林果业种植实际情况，以林果业管理为重点的实用技术“口袋书”、“掌上书”、“明白册”等。要将“要致富，靠技术”和“要技术、靠培训”的理念传递到果农心中，对促进特色林果业增产增收、提质增效和提升经营管理水平乃至推动和田市林果业发展起到积极作用，也为巩固脱贫攻坚成果提供强有力的动力。</w:t>
      </w:r>
    </w:p>
    <w:p>
      <w:pPr>
        <w:pStyle w:val="4"/>
        <w:keepNext w:val="0"/>
        <w:pageBreakBefore w:val="0"/>
        <w:numPr>
          <w:ilvl w:val="0"/>
          <w:numId w:val="0"/>
        </w:numPr>
        <w:kinsoku/>
        <w:wordWrap/>
        <w:overflowPunct/>
        <w:topLinePunct w:val="0"/>
        <w:autoSpaceDE/>
        <w:autoSpaceDN/>
        <w:bidi w:val="0"/>
        <w:adjustRightInd/>
        <w:snapToGrid/>
        <w:spacing w:beforeLines="0" w:afterLines="0" w:line="360" w:lineRule="auto"/>
        <w:ind w:leftChars="0" w:right="0" w:rightChars="0" w:firstLine="482" w:firstLineChars="200"/>
        <w:textAlignment w:val="auto"/>
        <w:rPr>
          <w:rFonts w:hint="eastAsia" w:ascii="仿宋" w:hAnsi="仿宋" w:eastAsia="仿宋" w:cs="仿宋"/>
          <w:b/>
          <w:bCs/>
          <w:color w:val="000000" w:themeColor="text1"/>
          <w:kern w:val="2"/>
          <w:sz w:val="24"/>
          <w:szCs w:val="24"/>
          <w:lang w:val="en-US" w:eastAsia="zh-CN" w:bidi="ar-SA"/>
          <w14:textFill>
            <w14:solidFill>
              <w14:schemeClr w14:val="tx1"/>
            </w14:solidFill>
          </w14:textFill>
        </w:rPr>
      </w:pPr>
      <w:bookmarkStart w:id="5" w:name="_Toc29398"/>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二、项目服务要求</w:t>
      </w:r>
      <w:bookmarkEnd w:id="5"/>
    </w:p>
    <w:p>
      <w:pPr>
        <w:pStyle w:val="5"/>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bookmarkStart w:id="6" w:name="_Toc6379"/>
      <w:r>
        <w:rPr>
          <w:rFonts w:hint="eastAsia" w:ascii="仿宋" w:hAnsi="仿宋" w:eastAsia="仿宋" w:cs="仿宋"/>
          <w:color w:val="000000" w:themeColor="text1"/>
          <w:sz w:val="24"/>
          <w:szCs w:val="24"/>
          <w:lang w:val="en-US" w:eastAsia="zh-CN"/>
          <w14:textFill>
            <w14:solidFill>
              <w14:schemeClr w14:val="tx1"/>
            </w14:solidFill>
          </w14:textFill>
        </w:rPr>
        <w:t>2.1优良林果和增收新品引进</w:t>
      </w:r>
      <w:bookmarkEnd w:id="6"/>
      <w:r>
        <w:rPr>
          <w:rFonts w:hint="eastAsia" w:ascii="仿宋" w:hAnsi="仿宋" w:eastAsia="仿宋" w:cs="仿宋"/>
          <w:color w:val="000000" w:themeColor="text1"/>
          <w:sz w:val="24"/>
          <w:szCs w:val="24"/>
          <w:lang w:val="en-US" w:eastAsia="zh-CN"/>
          <w14:textFill>
            <w14:solidFill>
              <w14:schemeClr w14:val="tx1"/>
            </w14:solidFill>
          </w14:textFill>
        </w:rPr>
        <w:t>技术支持与专业技术咨询</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1、协助采购人引进和选育核桃新品2-3个品种，实施面积1500亩以上。</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2、协助采购人引进和选育红枣新品1-2个品种，实施面积达1000亩以上。对于引进和推广新品枣农，并且由专家团队负责给收购商接洽，及协助果农签订收购合同。</w:t>
      </w:r>
    </w:p>
    <w:p>
      <w:pPr>
        <w:pStyle w:val="5"/>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bookmarkStart w:id="7" w:name="_Toc28270"/>
      <w:r>
        <w:rPr>
          <w:rFonts w:hint="eastAsia" w:ascii="仿宋" w:hAnsi="仿宋" w:eastAsia="仿宋" w:cs="仿宋"/>
          <w:color w:val="000000" w:themeColor="text1"/>
          <w:sz w:val="24"/>
          <w:szCs w:val="24"/>
          <w:lang w:val="en-US" w:eastAsia="zh-CN"/>
          <w14:textFill>
            <w14:solidFill>
              <w14:schemeClr w14:val="tx1"/>
            </w14:solidFill>
          </w14:textFill>
        </w:rPr>
        <w:t>2.2核桃种植“三大核心”技术培训</w:t>
      </w:r>
      <w:bookmarkEnd w:id="7"/>
    </w:p>
    <w:p>
      <w:pPr>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核桃产量和品质多年来长期在低位徘徊，再加上近两年病虫害的不断蔓延和防治不力，使果农收益每况愈下。其中最根本的问题是果农本身缺乏种植技术。对于种植中的“三大核心”技术，从没有接受过正规系统的学习和培训，因此，正规系统的“三大核心”技术学习和现场培训是贯穿全年工作的根本。</w:t>
      </w:r>
    </w:p>
    <w:p>
      <w:pPr>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通过正规系统的学习和培训，使果农掌握提高产量和品质的核心技术，从而才能达到长期提质增效的目的，“三大核心”技术培训全年累计达到3000人以上，具体受训人情况如下：</w:t>
      </w:r>
    </w:p>
    <w:p>
      <w:pPr>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1、土壤改良和农家肥微生物发酵培训，全市林管员和一线果农培训全年达1000人次以上；</w:t>
      </w:r>
    </w:p>
    <w:p>
      <w:pPr>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2、田间日常管理培训，全市林管员和一线果农培训，全年达1000人次以上；</w:t>
      </w:r>
    </w:p>
    <w:p>
      <w:pPr>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3.病虫害防治和消杀培训，全市林管员和一线果农培训，全年达1000人次以上。</w:t>
      </w:r>
    </w:p>
    <w:p>
      <w:pPr>
        <w:pStyle w:val="5"/>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bookmarkStart w:id="8" w:name="_Toc1810"/>
      <w:r>
        <w:rPr>
          <w:rFonts w:hint="eastAsia" w:ascii="仿宋" w:hAnsi="仿宋" w:eastAsia="仿宋" w:cs="仿宋"/>
          <w:color w:val="000000" w:themeColor="text1"/>
          <w:sz w:val="24"/>
          <w:szCs w:val="24"/>
          <w:lang w:val="en-US" w:eastAsia="zh-CN"/>
          <w14:textFill>
            <w14:solidFill>
              <w14:schemeClr w14:val="tx1"/>
            </w14:solidFill>
          </w14:textFill>
        </w:rPr>
        <w:t>2.3科技示范基地建设</w:t>
      </w:r>
      <w:bookmarkEnd w:id="8"/>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结合和田市林果业发展需求，通过技术扶持与引进大中型林果产业企业相结合，优化林果业科技成果布局，依托林果企业或林果产业大户，采取“企业+基地+农户”的形式，扶持一批以实现标准化生产、集约化管理、产业化经营为目标的科技示范基地。</w:t>
      </w:r>
    </w:p>
    <w:p>
      <w:pPr>
        <w:pStyle w:val="5"/>
        <w:keepNext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bookmarkStart w:id="9" w:name="_Toc24658"/>
      <w:r>
        <w:rPr>
          <w:rFonts w:hint="eastAsia" w:ascii="仿宋" w:hAnsi="仿宋" w:eastAsia="仿宋" w:cs="仿宋"/>
          <w:color w:val="000000" w:themeColor="text1"/>
          <w:sz w:val="24"/>
          <w:szCs w:val="24"/>
          <w:lang w:val="en-US" w:eastAsia="zh-CN"/>
          <w14:textFill>
            <w14:solidFill>
              <w14:schemeClr w14:val="tx1"/>
            </w14:solidFill>
          </w14:textFill>
        </w:rPr>
        <w:t>2.4特色林果品牌培育</w:t>
      </w:r>
      <w:bookmarkEnd w:id="9"/>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按照南疆林果产品标准化、生产规范化、经营产业化的要求，大力发展无公害、绿色、有机林果产品生产。培育和推广1个新的和田市民族特色林果业区域品牌（原有的和田薄壳、和田大枣除外），加速和田市林果业的绿色、有机化进程，引领带动一二三产业融合发展。推动重点龙头企业、林下经济及绿色产业示范基地的建设，加大对龙头企业的支持。</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根据和田市的林果业种植实际情况，以林果业管理为重点，重点围绕核桃、红枣标准栽培管理、整形修剪、嫁接改优及病虫害防治等实用技术进行“菜单式”培训，以实用、管用为主。同时编制核桃、红枣田间管理、病虫害防治等实用技术“口袋书”、“掌上书”、“明白册”等。根据农户的需要添加其他水果树种实用技术。</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加强和田市基层科技资源整合，在林果产区建立面向市、乡（镇）两级的综合技术服务队伍，提高应对各种突发性灾害的应急处置能力。搭建“互联网+林果”科技服务平台，引导建立测土配方、控水控肥、有害生物防控、专家服务团工作群，为和田市林果生产经营者和果农提供快捷便利的科技服务。</w:t>
      </w:r>
    </w:p>
    <w:p>
      <w:pPr>
        <w:keepNext w:val="0"/>
        <w:keepLines w:val="0"/>
        <w:pageBreakBefore w:val="0"/>
        <w:widowControl/>
        <w:numPr>
          <w:ilvl w:val="0"/>
          <w:numId w:val="0"/>
        </w:numPr>
        <w:tabs>
          <w:tab w:val="left" w:pos="360"/>
          <w:tab w:val="left" w:pos="1030"/>
        </w:tabs>
        <w:kinsoku/>
        <w:wordWrap/>
        <w:overflowPunct/>
        <w:topLinePunct w:val="0"/>
        <w:autoSpaceDE/>
        <w:autoSpaceDN/>
        <w:bidi w:val="0"/>
        <w:adjustRightInd/>
        <w:snapToGrid w:val="0"/>
        <w:spacing w:line="360" w:lineRule="auto"/>
        <w:ind w:right="0" w:rightChars="0" w:firstLine="241" w:firstLineChars="1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三、商务要求</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★（一）报价要求</w:t>
      </w:r>
    </w:p>
    <w:p>
      <w:pPr>
        <w:keepNext w:val="0"/>
        <w:pageBreakBefore w:val="0"/>
        <w:numPr>
          <w:ilvl w:val="0"/>
          <w:numId w:val="16"/>
        </w:numPr>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总报价应包括各种人力成本、设备成本、物质成本、施肥、抚育、资料费、服务费、税费及合同实施过程中的所有费用。</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2、报价不能超过该项目的最高限价，须精确到小数点后两位，如未按要求报价则为无效投标文件处理。</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（二）投标报价风险</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★投标报价已包含完成本项目所需的人力成本、投入成本、利润、税金、交通、中标服务费及其他相关费用等，采购人将不予支付除招标文件及承包合同约定的由投标人承担的风险因素之外的任何补偿。</w:t>
      </w:r>
    </w:p>
    <w:p>
      <w:pPr>
        <w:pStyle w:val="14"/>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周围环境等客观因素对项目实施影响巨大，难以将具体情况描述到位，投标人可通过自行现场踏勘掌握本项目的客观资料，便于制定科学的实施方案和风险分析，也可以准确拟定投标价格标准。投标人因未进行现场踏勘影响投标报价、方案编制的，由投标人自行承担。</w:t>
      </w:r>
    </w:p>
    <w:p>
      <w:pPr>
        <w:pStyle w:val="14"/>
        <w:keepNext w:val="0"/>
        <w:keepLines w:val="0"/>
        <w:pageBreakBefore w:val="0"/>
        <w:widowControl w:val="0"/>
        <w:kinsoku/>
        <w:wordWrap/>
        <w:overflowPunct/>
        <w:topLinePunct w:val="0"/>
        <w:autoSpaceDE/>
        <w:autoSpaceDN/>
        <w:bidi w:val="0"/>
        <w:adjustRightInd w:val="0"/>
        <w:snapToGrid/>
        <w:spacing w:line="360" w:lineRule="auto"/>
        <w:ind w:left="0" w:leftChars="0" w:right="0" w:firstLine="480" w:firstLineChars="200"/>
        <w:textAlignment w:val="baseline"/>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投标人除图纸或者招标文件缺陷等原因外，因供应商自身不能参加现场勘查或现场踏勘不全面的，供应商不得因此提出修改投标报价或提出索赔等要求，须在投标文件中提供书面承诺书。</w:t>
      </w:r>
    </w:p>
    <w:p>
      <w:pPr>
        <w:keepNext w:val="0"/>
        <w:pageBreakBefore w:val="0"/>
        <w:kinsoku/>
        <w:wordWrap/>
        <w:overflowPunct/>
        <w:topLinePunct w:val="0"/>
        <w:autoSpaceDE/>
        <w:autoSpaceDN/>
        <w:bidi w:val="0"/>
        <w:spacing w:line="360" w:lineRule="auto"/>
        <w:ind w:left="0" w:leftChars="0" w:right="0" w:firstLine="482"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（三）中标供应商具体工作内容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1、负责组织人员确保项目顺利实施，完成各项规划任务；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2、负责建立信息沟通反馈机制，由项目实施联系人统一反馈信息、总结汇报工作；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3、负责明确项目负责人和联系人，确保沟通及时、畅通；</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4、负责项目实施过程中的第一手资料的采集、建档和项目实施各阶段的进展情况、总结、汇报等工作；</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5、负责实行项目档案管理制度，使项目建设管理工作规范化、标准化；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6、弘扬务实作风，严守工作纪律，不影响群众生活，廉洁清正，务实为民。</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付款方式</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中标人凭以下有效文件与采购人结算：</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中标人开具的正式发票；</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★备注：因采购人使用的是</w:t>
      </w: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r>
        <w:rPr>
          <w:rFonts w:hint="eastAsia" w:ascii="仿宋" w:hAnsi="仿宋" w:eastAsia="仿宋" w:cs="仿宋"/>
          <w:color w:val="000000" w:themeColor="text1"/>
          <w:sz w:val="24"/>
          <w:szCs w:val="24"/>
          <w:highlight w:val="none"/>
          <w14:textFill>
            <w14:solidFill>
              <w14:schemeClr w14:val="tx1"/>
            </w14:solidFill>
          </w14:textFill>
        </w:rPr>
        <w:t>采购人在前款规定的付款时间为向政府采购支付部门提出办理财政支付申请手续的时间（不含政府财政支付部门审核的时间），在规定时间内提出支付申请手续后即视为采购人已经按期支付。</w:t>
      </w:r>
      <w:r>
        <w:rPr>
          <w:rFonts w:hint="eastAsia" w:ascii="仿宋" w:hAnsi="仿宋" w:eastAsia="仿宋" w:cs="仿宋"/>
          <w:color w:val="000000" w:themeColor="text1"/>
          <w:sz w:val="24"/>
          <w:szCs w:val="24"/>
          <w:highlight w:val="none"/>
          <w:lang w:val="en-US" w:eastAsia="zh-CN"/>
          <w14:textFill>
            <w14:solidFill>
              <w14:schemeClr w14:val="tx1"/>
            </w14:solidFill>
          </w14:textFill>
        </w:rPr>
        <w:t>本项目为连续服务项目，中标供应商不得因财政拨付资金不到位而停止服务，须在投标文件中针对此提供书面承诺函。</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（五）履约保证金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1、签订合同前，中标人需缴纳履约保证金合同总价的 10% 到采购人指定账户，在合同期内未出现违约现象，未发生劳资纠纷，合同结束时无息退还。部分违约现象或劳资纠纷，从履约保证金中扣除相应金额   的违约金；若发现严重违约现象,则不予退还履约保证金；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2、交纳方式：以支票、汇票、本票、银行转账等非现金形式提交；采用支票、汇票、本票提交履约保证金的，有效期必须在供货期内保持有效；</w:t>
      </w:r>
    </w:p>
    <w:p>
      <w:pPr>
        <w:pStyle w:val="14"/>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3、交纳时间：签订合同前中标供应商向采购人交纳。</w:t>
      </w:r>
    </w:p>
    <w:p>
      <w:pPr>
        <w:keepNext w:val="0"/>
        <w:pageBreakBefore w:val="0"/>
        <w:kinsoku/>
        <w:wordWrap/>
        <w:overflowPunct/>
        <w:topLinePunct w:val="0"/>
        <w:autoSpaceDE/>
        <w:autoSpaceDN/>
        <w:bidi w:val="0"/>
        <w:spacing w:line="360" w:lineRule="auto"/>
        <w:ind w:left="0" w:leftChars="0" w:right="0"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（六）其他</w:t>
      </w:r>
    </w:p>
    <w:p>
      <w:pPr>
        <w:pStyle w:val="81"/>
        <w:keepNext w:val="0"/>
        <w:pageBreakBefore w:val="0"/>
        <w:numPr>
          <w:ilvl w:val="0"/>
          <w:numId w:val="0"/>
        </w:numPr>
        <w:tabs>
          <w:tab w:val="left" w:pos="1194"/>
        </w:tabs>
        <w:kinsoku/>
        <w:wordWrap/>
        <w:overflowPunct/>
        <w:topLinePunct w:val="0"/>
        <w:autoSpaceDE/>
        <w:autoSpaceDN/>
        <w:bidi w:val="0"/>
        <w:spacing w:before="0" w:line="360" w:lineRule="auto"/>
        <w:ind w:left="0" w:leftChars="0" w:right="0" w:rightChars="0" w:firstLine="480" w:firstLineChars="2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中标人负责其派出现场服务人员人身意外保险。（提供承诺函，格式自拟）</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★为确保本项目顺利完成，供应商必须承诺：承诺在中标后所投入的专业技术人员为本企业人专业技术人员，并与投标文件提供的专业技术人员一致的承诺书。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★供应商须在响应文件中作出书面承诺，针对本项目在服务期内现场服务日不低于60天，否则采购人有权扣除相应的服务费。</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中标人派驻采购人办公处的常驻人员要做好登记在册手续，在职期间须接受采购人的管理，遵守采购人的纪律考勤制度。</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bookmarkStart w:id="10" w:name="五、违约责任"/>
      <w:bookmarkEnd w:id="10"/>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color w:val="000000" w:themeColor="text1"/>
          <w:sz w:val="24"/>
          <w:szCs w:val="24"/>
          <w:highlight w:val="none"/>
          <w14:textFill>
            <w14:solidFill>
              <w14:schemeClr w14:val="tx1"/>
            </w14:solidFill>
          </w14:textFill>
        </w:rPr>
        <w:t>、违约责任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在执行项目过程中如出现下列情形，采购人有权即时终止合同并要求中标人赔偿损失：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中标人未能按合同规定的时间提供服务逾期半个月以上的，采购人除有权提前终止合同外，每逾期一天，由此造成的采购人经济损失由中标人承担；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中标人在合同履行期间，除法律另行规定外，未经采购人同意，将采购人提供的资料泄外，并在社会上造成不良影响及严重后果的。采购人有权终止合同，由此造成的采购人经济损失由中标人承担；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中标人提供的</w:t>
      </w:r>
      <w:r>
        <w:rPr>
          <w:rFonts w:hint="eastAsia" w:ascii="仿宋" w:hAnsi="仿宋" w:eastAsia="仿宋" w:cs="仿宋"/>
          <w:color w:val="000000" w:themeColor="text1"/>
          <w:sz w:val="24"/>
          <w:szCs w:val="24"/>
          <w:highlight w:val="none"/>
          <w:lang w:val="en-US" w:eastAsia="zh-CN"/>
          <w14:textFill>
            <w14:solidFill>
              <w14:schemeClr w14:val="tx1"/>
            </w14:solidFill>
          </w14:textFill>
        </w:rPr>
        <w:t>法务</w:t>
      </w:r>
      <w:r>
        <w:rPr>
          <w:rFonts w:hint="eastAsia" w:ascii="仿宋" w:hAnsi="仿宋" w:eastAsia="仿宋" w:cs="仿宋"/>
          <w:color w:val="000000" w:themeColor="text1"/>
          <w:sz w:val="24"/>
          <w:szCs w:val="24"/>
          <w:highlight w:val="none"/>
          <w14:textFill>
            <w14:solidFill>
              <w14:schemeClr w14:val="tx1"/>
            </w14:solidFill>
          </w14:textFill>
        </w:rPr>
        <w:t>服务不符合招标文件及其投标承诺， 经过整改后仍未能满足相关规定的，采购人有权终止合同， 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中标人出现上述情形的，采购人有权要求中标人按合同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%支付违约金。</w:t>
      </w:r>
    </w:p>
    <w:p>
      <w:pPr>
        <w:keepNext w:val="0"/>
        <w:keepLines w:val="0"/>
        <w:pageBreakBefore w:val="0"/>
        <w:widowControl/>
        <w:kinsoku/>
        <w:wordWrap/>
        <w:overflowPunct/>
        <w:topLinePunct w:val="0"/>
        <w:autoSpaceDE/>
        <w:autoSpaceDN/>
        <w:bidi w:val="0"/>
        <w:adjustRightInd/>
        <w:ind w:left="0" w:leftChars="0" w:firstLine="482" w:firstLineChars="200"/>
        <w:textAlignment w:val="auto"/>
        <w:rPr>
          <w:rFonts w:hint="eastAsia" w:ascii="仿宋" w:hAnsi="仿宋" w:eastAsia="仿宋" w:cs="仿宋"/>
          <w:b/>
          <w:color w:val="000000" w:themeColor="text1"/>
          <w:sz w:val="24"/>
          <w:szCs w:val="24"/>
          <w:highlight w:val="none"/>
          <w14:textFill>
            <w14:solidFill>
              <w14:schemeClr w14:val="tx1"/>
            </w14:solidFill>
          </w14:textFill>
        </w:rPr>
      </w:pPr>
    </w:p>
    <w:p>
      <w:pPr>
        <w:pStyle w:val="14"/>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p>
    <w:p>
      <w:pPr>
        <w:pStyle w:val="14"/>
        <w:rPr>
          <w:rFonts w:hint="eastAsia" w:ascii="仿宋" w:hAnsi="仿宋" w:eastAsia="仿宋" w:cs="仿宋"/>
          <w:b/>
          <w:color w:val="000000" w:themeColor="text1"/>
          <w:sz w:val="24"/>
          <w:szCs w:val="24"/>
          <w:highlight w:val="none"/>
          <w14:textFill>
            <w14:solidFill>
              <w14:schemeClr w14:val="tx1"/>
            </w14:solidFill>
          </w14:textFill>
        </w:rPr>
      </w:pPr>
    </w:p>
    <w:p>
      <w:pPr>
        <w:pStyle w:val="14"/>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p>
    <w:p>
      <w:pPr>
        <w:pStyle w:val="14"/>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b/>
          <w:color w:val="000000" w:themeColor="text1"/>
          <w:sz w:val="24"/>
          <w:szCs w:val="24"/>
          <w:highlight w:val="none"/>
          <w14:textFill>
            <w14:solidFill>
              <w14:schemeClr w14:val="tx1"/>
            </w14:solidFill>
          </w14:textFill>
        </w:rPr>
      </w:pPr>
    </w:p>
    <w:p>
      <w:pPr>
        <w:pStyle w:val="14"/>
        <w:rPr>
          <w:rFonts w:hint="eastAsia" w:ascii="仿宋" w:hAnsi="仿宋" w:eastAsia="仿宋" w:cs="仿宋"/>
          <w:color w:val="000000" w:themeColor="text1"/>
          <w:sz w:val="24"/>
          <w:szCs w:val="24"/>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第四部分</w:t>
      </w:r>
    </w:p>
    <w:p>
      <w:pPr>
        <w:rPr>
          <w:rFonts w:hint="eastAsia" w:ascii="仿宋" w:hAnsi="仿宋" w:eastAsia="仿宋" w:cs="仿宋"/>
          <w:color w:val="000000" w:themeColor="text1"/>
          <w:sz w:val="48"/>
          <w:szCs w:val="48"/>
          <w:highlight w:val="none"/>
          <w14:textFill>
            <w14:solidFill>
              <w14:schemeClr w14:val="tx1"/>
            </w14:solidFill>
          </w14:textFill>
        </w:rPr>
      </w:pPr>
    </w:p>
    <w:p>
      <w:pPr>
        <w:spacing w:line="360" w:lineRule="auto"/>
        <w:jc w:val="center"/>
        <w:rPr>
          <w:rFonts w:hint="eastAsia" w:ascii="仿宋" w:hAnsi="仿宋" w:eastAsia="仿宋" w:cs="仿宋"/>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合 同 条 款</w:t>
      </w:r>
    </w:p>
    <w:p>
      <w:pPr>
        <w:adjustRightInd w:val="0"/>
        <w:snapToGrid w:val="0"/>
        <w:spacing w:line="360" w:lineRule="auto"/>
        <w:jc w:val="center"/>
        <w:rPr>
          <w:rFonts w:hint="eastAsia" w:ascii="仿宋" w:hAnsi="仿宋" w:eastAsia="仿宋" w:cs="仿宋"/>
          <w:b/>
          <w:color w:val="000000" w:themeColor="text1"/>
          <w:sz w:val="48"/>
          <w:szCs w:val="48"/>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highlight w:val="none"/>
          <w14:textFill>
            <w14:solidFill>
              <w14:schemeClr w14:val="tx1"/>
            </w14:solidFill>
          </w14:textFill>
        </w:rPr>
      </w:pPr>
    </w:p>
    <w:p>
      <w:pPr>
        <w:tabs>
          <w:tab w:val="left" w:pos="6180"/>
        </w:tabs>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p>
    <w:p>
      <w:pPr>
        <w:adjustRightInd w:val="0"/>
        <w:snapToGrid w:val="0"/>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adjustRightInd w:val="0"/>
        <w:snapToGrid w:val="0"/>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firstLine="2409" w:firstLineChars="800"/>
        <w:jc w:val="both"/>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30"/>
          <w:szCs w:val="30"/>
          <w:highlight w:val="none"/>
          <w:lang w:eastAsia="zh-CN"/>
          <w14:textFill>
            <w14:solidFill>
              <w14:schemeClr w14:val="tx1"/>
            </w14:solidFill>
          </w14:textFill>
        </w:rPr>
        <w:t>2021年和田市林果业技术扶持项目</w:t>
      </w: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ind w:firstLine="2805" w:firstLineChars="400"/>
        <w:jc w:val="both"/>
        <w:rPr>
          <w:rFonts w:hint="eastAsia" w:ascii="仿宋" w:hAnsi="仿宋" w:eastAsia="仿宋" w:cs="仿宋"/>
          <w:b/>
          <w:color w:val="000000" w:themeColor="text1"/>
          <w:spacing w:val="200"/>
          <w:sz w:val="30"/>
          <w:szCs w:val="30"/>
          <w:highlight w:val="none"/>
          <w14:textFill>
            <w14:solidFill>
              <w14:schemeClr w14:val="tx1"/>
            </w14:solidFill>
          </w14:textFill>
        </w:rPr>
      </w:pPr>
      <w:r>
        <w:rPr>
          <w:rFonts w:hint="eastAsia" w:ascii="仿宋" w:hAnsi="仿宋" w:eastAsia="仿宋" w:cs="仿宋"/>
          <w:b/>
          <w:color w:val="000000" w:themeColor="text1"/>
          <w:spacing w:val="200"/>
          <w:sz w:val="30"/>
          <w:szCs w:val="30"/>
          <w:highlight w:val="none"/>
          <w14:textFill>
            <w14:solidFill>
              <w14:schemeClr w14:val="tx1"/>
            </w14:solidFill>
          </w14:textFill>
        </w:rPr>
        <w:t>合同书格式</w:t>
      </w:r>
    </w:p>
    <w:p>
      <w:pPr>
        <w:adjustRightInd w:val="0"/>
        <w:snapToGrid w:val="0"/>
        <w:spacing w:line="360" w:lineRule="auto"/>
        <w:jc w:val="both"/>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30"/>
          <w:szCs w:val="30"/>
          <w:highlight w:val="none"/>
          <w14:textFill>
            <w14:solidFill>
              <w14:schemeClr w14:val="tx1"/>
            </w14:solidFill>
          </w14:textFill>
        </w:rPr>
        <w:t>（本合同条款仅作参考之用，若合同条款与用户需求书条款不符，以用户需求书条款为准）</w:t>
      </w: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pacing w:val="200"/>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adjustRightInd w:val="0"/>
        <w:snapToGrid w:val="0"/>
        <w:spacing w:line="360" w:lineRule="auto"/>
        <w:ind w:left="1680"/>
        <w:rPr>
          <w:rFonts w:hint="eastAsia" w:ascii="仿宋" w:hAnsi="仿宋" w:eastAsia="仿宋" w:cs="仿宋"/>
          <w:b/>
          <w:color w:val="000000" w:themeColor="text1"/>
          <w:sz w:val="24"/>
          <w:szCs w:val="24"/>
          <w:highlight w:val="none"/>
          <w:u w:val="singl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项目名称：</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合同编号：</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签约地点：</w:t>
      </w:r>
      <w:r>
        <w:rPr>
          <w:rFonts w:hint="eastAsia" w:ascii="仿宋" w:hAnsi="仿宋" w:eastAsia="仿宋" w:cs="仿宋"/>
          <w:b/>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ind w:left="16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签订日期：二○二</w:t>
      </w:r>
      <w:r>
        <w:rPr>
          <w:rFonts w:hint="eastAsia" w:ascii="仿宋" w:hAnsi="仿宋" w:eastAsia="仿宋" w:cs="仿宋"/>
          <w:b/>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color w:val="000000" w:themeColor="text1"/>
          <w:sz w:val="24"/>
          <w:szCs w:val="24"/>
          <w:highlight w:val="none"/>
          <w14:textFill>
            <w14:solidFill>
              <w14:schemeClr w14:val="tx1"/>
            </w14:solidFill>
          </w14:textFill>
        </w:rPr>
        <w:t>年   月     日</w:t>
      </w:r>
      <w:r>
        <w:rPr>
          <w:rFonts w:hint="eastAsia" w:ascii="仿宋" w:hAnsi="仿宋" w:eastAsia="仿宋" w:cs="仿宋"/>
          <w:color w:val="000000" w:themeColor="text1"/>
          <w:sz w:val="24"/>
          <w:szCs w:val="24"/>
          <w14:textFill>
            <w14:solidFill>
              <w14:schemeClr w14:val="tx1"/>
            </w14:solidFill>
          </w14:textFill>
        </w:rPr>
        <w:br w:type="page"/>
      </w:r>
      <w:r>
        <w:rPr>
          <w:rFonts w:hint="eastAsia" w:ascii="仿宋" w:hAnsi="仿宋" w:eastAsia="仿宋" w:cs="仿宋"/>
          <w:color w:val="000000" w:themeColor="text1"/>
          <w:sz w:val="24"/>
          <w:szCs w:val="24"/>
          <w14:textFill>
            <w14:solidFill>
              <w14:schemeClr w14:val="tx1"/>
            </w14:solidFill>
          </w14:textFill>
        </w:rPr>
        <w:t xml:space="preserve"> </w:t>
      </w:r>
    </w:p>
    <w:p>
      <w:pPr>
        <w:pStyle w:val="22"/>
        <w:spacing w:line="360" w:lineRule="auto"/>
        <w:jc w:val="both"/>
        <w:rPr>
          <w:rFonts w:hint="eastAsia" w:ascii="仿宋" w:hAnsi="仿宋" w:eastAsia="仿宋" w:cs="仿宋"/>
          <w:color w:val="000000" w:themeColor="text1"/>
          <w:sz w:val="24"/>
          <w:szCs w:val="24"/>
          <w14:textFill>
            <w14:solidFill>
              <w14:schemeClr w14:val="tx1"/>
            </w14:solidFill>
          </w14:textFill>
        </w:rPr>
      </w:pP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注：本合同条款仅供参考之用，最终以甲乙双方共同拟定并协商一致的为准。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甲方（采购人）：</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乙方（中标人）：</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Style w:val="34"/>
          <w:rFonts w:hint="eastAsia" w:ascii="仿宋" w:hAnsi="仿宋" w:eastAsia="仿宋" w:cs="仿宋"/>
          <w:color w:val="000000" w:themeColor="text1"/>
          <w:sz w:val="24"/>
          <w:szCs w:val="24"/>
          <w14:textFill>
            <w14:solidFill>
              <w14:schemeClr w14:val="tx1"/>
            </w14:solidFill>
          </w14:textFill>
        </w:rPr>
      </w:pPr>
      <w:r>
        <w:rPr>
          <w:rStyle w:val="34"/>
          <w:rFonts w:hint="eastAsia" w:ascii="仿宋" w:hAnsi="仿宋" w:eastAsia="仿宋" w:cs="仿宋"/>
          <w:color w:val="000000" w:themeColor="text1"/>
          <w:kern w:val="2"/>
          <w:sz w:val="24"/>
          <w:szCs w:val="24"/>
          <w:lang w:val="en-US" w:eastAsia="zh-CN" w:bidi="ar-SA"/>
          <w14:textFill>
            <w14:solidFill>
              <w14:schemeClr w14:val="tx1"/>
            </w14:solidFill>
          </w14:textFill>
        </w:rPr>
        <w:t>根据项目的采购结果，按照《中华人民共和国政府采购法》及其实施条例、《中华人民共和国合同法》的规定，经双方协商，本着平等互利和诚实信用的原则，一致同意签订本合同如下。</w:t>
      </w:r>
    </w:p>
    <w:p>
      <w:pPr>
        <w:pStyle w:val="22"/>
        <w:spacing w:line="360" w:lineRule="auto"/>
        <w:ind w:firstLine="240" w:firstLineChars="1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甲方委托乙方承担</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项目。全部项目共计经费 </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万元（人民币大写</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元整）。</w:t>
      </w:r>
    </w:p>
    <w:p>
      <w:pPr>
        <w:pStyle w:val="22"/>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二、项目依据与质量要求</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1、《中华人民共和国森林法》（2019年修订版）；</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2、《森林病虫害防治条例》（1989年11月17日国务院第50次常务会议通过 1989年12月18日中华人民共和国国务院令第46号公布 自公布之日起施行）；</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3、《国家林业局关于印发〈新疆南疆林果业发展科技支撑行动方案〉的通知》（林科发〔2017〕60号）；</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4、《森林资源规划设计调查主要技术规定》（国家林业局2003年）；</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5、《中共中央、国务院关于加快林业发展的决定》（中发〔2003〕9号）；</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6、《国家林业局推进生态文明建设规划纲要》（林规发〔2013〕146号）；</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7、《林业建设工程概算编制办法》；</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8、《国家林业局关于印发〈林业建设项目可行性研究报告编制规定〉（试行）和〈林业建设项目初步设计编制规定〉（试行）的通知》（国家林业局文件林计发[2006]156 号）；</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9、《核桃有害生物防治技术规程》（DB65/T3174-2010）；</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10、《有机红枣有害生物防治技术规程》</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11、《新疆特色林果主要有害生物防治手册》（新疆林业有害生物防治检疫总站编，中国农业出版社出版，北京，2009年12月）；</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12、《新疆维吾尔自治区林业改革发展资金管理实施细则》（新财建〔2019〕90号）；</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14:textFill>
            <w14:solidFill>
              <w14:schemeClr w14:val="tx1"/>
            </w14:solidFill>
          </w14:textFill>
        </w:rPr>
        <w:t>《关于印发〈北京市扶贫协作和支援合作 项目管理办法（试行）〉的通知》（</w:t>
      </w:r>
      <w:r>
        <w:rPr>
          <w:rFonts w:hint="eastAsia" w:ascii="仿宋" w:hAnsi="仿宋" w:eastAsia="仿宋" w:cs="仿宋"/>
          <w:color w:val="000000" w:themeColor="text1"/>
          <w:sz w:val="24"/>
          <w:szCs w:val="24"/>
          <w:lang w:val="en-US" w:eastAsia="zh-CN"/>
          <w14:textFill>
            <w14:solidFill>
              <w14:schemeClr w14:val="tx1"/>
            </w14:solidFill>
          </w14:textFill>
        </w:rPr>
        <w:t>京援合办发</w:t>
      </w:r>
      <w:r>
        <w:rPr>
          <w:rFonts w:hint="eastAsia" w:ascii="仿宋" w:hAnsi="仿宋" w:eastAsia="仿宋" w:cs="仿宋"/>
          <w:color w:val="000000" w:themeColor="text1"/>
          <w:sz w:val="24"/>
          <w:szCs w:val="24"/>
          <w14:textFill>
            <w14:solidFill>
              <w14:schemeClr w14:val="tx1"/>
            </w14:solidFill>
          </w14:textFill>
        </w:rPr>
        <w:t>〔201</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号</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14、《和田市林地保护利用规划成果数据》（2017年）；</w:t>
      </w:r>
    </w:p>
    <w:p>
      <w:pPr>
        <w:pStyle w:val="22"/>
        <w:spacing w:line="360" w:lineRule="auto"/>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15、《和田市森林资源规划设计补充调查成果数据》（2017年）；</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三）电子文档</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通过自治区验收后，乙方须向甲方提供以上文字成果的纸质文件</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套、图件成果的纸质文件   套。同时提交刻录有以上文字和图件完整工作成果的电子光盘   套，须包括所有成果的电子数据。</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（四）成果提交时间：</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和田市林业和草原局中标成果按照甲方需求完成。</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如因甲方组织审核等方面的原因造成不能按时提交以上成果，则因此受到影响的其它各阶段成果提交时间均相应顺延。</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四、甲方的主要责任和权利</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（一）负责项目的组织和协调，制定项目实施方案，审查项目技术方案，审核项目进程和工作质量，督促乙方按有关规定和计划完成项目并提交符合验收标准的成果。</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（二）负责组织对项目的成果审核、初验和上报验收。</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（三）负责协助乙方收集有关文件资料，及时提供应该由甲方提供的工作资料和有关数据（含电子资料）。</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四）对在项目实施过程中出现的不符合有关规程、规定和项目实施方案、技术方案要求的情形，甲方有权予以纠正和制止；情节严重的，甲方有权终止合同、取消乙方项目承担资格，并要求乙方赔偿损失和支付违约金。</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（五）申请和组织成果验收。</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（六）拥有对最终成果的所有权及他项权利。</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（七）在合同执行过程中，如甲方发现乙方不具备承担该项目的能力，或乙方将承担的项目转包给第三方承担，甲方有权解除本合同。</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（八）在合同履行过程中，如遇国家政策的调整等原因导致项目终止，甲方有权解除本合同，但须按照工作进度支付合同费用。</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五、乙方的主要责任和权利</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（一）制定和报批项目技术方案，并按照项目实施方案和技术方案开展具体的技术实施工作，接受甲方的人员安排、工作进度和质量监督。</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（二）严格按照本合同第二条项目依据与质量要求，保质保量按期完成项目，提交符合要求的最终成果。</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（三）乙方提交的成果，经验收不符合相关标准要求的，应当负责补充、完善或返工修改，并承担由此引起的一切后果及费用。</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（四）未经甲方同意，乙方不得以任何理由和任何形式向其它单位和个人提供项目成果，包括调查资料、中间成果和最终成果。</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（五）乙方在保证项目经费的合理使用和项目顺利进行的前提下，有按合同规定实施项目计划、安排所承担项目经费的使用的权利。</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六、费用支付方式</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2021年和田市林果业技术扶持项目计经费     万元（人民币大写      元整）。在签订本合同时，由甲方支付总价款的     ％即   万元（人民币大写    万元整）作为项目启动费用；通过自治区审查后支付余款     万元（人民币大写     万元整）。</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七、违约责任 </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双方如有违约，可按本合同相应价款的    ％进行违约金处罚。</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八、合同争议和解决办法</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甲、乙双方应本着积极、合作、协商的态度，严格履行本合同。因不可预见的因素或本合同未尽事宜发生争议，由双方协商解决，协商不成的，由上级主管部门协调解决。</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九、合同附件</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本合同未尽事宜，可由双方约定后作为合同附件，与本合同具有同等法律效力。</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十、其它</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（一）本合同自双方签字（盖章）之日起生效。</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（二）本合同原件一式肆份，甲乙双方各执贰份，具有同等法律效力。</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注： 此为合同草案，可根据磋商情况进行变更！</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甲方（盖章）：                                 乙方（盖章）：</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代表：                                         代表： </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签定地点：                               </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银行账号：                               银行账号：                               </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开户名称                                 开户名称                                     </w:t>
      </w:r>
    </w:p>
    <w:p>
      <w:pPr>
        <w:pStyle w:val="22"/>
        <w:spacing w:line="36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开 户 行                                 开 户 行</w:t>
      </w:r>
    </w:p>
    <w:p>
      <w:pPr>
        <w:pStyle w:val="22"/>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签定日期：  年   月   日      签定日期： 年     月     日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22"/>
        <w:spacing w:line="360" w:lineRule="auto"/>
        <w:jc w:val="both"/>
        <w:rPr>
          <w:rFonts w:hint="eastAsia" w:ascii="仿宋" w:hAnsi="仿宋" w:eastAsia="仿宋" w:cs="仿宋"/>
          <w:color w:val="000000" w:themeColor="text1"/>
          <w:sz w:val="24"/>
          <w:szCs w:val="24"/>
          <w14:textFill>
            <w14:solidFill>
              <w14:schemeClr w14:val="tx1"/>
            </w14:solidFill>
          </w14:textFill>
        </w:rPr>
        <w:sectPr>
          <w:pgSz w:w="11906" w:h="16838"/>
          <w:pgMar w:top="1440" w:right="1253" w:bottom="1440" w:left="1253" w:header="851" w:footer="992" w:gutter="0"/>
          <w:cols w:space="425" w:num="1"/>
          <w:docGrid w:type="lines" w:linePitch="312" w:charSpace="0"/>
        </w:sect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both"/>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before="120"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第五部分</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响 应 文 件 格 式</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（响应文件须编页码，且页码必须连续）</w:t>
      </w:r>
    </w:p>
    <w:p>
      <w:pPr>
        <w:spacing w:line="360" w:lineRule="auto"/>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br w:type="page"/>
      </w:r>
      <w:bookmarkStart w:id="11" w:name="_Toc202254104"/>
      <w:bookmarkStart w:id="12" w:name="_Toc202820350"/>
      <w:bookmarkStart w:id="13" w:name="_Toc202251699"/>
      <w:bookmarkStart w:id="14" w:name="_Toc202251074"/>
      <w:bookmarkStart w:id="15" w:name="_Toc202816995"/>
      <w:bookmarkStart w:id="16" w:name="_Toc202819877"/>
      <w:bookmarkStart w:id="17" w:name="_Toc202252033"/>
      <w:r>
        <w:rPr>
          <w:rFonts w:hint="eastAsia" w:ascii="仿宋" w:hAnsi="仿宋" w:eastAsia="仿宋" w:cs="仿宋"/>
          <w:b/>
          <w:color w:val="000000" w:themeColor="text1"/>
          <w:sz w:val="21"/>
          <w:szCs w:val="21"/>
          <w:highlight w:val="none"/>
          <w14:textFill>
            <w14:solidFill>
              <w14:schemeClr w14:val="tx1"/>
            </w14:solidFill>
          </w14:textFill>
        </w:rPr>
        <w:t>自查表</w:t>
      </w:r>
      <w:bookmarkEnd w:id="11"/>
      <w:bookmarkEnd w:id="12"/>
      <w:bookmarkEnd w:id="13"/>
      <w:bookmarkEnd w:id="14"/>
      <w:bookmarkEnd w:id="15"/>
      <w:bookmarkEnd w:id="16"/>
      <w:bookmarkEnd w:id="17"/>
    </w:p>
    <w:tbl>
      <w:tblPr>
        <w:tblStyle w:val="32"/>
        <w:tblW w:w="10000"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83"/>
        <w:gridCol w:w="3871"/>
        <w:gridCol w:w="2821"/>
        <w:gridCol w:w="252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tcBorders>
              <w:top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评审内容</w:t>
            </w:r>
          </w:p>
        </w:tc>
        <w:tc>
          <w:tcPr>
            <w:tcW w:w="3871"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磋商文件要求</w:t>
            </w:r>
            <w:r>
              <w:rPr>
                <w:rFonts w:hint="eastAsia" w:ascii="仿宋" w:hAnsi="仿宋" w:eastAsia="仿宋" w:cs="仿宋"/>
                <w:color w:val="000000" w:themeColor="text1"/>
                <w:sz w:val="21"/>
                <w:szCs w:val="21"/>
                <w:highlight w:val="none"/>
                <w14:textFill>
                  <w14:solidFill>
                    <w14:schemeClr w14:val="tx1"/>
                  </w14:solidFill>
                </w14:textFill>
              </w:rPr>
              <w:br w:type="textWrapping"/>
            </w:r>
            <w:r>
              <w:rPr>
                <w:rFonts w:hint="eastAsia" w:ascii="仿宋" w:hAnsi="仿宋" w:eastAsia="仿宋" w:cs="仿宋"/>
                <w:color w:val="000000" w:themeColor="text1"/>
                <w:sz w:val="21"/>
                <w:szCs w:val="21"/>
                <w:highlight w:val="none"/>
                <w14:textFill>
                  <w14:solidFill>
                    <w14:schemeClr w14:val="tx1"/>
                  </w14:solidFill>
                </w14:textFill>
              </w:rPr>
              <w:t>（详见《资格性和符合性审查表》各项）</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自查结论</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269" w:hRule="atLeast"/>
          <w:jc w:val="center"/>
        </w:trPr>
        <w:tc>
          <w:tcPr>
            <w:tcW w:w="783"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资格性审查</w:t>
            </w: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1）提供在中华人民共和国境内注册的法人或其他组织的营业执照或事业单位法人证书或社会团体法人登记证书复印件，如投标人为自然人的提供自然人身份证明复印件；如国家另有规定的，则从其规定。</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71"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jc w:val="cente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2）提供 2019年度或 2020年度经审计的《财务审计报告书》复印件，或银行出具的资信证明材料复印件；</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3）提供近段时间内（2021年1月-6月）的缴纳税收的完税证明或税务部门出具的纳税证明；如依法免税的，应提供相应文件证明；</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4）提供近段时间内（2021年1月-6月）的缴纳社保证明材料加盖公章。如依法不需要缴纳社会保障资金的，应提供相应文件证明；</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5）提供履行合同所必需的设备和专业技术能力的书面声明；（提供《投标人资格声明函》）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6）提供参加政府采购活动前3年内在经营活动中没有重大违法记录的书面声明；（提供《投标人资格声明函》）。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7）为采购项目提供整体设计、规范编制或者项目管理、监理、检测等服务的供应商，不得再参加该采购项目同一合同项下的其他采购活动。（提供《投标人资格声明函》）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8）单位负责人为同一人或者存在直接控股、管理关系的不同供应商，不得参加同一合同项下的政府采购活动。（提供《投标人资格声明函》）</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783"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right="0"/>
              <w:textAlignment w:val="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9）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restart"/>
            <w:tcBorders>
              <w:top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符合性审查</w:t>
            </w:r>
          </w:p>
        </w:tc>
        <w:tc>
          <w:tcPr>
            <w:tcW w:w="3871" w:type="dxa"/>
            <w:tcBorders>
              <w:top w:val="outset" w:color="111111" w:sz="6" w:space="0"/>
              <w:left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投标保证金已足额递交</w:t>
            </w:r>
          </w:p>
        </w:tc>
        <w:tc>
          <w:tcPr>
            <w:tcW w:w="2821" w:type="dxa"/>
            <w:tcBorders>
              <w:top w:val="outset" w:color="111111" w:sz="6" w:space="0"/>
              <w:left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响应文件完整、符合磋商文件规定的密封、签署、 盖章</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报价价格是固定唯一的</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报价有效期为90天</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32"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spacing w:line="480" w:lineRule="exact"/>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投标报价没有超出</w:t>
            </w:r>
            <w:r>
              <w:rPr>
                <w:rFonts w:hint="eastAsia" w:ascii="仿宋" w:hAnsi="仿宋" w:eastAsia="仿宋" w:cs="仿宋"/>
                <w:color w:val="000000" w:themeColor="text1"/>
                <w:sz w:val="21"/>
                <w:szCs w:val="21"/>
                <w:highlight w:val="none"/>
                <w:lang w:val="en-US" w:eastAsia="zh-CN"/>
                <w14:textFill>
                  <w14:solidFill>
                    <w14:schemeClr w14:val="tx1"/>
                  </w14:solidFill>
                </w14:textFill>
              </w:rPr>
              <w:t>最高限价</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6"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商务没有重大偏离或保留</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54" w:hRule="atLeast"/>
          <w:jc w:val="center"/>
        </w:trPr>
        <w:tc>
          <w:tcPr>
            <w:tcW w:w="783" w:type="dxa"/>
            <w:vMerge w:val="continue"/>
            <w:tcBorders>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满足《用户需求书》中功能要求、技术指标和服务要求</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78" w:hRule="atLeast"/>
          <w:jc w:val="center"/>
        </w:trPr>
        <w:tc>
          <w:tcPr>
            <w:tcW w:w="783" w:type="dxa"/>
            <w:vMerge w:val="continue"/>
            <w:tcBorders>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p>
        </w:tc>
        <w:tc>
          <w:tcPr>
            <w:tcW w:w="387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没有其它未实质性响应磋商文件的要求</w:t>
            </w:r>
          </w:p>
        </w:tc>
        <w:tc>
          <w:tcPr>
            <w:tcW w:w="2821" w:type="dxa"/>
            <w:tcBorders>
              <w:top w:val="outset" w:color="111111" w:sz="6" w:space="0"/>
              <w:left w:val="outset" w:color="111111" w:sz="6" w:space="0"/>
              <w:bottom w:val="outset" w:color="111111" w:sz="6" w:space="0"/>
              <w:right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□通过 □不通过</w:t>
            </w:r>
          </w:p>
        </w:tc>
        <w:tc>
          <w:tcPr>
            <w:tcW w:w="2525" w:type="dxa"/>
            <w:tcBorders>
              <w:top w:val="outset" w:color="111111" w:sz="6" w:space="0"/>
              <w:left w:val="outset" w:color="111111" w:sz="6" w:space="0"/>
              <w:bottom w:val="outset" w:color="111111" w:sz="6" w:space="0"/>
            </w:tcBorders>
            <w:vAlign w:val="center"/>
          </w:tcPr>
          <w:p>
            <w:pP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见响应文件第（ ）页</w:t>
            </w:r>
          </w:p>
        </w:tc>
      </w:tr>
    </w:tbl>
    <w:p>
      <w:pPr>
        <w:pStyle w:val="13"/>
        <w:spacing w:after="0" w:line="360" w:lineRule="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注：以上材料将作为供应商合格性和有效性审核的重要内容之一，供应商必须严格按照其内容及序列要求在响应文件中对应如实提供，对缺漏和不符合项将会直接导致无效投标！在对应的□打“√”。</w:t>
      </w:r>
    </w:p>
    <w:p>
      <w:pPr>
        <w:pStyle w:val="13"/>
        <w:spacing w:after="0" w:line="360" w:lineRule="auto"/>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adjustRightInd w:val="0"/>
        <w:snapToGrid w:val="0"/>
        <w:spacing w:line="360" w:lineRule="auto"/>
        <w:jc w:val="both"/>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 xml:space="preserve">供应商法定代表人（或法定代表人授权代表）签字：                   </w:t>
      </w:r>
    </w:p>
    <w:p>
      <w:pPr>
        <w:adjustRightInd w:val="0"/>
        <w:snapToGrid w:val="0"/>
        <w:spacing w:line="360" w:lineRule="auto"/>
        <w:jc w:val="both"/>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 xml:space="preserve">供应商名称（签章）：                        </w:t>
      </w:r>
    </w:p>
    <w:p>
      <w:pPr>
        <w:tabs>
          <w:tab w:val="left" w:pos="800"/>
          <w:tab w:val="left" w:pos="1000"/>
        </w:tabs>
        <w:spacing w:line="360" w:lineRule="auto"/>
        <w:jc w:val="both"/>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bidi="ar-SA"/>
          <w14:textFill>
            <w14:solidFill>
              <w14:schemeClr w14:val="tx1"/>
            </w14:solidFill>
          </w14:textFill>
        </w:rPr>
        <w:t>日期：   年   月   日</w:t>
      </w: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pStyle w:val="14"/>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14"/>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14"/>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14"/>
        <w:rPr>
          <w:rFonts w:hint="eastAsia"/>
          <w:lang w:val="en-US" w:eastAsia="zh-CN"/>
        </w:rPr>
      </w:pPr>
    </w:p>
    <w:p>
      <w:pPr>
        <w:pStyle w:val="14"/>
        <w:rPr>
          <w:rFonts w:hint="eastAsia"/>
          <w:color w:val="000000" w:themeColor="text1"/>
          <w:lang w:val="en-US" w:eastAsia="zh-CN"/>
          <w14:textFill>
            <w14:solidFill>
              <w14:schemeClr w14:val="tx1"/>
            </w14:solidFill>
          </w14:textFill>
        </w:rPr>
      </w:pP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1.2评审项目响应资料表</w:t>
      </w:r>
    </w:p>
    <w:p>
      <w:pPr>
        <w:pStyle w:val="14"/>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tbl>
      <w:tblPr>
        <w:tblStyle w:val="32"/>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48" w:type="dxa"/>
            <w:vAlign w:val="center"/>
          </w:tcPr>
          <w:p>
            <w:pPr>
              <w:pStyle w:val="67"/>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评审分项</w:t>
            </w:r>
          </w:p>
        </w:tc>
        <w:tc>
          <w:tcPr>
            <w:tcW w:w="6330" w:type="dxa"/>
            <w:vAlign w:val="center"/>
          </w:tcPr>
          <w:p>
            <w:pPr>
              <w:pStyle w:val="67"/>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评审细则</w:t>
            </w:r>
          </w:p>
        </w:tc>
        <w:tc>
          <w:tcPr>
            <w:tcW w:w="1620" w:type="dxa"/>
            <w:vAlign w:val="center"/>
          </w:tcPr>
          <w:p>
            <w:pPr>
              <w:pStyle w:val="67"/>
              <w:keepNext w:val="0"/>
              <w:adjustRightInd/>
              <w:spacing w:before="0" w:after="0" w:line="360" w:lineRule="auto"/>
              <w:rPr>
                <w:rFonts w:hint="eastAsia" w:ascii="仿宋" w:hAnsi="仿宋" w:eastAsia="仿宋" w:cs="仿宋"/>
                <w:b/>
                <w:bCs/>
                <w:color w:val="000000" w:themeColor="text1"/>
                <w:spacing w:val="0"/>
                <w:kern w:val="2"/>
                <w:sz w:val="24"/>
                <w:szCs w:val="24"/>
                <w:highlight w:val="none"/>
                <w14:textFill>
                  <w14:solidFill>
                    <w14:schemeClr w14:val="tx1"/>
                  </w14:solidFill>
                </w14:textFill>
              </w:rPr>
            </w:pPr>
            <w:r>
              <w:rPr>
                <w:rFonts w:hint="eastAsia" w:ascii="仿宋" w:hAnsi="仿宋" w:eastAsia="仿宋" w:cs="仿宋"/>
                <w:b/>
                <w:bCs/>
                <w:color w:val="000000" w:themeColor="text1"/>
                <w:spacing w:val="0"/>
                <w:kern w:val="2"/>
                <w:sz w:val="24"/>
                <w:szCs w:val="24"/>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1548" w:type="dxa"/>
            <w:vAlign w:val="center"/>
          </w:tcPr>
          <w:p>
            <w:pPr>
              <w:pStyle w:val="70"/>
              <w:spacing w:before="0" w:after="0"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b/>
                <w:bCs/>
                <w:i/>
                <w:iCs/>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48" w:type="dxa"/>
            <w:vAlign w:val="center"/>
          </w:tcPr>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0" w:leftChars="-81"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1548" w:type="dxa"/>
            <w:vAlign w:val="center"/>
          </w:tcPr>
          <w:p>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6330" w:type="dxa"/>
            <w:vAlign w:val="center"/>
          </w:tcPr>
          <w:p>
            <w:pPr>
              <w:pStyle w:val="25"/>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vAlign w:val="center"/>
          </w:tcPr>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见响应文件</w:t>
            </w:r>
          </w:p>
          <w:p>
            <w:pPr>
              <w:spacing w:line="360" w:lineRule="auto"/>
              <w:ind w:left="-17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9498" w:type="dxa"/>
            <w:gridSpan w:val="3"/>
            <w:vAlign w:val="center"/>
          </w:tcPr>
          <w:p>
            <w:pPr>
              <w:spacing w:line="360" w:lineRule="auto"/>
              <w:ind w:left="-65" w:leftChars="-3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注：供应商应分别结合磋商文件第二部分供应商须知中《</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打分表》的内容，列出评审分项在响应文件所在位置，以便查对。</w:t>
            </w:r>
          </w:p>
        </w:tc>
      </w:tr>
    </w:tbl>
    <w:p>
      <w:pPr>
        <w:rPr>
          <w:rFonts w:hint="eastAsia" w:ascii="仿宋" w:hAnsi="仿宋" w:eastAsia="仿宋" w:cs="仿宋"/>
          <w:color w:val="000000" w:themeColor="text1"/>
          <w:sz w:val="21"/>
          <w:szCs w:val="21"/>
          <w:highlight w:val="none"/>
          <w:lang w:val="en-US" w:eastAsia="zh-CN" w:bidi="ar-SA"/>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供应商名称（签章）：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tabs>
          <w:tab w:val="left" w:pos="800"/>
          <w:tab w:val="left" w:pos="1000"/>
        </w:tabs>
        <w:spacing w:line="36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一、项 目 报 价 表</w:t>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br w:type="page"/>
      </w:r>
      <w:bookmarkStart w:id="18" w:name="_Hlt10519799"/>
      <w:bookmarkEnd w:id="18"/>
      <w:bookmarkStart w:id="19" w:name="_Toc42951051"/>
      <w:r>
        <w:rPr>
          <w:rFonts w:hint="eastAsia" w:ascii="仿宋" w:hAnsi="仿宋" w:eastAsia="仿宋" w:cs="仿宋"/>
          <w:color w:val="000000" w:themeColor="text1"/>
          <w:sz w:val="24"/>
          <w:szCs w:val="24"/>
          <w:highlight w:val="none"/>
          <w14:textFill>
            <w14:solidFill>
              <w14:schemeClr w14:val="tx1"/>
            </w14:solidFill>
          </w14:textFill>
        </w:rPr>
        <w:t>1．报</w:t>
      </w:r>
      <w:bookmarkStart w:id="20" w:name="_Hlt10519308"/>
      <w:bookmarkEnd w:id="20"/>
      <w:r>
        <w:rPr>
          <w:rFonts w:hint="eastAsia" w:ascii="仿宋" w:hAnsi="仿宋" w:eastAsia="仿宋" w:cs="仿宋"/>
          <w:color w:val="000000" w:themeColor="text1"/>
          <w:sz w:val="24"/>
          <w:szCs w:val="24"/>
          <w:highlight w:val="none"/>
          <w14:textFill>
            <w14:solidFill>
              <w14:schemeClr w14:val="tx1"/>
            </w14:solidFill>
          </w14:textFill>
        </w:rPr>
        <w:t>价文件格式</w:t>
      </w:r>
      <w:bookmarkEnd w:id="19"/>
      <w:bookmarkStart w:id="21" w:name="_Hlt10456397"/>
      <w:bookmarkEnd w:id="21"/>
    </w:p>
    <w:p>
      <w:pPr>
        <w:pStyle w:val="18"/>
        <w:spacing w:line="480" w:lineRule="exact"/>
        <w:ind w:left="420" w:leftChars="20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附表1.1  </w:t>
      </w:r>
    </w:p>
    <w:p>
      <w:pPr>
        <w:pStyle w:val="18"/>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报价总表</w:t>
      </w:r>
    </w:p>
    <w:p>
      <w:pPr>
        <w:pStyle w:val="18"/>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[货币单位：人民币元]</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报价人名称：                                         </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编号：</w:t>
      </w:r>
    </w:p>
    <w:tbl>
      <w:tblPr>
        <w:tblStyle w:val="32"/>
        <w:tblW w:w="10431" w:type="dxa"/>
        <w:tblInd w:w="0" w:type="dxa"/>
        <w:tblLayout w:type="fixed"/>
        <w:tblCellMar>
          <w:top w:w="0" w:type="dxa"/>
          <w:left w:w="30" w:type="dxa"/>
          <w:bottom w:w="0" w:type="dxa"/>
          <w:right w:w="30" w:type="dxa"/>
        </w:tblCellMar>
      </w:tblPr>
      <w:tblGrid>
        <w:gridCol w:w="563"/>
        <w:gridCol w:w="2537"/>
        <w:gridCol w:w="5091"/>
        <w:gridCol w:w="2240"/>
      </w:tblGrid>
      <w:tr>
        <w:tblPrEx>
          <w:tblCellMar>
            <w:top w:w="0" w:type="dxa"/>
            <w:left w:w="30" w:type="dxa"/>
            <w:bottom w:w="0" w:type="dxa"/>
            <w:right w:w="30" w:type="dxa"/>
          </w:tblCellMar>
        </w:tblPrEx>
        <w:trPr>
          <w:cantSplit/>
          <w:trHeight w:val="705" w:hRule="atLeast"/>
        </w:trPr>
        <w:tc>
          <w:tcPr>
            <w:tcW w:w="563"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2537"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采购内容</w:t>
            </w:r>
          </w:p>
        </w:tc>
        <w:tc>
          <w:tcPr>
            <w:tcW w:w="5091"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总价</w:t>
            </w:r>
          </w:p>
        </w:tc>
        <w:tc>
          <w:tcPr>
            <w:tcW w:w="2240"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p>
        </w:tc>
      </w:tr>
      <w:tr>
        <w:tblPrEx>
          <w:tblCellMar>
            <w:top w:w="0" w:type="dxa"/>
            <w:left w:w="30" w:type="dxa"/>
            <w:bottom w:w="0" w:type="dxa"/>
            <w:right w:w="30" w:type="dxa"/>
          </w:tblCellMar>
        </w:tblPrEx>
        <w:trPr>
          <w:cantSplit/>
          <w:trHeight w:val="1343" w:hRule="atLeast"/>
        </w:trPr>
        <w:tc>
          <w:tcPr>
            <w:tcW w:w="5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1</w:t>
            </w:r>
          </w:p>
        </w:tc>
        <w:tc>
          <w:tcPr>
            <w:tcW w:w="2537" w:type="dxa"/>
            <w:tcBorders>
              <w:top w:val="single" w:color="auto" w:sz="4" w:space="0"/>
              <w:left w:val="single" w:color="auto" w:sz="4" w:space="0"/>
              <w:bottom w:val="single" w:color="auto" w:sz="4" w:space="0"/>
              <w:right w:val="single" w:color="auto" w:sz="4" w:space="0"/>
            </w:tcBorders>
            <w:vAlign w:val="center"/>
          </w:tcPr>
          <w:p>
            <w:pPr>
              <w:pStyle w:val="29"/>
              <w:keepNext w:val="0"/>
              <w:keepLines w:val="0"/>
              <w:widowControl/>
              <w:suppressLineNumbers w:val="0"/>
              <w:spacing w:before="75" w:beforeAutospacing="0" w:after="75" w:afterAutospacing="0" w:line="300" w:lineRule="atLeast"/>
              <w:ind w:right="0"/>
              <w:jc w:val="cente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2021年和田市林果业技术扶持项目</w:t>
            </w:r>
          </w:p>
        </w:tc>
        <w:tc>
          <w:tcPr>
            <w:tcW w:w="50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14:textFill>
                  <w14:solidFill>
                    <w14:schemeClr w14:val="tx1"/>
                  </w14:solidFill>
                </w14:textFill>
              </w:rPr>
            </w:pPr>
          </w:p>
        </w:tc>
        <w:tc>
          <w:tcPr>
            <w:tcW w:w="22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一年</w:t>
            </w:r>
          </w:p>
        </w:tc>
      </w:tr>
      <w:tr>
        <w:tblPrEx>
          <w:tblCellMar>
            <w:top w:w="0" w:type="dxa"/>
            <w:left w:w="30" w:type="dxa"/>
            <w:bottom w:w="0" w:type="dxa"/>
            <w:right w:w="30" w:type="dxa"/>
          </w:tblCellMar>
        </w:tblPrEx>
        <w:trPr>
          <w:cantSplit/>
          <w:trHeight w:val="1343" w:hRule="atLeast"/>
        </w:trPr>
        <w:tc>
          <w:tcPr>
            <w:tcW w:w="31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总计</w:t>
            </w:r>
          </w:p>
        </w:tc>
        <w:tc>
          <w:tcPr>
            <w:tcW w:w="73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8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小</w:t>
            </w:r>
            <w:r>
              <w:rPr>
                <w:rFonts w:hint="eastAsia" w:ascii="仿宋" w:hAnsi="仿宋" w:eastAsia="仿宋" w:cs="仿宋"/>
                <w:color w:val="000000" w:themeColor="text1"/>
                <w:sz w:val="24"/>
                <w:szCs w:val="24"/>
                <w14:textFill>
                  <w14:solidFill>
                    <w14:schemeClr w14:val="tx1"/>
                  </w14:solidFill>
                </w14:textFill>
              </w:rPr>
              <w:t>写：                                （￥               ）</w:t>
            </w:r>
          </w:p>
          <w:p>
            <w:pPr>
              <w:pStyle w:val="14"/>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大写：</w:t>
            </w:r>
          </w:p>
        </w:tc>
      </w:tr>
    </w:tbl>
    <w:p>
      <w:pPr>
        <w:spacing w:before="0"/>
        <w:ind w:left="518" w:right="0" w:firstLine="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w w:val="95"/>
          <w:sz w:val="24"/>
          <w:szCs w:val="24"/>
          <w:highlight w:val="none"/>
          <w14:textFill>
            <w14:solidFill>
              <w14:schemeClr w14:val="tx1"/>
            </w14:solidFill>
          </w14:textFill>
        </w:rPr>
        <w:t>1.投标人须按要求填写所有信息，不得随意更改本表格式。</w:t>
      </w:r>
    </w:p>
    <w:p>
      <w:pPr>
        <w:pStyle w:val="81"/>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pacing w:val="-2"/>
          <w:sz w:val="24"/>
          <w:szCs w:val="24"/>
          <w:highlight w:val="none"/>
          <w14:textFill>
            <w14:solidFill>
              <w14:schemeClr w14:val="tx1"/>
            </w14:solidFill>
          </w14:textFill>
        </w:rPr>
        <w:t>按政府采购规定程序进行报价。如果投标报价</w:t>
      </w: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明显低于通过资格审查和符合性审查的其他投标人</w:t>
      </w:r>
      <w:r>
        <w:rPr>
          <w:rFonts w:hint="eastAsia" w:ascii="仿宋" w:hAnsi="仿宋" w:eastAsia="仿宋" w:cs="仿宋"/>
          <w:color w:val="000000" w:themeColor="text1"/>
          <w:sz w:val="24"/>
          <w:szCs w:val="24"/>
          <w:highlight w:val="none"/>
          <w14:textFill>
            <w14:solidFill>
              <w14:schemeClr w14:val="tx1"/>
            </w14:solidFill>
          </w14:textFill>
        </w:rPr>
        <w:t>，投标人须提供书面说明和成本清单等相关证明材料，评标委员会应当审查认定；经评标委员会审查认定，认为投标报价与市场报价存在较大差异且投标人对履约能力方面无合理说明的，评标委员会将其作为无效投标处理。</w:t>
      </w:r>
    </w:p>
    <w:p>
      <w:pPr>
        <w:pStyle w:val="81"/>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2"/>
          <w:sz w:val="24"/>
          <w:szCs w:val="24"/>
          <w:highlight w:val="none"/>
          <w14:textFill>
            <w14:solidFill>
              <w14:schemeClr w14:val="tx1"/>
            </w14:solidFill>
          </w14:textFill>
        </w:rPr>
        <w:t>中文大写金额用汉字，如壹、贰、叁、肆、伍、陆、柒、捌、玖、拾、佰、仟、万、亿、元、角、分、零、整（正）等。</w:t>
      </w:r>
    </w:p>
    <w:p>
      <w:pPr>
        <w:pStyle w:val="81"/>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pacing w:val="-2"/>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pacing w:val="-2"/>
          <w:sz w:val="24"/>
          <w:szCs w:val="24"/>
          <w:highlight w:val="none"/>
          <w14:textFill>
            <w14:solidFill>
              <w14:schemeClr w14:val="tx1"/>
            </w14:solidFill>
          </w14:textFill>
        </w:rPr>
        <w:t>除招标文件另有规定外，投标文件内不得含有任何对本报价进行价格折扣的说明或资料，否则为无效投标。</w:t>
      </w:r>
    </w:p>
    <w:p>
      <w:pPr>
        <w:pStyle w:val="81"/>
        <w:numPr>
          <w:ilvl w:val="0"/>
          <w:numId w:val="0"/>
        </w:numPr>
        <w:tabs>
          <w:tab w:val="left" w:pos="1150"/>
        </w:tabs>
        <w:spacing w:before="141" w:after="0" w:line="364" w:lineRule="auto"/>
        <w:ind w:left="420" w:leftChars="200" w:right="1036" w:rightChars="0" w:firstLine="493" w:firstLineChars="209"/>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2"/>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pacing w:val="-2"/>
          <w:sz w:val="24"/>
          <w:szCs w:val="24"/>
          <w:highlight w:val="none"/>
          <w14:textFill>
            <w14:solidFill>
              <w14:schemeClr w14:val="tx1"/>
            </w14:solidFill>
          </w14:textFill>
        </w:rPr>
        <w:t>投标报价的小数点后保留2位有效数。</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8"/>
        <w:spacing w:line="360" w:lineRule="auto"/>
        <w:ind w:left="735" w:hanging="735"/>
        <w:rPr>
          <w:rFonts w:hint="eastAsia" w:ascii="仿宋" w:hAnsi="仿宋" w:eastAsia="仿宋" w:cs="仿宋"/>
          <w:color w:val="000000" w:themeColor="text1"/>
          <w:sz w:val="24"/>
          <w:szCs w:val="24"/>
          <w:highlight w:val="none"/>
          <w14:textFill>
            <w14:solidFill>
              <w14:schemeClr w14:val="tx1"/>
            </w14:solidFill>
          </w14:textFill>
        </w:rPr>
      </w:pPr>
    </w:p>
    <w:p>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tabs>
          <w:tab w:val="left" w:pos="676"/>
          <w:tab w:val="left" w:pos="2330"/>
          <w:tab w:val="left" w:pos="9230"/>
        </w:tabs>
        <w:autoSpaceDE w:val="0"/>
        <w:autoSpaceDN w:val="0"/>
        <w:adjustRightInd w:val="0"/>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pStyle w:val="18"/>
        <w:spacing w:line="360" w:lineRule="auto"/>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8"/>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22" w:name="_Toc42951052"/>
      <w:bookmarkStart w:id="23" w:name="_Hlt10456257"/>
      <w:r>
        <w:rPr>
          <w:rFonts w:hint="eastAsia" w:ascii="仿宋" w:hAnsi="仿宋" w:eastAsia="仿宋" w:cs="仿宋"/>
          <w:color w:val="000000" w:themeColor="text1"/>
          <w:sz w:val="24"/>
          <w:szCs w:val="24"/>
          <w:highlight w:val="none"/>
          <w14:textFill>
            <w14:solidFill>
              <w14:schemeClr w14:val="tx1"/>
            </w14:solidFill>
          </w14:textFill>
        </w:rPr>
        <w:t>2．报价函格式</w:t>
      </w:r>
      <w:bookmarkEnd w:id="22"/>
    </w:p>
    <w:bookmarkEnd w:id="23"/>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报 价 函</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我方确认收到贵方提供的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_ </w:t>
      </w:r>
      <w:r>
        <w:rPr>
          <w:rFonts w:hint="eastAsia" w:ascii="仿宋" w:hAnsi="仿宋" w:eastAsia="仿宋" w:cs="仿宋"/>
          <w:color w:val="000000" w:themeColor="text1"/>
          <w:sz w:val="24"/>
          <w:szCs w:val="24"/>
          <w:highlight w:val="none"/>
          <w14:textFill>
            <w14:solidFill>
              <w14:schemeClr w14:val="tx1"/>
            </w14:solidFill>
          </w14:textFill>
        </w:rPr>
        <w:t>货物及服务的磋商文件的全部内容，我方：__</w:t>
      </w:r>
      <w:r>
        <w:rPr>
          <w:rFonts w:hint="eastAsia" w:ascii="仿宋" w:hAnsi="仿宋" w:eastAsia="仿宋" w:cs="仿宋"/>
          <w:color w:val="000000" w:themeColor="text1"/>
          <w:sz w:val="24"/>
          <w:szCs w:val="24"/>
          <w:highlight w:val="none"/>
          <w:u w:val="single"/>
          <w14:textFill>
            <w14:solidFill>
              <w14:schemeClr w14:val="tx1"/>
            </w14:solidFill>
          </w14:textFill>
        </w:rPr>
        <w:t xml:space="preserve">                 _ </w:t>
      </w:r>
      <w:r>
        <w:rPr>
          <w:rFonts w:hint="eastAsia" w:ascii="仿宋" w:hAnsi="仿宋" w:eastAsia="仿宋" w:cs="仿宋"/>
          <w:color w:val="000000" w:themeColor="text1"/>
          <w:sz w:val="24"/>
          <w:szCs w:val="24"/>
          <w:highlight w:val="none"/>
          <w14:textFill>
            <w14:solidFill>
              <w14:schemeClr w14:val="tx1"/>
            </w14:solidFill>
          </w14:textFill>
        </w:rPr>
        <w:t xml:space="preserve"> (报价人名称)作为报价者正式授权</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(授权代表全名, 职务)代表我方进行有关本磋商的一切事宜。</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在此提交的报价文件, 正本一份, 副本</w:t>
      </w:r>
      <w:r>
        <w:rPr>
          <w:rFonts w:hint="eastAsia" w:ascii="仿宋" w:hAnsi="仿宋" w:eastAsia="仿宋" w:cs="仿宋"/>
          <w:color w:val="000000" w:themeColor="text1"/>
          <w:sz w:val="24"/>
          <w:szCs w:val="24"/>
          <w:highlight w:val="none"/>
          <w:u w:val="single"/>
          <w14:textFill>
            <w14:solidFill>
              <w14:schemeClr w14:val="tx1"/>
            </w14:solidFill>
          </w14:textFill>
        </w:rPr>
        <w:t xml:space="preserve"> 叁 </w:t>
      </w:r>
      <w:r>
        <w:rPr>
          <w:rFonts w:hint="eastAsia" w:ascii="仿宋" w:hAnsi="仿宋" w:eastAsia="仿宋" w:cs="仿宋"/>
          <w:color w:val="000000" w:themeColor="text1"/>
          <w:sz w:val="24"/>
          <w:szCs w:val="24"/>
          <w:highlight w:val="none"/>
          <w14:textFill>
            <w14:solidFill>
              <w14:schemeClr w14:val="tx1"/>
            </w14:solidFill>
          </w14:textFill>
        </w:rPr>
        <w:t>份，报价文件包括如下等内容:</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 报价文件第一部分</w:t>
      </w:r>
    </w:p>
    <w:p>
      <w:pPr>
        <w:pStyle w:val="18"/>
        <w:tabs>
          <w:tab w:val="left" w:pos="3780"/>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报价表</w:t>
      </w:r>
      <w:r>
        <w:rPr>
          <w:rFonts w:hint="eastAsia" w:ascii="仿宋" w:hAnsi="仿宋" w:eastAsia="仿宋" w:cs="仿宋"/>
          <w:color w:val="000000" w:themeColor="text1"/>
          <w:sz w:val="24"/>
          <w:szCs w:val="24"/>
          <w:highlight w:val="none"/>
          <w14:textFill>
            <w14:solidFill>
              <w14:schemeClr w14:val="tx1"/>
            </w14:solidFill>
          </w14:textFill>
        </w:rPr>
        <w:tab/>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 报价文件第二部分</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（一）报价函；</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（二）授权书；</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（三）资格证明文件；</w:t>
      </w:r>
    </w:p>
    <w:p>
      <w:pPr>
        <w:pStyle w:val="18"/>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投标保证金</w:t>
      </w:r>
      <w:r>
        <w:rPr>
          <w:rFonts w:hint="eastAsia" w:ascii="仿宋" w:hAnsi="仿宋" w:eastAsia="仿宋" w:cs="仿宋"/>
          <w:color w:val="000000" w:themeColor="text1"/>
          <w:sz w:val="24"/>
          <w:szCs w:val="24"/>
          <w:highlight w:val="none"/>
          <w14:textFill>
            <w14:solidFill>
              <w14:schemeClr w14:val="tx1"/>
            </w14:solidFill>
          </w14:textFill>
        </w:rPr>
        <w:t>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（大、小写）</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color w:val="000000" w:themeColor="text1"/>
          <w:sz w:val="24"/>
          <w:szCs w:val="24"/>
          <w:highlight w:val="none"/>
          <w14:textFill>
            <w14:solidFill>
              <w14:schemeClr w14:val="tx1"/>
            </w14:solidFill>
          </w14:textFill>
        </w:rPr>
        <w:t>；</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响应表及差异表；</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（六）按磋商文件供应商须知的要求提供的报价文件格式的其它有关文件。</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 报价文件第三部分</w:t>
      </w:r>
    </w:p>
    <w:p>
      <w:pPr>
        <w:spacing w:line="480" w:lineRule="exact"/>
        <w:ind w:firstLine="57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我方已完全明白报价文件的所有条款要求，并重申以下几点：</w:t>
      </w:r>
    </w:p>
    <w:p>
      <w:pP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（一）我方决定参加：采购编号为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号的报价；</w:t>
      </w:r>
    </w:p>
    <w:p>
      <w:pPr>
        <w:spacing w:line="480" w:lineRule="exact"/>
        <w:ind w:left="471" w:hanging="47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（二）全部有关服务的报价总价（详见报价表）；</w:t>
      </w:r>
    </w:p>
    <w:p>
      <w:pPr>
        <w:spacing w:line="480" w:lineRule="exact"/>
        <w:ind w:left="600" w:hanging="6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（三）本报价文件的有效期为磋商日起的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天内有效，如成交，有效期将延至合同终止日为止；</w:t>
      </w:r>
    </w:p>
    <w:p>
      <w:pPr>
        <w:widowControl w:val="0"/>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（四）我方已详细研究了磋商文件的所有内容包括修改文件(如果有)和所有已提供的参考资料以及有关附件并完全明白, 我方放弃在此方面提出含糊意见或误解的一切权力。</w:t>
      </w:r>
    </w:p>
    <w:p>
      <w:pPr>
        <w:spacing w:line="480" w:lineRule="exact"/>
        <w:ind w:left="693" w:hanging="792" w:hangingChars="33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（五） 我方明白并愿意在规定的磋商时间和日期之后,报价有效期之内撤回报价, 则报价保证金将被贵方没收。</w:t>
      </w:r>
    </w:p>
    <w:p>
      <w:pPr>
        <w:pStyle w:val="20"/>
        <w:spacing w:line="480" w:lineRule="exact"/>
        <w:ind w:left="0" w:left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（六） 我方同意按照贵方可能提出的要求而提供与报价有关的任何其它数据或信息。</w:t>
      </w:r>
    </w:p>
    <w:p>
      <w:pPr>
        <w:spacing w:line="480" w:lineRule="exact"/>
        <w:ind w:left="588" w:hanging="58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（七） 我方理解贵方不一定接受最低标价或任何贵方可能收到的报价。</w:t>
      </w:r>
    </w:p>
    <w:p>
      <w:pPr>
        <w:spacing w:line="480" w:lineRule="exact"/>
        <w:ind w:left="735"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（八） 我方如果成交，将保证履行磋商文件以及磋商文件修改文件（如果有的话）中的全部责任和义务，按质、按量、按期完成《用户</w:t>
      </w:r>
      <w:r>
        <w:rPr>
          <w:rFonts w:hint="eastAsia" w:ascii="仿宋" w:hAnsi="仿宋" w:eastAsia="仿宋" w:cs="仿宋"/>
          <w:color w:val="000000" w:themeColor="text1"/>
          <w:sz w:val="24"/>
          <w:szCs w:val="24"/>
          <w:highlight w:val="none"/>
          <w:lang w:val="en-US" w:eastAsia="zh-CN"/>
          <w14:textFill>
            <w14:solidFill>
              <w14:schemeClr w14:val="tx1"/>
            </w14:solidFill>
          </w14:textFill>
        </w:rPr>
        <w:t>fei</w:t>
      </w:r>
      <w:r>
        <w:rPr>
          <w:rFonts w:hint="eastAsia" w:ascii="仿宋" w:hAnsi="仿宋" w:eastAsia="仿宋" w:cs="仿宋"/>
          <w:color w:val="000000" w:themeColor="text1"/>
          <w:sz w:val="24"/>
          <w:szCs w:val="24"/>
          <w:highlight w:val="none"/>
          <w14:textFill>
            <w14:solidFill>
              <w14:schemeClr w14:val="tx1"/>
            </w14:solidFill>
          </w14:textFill>
        </w:rPr>
        <w:t>书》及《合同书》中的全部任务。</w:t>
      </w:r>
    </w:p>
    <w:p>
      <w:pPr>
        <w:pStyle w:val="15"/>
        <w:spacing w:line="480" w:lineRule="exact"/>
        <w:ind w:left="840" w:leftChars="0" w:hanging="840" w:hangingChars="3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（九） 如我方被授予合同，由我方就本次磋商支付或将支付的服务费列于磋商文件要求的承诺书（承诺书号</w:t>
      </w:r>
      <w:r>
        <w:rPr>
          <w:rFonts w:hint="eastAsia" w:ascii="仿宋" w:hAnsi="仿宋" w:eastAsia="仿宋" w:cs="仿宋"/>
          <w:color w:val="000000" w:themeColor="text1"/>
          <w:sz w:val="24"/>
          <w:szCs w:val="24"/>
          <w:highlight w:val="none"/>
          <w:lang w:eastAsia="zh-CN"/>
          <w14:textFill>
            <w14:solidFill>
              <w14:schemeClr w14:val="tx1"/>
            </w14:solidFill>
          </w14:textFill>
        </w:rPr>
        <w:t>HTSZFCGZBDL-2021-089-2</w:t>
      </w:r>
      <w:r>
        <w:rPr>
          <w:rFonts w:hint="eastAsia" w:ascii="仿宋" w:hAnsi="仿宋" w:eastAsia="仿宋" w:cs="仿宋"/>
          <w:color w:val="000000" w:themeColor="text1"/>
          <w:sz w:val="24"/>
          <w:szCs w:val="24"/>
          <w:highlight w:val="none"/>
          <w14:textFill>
            <w14:solidFill>
              <w14:schemeClr w14:val="tx1"/>
            </w14:solidFill>
          </w14:textFill>
        </w:rPr>
        <w:t>）中。</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（十） 所有与本磋商有关的函件请发往下列地址:</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.邮政编码：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ind w:left="721"/>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代表姓名：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    务：</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u w:val="singl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报价人（公章）：</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报价人地址：</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授权代表姓名（签名）：</w:t>
      </w: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left="4599" w:leftChars="219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80" w:lineRule="exact"/>
        <w:jc w:val="center"/>
        <w:outlineLvl w:val="0"/>
        <w:rPr>
          <w:rFonts w:hint="eastAsia" w:ascii="仿宋" w:hAnsi="仿宋" w:eastAsia="仿宋" w:cs="仿宋"/>
          <w:b/>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t>二、</w:t>
      </w:r>
      <w:r>
        <w:rPr>
          <w:rFonts w:hint="eastAsia" w:ascii="仿宋" w:hAnsi="仿宋" w:eastAsia="仿宋" w:cs="仿宋"/>
          <w:b/>
          <w:color w:val="000000" w:themeColor="text1"/>
          <w:sz w:val="48"/>
          <w:szCs w:val="48"/>
          <w:highlight w:val="none"/>
          <w:lang w:eastAsia="zh-CN"/>
          <w14:textFill>
            <w14:solidFill>
              <w14:schemeClr w14:val="tx1"/>
            </w14:solidFill>
          </w14:textFill>
        </w:rPr>
        <w:t>服</w:t>
      </w:r>
      <w:r>
        <w:rPr>
          <w:rFonts w:hint="eastAsia" w:ascii="仿宋" w:hAnsi="仿宋" w:eastAsia="仿宋" w:cs="仿宋"/>
          <w:b/>
          <w:color w:val="000000" w:themeColor="text1"/>
          <w:sz w:val="48"/>
          <w:szCs w:val="48"/>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48"/>
          <w:szCs w:val="48"/>
          <w:highlight w:val="none"/>
          <w:lang w:eastAsia="zh-CN"/>
          <w14:textFill>
            <w14:solidFill>
              <w14:schemeClr w14:val="tx1"/>
            </w14:solidFill>
          </w14:textFill>
        </w:rPr>
        <w:t>务</w:t>
      </w:r>
      <w:r>
        <w:rPr>
          <w:rFonts w:hint="eastAsia" w:ascii="仿宋" w:hAnsi="仿宋" w:eastAsia="仿宋" w:cs="仿宋"/>
          <w:b/>
          <w:color w:val="000000" w:themeColor="text1"/>
          <w:sz w:val="48"/>
          <w:szCs w:val="48"/>
          <w:highlight w:val="none"/>
          <w14:textFill>
            <w14:solidFill>
              <w14:schemeClr w14:val="tx1"/>
            </w14:solidFill>
          </w14:textFill>
        </w:rPr>
        <w:t xml:space="preserve"> 商 务 响 应</w:t>
      </w:r>
    </w:p>
    <w:p>
      <w:pPr>
        <w:pStyle w:val="18"/>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4" w:name="_Hlt10519541"/>
      <w:bookmarkEnd w:id="24"/>
      <w:bookmarkStart w:id="25" w:name="_Toc42951053"/>
      <w:r>
        <w:rPr>
          <w:rFonts w:hint="eastAsia" w:ascii="仿宋" w:hAnsi="仿宋" w:eastAsia="仿宋" w:cs="仿宋"/>
          <w:color w:val="000000" w:themeColor="text1"/>
          <w:sz w:val="24"/>
          <w:szCs w:val="24"/>
          <w:highlight w:val="none"/>
          <w14:textFill>
            <w14:solidFill>
              <w14:schemeClr w14:val="tx1"/>
            </w14:solidFill>
          </w14:textFill>
        </w:rPr>
        <w:t>1．</w:t>
      </w:r>
      <w:bookmarkEnd w:id="25"/>
      <w:r>
        <w:rPr>
          <w:rFonts w:hint="eastAsia" w:ascii="仿宋" w:hAnsi="仿宋" w:eastAsia="仿宋" w:cs="仿宋"/>
          <w:color w:val="000000" w:themeColor="text1"/>
          <w:sz w:val="24"/>
          <w:szCs w:val="24"/>
          <w:highlight w:val="none"/>
          <w14:textFill>
            <w14:solidFill>
              <w14:schemeClr w14:val="tx1"/>
            </w14:solidFill>
          </w14:textFill>
        </w:rPr>
        <w:t>法定代表人证明书、法定代表人授权书格式（附：法定代表人、被授权人身份证复印件）</w:t>
      </w:r>
    </w:p>
    <w:p>
      <w:pPr>
        <w:pStyle w:val="18"/>
        <w:spacing w:before="240" w:after="240" w:line="360" w:lineRule="auto"/>
        <w:ind w:firstLine="643"/>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法定代表人（企业负责人）</w:t>
      </w:r>
      <w:r>
        <w:rPr>
          <w:rFonts w:hint="eastAsia" w:ascii="仿宋" w:hAnsi="仿宋" w:eastAsia="仿宋" w:cs="仿宋"/>
          <w:b/>
          <w:color w:val="000000" w:themeColor="text1"/>
          <w:sz w:val="24"/>
          <w:szCs w:val="24"/>
          <w:highlight w:val="none"/>
          <w14:textFill>
            <w14:solidFill>
              <w14:schemeClr w14:val="tx1"/>
            </w14:solidFill>
          </w14:textFill>
        </w:rPr>
        <w:t>证明书</w:t>
      </w:r>
    </w:p>
    <w:p>
      <w:pPr>
        <w:pStyle w:val="18"/>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同志，现任我单位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职务，为法定代表人（企业负责人），特此证明。</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签发日期：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单位名称：</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（公章）</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附：代表人性别：                 年龄：</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身份证号码：</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营业执照号码：                   经济性质：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说明：1.法定代表人（企业负责人）为企业单位的主要行政负责人。</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2.内容必须填写真实、清楚、涂改无效，不得转让、买卖。</w:t>
      </w:r>
    </w:p>
    <w:p>
      <w:pPr>
        <w:spacing w:line="360" w:lineRule="auto"/>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3.将此证明提交对方作为合同附件。</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tabs>
          <w:tab w:val="left" w:pos="5761"/>
        </w:tabs>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供应商（公章）：</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4"/>
        <w:spacing w:before="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(为避免废标，请供应商务必提供本附件)</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4"/>
        <w:spacing w:before="7"/>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4"/>
        <w:spacing w:before="5"/>
        <w:rPr>
          <w:rFonts w:hint="eastAsia" w:ascii="仿宋" w:hAnsi="仿宋" w:eastAsia="仿宋" w:cs="仿宋"/>
          <w:color w:val="000000" w:themeColor="text1"/>
          <w:sz w:val="24"/>
          <w:szCs w:val="24"/>
          <w:highlight w:val="none"/>
          <w14:textFill>
            <w14:solidFill>
              <w14:schemeClr w14:val="tx1"/>
            </w14:solidFill>
          </w14:textFill>
        </w:rPr>
        <w:sectPr>
          <w:headerReference r:id="rId8" w:type="default"/>
          <w:footerReference r:id="rId9" w:type="default"/>
          <w:pgSz w:w="11910" w:h="16840"/>
          <w:pgMar w:top="1340" w:right="901" w:bottom="920" w:left="900" w:header="763" w:footer="720" w:gutter="0"/>
          <w:pgNumType w:start="4"/>
          <w:cols w:space="720" w:num="1"/>
        </w:sectPr>
      </w:pP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1312" behindDoc="1" locked="0" layoutInCell="1" allowOverlap="1">
                <wp:simplePos x="0" y="0"/>
                <wp:positionH relativeFrom="page">
                  <wp:posOffset>1400810</wp:posOffset>
                </wp:positionH>
                <wp:positionV relativeFrom="paragraph">
                  <wp:posOffset>247650</wp:posOffset>
                </wp:positionV>
                <wp:extent cx="2343150" cy="1587500"/>
                <wp:effectExtent l="0" t="635" r="0" b="12065"/>
                <wp:wrapTopAndBottom/>
                <wp:docPr id="19" name="组合 19"/>
                <wp:cNvGraphicFramePr/>
                <a:graphic xmlns:a="http://schemas.openxmlformats.org/drawingml/2006/main">
                  <a:graphicData uri="http://schemas.microsoft.com/office/word/2010/wordprocessingGroup">
                    <wpg:wgp>
                      <wpg:cNvGrpSpPr/>
                      <wpg:grpSpPr>
                        <a:xfrm>
                          <a:off x="0" y="0"/>
                          <a:ext cx="2343150" cy="1587500"/>
                          <a:chOff x="2206" y="391"/>
                          <a:chExt cx="3690" cy="2500"/>
                        </a:xfrm>
                        <a:effectLst/>
                      </wpg:grpSpPr>
                      <wps:wsp>
                        <wps:cNvPr id="2" name="任意多边形 3"/>
                        <wps:cNvSpPr/>
                        <wps:spPr>
                          <a:xfrm>
                            <a:off x="2206" y="390"/>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3" name="文本框 4"/>
                        <wps:cNvSpPr txBox="1"/>
                        <wps:spPr>
                          <a:xfrm>
                            <a:off x="2206" y="390"/>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wps:txbx>
                        <wps:bodyPr lIns="0" tIns="0" rIns="0" bIns="0" upright="1"/>
                      </wps:wsp>
                    </wpg:wgp>
                  </a:graphicData>
                </a:graphic>
              </wp:anchor>
            </w:drawing>
          </mc:Choice>
          <mc:Fallback>
            <w:pict>
              <v:group id="_x0000_s1026" o:spid="_x0000_s1026" o:spt="203" style="position:absolute;left:0pt;margin-left:110.3pt;margin-top:19.5pt;height:125pt;width:184.5pt;mso-position-horizontal-relative:page;mso-wrap-distance-bottom:0pt;mso-wrap-distance-top:0pt;z-index:-251655168;mso-width-relative:page;mso-height-relative:page;" coordorigin="2206,391" coordsize="3690,2500" o:gfxdata="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">
                <o:lock v:ext="edit" aspectratio="f"/>
                <v:shape id="任意多边形 3" o:spid="_x0000_s1026" o:spt="100" style="position:absolute;left:2206;top:390;height:2500;width:3690;" fillcolor="#000000" filled="t" stroked="f" coordsize="3690,2500" o:gfxdata="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cLtW8AAAA&#10;2gAAAA8AAAAAAAAAAQAgAAAAIgAAAGRycy9kb3ducmV2LnhtbFBLAQIUABQAAAAIAIdO4kAzLwWe&#10;OwAAADkAAAAQAAAAAAAAAAEAIAAAAAsBAABkcnMvc2hhcGV4bWwueG1sUEsFBgAAAAAGAAYAWwEA&#10;ALUD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4" o:spid="_x0000_s1026" o:spt="202" type="#_x0000_t202" style="position:absolute;left:2206;top:390;height:2500;width:369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宋体"/>
                          </w:rPr>
                        </w:pPr>
                        <w:r>
                          <w:rPr>
                            <w:rFonts w:hint="eastAsia" w:ascii="仿宋" w:hAnsi="仿宋" w:eastAsia="仿宋" w:cs="仿宋"/>
                            <w:szCs w:val="22"/>
                          </w:rPr>
                          <w:t>法定代表人/企业负责人身份证(正面)复印件</w:t>
                        </w:r>
                      </w:p>
                    </w:txbxContent>
                  </v:textbox>
                </v:shape>
                <w10:wrap type="topAndBottom"/>
              </v:group>
            </w:pict>
          </mc:Fallback>
        </mc:AlternateContent>
      </w:r>
      <w:r>
        <w:rPr>
          <w:rFonts w:hint="eastAsia" w:ascii="仿宋" w:hAnsi="仿宋" w:eastAsia="仿宋" w:cs="仿宋"/>
          <w:color w:val="000000" w:themeColor="text1"/>
          <w:sz w:val="24"/>
          <w:szCs w:val="24"/>
          <w:highlight w:val="none"/>
          <w:lang w:val="en-US" w:bidi="ar-SA"/>
          <w14:textFill>
            <w14:solidFill>
              <w14:schemeClr w14:val="tx1"/>
            </w14:solidFill>
          </w14:textFill>
        </w:rPr>
        <mc:AlternateContent>
          <mc:Choice Requires="wpg">
            <w:drawing>
              <wp:anchor distT="0" distB="0" distL="114300" distR="114300" simplePos="0" relativeHeight="251662336" behindDoc="1" locked="0" layoutInCell="1" allowOverlap="1">
                <wp:simplePos x="0" y="0"/>
                <wp:positionH relativeFrom="page">
                  <wp:posOffset>4043045</wp:posOffset>
                </wp:positionH>
                <wp:positionV relativeFrom="paragraph">
                  <wp:posOffset>252095</wp:posOffset>
                </wp:positionV>
                <wp:extent cx="2343150" cy="1587500"/>
                <wp:effectExtent l="635" t="635" r="0" b="12065"/>
                <wp:wrapTopAndBottom/>
                <wp:docPr id="7" name="组合 7"/>
                <wp:cNvGraphicFramePr/>
                <a:graphic xmlns:a="http://schemas.openxmlformats.org/drawingml/2006/main">
                  <a:graphicData uri="http://schemas.microsoft.com/office/word/2010/wordprocessingGroup">
                    <wpg:wgp>
                      <wpg:cNvGrpSpPr/>
                      <wpg:grpSpPr>
                        <a:xfrm>
                          <a:off x="0" y="0"/>
                          <a:ext cx="2343150" cy="1587500"/>
                          <a:chOff x="6368" y="398"/>
                          <a:chExt cx="3690" cy="2500"/>
                        </a:xfrm>
                        <a:effectLst/>
                      </wpg:grpSpPr>
                      <wps:wsp>
                        <wps:cNvPr id="18" name="任意多边形 6"/>
                        <wps:cNvSpPr/>
                        <wps:spPr>
                          <a:xfrm>
                            <a:off x="6367" y="397"/>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6" name="文本框 7"/>
                        <wps:cNvSpPr txBox="1"/>
                        <wps:spPr>
                          <a:xfrm>
                            <a:off x="6367" y="397"/>
                            <a:ext cx="3690" cy="2500"/>
                          </a:xfrm>
                          <a:prstGeom prst="rect">
                            <a:avLst/>
                          </a:prstGeom>
                          <a:noFill/>
                          <a:ln>
                            <a:noFill/>
                          </a:ln>
                          <a:effectLst/>
                        </wps:spPr>
                        <wps:txbx>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wps:txbx>
                        <wps:bodyPr lIns="0" tIns="0" rIns="0" bIns="0" upright="1"/>
                      </wps:wsp>
                    </wpg:wgp>
                  </a:graphicData>
                </a:graphic>
              </wp:anchor>
            </w:drawing>
          </mc:Choice>
          <mc:Fallback>
            <w:pict>
              <v:group id="_x0000_s1026" o:spid="_x0000_s1026" o:spt="203" style="position:absolute;left:0pt;margin-left:318.35pt;margin-top:19.85pt;height:125pt;width:184.5pt;mso-position-horizontal-relative:page;mso-wrap-distance-bottom:0pt;mso-wrap-distance-top:0pt;z-index:-251654144;mso-width-relative:page;mso-height-relative:page;" coordorigin="6368,398" coordsize="3690,2500" o:gfxdata="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">
                <o:lock v:ext="edit" aspectratio="f"/>
                <v:shape id="任意多边形 6" o:spid="_x0000_s1026" o:spt="100" style="position:absolute;left:6367;top:397;height:2500;width:3690;" fillcolor="#000000" filled="t" stroked="f" coordsize="3690,2500" o:gfxdata="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Xvd2vQAA&#10;ANsAAAAPAAAAAAAAAAEAIAAAACIAAABkcnMvZG93bnJldi54bWxQSwECFAAUAAAACACHTuJAMy8F&#10;njsAAAA5AAAAEAAAAAAAAAABACAAAAAMAQAAZHJzL3NoYXBleG1sLnhtbFBLBQYAAAAABgAGAFsB&#10;AAC2AwA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7" o:spid="_x0000_s1026" o:spt="202" type="#_x0000_t202" style="position:absolute;left:6367;top:397;height:2500;width:369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b/>
                            <w:sz w:val="22"/>
                          </w:rPr>
                        </w:pPr>
                      </w:p>
                      <w:p>
                        <w:pPr>
                          <w:rPr>
                            <w:b/>
                            <w:sz w:val="22"/>
                          </w:rPr>
                        </w:pPr>
                      </w:p>
                      <w:p>
                        <w:pPr>
                          <w:rPr>
                            <w:b/>
                            <w:sz w:val="26"/>
                          </w:rPr>
                        </w:pPr>
                      </w:p>
                      <w:p>
                        <w:pPr>
                          <w:ind w:left="409"/>
                          <w:rPr>
                            <w:rFonts w:ascii="仿宋" w:hAnsi="仿宋" w:eastAsia="仿宋" w:cs="仿宋"/>
                            <w:szCs w:val="22"/>
                          </w:rPr>
                        </w:pPr>
                        <w:r>
                          <w:rPr>
                            <w:rFonts w:hint="eastAsia" w:ascii="仿宋" w:hAnsi="仿宋" w:eastAsia="仿宋" w:cs="仿宋"/>
                            <w:szCs w:val="22"/>
                          </w:rPr>
                          <w:t>法定代表人/企业负责人身份证(背面)复印件</w:t>
                        </w:r>
                      </w:p>
                    </w:txbxContent>
                  </v:textbox>
                </v:shape>
                <w10:wrap type="topAndBottom"/>
              </v:group>
            </w:pict>
          </mc:Fallback>
        </mc:AlternateContent>
      </w:r>
    </w:p>
    <w:p>
      <w:pPr>
        <w:pStyle w:val="18"/>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法定代表人/企业负责人授权书</w:t>
      </w: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pStyle w:val="18"/>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本授权书声明：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先生/女士，现任我单位</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职务，在</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项目招标[招标编号为：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]的投标和合同执行过程中，授权其作为我公司的全权代理人，以我方的名义处理一切与之有关的事宜。本授权书于</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月</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日签字盖章生效。</w:t>
      </w:r>
    </w:p>
    <w:p>
      <w:pPr>
        <w:pStyle w:val="18"/>
        <w:spacing w:line="480" w:lineRule="exact"/>
        <w:ind w:left="178" w:hanging="204" w:hangingChars="8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说明：1.法定代表人为企业事业单位、国家机关、社会团体的主要行政负责人。</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2.内容必须填写真实、清楚、涂改无效，不得转让、买卖。</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3.将此证明书提交对方作为合同附件。</w:t>
      </w:r>
    </w:p>
    <w:p>
      <w:pPr>
        <w:pStyle w:val="18"/>
        <w:spacing w:line="480" w:lineRule="exact"/>
        <w:ind w:left="870" w:leftChars="300" w:hanging="240" w:hanging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4.授权权限：全权代表本公司参与上述采购项目的投标响应，负责提供与签署确认一切文书资料，以及向贵方递交的任何补充承诺。</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5.有效期限：与本公司投标文件中标注的投标有效期相同。</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6.投标签字代表为法定代表人，则本表不适用。</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供应商（公章）：</w:t>
      </w: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208" w:leftChars="99" w:firstLine="511" w:firstLineChars="21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法定代表人（企业负责人）（签字）：</w:t>
      </w:r>
    </w:p>
    <w:p>
      <w:pPr>
        <w:pStyle w:val="3"/>
        <w:rPr>
          <w:rFonts w:hint="eastAsia" w:ascii="仿宋" w:hAnsi="仿宋" w:eastAsia="仿宋" w:cs="仿宋"/>
          <w:color w:val="000000" w:themeColor="text1"/>
          <w:sz w:val="24"/>
          <w:szCs w:val="24"/>
          <w:highlight w:val="none"/>
          <w14:textFill>
            <w14:solidFill>
              <w14:schemeClr w14:val="tx1"/>
            </w14:solidFill>
          </w14:textFill>
        </w:rPr>
      </w:pPr>
    </w:p>
    <w:p>
      <w:pPr>
        <w:tabs>
          <w:tab w:val="center" w:pos="4535"/>
        </w:tabs>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4384" behindDoc="1" locked="0" layoutInCell="1" allowOverlap="1">
                <wp:simplePos x="0" y="0"/>
                <wp:positionH relativeFrom="page">
                  <wp:posOffset>1420495</wp:posOffset>
                </wp:positionH>
                <wp:positionV relativeFrom="paragraph">
                  <wp:posOffset>157480</wp:posOffset>
                </wp:positionV>
                <wp:extent cx="2343150" cy="1587500"/>
                <wp:effectExtent l="635" t="635" r="0" b="12065"/>
                <wp:wrapTopAndBottom/>
                <wp:docPr id="21" name="组合 21"/>
                <wp:cNvGraphicFramePr/>
                <a:graphic xmlns:a="http://schemas.openxmlformats.org/drawingml/2006/main">
                  <a:graphicData uri="http://schemas.microsoft.com/office/word/2010/wordprocessingGroup">
                    <wpg:wgp>
                      <wpg:cNvGrpSpPr/>
                      <wpg:grpSpPr>
                        <a:xfrm>
                          <a:off x="0" y="0"/>
                          <a:ext cx="2343150" cy="1587500"/>
                          <a:chOff x="2238" y="249"/>
                          <a:chExt cx="3690" cy="2500"/>
                        </a:xfrm>
                        <a:effectLst/>
                      </wpg:grpSpPr>
                      <wps:wsp>
                        <wps:cNvPr id="8" name="任意多边形 9"/>
                        <wps:cNvSpPr/>
                        <wps:spPr>
                          <a:xfrm>
                            <a:off x="2237" y="248"/>
                            <a:ext cx="3690" cy="2500"/>
                          </a:xfrm>
                          <a:custGeom>
                            <a:avLst/>
                            <a:gdLst/>
                            <a:ahLst/>
                            <a:cxnLst/>
                            <a:rect l="0" t="0" r="0" b="0"/>
                            <a:pathLst>
                              <a:path w="3690" h="2500">
                                <a:moveTo>
                                  <a:pt x="257" y="20"/>
                                </a:moveTo>
                                <a:lnTo>
                                  <a:pt x="195" y="20"/>
                                </a:lnTo>
                                <a:lnTo>
                                  <a:pt x="209" y="0"/>
                                </a:lnTo>
                                <a:lnTo>
                                  <a:pt x="273" y="0"/>
                                </a:lnTo>
                                <a:lnTo>
                                  <a:pt x="257" y="20"/>
                                </a:lnTo>
                                <a:close/>
                                <a:moveTo>
                                  <a:pt x="3494" y="20"/>
                                </a:moveTo>
                                <a:lnTo>
                                  <a:pt x="3432" y="20"/>
                                </a:lnTo>
                                <a:lnTo>
                                  <a:pt x="3416" y="0"/>
                                </a:lnTo>
                                <a:lnTo>
                                  <a:pt x="3480" y="0"/>
                                </a:lnTo>
                                <a:lnTo>
                                  <a:pt x="3494" y="20"/>
                                </a:lnTo>
                                <a:close/>
                                <a:moveTo>
                                  <a:pt x="187" y="40"/>
                                </a:moveTo>
                                <a:lnTo>
                                  <a:pt x="153" y="40"/>
                                </a:lnTo>
                                <a:lnTo>
                                  <a:pt x="167" y="20"/>
                                </a:lnTo>
                                <a:lnTo>
                                  <a:pt x="201" y="20"/>
                                </a:lnTo>
                                <a:lnTo>
                                  <a:pt x="187" y="40"/>
                                </a:lnTo>
                                <a:close/>
                                <a:moveTo>
                                  <a:pt x="3536" y="40"/>
                                </a:moveTo>
                                <a:lnTo>
                                  <a:pt x="3502" y="40"/>
                                </a:lnTo>
                                <a:lnTo>
                                  <a:pt x="3488" y="20"/>
                                </a:lnTo>
                                <a:lnTo>
                                  <a:pt x="3522" y="20"/>
                                </a:lnTo>
                                <a:lnTo>
                                  <a:pt x="3536" y="40"/>
                                </a:lnTo>
                                <a:close/>
                                <a:moveTo>
                                  <a:pt x="149" y="60"/>
                                </a:moveTo>
                                <a:lnTo>
                                  <a:pt x="128" y="60"/>
                                </a:lnTo>
                                <a:lnTo>
                                  <a:pt x="140" y="40"/>
                                </a:lnTo>
                                <a:lnTo>
                                  <a:pt x="161" y="40"/>
                                </a:lnTo>
                                <a:lnTo>
                                  <a:pt x="149" y="60"/>
                                </a:lnTo>
                                <a:close/>
                                <a:moveTo>
                                  <a:pt x="3561" y="60"/>
                                </a:moveTo>
                                <a:lnTo>
                                  <a:pt x="3540" y="60"/>
                                </a:lnTo>
                                <a:lnTo>
                                  <a:pt x="3528" y="40"/>
                                </a:lnTo>
                                <a:lnTo>
                                  <a:pt x="3549" y="40"/>
                                </a:lnTo>
                                <a:lnTo>
                                  <a:pt x="3561" y="60"/>
                                </a:lnTo>
                                <a:close/>
                                <a:moveTo>
                                  <a:pt x="125" y="80"/>
                                </a:moveTo>
                                <a:lnTo>
                                  <a:pt x="104" y="80"/>
                                </a:lnTo>
                                <a:lnTo>
                                  <a:pt x="116" y="60"/>
                                </a:lnTo>
                                <a:lnTo>
                                  <a:pt x="137" y="60"/>
                                </a:lnTo>
                                <a:lnTo>
                                  <a:pt x="125" y="80"/>
                                </a:lnTo>
                                <a:close/>
                                <a:moveTo>
                                  <a:pt x="3585" y="80"/>
                                </a:moveTo>
                                <a:lnTo>
                                  <a:pt x="3564" y="80"/>
                                </a:lnTo>
                                <a:lnTo>
                                  <a:pt x="3552" y="60"/>
                                </a:lnTo>
                                <a:lnTo>
                                  <a:pt x="3573" y="60"/>
                                </a:lnTo>
                                <a:lnTo>
                                  <a:pt x="3585" y="80"/>
                                </a:lnTo>
                                <a:close/>
                                <a:moveTo>
                                  <a:pt x="104" y="100"/>
                                </a:moveTo>
                                <a:lnTo>
                                  <a:pt x="82" y="100"/>
                                </a:lnTo>
                                <a:lnTo>
                                  <a:pt x="93" y="80"/>
                                </a:lnTo>
                                <a:lnTo>
                                  <a:pt x="114" y="80"/>
                                </a:lnTo>
                                <a:lnTo>
                                  <a:pt x="104" y="100"/>
                                </a:lnTo>
                                <a:close/>
                                <a:moveTo>
                                  <a:pt x="3607" y="100"/>
                                </a:moveTo>
                                <a:lnTo>
                                  <a:pt x="3585" y="100"/>
                                </a:lnTo>
                                <a:lnTo>
                                  <a:pt x="3575" y="80"/>
                                </a:lnTo>
                                <a:lnTo>
                                  <a:pt x="3596" y="80"/>
                                </a:lnTo>
                                <a:lnTo>
                                  <a:pt x="3607" y="100"/>
                                </a:lnTo>
                                <a:close/>
                                <a:moveTo>
                                  <a:pt x="66" y="140"/>
                                </a:moveTo>
                                <a:lnTo>
                                  <a:pt x="54" y="140"/>
                                </a:lnTo>
                                <a:lnTo>
                                  <a:pt x="63" y="120"/>
                                </a:lnTo>
                                <a:lnTo>
                                  <a:pt x="72" y="100"/>
                                </a:lnTo>
                                <a:lnTo>
                                  <a:pt x="94" y="100"/>
                                </a:lnTo>
                                <a:lnTo>
                                  <a:pt x="84" y="120"/>
                                </a:lnTo>
                                <a:lnTo>
                                  <a:pt x="75" y="120"/>
                                </a:lnTo>
                                <a:lnTo>
                                  <a:pt x="66" y="140"/>
                                </a:lnTo>
                                <a:close/>
                                <a:moveTo>
                                  <a:pt x="3635" y="140"/>
                                </a:moveTo>
                                <a:lnTo>
                                  <a:pt x="3623" y="140"/>
                                </a:lnTo>
                                <a:lnTo>
                                  <a:pt x="3614" y="120"/>
                                </a:lnTo>
                                <a:lnTo>
                                  <a:pt x="3605" y="120"/>
                                </a:lnTo>
                                <a:lnTo>
                                  <a:pt x="3595" y="100"/>
                                </a:lnTo>
                                <a:lnTo>
                                  <a:pt x="3617" y="100"/>
                                </a:lnTo>
                                <a:lnTo>
                                  <a:pt x="3626" y="120"/>
                                </a:lnTo>
                                <a:lnTo>
                                  <a:pt x="3635" y="140"/>
                                </a:lnTo>
                                <a:close/>
                                <a:moveTo>
                                  <a:pt x="44" y="180"/>
                                </a:moveTo>
                                <a:lnTo>
                                  <a:pt x="31" y="180"/>
                                </a:lnTo>
                                <a:lnTo>
                                  <a:pt x="38" y="160"/>
                                </a:lnTo>
                                <a:lnTo>
                                  <a:pt x="46" y="140"/>
                                </a:lnTo>
                                <a:lnTo>
                                  <a:pt x="67" y="140"/>
                                </a:lnTo>
                                <a:lnTo>
                                  <a:pt x="58" y="160"/>
                                </a:lnTo>
                                <a:lnTo>
                                  <a:pt x="51" y="160"/>
                                </a:lnTo>
                                <a:lnTo>
                                  <a:pt x="44" y="180"/>
                                </a:lnTo>
                                <a:close/>
                                <a:moveTo>
                                  <a:pt x="3658" y="180"/>
                                </a:moveTo>
                                <a:lnTo>
                                  <a:pt x="3645" y="180"/>
                                </a:lnTo>
                                <a:lnTo>
                                  <a:pt x="3638" y="160"/>
                                </a:lnTo>
                                <a:lnTo>
                                  <a:pt x="3631" y="160"/>
                                </a:lnTo>
                                <a:lnTo>
                                  <a:pt x="3622" y="140"/>
                                </a:lnTo>
                                <a:lnTo>
                                  <a:pt x="3643" y="140"/>
                                </a:lnTo>
                                <a:lnTo>
                                  <a:pt x="3651" y="160"/>
                                </a:lnTo>
                                <a:lnTo>
                                  <a:pt x="3658" y="180"/>
                                </a:lnTo>
                                <a:close/>
                                <a:moveTo>
                                  <a:pt x="28" y="220"/>
                                </a:moveTo>
                                <a:lnTo>
                                  <a:pt x="14" y="220"/>
                                </a:lnTo>
                                <a:lnTo>
                                  <a:pt x="19" y="200"/>
                                </a:lnTo>
                                <a:lnTo>
                                  <a:pt x="25" y="180"/>
                                </a:lnTo>
                                <a:lnTo>
                                  <a:pt x="45" y="180"/>
                                </a:lnTo>
                                <a:lnTo>
                                  <a:pt x="38" y="200"/>
                                </a:lnTo>
                                <a:lnTo>
                                  <a:pt x="33" y="200"/>
                                </a:lnTo>
                                <a:lnTo>
                                  <a:pt x="28" y="220"/>
                                </a:lnTo>
                                <a:close/>
                                <a:moveTo>
                                  <a:pt x="3675" y="220"/>
                                </a:moveTo>
                                <a:lnTo>
                                  <a:pt x="3661" y="220"/>
                                </a:lnTo>
                                <a:lnTo>
                                  <a:pt x="3656" y="200"/>
                                </a:lnTo>
                                <a:lnTo>
                                  <a:pt x="3651" y="200"/>
                                </a:lnTo>
                                <a:lnTo>
                                  <a:pt x="3644" y="180"/>
                                </a:lnTo>
                                <a:lnTo>
                                  <a:pt x="3664" y="180"/>
                                </a:lnTo>
                                <a:lnTo>
                                  <a:pt x="3670" y="200"/>
                                </a:lnTo>
                                <a:lnTo>
                                  <a:pt x="3675" y="220"/>
                                </a:lnTo>
                                <a:close/>
                                <a:moveTo>
                                  <a:pt x="15" y="300"/>
                                </a:moveTo>
                                <a:lnTo>
                                  <a:pt x="0" y="300"/>
                                </a:lnTo>
                                <a:lnTo>
                                  <a:pt x="1" y="280"/>
                                </a:lnTo>
                                <a:lnTo>
                                  <a:pt x="3" y="260"/>
                                </a:lnTo>
                                <a:lnTo>
                                  <a:pt x="6" y="240"/>
                                </a:lnTo>
                                <a:lnTo>
                                  <a:pt x="10" y="220"/>
                                </a:lnTo>
                                <a:lnTo>
                                  <a:pt x="28" y="220"/>
                                </a:lnTo>
                                <a:lnTo>
                                  <a:pt x="24" y="240"/>
                                </a:lnTo>
                                <a:lnTo>
                                  <a:pt x="21" y="240"/>
                                </a:lnTo>
                                <a:lnTo>
                                  <a:pt x="18" y="260"/>
                                </a:lnTo>
                                <a:lnTo>
                                  <a:pt x="18" y="260"/>
                                </a:lnTo>
                                <a:lnTo>
                                  <a:pt x="16" y="280"/>
                                </a:lnTo>
                                <a:lnTo>
                                  <a:pt x="16" y="280"/>
                                </a:lnTo>
                                <a:lnTo>
                                  <a:pt x="15" y="300"/>
                                </a:lnTo>
                                <a:close/>
                                <a:moveTo>
                                  <a:pt x="3689" y="300"/>
                                </a:moveTo>
                                <a:lnTo>
                                  <a:pt x="3674" y="300"/>
                                </a:lnTo>
                                <a:lnTo>
                                  <a:pt x="3673" y="280"/>
                                </a:lnTo>
                                <a:lnTo>
                                  <a:pt x="3673" y="280"/>
                                </a:lnTo>
                                <a:lnTo>
                                  <a:pt x="3671" y="260"/>
                                </a:lnTo>
                                <a:lnTo>
                                  <a:pt x="3671" y="260"/>
                                </a:lnTo>
                                <a:lnTo>
                                  <a:pt x="3668" y="240"/>
                                </a:lnTo>
                                <a:lnTo>
                                  <a:pt x="3665" y="240"/>
                                </a:lnTo>
                                <a:lnTo>
                                  <a:pt x="3661" y="220"/>
                                </a:lnTo>
                                <a:lnTo>
                                  <a:pt x="3679" y="220"/>
                                </a:lnTo>
                                <a:lnTo>
                                  <a:pt x="3683" y="240"/>
                                </a:lnTo>
                                <a:lnTo>
                                  <a:pt x="3686" y="260"/>
                                </a:lnTo>
                                <a:lnTo>
                                  <a:pt x="3688" y="280"/>
                                </a:lnTo>
                                <a:lnTo>
                                  <a:pt x="3689"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6" y="2220"/>
                                </a:moveTo>
                                <a:lnTo>
                                  <a:pt x="1" y="2220"/>
                                </a:lnTo>
                                <a:lnTo>
                                  <a:pt x="0" y="2200"/>
                                </a:lnTo>
                                <a:lnTo>
                                  <a:pt x="0" y="2180"/>
                                </a:lnTo>
                                <a:lnTo>
                                  <a:pt x="15" y="2180"/>
                                </a:lnTo>
                                <a:lnTo>
                                  <a:pt x="15" y="2200"/>
                                </a:lnTo>
                                <a:lnTo>
                                  <a:pt x="15" y="2200"/>
                                </a:lnTo>
                                <a:lnTo>
                                  <a:pt x="16" y="2220"/>
                                </a:lnTo>
                                <a:close/>
                                <a:moveTo>
                                  <a:pt x="3688" y="2220"/>
                                </a:moveTo>
                                <a:lnTo>
                                  <a:pt x="3673" y="2220"/>
                                </a:lnTo>
                                <a:lnTo>
                                  <a:pt x="3674" y="2200"/>
                                </a:lnTo>
                                <a:lnTo>
                                  <a:pt x="3674" y="2200"/>
                                </a:lnTo>
                                <a:lnTo>
                                  <a:pt x="3674" y="2180"/>
                                </a:lnTo>
                                <a:lnTo>
                                  <a:pt x="3689" y="2180"/>
                                </a:lnTo>
                                <a:lnTo>
                                  <a:pt x="3689" y="2200"/>
                                </a:lnTo>
                                <a:lnTo>
                                  <a:pt x="3688" y="2220"/>
                                </a:lnTo>
                                <a:close/>
                                <a:moveTo>
                                  <a:pt x="38" y="2300"/>
                                </a:moveTo>
                                <a:lnTo>
                                  <a:pt x="19" y="2300"/>
                                </a:lnTo>
                                <a:lnTo>
                                  <a:pt x="14" y="2280"/>
                                </a:lnTo>
                                <a:lnTo>
                                  <a:pt x="10" y="2260"/>
                                </a:lnTo>
                                <a:lnTo>
                                  <a:pt x="6" y="2240"/>
                                </a:lnTo>
                                <a:lnTo>
                                  <a:pt x="3" y="2220"/>
                                </a:lnTo>
                                <a:lnTo>
                                  <a:pt x="18" y="2220"/>
                                </a:lnTo>
                                <a:lnTo>
                                  <a:pt x="21" y="2240"/>
                                </a:lnTo>
                                <a:lnTo>
                                  <a:pt x="21" y="2240"/>
                                </a:lnTo>
                                <a:lnTo>
                                  <a:pt x="24" y="2260"/>
                                </a:lnTo>
                                <a:lnTo>
                                  <a:pt x="24" y="2260"/>
                                </a:lnTo>
                                <a:lnTo>
                                  <a:pt x="28" y="2280"/>
                                </a:lnTo>
                                <a:lnTo>
                                  <a:pt x="33" y="2280"/>
                                </a:lnTo>
                                <a:lnTo>
                                  <a:pt x="38" y="2300"/>
                                </a:lnTo>
                                <a:close/>
                                <a:moveTo>
                                  <a:pt x="3670" y="2300"/>
                                </a:moveTo>
                                <a:lnTo>
                                  <a:pt x="3651" y="2300"/>
                                </a:lnTo>
                                <a:lnTo>
                                  <a:pt x="3656" y="2280"/>
                                </a:lnTo>
                                <a:lnTo>
                                  <a:pt x="3661" y="2280"/>
                                </a:lnTo>
                                <a:lnTo>
                                  <a:pt x="3665" y="2260"/>
                                </a:lnTo>
                                <a:lnTo>
                                  <a:pt x="3665" y="2260"/>
                                </a:lnTo>
                                <a:lnTo>
                                  <a:pt x="3668" y="2240"/>
                                </a:lnTo>
                                <a:lnTo>
                                  <a:pt x="3668" y="2240"/>
                                </a:lnTo>
                                <a:lnTo>
                                  <a:pt x="3671" y="2220"/>
                                </a:lnTo>
                                <a:lnTo>
                                  <a:pt x="3686" y="2220"/>
                                </a:lnTo>
                                <a:lnTo>
                                  <a:pt x="3683" y="2240"/>
                                </a:lnTo>
                                <a:lnTo>
                                  <a:pt x="3679" y="2260"/>
                                </a:lnTo>
                                <a:lnTo>
                                  <a:pt x="3675" y="2280"/>
                                </a:lnTo>
                                <a:lnTo>
                                  <a:pt x="3670" y="2300"/>
                                </a:lnTo>
                                <a:close/>
                                <a:moveTo>
                                  <a:pt x="59" y="2340"/>
                                </a:moveTo>
                                <a:lnTo>
                                  <a:pt x="38" y="2340"/>
                                </a:lnTo>
                                <a:lnTo>
                                  <a:pt x="31" y="2320"/>
                                </a:lnTo>
                                <a:lnTo>
                                  <a:pt x="25" y="2300"/>
                                </a:lnTo>
                                <a:lnTo>
                                  <a:pt x="38" y="2300"/>
                                </a:lnTo>
                                <a:lnTo>
                                  <a:pt x="45" y="2320"/>
                                </a:lnTo>
                                <a:lnTo>
                                  <a:pt x="51" y="2320"/>
                                </a:lnTo>
                                <a:lnTo>
                                  <a:pt x="59" y="2340"/>
                                </a:lnTo>
                                <a:close/>
                                <a:moveTo>
                                  <a:pt x="3651" y="2340"/>
                                </a:moveTo>
                                <a:lnTo>
                                  <a:pt x="3630" y="2340"/>
                                </a:lnTo>
                                <a:lnTo>
                                  <a:pt x="3638" y="2320"/>
                                </a:lnTo>
                                <a:lnTo>
                                  <a:pt x="3644" y="2320"/>
                                </a:lnTo>
                                <a:lnTo>
                                  <a:pt x="3651" y="2300"/>
                                </a:lnTo>
                                <a:lnTo>
                                  <a:pt x="3664" y="2300"/>
                                </a:lnTo>
                                <a:lnTo>
                                  <a:pt x="3658" y="2320"/>
                                </a:lnTo>
                                <a:lnTo>
                                  <a:pt x="3651" y="2340"/>
                                </a:lnTo>
                                <a:close/>
                                <a:moveTo>
                                  <a:pt x="84" y="2380"/>
                                </a:moveTo>
                                <a:lnTo>
                                  <a:pt x="63" y="2380"/>
                                </a:lnTo>
                                <a:lnTo>
                                  <a:pt x="54" y="2360"/>
                                </a:lnTo>
                                <a:lnTo>
                                  <a:pt x="46" y="2340"/>
                                </a:lnTo>
                                <a:lnTo>
                                  <a:pt x="58" y="2340"/>
                                </a:lnTo>
                                <a:lnTo>
                                  <a:pt x="67" y="2360"/>
                                </a:lnTo>
                                <a:lnTo>
                                  <a:pt x="75" y="2360"/>
                                </a:lnTo>
                                <a:lnTo>
                                  <a:pt x="84" y="2380"/>
                                </a:lnTo>
                                <a:close/>
                                <a:moveTo>
                                  <a:pt x="3626" y="2380"/>
                                </a:moveTo>
                                <a:lnTo>
                                  <a:pt x="3605" y="2380"/>
                                </a:lnTo>
                                <a:lnTo>
                                  <a:pt x="3614" y="2360"/>
                                </a:lnTo>
                                <a:lnTo>
                                  <a:pt x="3622" y="2360"/>
                                </a:lnTo>
                                <a:lnTo>
                                  <a:pt x="3631" y="2340"/>
                                </a:lnTo>
                                <a:lnTo>
                                  <a:pt x="3643" y="2340"/>
                                </a:lnTo>
                                <a:lnTo>
                                  <a:pt x="3635" y="2360"/>
                                </a:lnTo>
                                <a:lnTo>
                                  <a:pt x="3626" y="2380"/>
                                </a:lnTo>
                                <a:close/>
                                <a:moveTo>
                                  <a:pt x="104" y="2400"/>
                                </a:moveTo>
                                <a:lnTo>
                                  <a:pt x="82" y="2400"/>
                                </a:lnTo>
                                <a:lnTo>
                                  <a:pt x="72" y="2380"/>
                                </a:lnTo>
                                <a:lnTo>
                                  <a:pt x="93" y="2380"/>
                                </a:lnTo>
                                <a:lnTo>
                                  <a:pt x="104" y="2400"/>
                                </a:lnTo>
                                <a:close/>
                                <a:moveTo>
                                  <a:pt x="3607" y="2400"/>
                                </a:moveTo>
                                <a:lnTo>
                                  <a:pt x="3585" y="2400"/>
                                </a:lnTo>
                                <a:lnTo>
                                  <a:pt x="3596" y="2380"/>
                                </a:lnTo>
                                <a:lnTo>
                                  <a:pt x="3617" y="2380"/>
                                </a:lnTo>
                                <a:lnTo>
                                  <a:pt x="3607" y="2400"/>
                                </a:lnTo>
                                <a:close/>
                                <a:moveTo>
                                  <a:pt x="125" y="2420"/>
                                </a:moveTo>
                                <a:lnTo>
                                  <a:pt x="104" y="2420"/>
                                </a:lnTo>
                                <a:lnTo>
                                  <a:pt x="93" y="2400"/>
                                </a:lnTo>
                                <a:lnTo>
                                  <a:pt x="114" y="2400"/>
                                </a:lnTo>
                                <a:lnTo>
                                  <a:pt x="125" y="2420"/>
                                </a:lnTo>
                                <a:close/>
                                <a:moveTo>
                                  <a:pt x="3585" y="2420"/>
                                </a:moveTo>
                                <a:lnTo>
                                  <a:pt x="3564" y="2420"/>
                                </a:lnTo>
                                <a:lnTo>
                                  <a:pt x="3575" y="2400"/>
                                </a:lnTo>
                                <a:lnTo>
                                  <a:pt x="3596" y="2400"/>
                                </a:lnTo>
                                <a:lnTo>
                                  <a:pt x="3585" y="2420"/>
                                </a:lnTo>
                                <a:close/>
                                <a:moveTo>
                                  <a:pt x="149" y="2440"/>
                                </a:moveTo>
                                <a:lnTo>
                                  <a:pt x="128" y="2440"/>
                                </a:lnTo>
                                <a:lnTo>
                                  <a:pt x="116" y="2420"/>
                                </a:lnTo>
                                <a:lnTo>
                                  <a:pt x="137" y="2420"/>
                                </a:lnTo>
                                <a:lnTo>
                                  <a:pt x="149" y="2440"/>
                                </a:lnTo>
                                <a:close/>
                                <a:moveTo>
                                  <a:pt x="3561" y="2440"/>
                                </a:moveTo>
                                <a:lnTo>
                                  <a:pt x="3540" y="2440"/>
                                </a:lnTo>
                                <a:lnTo>
                                  <a:pt x="3552" y="2420"/>
                                </a:lnTo>
                                <a:lnTo>
                                  <a:pt x="3573" y="2420"/>
                                </a:lnTo>
                                <a:lnTo>
                                  <a:pt x="3561" y="2440"/>
                                </a:lnTo>
                                <a:close/>
                                <a:moveTo>
                                  <a:pt x="187" y="2460"/>
                                </a:moveTo>
                                <a:lnTo>
                                  <a:pt x="153" y="2460"/>
                                </a:lnTo>
                                <a:lnTo>
                                  <a:pt x="140" y="2440"/>
                                </a:lnTo>
                                <a:lnTo>
                                  <a:pt x="174" y="2440"/>
                                </a:lnTo>
                                <a:lnTo>
                                  <a:pt x="187" y="2460"/>
                                </a:lnTo>
                                <a:close/>
                                <a:moveTo>
                                  <a:pt x="3536" y="2460"/>
                                </a:moveTo>
                                <a:lnTo>
                                  <a:pt x="3502" y="2460"/>
                                </a:lnTo>
                                <a:lnTo>
                                  <a:pt x="3515" y="2440"/>
                                </a:lnTo>
                                <a:lnTo>
                                  <a:pt x="3549" y="2440"/>
                                </a:lnTo>
                                <a:lnTo>
                                  <a:pt x="3536" y="2460"/>
                                </a:lnTo>
                                <a:close/>
                                <a:moveTo>
                                  <a:pt x="229" y="2480"/>
                                </a:moveTo>
                                <a:lnTo>
                                  <a:pt x="195" y="2480"/>
                                </a:lnTo>
                                <a:lnTo>
                                  <a:pt x="180" y="2460"/>
                                </a:lnTo>
                                <a:lnTo>
                                  <a:pt x="214" y="2460"/>
                                </a:lnTo>
                                <a:lnTo>
                                  <a:pt x="229" y="2480"/>
                                </a:lnTo>
                                <a:close/>
                                <a:moveTo>
                                  <a:pt x="3494" y="2480"/>
                                </a:moveTo>
                                <a:lnTo>
                                  <a:pt x="3460" y="2480"/>
                                </a:lnTo>
                                <a:lnTo>
                                  <a:pt x="3475" y="2460"/>
                                </a:lnTo>
                                <a:lnTo>
                                  <a:pt x="3509" y="2460"/>
                                </a:lnTo>
                                <a:lnTo>
                                  <a:pt x="3494" y="2480"/>
                                </a:lnTo>
                                <a:close/>
                                <a:moveTo>
                                  <a:pt x="3434" y="2500"/>
                                </a:moveTo>
                                <a:lnTo>
                                  <a:pt x="255" y="2500"/>
                                </a:lnTo>
                                <a:lnTo>
                                  <a:pt x="239" y="2480"/>
                                </a:lnTo>
                                <a:lnTo>
                                  <a:pt x="3450" y="2480"/>
                                </a:lnTo>
                                <a:lnTo>
                                  <a:pt x="3434" y="2500"/>
                                </a:lnTo>
                                <a:close/>
                              </a:path>
                            </a:pathLst>
                          </a:custGeom>
                          <a:solidFill>
                            <a:srgbClr val="000000"/>
                          </a:solidFill>
                          <a:ln>
                            <a:noFill/>
                          </a:ln>
                          <a:effectLst/>
                        </wps:spPr>
                        <wps:bodyPr upright="1"/>
                      </wps:wsp>
                      <wps:wsp>
                        <wps:cNvPr id="9" name="文本框 10"/>
                        <wps:cNvSpPr txBox="1"/>
                        <wps:spPr>
                          <a:xfrm>
                            <a:off x="2237" y="248"/>
                            <a:ext cx="3690" cy="2500"/>
                          </a:xfrm>
                          <a:prstGeom prst="rect">
                            <a:avLst/>
                          </a:prstGeom>
                          <a:noFill/>
                          <a:ln>
                            <a:noFill/>
                          </a:ln>
                          <a:effectLst/>
                        </wps:spPr>
                        <wps:txbx>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111.85pt;margin-top:12.4pt;height:125pt;width:184.5pt;mso-position-horizontal-relative:page;mso-wrap-distance-bottom:0pt;mso-wrap-distance-top:0pt;z-index:-251652096;mso-width-relative:page;mso-height-relative:page;" coordorigin="2238,249" coordsize="3690,2500" o:gfxdata="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">
                <o:lock v:ext="edit" aspectratio="f"/>
                <v:shape id="任意多边形 9" o:spid="_x0000_s1026" o:spt="100" style="position:absolute;left:2237;top:248;height:2500;width:3690;" fillcolor="#000000" filled="t" stroked="f" coordsize="3690,2500" o:gfxdata="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QZP7gAAADaAAAA&#10;DwAAAAAAAAABACAAAAAiAAAAZHJzL2Rvd25yZXYueG1sUEsBAhQAFAAAAAgAh07iQDMvBZ47AAAA&#10;OQAAABAAAAAAAAAAAQAgAAAABwEAAGRycy9zaGFwZXhtbC54bWxQSwUGAAAAAAYABgBbAQAAsQMA&#10;AAAA&#10;" path="m257,20l195,20,209,0,273,0,257,20xm3494,20l3432,20,3416,0,3480,0,3494,20xm187,40l153,40,167,20,201,20,187,40xm3536,40l3502,40,3488,20,3522,20,3536,40xm149,60l128,60,140,40,161,40,149,60xm3561,60l3540,60,3528,40,3549,40,3561,60xm125,80l104,80,116,60,137,60,125,80xm3585,80l3564,80,3552,60,3573,60,3585,80xm104,100l82,100,93,80,114,80,104,100xm3607,100l3585,100,3575,80,3596,80,3607,100xm66,140l54,140,63,120,72,100,94,100,84,120,75,120,66,140xm3635,140l3623,140,3614,120,3605,120,3595,100,3617,100,3626,120,3635,140xm44,180l31,180,38,160,46,140,67,140,58,160,51,160,44,180xm3658,180l3645,180,3638,160,3631,160,3622,140,3643,140,3651,160,3658,180xm28,220l14,220,19,200,25,180,45,180,38,200,33,200,28,220xm3675,220l3661,220,3656,200,3651,200,3644,180,3664,180,3670,200,3675,220xm15,300l0,300,1,280,3,260,6,240,10,220,28,220,24,240,21,240,18,260,18,260,16,280,16,280,15,300xm3689,300l3674,300,3673,280,3673,280,3671,260,3671,260,3668,240,3665,240,3661,220,3679,220,3683,240,3686,260,3688,280,3689,300xm15,2180l0,2180,0,300,15,300,15,2180xm3690,2180l3675,2180,3675,300,3690,300,3690,2180xm16,2220l1,2220,0,2200,0,2180,15,2180,15,2200,15,2200,16,2220xm3688,2220l3673,2220,3674,2200,3674,2200,3674,2180,3689,2180,3689,2200,3688,2220xm38,2300l19,2300,14,2280,10,2260,6,2240,3,2220,18,2220,21,2240,21,2240,24,2260,24,2260,28,2280,33,2280,38,2300xm3670,2300l3651,2300,3656,2280,3661,2280,3665,2260,3665,2260,3668,2240,3668,2240,3671,2220,3686,2220,3683,2240,3679,2260,3675,2280,3670,2300xm59,2340l38,2340,31,2320,25,2300,38,2300,45,2320,51,2320,59,2340xm3651,2340l3630,2340,3638,2320,3644,2320,3651,2300,3664,2300,3658,2320,3651,2340xm84,2380l63,2380,54,2360,46,2340,58,2340,67,2360,75,2360,84,2380xm3626,2380l3605,2380,3614,2360,3622,2360,3631,2340,3643,2340,3635,2360,3626,2380xm104,2400l82,2400,72,2380,93,2380,104,2400xm3607,2400l3585,2400,3596,2380,3617,2380,3607,2400xm125,2420l104,2420,93,2400,114,2400,125,2420xm3585,2420l3564,2420,3575,2400,3596,2400,3585,2420xm149,2440l128,2440,116,2420,137,2420,149,2440xm3561,2440l3540,2440,3552,2420,3573,2420,3561,2440xm187,2460l153,2460,140,2440,174,2440,187,2460xm3536,2460l3502,2460,3515,2440,3549,2440,3536,2460xm229,2480l195,2480,180,2460,214,2460,229,2480xm3494,2480l3460,2480,3475,2460,3509,2460,3494,2480xm3434,2500l255,2500,239,2480,3450,2480,3434,2500xe">
                  <v:fill on="t" focussize="0,0"/>
                  <v:stroke on="f"/>
                  <v:imagedata o:title=""/>
                  <o:lock v:ext="edit" aspectratio="f"/>
                </v:shape>
                <v:shape id="文本框 10" o:spid="_x0000_s1026" o:spt="202" type="#_x0000_t202" style="position:absolute;left:2237;top:248;height:2500;width:369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rPr>
                            <w:sz w:val="22"/>
                          </w:rPr>
                        </w:pPr>
                      </w:p>
                      <w:p>
                        <w:pPr>
                          <w:rPr>
                            <w:sz w:val="22"/>
                          </w:rPr>
                        </w:pPr>
                      </w:p>
                      <w:p>
                        <w:pPr>
                          <w:rPr>
                            <w:sz w:val="26"/>
                          </w:rPr>
                        </w:pPr>
                      </w:p>
                      <w:p>
                        <w:pPr>
                          <w:ind w:left="620"/>
                          <w:rPr>
                            <w:rFonts w:ascii="宋体"/>
                          </w:rPr>
                        </w:pPr>
                        <w:r>
                          <w:rPr>
                            <w:rFonts w:hint="eastAsia" w:ascii="宋体"/>
                          </w:rPr>
                          <w:t>代理人身份证</w:t>
                        </w:r>
                        <w:r>
                          <w:rPr>
                            <w:rFonts w:eastAsia="Times New Roman"/>
                          </w:rPr>
                          <w:t>(</w:t>
                        </w:r>
                        <w:r>
                          <w:rPr>
                            <w:rFonts w:hint="eastAsia" w:ascii="宋体"/>
                          </w:rPr>
                          <w:t>正面</w:t>
                        </w:r>
                        <w:r>
                          <w:rPr>
                            <w:rFonts w:eastAsia="Times New Roman"/>
                          </w:rPr>
                          <w:t>)</w:t>
                        </w:r>
                        <w:r>
                          <w:rPr>
                            <w:rFonts w:hint="eastAsia" w:ascii="宋体"/>
                          </w:rPr>
                          <w:t>复印件</w:t>
                        </w:r>
                      </w:p>
                    </w:txbxContent>
                  </v:textbox>
                </v:shape>
                <w10:wrap type="topAndBottom"/>
              </v:group>
            </w:pict>
          </mc:Fallback>
        </mc:AlternateContent>
      </w:r>
      <w:r>
        <w:rPr>
          <w:rFonts w:hint="eastAsia" w:ascii="仿宋" w:hAnsi="仿宋" w:eastAsia="仿宋" w:cs="仿宋"/>
          <w:b/>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mc:AlternateContent>
          <mc:Choice Requires="wpg">
            <w:drawing>
              <wp:anchor distT="0" distB="0" distL="114300" distR="114300" simplePos="0" relativeHeight="251665408" behindDoc="1" locked="0" layoutInCell="1" allowOverlap="1">
                <wp:simplePos x="0" y="0"/>
                <wp:positionH relativeFrom="page">
                  <wp:posOffset>4038600</wp:posOffset>
                </wp:positionH>
                <wp:positionV relativeFrom="paragraph">
                  <wp:posOffset>161925</wp:posOffset>
                </wp:positionV>
                <wp:extent cx="2343150" cy="1587500"/>
                <wp:effectExtent l="0" t="635" r="0" b="12065"/>
                <wp:wrapTopAndBottom/>
                <wp:docPr id="20" name="组合 20"/>
                <wp:cNvGraphicFramePr/>
                <a:graphic xmlns:a="http://schemas.openxmlformats.org/drawingml/2006/main">
                  <a:graphicData uri="http://schemas.microsoft.com/office/word/2010/wordprocessingGroup">
                    <wpg:wgp>
                      <wpg:cNvGrpSpPr/>
                      <wpg:grpSpPr>
                        <a:xfrm>
                          <a:off x="0" y="0"/>
                          <a:ext cx="2343150" cy="1587500"/>
                          <a:chOff x="6360" y="256"/>
                          <a:chExt cx="3690" cy="2500"/>
                        </a:xfrm>
                        <a:effectLst/>
                      </wpg:grpSpPr>
                      <wps:wsp>
                        <wps:cNvPr id="11" name="任意多边形 12"/>
                        <wps:cNvSpPr/>
                        <wps:spPr>
                          <a:xfrm>
                            <a:off x="6360" y="255"/>
                            <a:ext cx="3690" cy="2500"/>
                          </a:xfrm>
                          <a:custGeom>
                            <a:avLst/>
                            <a:gdLst/>
                            <a:ahLst/>
                            <a:cxnLst/>
                            <a:rect l="0" t="0" r="0" b="0"/>
                            <a:pathLst>
                              <a:path w="3690" h="2500">
                                <a:moveTo>
                                  <a:pt x="258" y="20"/>
                                </a:moveTo>
                                <a:lnTo>
                                  <a:pt x="196" y="20"/>
                                </a:lnTo>
                                <a:lnTo>
                                  <a:pt x="210" y="0"/>
                                </a:lnTo>
                                <a:lnTo>
                                  <a:pt x="274" y="0"/>
                                </a:lnTo>
                                <a:lnTo>
                                  <a:pt x="258" y="20"/>
                                </a:lnTo>
                                <a:close/>
                                <a:moveTo>
                                  <a:pt x="3495" y="20"/>
                                </a:moveTo>
                                <a:lnTo>
                                  <a:pt x="3433" y="20"/>
                                </a:lnTo>
                                <a:lnTo>
                                  <a:pt x="3417" y="0"/>
                                </a:lnTo>
                                <a:lnTo>
                                  <a:pt x="3481" y="0"/>
                                </a:lnTo>
                                <a:lnTo>
                                  <a:pt x="3495" y="20"/>
                                </a:lnTo>
                                <a:close/>
                                <a:moveTo>
                                  <a:pt x="188" y="40"/>
                                </a:moveTo>
                                <a:lnTo>
                                  <a:pt x="154" y="40"/>
                                </a:lnTo>
                                <a:lnTo>
                                  <a:pt x="168" y="20"/>
                                </a:lnTo>
                                <a:lnTo>
                                  <a:pt x="202" y="20"/>
                                </a:lnTo>
                                <a:lnTo>
                                  <a:pt x="188" y="40"/>
                                </a:lnTo>
                                <a:close/>
                                <a:moveTo>
                                  <a:pt x="3537" y="40"/>
                                </a:moveTo>
                                <a:lnTo>
                                  <a:pt x="3503" y="40"/>
                                </a:lnTo>
                                <a:lnTo>
                                  <a:pt x="3489" y="20"/>
                                </a:lnTo>
                                <a:lnTo>
                                  <a:pt x="3523" y="20"/>
                                </a:lnTo>
                                <a:lnTo>
                                  <a:pt x="3537" y="40"/>
                                </a:lnTo>
                                <a:close/>
                                <a:moveTo>
                                  <a:pt x="150" y="60"/>
                                </a:moveTo>
                                <a:lnTo>
                                  <a:pt x="129" y="60"/>
                                </a:lnTo>
                                <a:lnTo>
                                  <a:pt x="141" y="40"/>
                                </a:lnTo>
                                <a:lnTo>
                                  <a:pt x="162" y="40"/>
                                </a:lnTo>
                                <a:lnTo>
                                  <a:pt x="150" y="60"/>
                                </a:lnTo>
                                <a:close/>
                                <a:moveTo>
                                  <a:pt x="3562" y="60"/>
                                </a:moveTo>
                                <a:lnTo>
                                  <a:pt x="3541" y="60"/>
                                </a:lnTo>
                                <a:lnTo>
                                  <a:pt x="3529" y="40"/>
                                </a:lnTo>
                                <a:lnTo>
                                  <a:pt x="3550" y="40"/>
                                </a:lnTo>
                                <a:lnTo>
                                  <a:pt x="3562" y="60"/>
                                </a:lnTo>
                                <a:close/>
                                <a:moveTo>
                                  <a:pt x="126" y="80"/>
                                </a:moveTo>
                                <a:lnTo>
                                  <a:pt x="105" y="80"/>
                                </a:lnTo>
                                <a:lnTo>
                                  <a:pt x="117" y="60"/>
                                </a:lnTo>
                                <a:lnTo>
                                  <a:pt x="138" y="60"/>
                                </a:lnTo>
                                <a:lnTo>
                                  <a:pt x="126" y="80"/>
                                </a:lnTo>
                                <a:close/>
                                <a:moveTo>
                                  <a:pt x="3586" y="80"/>
                                </a:moveTo>
                                <a:lnTo>
                                  <a:pt x="3565" y="80"/>
                                </a:lnTo>
                                <a:lnTo>
                                  <a:pt x="3553" y="60"/>
                                </a:lnTo>
                                <a:lnTo>
                                  <a:pt x="3574" y="60"/>
                                </a:lnTo>
                                <a:lnTo>
                                  <a:pt x="3586" y="80"/>
                                </a:lnTo>
                                <a:close/>
                                <a:moveTo>
                                  <a:pt x="105" y="100"/>
                                </a:moveTo>
                                <a:lnTo>
                                  <a:pt x="83" y="100"/>
                                </a:lnTo>
                                <a:lnTo>
                                  <a:pt x="94" y="80"/>
                                </a:lnTo>
                                <a:lnTo>
                                  <a:pt x="115" y="80"/>
                                </a:lnTo>
                                <a:lnTo>
                                  <a:pt x="105" y="100"/>
                                </a:lnTo>
                                <a:close/>
                                <a:moveTo>
                                  <a:pt x="3608" y="100"/>
                                </a:moveTo>
                                <a:lnTo>
                                  <a:pt x="3586" y="100"/>
                                </a:lnTo>
                                <a:lnTo>
                                  <a:pt x="3576" y="80"/>
                                </a:lnTo>
                                <a:lnTo>
                                  <a:pt x="3597" y="80"/>
                                </a:lnTo>
                                <a:lnTo>
                                  <a:pt x="3608" y="100"/>
                                </a:lnTo>
                                <a:close/>
                                <a:moveTo>
                                  <a:pt x="67" y="140"/>
                                </a:moveTo>
                                <a:lnTo>
                                  <a:pt x="55" y="140"/>
                                </a:lnTo>
                                <a:lnTo>
                                  <a:pt x="64" y="120"/>
                                </a:lnTo>
                                <a:lnTo>
                                  <a:pt x="73" y="100"/>
                                </a:lnTo>
                                <a:lnTo>
                                  <a:pt x="95" y="100"/>
                                </a:lnTo>
                                <a:lnTo>
                                  <a:pt x="85" y="120"/>
                                </a:lnTo>
                                <a:lnTo>
                                  <a:pt x="76" y="120"/>
                                </a:lnTo>
                                <a:lnTo>
                                  <a:pt x="67" y="140"/>
                                </a:lnTo>
                                <a:close/>
                                <a:moveTo>
                                  <a:pt x="3636" y="140"/>
                                </a:moveTo>
                                <a:lnTo>
                                  <a:pt x="3624" y="140"/>
                                </a:lnTo>
                                <a:lnTo>
                                  <a:pt x="3615" y="120"/>
                                </a:lnTo>
                                <a:lnTo>
                                  <a:pt x="3606" y="120"/>
                                </a:lnTo>
                                <a:lnTo>
                                  <a:pt x="3596" y="100"/>
                                </a:lnTo>
                                <a:lnTo>
                                  <a:pt x="3618" y="100"/>
                                </a:lnTo>
                                <a:lnTo>
                                  <a:pt x="3627" y="120"/>
                                </a:lnTo>
                                <a:lnTo>
                                  <a:pt x="3636" y="140"/>
                                </a:lnTo>
                                <a:close/>
                                <a:moveTo>
                                  <a:pt x="45" y="180"/>
                                </a:moveTo>
                                <a:lnTo>
                                  <a:pt x="32" y="180"/>
                                </a:lnTo>
                                <a:lnTo>
                                  <a:pt x="39" y="160"/>
                                </a:lnTo>
                                <a:lnTo>
                                  <a:pt x="47" y="140"/>
                                </a:lnTo>
                                <a:lnTo>
                                  <a:pt x="68" y="140"/>
                                </a:lnTo>
                                <a:lnTo>
                                  <a:pt x="59" y="160"/>
                                </a:lnTo>
                                <a:lnTo>
                                  <a:pt x="52" y="160"/>
                                </a:lnTo>
                                <a:lnTo>
                                  <a:pt x="45" y="180"/>
                                </a:lnTo>
                                <a:close/>
                                <a:moveTo>
                                  <a:pt x="3659" y="180"/>
                                </a:moveTo>
                                <a:lnTo>
                                  <a:pt x="3646" y="180"/>
                                </a:lnTo>
                                <a:lnTo>
                                  <a:pt x="3639" y="160"/>
                                </a:lnTo>
                                <a:lnTo>
                                  <a:pt x="3632" y="160"/>
                                </a:lnTo>
                                <a:lnTo>
                                  <a:pt x="3623" y="140"/>
                                </a:lnTo>
                                <a:lnTo>
                                  <a:pt x="3644" y="140"/>
                                </a:lnTo>
                                <a:lnTo>
                                  <a:pt x="3652" y="160"/>
                                </a:lnTo>
                                <a:lnTo>
                                  <a:pt x="3659" y="180"/>
                                </a:lnTo>
                                <a:close/>
                                <a:moveTo>
                                  <a:pt x="29" y="220"/>
                                </a:moveTo>
                                <a:lnTo>
                                  <a:pt x="15" y="220"/>
                                </a:lnTo>
                                <a:lnTo>
                                  <a:pt x="20" y="200"/>
                                </a:lnTo>
                                <a:lnTo>
                                  <a:pt x="26" y="180"/>
                                </a:lnTo>
                                <a:lnTo>
                                  <a:pt x="46" y="180"/>
                                </a:lnTo>
                                <a:lnTo>
                                  <a:pt x="39" y="200"/>
                                </a:lnTo>
                                <a:lnTo>
                                  <a:pt x="34" y="200"/>
                                </a:lnTo>
                                <a:lnTo>
                                  <a:pt x="29" y="220"/>
                                </a:lnTo>
                                <a:close/>
                                <a:moveTo>
                                  <a:pt x="3676" y="220"/>
                                </a:moveTo>
                                <a:lnTo>
                                  <a:pt x="3662" y="220"/>
                                </a:lnTo>
                                <a:lnTo>
                                  <a:pt x="3657" y="200"/>
                                </a:lnTo>
                                <a:lnTo>
                                  <a:pt x="3652" y="200"/>
                                </a:lnTo>
                                <a:lnTo>
                                  <a:pt x="3645" y="180"/>
                                </a:lnTo>
                                <a:lnTo>
                                  <a:pt x="3665" y="180"/>
                                </a:lnTo>
                                <a:lnTo>
                                  <a:pt x="3671" y="200"/>
                                </a:lnTo>
                                <a:lnTo>
                                  <a:pt x="3676" y="220"/>
                                </a:lnTo>
                                <a:close/>
                                <a:moveTo>
                                  <a:pt x="16" y="300"/>
                                </a:moveTo>
                                <a:lnTo>
                                  <a:pt x="1" y="300"/>
                                </a:lnTo>
                                <a:lnTo>
                                  <a:pt x="2" y="280"/>
                                </a:lnTo>
                                <a:lnTo>
                                  <a:pt x="4" y="260"/>
                                </a:lnTo>
                                <a:lnTo>
                                  <a:pt x="7" y="240"/>
                                </a:lnTo>
                                <a:lnTo>
                                  <a:pt x="11" y="220"/>
                                </a:lnTo>
                                <a:lnTo>
                                  <a:pt x="29" y="220"/>
                                </a:lnTo>
                                <a:lnTo>
                                  <a:pt x="25" y="240"/>
                                </a:lnTo>
                                <a:lnTo>
                                  <a:pt x="22" y="240"/>
                                </a:lnTo>
                                <a:lnTo>
                                  <a:pt x="19" y="260"/>
                                </a:lnTo>
                                <a:lnTo>
                                  <a:pt x="19" y="260"/>
                                </a:lnTo>
                                <a:lnTo>
                                  <a:pt x="17" y="280"/>
                                </a:lnTo>
                                <a:lnTo>
                                  <a:pt x="17" y="280"/>
                                </a:lnTo>
                                <a:lnTo>
                                  <a:pt x="16" y="300"/>
                                </a:lnTo>
                                <a:close/>
                                <a:moveTo>
                                  <a:pt x="3690" y="300"/>
                                </a:moveTo>
                                <a:lnTo>
                                  <a:pt x="3675" y="300"/>
                                </a:lnTo>
                                <a:lnTo>
                                  <a:pt x="3674" y="280"/>
                                </a:lnTo>
                                <a:lnTo>
                                  <a:pt x="3674" y="280"/>
                                </a:lnTo>
                                <a:lnTo>
                                  <a:pt x="3672" y="260"/>
                                </a:lnTo>
                                <a:lnTo>
                                  <a:pt x="3672" y="260"/>
                                </a:lnTo>
                                <a:lnTo>
                                  <a:pt x="3669" y="240"/>
                                </a:lnTo>
                                <a:lnTo>
                                  <a:pt x="3666" y="240"/>
                                </a:lnTo>
                                <a:lnTo>
                                  <a:pt x="3662" y="220"/>
                                </a:lnTo>
                                <a:lnTo>
                                  <a:pt x="3680" y="220"/>
                                </a:lnTo>
                                <a:lnTo>
                                  <a:pt x="3684" y="240"/>
                                </a:lnTo>
                                <a:lnTo>
                                  <a:pt x="3687" y="260"/>
                                </a:lnTo>
                                <a:lnTo>
                                  <a:pt x="3689" y="280"/>
                                </a:lnTo>
                                <a:lnTo>
                                  <a:pt x="3690" y="300"/>
                                </a:lnTo>
                                <a:close/>
                                <a:moveTo>
                                  <a:pt x="15" y="2180"/>
                                </a:moveTo>
                                <a:lnTo>
                                  <a:pt x="0" y="2180"/>
                                </a:lnTo>
                                <a:lnTo>
                                  <a:pt x="0" y="300"/>
                                </a:lnTo>
                                <a:lnTo>
                                  <a:pt x="15" y="300"/>
                                </a:lnTo>
                                <a:lnTo>
                                  <a:pt x="15" y="2180"/>
                                </a:lnTo>
                                <a:close/>
                                <a:moveTo>
                                  <a:pt x="3690" y="2180"/>
                                </a:moveTo>
                                <a:lnTo>
                                  <a:pt x="3675" y="2180"/>
                                </a:lnTo>
                                <a:lnTo>
                                  <a:pt x="3675" y="300"/>
                                </a:lnTo>
                                <a:lnTo>
                                  <a:pt x="3690" y="300"/>
                                </a:lnTo>
                                <a:lnTo>
                                  <a:pt x="3690" y="2180"/>
                                </a:lnTo>
                                <a:close/>
                                <a:moveTo>
                                  <a:pt x="17" y="2220"/>
                                </a:moveTo>
                                <a:lnTo>
                                  <a:pt x="2" y="2220"/>
                                </a:lnTo>
                                <a:lnTo>
                                  <a:pt x="1" y="2200"/>
                                </a:lnTo>
                                <a:lnTo>
                                  <a:pt x="1" y="2180"/>
                                </a:lnTo>
                                <a:lnTo>
                                  <a:pt x="16" y="2180"/>
                                </a:lnTo>
                                <a:lnTo>
                                  <a:pt x="16" y="2200"/>
                                </a:lnTo>
                                <a:lnTo>
                                  <a:pt x="16" y="2200"/>
                                </a:lnTo>
                                <a:lnTo>
                                  <a:pt x="17" y="2220"/>
                                </a:lnTo>
                                <a:close/>
                                <a:moveTo>
                                  <a:pt x="3689" y="2220"/>
                                </a:moveTo>
                                <a:lnTo>
                                  <a:pt x="3674" y="2220"/>
                                </a:lnTo>
                                <a:lnTo>
                                  <a:pt x="3675" y="2200"/>
                                </a:lnTo>
                                <a:lnTo>
                                  <a:pt x="3675" y="2200"/>
                                </a:lnTo>
                                <a:lnTo>
                                  <a:pt x="3675" y="2180"/>
                                </a:lnTo>
                                <a:lnTo>
                                  <a:pt x="3690" y="2180"/>
                                </a:lnTo>
                                <a:lnTo>
                                  <a:pt x="3690" y="2200"/>
                                </a:lnTo>
                                <a:lnTo>
                                  <a:pt x="3689" y="2220"/>
                                </a:lnTo>
                                <a:close/>
                                <a:moveTo>
                                  <a:pt x="39" y="2300"/>
                                </a:moveTo>
                                <a:lnTo>
                                  <a:pt x="20" y="2300"/>
                                </a:lnTo>
                                <a:lnTo>
                                  <a:pt x="15" y="2280"/>
                                </a:lnTo>
                                <a:lnTo>
                                  <a:pt x="11" y="2260"/>
                                </a:lnTo>
                                <a:lnTo>
                                  <a:pt x="7" y="2240"/>
                                </a:lnTo>
                                <a:lnTo>
                                  <a:pt x="4" y="2220"/>
                                </a:lnTo>
                                <a:lnTo>
                                  <a:pt x="19" y="2220"/>
                                </a:lnTo>
                                <a:lnTo>
                                  <a:pt x="22" y="2240"/>
                                </a:lnTo>
                                <a:lnTo>
                                  <a:pt x="22" y="2240"/>
                                </a:lnTo>
                                <a:lnTo>
                                  <a:pt x="25" y="2260"/>
                                </a:lnTo>
                                <a:lnTo>
                                  <a:pt x="25" y="2260"/>
                                </a:lnTo>
                                <a:lnTo>
                                  <a:pt x="29" y="2280"/>
                                </a:lnTo>
                                <a:lnTo>
                                  <a:pt x="34" y="2280"/>
                                </a:lnTo>
                                <a:lnTo>
                                  <a:pt x="39" y="2300"/>
                                </a:lnTo>
                                <a:close/>
                                <a:moveTo>
                                  <a:pt x="3671" y="2300"/>
                                </a:moveTo>
                                <a:lnTo>
                                  <a:pt x="3652" y="2300"/>
                                </a:lnTo>
                                <a:lnTo>
                                  <a:pt x="3657" y="2280"/>
                                </a:lnTo>
                                <a:lnTo>
                                  <a:pt x="3662" y="2280"/>
                                </a:lnTo>
                                <a:lnTo>
                                  <a:pt x="3666" y="2260"/>
                                </a:lnTo>
                                <a:lnTo>
                                  <a:pt x="3666" y="2260"/>
                                </a:lnTo>
                                <a:lnTo>
                                  <a:pt x="3669" y="2240"/>
                                </a:lnTo>
                                <a:lnTo>
                                  <a:pt x="3669" y="2240"/>
                                </a:lnTo>
                                <a:lnTo>
                                  <a:pt x="3672" y="2220"/>
                                </a:lnTo>
                                <a:lnTo>
                                  <a:pt x="3687" y="2220"/>
                                </a:lnTo>
                                <a:lnTo>
                                  <a:pt x="3684" y="2240"/>
                                </a:lnTo>
                                <a:lnTo>
                                  <a:pt x="3680" y="2260"/>
                                </a:lnTo>
                                <a:lnTo>
                                  <a:pt x="3676" y="2280"/>
                                </a:lnTo>
                                <a:lnTo>
                                  <a:pt x="3671" y="2300"/>
                                </a:lnTo>
                                <a:close/>
                                <a:moveTo>
                                  <a:pt x="60" y="2340"/>
                                </a:moveTo>
                                <a:lnTo>
                                  <a:pt x="39" y="2340"/>
                                </a:lnTo>
                                <a:lnTo>
                                  <a:pt x="32" y="2320"/>
                                </a:lnTo>
                                <a:lnTo>
                                  <a:pt x="26" y="2300"/>
                                </a:lnTo>
                                <a:lnTo>
                                  <a:pt x="39" y="2300"/>
                                </a:lnTo>
                                <a:lnTo>
                                  <a:pt x="46" y="2320"/>
                                </a:lnTo>
                                <a:lnTo>
                                  <a:pt x="52" y="2320"/>
                                </a:lnTo>
                                <a:lnTo>
                                  <a:pt x="60" y="2340"/>
                                </a:lnTo>
                                <a:close/>
                                <a:moveTo>
                                  <a:pt x="3652" y="2340"/>
                                </a:moveTo>
                                <a:lnTo>
                                  <a:pt x="3631" y="2340"/>
                                </a:lnTo>
                                <a:lnTo>
                                  <a:pt x="3639" y="2320"/>
                                </a:lnTo>
                                <a:lnTo>
                                  <a:pt x="3645" y="2320"/>
                                </a:lnTo>
                                <a:lnTo>
                                  <a:pt x="3652" y="2300"/>
                                </a:lnTo>
                                <a:lnTo>
                                  <a:pt x="3665" y="2300"/>
                                </a:lnTo>
                                <a:lnTo>
                                  <a:pt x="3659" y="2320"/>
                                </a:lnTo>
                                <a:lnTo>
                                  <a:pt x="3652" y="2340"/>
                                </a:lnTo>
                                <a:close/>
                                <a:moveTo>
                                  <a:pt x="85" y="2380"/>
                                </a:moveTo>
                                <a:lnTo>
                                  <a:pt x="64" y="2380"/>
                                </a:lnTo>
                                <a:lnTo>
                                  <a:pt x="55" y="2360"/>
                                </a:lnTo>
                                <a:lnTo>
                                  <a:pt x="47" y="2340"/>
                                </a:lnTo>
                                <a:lnTo>
                                  <a:pt x="59" y="2340"/>
                                </a:lnTo>
                                <a:lnTo>
                                  <a:pt x="68" y="2360"/>
                                </a:lnTo>
                                <a:lnTo>
                                  <a:pt x="76" y="2360"/>
                                </a:lnTo>
                                <a:lnTo>
                                  <a:pt x="85" y="2380"/>
                                </a:lnTo>
                                <a:close/>
                                <a:moveTo>
                                  <a:pt x="3627" y="2380"/>
                                </a:moveTo>
                                <a:lnTo>
                                  <a:pt x="3606" y="2380"/>
                                </a:lnTo>
                                <a:lnTo>
                                  <a:pt x="3615" y="2360"/>
                                </a:lnTo>
                                <a:lnTo>
                                  <a:pt x="3623" y="2360"/>
                                </a:lnTo>
                                <a:lnTo>
                                  <a:pt x="3632" y="2340"/>
                                </a:lnTo>
                                <a:lnTo>
                                  <a:pt x="3644" y="2340"/>
                                </a:lnTo>
                                <a:lnTo>
                                  <a:pt x="3636" y="2360"/>
                                </a:lnTo>
                                <a:lnTo>
                                  <a:pt x="3627" y="2380"/>
                                </a:lnTo>
                                <a:close/>
                                <a:moveTo>
                                  <a:pt x="105" y="2400"/>
                                </a:moveTo>
                                <a:lnTo>
                                  <a:pt x="83" y="2400"/>
                                </a:lnTo>
                                <a:lnTo>
                                  <a:pt x="73" y="2380"/>
                                </a:lnTo>
                                <a:lnTo>
                                  <a:pt x="94" y="2380"/>
                                </a:lnTo>
                                <a:lnTo>
                                  <a:pt x="105" y="2400"/>
                                </a:lnTo>
                                <a:close/>
                                <a:moveTo>
                                  <a:pt x="3608" y="2400"/>
                                </a:moveTo>
                                <a:lnTo>
                                  <a:pt x="3586" y="2400"/>
                                </a:lnTo>
                                <a:lnTo>
                                  <a:pt x="3597" y="2380"/>
                                </a:lnTo>
                                <a:lnTo>
                                  <a:pt x="3618" y="2380"/>
                                </a:lnTo>
                                <a:lnTo>
                                  <a:pt x="3608" y="2400"/>
                                </a:lnTo>
                                <a:close/>
                                <a:moveTo>
                                  <a:pt x="126" y="2420"/>
                                </a:moveTo>
                                <a:lnTo>
                                  <a:pt x="105" y="2420"/>
                                </a:lnTo>
                                <a:lnTo>
                                  <a:pt x="94" y="2400"/>
                                </a:lnTo>
                                <a:lnTo>
                                  <a:pt x="115" y="2400"/>
                                </a:lnTo>
                                <a:lnTo>
                                  <a:pt x="126" y="2420"/>
                                </a:lnTo>
                                <a:close/>
                                <a:moveTo>
                                  <a:pt x="3586" y="2420"/>
                                </a:moveTo>
                                <a:lnTo>
                                  <a:pt x="3565" y="2420"/>
                                </a:lnTo>
                                <a:lnTo>
                                  <a:pt x="3576" y="2400"/>
                                </a:lnTo>
                                <a:lnTo>
                                  <a:pt x="3597" y="2400"/>
                                </a:lnTo>
                                <a:lnTo>
                                  <a:pt x="3586" y="2420"/>
                                </a:lnTo>
                                <a:close/>
                                <a:moveTo>
                                  <a:pt x="150" y="2440"/>
                                </a:moveTo>
                                <a:lnTo>
                                  <a:pt x="129" y="2440"/>
                                </a:lnTo>
                                <a:lnTo>
                                  <a:pt x="117" y="2420"/>
                                </a:lnTo>
                                <a:lnTo>
                                  <a:pt x="138" y="2420"/>
                                </a:lnTo>
                                <a:lnTo>
                                  <a:pt x="150" y="2440"/>
                                </a:lnTo>
                                <a:close/>
                                <a:moveTo>
                                  <a:pt x="3562" y="2440"/>
                                </a:moveTo>
                                <a:lnTo>
                                  <a:pt x="3541" y="2440"/>
                                </a:lnTo>
                                <a:lnTo>
                                  <a:pt x="3553" y="2420"/>
                                </a:lnTo>
                                <a:lnTo>
                                  <a:pt x="3574" y="2420"/>
                                </a:lnTo>
                                <a:lnTo>
                                  <a:pt x="3562" y="2440"/>
                                </a:lnTo>
                                <a:close/>
                                <a:moveTo>
                                  <a:pt x="188" y="2460"/>
                                </a:moveTo>
                                <a:lnTo>
                                  <a:pt x="154" y="2460"/>
                                </a:lnTo>
                                <a:lnTo>
                                  <a:pt x="141" y="2440"/>
                                </a:lnTo>
                                <a:lnTo>
                                  <a:pt x="175" y="2440"/>
                                </a:lnTo>
                                <a:lnTo>
                                  <a:pt x="188" y="2460"/>
                                </a:lnTo>
                                <a:close/>
                                <a:moveTo>
                                  <a:pt x="3537" y="2460"/>
                                </a:moveTo>
                                <a:lnTo>
                                  <a:pt x="3503" y="2460"/>
                                </a:lnTo>
                                <a:lnTo>
                                  <a:pt x="3516" y="2440"/>
                                </a:lnTo>
                                <a:lnTo>
                                  <a:pt x="3550" y="2440"/>
                                </a:lnTo>
                                <a:lnTo>
                                  <a:pt x="3537" y="2460"/>
                                </a:lnTo>
                                <a:close/>
                                <a:moveTo>
                                  <a:pt x="230" y="2480"/>
                                </a:moveTo>
                                <a:lnTo>
                                  <a:pt x="196" y="2480"/>
                                </a:lnTo>
                                <a:lnTo>
                                  <a:pt x="181" y="2460"/>
                                </a:lnTo>
                                <a:lnTo>
                                  <a:pt x="215" y="2460"/>
                                </a:lnTo>
                                <a:lnTo>
                                  <a:pt x="230" y="2480"/>
                                </a:lnTo>
                                <a:close/>
                                <a:moveTo>
                                  <a:pt x="3495" y="2480"/>
                                </a:moveTo>
                                <a:lnTo>
                                  <a:pt x="3461" y="2480"/>
                                </a:lnTo>
                                <a:lnTo>
                                  <a:pt x="3476" y="2460"/>
                                </a:lnTo>
                                <a:lnTo>
                                  <a:pt x="3510" y="2460"/>
                                </a:lnTo>
                                <a:lnTo>
                                  <a:pt x="3495" y="2480"/>
                                </a:lnTo>
                                <a:close/>
                                <a:moveTo>
                                  <a:pt x="3435" y="2500"/>
                                </a:moveTo>
                                <a:lnTo>
                                  <a:pt x="256" y="2500"/>
                                </a:lnTo>
                                <a:lnTo>
                                  <a:pt x="240" y="2480"/>
                                </a:lnTo>
                                <a:lnTo>
                                  <a:pt x="3451" y="2480"/>
                                </a:lnTo>
                                <a:lnTo>
                                  <a:pt x="3435" y="2500"/>
                                </a:lnTo>
                                <a:close/>
                              </a:path>
                            </a:pathLst>
                          </a:custGeom>
                          <a:solidFill>
                            <a:srgbClr val="000000"/>
                          </a:solidFill>
                          <a:ln>
                            <a:noFill/>
                          </a:ln>
                          <a:effectLst/>
                        </wps:spPr>
                        <wps:bodyPr upright="1"/>
                      </wps:wsp>
                      <wps:wsp>
                        <wps:cNvPr id="12" name="文本框 13"/>
                        <wps:cNvSpPr txBox="1"/>
                        <wps:spPr>
                          <a:xfrm>
                            <a:off x="6360" y="255"/>
                            <a:ext cx="3690" cy="2500"/>
                          </a:xfrm>
                          <a:prstGeom prst="rect">
                            <a:avLst/>
                          </a:prstGeom>
                          <a:noFill/>
                          <a:ln>
                            <a:noFill/>
                          </a:ln>
                          <a:effectLst/>
                        </wps:spPr>
                        <wps:txbx>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wps:txbx>
                        <wps:bodyPr lIns="0" tIns="0" rIns="0" bIns="0" upright="1"/>
                      </wps:wsp>
                    </wpg:wgp>
                  </a:graphicData>
                </a:graphic>
              </wp:anchor>
            </w:drawing>
          </mc:Choice>
          <mc:Fallback>
            <w:pict>
              <v:group id="_x0000_s1026" o:spid="_x0000_s1026" o:spt="203" style="position:absolute;left:0pt;margin-left:318pt;margin-top:12.75pt;height:125pt;width:184.5pt;mso-position-horizontal-relative:page;mso-wrap-distance-bottom:0pt;mso-wrap-distance-top:0pt;z-index:-251651072;mso-width-relative:page;mso-height-relative:page;" coordorigin="6360,256" coordsize="3690,2500" o:gfxdata="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">
                <o:lock v:ext="edit" aspectratio="f"/>
                <v:shape id="任意多边形 12" o:spid="_x0000_s1026" o:spt="100" style="position:absolute;left:6360;top:255;height:2500;width:3690;" fillcolor="#000000" filled="t" stroked="f" coordsize="3690,2500" o:gfxdata="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kXuu5AAAA2wAA&#10;AA8AAAAAAAAAAQAgAAAAIgAAAGRycy9kb3ducmV2LnhtbFBLAQIUABQAAAAIAIdO4kAzLwWeOwAA&#10;ADkAAAAQAAAAAAAAAAEAIAAAAAgBAABkcnMvc2hhcGV4bWwueG1sUEsFBgAAAAAGAAYAWwEAALID&#10;AAAAAA==&#10;" path="m258,20l196,20,210,0,274,0,258,20xm3495,20l3433,20,3417,0,3481,0,3495,20xm188,40l154,40,168,20,202,20,188,40xm3537,40l3503,40,3489,20,3523,20,3537,40xm150,60l129,60,141,40,162,40,150,60xm3562,60l3541,60,3529,40,3550,40,3562,60xm126,80l105,80,117,60,138,60,126,80xm3586,80l3565,80,3553,60,3574,60,3586,80xm105,100l83,100,94,80,115,80,105,100xm3608,100l3586,100,3576,80,3597,80,3608,100xm67,140l55,140,64,120,73,100,95,100,85,120,76,120,67,140xm3636,140l3624,140,3615,120,3606,120,3596,100,3618,100,3627,120,3636,140xm45,180l32,180,39,160,47,140,68,140,59,160,52,160,45,180xm3659,180l3646,180,3639,160,3632,160,3623,140,3644,140,3652,160,3659,180xm29,220l15,220,20,200,26,180,46,180,39,200,34,200,29,220xm3676,220l3662,220,3657,200,3652,200,3645,180,3665,180,3671,200,3676,220xm16,300l1,300,2,280,4,260,7,240,11,220,29,220,25,240,22,240,19,260,19,260,17,280,17,280,16,300xm3690,300l3675,300,3674,280,3674,280,3672,260,3672,260,3669,240,3666,240,3662,220,3680,220,3684,240,3687,260,3689,280,3690,300xm15,2180l0,2180,0,300,15,300,15,2180xm3690,2180l3675,2180,3675,300,3690,300,3690,2180xm17,2220l2,2220,1,2200,1,2180,16,2180,16,2200,16,2200,17,2220xm3689,2220l3674,2220,3675,2200,3675,2200,3675,2180,3690,2180,3690,2200,3689,2220xm39,2300l20,2300,15,2280,11,2260,7,2240,4,2220,19,2220,22,2240,22,2240,25,2260,25,2260,29,2280,34,2280,39,2300xm3671,2300l3652,2300,3657,2280,3662,2280,3666,2260,3666,2260,3669,2240,3669,2240,3672,2220,3687,2220,3684,2240,3680,2260,3676,2280,3671,2300xm60,2340l39,2340,32,2320,26,2300,39,2300,46,2320,52,2320,60,2340xm3652,2340l3631,2340,3639,2320,3645,2320,3652,2300,3665,2300,3659,2320,3652,2340xm85,2380l64,2380,55,2360,47,2340,59,2340,68,2360,76,2360,85,2380xm3627,2380l3606,2380,3615,2360,3623,2360,3632,2340,3644,2340,3636,2360,3627,2380xm105,2400l83,2400,73,2380,94,2380,105,2400xm3608,2400l3586,2400,3597,2380,3618,2380,3608,2400xm126,2420l105,2420,94,2400,115,2400,126,2420xm3586,2420l3565,2420,3576,2400,3597,2400,3586,2420xm150,2440l129,2440,117,2420,138,2420,150,2440xm3562,2440l3541,2440,3553,2420,3574,2420,3562,2440xm188,2460l154,2460,141,2440,175,2440,188,2460xm3537,2460l3503,2460,3516,2440,3550,2440,3537,2460xm230,2480l196,2480,181,2460,215,2460,230,2480xm3495,2480l3461,2480,3476,2460,3510,2460,3495,2480xm3435,2500l256,2500,240,2480,3451,2480,3435,2500xe">
                  <v:fill on="t" focussize="0,0"/>
                  <v:stroke on="f"/>
                  <v:imagedata o:title=""/>
                  <o:lock v:ext="edit" aspectratio="f"/>
                </v:shape>
                <v:shape id="文本框 13" o:spid="_x0000_s1026" o:spt="202" type="#_x0000_t202" style="position:absolute;left:6360;top:255;height:2500;width:369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rPr>
                            <w:sz w:val="22"/>
                          </w:rPr>
                        </w:pPr>
                      </w:p>
                      <w:p>
                        <w:pPr>
                          <w:rPr>
                            <w:sz w:val="22"/>
                          </w:rPr>
                        </w:pPr>
                      </w:p>
                      <w:p>
                        <w:pPr>
                          <w:rPr>
                            <w:sz w:val="26"/>
                          </w:rPr>
                        </w:pPr>
                      </w:p>
                      <w:p>
                        <w:pPr>
                          <w:spacing w:before="1"/>
                          <w:ind w:left="621"/>
                          <w:rPr>
                            <w:rFonts w:ascii="宋体"/>
                          </w:rPr>
                        </w:pPr>
                        <w:r>
                          <w:rPr>
                            <w:rFonts w:hint="eastAsia" w:ascii="宋体"/>
                          </w:rPr>
                          <w:t>代理人身份证</w:t>
                        </w:r>
                        <w:r>
                          <w:rPr>
                            <w:rFonts w:eastAsia="Times New Roman"/>
                          </w:rPr>
                          <w:t>(</w:t>
                        </w:r>
                        <w:r>
                          <w:rPr>
                            <w:rFonts w:hint="eastAsia" w:ascii="宋体"/>
                          </w:rPr>
                          <w:t>背面</w:t>
                        </w:r>
                        <w:r>
                          <w:rPr>
                            <w:rFonts w:eastAsia="Times New Roman"/>
                          </w:rPr>
                          <w:t>)</w:t>
                        </w:r>
                        <w:r>
                          <w:rPr>
                            <w:rFonts w:hint="eastAsia" w:ascii="宋体"/>
                          </w:rPr>
                          <w:t>复印件</w:t>
                        </w:r>
                      </w:p>
                    </w:txbxContent>
                  </v:textbox>
                </v:shape>
                <w10:wrap type="topAndBottom"/>
              </v:group>
            </w:pict>
          </mc:Fallback>
        </mc:AlternateContent>
      </w:r>
    </w:p>
    <w:p>
      <w:pPr>
        <w:spacing w:line="48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2．资格声明书格式</w:t>
      </w:r>
    </w:p>
    <w:p>
      <w:pPr>
        <w:pStyle w:val="3"/>
        <w:spacing w:line="480" w:lineRule="exact"/>
        <w:jc w:val="center"/>
        <w:rPr>
          <w:rFonts w:hint="eastAsia" w:ascii="仿宋" w:hAnsi="仿宋" w:eastAsia="仿宋" w:cs="仿宋"/>
          <w:color w:val="000000" w:themeColor="text1"/>
          <w:sz w:val="24"/>
          <w:szCs w:val="24"/>
          <w:lang w:eastAsia="zh-CN"/>
          <w14:textFill>
            <w14:solidFill>
              <w14:schemeClr w14:val="tx1"/>
            </w14:solidFill>
          </w14:textFill>
        </w:rPr>
      </w:pPr>
      <w:bookmarkStart w:id="26" w:name="_Toc42951054"/>
      <w:r>
        <w:rPr>
          <w:rFonts w:hint="eastAsia" w:ascii="仿宋" w:hAnsi="仿宋" w:eastAsia="仿宋" w:cs="仿宋"/>
          <w:color w:val="000000" w:themeColor="text1"/>
          <w:sz w:val="24"/>
          <w:szCs w:val="24"/>
          <w:lang w:eastAsia="zh-CN"/>
          <w14:textFill>
            <w14:solidFill>
              <w14:schemeClr w14:val="tx1"/>
            </w14:solidFill>
          </w14:textFill>
        </w:rPr>
        <w:t>投标人资格声明函</w:t>
      </w:r>
    </w:p>
    <w:p>
      <w:pPr>
        <w:rPr>
          <w:rFonts w:hint="eastAsia" w:ascii="仿宋" w:hAnsi="仿宋" w:eastAsia="仿宋" w:cs="仿宋"/>
          <w:color w:val="000000" w:themeColor="text1"/>
          <w:sz w:val="24"/>
          <w:szCs w:val="24"/>
          <w:lang w:eastAsia="zh-CN"/>
          <w14:textFill>
            <w14:solidFill>
              <w14:schemeClr w14:val="tx1"/>
            </w14:solidFill>
          </w14:textFill>
        </w:rPr>
      </w:pPr>
    </w:p>
    <w:p>
      <w:pPr>
        <w:pStyle w:val="18"/>
        <w:spacing w:line="360" w:lineRule="auto"/>
        <w:rPr>
          <w:rFonts w:hint="eastAsia" w:ascii="仿宋" w:hAnsi="仿宋" w:eastAsia="仿宋" w:cs="仿宋"/>
          <w:b/>
          <w:color w:val="000000" w:themeColor="text1"/>
          <w:sz w:val="24"/>
          <w:szCs w:val="24"/>
          <w:lang w:eastAsia="zh-CN"/>
          <w14:textFill>
            <w14:solidFill>
              <w14:schemeClr w14:val="tx1"/>
            </w14:solidFill>
          </w14:textFill>
        </w:rPr>
      </w:pPr>
      <w:r>
        <w:rPr>
          <w:rFonts w:hint="eastAsia" w:ascii="仿宋" w:hAnsi="仿宋" w:eastAsia="仿宋" w:cs="仿宋"/>
          <w:b/>
          <w:color w:val="000000" w:themeColor="text1"/>
          <w:sz w:val="24"/>
          <w:szCs w:val="24"/>
          <w:lang w:eastAsia="zh-CN"/>
          <w14:textFill>
            <w14:solidFill>
              <w14:schemeClr w14:val="tx1"/>
            </w14:solidFill>
          </w14:textFill>
        </w:rPr>
        <w:t>致:新疆晓君招标有限公司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关于采购人</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年</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月</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日发布</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lang w:eastAsia="zh-CN"/>
          <w14:textFill>
            <w14:solidFill>
              <w14:schemeClr w14:val="tx1"/>
            </w14:solidFill>
          </w14:textFill>
        </w:rPr>
        <w:t>（项目编号：</w:t>
      </w:r>
      <w:r>
        <w:rPr>
          <w:rFonts w:hint="eastAsia" w:ascii="仿宋" w:hAnsi="仿宋" w:eastAsia="仿宋" w:cs="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s="仿宋"/>
          <w:color w:val="000000" w:themeColor="text1"/>
          <w:sz w:val="24"/>
          <w:szCs w:val="24"/>
          <w:u w:val="single"/>
          <w:lang w:eastAsia="zh-CN"/>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的采购公告，本公司（企业）愿意参加投标，并声明：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一、本公司（企业）具备《中华人民共和国政府采购法》第二十二条规定的条件。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1）法人或者其他组织的营业执照（或三证合一证明）证明文件。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lang w:eastAsia="zh-CN"/>
          <w14:textFill>
            <w14:solidFill>
              <w14:schemeClr w14:val="tx1"/>
            </w14:solidFill>
          </w14:textFill>
        </w:rPr>
        <w:t>2019年、2020年的财务报告</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或</w:t>
      </w:r>
      <w:r>
        <w:rPr>
          <w:rFonts w:hint="eastAsia" w:ascii="仿宋" w:hAnsi="仿宋" w:eastAsia="仿宋" w:cs="仿宋"/>
          <w:color w:val="000000" w:themeColor="text1"/>
          <w:sz w:val="24"/>
          <w:szCs w:val="24"/>
          <w14:textFill>
            <w14:solidFill>
              <w14:schemeClr w14:val="tx1"/>
            </w14:solidFill>
          </w14:textFill>
        </w:rPr>
        <w:t>提供银行出具的资信证明；</w:t>
      </w:r>
      <w:r>
        <w:rPr>
          <w:rFonts w:hint="eastAsia" w:ascii="仿宋" w:hAnsi="仿宋" w:eastAsia="仿宋" w:cs="仿宋"/>
          <w:color w:val="000000" w:themeColor="text1"/>
          <w:sz w:val="24"/>
          <w:szCs w:val="24"/>
          <w:lang w:eastAsia="zh-CN"/>
          <w14:textFill>
            <w14:solidFill>
              <w14:schemeClr w14:val="tx1"/>
            </w14:solidFill>
          </w14:textFill>
        </w:rPr>
        <w:t>报价人</w:t>
      </w:r>
      <w:r>
        <w:rPr>
          <w:rFonts w:hint="eastAsia" w:ascii="仿宋" w:hAnsi="仿宋" w:eastAsia="仿宋" w:cs="仿宋"/>
          <w:color w:val="000000" w:themeColor="text1"/>
          <w:sz w:val="24"/>
          <w:szCs w:val="24"/>
          <w14:textFill>
            <w14:solidFill>
              <w14:schemeClr w14:val="tx1"/>
            </w14:solidFill>
          </w14:textFill>
        </w:rPr>
        <w:t>为新注册的，提供其中</w:t>
      </w:r>
      <w:r>
        <w:rPr>
          <w:rFonts w:hint="eastAsia" w:ascii="仿宋" w:hAnsi="仿宋" w:eastAsia="仿宋" w:cs="仿宋"/>
          <w:color w:val="000000" w:themeColor="text1"/>
          <w:sz w:val="24"/>
          <w:szCs w:val="24"/>
          <w:lang w:val="en-US" w:eastAsia="zh-CN"/>
          <w14:textFill>
            <w14:solidFill>
              <w14:schemeClr w14:val="tx1"/>
            </w14:solidFill>
          </w14:textFill>
        </w:rPr>
        <w:t>三个月</w:t>
      </w:r>
      <w:r>
        <w:rPr>
          <w:rFonts w:hint="eastAsia" w:ascii="仿宋" w:hAnsi="仿宋" w:eastAsia="仿宋" w:cs="仿宋"/>
          <w:color w:val="000000" w:themeColor="text1"/>
          <w:sz w:val="24"/>
          <w:szCs w:val="24"/>
          <w14:textFill>
            <w14:solidFill>
              <w14:schemeClr w14:val="tx1"/>
            </w14:solidFill>
          </w14:textFill>
        </w:rPr>
        <w:t>的财务状况报</w:t>
      </w:r>
      <w:r>
        <w:rPr>
          <w:rFonts w:hint="eastAsia" w:ascii="仿宋" w:hAnsi="仿宋" w:eastAsia="仿宋" w:cs="仿宋"/>
          <w:color w:val="000000" w:themeColor="text1"/>
          <w:sz w:val="24"/>
          <w:szCs w:val="24"/>
          <w:lang w:val="en-US" w:eastAsia="zh-CN"/>
          <w14:textFill>
            <w14:solidFill>
              <w14:schemeClr w14:val="tx1"/>
            </w14:solidFill>
          </w14:textFill>
        </w:rPr>
        <w:t>表</w:t>
      </w:r>
      <w:r>
        <w:rPr>
          <w:rFonts w:hint="eastAsia" w:ascii="仿宋" w:hAnsi="仿宋" w:eastAsia="仿宋" w:cs="仿宋"/>
          <w:color w:val="000000" w:themeColor="text1"/>
          <w:sz w:val="24"/>
          <w:szCs w:val="24"/>
          <w14:textFill>
            <w14:solidFill>
              <w14:schemeClr w14:val="tx1"/>
            </w14:solidFill>
          </w14:textFill>
        </w:rPr>
        <w:t>复印件。</w:t>
      </w:r>
      <w:r>
        <w:rPr>
          <w:rFonts w:hint="eastAsia" w:ascii="仿宋" w:hAnsi="仿宋" w:eastAsia="仿宋" w:cs="仿宋"/>
          <w:color w:val="000000" w:themeColor="text1"/>
          <w:sz w:val="24"/>
          <w:szCs w:val="24"/>
          <w:lang w:eastAsia="zh-CN"/>
          <w14:textFill>
            <w14:solidFill>
              <w14:schemeClr w14:val="tx1"/>
            </w14:solidFill>
          </w14:textFill>
        </w:rPr>
        <w:t>（提供资产负债表、利润表、现金流量表）</w:t>
      </w:r>
      <w:r>
        <w:rPr>
          <w:rFonts w:hint="eastAsia" w:ascii="仿宋" w:hAnsi="仿宋" w:eastAsia="仿宋" w:cs="仿宋"/>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3）20</w:t>
      </w:r>
      <w:r>
        <w:rPr>
          <w:rFonts w:hint="eastAsia" w:ascii="仿宋" w:hAnsi="仿宋" w:eastAsia="仿宋" w:cs="仿宋"/>
          <w:color w:val="000000" w:themeColor="text1"/>
          <w:sz w:val="24"/>
          <w:szCs w:val="24"/>
          <w:lang w:val="en-US" w:eastAsia="zh-CN"/>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2021年</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月（至少提供其中</w:t>
      </w:r>
      <w:r>
        <w:rPr>
          <w:rFonts w:hint="eastAsia" w:ascii="仿宋" w:hAnsi="仿宋" w:eastAsia="仿宋" w:cs="仿宋"/>
          <w:color w:val="000000" w:themeColor="text1"/>
          <w:sz w:val="24"/>
          <w:szCs w:val="24"/>
          <w:lang w:val="en-US" w:eastAsia="zh-CN"/>
          <w14:textFill>
            <w14:solidFill>
              <w14:schemeClr w14:val="tx1"/>
            </w14:solidFill>
          </w14:textFill>
        </w:rPr>
        <w:t>三个</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highlight w:val="none"/>
          <w14:textFill>
            <w14:solidFill>
              <w14:schemeClr w14:val="tx1"/>
            </w14:solidFill>
          </w14:textFill>
        </w:rPr>
        <w:t>缴纳税收</w:t>
      </w:r>
      <w:r>
        <w:rPr>
          <w:rFonts w:hint="eastAsia" w:ascii="仿宋" w:hAnsi="仿宋" w:eastAsia="仿宋" w:cs="仿宋"/>
          <w:color w:val="000000" w:themeColor="text1"/>
          <w:sz w:val="24"/>
          <w:szCs w:val="24"/>
          <w14:textFill>
            <w14:solidFill>
              <w14:schemeClr w14:val="tx1"/>
            </w14:solidFill>
          </w14:textFill>
        </w:rPr>
        <w:t>和社保的凭证。如依法免税或不需要缴纳社会保障资金的，应提供相应文件证明。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4）提供为本项目服务的设备清单以及技术人员的名单材料。</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5）提供参加政府采购活动前3年内在经营活动中没有重大违法记录的书面声明。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二、根据《中华人民共和国政府采购法实施条例》的规定，本公司（企业）如为采购项目提供整体设计、规范编制或者项目管理、监理、检测等服务的供应商，不再参加该采购项目的其他采购活动。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三、我方承诺单位负责人为同一人或者存在直接控股、管理关系的不同供应商，不得同时参加本项目的投标。</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本公司（企业）承诺在本次招标采购互动中，如有违法、法规，弄虚作假行为，所造成的损失，不良后果及法律责任，一律由我公司（企业）承担。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特此声明！</w:t>
      </w:r>
    </w:p>
    <w:p>
      <w:pPr>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备注：1、本声明函必须提供且内容不得擅自删改，否则视为无效投标。</w:t>
      </w:r>
    </w:p>
    <w:p>
      <w:pPr>
        <w:spacing w:line="360" w:lineRule="auto"/>
        <w:ind w:firstLine="720" w:firstLineChars="3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2、本声明函如有虚假或与事实不符的，作无效投标处理。</w:t>
      </w:r>
    </w:p>
    <w:p>
      <w:pPr>
        <w:spacing w:line="360" w:lineRule="auto"/>
        <w:jc w:val="both"/>
        <w:rPr>
          <w:rFonts w:hint="eastAsia" w:ascii="仿宋" w:hAnsi="仿宋" w:eastAsia="仿宋" w:cs="仿宋"/>
          <w:color w:val="000000" w:themeColor="text1"/>
          <w:sz w:val="24"/>
          <w:szCs w:val="24"/>
          <w14:textFill>
            <w14:solidFill>
              <w14:schemeClr w14:val="tx1"/>
            </w14:solidFill>
          </w14:textFill>
        </w:rPr>
      </w:pPr>
    </w:p>
    <w:p>
      <w:pPr>
        <w:spacing w:line="360" w:lineRule="auto"/>
        <w:ind w:left="0" w:leftChars="0" w:firstLine="5280" w:firstLineChars="2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投标人（公章）：</w:t>
      </w:r>
    </w:p>
    <w:p>
      <w:pPr>
        <w:spacing w:line="360" w:lineRule="auto"/>
        <w:ind w:left="0" w:leftChars="0" w:firstLine="5280" w:firstLineChars="2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投标人地址：</w:t>
      </w:r>
    </w:p>
    <w:p>
      <w:pPr>
        <w:spacing w:line="480" w:lineRule="exact"/>
        <w:ind w:left="0" w:leftChars="0" w:firstLine="5280" w:firstLineChars="2200"/>
        <w:rPr>
          <w:rFonts w:hint="eastAsia" w:ascii="仿宋" w:hAnsi="仿宋" w:eastAsia="仿宋" w:cs="仿宋"/>
          <w:color w:val="000000" w:themeColor="text1"/>
          <w:sz w:val="24"/>
          <w:szCs w:val="24"/>
          <w14:textFill>
            <w14:solidFill>
              <w14:schemeClr w14:val="tx1"/>
            </w14:solidFill>
          </w14:textFill>
        </w:rPr>
        <w:sectPr>
          <w:headerReference r:id="rId10" w:type="default"/>
          <w:footerReference r:id="rId11" w:type="default"/>
          <w:pgSz w:w="11906" w:h="16838"/>
          <w:pgMar w:top="1440" w:right="1379" w:bottom="1440" w:left="1400" w:header="851" w:footer="992" w:gutter="0"/>
          <w:pgNumType w:fmt="decimal"/>
          <w:cols w:space="720" w:num="1"/>
          <w:docGrid w:linePitch="312" w:charSpace="0"/>
        </w:sectPr>
      </w:pPr>
      <w:r>
        <w:rPr>
          <w:rFonts w:hint="eastAsia" w:ascii="仿宋" w:hAnsi="仿宋" w:eastAsia="仿宋" w:cs="仿宋"/>
          <w:color w:val="000000" w:themeColor="text1"/>
          <w:sz w:val="24"/>
          <w:szCs w:val="24"/>
          <w14:textFill>
            <w14:solidFill>
              <w14:schemeClr w14:val="tx1"/>
            </w14:solidFill>
          </w14:textFill>
        </w:rPr>
        <w:t>日    期：</w:t>
      </w:r>
    </w:p>
    <w:p>
      <w:pPr>
        <w:spacing w:line="480" w:lineRule="exact"/>
        <w:rPr>
          <w:rFonts w:hint="eastAsia" w:ascii="仿宋" w:hAnsi="仿宋" w:eastAsia="仿宋" w:cs="仿宋"/>
          <w:b/>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附：（注：本声明函对中小企业参与政府采购活动时适用）</w:t>
      </w:r>
    </w:p>
    <w:p>
      <w:pPr>
        <w:spacing w:line="588" w:lineRule="exact"/>
        <w:rPr>
          <w:rFonts w:hint="eastAsia" w:ascii="仿宋" w:hAnsi="仿宋" w:eastAsia="仿宋" w:cs="仿宋"/>
          <w:color w:val="000000" w:themeColor="text1"/>
          <w:spacing w:val="6"/>
          <w:sz w:val="24"/>
          <w:szCs w:val="24"/>
          <w14:textFill>
            <w14:solidFill>
              <w14:schemeClr w14:val="tx1"/>
            </w14:solidFill>
          </w14:textFill>
        </w:rPr>
      </w:pPr>
    </w:p>
    <w:p>
      <w:pPr>
        <w:spacing w:line="480" w:lineRule="exact"/>
        <w:jc w:val="center"/>
        <w:rPr>
          <w:rFonts w:hint="eastAsia" w:ascii="仿宋" w:hAnsi="仿宋" w:eastAsia="仿宋" w:cs="仿宋"/>
          <w:b/>
          <w:color w:val="000000" w:themeColor="text1"/>
          <w:spacing w:val="6"/>
          <w:sz w:val="24"/>
          <w:szCs w:val="24"/>
          <w14:textFill>
            <w14:solidFill>
              <w14:schemeClr w14:val="tx1"/>
            </w14:solidFill>
          </w14:textFill>
        </w:rPr>
      </w:pPr>
      <w:r>
        <w:rPr>
          <w:rFonts w:hint="eastAsia" w:ascii="仿宋" w:hAnsi="仿宋" w:eastAsia="仿宋" w:cs="仿宋"/>
          <w:b/>
          <w:color w:val="000000" w:themeColor="text1"/>
          <w:spacing w:val="6"/>
          <w:sz w:val="24"/>
          <w:szCs w:val="24"/>
          <w14:textFill>
            <w14:solidFill>
              <w14:schemeClr w14:val="tx1"/>
            </w14:solidFill>
          </w14:textFill>
        </w:rPr>
        <w:t>中小企业声明函</w:t>
      </w:r>
    </w:p>
    <w:p>
      <w:pPr>
        <w:spacing w:line="480" w:lineRule="exact"/>
        <w:rPr>
          <w:rFonts w:hint="eastAsia" w:ascii="仿宋" w:hAnsi="仿宋" w:eastAsia="仿宋" w:cs="仿宋"/>
          <w:b/>
          <w:color w:val="000000" w:themeColor="text1"/>
          <w:spacing w:val="6"/>
          <w:sz w:val="24"/>
          <w:szCs w:val="24"/>
          <w14:textFill>
            <w14:solidFill>
              <w14:schemeClr w14:val="tx1"/>
            </w14:solidFill>
          </w14:textFill>
        </w:rPr>
      </w:pP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本公司郑重声明，根据《政府采购促进中小企业发展暂行办法》（财库[2011]181号）的规定，本公司为______（请填写：中型、小型、微型）企业。即，本公司同时满足以下条件：</w:t>
      </w: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1.根据《工业和信息化部、国家统计局、国家发展和改革委员会、财政部关于印发中小企业划型标准规定的通知》（</w:t>
      </w:r>
      <w:r>
        <w:rPr>
          <w:rFonts w:hint="eastAsia" w:ascii="仿宋" w:hAnsi="仿宋" w:eastAsia="仿宋" w:cs="仿宋"/>
          <w:color w:val="000000" w:themeColor="text1"/>
          <w:spacing w:val="6"/>
          <w:sz w:val="24"/>
          <w:szCs w:val="24"/>
          <w:highlight w:val="none"/>
          <w14:textFill>
            <w14:solidFill>
              <w14:schemeClr w14:val="tx1"/>
            </w14:solidFill>
          </w14:textFill>
        </w:rPr>
        <w:t>工信部</w:t>
      </w:r>
      <w:r>
        <w:rPr>
          <w:rFonts w:hint="eastAsia" w:ascii="仿宋" w:hAnsi="仿宋" w:eastAsia="仿宋" w:cs="仿宋"/>
          <w:color w:val="000000" w:themeColor="text1"/>
          <w:spacing w:val="6"/>
          <w:sz w:val="24"/>
          <w:szCs w:val="24"/>
          <w14:textFill>
            <w14:solidFill>
              <w14:schemeClr w14:val="tx1"/>
            </w14:solidFill>
          </w14:textFill>
        </w:rPr>
        <w:t>联企业[2011]300号）规定的划分标准，本公司为______（请填写：中型、小型、微型）企业。</w:t>
      </w: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2.本公司参加______单位的______项目采购活动</w:t>
      </w:r>
      <w:r>
        <w:rPr>
          <w:rFonts w:hint="eastAsia" w:ascii="仿宋" w:hAnsi="仿宋" w:eastAsia="仿宋" w:cs="仿宋"/>
          <w:color w:val="000000" w:themeColor="text1"/>
          <w:spacing w:val="6"/>
          <w:sz w:val="24"/>
          <w:szCs w:val="24"/>
          <w:u w:val="single"/>
          <w14:textFill>
            <w14:solidFill>
              <w14:schemeClr w14:val="tx1"/>
            </w14:solidFill>
          </w14:textFill>
        </w:rPr>
        <w:t>提供本企业制造的货物，由本企业承担工程、提供服务</w:t>
      </w:r>
      <w:r>
        <w:rPr>
          <w:rFonts w:hint="eastAsia" w:ascii="仿宋" w:hAnsi="仿宋" w:eastAsia="仿宋" w:cs="仿宋"/>
          <w:color w:val="000000" w:themeColor="text1"/>
          <w:spacing w:val="6"/>
          <w:sz w:val="24"/>
          <w:szCs w:val="24"/>
          <w14:textFill>
            <w14:solidFill>
              <w14:schemeClr w14:val="tx1"/>
            </w14:solidFill>
          </w14:textFill>
        </w:rPr>
        <w:t>，</w:t>
      </w:r>
      <w:r>
        <w:rPr>
          <w:rFonts w:hint="eastAsia" w:ascii="仿宋" w:hAnsi="仿宋" w:eastAsia="仿宋" w:cs="仿宋"/>
          <w:color w:val="000000" w:themeColor="text1"/>
          <w:spacing w:val="6"/>
          <w:sz w:val="24"/>
          <w:szCs w:val="24"/>
          <w:u w:val="single"/>
          <w14:textFill>
            <w14:solidFill>
              <w14:schemeClr w14:val="tx1"/>
            </w14:solidFill>
          </w14:textFill>
        </w:rPr>
        <w:t>或者提供其他______（请填写：中型、小型、微型）企业制造的货物</w:t>
      </w:r>
      <w:r>
        <w:rPr>
          <w:rFonts w:hint="eastAsia" w:ascii="仿宋" w:hAnsi="仿宋" w:eastAsia="仿宋" w:cs="仿宋"/>
          <w:color w:val="000000" w:themeColor="text1"/>
          <w:spacing w:val="6"/>
          <w:sz w:val="24"/>
          <w:szCs w:val="24"/>
          <w14:textFill>
            <w14:solidFill>
              <w14:schemeClr w14:val="tx1"/>
            </w14:solidFill>
          </w14:textFill>
        </w:rPr>
        <w:t>。本条所称货物不包括使用大型企业注册商标的货物。</w:t>
      </w:r>
    </w:p>
    <w:p>
      <w:pPr>
        <w:spacing w:line="480" w:lineRule="exact"/>
        <w:ind w:firstLine="504" w:firstLineChars="200"/>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本公司对上述声明的真实性负责。如有虚假，将依法承担相应责任。</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600"/>
        <w:gridCol w:w="198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序号</w:t>
            </w:r>
          </w:p>
        </w:tc>
        <w:tc>
          <w:tcPr>
            <w:tcW w:w="360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服务类型</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服务名称</w:t>
            </w: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金额（元）</w:t>
            </w: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1</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本企业提供的服务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2</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其他中型企业提供的服务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3</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其他小型企业提供的服务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4</w:t>
            </w:r>
          </w:p>
        </w:tc>
        <w:tc>
          <w:tcPr>
            <w:tcW w:w="3600" w:type="dxa"/>
            <w:noWrap w:val="0"/>
            <w:vAlign w:val="center"/>
          </w:tcPr>
          <w:p>
            <w:pPr>
              <w:spacing w:line="480" w:lineRule="exact"/>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其他微型企业提供的服务</w:t>
            </w:r>
          </w:p>
        </w:tc>
        <w:tc>
          <w:tcPr>
            <w:tcW w:w="198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44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c>
          <w:tcPr>
            <w:tcW w:w="1260" w:type="dxa"/>
            <w:noWrap w:val="0"/>
            <w:vAlign w:val="center"/>
          </w:tcPr>
          <w:p>
            <w:pPr>
              <w:spacing w:line="480" w:lineRule="exact"/>
              <w:jc w:val="center"/>
              <w:rPr>
                <w:rFonts w:hint="eastAsia" w:ascii="仿宋" w:hAnsi="仿宋" w:eastAsia="仿宋" w:cs="仿宋"/>
                <w:color w:val="000000" w:themeColor="text1"/>
                <w:spacing w:val="6"/>
                <w:sz w:val="24"/>
                <w:szCs w:val="24"/>
                <w14:textFill>
                  <w14:solidFill>
                    <w14:schemeClr w14:val="tx1"/>
                  </w14:solidFill>
                </w14:textFill>
              </w:rPr>
            </w:pPr>
          </w:p>
        </w:tc>
      </w:tr>
    </w:tbl>
    <w:p>
      <w:pPr>
        <w:tabs>
          <w:tab w:val="left" w:pos="4860"/>
        </w:tabs>
        <w:spacing w:line="480" w:lineRule="exact"/>
        <w:ind w:right="1560" w:firstLine="504" w:firstLineChars="200"/>
        <w:jc w:val="center"/>
        <w:rPr>
          <w:rFonts w:hint="eastAsia" w:ascii="仿宋" w:hAnsi="仿宋" w:eastAsia="仿宋" w:cs="仿宋"/>
          <w:color w:val="000000" w:themeColor="text1"/>
          <w:spacing w:val="6"/>
          <w:sz w:val="24"/>
          <w:szCs w:val="24"/>
          <w14:textFill>
            <w14:solidFill>
              <w14:schemeClr w14:val="tx1"/>
            </w14:solidFill>
          </w14:textFill>
        </w:rPr>
      </w:pPr>
      <w:r>
        <w:rPr>
          <w:rFonts w:hint="eastAsia" w:ascii="仿宋" w:hAnsi="仿宋" w:eastAsia="仿宋" w:cs="仿宋"/>
          <w:color w:val="000000" w:themeColor="text1"/>
          <w:spacing w:val="6"/>
          <w:sz w:val="24"/>
          <w:szCs w:val="24"/>
          <w14:textFill>
            <w14:solidFill>
              <w14:schemeClr w14:val="tx1"/>
            </w14:solidFill>
          </w14:textFill>
        </w:rPr>
        <w:t xml:space="preserve">               </w:t>
      </w:r>
    </w:p>
    <w:p>
      <w:pPr>
        <w:tabs>
          <w:tab w:val="left" w:pos="4860"/>
        </w:tabs>
        <w:spacing w:line="480" w:lineRule="exact"/>
        <w:ind w:right="1560" w:firstLine="504" w:firstLineChars="200"/>
        <w:jc w:val="center"/>
        <w:rPr>
          <w:rFonts w:hint="eastAsia" w:ascii="仿宋" w:hAnsi="仿宋" w:eastAsia="仿宋" w:cs="仿宋"/>
          <w:color w:val="000000" w:themeColor="text1"/>
          <w:spacing w:val="6"/>
          <w:sz w:val="24"/>
          <w:szCs w:val="24"/>
          <w14:textFill>
            <w14:solidFill>
              <w14:schemeClr w14:val="tx1"/>
            </w14:solidFill>
          </w14:textFill>
        </w:rPr>
      </w:pPr>
    </w:p>
    <w:p>
      <w:pPr>
        <w:tabs>
          <w:tab w:val="left" w:pos="4860"/>
        </w:tabs>
        <w:spacing w:line="480" w:lineRule="exact"/>
        <w:ind w:right="1560" w:firstLine="504" w:firstLineChars="200"/>
        <w:jc w:val="center"/>
        <w:rPr>
          <w:rFonts w:hint="eastAsia" w:ascii="仿宋" w:hAnsi="仿宋" w:eastAsia="仿宋" w:cs="仿宋"/>
          <w:color w:val="000000" w:themeColor="text1"/>
          <w:spacing w:val="6"/>
          <w:sz w:val="24"/>
          <w:szCs w:val="24"/>
          <w14:textFill>
            <w14:solidFill>
              <w14:schemeClr w14:val="tx1"/>
            </w14:solidFill>
          </w14:textFill>
        </w:rPr>
      </w:pPr>
    </w:p>
    <w:p>
      <w:pPr>
        <w:tabs>
          <w:tab w:val="left" w:pos="4860"/>
        </w:tabs>
        <w:spacing w:line="480" w:lineRule="exact"/>
        <w:ind w:right="1560" w:firstLine="480" w:firstLineChars="20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企业名称（盖章）： </w:t>
      </w:r>
    </w:p>
    <w:p>
      <w:pPr>
        <w:tabs>
          <w:tab w:val="left" w:pos="4860"/>
        </w:tabs>
        <w:spacing w:line="480" w:lineRule="exact"/>
        <w:ind w:right="1560" w:firstLine="480" w:firstLineChars="20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                                  日  期：</w:t>
      </w:r>
    </w:p>
    <w:p>
      <w:pPr>
        <w:tabs>
          <w:tab w:val="left" w:pos="4860"/>
        </w:tabs>
        <w:spacing w:line="588" w:lineRule="exact"/>
        <w:ind w:right="1560"/>
        <w:rPr>
          <w:rFonts w:hint="eastAsia" w:ascii="仿宋" w:hAnsi="仿宋" w:eastAsia="仿宋" w:cs="仿宋"/>
          <w:b/>
          <w:color w:val="000000" w:themeColor="text1"/>
          <w:sz w:val="24"/>
          <w:szCs w:val="24"/>
          <w:highlight w:val="none"/>
          <w14:textFill>
            <w14:solidFill>
              <w14:schemeClr w14:val="tx1"/>
            </w14:solidFill>
          </w14:textFill>
        </w:rPr>
      </w:pPr>
    </w:p>
    <w:p>
      <w:pPr>
        <w:pStyle w:val="14"/>
        <w:rPr>
          <w:rFonts w:hint="eastAsia" w:ascii="仿宋" w:hAnsi="仿宋" w:eastAsia="仿宋" w:cs="仿宋"/>
          <w:b/>
          <w:color w:val="000000" w:themeColor="text1"/>
          <w:sz w:val="24"/>
          <w:szCs w:val="24"/>
          <w:highlight w:val="none"/>
          <w14:textFill>
            <w14:solidFill>
              <w14:schemeClr w14:val="tx1"/>
            </w14:solidFill>
          </w14:textFill>
        </w:rPr>
      </w:pPr>
    </w:p>
    <w:p>
      <w:pPr>
        <w:rPr>
          <w:rFonts w:hint="eastAsia" w:ascii="仿宋" w:hAnsi="仿宋" w:eastAsia="仿宋" w:cs="仿宋"/>
          <w:color w:val="000000" w:themeColor="text1"/>
          <w:sz w:val="24"/>
          <w:szCs w:val="24"/>
          <w14:textFill>
            <w14:solidFill>
              <w14:schemeClr w14:val="tx1"/>
            </w14:solidFill>
          </w14:textFill>
        </w:rPr>
      </w:pPr>
    </w:p>
    <w:p>
      <w:pPr>
        <w:tabs>
          <w:tab w:val="left" w:pos="4860"/>
        </w:tabs>
        <w:spacing w:line="588" w:lineRule="exact"/>
        <w:ind w:right="1560"/>
        <w:rPr>
          <w:rFonts w:hint="eastAsia" w:ascii="仿宋" w:hAnsi="仿宋" w:eastAsia="仿宋" w:cs="仿宋"/>
          <w:b/>
          <w:color w:val="000000" w:themeColor="text1"/>
          <w:sz w:val="24"/>
          <w:szCs w:val="24"/>
          <w:highlight w:val="none"/>
          <w14:textFill>
            <w14:solidFill>
              <w14:schemeClr w14:val="tx1"/>
            </w14:solidFill>
          </w14:textFill>
        </w:rPr>
      </w:pPr>
    </w:p>
    <w:p>
      <w:pPr>
        <w:tabs>
          <w:tab w:val="left" w:pos="4860"/>
        </w:tabs>
        <w:spacing w:line="588" w:lineRule="exact"/>
        <w:ind w:right="1560"/>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3资格证明文件格式</w:t>
      </w:r>
      <w:bookmarkEnd w:id="26"/>
    </w:p>
    <w:p>
      <w:pPr>
        <w:widowControl w:val="0"/>
        <w:autoSpaceDE w:val="0"/>
        <w:autoSpaceDN w:val="0"/>
        <w:spacing w:line="360" w:lineRule="auto"/>
        <w:ind w:left="216" w:right="420" w:rightChars="200" w:hanging="247" w:hangingChars="103"/>
        <w:outlineLvl w:val="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[说明]供应商应按照磋商文件的要求做出全面的响应。其内容应包括但不限于以下各项：</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1.满足《中华人民共和国政府采购法》第二十二条规定；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1）提供在中华人民共和国境内注册的法人或其他组织的营业执照或事业单位法人证书或社会团体法人登记证书复印件，如投标人为自然人的提供自然人身份证明复印件；如国家另有规定的，则从其规定。</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2）提供 2019年度或 2020年度经审计的《财务审计报告书》</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原件</w:t>
      </w:r>
      <w:r>
        <w:rPr>
          <w:rFonts w:hint="eastAsia" w:ascii="仿宋" w:hAnsi="仿宋" w:eastAsia="仿宋" w:cs="仿宋"/>
          <w:i w:val="0"/>
          <w:iCs w:val="0"/>
          <w:caps w:val="0"/>
          <w:color w:val="000000" w:themeColor="text1"/>
          <w:spacing w:val="0"/>
          <w:sz w:val="24"/>
          <w:szCs w:val="24"/>
          <w14:textFill>
            <w14:solidFill>
              <w14:schemeClr w14:val="tx1"/>
            </w14:solidFill>
          </w14:textFill>
        </w:rPr>
        <w:t>，或银行出具的资信证明材料</w:t>
      </w: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原件</w:t>
      </w:r>
      <w:r>
        <w:rPr>
          <w:rFonts w:hint="eastAsia" w:ascii="仿宋" w:hAnsi="仿宋" w:eastAsia="仿宋" w:cs="仿宋"/>
          <w:i w:val="0"/>
          <w:iCs w:val="0"/>
          <w:caps w:val="0"/>
          <w:color w:val="000000" w:themeColor="text1"/>
          <w:spacing w:val="0"/>
          <w:sz w:val="24"/>
          <w:szCs w:val="24"/>
          <w14:textFill>
            <w14:solidFill>
              <w14:schemeClr w14:val="tx1"/>
            </w14:solidFill>
          </w14:textFill>
        </w:rPr>
        <w:t>；</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3）提供近段时间内（</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2021年1月-6月</w:t>
      </w:r>
      <w:r>
        <w:rPr>
          <w:rFonts w:hint="eastAsia" w:ascii="仿宋" w:hAnsi="仿宋" w:eastAsia="仿宋" w:cs="仿宋"/>
          <w:i w:val="0"/>
          <w:iCs w:val="0"/>
          <w:caps w:val="0"/>
          <w:color w:val="000000" w:themeColor="text1"/>
          <w:spacing w:val="0"/>
          <w:sz w:val="24"/>
          <w:szCs w:val="24"/>
          <w14:textFill>
            <w14:solidFill>
              <w14:schemeClr w14:val="tx1"/>
            </w14:solidFill>
          </w14:textFill>
        </w:rPr>
        <w:t>）的缴纳税收的完税证明或税务部门出具的纳税证明；如依法免税的，应提供相应文件证明；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4）提供近段时间内（</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2021年1月-6月</w:t>
      </w:r>
      <w:r>
        <w:rPr>
          <w:rFonts w:hint="eastAsia" w:ascii="仿宋" w:hAnsi="仿宋" w:eastAsia="仿宋" w:cs="仿宋"/>
          <w:i w:val="0"/>
          <w:iCs w:val="0"/>
          <w:caps w:val="0"/>
          <w:color w:val="000000" w:themeColor="text1"/>
          <w:spacing w:val="0"/>
          <w:sz w:val="24"/>
          <w:szCs w:val="24"/>
          <w14:textFill>
            <w14:solidFill>
              <w14:schemeClr w14:val="tx1"/>
            </w14:solidFill>
          </w14:textFill>
        </w:rPr>
        <w:t>）的缴纳社保证明材料加盖公章。如依法不需要缴纳社会保障资金的，应提供相应文件证明；</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5）提供履行合同所必需的设备和专业技术能力的书面声明；（提供《投标人资格声明函》）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6）提供参加政府采购活动前3年内在经营活动中没有重大违法记录的书面声明；（提供《投标人资格声明函》）。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i w:val="0"/>
          <w:iCs w:val="0"/>
          <w:caps w:val="0"/>
          <w:color w:val="000000" w:themeColor="text1"/>
          <w:spacing w:val="0"/>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2.落实政府采购政策需满足的资格要求：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需要落实的政府采购政策：《政府采购促进中小企业发展暂行办法》（财库[2011]181号）、《关于政府采购支持监狱企业发展有关问题的通知》（财库[2014]68号）、《关于环境标志产品政府采购实施的意见》（财库[2006]90号、《节能产品政府采购实施意见》的通知（财库[2004]185号）。</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14:textFill>
            <w14:solidFill>
              <w14:schemeClr w14:val="tx1"/>
            </w14:solidFill>
          </w14:textFill>
        </w:rPr>
        <w:t>3.本项目的特定资格要求：</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24"/>
          <w:szCs w:val="24"/>
          <w14:textFill>
            <w14:solidFill>
              <w14:schemeClr w14:val="tx1"/>
            </w14:solidFill>
          </w14:textFill>
        </w:rPr>
        <w:t>）为采购项目提供整体设计、规范编制或者项目管理、监理、检测等服务的供应商，不得再参加该采购项目同一合同项下的其他采购活动。（提供《投标人资格声明函》）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24"/>
          <w:szCs w:val="24"/>
          <w14:textFill>
            <w14:solidFill>
              <w14:schemeClr w14:val="tx1"/>
            </w14:solidFill>
          </w14:textFill>
        </w:rPr>
        <w:t>）单位负责人为同一人或者存在直接控股、管理关系的不同供应商，不得参加同一合同项下的政府采购活动。（提供《投标人资格声明函》）</w:t>
      </w:r>
    </w:p>
    <w:p>
      <w:pPr>
        <w:pStyle w:val="29"/>
        <w:keepNext w:val="0"/>
        <w:keepLines w:val="0"/>
        <w:pageBreakBefore w:val="0"/>
        <w:widowControl/>
        <w:suppressLineNumbers w:val="0"/>
        <w:kinsoku/>
        <w:wordWrap/>
        <w:overflowPunct/>
        <w:topLinePunct w:val="0"/>
        <w:autoSpaceDE/>
        <w:autoSpaceDN/>
        <w:bidi w:val="0"/>
        <w:adjustRightInd/>
        <w:snapToGrid/>
        <w:spacing w:before="36" w:beforeAutospacing="0" w:after="36" w:afterAutospacing="0" w:line="360" w:lineRule="auto"/>
        <w:ind w:left="0" w:right="0" w:firstLine="336"/>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24"/>
          <w:szCs w:val="24"/>
          <w14:textFill>
            <w14:solidFill>
              <w14:schemeClr w14:val="tx1"/>
            </w14:solidFill>
          </w14:textFill>
        </w:rPr>
        <w:t>）在“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将拒绝其参本次政府采购活动。（说明：①由资格性审查人员于投标截止日查询结果为准，如在上述网站查询结果均显示没有相关记录，视为不存在上述不良信用记录。②采购代理机构同时对信用信息查询记录和证据截图或下载存档；</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pPr>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rPr>
          <w:rFonts w:hint="eastAsia" w:ascii="仿宋" w:hAnsi="仿宋" w:eastAsia="仿宋" w:cs="仿宋"/>
          <w:color w:val="000000" w:themeColor="text1"/>
          <w:sz w:val="24"/>
          <w:szCs w:val="24"/>
          <w:highlight w:val="none"/>
          <w14:textFill>
            <w14:solidFill>
              <w14:schemeClr w14:val="tx1"/>
            </w14:solidFill>
          </w14:textFill>
        </w:rPr>
      </w:pPr>
    </w:p>
    <w:p>
      <w:pPr>
        <w:pStyle w:val="16"/>
        <w:ind w:left="0" w:leftChars="0" w:firstLine="0" w:firstLineChars="0"/>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w:t>
      </w:r>
      <w:bookmarkStart w:id="27" w:name="_Hlt10549792"/>
      <w:bookmarkEnd w:id="27"/>
      <w:r>
        <w:rPr>
          <w:rFonts w:hint="eastAsia" w:ascii="仿宋" w:hAnsi="仿宋" w:eastAsia="仿宋" w:cs="仿宋"/>
          <w:b/>
          <w:bCs/>
          <w:color w:val="000000" w:themeColor="text1"/>
          <w:sz w:val="24"/>
          <w:szCs w:val="24"/>
          <w:highlight w:val="none"/>
          <w14:textFill>
            <w14:solidFill>
              <w14:schemeClr w14:val="tx1"/>
            </w14:solidFill>
          </w14:textFill>
        </w:rPr>
        <w:t>4. 退保证金说明格式</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退保证金说明</w:t>
      </w:r>
    </w:p>
    <w:p>
      <w:pPr>
        <w:spacing w:line="480" w:lineRule="exac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致：新疆晓君招标有限公司</w:t>
      </w:r>
    </w:p>
    <w:p>
      <w:pPr>
        <w:spacing w:line="480" w:lineRule="exac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我方为</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投标[采购编号为：     ]所提交的保证金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元，请</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退还时划到以下帐户：</w:t>
      </w:r>
    </w:p>
    <w:tbl>
      <w:tblPr>
        <w:tblStyle w:val="32"/>
        <w:tblW w:w="9195" w:type="dxa"/>
        <w:tblInd w:w="93" w:type="dxa"/>
        <w:tblLayout w:type="fixed"/>
        <w:tblCellMar>
          <w:top w:w="0" w:type="dxa"/>
          <w:left w:w="108" w:type="dxa"/>
          <w:bottom w:w="0" w:type="dxa"/>
          <w:right w:w="108" w:type="dxa"/>
        </w:tblCellMar>
      </w:tblPr>
      <w:tblGrid>
        <w:gridCol w:w="540"/>
        <w:gridCol w:w="1635"/>
        <w:gridCol w:w="3420"/>
        <w:gridCol w:w="1080"/>
        <w:gridCol w:w="2520"/>
      </w:tblGrid>
      <w:tr>
        <w:tblPrEx>
          <w:tblCellMar>
            <w:top w:w="0" w:type="dxa"/>
            <w:left w:w="108" w:type="dxa"/>
            <w:bottom w:w="0" w:type="dxa"/>
            <w:right w:w="108" w:type="dxa"/>
          </w:tblCellMar>
        </w:tblPrEx>
        <w:trPr>
          <w:cantSplit/>
          <w:trHeight w:val="529" w:hRule="atLeast"/>
        </w:trPr>
        <w:tc>
          <w:tcPr>
            <w:tcW w:w="54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收款单位</w:t>
            </w:r>
          </w:p>
        </w:tc>
        <w:tc>
          <w:tcPr>
            <w:tcW w:w="1635"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收款单位名称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49" w:hRule="atLeast"/>
        </w:trPr>
        <w:tc>
          <w:tcPr>
            <w:tcW w:w="540" w:type="dxa"/>
            <w:vMerge w:val="continue"/>
            <w:tcBorders>
              <w:top w:val="nil"/>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收款单位地址 </w:t>
            </w:r>
          </w:p>
        </w:tc>
        <w:tc>
          <w:tcPr>
            <w:tcW w:w="7020" w:type="dxa"/>
            <w:gridSpan w:val="3"/>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cantSplit/>
          <w:trHeight w:val="439" w:hRule="atLeast"/>
        </w:trPr>
        <w:tc>
          <w:tcPr>
            <w:tcW w:w="540"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 户 银 行</w:t>
            </w:r>
          </w:p>
        </w:tc>
        <w:tc>
          <w:tcPr>
            <w:tcW w:w="34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 系 人</w:t>
            </w:r>
          </w:p>
        </w:tc>
        <w:tc>
          <w:tcPr>
            <w:tcW w:w="2520"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90" w:hRule="atLeast"/>
        </w:trPr>
        <w:tc>
          <w:tcPr>
            <w:tcW w:w="540" w:type="dxa"/>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635"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帐       号</w:t>
            </w:r>
          </w:p>
        </w:tc>
        <w:tc>
          <w:tcPr>
            <w:tcW w:w="34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p>
        </w:tc>
        <w:tc>
          <w:tcPr>
            <w:tcW w:w="2520"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bl>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       期：</w:t>
      </w: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 xml:space="preserve">（ 以下内容由采购代理机构填写，供应商须保留此表 ）                                </w:t>
      </w:r>
    </w:p>
    <w:tbl>
      <w:tblPr>
        <w:tblStyle w:val="32"/>
        <w:tblW w:w="8588" w:type="dxa"/>
        <w:tblInd w:w="93" w:type="dxa"/>
        <w:tblLayout w:type="fixed"/>
        <w:tblCellMar>
          <w:top w:w="0" w:type="dxa"/>
          <w:left w:w="108" w:type="dxa"/>
          <w:bottom w:w="0" w:type="dxa"/>
          <w:right w:w="108" w:type="dxa"/>
        </w:tblCellMar>
      </w:tblPr>
      <w:tblGrid>
        <w:gridCol w:w="8588"/>
      </w:tblGrid>
      <w:tr>
        <w:tblPrEx>
          <w:tblCellMar>
            <w:top w:w="0" w:type="dxa"/>
            <w:left w:w="108" w:type="dxa"/>
            <w:bottom w:w="0" w:type="dxa"/>
            <w:right w:w="108" w:type="dxa"/>
          </w:tblCellMar>
        </w:tblPrEx>
        <w:trPr>
          <w:trHeight w:val="855" w:hRule="atLeast"/>
        </w:trPr>
        <w:tc>
          <w:tcPr>
            <w:tcW w:w="8588" w:type="dxa"/>
            <w:tcBorders>
              <w:top w:val="nil"/>
              <w:left w:val="nil"/>
              <w:bottom w:val="nil"/>
              <w:right w:val="nil"/>
            </w:tcBorders>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付款申请表</w:t>
            </w:r>
          </w:p>
          <w:tbl>
            <w:tblPr>
              <w:tblStyle w:val="32"/>
              <w:tblW w:w="8362" w:type="dxa"/>
              <w:tblInd w:w="0" w:type="dxa"/>
              <w:tblLayout w:type="fixed"/>
              <w:tblCellMar>
                <w:top w:w="0" w:type="dxa"/>
                <w:left w:w="108" w:type="dxa"/>
                <w:bottom w:w="0" w:type="dxa"/>
                <w:right w:w="108" w:type="dxa"/>
              </w:tblCellMar>
            </w:tblPr>
            <w:tblGrid>
              <w:gridCol w:w="983"/>
              <w:gridCol w:w="1497"/>
              <w:gridCol w:w="1514"/>
              <w:gridCol w:w="1308"/>
              <w:gridCol w:w="712"/>
              <w:gridCol w:w="2348"/>
            </w:tblGrid>
            <w:tr>
              <w:tblPrEx>
                <w:tblCellMar>
                  <w:top w:w="0" w:type="dxa"/>
                  <w:left w:w="108" w:type="dxa"/>
                  <w:bottom w:w="0" w:type="dxa"/>
                  <w:right w:w="108" w:type="dxa"/>
                </w:tblCellMar>
              </w:tblPrEx>
              <w:trPr>
                <w:cantSplit/>
                <w:trHeight w:val="335" w:hRule="atLeast"/>
              </w:trPr>
              <w:tc>
                <w:tcPr>
                  <w:tcW w:w="983"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付款内容</w:t>
                  </w:r>
                </w:p>
              </w:tc>
              <w:tc>
                <w:tcPr>
                  <w:tcW w:w="149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付款金额：</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single" w:color="auto" w:sz="4" w:space="0"/>
                    <w:left w:val="single" w:color="auto" w:sz="4" w:space="0"/>
                    <w:bottom w:val="single" w:color="auto" w:sz="4" w:space="0"/>
                    <w:right w:val="single" w:color="000000" w:sz="4" w:space="0"/>
                  </w:tcBorders>
                  <w:vAlign w:val="center"/>
                </w:tcPr>
                <w:p>
                  <w:pP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cantSplit/>
                <w:trHeight w:val="311"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已付金额：  </w:t>
                  </w:r>
                </w:p>
              </w:tc>
              <w:tc>
                <w:tcPr>
                  <w:tcW w:w="3534" w:type="dxa"/>
                  <w:gridSpan w:val="3"/>
                  <w:tcBorders>
                    <w:top w:val="single" w:color="auto" w:sz="4" w:space="0"/>
                    <w:left w:val="single" w:color="auto" w:sz="4" w:space="0"/>
                    <w:bottom w:val="single" w:color="auto" w:sz="4" w:space="0"/>
                    <w:right w:val="single" w:color="auto" w:sz="4" w:space="0"/>
                  </w:tcBorders>
                  <w:vAlign w:val="center"/>
                </w:tcPr>
                <w:p>
                  <w:pPr>
                    <w:ind w:firstLine="3360" w:firstLineChars="14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元</w:t>
                  </w:r>
                </w:p>
              </w:tc>
              <w:tc>
                <w:tcPr>
                  <w:tcW w:w="2348" w:type="dxa"/>
                  <w:tcBorders>
                    <w:top w:val="nil"/>
                    <w:left w:val="nil"/>
                    <w:bottom w:val="single" w:color="auto" w:sz="4" w:space="0"/>
                    <w:right w:val="single" w:color="auto" w:sz="4" w:space="0"/>
                  </w:tcBorders>
                  <w:vAlign w:val="center"/>
                </w:tcPr>
                <w:p>
                  <w:pPr>
                    <w:ind w:firstLine="720" w:firstLineChars="3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w:t>
                  </w:r>
                </w:p>
              </w:tc>
            </w:tr>
            <w:tr>
              <w:tblPrEx>
                <w:tblCellMar>
                  <w:top w:w="0" w:type="dxa"/>
                  <w:left w:w="108" w:type="dxa"/>
                  <w:bottom w:w="0" w:type="dxa"/>
                  <w:right w:w="108" w:type="dxa"/>
                </w:tblCellMar>
              </w:tblPrEx>
              <w:trPr>
                <w:cantSplit/>
                <w:trHeight w:val="263"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付款方式：                                          </w:t>
                  </w:r>
                </w:p>
              </w:tc>
              <w:tc>
                <w:tcPr>
                  <w:tcW w:w="1514"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1.现金；</w:t>
                  </w:r>
                </w:p>
              </w:tc>
              <w:tc>
                <w:tcPr>
                  <w:tcW w:w="1308"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2.支票；</w:t>
                  </w:r>
                </w:p>
              </w:tc>
              <w:tc>
                <w:tcPr>
                  <w:tcW w:w="3060" w:type="dxa"/>
                  <w:gridSpan w:val="2"/>
                  <w:tcBorders>
                    <w:top w:val="nil"/>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3.转账 ；</w:t>
                  </w:r>
                </w:p>
              </w:tc>
            </w:tr>
            <w:tr>
              <w:tblPrEx>
                <w:tblCellMar>
                  <w:top w:w="0" w:type="dxa"/>
                  <w:left w:w="108" w:type="dxa"/>
                  <w:bottom w:w="0" w:type="dxa"/>
                  <w:right w:w="108" w:type="dxa"/>
                </w:tblCellMar>
              </w:tblPrEx>
              <w:trPr>
                <w:cantSplit/>
                <w:trHeight w:val="29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514" w:type="dxa"/>
                  <w:tcBorders>
                    <w:top w:val="nil"/>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4.保函；</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5.其它（电汇）；</w:t>
                  </w:r>
                </w:p>
              </w:tc>
            </w:tr>
            <w:tr>
              <w:tblPrEx>
                <w:tblCellMar>
                  <w:top w:w="0" w:type="dxa"/>
                  <w:left w:w="108" w:type="dxa"/>
                  <w:bottom w:w="0" w:type="dxa"/>
                  <w:right w:w="108" w:type="dxa"/>
                </w:tblCellMar>
              </w:tblPrEx>
              <w:trPr>
                <w:cantSplit/>
                <w:trHeight w:val="287"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1497" w:type="dxa"/>
                  <w:tcBorders>
                    <w:top w:val="single" w:color="auto" w:sz="4" w:space="0"/>
                    <w:left w:val="nil"/>
                    <w:bottom w:val="single" w:color="auto"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资金来源：</w:t>
                  </w:r>
                </w:p>
              </w:tc>
              <w:tc>
                <w:tcPr>
                  <w:tcW w:w="5882" w:type="dxa"/>
                  <w:gridSpan w:val="4"/>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保证金</w:t>
                  </w:r>
                </w:p>
              </w:tc>
            </w:tr>
            <w:tr>
              <w:tblPrEx>
                <w:tblCellMar>
                  <w:top w:w="0" w:type="dxa"/>
                  <w:left w:w="108" w:type="dxa"/>
                  <w:bottom w:w="0" w:type="dxa"/>
                  <w:right w:w="108" w:type="dxa"/>
                </w:tblCellMar>
              </w:tblPrEx>
              <w:trPr>
                <w:cantSplit/>
                <w:trHeight w:val="545" w:hRule="atLeast"/>
              </w:trPr>
              <w:tc>
                <w:tcPr>
                  <w:tcW w:w="983" w:type="dxa"/>
                  <w:vMerge w:val="continue"/>
                  <w:tcBorders>
                    <w:top w:val="single" w:color="auto" w:sz="4" w:space="0"/>
                    <w:left w:val="single" w:color="auto" w:sz="4" w:space="0"/>
                    <w:bottom w:val="single" w:color="000000" w:sz="4" w:space="0"/>
                    <w:right w:val="single" w:color="auto"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7379" w:type="dxa"/>
                  <w:gridSpan w:val="5"/>
                  <w:tcBorders>
                    <w:top w:val="single" w:color="auto" w:sz="4" w:space="0"/>
                    <w:left w:val="nil"/>
                    <w:bottom w:val="single" w:color="auto" w:sz="4" w:space="0"/>
                    <w:right w:val="single" w:color="000000" w:sz="4" w:space="0"/>
                  </w:tcBorders>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备注： </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经办及审批</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申请人：</w:t>
                  </w: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采购部门负责人：</w:t>
                  </w:r>
                </w:p>
              </w:tc>
            </w:tr>
            <w:tr>
              <w:tblPrEx>
                <w:tblCellMar>
                  <w:top w:w="0" w:type="dxa"/>
                  <w:left w:w="108" w:type="dxa"/>
                  <w:bottom w:w="0" w:type="dxa"/>
                  <w:right w:w="108" w:type="dxa"/>
                </w:tblCellMar>
              </w:tblPrEx>
              <w:trPr>
                <w:trHeight w:val="10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合同管理人员审核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234" w:hRule="atLeast"/>
              </w:trPr>
              <w:tc>
                <w:tcPr>
                  <w:tcW w:w="983"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财务部门审核</w:t>
                  </w:r>
                </w:p>
              </w:tc>
              <w:tc>
                <w:tcPr>
                  <w:tcW w:w="3011" w:type="dxa"/>
                  <w:gridSpan w:val="2"/>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c>
                <w:tcPr>
                  <w:tcW w:w="4368" w:type="dxa"/>
                  <w:gridSpan w:val="3"/>
                  <w:tcBorders>
                    <w:top w:val="single" w:color="auto" w:sz="4" w:space="0"/>
                    <w:left w:val="nil"/>
                    <w:bottom w:val="single" w:color="auto" w:sz="4" w:space="0"/>
                    <w:right w:val="single" w:color="000000" w:sz="4" w:space="0"/>
                  </w:tcBorders>
                  <w:vAlign w:val="center"/>
                </w:tcPr>
                <w:p>
                  <w:pP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405" w:hRule="atLeast"/>
              </w:trPr>
              <w:tc>
                <w:tcPr>
                  <w:tcW w:w="8362" w:type="dxa"/>
                  <w:gridSpan w:val="6"/>
                  <w:tcBorders>
                    <w:top w:val="nil"/>
                    <w:left w:val="nil"/>
                    <w:bottom w:val="nil"/>
                    <w:right w:val="nil"/>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jc w:val="center"/>
              <w:rPr>
                <w:rFonts w:hint="eastAsia" w:ascii="仿宋" w:hAnsi="仿宋" w:eastAsia="仿宋" w:cs="仿宋"/>
                <w:b/>
                <w:bCs/>
                <w:color w:val="000000" w:themeColor="text1"/>
                <w:sz w:val="24"/>
                <w:szCs w:val="24"/>
                <w:highlight w:val="none"/>
                <w14:textFill>
                  <w14:solidFill>
                    <w14:schemeClr w14:val="tx1"/>
                  </w14:solidFill>
                </w14:textFill>
              </w:rPr>
            </w:pPr>
          </w:p>
        </w:tc>
      </w:tr>
    </w:tbl>
    <w:p>
      <w:pP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注：本说明请附投标保证金交纳凭据</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color w:val="000000" w:themeColor="text1"/>
          <w:sz w:val="24"/>
          <w:szCs w:val="24"/>
          <w:highlight w:val="none"/>
          <w14:textFill>
            <w14:solidFill>
              <w14:schemeClr w14:val="tx1"/>
            </w14:solidFill>
          </w14:textFill>
        </w:rPr>
        <w:t>附：</w:t>
      </w:r>
    </w:p>
    <w:tbl>
      <w:tblPr>
        <w:tblStyle w:val="32"/>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5" w:hRule="atLeast"/>
        </w:trPr>
        <w:tc>
          <w:tcPr>
            <w:tcW w:w="9636" w:type="dxa"/>
          </w:tcPr>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投标保证金为转账及银行汇款形式的，请在此处粘贴转帐或汇款的银行凭证复印件（加盖公章）。</w:t>
            </w: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p>
            <w:pPr>
              <w:spacing w:before="120" w:beforeLines="50" w:line="288" w:lineRule="auto"/>
              <w:rPr>
                <w:rFonts w:hint="eastAsia" w:ascii="仿宋" w:hAnsi="仿宋" w:eastAsia="仿宋" w:cs="仿宋"/>
                <w:color w:val="000000" w:themeColor="text1"/>
                <w:sz w:val="24"/>
                <w:szCs w:val="24"/>
                <w:highlight w:val="none"/>
                <w14:textFill>
                  <w14:solidFill>
                    <w14:schemeClr w14:val="tx1"/>
                  </w14:solidFill>
                </w14:textFill>
              </w:rPr>
            </w:pPr>
          </w:p>
        </w:tc>
      </w:tr>
    </w:tbl>
    <w:p>
      <w:pPr>
        <w:adjustRightInd w:val="0"/>
        <w:snapToGrid w:val="0"/>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pPr>
        <w:adjustRightInd w:val="0"/>
        <w:snapToGrid w:val="0"/>
        <w:spacing w:line="36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28" w:name="_Toc42951056"/>
      <w:r>
        <w:rPr>
          <w:rFonts w:hint="eastAsia" w:ascii="仿宋" w:hAnsi="仿宋" w:eastAsia="仿宋" w:cs="仿宋"/>
          <w:b/>
          <w:bCs/>
          <w:color w:val="000000" w:themeColor="text1"/>
          <w:kern w:val="44"/>
          <w:sz w:val="24"/>
          <w:szCs w:val="24"/>
          <w:highlight w:val="none"/>
          <w14:textFill>
            <w14:solidFill>
              <w14:schemeClr w14:val="tx1"/>
            </w14:solidFill>
          </w14:textFill>
        </w:rPr>
        <w:t xml:space="preserve"> 5．</w:t>
      </w:r>
      <w:r>
        <w:rPr>
          <w:rFonts w:hint="eastAsia" w:ascii="仿宋" w:hAnsi="仿宋" w:eastAsia="仿宋" w:cs="仿宋"/>
          <w:b/>
          <w:bCs/>
          <w:color w:val="000000" w:themeColor="text1"/>
          <w:kern w:val="44"/>
          <w:sz w:val="24"/>
          <w:szCs w:val="24"/>
          <w:highlight w:val="none"/>
          <w:lang w:eastAsia="zh-CN"/>
          <w14:textFill>
            <w14:solidFill>
              <w14:schemeClr w14:val="tx1"/>
            </w14:solidFill>
          </w14:textFill>
        </w:rPr>
        <w:t>服务商务</w:t>
      </w:r>
      <w:r>
        <w:rPr>
          <w:rFonts w:hint="eastAsia" w:ascii="仿宋" w:hAnsi="仿宋" w:eastAsia="仿宋" w:cs="仿宋"/>
          <w:b/>
          <w:bCs/>
          <w:color w:val="000000" w:themeColor="text1"/>
          <w:kern w:val="44"/>
          <w:sz w:val="24"/>
          <w:szCs w:val="24"/>
          <w:highlight w:val="none"/>
          <w14:textFill>
            <w14:solidFill>
              <w14:schemeClr w14:val="tx1"/>
            </w14:solidFill>
          </w14:textFill>
        </w:rPr>
        <w:t>响应表格式</w:t>
      </w:r>
      <w:bookmarkEnd w:id="28"/>
    </w:p>
    <w:p>
      <w:pPr>
        <w:numPr>
          <w:ilvl w:val="0"/>
          <w:numId w:val="0"/>
        </w:numPr>
        <w:adjustRightInd w:val="0"/>
        <w:snapToGrid w:val="0"/>
        <w:spacing w:line="300" w:lineRule="auto"/>
        <w:ind w:left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说</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明：</w:t>
      </w:r>
    </w:p>
    <w:p>
      <w:pPr>
        <w:numPr>
          <w:ilvl w:val="0"/>
          <w:numId w:val="17"/>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投标人必须对应招标文件条款逐条应答并按要求填写下表。</w:t>
      </w:r>
    </w:p>
    <w:p>
      <w:pPr>
        <w:numPr>
          <w:ilvl w:val="0"/>
          <w:numId w:val="17"/>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投标人响应描述：投标人按响应货物</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或服务</w:t>
      </w:r>
      <w:r>
        <w:rPr>
          <w:rFonts w:hint="eastAsia" w:ascii="仿宋" w:hAnsi="仿宋" w:eastAsia="仿宋" w:cs="仿宋"/>
          <w:b w:val="0"/>
          <w:bCs/>
          <w:color w:val="000000" w:themeColor="text1"/>
          <w:sz w:val="21"/>
          <w:szCs w:val="21"/>
          <w:highlight w:val="none"/>
          <w14:textFill>
            <w14:solidFill>
              <w14:schemeClr w14:val="tx1"/>
            </w14:solidFill>
          </w14:textFill>
        </w:rPr>
        <w:t>实际数据填写</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逐条应答，否则视为未响应</w:t>
      </w:r>
      <w:r>
        <w:rPr>
          <w:rFonts w:hint="eastAsia" w:ascii="仿宋" w:hAnsi="仿宋" w:eastAsia="仿宋" w:cs="仿宋"/>
          <w:b w:val="0"/>
          <w:bCs/>
          <w:color w:val="000000" w:themeColor="text1"/>
          <w:sz w:val="21"/>
          <w:szCs w:val="21"/>
          <w:highlight w:val="none"/>
          <w14:textFill>
            <w14:solidFill>
              <w14:schemeClr w14:val="tx1"/>
            </w14:solidFill>
          </w14:textFill>
        </w:rPr>
        <w:t>。</w:t>
      </w:r>
    </w:p>
    <w:p>
      <w:pPr>
        <w:numPr>
          <w:ilvl w:val="0"/>
          <w:numId w:val="17"/>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投标人应按招标文件要求附相关证明文件，如有任何一项不响应或不满足的视为负偏离。</w:t>
      </w:r>
    </w:p>
    <w:p>
      <w:pPr>
        <w:numPr>
          <w:ilvl w:val="0"/>
          <w:numId w:val="17"/>
        </w:numPr>
        <w:adjustRightInd w:val="0"/>
        <w:snapToGrid w:val="0"/>
        <w:spacing w:line="300" w:lineRule="auto"/>
        <w:ind w:left="425" w:leftChars="0" w:hanging="425" w:firstLineChars="0"/>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偏离情况说明：投标人根据投标人实际情况填写“正偏离”“完全响应”或“负偏离”。</w:t>
      </w:r>
    </w:p>
    <w:p>
      <w:pPr>
        <w:adjustRightInd w:val="0"/>
        <w:snapToGrid w:val="0"/>
        <w:spacing w:line="300" w:lineRule="auto"/>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156"/>
        <w:gridCol w:w="1419"/>
        <w:gridCol w:w="1140"/>
        <w:gridCol w:w="14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63"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序号</w:t>
            </w:r>
          </w:p>
        </w:tc>
        <w:tc>
          <w:tcPr>
            <w:tcW w:w="5156"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招标文件条款描述</w:t>
            </w:r>
          </w:p>
        </w:tc>
        <w:tc>
          <w:tcPr>
            <w:tcW w:w="1419"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投标人响应描述</w:t>
            </w:r>
          </w:p>
        </w:tc>
        <w:tc>
          <w:tcPr>
            <w:tcW w:w="1140"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偏离情况说明</w:t>
            </w:r>
          </w:p>
        </w:tc>
        <w:tc>
          <w:tcPr>
            <w:tcW w:w="1484" w:type="dxa"/>
            <w:tcBorders>
              <w:top w:val="single" w:color="auto" w:sz="12" w:space="0"/>
              <w:bottom w:val="double" w:color="auto" w:sz="4" w:space="0"/>
            </w:tcBorders>
            <w:shd w:val="clear" w:color="auto" w:fill="EEECE1"/>
            <w:noWrap w:val="0"/>
            <w:vAlign w:val="center"/>
          </w:tcPr>
          <w:p>
            <w:pPr>
              <w:snapToGrid w:val="0"/>
              <w:spacing w:line="240" w:lineRule="auto"/>
              <w:ind w:left="-71" w:leftChars="-34" w:right="-73" w:rightChars="-35"/>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（一）标注“★”的实质性条款（如有）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18"/>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18"/>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3</w:t>
            </w: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jc w:val="center"/>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4</w:t>
            </w:r>
          </w:p>
        </w:tc>
        <w:tc>
          <w:tcPr>
            <w:tcW w:w="5156" w:type="dxa"/>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（二）标注“▲”的重要条款（如有）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19"/>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19"/>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（三）其他条款（技术条款）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0"/>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0"/>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9962" w:type="dxa"/>
            <w:gridSpan w:val="5"/>
            <w:noWrap w:val="0"/>
            <w:vAlign w:val="center"/>
          </w:tcPr>
          <w:p>
            <w:pPr>
              <w:snapToGrid w:val="0"/>
              <w:spacing w:line="240" w:lineRule="auto"/>
              <w:jc w:val="left"/>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（四）其他条款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numPr>
                <w:ilvl w:val="0"/>
                <w:numId w:val="21"/>
              </w:num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63" w:type="dxa"/>
            <w:noWrap w:val="0"/>
            <w:vAlign w:val="center"/>
          </w:tcPr>
          <w:p>
            <w:pPr>
              <w:snapToGrid w:val="0"/>
              <w:spacing w:line="240" w:lineRule="auto"/>
              <w:ind w:left="180"/>
              <w:rPr>
                <w:rFonts w:hint="eastAsia" w:ascii="仿宋" w:hAnsi="仿宋" w:eastAsia="仿宋" w:cs="仿宋"/>
                <w:b w:val="0"/>
                <w:bCs/>
                <w:color w:val="000000" w:themeColor="text1"/>
                <w:sz w:val="21"/>
                <w:szCs w:val="21"/>
                <w14:textFill>
                  <w14:solidFill>
                    <w14:schemeClr w14:val="tx1"/>
                  </w14:solidFill>
                </w14:textFill>
              </w:rPr>
            </w:pPr>
            <w:r>
              <w:rPr>
                <w:rFonts w:hint="eastAsia" w:ascii="仿宋" w:hAnsi="仿宋" w:eastAsia="仿宋" w:cs="仿宋"/>
                <w:b w:val="0"/>
                <w:bCs/>
                <w:color w:val="000000" w:themeColor="text1"/>
                <w:sz w:val="21"/>
                <w:szCs w:val="21"/>
                <w14:textFill>
                  <w14:solidFill>
                    <w14:schemeClr w14:val="tx1"/>
                  </w14:solidFill>
                </w14:textFill>
              </w:rPr>
              <w:t>…</w:t>
            </w:r>
          </w:p>
        </w:tc>
        <w:tc>
          <w:tcPr>
            <w:tcW w:w="5156"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19"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140"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c>
          <w:tcPr>
            <w:tcW w:w="1484" w:type="dxa"/>
            <w:noWrap w:val="0"/>
            <w:vAlign w:val="center"/>
          </w:tcPr>
          <w:p>
            <w:pPr>
              <w:snapToGrid w:val="0"/>
              <w:spacing w:line="240" w:lineRule="auto"/>
              <w:jc w:val="center"/>
              <w:rPr>
                <w:rFonts w:hint="eastAsia" w:ascii="仿宋" w:hAnsi="仿宋" w:eastAsia="仿宋" w:cs="仿宋"/>
                <w:b w:val="0"/>
                <w:bCs/>
                <w:color w:val="000000" w:themeColor="text1"/>
                <w:sz w:val="21"/>
                <w:szCs w:val="21"/>
                <w14:textFill>
                  <w14:solidFill>
                    <w14:schemeClr w14:val="tx1"/>
                  </w14:solidFill>
                </w14:textFill>
              </w:rPr>
            </w:pPr>
          </w:p>
        </w:tc>
      </w:tr>
    </w:tbl>
    <w:p>
      <w:pPr>
        <w:adjustRightInd w:val="0"/>
        <w:snapToGrid w:val="0"/>
        <w:spacing w:line="300" w:lineRule="auto"/>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供应商/响应供应商法定代表人（或法定代表人授权代表）签字：</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b w:val="0"/>
          <w:bCs/>
          <w:color w:val="000000" w:themeColor="text1"/>
          <w:sz w:val="21"/>
          <w:szCs w:val="21"/>
          <w:highlight w:val="none"/>
          <w:u w:val="singl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供应商/响应供应商名称（签章）：</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日期：</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年</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 xml:space="preserve"> 月</w:t>
      </w:r>
      <w:r>
        <w:rPr>
          <w:rFonts w:hint="eastAsia" w:ascii="仿宋" w:hAnsi="仿宋" w:eastAsia="仿宋" w:cs="仿宋"/>
          <w:b w:val="0"/>
          <w:bCs/>
          <w:color w:val="000000" w:themeColor="text1"/>
          <w:sz w:val="21"/>
          <w:szCs w:val="21"/>
          <w:highlight w:val="none"/>
          <w:u w:val="single"/>
          <w14:textFill>
            <w14:solidFill>
              <w14:schemeClr w14:val="tx1"/>
            </w14:solidFill>
          </w14:textFill>
        </w:rPr>
        <w:t xml:space="preserve">    </w:t>
      </w:r>
      <w:r>
        <w:rPr>
          <w:rFonts w:hint="eastAsia" w:ascii="仿宋" w:hAnsi="仿宋" w:eastAsia="仿宋" w:cs="仿宋"/>
          <w:b w:val="0"/>
          <w:bCs/>
          <w:color w:val="000000" w:themeColor="text1"/>
          <w:sz w:val="21"/>
          <w:szCs w:val="21"/>
          <w:highlight w:val="none"/>
          <w14:textFill>
            <w14:solidFill>
              <w14:schemeClr w14:val="tx1"/>
            </w14:solidFill>
          </w14:textFill>
        </w:rPr>
        <w:t xml:space="preserve"> 日</w:t>
      </w:r>
    </w:p>
    <w:p>
      <w:pPr>
        <w:pStyle w:val="6"/>
        <w:tabs>
          <w:tab w:val="clear" w:pos="864"/>
        </w:tabs>
        <w:ind w:left="0" w:firstLine="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（2）一般服务</w:t>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DOCVARIABLE  商务条款响应表开始  \* MERGEFORMAT </w:instrText>
      </w:r>
      <w:r>
        <w:rPr>
          <w:rFonts w:hint="eastAsia" w:ascii="仿宋" w:hAnsi="仿宋" w:eastAsia="仿宋" w:cs="仿宋"/>
          <w:color w:val="000000" w:themeColor="text1"/>
          <w:sz w:val="24"/>
          <w:szCs w:val="24"/>
          <w:highlight w:val="none"/>
          <w14:textFill>
            <w14:solidFill>
              <w14:schemeClr w14:val="tx1"/>
            </w14:solidFill>
          </w14:textFill>
        </w:rPr>
        <w:fldChar w:fldCharType="end"/>
      </w:r>
      <w:r>
        <w:rPr>
          <w:rFonts w:hint="eastAsia" w:ascii="仿宋" w:hAnsi="仿宋" w:eastAsia="仿宋" w:cs="仿宋"/>
          <w:color w:val="000000" w:themeColor="text1"/>
          <w:sz w:val="24"/>
          <w:szCs w:val="24"/>
          <w:highlight w:val="none"/>
          <w14:textFill>
            <w14:solidFill>
              <w14:schemeClr w14:val="tx1"/>
            </w14:solidFill>
          </w14:textFill>
        </w:rPr>
        <w:t>商务条款响应表</w:t>
      </w:r>
    </w:p>
    <w:tbl>
      <w:tblPr>
        <w:tblStyle w:val="3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8"/>
        <w:gridCol w:w="75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5828"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一般</w:t>
            </w:r>
            <w:r>
              <w:rPr>
                <w:rFonts w:hint="eastAsia" w:ascii="仿宋" w:hAnsi="仿宋" w:eastAsia="仿宋" w:cs="仿宋"/>
                <w:b/>
                <w:bCs/>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b/>
                <w:bCs/>
                <w:color w:val="000000" w:themeColor="text1"/>
                <w:sz w:val="24"/>
                <w:szCs w:val="24"/>
                <w:highlight w:val="none"/>
                <w14:textFill>
                  <w14:solidFill>
                    <w14:schemeClr w14:val="tx1"/>
                  </w14:solidFill>
                </w14:textFill>
              </w:rPr>
              <w:t>条款要求</w:t>
            </w:r>
          </w:p>
        </w:tc>
        <w:tc>
          <w:tcPr>
            <w:tcW w:w="758"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是否响应</w:t>
            </w:r>
          </w:p>
        </w:tc>
        <w:tc>
          <w:tcPr>
            <w:tcW w:w="2017" w:type="dxa"/>
            <w:shd w:val="clear" w:color="auto" w:fill="F3F3F3"/>
            <w:vAlign w:val="center"/>
          </w:tcPr>
          <w:p>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完全理解并接受合同条款要求</w:t>
            </w:r>
          </w:p>
        </w:tc>
        <w:tc>
          <w:tcPr>
            <w:tcW w:w="758" w:type="dxa"/>
            <w:vAlign w:val="center"/>
          </w:tcPr>
          <w:p>
            <w:pPr>
              <w:pStyle w:val="67"/>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完全理解并接受对合格供应商/响应供应商、合格的货物、项目和服务要求</w:t>
            </w:r>
          </w:p>
        </w:tc>
        <w:tc>
          <w:tcPr>
            <w:tcW w:w="758" w:type="dxa"/>
            <w:vAlign w:val="center"/>
          </w:tcPr>
          <w:p>
            <w:pPr>
              <w:pStyle w:val="67"/>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完全理解并接受对供应商/响应供应商的各项须知、规约要求和责任义务</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报价有效期：报价有效期为自递交响应文件起至确定正式成交日止不少于</w:t>
            </w:r>
            <w:r>
              <w:rPr>
                <w:rFonts w:hint="eastAsia" w:ascii="仿宋" w:hAnsi="仿宋" w:eastAsia="仿宋" w:cs="仿宋"/>
                <w:color w:val="000000" w:themeColor="text1"/>
                <w:sz w:val="24"/>
                <w:szCs w:val="24"/>
                <w:highlight w:val="none"/>
                <w:u w:val="single"/>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天，成交单位有效期至项目验收之日</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ind w:right="-35"/>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报价内容均涵盖报价要求之一切费用和伴随服务</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7"/>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所提供的报价不高于本公司目前的报价水平</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5828" w:type="dxa"/>
            <w:vAlign w:val="center"/>
          </w:tcPr>
          <w:p>
            <w:pP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服务期：</w:t>
            </w:r>
            <w:r>
              <w:rPr>
                <w:rFonts w:hint="eastAsia" w:ascii="仿宋" w:hAnsi="仿宋" w:eastAsia="仿宋" w:cs="仿宋"/>
                <w:color w:val="000000" w:themeColor="text1"/>
                <w:sz w:val="24"/>
                <w:szCs w:val="24"/>
                <w:highlight w:val="none"/>
                <w:lang w:val="en-US" w:eastAsia="zh-CN"/>
                <w14:textFill>
                  <w14:solidFill>
                    <w14:schemeClr w14:val="tx1"/>
                  </w14:solidFill>
                </w14:textFill>
              </w:rPr>
              <w:t>一年</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同意接受合同范本所列述的各项条款</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7"/>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同意按本项目要求缴付相关款项</w:t>
            </w:r>
          </w:p>
        </w:tc>
        <w:tc>
          <w:tcPr>
            <w:tcW w:w="75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7"/>
              <w:keepNext w:val="0"/>
              <w:adjustRightInd/>
              <w:spacing w:before="0" w:after="0" w:line="240" w:lineRule="auto"/>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5828" w:type="dxa"/>
            <w:vAlign w:val="center"/>
          </w:tcPr>
          <w:p>
            <w:pPr>
              <w:pStyle w:val="2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同意采购方以任何形式对我方报价/响应文件内容的真实性和有效性进行审查、验证</w:t>
            </w:r>
          </w:p>
        </w:tc>
        <w:tc>
          <w:tcPr>
            <w:tcW w:w="758" w:type="dxa"/>
            <w:vAlign w:val="center"/>
          </w:tcPr>
          <w:p>
            <w:pPr>
              <w:pStyle w:val="72"/>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7"/>
              <w:keepNext w:val="0"/>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8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p>
        </w:tc>
        <w:tc>
          <w:tcPr>
            <w:tcW w:w="5828" w:type="dxa"/>
            <w:vAlign w:val="center"/>
          </w:tcPr>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其它商务条款偏离说明</w:t>
            </w:r>
          </w:p>
        </w:tc>
        <w:tc>
          <w:tcPr>
            <w:tcW w:w="758" w:type="dxa"/>
            <w:vAlign w:val="center"/>
          </w:tcPr>
          <w:p>
            <w:pPr>
              <w:pStyle w:val="72"/>
              <w:rPr>
                <w:rFonts w:hint="eastAsia" w:ascii="仿宋" w:hAnsi="仿宋" w:eastAsia="仿宋" w:cs="仿宋"/>
                <w:color w:val="000000" w:themeColor="text1"/>
                <w:sz w:val="24"/>
                <w:szCs w:val="24"/>
                <w:highlight w:val="none"/>
                <w14:textFill>
                  <w14:solidFill>
                    <w14:schemeClr w14:val="tx1"/>
                  </w14:solidFill>
                </w14:textFill>
              </w:rPr>
            </w:pPr>
          </w:p>
        </w:tc>
        <w:tc>
          <w:tcPr>
            <w:tcW w:w="2017" w:type="dxa"/>
            <w:vAlign w:val="center"/>
          </w:tcPr>
          <w:p>
            <w:pPr>
              <w:pStyle w:val="67"/>
              <w:keepNext w:val="0"/>
              <w:adjustRightInd/>
              <w:spacing w:before="0" w:after="0" w:line="240" w:lineRule="auto"/>
              <w:jc w:val="both"/>
              <w:rPr>
                <w:rFonts w:hint="eastAsia" w:ascii="仿宋" w:hAnsi="仿宋" w:eastAsia="仿宋" w:cs="仿宋"/>
                <w:color w:val="000000" w:themeColor="text1"/>
                <w:spacing w:val="0"/>
                <w:kern w:val="2"/>
                <w:sz w:val="24"/>
                <w:szCs w:val="24"/>
                <w:highlight w:val="none"/>
                <w14:textFill>
                  <w14:solidFill>
                    <w14:schemeClr w14:val="tx1"/>
                  </w14:solidFill>
                </w14:textFill>
              </w:rPr>
            </w:pPr>
          </w:p>
        </w:tc>
      </w:tr>
    </w:tbl>
    <w:p>
      <w:pPr>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注： 1.</w:t>
      </w:r>
      <w:r>
        <w:rPr>
          <w:rFonts w:hint="eastAsia" w:ascii="仿宋" w:hAnsi="仿宋" w:eastAsia="仿宋" w:cs="仿宋"/>
          <w:color w:val="000000" w:themeColor="text1"/>
          <w:sz w:val="24"/>
          <w:szCs w:val="24"/>
          <w:highlight w:val="none"/>
          <w14:textFill>
            <w14:solidFill>
              <w14:schemeClr w14:val="tx1"/>
            </w14:solidFill>
          </w14:textFill>
        </w:rPr>
        <w:t>对</w:t>
      </w:r>
      <w:r>
        <w:rPr>
          <w:rFonts w:hint="eastAsia" w:ascii="仿宋" w:hAnsi="仿宋" w:eastAsia="仿宋" w:cs="仿宋"/>
          <w:color w:val="000000" w:themeColor="text1"/>
          <w:sz w:val="24"/>
          <w:szCs w:val="24"/>
          <w:highlight w:val="none"/>
          <w:lang w:val="en-GB"/>
          <w14:textFill>
            <w14:solidFill>
              <w14:schemeClr w14:val="tx1"/>
            </w14:solidFill>
          </w14:textFill>
        </w:rPr>
        <w:t>于上述要求，如供应商/响应供应商完全响应，则请在“是否响应”栏内打“√”，对空白或打“×”视为偏离，请在“偏离说明”栏内扼要说明偏离情况。</w:t>
      </w:r>
    </w:p>
    <w:p>
      <w:pPr>
        <w:ind w:firstLine="420"/>
        <w:rPr>
          <w:rFonts w:hint="eastAsia" w:ascii="仿宋" w:hAnsi="仿宋" w:eastAsia="仿宋" w:cs="仿宋"/>
          <w:color w:val="000000" w:themeColor="text1"/>
          <w:sz w:val="24"/>
          <w:szCs w:val="24"/>
          <w:highlight w:val="none"/>
          <w:lang w:val="en-GB"/>
          <w14:textFill>
            <w14:solidFill>
              <w14:schemeClr w14:val="tx1"/>
            </w14:solidFill>
          </w14:textFill>
        </w:rPr>
      </w:pPr>
      <w:r>
        <w:rPr>
          <w:rFonts w:hint="eastAsia" w:ascii="仿宋" w:hAnsi="仿宋" w:eastAsia="仿宋" w:cs="仿宋"/>
          <w:color w:val="000000" w:themeColor="text1"/>
          <w:sz w:val="24"/>
          <w:szCs w:val="24"/>
          <w:highlight w:val="none"/>
          <w:lang w:val="en-GB"/>
          <w14:textFill>
            <w14:solidFill>
              <w14:schemeClr w14:val="tx1"/>
            </w14:solidFill>
          </w14:textFill>
        </w:rPr>
        <w:t xml:space="preserve"> 2.本表内容不得擅自修改。</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p>
    <w:p>
      <w:pPr>
        <w:adjustRightInd w:val="0"/>
        <w:snapToGrid w:val="0"/>
        <w:spacing w:line="300" w:lineRule="auto"/>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供应商/响应供应商法定代表人（或法定代表人授权代表）签字：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供应商/响应供应商名称（签章）：</w:t>
      </w:r>
    </w:p>
    <w:p>
      <w:pPr>
        <w:adjustRightInd w:val="0"/>
        <w:snapToGrid w:val="0"/>
        <w:spacing w:line="30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          年      月     日</w:t>
      </w:r>
    </w:p>
    <w:p>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29" w:name="_Hlt10456523"/>
      <w:bookmarkEnd w:id="29"/>
      <w:bookmarkStart w:id="30" w:name="_Toc42951057"/>
      <w:r>
        <w:rPr>
          <w:rFonts w:hint="eastAsia" w:ascii="仿宋" w:hAnsi="仿宋" w:eastAsia="仿宋" w:cs="仿宋"/>
          <w:color w:val="000000" w:themeColor="text1"/>
          <w:sz w:val="24"/>
          <w:szCs w:val="24"/>
          <w:highlight w:val="none"/>
          <w14:textFill>
            <w14:solidFill>
              <w14:schemeClr w14:val="tx1"/>
            </w14:solidFill>
          </w14:textFill>
        </w:rPr>
        <w:t>6．服务费承诺书格式</w:t>
      </w:r>
      <w:bookmarkEnd w:id="30"/>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成交服务费承诺书</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righ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承诺书号：</w:t>
      </w:r>
      <w:r>
        <w:rPr>
          <w:rFonts w:hint="eastAsia" w:ascii="仿宋" w:hAnsi="仿宋" w:eastAsia="仿宋" w:cs="仿宋"/>
          <w:color w:val="000000" w:themeColor="text1"/>
          <w:sz w:val="24"/>
          <w:szCs w:val="24"/>
          <w:highlight w:val="none"/>
          <w:lang w:eastAsia="zh-CN"/>
          <w14:textFill>
            <w14:solidFill>
              <w14:schemeClr w14:val="tx1"/>
            </w14:solidFill>
          </w14:textFill>
        </w:rPr>
        <w:t>HTSZFCGZBDL-2021-089-2</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如果我方在</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组织的</w:t>
      </w:r>
      <w:r>
        <w:rPr>
          <w:rFonts w:hint="eastAsia" w:ascii="仿宋" w:hAnsi="仿宋" w:eastAsia="仿宋" w:cs="仿宋"/>
          <w:color w:val="000000" w:themeColor="text1"/>
          <w:kern w:val="28"/>
          <w:sz w:val="24"/>
          <w:szCs w:val="24"/>
          <w:highlight w:val="none"/>
          <w:u w:val="single"/>
          <w14:textFill>
            <w14:solidFill>
              <w14:schemeClr w14:val="tx1"/>
            </w14:solidFill>
          </w14:textFill>
        </w:rPr>
        <w:t xml:space="preserve">  （项目名称）      </w:t>
      </w:r>
      <w:r>
        <w:rPr>
          <w:rFonts w:hint="eastAsia" w:ascii="仿宋" w:hAnsi="仿宋" w:eastAsia="仿宋" w:cs="仿宋"/>
          <w:color w:val="000000" w:themeColor="text1"/>
          <w:sz w:val="24"/>
          <w:szCs w:val="24"/>
          <w:highlight w:val="none"/>
          <w14:textFill>
            <w14:solidFill>
              <w14:schemeClr w14:val="tx1"/>
            </w14:solidFill>
          </w14:textFill>
        </w:rPr>
        <w:t>的货物及相关服务磋商中获成交（采购编号：       ），我方保证在收到《成交通知书》后，按磋商文件规定“供应商须知”向</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交纳成交服务费。</w:t>
      </w: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我方如违约，愿凭</w:t>
      </w:r>
      <w:r>
        <w:rPr>
          <w:rFonts w:hint="eastAsia" w:ascii="仿宋" w:hAnsi="仿宋" w:eastAsia="仿宋" w:cs="仿宋"/>
          <w:color w:val="000000" w:themeColor="text1"/>
          <w:sz w:val="24"/>
          <w:szCs w:val="24"/>
          <w:highlight w:val="none"/>
          <w:lang w:eastAsia="zh-CN"/>
          <w14:textFill>
            <w14:solidFill>
              <w14:schemeClr w14:val="tx1"/>
            </w14:solidFill>
          </w14:textFill>
        </w:rPr>
        <w:t>采购人</w:t>
      </w:r>
      <w:r>
        <w:rPr>
          <w:rFonts w:hint="eastAsia" w:ascii="仿宋" w:hAnsi="仿宋" w:eastAsia="仿宋" w:cs="仿宋"/>
          <w:color w:val="000000" w:themeColor="text1"/>
          <w:sz w:val="24"/>
          <w:szCs w:val="24"/>
          <w:highlight w:val="none"/>
          <w14:textFill>
            <w14:solidFill>
              <w14:schemeClr w14:val="tx1"/>
            </w14:solidFill>
          </w14:textFill>
        </w:rPr>
        <w:t>开出的违约通知，按上述承诺金额的200％在我方提交的投标保证金（保函）及买方给我方的成交合同规定的货款中扣付，并在此同意和要求报价保函开立银行及买方（应</w:t>
      </w:r>
      <w:r>
        <w:rPr>
          <w:rFonts w:hint="eastAsia" w:ascii="仿宋" w:hAnsi="仿宋" w:eastAsia="仿宋" w:cs="仿宋"/>
          <w:b/>
          <w:color w:val="000000" w:themeColor="text1"/>
          <w:sz w:val="24"/>
          <w:szCs w:val="24"/>
          <w:highlight w:val="none"/>
          <w14:textFill>
            <w14:solidFill>
              <w14:schemeClr w14:val="tx1"/>
            </w14:solidFill>
          </w14:textFill>
        </w:rPr>
        <w:t>新疆晓君招标有限公司</w:t>
      </w:r>
      <w:r>
        <w:rPr>
          <w:rFonts w:hint="eastAsia" w:ascii="仿宋" w:hAnsi="仿宋" w:eastAsia="仿宋" w:cs="仿宋"/>
          <w:color w:val="000000" w:themeColor="text1"/>
          <w:sz w:val="24"/>
          <w:szCs w:val="24"/>
          <w:highlight w:val="none"/>
          <w14:textFill>
            <w14:solidFill>
              <w14:schemeClr w14:val="tx1"/>
            </w14:solidFill>
          </w14:textFill>
        </w:rPr>
        <w:t>的要求）办理支付手续。</w:t>
      </w: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特此承诺！</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供应商法定名称（公章）；</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供应商法定地址：</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供应商授权代表（签字）：</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p>
    <w:p>
      <w:pPr>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承诺日期：</w:t>
      </w:r>
    </w:p>
    <w:p>
      <w:pPr>
        <w:pStyle w:val="3"/>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31" w:name="_Hlt10520032"/>
      <w:bookmarkEnd w:id="31"/>
      <w:bookmarkStart w:id="32" w:name="_Hlt10520073"/>
      <w:bookmarkEnd w:id="32"/>
      <w:bookmarkStart w:id="33" w:name="_Toc42951058"/>
      <w:r>
        <w:rPr>
          <w:rFonts w:hint="eastAsia" w:ascii="仿宋" w:hAnsi="仿宋" w:eastAsia="仿宋" w:cs="仿宋"/>
          <w:color w:val="000000" w:themeColor="text1"/>
          <w:sz w:val="24"/>
          <w:szCs w:val="24"/>
          <w:highlight w:val="none"/>
          <w14:textFill>
            <w14:solidFill>
              <w14:schemeClr w14:val="tx1"/>
            </w14:solidFill>
          </w14:textFill>
        </w:rPr>
        <w:t>7．其它资料格式</w:t>
      </w:r>
      <w:bookmarkEnd w:id="33"/>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7.1  供应商简介</w:t>
      </w:r>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7.2  提供近三年完成的同类项目业绩</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7.3  关于诉讼</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7.4  名称变更证明</w:t>
      </w:r>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7.5  供应商获奖情况及质量认证</w:t>
      </w:r>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7.6  供应商认为有必要提供的其它资料 </w:t>
      </w:r>
    </w:p>
    <w:p>
      <w:pPr>
        <w:spacing w:line="360" w:lineRule="auto"/>
        <w:ind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eastAsia="zh-CN"/>
          <w14:textFill>
            <w14:solidFill>
              <w14:schemeClr w14:val="tx1"/>
            </w14:solidFill>
          </w14:textFill>
        </w:rPr>
        <w:t>服务商务</w:t>
      </w:r>
      <w:r>
        <w:rPr>
          <w:rFonts w:hint="eastAsia" w:ascii="仿宋" w:hAnsi="仿宋" w:eastAsia="仿宋" w:cs="仿宋"/>
          <w:color w:val="000000" w:themeColor="text1"/>
          <w:sz w:val="24"/>
          <w:szCs w:val="24"/>
          <w:highlight w:val="none"/>
          <w14:textFill>
            <w14:solidFill>
              <w14:schemeClr w14:val="tx1"/>
            </w14:solidFill>
          </w14:textFill>
        </w:rPr>
        <w:t>打分表》要求提交的其它资料。</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7.1  供应商简介</w:t>
      </w:r>
    </w:p>
    <w:p>
      <w:pPr>
        <w:spacing w:line="480" w:lineRule="exact"/>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供应商简介（供应商基本情况介绍，包括：人员、生产能力、技术设备、技术状况等，不够可以自制表格）</w:t>
      </w:r>
    </w:p>
    <w:p>
      <w:pPr>
        <w:pStyle w:val="27"/>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1、供应商情况表</w:t>
      </w:r>
    </w:p>
    <w:tbl>
      <w:tblPr>
        <w:tblStyle w:val="32"/>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240"/>
        <w:gridCol w:w="1460"/>
        <w:gridCol w:w="227"/>
        <w:gridCol w:w="1393"/>
        <w:gridCol w:w="256"/>
        <w:gridCol w:w="1004"/>
        <w:gridCol w:w="788"/>
        <w:gridCol w:w="292"/>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单位名称</w:t>
            </w:r>
          </w:p>
        </w:tc>
        <w:tc>
          <w:tcPr>
            <w:tcW w:w="7818" w:type="dxa"/>
            <w:gridSpan w:val="9"/>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地址</w:t>
            </w:r>
          </w:p>
        </w:tc>
        <w:tc>
          <w:tcPr>
            <w:tcW w:w="7818" w:type="dxa"/>
            <w:gridSpan w:val="9"/>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主管部门</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法人代表</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经济类型</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邮编</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7"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电话</w:t>
            </w:r>
          </w:p>
        </w:tc>
        <w:tc>
          <w:tcPr>
            <w:tcW w:w="1649"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92"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传真</w:t>
            </w:r>
          </w:p>
        </w:tc>
        <w:tc>
          <w:tcPr>
            <w:tcW w:w="145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单位简介及机构</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设置</w:t>
            </w:r>
          </w:p>
        </w:tc>
        <w:tc>
          <w:tcPr>
            <w:tcW w:w="7818" w:type="dxa"/>
            <w:gridSpan w:val="9"/>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671"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单位优势及特长</w:t>
            </w:r>
          </w:p>
        </w:tc>
        <w:tc>
          <w:tcPr>
            <w:tcW w:w="7818" w:type="dxa"/>
            <w:gridSpan w:val="9"/>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71"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单位概况</w:t>
            </w:r>
          </w:p>
        </w:tc>
        <w:tc>
          <w:tcPr>
            <w:tcW w:w="124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注册资本</w:t>
            </w:r>
          </w:p>
        </w:tc>
        <w:tc>
          <w:tcPr>
            <w:tcW w:w="1460" w:type="dxa"/>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占地面积</w:t>
            </w:r>
          </w:p>
        </w:tc>
        <w:tc>
          <w:tcPr>
            <w:tcW w:w="3498" w:type="dxa"/>
            <w:gridSpan w:val="5"/>
          </w:tcPr>
          <w:p>
            <w:pP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职工总数</w:t>
            </w:r>
          </w:p>
        </w:tc>
        <w:tc>
          <w:tcPr>
            <w:tcW w:w="1460" w:type="dxa"/>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人</w:t>
            </w: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建筑面积</w:t>
            </w:r>
          </w:p>
        </w:tc>
        <w:tc>
          <w:tcPr>
            <w:tcW w:w="3498" w:type="dxa"/>
            <w:gridSpan w:val="5"/>
          </w:tcPr>
          <w:p>
            <w:pPr>
              <w:tabs>
                <w:tab w:val="left" w:pos="540"/>
              </w:tabs>
              <w:ind w:left="-134" w:leftChars="-64" w:right="-105" w:rightChars="-50" w:firstLine="3480" w:firstLineChars="1450"/>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M</w:t>
            </w:r>
            <w:r>
              <w:rPr>
                <w:rFonts w:hint="eastAsia" w:ascii="仿宋" w:hAnsi="仿宋" w:eastAsia="仿宋" w:cs="仿宋"/>
                <w:color w:val="000000" w:themeColor="text1"/>
                <w:sz w:val="24"/>
                <w:szCs w:val="24"/>
                <w:highlight w:val="none"/>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资产情况</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净资产</w:t>
            </w:r>
          </w:p>
        </w:tc>
        <w:tc>
          <w:tcPr>
            <w:tcW w:w="1620" w:type="dxa"/>
            <w:gridSpan w:val="2"/>
            <w:vAlign w:val="center"/>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负债</w:t>
            </w:r>
          </w:p>
        </w:tc>
        <w:tc>
          <w:tcPr>
            <w:tcW w:w="1620" w:type="dxa"/>
            <w:gridSpan w:val="2"/>
            <w:vAlign w:val="center"/>
          </w:tcPr>
          <w:p>
            <w:pPr>
              <w:tabs>
                <w:tab w:val="left" w:pos="540"/>
              </w:tabs>
              <w:ind w:left="-132" w:leftChars="-64" w:right="-105" w:rightChars="-50" w:hanging="2"/>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3498" w:type="dxa"/>
            <w:gridSpan w:val="5"/>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财务状况</w:t>
            </w: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年度</w:t>
            </w:r>
          </w:p>
        </w:tc>
        <w:tc>
          <w:tcPr>
            <w:tcW w:w="146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主营收入</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620" w:type="dxa"/>
            <w:gridSpan w:val="2"/>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收入总额</w:t>
            </w:r>
          </w:p>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（万元）</w:t>
            </w: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利润总额（万元）</w:t>
            </w: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净利润（万元）</w:t>
            </w: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201</w:t>
            </w: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671" w:type="dxa"/>
            <w:vMerge w:val="continue"/>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40" w:type="dxa"/>
            <w:vAlign w:val="center"/>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20</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1460"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2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080" w:type="dxa"/>
            <w:gridSpan w:val="2"/>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58" w:type="dxa"/>
          </w:tcPr>
          <w:p>
            <w:pPr>
              <w:tabs>
                <w:tab w:val="left" w:pos="540"/>
              </w:tabs>
              <w:ind w:left="-132" w:leftChars="-64" w:right="-105" w:rightChars="-50" w:hanging="2"/>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 xml:space="preserve"> 7.2  供应商提供近三年完成的同类项目业绩</w:t>
      </w:r>
    </w:p>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业  绩  表</w:t>
      </w:r>
    </w:p>
    <w:p>
      <w:pPr>
        <w:spacing w:line="480" w:lineRule="exact"/>
        <w:jc w:val="center"/>
        <w:rPr>
          <w:rFonts w:hint="eastAsia" w:ascii="仿宋" w:hAnsi="仿宋" w:eastAsia="仿宋" w:cs="仿宋"/>
          <w:b/>
          <w:color w:val="000000" w:themeColor="text1"/>
          <w:sz w:val="24"/>
          <w:szCs w:val="24"/>
          <w:highlight w:val="none"/>
          <w14:textFill>
            <w14:solidFill>
              <w14:schemeClr w14:val="tx1"/>
            </w14:solidFill>
          </w14:textFill>
        </w:rPr>
      </w:pPr>
    </w:p>
    <w:tbl>
      <w:tblPr>
        <w:tblStyle w:val="32"/>
        <w:tblW w:w="8942" w:type="dxa"/>
        <w:tblInd w:w="30" w:type="dxa"/>
        <w:tblLayout w:type="fixed"/>
        <w:tblCellMar>
          <w:top w:w="0" w:type="dxa"/>
          <w:left w:w="30" w:type="dxa"/>
          <w:bottom w:w="0" w:type="dxa"/>
          <w:right w:w="30" w:type="dxa"/>
        </w:tblCellMar>
      </w:tblPr>
      <w:tblGrid>
        <w:gridCol w:w="641"/>
        <w:gridCol w:w="1763"/>
        <w:gridCol w:w="1700"/>
        <w:gridCol w:w="1450"/>
        <w:gridCol w:w="1550"/>
        <w:gridCol w:w="1838"/>
      </w:tblGrid>
      <w:tr>
        <w:tblPrEx>
          <w:tblCellMar>
            <w:top w:w="0" w:type="dxa"/>
            <w:left w:w="30" w:type="dxa"/>
            <w:bottom w:w="0" w:type="dxa"/>
            <w:right w:w="30" w:type="dxa"/>
          </w:tblCellMar>
        </w:tblPrEx>
        <w:trPr>
          <w:trHeight w:val="502" w:hRule="atLeast"/>
        </w:trPr>
        <w:tc>
          <w:tcPr>
            <w:tcW w:w="641" w:type="dxa"/>
            <w:tcBorders>
              <w:top w:val="double" w:color="auto" w:sz="4" w:space="0"/>
              <w:left w:val="double" w:color="auto" w:sz="4"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1763"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1700"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项目地址</w:t>
            </w:r>
          </w:p>
        </w:tc>
        <w:tc>
          <w:tcPr>
            <w:tcW w:w="1450" w:type="dxa"/>
            <w:tcBorders>
              <w:top w:val="double" w:color="auto" w:sz="4" w:space="0"/>
              <w:left w:val="single" w:color="auto" w:sz="6" w:space="0"/>
              <w:bottom w:val="single" w:color="auto" w:sz="4" w:space="0"/>
              <w:right w:val="single" w:color="auto" w:sz="6"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合同内容</w:t>
            </w:r>
          </w:p>
        </w:tc>
        <w:tc>
          <w:tcPr>
            <w:tcW w:w="1550" w:type="dxa"/>
            <w:tcBorders>
              <w:top w:val="double" w:color="auto" w:sz="4" w:space="0"/>
              <w:left w:val="single" w:color="auto" w:sz="6"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合同总价</w:t>
            </w:r>
          </w:p>
        </w:tc>
        <w:tc>
          <w:tcPr>
            <w:tcW w:w="1838" w:type="dxa"/>
            <w:tcBorders>
              <w:top w:val="double" w:color="auto" w:sz="4" w:space="0"/>
              <w:left w:val="nil"/>
              <w:bottom w:val="single" w:color="auto" w:sz="4" w:space="0"/>
              <w:right w:val="double" w:color="auto" w:sz="4" w:space="0"/>
            </w:tcBorders>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签约日期</w:t>
            </w:r>
          </w:p>
        </w:tc>
      </w:tr>
      <w:tr>
        <w:tblPrEx>
          <w:tblCellMar>
            <w:top w:w="0" w:type="dxa"/>
            <w:left w:w="30" w:type="dxa"/>
            <w:bottom w:w="0" w:type="dxa"/>
            <w:right w:w="30" w:type="dxa"/>
          </w:tblCellMar>
        </w:tblPrEx>
        <w:trPr>
          <w:trHeight w:val="502" w:hRule="atLeast"/>
        </w:trPr>
        <w:tc>
          <w:tcPr>
            <w:tcW w:w="641" w:type="dxa"/>
            <w:tcBorders>
              <w:top w:val="single" w:color="auto" w:sz="4"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4"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2" w:hRule="atLeast"/>
        </w:trPr>
        <w:tc>
          <w:tcPr>
            <w:tcW w:w="641" w:type="dxa"/>
            <w:tcBorders>
              <w:top w:val="single" w:color="auto" w:sz="6" w:space="0"/>
              <w:left w:val="double" w:color="auto" w:sz="4"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single" w:color="auto" w:sz="6"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CellMar>
            <w:top w:w="0" w:type="dxa"/>
            <w:left w:w="30" w:type="dxa"/>
            <w:bottom w:w="0" w:type="dxa"/>
            <w:right w:w="30" w:type="dxa"/>
          </w:tblCellMar>
        </w:tblPrEx>
        <w:trPr>
          <w:trHeight w:val="503" w:hRule="atLeast"/>
        </w:trPr>
        <w:tc>
          <w:tcPr>
            <w:tcW w:w="641" w:type="dxa"/>
            <w:tcBorders>
              <w:top w:val="single" w:color="auto" w:sz="6" w:space="0"/>
              <w:left w:val="double" w:color="auto" w:sz="4"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合计</w:t>
            </w:r>
          </w:p>
        </w:tc>
        <w:tc>
          <w:tcPr>
            <w:tcW w:w="1763"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70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double" w:color="auto" w:sz="4" w:space="0"/>
              <w:right w:val="single" w:color="auto" w:sz="6"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550" w:type="dxa"/>
            <w:tcBorders>
              <w:top w:val="single" w:color="auto" w:sz="6" w:space="0"/>
              <w:left w:val="single" w:color="auto" w:sz="6" w:space="0"/>
              <w:bottom w:val="double" w:color="auto" w:sz="4" w:space="0"/>
              <w:right w:val="sing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8" w:type="dxa"/>
            <w:tcBorders>
              <w:top w:val="single" w:color="auto" w:sz="6" w:space="0"/>
              <w:left w:val="nil"/>
              <w:bottom w:val="double" w:color="auto" w:sz="4" w:space="0"/>
              <w:right w:val="double" w:color="auto" w:sz="4" w:space="0"/>
            </w:tcBorders>
            <w:vAlign w:val="center"/>
          </w:tcPr>
          <w:p>
            <w:pPr>
              <w:autoSpaceDE w:val="0"/>
              <w:autoSpaceDN w:val="0"/>
              <w:adjustRightInd w:val="0"/>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 1、列出近三年完成的同类项目业绩；</w:t>
      </w:r>
    </w:p>
    <w:p>
      <w:pPr>
        <w:spacing w:line="480" w:lineRule="exact"/>
        <w:ind w:right="250" w:rightChars="119" w:firstLine="600" w:firstLineChars="2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2、须提供所填业绩的合同或中标通知书复印件并加盖公章。</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7.3 关于诉讼</w:t>
      </w:r>
    </w:p>
    <w:p>
      <w:pPr>
        <w:spacing w:line="480" w:lineRule="exact"/>
        <w:ind w:firstLine="480" w:firstLine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供应商应说明近</w:t>
      </w:r>
      <w:r>
        <w:rPr>
          <w:rFonts w:hint="eastAsia" w:ascii="仿宋" w:hAnsi="仿宋" w:eastAsia="仿宋" w:cs="仿宋"/>
          <w:color w:val="000000" w:themeColor="text1"/>
          <w:sz w:val="24"/>
          <w:szCs w:val="24"/>
          <w:highlight w:val="none"/>
          <w:u w:val="single"/>
          <w14:textFill>
            <w14:solidFill>
              <w14:schemeClr w14:val="tx1"/>
            </w14:solidFill>
          </w14:textFill>
        </w:rPr>
        <w:t xml:space="preserve"> 3 </w:t>
      </w:r>
      <w:r>
        <w:rPr>
          <w:rFonts w:hint="eastAsia" w:ascii="仿宋" w:hAnsi="仿宋" w:eastAsia="仿宋" w:cs="仿宋"/>
          <w:color w:val="000000" w:themeColor="text1"/>
          <w:sz w:val="24"/>
          <w:szCs w:val="24"/>
          <w:highlight w:val="none"/>
          <w14:textFill>
            <w14:solidFill>
              <w14:schemeClr w14:val="tx1"/>
            </w14:solidFill>
          </w14:textFill>
        </w:rPr>
        <w:t>年在经营活动及政府采购活动中发生的由于供应商违约或部分违约而引起的诉讼和索赔案件的具体情况及结果。若供应商对本项目进行隐瞒而又被采购人或招标代理机构发现，或被其它单位举证成立，其报价资格将被取消。</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7.4 名称变更证明</w:t>
      </w:r>
    </w:p>
    <w:p>
      <w:pPr>
        <w:spacing w:line="480" w:lineRule="exact"/>
        <w:ind w:firstLine="480" w:firstLineChars="20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本次招标，如果有名称变更的（非因该单位出现了与资格预审时的营业性质的根本改变以至不再满足本次招标的要求），供应商应提供相关变更证明文件，说明由原名称因何种原因变更为现名称。</w:t>
      </w:r>
    </w:p>
    <w:p>
      <w:pPr>
        <w:spacing w:line="480" w:lineRule="exact"/>
        <w:ind w:left="720" w:hanging="617" w:hangingChars="25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7.5 供应商获奖情况及质量认证</w:t>
      </w:r>
    </w:p>
    <w:p>
      <w:pPr>
        <w:spacing w:line="360" w:lineRule="auto"/>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 供应商认为有必要提供的其它资料。</w:t>
      </w:r>
    </w:p>
    <w:p>
      <w:pP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除上述资料外，</w:t>
      </w:r>
      <w:r>
        <w:rPr>
          <w:rFonts w:hint="eastAsia" w:ascii="仿宋" w:hAnsi="仿宋" w:eastAsia="仿宋" w:cs="仿宋"/>
          <w:color w:val="000000" w:themeColor="text1"/>
          <w:sz w:val="24"/>
          <w:szCs w:val="24"/>
          <w:highlight w:val="none"/>
          <w:lang w:val="en-US" w:eastAsia="zh-CN"/>
          <w14:textFill>
            <w14:solidFill>
              <w14:schemeClr w14:val="tx1"/>
            </w14:solidFill>
          </w14:textFill>
        </w:rPr>
        <w:t>磋商文件</w:t>
      </w:r>
      <w:r>
        <w:rPr>
          <w:rFonts w:hint="eastAsia" w:ascii="仿宋" w:hAnsi="仿宋" w:eastAsia="仿宋" w:cs="仿宋"/>
          <w:color w:val="000000" w:themeColor="text1"/>
          <w:sz w:val="24"/>
          <w:szCs w:val="24"/>
          <w:highlight w:val="none"/>
          <w14:textFill>
            <w14:solidFill>
              <w14:schemeClr w14:val="tx1"/>
            </w14:solidFill>
          </w14:textFill>
        </w:rPr>
        <w:t>要求提交的其它资料。</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bookmarkStart w:id="34" w:name="_Hlt10462379"/>
      <w:bookmarkEnd w:id="34"/>
    </w:p>
    <w:p>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7.6.1本项目管理技术人员配置</w:t>
      </w: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（1）本项目的项目负责人简历表</w:t>
      </w:r>
    </w:p>
    <w:p>
      <w:pPr>
        <w:spacing w:line="360" w:lineRule="auto"/>
        <w:ind w:left="1320" w:leftChars="342" w:hanging="602" w:hangingChars="250"/>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项目负责人简历表</w:t>
      </w:r>
    </w:p>
    <w:tbl>
      <w:tblPr>
        <w:tblStyle w:val="32"/>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0"/>
        <w:gridCol w:w="378"/>
        <w:gridCol w:w="516"/>
        <w:gridCol w:w="879"/>
        <w:gridCol w:w="708"/>
        <w:gridCol w:w="599"/>
        <w:gridCol w:w="659"/>
        <w:gridCol w:w="854"/>
        <w:gridCol w:w="145"/>
        <w:gridCol w:w="1685"/>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姓名</w:t>
            </w:r>
          </w:p>
        </w:tc>
        <w:tc>
          <w:tcPr>
            <w:tcW w:w="177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性别</w:t>
            </w:r>
          </w:p>
        </w:tc>
        <w:tc>
          <w:tcPr>
            <w:tcW w:w="1658"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年龄</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131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职务</w:t>
            </w:r>
          </w:p>
        </w:tc>
        <w:tc>
          <w:tcPr>
            <w:tcW w:w="177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07"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职称</w:t>
            </w:r>
          </w:p>
        </w:tc>
        <w:tc>
          <w:tcPr>
            <w:tcW w:w="1658"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8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学历</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220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参加工作时间</w:t>
            </w:r>
          </w:p>
        </w:tc>
        <w:tc>
          <w:tcPr>
            <w:tcW w:w="2845" w:type="dxa"/>
            <w:gridSpan w:val="4"/>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68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从事项目经理年限</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jc w:val="center"/>
        </w:trPr>
        <w:tc>
          <w:tcPr>
            <w:tcW w:w="2204"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具有认证资质</w:t>
            </w:r>
          </w:p>
        </w:tc>
        <w:tc>
          <w:tcPr>
            <w:tcW w:w="6877" w:type="dxa"/>
            <w:gridSpan w:val="8"/>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9081" w:type="dxa"/>
            <w:gridSpan w:val="11"/>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服务单位</w:t>
            </w: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服务内容</w:t>
            </w: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完成日期</w:t>
            </w: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688"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03"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112" w:type="dxa"/>
            <w:gridSpan w:val="3"/>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830" w:type="dxa"/>
            <w:gridSpan w:val="2"/>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4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14:textFill>
            <w14:solidFill>
              <w14:schemeClr w14:val="tx1"/>
            </w14:solidFill>
          </w14:textFill>
        </w:rPr>
        <w:t>1）附项目负责人的资质证书</w:t>
      </w:r>
    </w:p>
    <w:p>
      <w:pPr>
        <w:spacing w:line="48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2）要求项目负责人专注于本项目的实施和管理，在项目实施过程中，不能任意更换。</w:t>
      </w: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p>
    <w:p>
      <w:pPr>
        <w:spacing w:after="120"/>
        <w:ind w:left="420" w:leftChars="20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（2）本项目实施服务人员情况表</w:t>
      </w:r>
    </w:p>
    <w:p>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参加本项目的实施技术服务人员情况表</w:t>
      </w:r>
    </w:p>
    <w:tbl>
      <w:tblPr>
        <w:tblStyle w:val="32"/>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3"/>
        <w:gridCol w:w="1260"/>
        <w:gridCol w:w="1470"/>
        <w:gridCol w:w="1365"/>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8"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序号</w:t>
            </w:r>
          </w:p>
        </w:tc>
        <w:tc>
          <w:tcPr>
            <w:tcW w:w="1673"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姓名</w:t>
            </w:r>
          </w:p>
        </w:tc>
        <w:tc>
          <w:tcPr>
            <w:tcW w:w="1260"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部门</w:t>
            </w:r>
          </w:p>
        </w:tc>
        <w:tc>
          <w:tcPr>
            <w:tcW w:w="1470"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职务</w:t>
            </w:r>
          </w:p>
        </w:tc>
        <w:tc>
          <w:tcPr>
            <w:tcW w:w="1365"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本项目岗位及职责</w:t>
            </w:r>
          </w:p>
        </w:tc>
        <w:tc>
          <w:tcPr>
            <w:tcW w:w="2302" w:type="dxa"/>
            <w:vAlign w:val="center"/>
          </w:tcPr>
          <w:p>
            <w:pPr>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主要资历、项目经验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38"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w:t>
            </w:r>
          </w:p>
        </w:tc>
        <w:tc>
          <w:tcPr>
            <w:tcW w:w="1673"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26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470"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365"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302" w:type="dxa"/>
            <w:vAlign w:val="center"/>
          </w:tcPr>
          <w:p>
            <w:pPr>
              <w:jc w:val="center"/>
              <w:rPr>
                <w:rFonts w:hint="eastAsia" w:ascii="仿宋" w:hAnsi="仿宋" w:eastAsia="仿宋" w:cs="仿宋"/>
                <w:color w:val="000000" w:themeColor="text1"/>
                <w:sz w:val="24"/>
                <w:szCs w:val="24"/>
                <w:highlight w:val="none"/>
                <w14:textFill>
                  <w14:solidFill>
                    <w14:schemeClr w14:val="tx1"/>
                  </w14:solidFill>
                </w14:textFill>
              </w:rPr>
            </w:pPr>
          </w:p>
        </w:tc>
      </w:tr>
    </w:tbl>
    <w:p>
      <w:pP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备注</w:t>
      </w:r>
      <w:r>
        <w:rPr>
          <w:rFonts w:hint="eastAsia" w:ascii="仿宋" w:hAnsi="仿宋" w:eastAsia="仿宋" w:cs="仿宋"/>
          <w:color w:val="000000" w:themeColor="text1"/>
          <w:sz w:val="24"/>
          <w:szCs w:val="24"/>
          <w:highlight w:val="none"/>
          <w14:textFill>
            <w14:solidFill>
              <w14:schemeClr w14:val="tx1"/>
            </w14:solidFill>
          </w14:textFill>
        </w:rPr>
        <w:t>：（1）提供所有参与本项目人员的相应毕业证书、身份证明等材料的复印件；</w:t>
      </w:r>
    </w:p>
    <w:p>
      <w:pPr>
        <w:spacing w:line="480" w:lineRule="exact"/>
        <w:ind w:left="930" w:hanging="1063" w:hangingChars="441"/>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（2）提供高级项目师的技术等级认证证书等</w:t>
      </w: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供应商（公章）：</w:t>
      </w: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tabs>
          <w:tab w:val="left" w:pos="676"/>
          <w:tab w:val="left" w:pos="2330"/>
          <w:tab w:val="left" w:pos="9230"/>
        </w:tabs>
        <w:autoSpaceDE w:val="0"/>
        <w:autoSpaceDN w:val="0"/>
        <w:adjustRightInd w:val="0"/>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授权代表（签名）：</w:t>
      </w:r>
    </w:p>
    <w:p>
      <w:pPr>
        <w:tabs>
          <w:tab w:val="left" w:pos="676"/>
          <w:tab w:val="left" w:pos="2330"/>
          <w:tab w:val="left" w:pos="9230"/>
        </w:tabs>
        <w:autoSpaceDE w:val="0"/>
        <w:autoSpaceDN w:val="0"/>
        <w:adjustRightInd w:val="0"/>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4700" w:leftChars="2238"/>
        <w:jc w:val="left"/>
        <w:rPr>
          <w:rFonts w:hint="eastAsia" w:ascii="仿宋" w:hAnsi="仿宋" w:eastAsia="仿宋" w:cs="仿宋"/>
          <w:color w:val="000000" w:themeColor="text1"/>
          <w:sz w:val="24"/>
          <w:szCs w:val="24"/>
          <w:highlight w:val="none"/>
          <w14:textFill>
            <w14:solidFill>
              <w14:schemeClr w14:val="tx1"/>
            </w14:solidFill>
          </w14:textFill>
        </w:rPr>
        <w:sectPr>
          <w:headerReference r:id="rId12" w:type="default"/>
          <w:footerReference r:id="rId13" w:type="default"/>
          <w:pgSz w:w="11907" w:h="16840"/>
          <w:pgMar w:top="1440" w:right="1418" w:bottom="1440" w:left="1418" w:header="851" w:footer="851" w:gutter="0"/>
          <w:cols w:space="720" w:num="1"/>
          <w:docGrid w:linePitch="285" w:charSpace="0"/>
        </w:sectPr>
      </w:pPr>
      <w:r>
        <w:rPr>
          <w:rFonts w:hint="eastAsia" w:ascii="仿宋" w:hAnsi="仿宋" w:eastAsia="仿宋" w:cs="仿宋"/>
          <w:color w:val="000000" w:themeColor="text1"/>
          <w:sz w:val="24"/>
          <w:szCs w:val="24"/>
          <w:highlight w:val="none"/>
          <w14:textFill>
            <w14:solidFill>
              <w14:schemeClr w14:val="tx1"/>
            </w14:solidFill>
          </w14:textFill>
        </w:rPr>
        <w:t>日      期：</w:t>
      </w:r>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bookmarkStart w:id="35" w:name="_Toc42956290"/>
      <w:r>
        <w:rPr>
          <w:rFonts w:hint="eastAsia" w:ascii="仿宋" w:hAnsi="仿宋" w:eastAsia="仿宋" w:cs="仿宋"/>
          <w:b/>
          <w:color w:val="000000" w:themeColor="text1"/>
          <w:sz w:val="24"/>
          <w:szCs w:val="24"/>
          <w:highlight w:val="none"/>
          <w14:textFill>
            <w14:solidFill>
              <w14:schemeClr w14:val="tx1"/>
            </w14:solidFill>
          </w14:textFill>
        </w:rPr>
        <w:t>7.6.2   采购人配合条件</w:t>
      </w:r>
      <w:bookmarkEnd w:id="35"/>
    </w:p>
    <w:p>
      <w:pPr>
        <w:spacing w:line="480" w:lineRule="exact"/>
        <w:rPr>
          <w:rFonts w:hint="eastAsia" w:ascii="仿宋" w:hAnsi="仿宋" w:eastAsia="仿宋" w:cs="仿宋"/>
          <w:b/>
          <w:color w:val="000000" w:themeColor="text1"/>
          <w:sz w:val="24"/>
          <w:szCs w:val="24"/>
          <w:highlight w:val="none"/>
          <w14:textFill>
            <w14:solidFill>
              <w14:schemeClr w14:val="tx1"/>
            </w14:solidFill>
          </w14:textFill>
        </w:rPr>
      </w:pPr>
    </w:p>
    <w:p>
      <w:pPr>
        <w:spacing w:line="48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采购人配合的条件</w:t>
      </w:r>
    </w:p>
    <w:p>
      <w:pPr>
        <w:spacing w:line="480" w:lineRule="exact"/>
        <w:jc w:val="center"/>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为配合本项目计划进度时间表所进行的各阶段工作，供应商必须列明需采购人配合的工作内容和具体要求。</w:t>
      </w: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ind w:firstLine="403"/>
        <w:rPr>
          <w:rFonts w:hint="eastAsia" w:ascii="仿宋" w:hAnsi="仿宋" w:eastAsia="仿宋" w:cs="仿宋"/>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报 价 人（法人公章）：</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授权代表（签字）：</w:t>
      </w:r>
    </w:p>
    <w:p>
      <w:pPr>
        <w:spacing w:line="360" w:lineRule="auto"/>
        <w:rPr>
          <w:rFonts w:hint="eastAsia" w:ascii="仿宋" w:hAnsi="仿宋" w:eastAsia="仿宋" w:cs="仿宋"/>
          <w:bCs/>
          <w:color w:val="000000" w:themeColor="text1"/>
          <w:sz w:val="24"/>
          <w:szCs w:val="24"/>
          <w:highlight w:val="none"/>
          <w14:textFill>
            <w14:solidFill>
              <w14:schemeClr w14:val="tx1"/>
            </w14:solidFill>
          </w14:textFill>
        </w:rPr>
      </w:pPr>
    </w:p>
    <w:p>
      <w:pPr>
        <w:spacing w:line="360" w:lineRule="auto"/>
        <w:ind w:firstLine="5520" w:firstLineChars="23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日    期：</w:t>
      </w: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80" w:lineRule="exact"/>
        <w:ind w:left="4700" w:leftChars="2238"/>
        <w:rPr>
          <w:rFonts w:hint="eastAsia" w:ascii="仿宋" w:hAnsi="仿宋" w:eastAsia="仿宋" w:cs="仿宋"/>
          <w:color w:val="000000" w:themeColor="text1"/>
          <w:sz w:val="24"/>
          <w:szCs w:val="24"/>
          <w:highlight w:val="none"/>
          <w14:textFill>
            <w14:solidFill>
              <w14:schemeClr w14:val="tx1"/>
            </w14:solidFill>
          </w14:textFill>
        </w:rPr>
      </w:pPr>
      <w:bookmarkStart w:id="36" w:name="_Hlt10567911"/>
      <w:bookmarkEnd w:id="36"/>
    </w:p>
    <w:p>
      <w:pPr>
        <w:pStyle w:val="18"/>
        <w:spacing w:line="20" w:lineRule="exac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br w:type="page"/>
      </w:r>
      <w:bookmarkStart w:id="37" w:name="_Hlt10523642"/>
      <w:bookmarkEnd w:id="37"/>
    </w:p>
    <w:p>
      <w:pPr>
        <w:pStyle w:val="18"/>
        <w:spacing w:line="20" w:lineRule="exact"/>
        <w:outlineLvl w:val="0"/>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00" w:lineRule="atLeast"/>
        <w:outlineLvl w:val="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44"/>
          <w:sz w:val="24"/>
          <w:szCs w:val="24"/>
          <w:highlight w:val="none"/>
          <w14:textFill>
            <w14:solidFill>
              <w14:schemeClr w14:val="tx1"/>
            </w14:solidFill>
          </w14:textFill>
        </w:rPr>
        <w:t>8</w:t>
      </w:r>
      <w:r>
        <w:rPr>
          <w:rFonts w:hint="eastAsia" w:ascii="仿宋" w:hAnsi="仿宋" w:eastAsia="仿宋" w:cs="仿宋"/>
          <w:b/>
          <w:color w:val="000000" w:themeColor="text1"/>
          <w:kern w:val="10"/>
          <w:sz w:val="24"/>
          <w:szCs w:val="24"/>
          <w:highlight w:val="none"/>
          <w14:textFill>
            <w14:solidFill>
              <w14:schemeClr w14:val="tx1"/>
            </w14:solidFill>
          </w14:textFill>
        </w:rPr>
        <w:t>、</w:t>
      </w:r>
      <w:r>
        <w:rPr>
          <w:rFonts w:hint="eastAsia" w:ascii="仿宋" w:hAnsi="仿宋" w:eastAsia="仿宋" w:cs="仿宋"/>
          <w:b/>
          <w:bCs/>
          <w:color w:val="000000" w:themeColor="text1"/>
          <w:kern w:val="44"/>
          <w:sz w:val="24"/>
          <w:szCs w:val="24"/>
          <w:highlight w:val="none"/>
          <w14:textFill>
            <w14:solidFill>
              <w14:schemeClr w14:val="tx1"/>
            </w14:solidFill>
          </w14:textFill>
        </w:rPr>
        <w:t>同意磋商文件条款声明格式</w:t>
      </w:r>
    </w:p>
    <w:p>
      <w:pPr>
        <w:pStyle w:val="18"/>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00" w:lineRule="atLeast"/>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同意磋商文件条款声明</w:t>
      </w:r>
    </w:p>
    <w:p>
      <w:pPr>
        <w:pStyle w:val="18"/>
        <w:spacing w:line="400" w:lineRule="atLeast"/>
        <w:rPr>
          <w:rFonts w:hint="eastAsia" w:ascii="仿宋" w:hAnsi="仿宋" w:eastAsia="仿宋" w:cs="仿宋"/>
          <w:b/>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致:新疆晓君招标有限公司</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ind w:firstLine="42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为响应你方组织的</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2021年和田市林果业技术扶持项目</w:t>
      </w:r>
      <w:r>
        <w:rPr>
          <w:rFonts w:hint="eastAsia" w:ascii="仿宋" w:hAnsi="仿宋" w:eastAsia="仿宋" w:cs="仿宋"/>
          <w:color w:val="000000" w:themeColor="text1"/>
          <w:sz w:val="24"/>
          <w:szCs w:val="24"/>
          <w:highlight w:val="none"/>
          <w14:textFill>
            <w14:solidFill>
              <w14:schemeClr w14:val="tx1"/>
            </w14:solidFill>
          </w14:textFill>
        </w:rPr>
        <w:t xml:space="preserve">的供货及相关服务的竞争性磋商[编号为： </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HTSZFCGZBDL-2021-089-2</w:t>
      </w:r>
      <w:r>
        <w:rPr>
          <w:rFonts w:hint="eastAsia" w:ascii="仿宋" w:hAnsi="仿宋" w:eastAsia="仿宋" w:cs="仿宋"/>
          <w:color w:val="000000" w:themeColor="text1"/>
          <w:sz w:val="24"/>
          <w:szCs w:val="24"/>
          <w:highlight w:val="none"/>
          <w14:textFill>
            <w14:solidFill>
              <w14:schemeClr w14:val="tx1"/>
            </w14:solidFill>
          </w14:textFill>
        </w:rPr>
        <w:t xml:space="preserve">  ]，我方在参与投标（报价）前已详细研究了磋商文件的所有内容，包括修改文件（如果有的话）和所有已提供的参考资料以及有关附件，我方完全明白并认为此磋商文件没有倾向性，也没有存在排斥潜在投标（报价）人的内容，我方并同意磋商文件的相关条款。</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特此声明。</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报价（报价）人（公章）：</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 定 地 址：</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       编：</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授权代表（签字）：</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姓名（印刷体）</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w:t>
      </w: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p>
    <w:p>
      <w:pPr>
        <w:pStyle w:val="18"/>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电       话：</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p>
    <w:p>
      <w:pPr>
        <w:snapToGrid w:val="0"/>
        <w:spacing w:line="400" w:lineRule="atLeas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传       真：</w:t>
      </w:r>
      <w:r>
        <w:rPr>
          <w:rFonts w:hint="eastAsia" w:ascii="仿宋" w:hAnsi="仿宋" w:eastAsia="仿宋" w:cs="仿宋"/>
          <w:color w:val="000000" w:themeColor="text1"/>
          <w:sz w:val="24"/>
          <w:szCs w:val="24"/>
          <w:highlight w:val="none"/>
          <w:u w:val="single"/>
          <w14:textFill>
            <w14:solidFill>
              <w14:schemeClr w14:val="tx1"/>
            </w14:solidFill>
          </w14:textFill>
        </w:rPr>
        <w:t xml:space="preserve">                      </w:t>
      </w:r>
    </w:p>
    <w:p>
      <w:pPr>
        <w:pStyle w:val="18"/>
        <w:spacing w:line="20" w:lineRule="exact"/>
        <w:rPr>
          <w:rFonts w:hint="eastAsia" w:ascii="仿宋" w:hAnsi="仿宋" w:eastAsia="仿宋" w:cs="仿宋"/>
          <w:color w:val="000000" w:themeColor="text1"/>
          <w:sz w:val="24"/>
          <w:szCs w:val="24"/>
          <w:highlight w:val="none"/>
          <w14:textFill>
            <w14:solidFill>
              <w14:schemeClr w14:val="tx1"/>
            </w14:solidFill>
          </w14:textFill>
        </w:rPr>
      </w:pPr>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bookmarkStart w:id="38" w:name="_Hlt10524010"/>
      <w:bookmarkEnd w:id="38"/>
      <w:bookmarkStart w:id="39" w:name="_Hlt10462525"/>
      <w:bookmarkEnd w:id="39"/>
      <w:bookmarkStart w:id="40" w:name="_Hlt10524018"/>
      <w:bookmarkEnd w:id="40"/>
      <w:bookmarkStart w:id="41" w:name="_Hlt10529670"/>
      <w:bookmarkEnd w:id="41"/>
      <w:bookmarkStart w:id="42" w:name="_Hlt10524029"/>
      <w:bookmarkEnd w:id="42"/>
    </w:p>
    <w:p>
      <w:pPr>
        <w:spacing w:line="480" w:lineRule="exact"/>
        <w:rPr>
          <w:rFonts w:hint="eastAsia" w:ascii="仿宋" w:hAnsi="仿宋" w:eastAsia="仿宋" w:cs="仿宋"/>
          <w:color w:val="000000" w:themeColor="text1"/>
          <w:sz w:val="24"/>
          <w:szCs w:val="24"/>
          <w:highlight w:val="none"/>
          <w14:textFill>
            <w14:solidFill>
              <w14:schemeClr w14:val="tx1"/>
            </w14:solidFill>
          </w14:textFill>
        </w:rPr>
      </w:pPr>
    </w:p>
    <w:p>
      <w:pPr>
        <w:spacing w:before="120" w:line="360" w:lineRule="auto"/>
        <w:ind w:firstLine="5520" w:firstLineChars="2300"/>
        <w:rPr>
          <w:rFonts w:hint="eastAsia" w:ascii="仿宋" w:hAnsi="仿宋" w:eastAsia="仿宋" w:cs="仿宋"/>
          <w:color w:val="000000" w:themeColor="text1"/>
          <w:sz w:val="24"/>
          <w:szCs w:val="24"/>
          <w:highlight w:val="none"/>
          <w14:textFill>
            <w14:solidFill>
              <w14:schemeClr w14:val="tx1"/>
            </w14:solidFill>
          </w14:textFill>
        </w:rPr>
      </w:pPr>
    </w:p>
    <w:sectPr>
      <w:pgSz w:w="11906" w:h="16838"/>
      <w:pgMar w:top="1440" w:right="1418" w:bottom="1440"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ascii="宋体"/>
      </w:rPr>
    </w:pPr>
    <w:r>
      <w:rPr>
        <w:rFonts w:hint="eastAsia"/>
      </w:rPr>
      <w:t>新疆晓君招标有限公司</w:t>
    </w:r>
    <w:r>
      <w:rPr>
        <w:rFonts w:ascii="宋体" w:hAnsi="宋体"/>
      </w:rPr>
      <w:t xml:space="preserve">                                                                </w:t>
    </w:r>
    <w:r>
      <w:rPr>
        <w:rFonts w:ascii="宋体" w:hAnsi="宋体"/>
        <w:sz w:val="18"/>
        <w:szCs w:val="18"/>
      </w:rPr>
      <w:t>2-</w:t>
    </w:r>
    <w:r>
      <w:rPr>
        <w:rStyle w:val="37"/>
        <w:rFonts w:ascii="宋体" w:hAnsi="宋体"/>
        <w:sz w:val="18"/>
        <w:szCs w:val="18"/>
      </w:rPr>
      <w:fldChar w:fldCharType="begin"/>
    </w:r>
    <w:r>
      <w:rPr>
        <w:rStyle w:val="37"/>
        <w:rFonts w:ascii="宋体" w:hAnsi="宋体"/>
        <w:sz w:val="18"/>
        <w:szCs w:val="18"/>
      </w:rPr>
      <w:instrText xml:space="preserve"> PAGE </w:instrText>
    </w:r>
    <w:r>
      <w:rPr>
        <w:rStyle w:val="37"/>
        <w:rFonts w:ascii="宋体" w:hAnsi="宋体"/>
        <w:sz w:val="18"/>
        <w:szCs w:val="18"/>
      </w:rPr>
      <w:fldChar w:fldCharType="separate"/>
    </w:r>
    <w:r>
      <w:rPr>
        <w:rStyle w:val="37"/>
        <w:rFonts w:ascii="宋体" w:hAnsi="宋体"/>
        <w:sz w:val="18"/>
        <w:szCs w:val="18"/>
      </w:rPr>
      <w:t>14</w:t>
    </w:r>
    <w:r>
      <w:rPr>
        <w:rStyle w:val="37"/>
        <w:rFonts w:ascii="宋体" w:hAnsi="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ascii="宋体"/>
      </w:rPr>
    </w:pPr>
    <w:r>
      <w:rPr>
        <w:rFonts w:hint="eastAsia"/>
      </w:rPr>
      <w:t>新疆晓君招标有限公司</w:t>
    </w:r>
    <w:r>
      <w:rPr>
        <w:rFonts w:ascii="宋体" w:hAnsi="宋体"/>
      </w:rPr>
      <w:t xml:space="preserve">                                                                    2-</w:t>
    </w:r>
    <w:r>
      <w:rPr>
        <w:rStyle w:val="37"/>
        <w:rFonts w:ascii="宋体" w:hAnsi="宋体"/>
        <w:sz w:val="18"/>
        <w:szCs w:val="18"/>
      </w:rPr>
      <w:fldChar w:fldCharType="begin"/>
    </w:r>
    <w:r>
      <w:rPr>
        <w:rStyle w:val="37"/>
        <w:rFonts w:ascii="宋体" w:hAnsi="宋体"/>
        <w:sz w:val="18"/>
        <w:szCs w:val="18"/>
      </w:rPr>
      <w:instrText xml:space="preserve"> PAGE </w:instrText>
    </w:r>
    <w:r>
      <w:rPr>
        <w:rStyle w:val="37"/>
        <w:rFonts w:ascii="宋体" w:hAnsi="宋体"/>
        <w:sz w:val="18"/>
        <w:szCs w:val="18"/>
      </w:rPr>
      <w:fldChar w:fldCharType="separate"/>
    </w:r>
    <w:r>
      <w:rPr>
        <w:rStyle w:val="37"/>
        <w:rFonts w:ascii="宋体" w:hAnsi="宋体"/>
        <w:sz w:val="18"/>
        <w:szCs w:val="18"/>
      </w:rPr>
      <w:t>17</w:t>
    </w:r>
    <w:r>
      <w:rPr>
        <w:rStyle w:val="37"/>
        <w:rFonts w:ascii="宋体" w:hAnsi="宋体"/>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rPr>
        <w:lang w:val="en-US" w:bidi="ar-SA"/>
      </w:rPr>
      <mc:AlternateContent>
        <mc:Choice Requires="wps">
          <w:drawing>
            <wp:anchor distT="0" distB="0" distL="114300" distR="114300" simplePos="0" relativeHeight="251663360" behindDoc="0" locked="0" layoutInCell="1" allowOverlap="1">
              <wp:simplePos x="0" y="0"/>
              <wp:positionH relativeFrom="margin">
                <wp:posOffset>5777865</wp:posOffset>
              </wp:positionH>
              <wp:positionV relativeFrom="paragraph">
                <wp:posOffset>20320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454.95pt;margin-top:1.6pt;height:144pt;width:144pt;mso-position-horizontal-relative:margin;mso-wrap-style:none;z-index:251663360;mso-width-relative:page;mso-height-relative:page;" filled="f" stroked="f" coordsize="21600,21600" o:gfxdata="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b8pE3ZAAAACgEAAA8AAAAAAAAAAQAgAAAAIgAAAGRy&#10;cy9kb3ducmV2LnhtbFBLAQIUABQAAAAIAIdO4kDeRK/QywEAAJkDAAAOAAAAAAAAAAEAIAAAACgB&#10;AABkcnMvZTJvRG9jLnhtbFBLBQYAAAAABgAGAFkBAABlBQAAAAA=&#10;">
              <v:fill on="f" focussize="0,0"/>
              <v:stroke on="f" weight="1.2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r>
      <w:rPr>
        <w:lang w:val="en-US" w:bidi="ar-SA"/>
      </w:rPr>
      <mc:AlternateContent>
        <mc:Choice Requires="wps">
          <w:drawing>
            <wp:anchor distT="0" distB="0" distL="114300" distR="114300" simplePos="0" relativeHeight="251661312" behindDoc="0" locked="0" layoutInCell="1" allowOverlap="1">
              <wp:simplePos x="0" y="0"/>
              <wp:positionH relativeFrom="margin">
                <wp:posOffset>12700</wp:posOffset>
              </wp:positionH>
              <wp:positionV relativeFrom="paragraph">
                <wp:posOffset>7620</wp:posOffset>
              </wp:positionV>
              <wp:extent cx="6652895" cy="20066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6652895" cy="200660"/>
                      </a:xfrm>
                      <a:prstGeom prst="rect">
                        <a:avLst/>
                      </a:prstGeom>
                      <a:noFill/>
                      <a:ln w="15875">
                        <a:noFill/>
                      </a:ln>
                    </wps:spPr>
                    <wps:txbx>
                      <w:txbxContent>
                        <w:p>
                          <w:pPr>
                            <w:pStyle w:val="22"/>
                          </w:pPr>
                          <w:r>
                            <w:rPr>
                              <w:rFonts w:hint="eastAsia"/>
                            </w:rPr>
                            <w:t>新疆晓君招标有限公司                                                                               5-</w:t>
                          </w:r>
                        </w:p>
                      </w:txbxContent>
                    </wps:txbx>
                    <wps:bodyPr lIns="0" tIns="0" rIns="0" bIns="0"/>
                  </wps:wsp>
                </a:graphicData>
              </a:graphic>
            </wp:anchor>
          </w:drawing>
        </mc:Choice>
        <mc:Fallback>
          <w:pict>
            <v:shape id="_x0000_s1026" o:spid="_x0000_s1026" o:spt="202" type="#_x0000_t202" style="position:absolute;left:0pt;margin-left:1pt;margin-top:0.6pt;height:15.8pt;width:523.85pt;mso-position-horizontal-relative:margin;z-index:251661312;mso-width-relative:page;mso-height-relative:page;" filled="f" stroked="f" coordsize="21600,21600" o:gfxdata="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U3v3dYAAAAHAQAADwAAAAAAAAABACAAAAAiAAAAZHJzL2Rvd25yZXYueG1sUEsB&#10;AhQAFAAAAAgAh07iQPU1smy+AQAAcgMAAA4AAAAAAAAAAQAgAAAAJQEAAGRycy9lMm9Eb2MueG1s&#10;UEsFBgAAAAAGAAYAWQEAAFUFAAAAAA==&#10;">
              <v:fill on="f" focussize="0,0"/>
              <v:stroke on="f" weight="1.25pt"/>
              <v:imagedata o:title=""/>
              <o:lock v:ext="edit" aspectratio="f"/>
              <v:textbox inset="0mm,0mm,0mm,0mm">
                <w:txbxContent>
                  <w:p>
                    <w:pPr>
                      <w:pStyle w:val="22"/>
                    </w:pPr>
                    <w:r>
                      <w:rPr>
                        <w:rFonts w:hint="eastAsia"/>
                      </w:rPr>
                      <w:t>新疆晓君招标有限公司                                                                               5-</w:t>
                    </w:r>
                  </w:p>
                </w:txbxContent>
              </v:textbox>
            </v:shape>
          </w:pict>
        </mc:Fallback>
      </mc:AlternateContent>
    </w:r>
    <w:r>
      <w:rPr>
        <w:lang w:val="en-US" w:bidi="ar-SA"/>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VwlGHMAQAAm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TkcqDv91HbCF3llBHqKkYTixzm7YrrcS/95z19Ee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hXCUYcwBAACZAwAADgAAAAAAAAABACAAAAAiAQAAZHJz&#10;L2Uyb0RvYy54bWxQSwUGAAAAAAYABgBZAQAAYAUAAAAA&#10;">
              <v:fill on="f" focussize="0,0"/>
              <v:stroke on="f" weight="1.25pt"/>
              <v:imagedata o:title=""/>
              <o:lock v:ext="edit" aspectratio="f"/>
              <v:textbox inset="0mm,0mm,0mm,0mm" style="mso-fit-shape-to-text:t;">
                <w:txbxContent>
                  <w:p>
                    <w:pPr>
                      <w:pStyle w:val="22"/>
                    </w:pPr>
                  </w:p>
                </w:txbxContent>
              </v:textbox>
            </v:shape>
          </w:pict>
        </mc:Fallback>
      </mc:AlternateContent>
    </w:r>
    <w:r>
      <w:rPr>
        <w:rFonts w:hint="eastAsia"/>
      </w:rPr>
      <w:t>司</w:t>
    </w:r>
    <w:r>
      <w:rPr>
        <w:sz w:val="18"/>
        <w:lang w:val="en-US" w:bidi="ar-SA"/>
      </w:rPr>
      <mc:AlternateContent>
        <mc:Choice Requires="wps">
          <w:drawing>
            <wp:anchor distT="0" distB="0" distL="114300" distR="114300" simplePos="0" relativeHeight="251661312" behindDoc="0" locked="0" layoutInCell="1" allowOverlap="1">
              <wp:simplePos x="0" y="0"/>
              <wp:positionH relativeFrom="margin">
                <wp:posOffset>-571500</wp:posOffset>
              </wp:positionH>
              <wp:positionV relativeFrom="paragraph">
                <wp:posOffset>-10227310</wp:posOffset>
              </wp:positionV>
              <wp:extent cx="815975"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815975" cy="1828800"/>
                      </a:xfrm>
                      <a:prstGeom prst="rect">
                        <a:avLst/>
                      </a:prstGeom>
                      <a:noFill/>
                      <a:ln w="15875">
                        <a:noFill/>
                      </a:ln>
                    </wps:spPr>
                    <wps:txbx>
                      <w:txbxContent>
                        <w:p/>
                      </w:txbxContent>
                    </wps:txbx>
                    <wps:bodyPr lIns="0" tIns="0" rIns="0" bIns="0">
                      <a:spAutoFit/>
                    </wps:bodyPr>
                  </wps:wsp>
                </a:graphicData>
              </a:graphic>
            </wp:anchor>
          </w:drawing>
        </mc:Choice>
        <mc:Fallback>
          <w:pict>
            <v:shape id="_x0000_s1026" o:spid="_x0000_s1026" o:spt="202" type="#_x0000_t202" style="position:absolute;left:0pt;margin-left:-45pt;margin-top:-805.3pt;height:144pt;width:64.25pt;mso-position-horizontal-relative:margin;z-index:251661312;mso-width-relative:page;mso-height-relative:page;" filled="f" stroked="f" coordsize="21600,21600" o:gfxdata="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W4t+3AAAAA4BAAAPAAAAAAAAAAEAIAAAACIAAABkcnMv&#10;ZG93bnJldi54bWxQSwECFAAUAAAACACHTuJAPfGGDcYBAACMAwAADgAAAAAAAAABACAAAAArAQAA&#10;ZHJzL2Uyb0RvYy54bWxQSwUGAAAAAAYABgBZAQAAYwUAAAAA&#10;">
              <v:fill on="f" focussize="0,0"/>
              <v:stroke on="f" weight="1.25pt"/>
              <v:imagedata o:title=""/>
              <o:lock v:ext="edit" aspectratio="f"/>
              <v:textbox inset="0mm,0mm,0mm,0mm" style="mso-fit-shape-to-text:t;">
                <w:txbxContent>
                  <w:p/>
                </w:txbxContent>
              </v:textbox>
            </v:shape>
          </w:pict>
        </mc:Fallback>
      </mc:AlternateContent>
    </w:r>
    <w:r>
      <w:rPr>
        <w:lang w:val="en-US" w:bidi="ar-SA"/>
      </w:rP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10062210</wp:posOffset>
              </wp:positionV>
              <wp:extent cx="166370" cy="1397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pPr>
                            <w:spacing w:line="220" w:lineRule="exact"/>
                            <w:ind w:left="40"/>
                            <w:rPr>
                              <w:rFonts w:ascii="宋体"/>
                              <w:sz w:val="18"/>
                            </w:rPr>
                          </w:pPr>
                        </w:p>
                      </w:txbxContent>
                    </wps:txbx>
                    <wps:bodyPr lIns="0" tIns="0" rIns="0" bIns="0" upright="1"/>
                  </wps:wsp>
                </a:graphicData>
              </a:graphic>
            </wp:anchor>
          </w:drawing>
        </mc:Choice>
        <mc:Fallback>
          <w:pict>
            <v:shape id="_x0000_s1026" o:spid="_x0000_s1026" o:spt="202" type="#_x0000_t202" style="position:absolute;left:0pt;margin-left:291.15pt;margin-top:792.3pt;height:11pt;width:13.1pt;mso-position-horizontal-relative:page;mso-position-vertical-relative:page;z-index:-251657216;mso-width-relative:page;mso-height-relative:page;" filled="f" stroked="f" coordsize="21600,21600" o:gfxdata="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NybOLaAAAADQEAAA8AAAAAAAAAAQAgAAAAIgAAAGRycy9kb3ducmV2Lnht&#10;bFBLAQIUABQAAAAIAIdO4kA78wGivgEAAIEDAAAOAAAAAAAAAAEAIAAAACkBAABkcnMvZTJvRG9j&#10;LnhtbFBLBQYAAAAABgAGAFkBAABZBQAAAAA=&#10;">
              <v:fill on="f" focussize="0,0"/>
              <v:stroke on="f"/>
              <v:imagedata o:title=""/>
              <o:lock v:ext="edit" aspectratio="f"/>
              <v:textbox inset="0mm,0mm,0mm,0mm">
                <w:txbxContent>
                  <w:p>
                    <w:pPr>
                      <w:spacing w:line="220" w:lineRule="exact"/>
                      <w:ind w:left="40"/>
                      <w:rPr>
                        <w:rFonts w:ascii="宋体"/>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left"/>
      <w:rPr>
        <w:rFonts w:hint="eastAsia"/>
      </w:rPr>
    </w:pPr>
    <w:r>
      <w:rPr>
        <w:rFonts w:hint="eastAsia"/>
        <w:lang w:eastAsia="zh-CN"/>
      </w:rPr>
      <w:t>新疆晓君招标有限公司</w:t>
    </w:r>
    <w:r>
      <w:rPr>
        <w:rFonts w:hint="eastAsia"/>
      </w:rPr>
      <w:t xml:space="preserve">                          </w:t>
    </w:r>
    <w:r>
      <w:rPr>
        <w:rFonts w:hint="eastAsia"/>
        <w:lang w:val="en-US" w:eastAsia="zh-CN"/>
      </w:rPr>
      <w:t xml:space="preserve">                         </w:t>
    </w:r>
    <w:r>
      <w:rPr>
        <w:rFonts w:hint="eastAsia"/>
      </w:rPr>
      <w:t xml:space="preserve">     </w:t>
    </w:r>
    <w:r>
      <w:rPr>
        <w:rFonts w:hint="eastAsia"/>
        <w:sz w:val="21"/>
        <w:szCs w:val="21"/>
      </w:rPr>
      <w:t>5-</w:t>
    </w:r>
    <w:r>
      <w:rPr>
        <w:sz w:val="21"/>
        <w:szCs w:val="21"/>
      </w:rPr>
      <w:fldChar w:fldCharType="begin"/>
    </w:r>
    <w:r>
      <w:rPr>
        <w:rStyle w:val="37"/>
        <w:sz w:val="21"/>
        <w:szCs w:val="21"/>
      </w:rPr>
      <w:instrText xml:space="preserve"> PAGE </w:instrText>
    </w:r>
    <w:r>
      <w:rPr>
        <w:sz w:val="21"/>
        <w:szCs w:val="21"/>
      </w:rPr>
      <w:fldChar w:fldCharType="separate"/>
    </w:r>
    <w:r>
      <w:rPr>
        <w:rStyle w:val="37"/>
        <w:sz w:val="21"/>
        <w:szCs w:val="21"/>
      </w:rPr>
      <w:t>32</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rPr>
        <w:rFonts w:ascii="宋体"/>
      </w:rPr>
    </w:pPr>
    <w:r>
      <mc:AlternateContent>
        <mc:Choice Requires="wps">
          <w:drawing>
            <wp:anchor distT="0" distB="0" distL="114300" distR="114300" simplePos="0" relativeHeight="251660288" behindDoc="0" locked="0" layoutInCell="1" allowOverlap="1">
              <wp:simplePos x="0" y="0"/>
              <wp:positionH relativeFrom="margin">
                <wp:posOffset>1905</wp:posOffset>
              </wp:positionH>
              <wp:positionV relativeFrom="paragraph">
                <wp:posOffset>0</wp:posOffset>
              </wp:positionV>
              <wp:extent cx="5747385" cy="252095"/>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5747385" cy="252095"/>
                      </a:xfrm>
                      <a:prstGeom prst="rect">
                        <a:avLst/>
                      </a:prstGeom>
                      <a:noFill/>
                      <a:ln w="15875">
                        <a:noFill/>
                      </a:ln>
                    </wps:spPr>
                    <wps:txbx>
                      <w:txbxContent>
                        <w:p>
                          <w:pPr>
                            <w:pStyle w:val="22"/>
                            <w:rPr>
                              <w:sz w:val="21"/>
                              <w:szCs w:val="21"/>
                            </w:rPr>
                          </w:pPr>
                          <w:r>
                            <w:rPr>
                              <w:rFonts w:hint="eastAsia"/>
                              <w:sz w:val="21"/>
                              <w:szCs w:val="21"/>
                            </w:rPr>
                            <w:t>新疆晓君招标有限公司</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5-</w:t>
                          </w:r>
                          <w:r>
                            <w:rPr>
                              <w:rStyle w:val="37"/>
                              <w:rFonts w:ascii="宋体" w:hAnsi="宋体"/>
                              <w:sz w:val="21"/>
                              <w:szCs w:val="21"/>
                            </w:rPr>
                            <w:fldChar w:fldCharType="begin"/>
                          </w:r>
                          <w:r>
                            <w:rPr>
                              <w:rStyle w:val="37"/>
                              <w:rFonts w:ascii="宋体" w:hAnsi="宋体"/>
                              <w:sz w:val="21"/>
                              <w:szCs w:val="21"/>
                            </w:rPr>
                            <w:instrText xml:space="preserve"> PAGE </w:instrText>
                          </w:r>
                          <w:r>
                            <w:rPr>
                              <w:rStyle w:val="37"/>
                              <w:rFonts w:ascii="宋体" w:hAnsi="宋体"/>
                              <w:sz w:val="21"/>
                              <w:szCs w:val="21"/>
                            </w:rPr>
                            <w:fldChar w:fldCharType="separate"/>
                          </w:r>
                          <w:r>
                            <w:rPr>
                              <w:rStyle w:val="37"/>
                              <w:rFonts w:ascii="宋体" w:hAnsi="宋体"/>
                              <w:sz w:val="21"/>
                              <w:szCs w:val="21"/>
                            </w:rPr>
                            <w:t>25</w:t>
                          </w:r>
                          <w:r>
                            <w:rPr>
                              <w:rStyle w:val="37"/>
                              <w:rFonts w:ascii="宋体" w:hAnsi="宋体"/>
                              <w:sz w:val="21"/>
                              <w:szCs w:val="21"/>
                            </w:rPr>
                            <w:fldChar w:fldCharType="end"/>
                          </w:r>
                        </w:p>
                      </w:txbxContent>
                    </wps:txbx>
                    <wps:bodyPr lIns="0" tIns="0" rIns="0" bIns="0" upright="1"/>
                  </wps:wsp>
                </a:graphicData>
              </a:graphic>
            </wp:anchor>
          </w:drawing>
        </mc:Choice>
        <mc:Fallback>
          <w:pict>
            <v:shape id="文本框 1029" o:spid="_x0000_s1026" o:spt="202" type="#_x0000_t202" style="position:absolute;left:0pt;margin-left:0.15pt;margin-top:0pt;height:19.85pt;width:452.55pt;mso-position-horizontal-relative:margin;z-index:251660288;mso-width-relative:page;mso-height-relative:page;" filled="f" stroked="f" coordsize="21600,21600" o:gfxdata="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ZRHOHUAAAABAEAAA8AAAAAAAAAAQAgAAAAIgAAAGRycy9kb3ducmV2&#10;LnhtbFBLAQIUABQAAAAIAIdO4kBTtAA/xwEAAH8DAAAOAAAAAAAAAAEAIAAAACMBAABkcnMvZTJv&#10;RG9jLnhtbFBLBQYAAAAABgAGAFkBAABcBQAAAAA=&#10;">
              <v:fill on="f" focussize="0,0"/>
              <v:stroke on="f" weight="1.25pt"/>
              <v:imagedata o:title=""/>
              <o:lock v:ext="edit" aspectratio="f"/>
              <v:textbox inset="0mm,0mm,0mm,0mm">
                <w:txbxContent>
                  <w:p>
                    <w:pPr>
                      <w:pStyle w:val="22"/>
                      <w:rPr>
                        <w:sz w:val="21"/>
                        <w:szCs w:val="21"/>
                      </w:rPr>
                    </w:pPr>
                    <w:r>
                      <w:rPr>
                        <w:rFonts w:hint="eastAsia"/>
                        <w:sz w:val="21"/>
                        <w:szCs w:val="21"/>
                      </w:rPr>
                      <w:t>新疆晓君招标有限公司</w:t>
                    </w:r>
                    <w:r>
                      <w:rPr>
                        <w:rFonts w:ascii="宋体" w:hAnsi="宋体"/>
                        <w:sz w:val="21"/>
                        <w:szCs w:val="21"/>
                      </w:rPr>
                      <w:t xml:space="preserve">           </w:t>
                    </w:r>
                    <w:r>
                      <w:rPr>
                        <w:rFonts w:hint="eastAsia" w:ascii="宋体" w:hAnsi="宋体"/>
                        <w:sz w:val="21"/>
                        <w:szCs w:val="21"/>
                      </w:rPr>
                      <w:t xml:space="preserve">                                           </w:t>
                    </w:r>
                    <w:r>
                      <w:rPr>
                        <w:rFonts w:ascii="宋体" w:hAnsi="宋体"/>
                        <w:sz w:val="21"/>
                        <w:szCs w:val="21"/>
                      </w:rPr>
                      <w:t>5-</w:t>
                    </w:r>
                    <w:r>
                      <w:rPr>
                        <w:rStyle w:val="37"/>
                        <w:rFonts w:ascii="宋体" w:hAnsi="宋体"/>
                        <w:sz w:val="21"/>
                        <w:szCs w:val="21"/>
                      </w:rPr>
                      <w:fldChar w:fldCharType="begin"/>
                    </w:r>
                    <w:r>
                      <w:rPr>
                        <w:rStyle w:val="37"/>
                        <w:rFonts w:ascii="宋体" w:hAnsi="宋体"/>
                        <w:sz w:val="21"/>
                        <w:szCs w:val="21"/>
                      </w:rPr>
                      <w:instrText xml:space="preserve"> PAGE </w:instrText>
                    </w:r>
                    <w:r>
                      <w:rPr>
                        <w:rStyle w:val="37"/>
                        <w:rFonts w:ascii="宋体" w:hAnsi="宋体"/>
                        <w:sz w:val="21"/>
                        <w:szCs w:val="21"/>
                      </w:rPr>
                      <w:fldChar w:fldCharType="separate"/>
                    </w:r>
                    <w:r>
                      <w:rPr>
                        <w:rStyle w:val="37"/>
                        <w:rFonts w:ascii="宋体" w:hAnsi="宋体"/>
                        <w:sz w:val="21"/>
                        <w:szCs w:val="21"/>
                      </w:rPr>
                      <w:t>25</w:t>
                    </w:r>
                    <w:r>
                      <w:rPr>
                        <w:rStyle w:val="37"/>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lang w:eastAsia="zh-CN"/>
      </w:rPr>
    </w:pPr>
    <w:r>
      <w:rPr>
        <w:rFonts w:hint="eastAsia"/>
        <w:lang w:eastAsia="zh-CN"/>
      </w:rPr>
      <w:t>2021年和田市林果业技术扶持项目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ascii="宋体" w:eastAsia="宋体"/>
        <w:lang w:eastAsia="zh-CN"/>
      </w:rPr>
    </w:pPr>
    <w:r>
      <w:rPr>
        <w:rFonts w:hint="eastAsia"/>
        <w:lang w:eastAsia="zh-CN"/>
      </w:rPr>
      <w:t>2021年和田市林果业技术扶持项目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szCs w:val="21"/>
        <w:u w:val="single"/>
      </w:rPr>
    </w:pPr>
    <w:r>
      <w:rPr>
        <w:rFonts w:hint="eastAsia"/>
        <w:lang w:eastAsia="zh-CN"/>
      </w:rPr>
      <w:t>2021年和田市林果业技术扶持项目</w:t>
    </w:r>
    <w:r>
      <w:rPr>
        <w:rFonts w:hint="eastAsia" w:ascii="宋体" w:hAnsi="宋体"/>
        <w:szCs w:val="21"/>
        <w:u w:val="single"/>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rPr>
    </w:pPr>
    <w:r>
      <w:rPr>
        <w:rFonts w:hint="eastAsia"/>
        <w:lang w:eastAsia="zh-CN"/>
      </w:rPr>
      <w:t>2021年和田市林果业技术扶持项目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both"/>
      <w:rPr>
        <w:rFonts w:hint="eastAsia"/>
        <w:lang w:eastAsia="zh-CN"/>
      </w:rPr>
    </w:pPr>
    <w:r>
      <w:rPr>
        <w:rFonts w:hint="eastAsia"/>
        <w:lang w:eastAsia="zh-CN"/>
      </w:rPr>
      <w:t>2021年和田市林果业技术扶持项目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C98DD"/>
    <w:multiLevelType w:val="singleLevel"/>
    <w:tmpl w:val="903C98DD"/>
    <w:lvl w:ilvl="0" w:tentative="0">
      <w:start w:val="2"/>
      <w:numFmt w:val="decimal"/>
      <w:suff w:val="nothing"/>
      <w:lvlText w:val="（%1）"/>
      <w:lvlJc w:val="left"/>
    </w:lvl>
  </w:abstractNum>
  <w:abstractNum w:abstractNumId="1">
    <w:nsid w:val="9BB878F1"/>
    <w:multiLevelType w:val="singleLevel"/>
    <w:tmpl w:val="9BB878F1"/>
    <w:lvl w:ilvl="0" w:tentative="0">
      <w:start w:val="1"/>
      <w:numFmt w:val="decimal"/>
      <w:suff w:val="nothing"/>
      <w:lvlText w:val="%1、"/>
      <w:lvlJc w:val="left"/>
    </w:lvl>
  </w:abstractNum>
  <w:abstractNum w:abstractNumId="2">
    <w:nsid w:val="BF464EB1"/>
    <w:multiLevelType w:val="singleLevel"/>
    <w:tmpl w:val="BF464EB1"/>
    <w:lvl w:ilvl="0" w:tentative="0">
      <w:start w:val="1"/>
      <w:numFmt w:val="decimal"/>
      <w:lvlText w:val="%1."/>
      <w:lvlJc w:val="left"/>
      <w:pPr>
        <w:ind w:left="425" w:hanging="425"/>
      </w:pPr>
      <w:rPr>
        <w:rFonts w:hint="default"/>
      </w:rPr>
    </w:lvl>
  </w:abstractNum>
  <w:abstractNum w:abstractNumId="3">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9CF589C"/>
    <w:multiLevelType w:val="multilevel"/>
    <w:tmpl w:val="19CF589C"/>
    <w:lvl w:ilvl="0" w:tentative="0">
      <w:start w:val="1"/>
      <w:numFmt w:val="decimal"/>
      <w:lvlText w:val="%1."/>
      <w:lvlJc w:val="left"/>
      <w:pPr>
        <w:tabs>
          <w:tab w:val="left" w:pos="420"/>
        </w:tabs>
        <w:ind w:left="420" w:hanging="420"/>
      </w:pPr>
      <w:rPr>
        <w:rFonts w:cs="Times New Roman"/>
      </w:rPr>
    </w:lvl>
    <w:lvl w:ilvl="1" w:tentative="0">
      <w:start w:val="1"/>
      <w:numFmt w:val="decimal"/>
      <w:lvlText w:val="2.%2"/>
      <w:lvlJc w:val="left"/>
      <w:pPr>
        <w:tabs>
          <w:tab w:val="left" w:pos="239"/>
        </w:tabs>
        <w:ind w:left="749" w:hanging="510"/>
      </w:pPr>
      <w:rPr>
        <w:rFonts w:hint="default" w:cs="Times New Roman"/>
      </w:rPr>
    </w:lvl>
    <w:lvl w:ilvl="2" w:tentative="0">
      <w:start w:val="1"/>
      <w:numFmt w:val="lowerRoman"/>
      <w:lvlText w:val="%3."/>
      <w:lvlJc w:val="right"/>
      <w:pPr>
        <w:tabs>
          <w:tab w:val="left" w:pos="1079"/>
        </w:tabs>
        <w:ind w:left="1079" w:hanging="420"/>
      </w:pPr>
      <w:rPr>
        <w:rFonts w:cs="Times New Roman"/>
      </w:rPr>
    </w:lvl>
    <w:lvl w:ilvl="3" w:tentative="0">
      <w:start w:val="1"/>
      <w:numFmt w:val="decimal"/>
      <w:lvlText w:val="%4."/>
      <w:lvlJc w:val="left"/>
      <w:pPr>
        <w:tabs>
          <w:tab w:val="left" w:pos="1499"/>
        </w:tabs>
        <w:ind w:left="1499" w:hanging="420"/>
      </w:pPr>
      <w:rPr>
        <w:rFonts w:cs="Times New Roman"/>
      </w:rPr>
    </w:lvl>
    <w:lvl w:ilvl="4" w:tentative="0">
      <w:start w:val="1"/>
      <w:numFmt w:val="lowerLetter"/>
      <w:lvlText w:val="%5)"/>
      <w:lvlJc w:val="left"/>
      <w:pPr>
        <w:tabs>
          <w:tab w:val="left" w:pos="1919"/>
        </w:tabs>
        <w:ind w:left="1919" w:hanging="420"/>
      </w:pPr>
      <w:rPr>
        <w:rFonts w:cs="Times New Roman"/>
      </w:rPr>
    </w:lvl>
    <w:lvl w:ilvl="5" w:tentative="0">
      <w:start w:val="1"/>
      <w:numFmt w:val="lowerRoman"/>
      <w:lvlText w:val="%6."/>
      <w:lvlJc w:val="right"/>
      <w:pPr>
        <w:tabs>
          <w:tab w:val="left" w:pos="2339"/>
        </w:tabs>
        <w:ind w:left="2339" w:hanging="420"/>
      </w:pPr>
      <w:rPr>
        <w:rFonts w:cs="Times New Roman"/>
      </w:rPr>
    </w:lvl>
    <w:lvl w:ilvl="6" w:tentative="0">
      <w:start w:val="1"/>
      <w:numFmt w:val="decimal"/>
      <w:lvlText w:val="%7."/>
      <w:lvlJc w:val="left"/>
      <w:pPr>
        <w:tabs>
          <w:tab w:val="left" w:pos="2759"/>
        </w:tabs>
        <w:ind w:left="2759" w:hanging="420"/>
      </w:pPr>
      <w:rPr>
        <w:rFonts w:cs="Times New Roman"/>
      </w:rPr>
    </w:lvl>
    <w:lvl w:ilvl="7" w:tentative="0">
      <w:start w:val="1"/>
      <w:numFmt w:val="lowerLetter"/>
      <w:lvlText w:val="%8)"/>
      <w:lvlJc w:val="left"/>
      <w:pPr>
        <w:tabs>
          <w:tab w:val="left" w:pos="3179"/>
        </w:tabs>
        <w:ind w:left="3179" w:hanging="420"/>
      </w:pPr>
      <w:rPr>
        <w:rFonts w:cs="Times New Roman"/>
      </w:rPr>
    </w:lvl>
    <w:lvl w:ilvl="8" w:tentative="0">
      <w:start w:val="1"/>
      <w:numFmt w:val="lowerRoman"/>
      <w:lvlText w:val="%9."/>
      <w:lvlJc w:val="right"/>
      <w:pPr>
        <w:tabs>
          <w:tab w:val="left" w:pos="3599"/>
        </w:tabs>
        <w:ind w:left="3599" w:hanging="420"/>
      </w:pPr>
      <w:rPr>
        <w:rFonts w:cs="Times New Roman"/>
      </w:rPr>
    </w:lvl>
  </w:abstractNum>
  <w:abstractNum w:abstractNumId="5">
    <w:nsid w:val="1D0D278B"/>
    <w:multiLevelType w:val="multilevel"/>
    <w:tmpl w:val="1D0D278B"/>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0482C2D"/>
    <w:multiLevelType w:val="multilevel"/>
    <w:tmpl w:val="20482C2D"/>
    <w:lvl w:ilvl="0" w:tentative="0">
      <w:start w:val="1"/>
      <w:numFmt w:val="decimal"/>
      <w:lvlText w:val="2.%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33C6D0B"/>
    <w:multiLevelType w:val="multilevel"/>
    <w:tmpl w:val="233C6D0B"/>
    <w:lvl w:ilvl="0" w:tentative="0">
      <w:start w:val="1"/>
      <w:numFmt w:val="decimal"/>
      <w:lvlText w:val="6.%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23F32BAE"/>
    <w:multiLevelType w:val="singleLevel"/>
    <w:tmpl w:val="23F32BAE"/>
    <w:lvl w:ilvl="0" w:tentative="0">
      <w:start w:val="1"/>
      <w:numFmt w:val="decimal"/>
      <w:suff w:val="nothing"/>
      <w:lvlText w:val="%1、"/>
      <w:lvlJc w:val="left"/>
    </w:lvl>
  </w:abstractNum>
  <w:abstractNum w:abstractNumId="9">
    <w:nsid w:val="2F580ADD"/>
    <w:multiLevelType w:val="multilevel"/>
    <w:tmpl w:val="2F580ADD"/>
    <w:lvl w:ilvl="0" w:tentative="0">
      <w:start w:val="1"/>
      <w:numFmt w:val="decimal"/>
      <w:lvlText w:val="1.%1"/>
      <w:lvlJc w:val="left"/>
      <w:pPr>
        <w:tabs>
          <w:tab w:val="left" w:pos="1438"/>
        </w:tabs>
        <w:ind w:left="1438" w:hanging="720"/>
      </w:pPr>
      <w:rPr>
        <w:rFonts w:hint="default" w:cs="Times New Roman"/>
      </w:rPr>
    </w:lvl>
    <w:lvl w:ilvl="1" w:tentative="0">
      <w:start w:val="1"/>
      <w:numFmt w:val="lowerLetter"/>
      <w:lvlText w:val="%2)"/>
      <w:lvlJc w:val="left"/>
      <w:pPr>
        <w:tabs>
          <w:tab w:val="left" w:pos="1558"/>
        </w:tabs>
        <w:ind w:left="1558" w:hanging="420"/>
      </w:pPr>
      <w:rPr>
        <w:rFonts w:cs="Times New Roman"/>
      </w:rPr>
    </w:lvl>
    <w:lvl w:ilvl="2" w:tentative="0">
      <w:start w:val="1"/>
      <w:numFmt w:val="lowerRoman"/>
      <w:lvlText w:val="%3."/>
      <w:lvlJc w:val="right"/>
      <w:pPr>
        <w:tabs>
          <w:tab w:val="left" w:pos="1978"/>
        </w:tabs>
        <w:ind w:left="1978" w:hanging="420"/>
      </w:pPr>
      <w:rPr>
        <w:rFonts w:cs="Times New Roman"/>
      </w:rPr>
    </w:lvl>
    <w:lvl w:ilvl="3" w:tentative="0">
      <w:start w:val="1"/>
      <w:numFmt w:val="decimal"/>
      <w:lvlText w:val="%4."/>
      <w:lvlJc w:val="left"/>
      <w:pPr>
        <w:tabs>
          <w:tab w:val="left" w:pos="2398"/>
        </w:tabs>
        <w:ind w:left="2398" w:hanging="420"/>
      </w:pPr>
      <w:rPr>
        <w:rFonts w:cs="Times New Roman"/>
      </w:rPr>
    </w:lvl>
    <w:lvl w:ilvl="4" w:tentative="0">
      <w:start w:val="1"/>
      <w:numFmt w:val="lowerLetter"/>
      <w:lvlText w:val="%5)"/>
      <w:lvlJc w:val="left"/>
      <w:pPr>
        <w:tabs>
          <w:tab w:val="left" w:pos="2818"/>
        </w:tabs>
        <w:ind w:left="2818" w:hanging="420"/>
      </w:pPr>
      <w:rPr>
        <w:rFonts w:cs="Times New Roman"/>
      </w:rPr>
    </w:lvl>
    <w:lvl w:ilvl="5" w:tentative="0">
      <w:start w:val="1"/>
      <w:numFmt w:val="lowerRoman"/>
      <w:lvlText w:val="%6."/>
      <w:lvlJc w:val="right"/>
      <w:pPr>
        <w:tabs>
          <w:tab w:val="left" w:pos="3238"/>
        </w:tabs>
        <w:ind w:left="3238" w:hanging="420"/>
      </w:pPr>
      <w:rPr>
        <w:rFonts w:cs="Times New Roman"/>
      </w:rPr>
    </w:lvl>
    <w:lvl w:ilvl="6" w:tentative="0">
      <w:start w:val="1"/>
      <w:numFmt w:val="decimal"/>
      <w:lvlText w:val="%7."/>
      <w:lvlJc w:val="left"/>
      <w:pPr>
        <w:tabs>
          <w:tab w:val="left" w:pos="3658"/>
        </w:tabs>
        <w:ind w:left="3658" w:hanging="420"/>
      </w:pPr>
      <w:rPr>
        <w:rFonts w:cs="Times New Roman"/>
      </w:rPr>
    </w:lvl>
    <w:lvl w:ilvl="7" w:tentative="0">
      <w:start w:val="1"/>
      <w:numFmt w:val="lowerLetter"/>
      <w:lvlText w:val="%8)"/>
      <w:lvlJc w:val="left"/>
      <w:pPr>
        <w:tabs>
          <w:tab w:val="left" w:pos="4078"/>
        </w:tabs>
        <w:ind w:left="4078" w:hanging="420"/>
      </w:pPr>
      <w:rPr>
        <w:rFonts w:cs="Times New Roman"/>
      </w:rPr>
    </w:lvl>
    <w:lvl w:ilvl="8" w:tentative="0">
      <w:start w:val="1"/>
      <w:numFmt w:val="lowerRoman"/>
      <w:lvlText w:val="%9."/>
      <w:lvlJc w:val="right"/>
      <w:pPr>
        <w:tabs>
          <w:tab w:val="left" w:pos="4498"/>
        </w:tabs>
        <w:ind w:left="4498" w:hanging="420"/>
      </w:pPr>
      <w:rPr>
        <w:rFonts w:cs="Times New Roman"/>
      </w:rPr>
    </w:lvl>
  </w:abstractNum>
  <w:abstractNum w:abstractNumId="10">
    <w:nsid w:val="326454F5"/>
    <w:multiLevelType w:val="multilevel"/>
    <w:tmpl w:val="326454F5"/>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63C642F"/>
    <w:multiLevelType w:val="multilevel"/>
    <w:tmpl w:val="363C642F"/>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3A24442D"/>
    <w:multiLevelType w:val="multilevel"/>
    <w:tmpl w:val="3A24442D"/>
    <w:lvl w:ilvl="0" w:tentative="0">
      <w:start w:val="2"/>
      <w:numFmt w:val="decimal"/>
      <w:pStyle w:val="4"/>
      <w:lvlText w:val="%1"/>
      <w:lvlJc w:val="left"/>
      <w:pPr>
        <w:tabs>
          <w:tab w:val="left" w:pos="630"/>
        </w:tabs>
        <w:ind w:left="630" w:hanging="630"/>
      </w:pPr>
      <w:rPr>
        <w:rFonts w:hint="default" w:cs="Times New Roman"/>
      </w:rPr>
    </w:lvl>
    <w:lvl w:ilvl="1" w:tentative="0">
      <w:start w:val="1"/>
      <w:numFmt w:val="decimal"/>
      <w:lvlText w:val="%1.%2"/>
      <w:lvlJc w:val="left"/>
      <w:pPr>
        <w:tabs>
          <w:tab w:val="left" w:pos="630"/>
        </w:tabs>
        <w:ind w:left="630" w:hanging="63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1080"/>
        </w:tabs>
        <w:ind w:left="1080" w:hanging="108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440"/>
        </w:tabs>
        <w:ind w:left="1440" w:hanging="144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800"/>
        </w:tabs>
        <w:ind w:left="1800" w:hanging="180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13">
    <w:nsid w:val="4A6C5E79"/>
    <w:multiLevelType w:val="multilevel"/>
    <w:tmpl w:val="4A6C5E7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DF62D2F"/>
    <w:multiLevelType w:val="multilevel"/>
    <w:tmpl w:val="4DF62D2F"/>
    <w:lvl w:ilvl="0" w:tentative="0">
      <w:start w:val="1"/>
      <w:numFmt w:val="decimal"/>
      <w:lvlText w:val="（%1）"/>
      <w:lvlJc w:val="left"/>
      <w:pPr>
        <w:tabs>
          <w:tab w:val="left" w:pos="481"/>
        </w:tabs>
        <w:ind w:left="481" w:hanging="720"/>
      </w:pPr>
      <w:rPr>
        <w:rFonts w:hint="default" w:cs="Times New Roman"/>
      </w:rPr>
    </w:lvl>
    <w:lvl w:ilvl="1" w:tentative="0">
      <w:start w:val="1"/>
      <w:numFmt w:val="decimal"/>
      <w:lvlText w:val="%2."/>
      <w:lvlJc w:val="left"/>
      <w:pPr>
        <w:tabs>
          <w:tab w:val="left" w:pos="780"/>
        </w:tabs>
        <w:ind w:left="780" w:hanging="360"/>
      </w:pPr>
      <w:rPr>
        <w:rFonts w:hint="default" w:ascii="宋体" w:eastAsia="宋体"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4E5E31DF"/>
    <w:multiLevelType w:val="multilevel"/>
    <w:tmpl w:val="4E5E31DF"/>
    <w:lvl w:ilvl="0" w:tentative="0">
      <w:start w:val="1"/>
      <w:numFmt w:val="decimal"/>
      <w:lvlText w:val="3.%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53DF6434"/>
    <w:multiLevelType w:val="multilevel"/>
    <w:tmpl w:val="53DF6434"/>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90AD9C3"/>
    <w:multiLevelType w:val="singleLevel"/>
    <w:tmpl w:val="590AD9C3"/>
    <w:lvl w:ilvl="0" w:tentative="0">
      <w:start w:val="1"/>
      <w:numFmt w:val="decimal"/>
      <w:suff w:val="space"/>
      <w:lvlText w:val="（%1）"/>
      <w:lvlJc w:val="left"/>
      <w:rPr>
        <w:rFonts w:cs="Times New Roman"/>
      </w:rPr>
    </w:lvl>
  </w:abstractNum>
  <w:abstractNum w:abstractNumId="18">
    <w:nsid w:val="63DD4F01"/>
    <w:multiLevelType w:val="multilevel"/>
    <w:tmpl w:val="63DD4F01"/>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1079"/>
        </w:tabs>
        <w:ind w:left="1079" w:hanging="420"/>
      </w:pPr>
      <w:rPr>
        <w:rFonts w:cs="Times New Roman"/>
      </w:rPr>
    </w:lvl>
    <w:lvl w:ilvl="2" w:tentative="0">
      <w:start w:val="1"/>
      <w:numFmt w:val="lowerRoman"/>
      <w:lvlText w:val="%3."/>
      <w:lvlJc w:val="right"/>
      <w:pPr>
        <w:tabs>
          <w:tab w:val="left" w:pos="1499"/>
        </w:tabs>
        <w:ind w:left="1499" w:hanging="420"/>
      </w:pPr>
      <w:rPr>
        <w:rFonts w:cs="Times New Roman"/>
      </w:rPr>
    </w:lvl>
    <w:lvl w:ilvl="3" w:tentative="0">
      <w:start w:val="1"/>
      <w:numFmt w:val="decimal"/>
      <w:lvlText w:val="%4."/>
      <w:lvlJc w:val="left"/>
      <w:pPr>
        <w:tabs>
          <w:tab w:val="left" w:pos="1919"/>
        </w:tabs>
        <w:ind w:left="1919" w:hanging="420"/>
      </w:pPr>
      <w:rPr>
        <w:rFonts w:cs="Times New Roman"/>
      </w:rPr>
    </w:lvl>
    <w:lvl w:ilvl="4" w:tentative="0">
      <w:start w:val="1"/>
      <w:numFmt w:val="lowerLetter"/>
      <w:lvlText w:val="%5)"/>
      <w:lvlJc w:val="left"/>
      <w:pPr>
        <w:tabs>
          <w:tab w:val="left" w:pos="2339"/>
        </w:tabs>
        <w:ind w:left="2339" w:hanging="420"/>
      </w:pPr>
      <w:rPr>
        <w:rFonts w:cs="Times New Roman"/>
      </w:rPr>
    </w:lvl>
    <w:lvl w:ilvl="5" w:tentative="0">
      <w:start w:val="1"/>
      <w:numFmt w:val="lowerRoman"/>
      <w:lvlText w:val="%6."/>
      <w:lvlJc w:val="right"/>
      <w:pPr>
        <w:tabs>
          <w:tab w:val="left" w:pos="2759"/>
        </w:tabs>
        <w:ind w:left="2759" w:hanging="420"/>
      </w:pPr>
      <w:rPr>
        <w:rFonts w:cs="Times New Roman"/>
      </w:rPr>
    </w:lvl>
    <w:lvl w:ilvl="6" w:tentative="0">
      <w:start w:val="1"/>
      <w:numFmt w:val="decimal"/>
      <w:lvlText w:val="%7."/>
      <w:lvlJc w:val="left"/>
      <w:pPr>
        <w:tabs>
          <w:tab w:val="left" w:pos="3179"/>
        </w:tabs>
        <w:ind w:left="3179" w:hanging="420"/>
      </w:pPr>
      <w:rPr>
        <w:rFonts w:cs="Times New Roman"/>
      </w:rPr>
    </w:lvl>
    <w:lvl w:ilvl="7" w:tentative="0">
      <w:start w:val="1"/>
      <w:numFmt w:val="lowerLetter"/>
      <w:lvlText w:val="%8)"/>
      <w:lvlJc w:val="left"/>
      <w:pPr>
        <w:tabs>
          <w:tab w:val="left" w:pos="3599"/>
        </w:tabs>
        <w:ind w:left="3599" w:hanging="420"/>
      </w:pPr>
      <w:rPr>
        <w:rFonts w:cs="Times New Roman"/>
      </w:rPr>
    </w:lvl>
    <w:lvl w:ilvl="8" w:tentative="0">
      <w:start w:val="1"/>
      <w:numFmt w:val="lowerRoman"/>
      <w:lvlText w:val="%9."/>
      <w:lvlJc w:val="right"/>
      <w:pPr>
        <w:tabs>
          <w:tab w:val="left" w:pos="4019"/>
        </w:tabs>
        <w:ind w:left="4019" w:hanging="420"/>
      </w:pPr>
      <w:rPr>
        <w:rFonts w:cs="Times New Roman"/>
      </w:rPr>
    </w:lvl>
  </w:abstractNum>
  <w:abstractNum w:abstractNumId="19">
    <w:nsid w:val="64352317"/>
    <w:multiLevelType w:val="multilevel"/>
    <w:tmpl w:val="64352317"/>
    <w:lvl w:ilvl="0" w:tentative="0">
      <w:start w:val="1"/>
      <w:numFmt w:val="decimal"/>
      <w:lvlText w:val="（%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77B11D4D"/>
    <w:multiLevelType w:val="multilevel"/>
    <w:tmpl w:val="77B11D4D"/>
    <w:lvl w:ilvl="0" w:tentative="0">
      <w:start w:val="1"/>
      <w:numFmt w:val="decimal"/>
      <w:lvlText w:val="4.%1"/>
      <w:lvlJc w:val="left"/>
      <w:pPr>
        <w:tabs>
          <w:tab w:val="left" w:pos="481"/>
        </w:tabs>
        <w:ind w:left="481"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2"/>
  </w:num>
  <w:num w:numId="2">
    <w:abstractNumId w:val="4"/>
  </w:num>
  <w:num w:numId="3">
    <w:abstractNumId w:val="18"/>
  </w:num>
  <w:num w:numId="4">
    <w:abstractNumId w:val="9"/>
  </w:num>
  <w:num w:numId="5">
    <w:abstractNumId w:val="15"/>
  </w:num>
  <w:num w:numId="6">
    <w:abstractNumId w:val="20"/>
  </w:num>
  <w:num w:numId="7">
    <w:abstractNumId w:val="0"/>
  </w:num>
  <w:num w:numId="8">
    <w:abstractNumId w:val="7"/>
  </w:num>
  <w:num w:numId="9">
    <w:abstractNumId w:val="6"/>
  </w:num>
  <w:num w:numId="10">
    <w:abstractNumId w:val="5"/>
  </w:num>
  <w:num w:numId="11">
    <w:abstractNumId w:val="17"/>
  </w:num>
  <w:num w:numId="12">
    <w:abstractNumId w:val="19"/>
  </w:num>
  <w:num w:numId="13">
    <w:abstractNumId w:val="14"/>
  </w:num>
  <w:num w:numId="14">
    <w:abstractNumId w:val="11"/>
  </w:num>
  <w:num w:numId="15">
    <w:abstractNumId w:val="1"/>
  </w:num>
  <w:num w:numId="16">
    <w:abstractNumId w:val="8"/>
  </w:num>
  <w:num w:numId="17">
    <w:abstractNumId w:val="2"/>
  </w:num>
  <w:num w:numId="18">
    <w:abstractNumId w:val="16"/>
  </w:num>
  <w:num w:numId="19">
    <w:abstractNumId w:val="13"/>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6D5"/>
    <w:rsid w:val="00000522"/>
    <w:rsid w:val="000021D4"/>
    <w:rsid w:val="00005A43"/>
    <w:rsid w:val="000101F0"/>
    <w:rsid w:val="00011A53"/>
    <w:rsid w:val="00013B61"/>
    <w:rsid w:val="00014F27"/>
    <w:rsid w:val="00017CD5"/>
    <w:rsid w:val="0002460D"/>
    <w:rsid w:val="000261C7"/>
    <w:rsid w:val="00026AD9"/>
    <w:rsid w:val="000339FA"/>
    <w:rsid w:val="00041CF5"/>
    <w:rsid w:val="00041D3A"/>
    <w:rsid w:val="00043CED"/>
    <w:rsid w:val="00044E35"/>
    <w:rsid w:val="00046E0D"/>
    <w:rsid w:val="00052D71"/>
    <w:rsid w:val="00052FB4"/>
    <w:rsid w:val="000540A5"/>
    <w:rsid w:val="00056408"/>
    <w:rsid w:val="00066957"/>
    <w:rsid w:val="00075BB9"/>
    <w:rsid w:val="00076540"/>
    <w:rsid w:val="000770BE"/>
    <w:rsid w:val="00082811"/>
    <w:rsid w:val="000849F9"/>
    <w:rsid w:val="00084B6B"/>
    <w:rsid w:val="00084C8D"/>
    <w:rsid w:val="00086BD7"/>
    <w:rsid w:val="00092488"/>
    <w:rsid w:val="00092574"/>
    <w:rsid w:val="00092A9D"/>
    <w:rsid w:val="00095CD9"/>
    <w:rsid w:val="00096A55"/>
    <w:rsid w:val="000A546B"/>
    <w:rsid w:val="000B1D0F"/>
    <w:rsid w:val="000B4B51"/>
    <w:rsid w:val="000B6877"/>
    <w:rsid w:val="000C0BF7"/>
    <w:rsid w:val="000C0C0F"/>
    <w:rsid w:val="000C3A3B"/>
    <w:rsid w:val="000C3C3D"/>
    <w:rsid w:val="000C7A4F"/>
    <w:rsid w:val="000D21CC"/>
    <w:rsid w:val="000D3500"/>
    <w:rsid w:val="000D5FEE"/>
    <w:rsid w:val="000D662E"/>
    <w:rsid w:val="000E2827"/>
    <w:rsid w:val="000E4A32"/>
    <w:rsid w:val="000E65BE"/>
    <w:rsid w:val="000E79B8"/>
    <w:rsid w:val="000F5C15"/>
    <w:rsid w:val="000F63F9"/>
    <w:rsid w:val="001039C3"/>
    <w:rsid w:val="00112553"/>
    <w:rsid w:val="00113268"/>
    <w:rsid w:val="001140CE"/>
    <w:rsid w:val="001141E1"/>
    <w:rsid w:val="00116C26"/>
    <w:rsid w:val="00121B97"/>
    <w:rsid w:val="0012441E"/>
    <w:rsid w:val="001316FF"/>
    <w:rsid w:val="0013216D"/>
    <w:rsid w:val="00133DDC"/>
    <w:rsid w:val="00147D1A"/>
    <w:rsid w:val="0015302B"/>
    <w:rsid w:val="00155FF8"/>
    <w:rsid w:val="0016202B"/>
    <w:rsid w:val="00165285"/>
    <w:rsid w:val="00167798"/>
    <w:rsid w:val="00180B71"/>
    <w:rsid w:val="00180D2B"/>
    <w:rsid w:val="00180E09"/>
    <w:rsid w:val="00182D9A"/>
    <w:rsid w:val="0018538A"/>
    <w:rsid w:val="00187506"/>
    <w:rsid w:val="00190EED"/>
    <w:rsid w:val="00195629"/>
    <w:rsid w:val="001A0FE1"/>
    <w:rsid w:val="001A7958"/>
    <w:rsid w:val="001B1072"/>
    <w:rsid w:val="001B2EB0"/>
    <w:rsid w:val="001B2F8B"/>
    <w:rsid w:val="001B3D8E"/>
    <w:rsid w:val="001C119F"/>
    <w:rsid w:val="001C650C"/>
    <w:rsid w:val="001D133D"/>
    <w:rsid w:val="001D475C"/>
    <w:rsid w:val="001D51EE"/>
    <w:rsid w:val="001E183D"/>
    <w:rsid w:val="001E2B37"/>
    <w:rsid w:val="001E2C00"/>
    <w:rsid w:val="001E30F6"/>
    <w:rsid w:val="001F1C19"/>
    <w:rsid w:val="001F4B88"/>
    <w:rsid w:val="001F5843"/>
    <w:rsid w:val="001F5DD7"/>
    <w:rsid w:val="00202775"/>
    <w:rsid w:val="00202D71"/>
    <w:rsid w:val="00203D1A"/>
    <w:rsid w:val="00215DB7"/>
    <w:rsid w:val="002200C2"/>
    <w:rsid w:val="00221D60"/>
    <w:rsid w:val="00223571"/>
    <w:rsid w:val="00223E51"/>
    <w:rsid w:val="002329D2"/>
    <w:rsid w:val="00232EB7"/>
    <w:rsid w:val="00235FE2"/>
    <w:rsid w:val="00236CEA"/>
    <w:rsid w:val="002370AF"/>
    <w:rsid w:val="00256DE4"/>
    <w:rsid w:val="00263294"/>
    <w:rsid w:val="002656BE"/>
    <w:rsid w:val="00267327"/>
    <w:rsid w:val="00267EA3"/>
    <w:rsid w:val="002701B9"/>
    <w:rsid w:val="00281063"/>
    <w:rsid w:val="0028193E"/>
    <w:rsid w:val="00284152"/>
    <w:rsid w:val="00285923"/>
    <w:rsid w:val="0029373D"/>
    <w:rsid w:val="002947F3"/>
    <w:rsid w:val="00294931"/>
    <w:rsid w:val="00297385"/>
    <w:rsid w:val="002A2850"/>
    <w:rsid w:val="002A5B15"/>
    <w:rsid w:val="002A6F21"/>
    <w:rsid w:val="002B019F"/>
    <w:rsid w:val="002B763B"/>
    <w:rsid w:val="002C0FED"/>
    <w:rsid w:val="002C34FF"/>
    <w:rsid w:val="002C4318"/>
    <w:rsid w:val="002E0B1F"/>
    <w:rsid w:val="002E11EF"/>
    <w:rsid w:val="002F0D1F"/>
    <w:rsid w:val="002F10F3"/>
    <w:rsid w:val="002F11D4"/>
    <w:rsid w:val="002F3F9C"/>
    <w:rsid w:val="00300B59"/>
    <w:rsid w:val="00301C77"/>
    <w:rsid w:val="00302437"/>
    <w:rsid w:val="003040EC"/>
    <w:rsid w:val="0030665B"/>
    <w:rsid w:val="00306F03"/>
    <w:rsid w:val="0031018E"/>
    <w:rsid w:val="0031027C"/>
    <w:rsid w:val="00310CCA"/>
    <w:rsid w:val="00313A63"/>
    <w:rsid w:val="003179E5"/>
    <w:rsid w:val="00320057"/>
    <w:rsid w:val="003277B2"/>
    <w:rsid w:val="003303BB"/>
    <w:rsid w:val="003318CE"/>
    <w:rsid w:val="0034038F"/>
    <w:rsid w:val="00340663"/>
    <w:rsid w:val="00345892"/>
    <w:rsid w:val="00346EAF"/>
    <w:rsid w:val="003479E1"/>
    <w:rsid w:val="003512ED"/>
    <w:rsid w:val="00352928"/>
    <w:rsid w:val="00352B25"/>
    <w:rsid w:val="00352E00"/>
    <w:rsid w:val="00353F61"/>
    <w:rsid w:val="00360EB8"/>
    <w:rsid w:val="0036186C"/>
    <w:rsid w:val="00361A18"/>
    <w:rsid w:val="0037722F"/>
    <w:rsid w:val="00382B0F"/>
    <w:rsid w:val="00385091"/>
    <w:rsid w:val="00397192"/>
    <w:rsid w:val="003A5FF3"/>
    <w:rsid w:val="003A6915"/>
    <w:rsid w:val="003A70A3"/>
    <w:rsid w:val="003B09EB"/>
    <w:rsid w:val="003B1B0F"/>
    <w:rsid w:val="003B4658"/>
    <w:rsid w:val="003B5F99"/>
    <w:rsid w:val="003B669E"/>
    <w:rsid w:val="003C03FA"/>
    <w:rsid w:val="003C1146"/>
    <w:rsid w:val="003C4A9F"/>
    <w:rsid w:val="003C575E"/>
    <w:rsid w:val="003C6A93"/>
    <w:rsid w:val="003D163E"/>
    <w:rsid w:val="003D1854"/>
    <w:rsid w:val="003D5E0F"/>
    <w:rsid w:val="003D7EE4"/>
    <w:rsid w:val="003E5555"/>
    <w:rsid w:val="003E736F"/>
    <w:rsid w:val="003F038F"/>
    <w:rsid w:val="003F084A"/>
    <w:rsid w:val="003F16A8"/>
    <w:rsid w:val="003F31DD"/>
    <w:rsid w:val="003F47F6"/>
    <w:rsid w:val="00401414"/>
    <w:rsid w:val="004034FB"/>
    <w:rsid w:val="004106EF"/>
    <w:rsid w:val="004165D2"/>
    <w:rsid w:val="00416C89"/>
    <w:rsid w:val="00422E5A"/>
    <w:rsid w:val="00424B1A"/>
    <w:rsid w:val="004265A5"/>
    <w:rsid w:val="00434A93"/>
    <w:rsid w:val="00454471"/>
    <w:rsid w:val="00460CD7"/>
    <w:rsid w:val="00462FA0"/>
    <w:rsid w:val="00463BF0"/>
    <w:rsid w:val="004649B6"/>
    <w:rsid w:val="0046642C"/>
    <w:rsid w:val="00475902"/>
    <w:rsid w:val="004871E5"/>
    <w:rsid w:val="00491093"/>
    <w:rsid w:val="00493883"/>
    <w:rsid w:val="0049786C"/>
    <w:rsid w:val="00497C72"/>
    <w:rsid w:val="004A4262"/>
    <w:rsid w:val="004A5EBD"/>
    <w:rsid w:val="004B008D"/>
    <w:rsid w:val="004B0940"/>
    <w:rsid w:val="004B33B1"/>
    <w:rsid w:val="004B3B54"/>
    <w:rsid w:val="004C048E"/>
    <w:rsid w:val="004C6407"/>
    <w:rsid w:val="004D0C1C"/>
    <w:rsid w:val="004D3306"/>
    <w:rsid w:val="004D3BA7"/>
    <w:rsid w:val="004D66A5"/>
    <w:rsid w:val="004D71A4"/>
    <w:rsid w:val="004E2886"/>
    <w:rsid w:val="004E575A"/>
    <w:rsid w:val="004E75B9"/>
    <w:rsid w:val="004F3CDA"/>
    <w:rsid w:val="005016D4"/>
    <w:rsid w:val="005017E5"/>
    <w:rsid w:val="00502291"/>
    <w:rsid w:val="005078E0"/>
    <w:rsid w:val="00507C35"/>
    <w:rsid w:val="0051391A"/>
    <w:rsid w:val="0051443A"/>
    <w:rsid w:val="0052062C"/>
    <w:rsid w:val="00522B5D"/>
    <w:rsid w:val="00523364"/>
    <w:rsid w:val="00526534"/>
    <w:rsid w:val="00527968"/>
    <w:rsid w:val="00532DC1"/>
    <w:rsid w:val="00540DF2"/>
    <w:rsid w:val="0055183E"/>
    <w:rsid w:val="005546E4"/>
    <w:rsid w:val="0055587A"/>
    <w:rsid w:val="00561A1C"/>
    <w:rsid w:val="005655AD"/>
    <w:rsid w:val="005655D8"/>
    <w:rsid w:val="00570137"/>
    <w:rsid w:val="005706A9"/>
    <w:rsid w:val="00571F77"/>
    <w:rsid w:val="005752B3"/>
    <w:rsid w:val="00576D06"/>
    <w:rsid w:val="00581231"/>
    <w:rsid w:val="0058194A"/>
    <w:rsid w:val="00584026"/>
    <w:rsid w:val="005878C9"/>
    <w:rsid w:val="00591486"/>
    <w:rsid w:val="00592653"/>
    <w:rsid w:val="00593C87"/>
    <w:rsid w:val="005941E6"/>
    <w:rsid w:val="00596F42"/>
    <w:rsid w:val="00597349"/>
    <w:rsid w:val="005A1347"/>
    <w:rsid w:val="005A37B4"/>
    <w:rsid w:val="005A3C57"/>
    <w:rsid w:val="005A54C2"/>
    <w:rsid w:val="005A6864"/>
    <w:rsid w:val="005B40BB"/>
    <w:rsid w:val="005C4B0C"/>
    <w:rsid w:val="005C6E35"/>
    <w:rsid w:val="005E35CD"/>
    <w:rsid w:val="005E414E"/>
    <w:rsid w:val="005E6EFA"/>
    <w:rsid w:val="00612204"/>
    <w:rsid w:val="00613E34"/>
    <w:rsid w:val="006179B0"/>
    <w:rsid w:val="006212E1"/>
    <w:rsid w:val="00624923"/>
    <w:rsid w:val="00625801"/>
    <w:rsid w:val="00627AB6"/>
    <w:rsid w:val="006308D3"/>
    <w:rsid w:val="00632160"/>
    <w:rsid w:val="006328F3"/>
    <w:rsid w:val="00636DD4"/>
    <w:rsid w:val="006403E7"/>
    <w:rsid w:val="006441BA"/>
    <w:rsid w:val="00644ED6"/>
    <w:rsid w:val="006454BF"/>
    <w:rsid w:val="00657074"/>
    <w:rsid w:val="00665697"/>
    <w:rsid w:val="0067016F"/>
    <w:rsid w:val="00670B84"/>
    <w:rsid w:val="00675CA9"/>
    <w:rsid w:val="00676861"/>
    <w:rsid w:val="00676923"/>
    <w:rsid w:val="00677275"/>
    <w:rsid w:val="00677FDE"/>
    <w:rsid w:val="006858E5"/>
    <w:rsid w:val="0069181C"/>
    <w:rsid w:val="00696895"/>
    <w:rsid w:val="006973D6"/>
    <w:rsid w:val="006A1F7C"/>
    <w:rsid w:val="006A487C"/>
    <w:rsid w:val="006B0DB8"/>
    <w:rsid w:val="006B3202"/>
    <w:rsid w:val="006B78F6"/>
    <w:rsid w:val="006C28AF"/>
    <w:rsid w:val="006C6696"/>
    <w:rsid w:val="006D0447"/>
    <w:rsid w:val="006D2C6D"/>
    <w:rsid w:val="006D342B"/>
    <w:rsid w:val="006E3122"/>
    <w:rsid w:val="006E4F11"/>
    <w:rsid w:val="006F2216"/>
    <w:rsid w:val="006F278E"/>
    <w:rsid w:val="006F2CD3"/>
    <w:rsid w:val="006F32F2"/>
    <w:rsid w:val="006F4E11"/>
    <w:rsid w:val="006F5899"/>
    <w:rsid w:val="007048B7"/>
    <w:rsid w:val="00704F17"/>
    <w:rsid w:val="00706449"/>
    <w:rsid w:val="00711673"/>
    <w:rsid w:val="007150D4"/>
    <w:rsid w:val="00715A25"/>
    <w:rsid w:val="007166CF"/>
    <w:rsid w:val="00720135"/>
    <w:rsid w:val="00722349"/>
    <w:rsid w:val="00722963"/>
    <w:rsid w:val="00727FED"/>
    <w:rsid w:val="0073208B"/>
    <w:rsid w:val="00734182"/>
    <w:rsid w:val="0074265C"/>
    <w:rsid w:val="00742F57"/>
    <w:rsid w:val="0074466A"/>
    <w:rsid w:val="00753760"/>
    <w:rsid w:val="00754861"/>
    <w:rsid w:val="00756DA7"/>
    <w:rsid w:val="00761C0E"/>
    <w:rsid w:val="00764ECD"/>
    <w:rsid w:val="007659DC"/>
    <w:rsid w:val="007675B0"/>
    <w:rsid w:val="007705F6"/>
    <w:rsid w:val="00774F55"/>
    <w:rsid w:val="0077683F"/>
    <w:rsid w:val="0077694C"/>
    <w:rsid w:val="00777BBB"/>
    <w:rsid w:val="0078037E"/>
    <w:rsid w:val="0078132A"/>
    <w:rsid w:val="00782CE5"/>
    <w:rsid w:val="0078450A"/>
    <w:rsid w:val="00785D60"/>
    <w:rsid w:val="007863BB"/>
    <w:rsid w:val="00786F78"/>
    <w:rsid w:val="00794BEE"/>
    <w:rsid w:val="00794C90"/>
    <w:rsid w:val="00797607"/>
    <w:rsid w:val="007A353B"/>
    <w:rsid w:val="007A56AB"/>
    <w:rsid w:val="007A5F85"/>
    <w:rsid w:val="007A7251"/>
    <w:rsid w:val="007A7A33"/>
    <w:rsid w:val="007B6628"/>
    <w:rsid w:val="007C6C00"/>
    <w:rsid w:val="007C72F2"/>
    <w:rsid w:val="007D0DA5"/>
    <w:rsid w:val="007D1FD5"/>
    <w:rsid w:val="007D3F48"/>
    <w:rsid w:val="007D5842"/>
    <w:rsid w:val="007D5AB5"/>
    <w:rsid w:val="007D5F38"/>
    <w:rsid w:val="007D76D5"/>
    <w:rsid w:val="007E25FD"/>
    <w:rsid w:val="007E405D"/>
    <w:rsid w:val="007E4D5E"/>
    <w:rsid w:val="007E514F"/>
    <w:rsid w:val="007F0D00"/>
    <w:rsid w:val="007F0EB1"/>
    <w:rsid w:val="007F2835"/>
    <w:rsid w:val="007F4320"/>
    <w:rsid w:val="007F45C3"/>
    <w:rsid w:val="007F492B"/>
    <w:rsid w:val="007F4FB1"/>
    <w:rsid w:val="00800D26"/>
    <w:rsid w:val="00807B8C"/>
    <w:rsid w:val="00810F34"/>
    <w:rsid w:val="0081613B"/>
    <w:rsid w:val="00822550"/>
    <w:rsid w:val="00822B7F"/>
    <w:rsid w:val="00822FA0"/>
    <w:rsid w:val="008236B8"/>
    <w:rsid w:val="00824263"/>
    <w:rsid w:val="00824403"/>
    <w:rsid w:val="00824A50"/>
    <w:rsid w:val="00824CAB"/>
    <w:rsid w:val="00830876"/>
    <w:rsid w:val="0083679C"/>
    <w:rsid w:val="008419FF"/>
    <w:rsid w:val="00844E49"/>
    <w:rsid w:val="008478B2"/>
    <w:rsid w:val="00850376"/>
    <w:rsid w:val="008507E1"/>
    <w:rsid w:val="008530B5"/>
    <w:rsid w:val="00853CA1"/>
    <w:rsid w:val="00854F0C"/>
    <w:rsid w:val="00855134"/>
    <w:rsid w:val="00860EFF"/>
    <w:rsid w:val="008635C8"/>
    <w:rsid w:val="0086542A"/>
    <w:rsid w:val="008668A0"/>
    <w:rsid w:val="00871ECE"/>
    <w:rsid w:val="00872AA6"/>
    <w:rsid w:val="00873DDE"/>
    <w:rsid w:val="008744D4"/>
    <w:rsid w:val="00874DF7"/>
    <w:rsid w:val="00876AEB"/>
    <w:rsid w:val="0088165A"/>
    <w:rsid w:val="008834BA"/>
    <w:rsid w:val="008909A6"/>
    <w:rsid w:val="008A0C0C"/>
    <w:rsid w:val="008A1EFE"/>
    <w:rsid w:val="008A299A"/>
    <w:rsid w:val="008A3BBB"/>
    <w:rsid w:val="008A5221"/>
    <w:rsid w:val="008B519F"/>
    <w:rsid w:val="008C1C47"/>
    <w:rsid w:val="008C287F"/>
    <w:rsid w:val="008C38A6"/>
    <w:rsid w:val="008C6005"/>
    <w:rsid w:val="008C78B5"/>
    <w:rsid w:val="008E261D"/>
    <w:rsid w:val="008E59E4"/>
    <w:rsid w:val="008F1558"/>
    <w:rsid w:val="008F3FB0"/>
    <w:rsid w:val="00906375"/>
    <w:rsid w:val="00906C27"/>
    <w:rsid w:val="00910C90"/>
    <w:rsid w:val="00912A72"/>
    <w:rsid w:val="009142A5"/>
    <w:rsid w:val="009167D1"/>
    <w:rsid w:val="009169A6"/>
    <w:rsid w:val="00916CA0"/>
    <w:rsid w:val="00920479"/>
    <w:rsid w:val="00937F5B"/>
    <w:rsid w:val="00941AF3"/>
    <w:rsid w:val="0094524A"/>
    <w:rsid w:val="009456EC"/>
    <w:rsid w:val="00946F25"/>
    <w:rsid w:val="00951384"/>
    <w:rsid w:val="0095171D"/>
    <w:rsid w:val="00955400"/>
    <w:rsid w:val="00960279"/>
    <w:rsid w:val="009664A5"/>
    <w:rsid w:val="00971DD4"/>
    <w:rsid w:val="00972674"/>
    <w:rsid w:val="009747F8"/>
    <w:rsid w:val="009802C4"/>
    <w:rsid w:val="0098050A"/>
    <w:rsid w:val="00982166"/>
    <w:rsid w:val="00982480"/>
    <w:rsid w:val="009851CB"/>
    <w:rsid w:val="00990813"/>
    <w:rsid w:val="0099321E"/>
    <w:rsid w:val="009933DE"/>
    <w:rsid w:val="009964F7"/>
    <w:rsid w:val="009A4A68"/>
    <w:rsid w:val="009A69DE"/>
    <w:rsid w:val="009B2BC9"/>
    <w:rsid w:val="009B3F2C"/>
    <w:rsid w:val="009B7E02"/>
    <w:rsid w:val="009C1930"/>
    <w:rsid w:val="009C1BC0"/>
    <w:rsid w:val="009C2A6E"/>
    <w:rsid w:val="009C43D7"/>
    <w:rsid w:val="009C5AF3"/>
    <w:rsid w:val="009C6808"/>
    <w:rsid w:val="009D10C7"/>
    <w:rsid w:val="009D434E"/>
    <w:rsid w:val="009D72FE"/>
    <w:rsid w:val="009E209F"/>
    <w:rsid w:val="009E42C5"/>
    <w:rsid w:val="009E439E"/>
    <w:rsid w:val="009E45DA"/>
    <w:rsid w:val="009E5392"/>
    <w:rsid w:val="009F5B8C"/>
    <w:rsid w:val="00A01412"/>
    <w:rsid w:val="00A06AAB"/>
    <w:rsid w:val="00A10782"/>
    <w:rsid w:val="00A10DFC"/>
    <w:rsid w:val="00A1330F"/>
    <w:rsid w:val="00A14318"/>
    <w:rsid w:val="00A151A5"/>
    <w:rsid w:val="00A157F2"/>
    <w:rsid w:val="00A165EB"/>
    <w:rsid w:val="00A25DA0"/>
    <w:rsid w:val="00A26648"/>
    <w:rsid w:val="00A33C9A"/>
    <w:rsid w:val="00A341D3"/>
    <w:rsid w:val="00A34765"/>
    <w:rsid w:val="00A34FAA"/>
    <w:rsid w:val="00A3746A"/>
    <w:rsid w:val="00A42D62"/>
    <w:rsid w:val="00A467D2"/>
    <w:rsid w:val="00A53876"/>
    <w:rsid w:val="00A540A9"/>
    <w:rsid w:val="00A60EFE"/>
    <w:rsid w:val="00A65C99"/>
    <w:rsid w:val="00A66EC1"/>
    <w:rsid w:val="00A7174A"/>
    <w:rsid w:val="00A75174"/>
    <w:rsid w:val="00A751B2"/>
    <w:rsid w:val="00A764D2"/>
    <w:rsid w:val="00A77048"/>
    <w:rsid w:val="00A977C1"/>
    <w:rsid w:val="00A97A30"/>
    <w:rsid w:val="00AA7656"/>
    <w:rsid w:val="00AB1F6F"/>
    <w:rsid w:val="00AB77E3"/>
    <w:rsid w:val="00AC0940"/>
    <w:rsid w:val="00AC199B"/>
    <w:rsid w:val="00AC5E6E"/>
    <w:rsid w:val="00AD5A1D"/>
    <w:rsid w:val="00AD6E0A"/>
    <w:rsid w:val="00AE0B10"/>
    <w:rsid w:val="00AE45A5"/>
    <w:rsid w:val="00AE5A32"/>
    <w:rsid w:val="00AF38DD"/>
    <w:rsid w:val="00AF4A8F"/>
    <w:rsid w:val="00AF59F2"/>
    <w:rsid w:val="00B033D4"/>
    <w:rsid w:val="00B038EB"/>
    <w:rsid w:val="00B0532B"/>
    <w:rsid w:val="00B07D42"/>
    <w:rsid w:val="00B108F2"/>
    <w:rsid w:val="00B20428"/>
    <w:rsid w:val="00B2298F"/>
    <w:rsid w:val="00B234E2"/>
    <w:rsid w:val="00B256AF"/>
    <w:rsid w:val="00B25BD9"/>
    <w:rsid w:val="00B320A1"/>
    <w:rsid w:val="00B51772"/>
    <w:rsid w:val="00B53F2E"/>
    <w:rsid w:val="00B54FA9"/>
    <w:rsid w:val="00B55F40"/>
    <w:rsid w:val="00B67431"/>
    <w:rsid w:val="00B80015"/>
    <w:rsid w:val="00B92EC1"/>
    <w:rsid w:val="00B94BFA"/>
    <w:rsid w:val="00B97692"/>
    <w:rsid w:val="00BA5547"/>
    <w:rsid w:val="00BA5CF1"/>
    <w:rsid w:val="00BB4E2C"/>
    <w:rsid w:val="00BB5A80"/>
    <w:rsid w:val="00BB5CA4"/>
    <w:rsid w:val="00BB7EE0"/>
    <w:rsid w:val="00BC05B1"/>
    <w:rsid w:val="00BC1AA6"/>
    <w:rsid w:val="00BC3916"/>
    <w:rsid w:val="00BC4FEB"/>
    <w:rsid w:val="00BC62A3"/>
    <w:rsid w:val="00BD085D"/>
    <w:rsid w:val="00BD0EAE"/>
    <w:rsid w:val="00BD13AE"/>
    <w:rsid w:val="00BD2DD2"/>
    <w:rsid w:val="00BD7205"/>
    <w:rsid w:val="00BE56DE"/>
    <w:rsid w:val="00BE5F1B"/>
    <w:rsid w:val="00BE638F"/>
    <w:rsid w:val="00BF4FB8"/>
    <w:rsid w:val="00C07F10"/>
    <w:rsid w:val="00C1160C"/>
    <w:rsid w:val="00C164C3"/>
    <w:rsid w:val="00C16D68"/>
    <w:rsid w:val="00C178F1"/>
    <w:rsid w:val="00C228C5"/>
    <w:rsid w:val="00C24383"/>
    <w:rsid w:val="00C243D3"/>
    <w:rsid w:val="00C248DF"/>
    <w:rsid w:val="00C2531C"/>
    <w:rsid w:val="00C30B3A"/>
    <w:rsid w:val="00C31680"/>
    <w:rsid w:val="00C33627"/>
    <w:rsid w:val="00C35498"/>
    <w:rsid w:val="00C37B0A"/>
    <w:rsid w:val="00C40357"/>
    <w:rsid w:val="00C5567C"/>
    <w:rsid w:val="00C6493D"/>
    <w:rsid w:val="00C656F5"/>
    <w:rsid w:val="00C702E4"/>
    <w:rsid w:val="00C7076C"/>
    <w:rsid w:val="00C70BFA"/>
    <w:rsid w:val="00C73922"/>
    <w:rsid w:val="00C759BE"/>
    <w:rsid w:val="00C77BFE"/>
    <w:rsid w:val="00C84619"/>
    <w:rsid w:val="00C848F2"/>
    <w:rsid w:val="00C866EF"/>
    <w:rsid w:val="00C93F6F"/>
    <w:rsid w:val="00C943BB"/>
    <w:rsid w:val="00CA2DE2"/>
    <w:rsid w:val="00CA41FE"/>
    <w:rsid w:val="00CA57DD"/>
    <w:rsid w:val="00CA6428"/>
    <w:rsid w:val="00CB2778"/>
    <w:rsid w:val="00CB2CEC"/>
    <w:rsid w:val="00CB6ACE"/>
    <w:rsid w:val="00CB7995"/>
    <w:rsid w:val="00CC4F58"/>
    <w:rsid w:val="00CD00E8"/>
    <w:rsid w:val="00CD5BE3"/>
    <w:rsid w:val="00CD76C6"/>
    <w:rsid w:val="00CE0425"/>
    <w:rsid w:val="00CE1235"/>
    <w:rsid w:val="00CE2D73"/>
    <w:rsid w:val="00CE31E4"/>
    <w:rsid w:val="00D03661"/>
    <w:rsid w:val="00D05CA4"/>
    <w:rsid w:val="00D11ACD"/>
    <w:rsid w:val="00D11D06"/>
    <w:rsid w:val="00D1577A"/>
    <w:rsid w:val="00D20F15"/>
    <w:rsid w:val="00D40158"/>
    <w:rsid w:val="00D45896"/>
    <w:rsid w:val="00D460DF"/>
    <w:rsid w:val="00D471EC"/>
    <w:rsid w:val="00D50B8A"/>
    <w:rsid w:val="00D515A0"/>
    <w:rsid w:val="00D5176B"/>
    <w:rsid w:val="00D55796"/>
    <w:rsid w:val="00D603A4"/>
    <w:rsid w:val="00D76138"/>
    <w:rsid w:val="00D76FDD"/>
    <w:rsid w:val="00D80B29"/>
    <w:rsid w:val="00D80D3E"/>
    <w:rsid w:val="00D8453D"/>
    <w:rsid w:val="00D87421"/>
    <w:rsid w:val="00D971B5"/>
    <w:rsid w:val="00DA216A"/>
    <w:rsid w:val="00DA288F"/>
    <w:rsid w:val="00DA37F9"/>
    <w:rsid w:val="00DA5D98"/>
    <w:rsid w:val="00DB3393"/>
    <w:rsid w:val="00DB5EDE"/>
    <w:rsid w:val="00DC16E4"/>
    <w:rsid w:val="00DC6324"/>
    <w:rsid w:val="00DD1017"/>
    <w:rsid w:val="00DD176B"/>
    <w:rsid w:val="00DD4C78"/>
    <w:rsid w:val="00DD57B5"/>
    <w:rsid w:val="00DE2B13"/>
    <w:rsid w:val="00DE5D88"/>
    <w:rsid w:val="00DF08FB"/>
    <w:rsid w:val="00DF6CA7"/>
    <w:rsid w:val="00E033AA"/>
    <w:rsid w:val="00E0367C"/>
    <w:rsid w:val="00E048D6"/>
    <w:rsid w:val="00E06BB4"/>
    <w:rsid w:val="00E07D50"/>
    <w:rsid w:val="00E20BBF"/>
    <w:rsid w:val="00E22591"/>
    <w:rsid w:val="00E25536"/>
    <w:rsid w:val="00E25A7D"/>
    <w:rsid w:val="00E26E16"/>
    <w:rsid w:val="00E3243E"/>
    <w:rsid w:val="00E347E8"/>
    <w:rsid w:val="00E37026"/>
    <w:rsid w:val="00E37930"/>
    <w:rsid w:val="00E44128"/>
    <w:rsid w:val="00E4427D"/>
    <w:rsid w:val="00E44850"/>
    <w:rsid w:val="00E50BB6"/>
    <w:rsid w:val="00E52CED"/>
    <w:rsid w:val="00E611C8"/>
    <w:rsid w:val="00E616A5"/>
    <w:rsid w:val="00E63404"/>
    <w:rsid w:val="00E634BD"/>
    <w:rsid w:val="00E72695"/>
    <w:rsid w:val="00E72696"/>
    <w:rsid w:val="00E726E4"/>
    <w:rsid w:val="00E75F39"/>
    <w:rsid w:val="00E76A52"/>
    <w:rsid w:val="00E826C7"/>
    <w:rsid w:val="00E83EA1"/>
    <w:rsid w:val="00E85E6E"/>
    <w:rsid w:val="00E8712E"/>
    <w:rsid w:val="00E969E5"/>
    <w:rsid w:val="00E9774B"/>
    <w:rsid w:val="00EA07EE"/>
    <w:rsid w:val="00EA36A4"/>
    <w:rsid w:val="00EA6475"/>
    <w:rsid w:val="00EA7571"/>
    <w:rsid w:val="00EB0032"/>
    <w:rsid w:val="00EB2926"/>
    <w:rsid w:val="00EB6A9C"/>
    <w:rsid w:val="00EC0B80"/>
    <w:rsid w:val="00EC2771"/>
    <w:rsid w:val="00EC5E98"/>
    <w:rsid w:val="00ED0357"/>
    <w:rsid w:val="00ED0659"/>
    <w:rsid w:val="00ED1E4E"/>
    <w:rsid w:val="00ED34C9"/>
    <w:rsid w:val="00ED7155"/>
    <w:rsid w:val="00EE121D"/>
    <w:rsid w:val="00EE1407"/>
    <w:rsid w:val="00EE6221"/>
    <w:rsid w:val="00EE6DA3"/>
    <w:rsid w:val="00EE7F8B"/>
    <w:rsid w:val="00EF3510"/>
    <w:rsid w:val="00F03BF2"/>
    <w:rsid w:val="00F05171"/>
    <w:rsid w:val="00F0680A"/>
    <w:rsid w:val="00F135E7"/>
    <w:rsid w:val="00F22E85"/>
    <w:rsid w:val="00F25218"/>
    <w:rsid w:val="00F259AE"/>
    <w:rsid w:val="00F31330"/>
    <w:rsid w:val="00F33E07"/>
    <w:rsid w:val="00F36BFE"/>
    <w:rsid w:val="00F408AF"/>
    <w:rsid w:val="00F409E5"/>
    <w:rsid w:val="00F60937"/>
    <w:rsid w:val="00F65E0D"/>
    <w:rsid w:val="00F709B0"/>
    <w:rsid w:val="00F82EC2"/>
    <w:rsid w:val="00F85C91"/>
    <w:rsid w:val="00F86A5F"/>
    <w:rsid w:val="00F870C6"/>
    <w:rsid w:val="00F908CC"/>
    <w:rsid w:val="00F9363F"/>
    <w:rsid w:val="00F96AA8"/>
    <w:rsid w:val="00FA172D"/>
    <w:rsid w:val="00FA7CD7"/>
    <w:rsid w:val="00FB0CB8"/>
    <w:rsid w:val="00FB14CA"/>
    <w:rsid w:val="00FB1752"/>
    <w:rsid w:val="00FB6FCD"/>
    <w:rsid w:val="00FC53BF"/>
    <w:rsid w:val="00FC58B5"/>
    <w:rsid w:val="00FC6702"/>
    <w:rsid w:val="00FD107B"/>
    <w:rsid w:val="00FE31D3"/>
    <w:rsid w:val="00FF0B0B"/>
    <w:rsid w:val="00FF0E82"/>
    <w:rsid w:val="00FF2C05"/>
    <w:rsid w:val="00FF3106"/>
    <w:rsid w:val="00FF4A45"/>
    <w:rsid w:val="00FF5FCA"/>
    <w:rsid w:val="010974DB"/>
    <w:rsid w:val="015B24AE"/>
    <w:rsid w:val="015B3670"/>
    <w:rsid w:val="01FA7B2F"/>
    <w:rsid w:val="02453AD2"/>
    <w:rsid w:val="024C0B1E"/>
    <w:rsid w:val="0279377C"/>
    <w:rsid w:val="028B3EDC"/>
    <w:rsid w:val="031B422C"/>
    <w:rsid w:val="03507DBB"/>
    <w:rsid w:val="03627E67"/>
    <w:rsid w:val="036B6473"/>
    <w:rsid w:val="03866869"/>
    <w:rsid w:val="038C7BC5"/>
    <w:rsid w:val="03CD4D6B"/>
    <w:rsid w:val="040B5ABD"/>
    <w:rsid w:val="0417338A"/>
    <w:rsid w:val="043645E4"/>
    <w:rsid w:val="04E108E2"/>
    <w:rsid w:val="0555612F"/>
    <w:rsid w:val="05D909DD"/>
    <w:rsid w:val="05FA2518"/>
    <w:rsid w:val="060E6A0E"/>
    <w:rsid w:val="06163EE9"/>
    <w:rsid w:val="06396B90"/>
    <w:rsid w:val="06822BF9"/>
    <w:rsid w:val="073143FB"/>
    <w:rsid w:val="07CC63DA"/>
    <w:rsid w:val="07E532BC"/>
    <w:rsid w:val="07E53700"/>
    <w:rsid w:val="083D3934"/>
    <w:rsid w:val="08471D7F"/>
    <w:rsid w:val="08662291"/>
    <w:rsid w:val="08A20FFF"/>
    <w:rsid w:val="08F279E2"/>
    <w:rsid w:val="09A844B1"/>
    <w:rsid w:val="09DE4B40"/>
    <w:rsid w:val="09F2600C"/>
    <w:rsid w:val="09FA0D58"/>
    <w:rsid w:val="0AC54E9D"/>
    <w:rsid w:val="0AD54BDA"/>
    <w:rsid w:val="0AF97CE0"/>
    <w:rsid w:val="0AFB6CAC"/>
    <w:rsid w:val="0B044218"/>
    <w:rsid w:val="0B220ABB"/>
    <w:rsid w:val="0B6948F1"/>
    <w:rsid w:val="0B6A3D17"/>
    <w:rsid w:val="0B7C46F6"/>
    <w:rsid w:val="0BA43058"/>
    <w:rsid w:val="0C246F78"/>
    <w:rsid w:val="0C961836"/>
    <w:rsid w:val="0C994113"/>
    <w:rsid w:val="0CA127FA"/>
    <w:rsid w:val="0CE757DF"/>
    <w:rsid w:val="0D066457"/>
    <w:rsid w:val="0D776FCF"/>
    <w:rsid w:val="0D92714F"/>
    <w:rsid w:val="0DAB17C3"/>
    <w:rsid w:val="0DF824BF"/>
    <w:rsid w:val="0DFD4814"/>
    <w:rsid w:val="0E7B438C"/>
    <w:rsid w:val="0E7C5E6C"/>
    <w:rsid w:val="0E993A07"/>
    <w:rsid w:val="0EF54881"/>
    <w:rsid w:val="0F0A7732"/>
    <w:rsid w:val="0F6C4701"/>
    <w:rsid w:val="0F6E5BBE"/>
    <w:rsid w:val="0F6E6CE3"/>
    <w:rsid w:val="0F8B0053"/>
    <w:rsid w:val="0F900189"/>
    <w:rsid w:val="0FBE6EF9"/>
    <w:rsid w:val="0FE12F77"/>
    <w:rsid w:val="0FEB4CD3"/>
    <w:rsid w:val="100C1DE2"/>
    <w:rsid w:val="10343341"/>
    <w:rsid w:val="104F6C04"/>
    <w:rsid w:val="105F6B52"/>
    <w:rsid w:val="108F4F2F"/>
    <w:rsid w:val="1095067C"/>
    <w:rsid w:val="10F2385D"/>
    <w:rsid w:val="11055DB8"/>
    <w:rsid w:val="110D72FB"/>
    <w:rsid w:val="11403E60"/>
    <w:rsid w:val="114804F6"/>
    <w:rsid w:val="11651119"/>
    <w:rsid w:val="11FC3526"/>
    <w:rsid w:val="1211563C"/>
    <w:rsid w:val="122120C1"/>
    <w:rsid w:val="124A1379"/>
    <w:rsid w:val="12911CD4"/>
    <w:rsid w:val="12CB3736"/>
    <w:rsid w:val="13071A9F"/>
    <w:rsid w:val="13315615"/>
    <w:rsid w:val="1360216B"/>
    <w:rsid w:val="13794E71"/>
    <w:rsid w:val="13BD73B8"/>
    <w:rsid w:val="13C12C62"/>
    <w:rsid w:val="13DD2DCA"/>
    <w:rsid w:val="143A1595"/>
    <w:rsid w:val="14537CB4"/>
    <w:rsid w:val="14D9641F"/>
    <w:rsid w:val="157C59CB"/>
    <w:rsid w:val="15A823E6"/>
    <w:rsid w:val="15B029A2"/>
    <w:rsid w:val="161D6D8C"/>
    <w:rsid w:val="1621753B"/>
    <w:rsid w:val="16450C97"/>
    <w:rsid w:val="166B719E"/>
    <w:rsid w:val="16B61174"/>
    <w:rsid w:val="16BA67F2"/>
    <w:rsid w:val="171F7D5A"/>
    <w:rsid w:val="172A77E1"/>
    <w:rsid w:val="17363C9E"/>
    <w:rsid w:val="175A1BDB"/>
    <w:rsid w:val="176C3763"/>
    <w:rsid w:val="178D100E"/>
    <w:rsid w:val="17A9055F"/>
    <w:rsid w:val="17E07F69"/>
    <w:rsid w:val="17E36298"/>
    <w:rsid w:val="17E6409D"/>
    <w:rsid w:val="181A5BAE"/>
    <w:rsid w:val="18264D47"/>
    <w:rsid w:val="18367CF3"/>
    <w:rsid w:val="183B44F5"/>
    <w:rsid w:val="183C6BFE"/>
    <w:rsid w:val="1866660E"/>
    <w:rsid w:val="18B704AD"/>
    <w:rsid w:val="19A212CA"/>
    <w:rsid w:val="19AC22AE"/>
    <w:rsid w:val="19FA02C4"/>
    <w:rsid w:val="1A4736EB"/>
    <w:rsid w:val="1A7257F3"/>
    <w:rsid w:val="1AAF5693"/>
    <w:rsid w:val="1AB63633"/>
    <w:rsid w:val="1AC30890"/>
    <w:rsid w:val="1B0602D1"/>
    <w:rsid w:val="1B5C0BB4"/>
    <w:rsid w:val="1BA96D6F"/>
    <w:rsid w:val="1BAB1248"/>
    <w:rsid w:val="1C1650FE"/>
    <w:rsid w:val="1C8F2306"/>
    <w:rsid w:val="1CB3716C"/>
    <w:rsid w:val="1CFC5C77"/>
    <w:rsid w:val="1D0E4A12"/>
    <w:rsid w:val="1D1C177C"/>
    <w:rsid w:val="1D2D47BA"/>
    <w:rsid w:val="1D3F5F58"/>
    <w:rsid w:val="1D4C41D3"/>
    <w:rsid w:val="1D6A39B8"/>
    <w:rsid w:val="1D7238A8"/>
    <w:rsid w:val="1D9A216A"/>
    <w:rsid w:val="1DF85109"/>
    <w:rsid w:val="1E2665E5"/>
    <w:rsid w:val="1E32703C"/>
    <w:rsid w:val="1E6814BB"/>
    <w:rsid w:val="1F2C4194"/>
    <w:rsid w:val="1F7E5188"/>
    <w:rsid w:val="1F865800"/>
    <w:rsid w:val="1F98683A"/>
    <w:rsid w:val="1FB73F48"/>
    <w:rsid w:val="1FDF4738"/>
    <w:rsid w:val="1FEE30DD"/>
    <w:rsid w:val="1FF24262"/>
    <w:rsid w:val="1FFD7051"/>
    <w:rsid w:val="200A62DA"/>
    <w:rsid w:val="20C06081"/>
    <w:rsid w:val="20E729DC"/>
    <w:rsid w:val="21203B40"/>
    <w:rsid w:val="21271D3F"/>
    <w:rsid w:val="214E5F70"/>
    <w:rsid w:val="21BA29BC"/>
    <w:rsid w:val="21DD349D"/>
    <w:rsid w:val="21F805E3"/>
    <w:rsid w:val="220C72E3"/>
    <w:rsid w:val="2210611E"/>
    <w:rsid w:val="223321D8"/>
    <w:rsid w:val="22803FAB"/>
    <w:rsid w:val="229C0237"/>
    <w:rsid w:val="22B86AA7"/>
    <w:rsid w:val="22BB4045"/>
    <w:rsid w:val="22DC6BE7"/>
    <w:rsid w:val="2305108D"/>
    <w:rsid w:val="230D4016"/>
    <w:rsid w:val="23524E4A"/>
    <w:rsid w:val="23737D0D"/>
    <w:rsid w:val="23B66F17"/>
    <w:rsid w:val="24190041"/>
    <w:rsid w:val="241B5F4A"/>
    <w:rsid w:val="24217D31"/>
    <w:rsid w:val="24230ACA"/>
    <w:rsid w:val="243A0254"/>
    <w:rsid w:val="24D6667D"/>
    <w:rsid w:val="24E91E1B"/>
    <w:rsid w:val="24F4378B"/>
    <w:rsid w:val="2547624B"/>
    <w:rsid w:val="255701E0"/>
    <w:rsid w:val="25717D4B"/>
    <w:rsid w:val="25A11AD2"/>
    <w:rsid w:val="25EB70F0"/>
    <w:rsid w:val="2641721F"/>
    <w:rsid w:val="26455201"/>
    <w:rsid w:val="26E744EE"/>
    <w:rsid w:val="27211512"/>
    <w:rsid w:val="27871C7F"/>
    <w:rsid w:val="278E4E0C"/>
    <w:rsid w:val="27DA6364"/>
    <w:rsid w:val="27FA2221"/>
    <w:rsid w:val="28323AAE"/>
    <w:rsid w:val="28454EB3"/>
    <w:rsid w:val="285751A8"/>
    <w:rsid w:val="28964742"/>
    <w:rsid w:val="28FE6A4D"/>
    <w:rsid w:val="290B566C"/>
    <w:rsid w:val="29307DE5"/>
    <w:rsid w:val="29A42BF5"/>
    <w:rsid w:val="2A1A4034"/>
    <w:rsid w:val="2A1D6EA4"/>
    <w:rsid w:val="2A4C4081"/>
    <w:rsid w:val="2AE36C8E"/>
    <w:rsid w:val="2B0321ED"/>
    <w:rsid w:val="2B0C57D5"/>
    <w:rsid w:val="2B26566E"/>
    <w:rsid w:val="2B487BF7"/>
    <w:rsid w:val="2B4D0A99"/>
    <w:rsid w:val="2B70039F"/>
    <w:rsid w:val="2BB82262"/>
    <w:rsid w:val="2C2E5EF5"/>
    <w:rsid w:val="2C360390"/>
    <w:rsid w:val="2C4D5253"/>
    <w:rsid w:val="2C6F63F4"/>
    <w:rsid w:val="2CB947D7"/>
    <w:rsid w:val="2CDA4BE2"/>
    <w:rsid w:val="2CF57F33"/>
    <w:rsid w:val="2D3A4BC3"/>
    <w:rsid w:val="2D421FD1"/>
    <w:rsid w:val="2D9144DC"/>
    <w:rsid w:val="2DA7128F"/>
    <w:rsid w:val="2DB27902"/>
    <w:rsid w:val="2DD850F2"/>
    <w:rsid w:val="2E625FB7"/>
    <w:rsid w:val="2E687A4F"/>
    <w:rsid w:val="2E90036C"/>
    <w:rsid w:val="2E961AD2"/>
    <w:rsid w:val="2F3A1131"/>
    <w:rsid w:val="2F415D00"/>
    <w:rsid w:val="2F503AF9"/>
    <w:rsid w:val="2F7B5CA8"/>
    <w:rsid w:val="2F8945C2"/>
    <w:rsid w:val="2F933087"/>
    <w:rsid w:val="2F98221C"/>
    <w:rsid w:val="2FCC1679"/>
    <w:rsid w:val="2FFF4E45"/>
    <w:rsid w:val="301A368A"/>
    <w:rsid w:val="3099237A"/>
    <w:rsid w:val="30B62F82"/>
    <w:rsid w:val="30CB06DF"/>
    <w:rsid w:val="30DA4C2E"/>
    <w:rsid w:val="311B481E"/>
    <w:rsid w:val="31220029"/>
    <w:rsid w:val="314B756C"/>
    <w:rsid w:val="315241B7"/>
    <w:rsid w:val="31DC33F5"/>
    <w:rsid w:val="32250E09"/>
    <w:rsid w:val="32F41158"/>
    <w:rsid w:val="332C5642"/>
    <w:rsid w:val="336B2834"/>
    <w:rsid w:val="33CF7591"/>
    <w:rsid w:val="33DC61E7"/>
    <w:rsid w:val="33EF7B65"/>
    <w:rsid w:val="34140171"/>
    <w:rsid w:val="341C4444"/>
    <w:rsid w:val="34C13CB9"/>
    <w:rsid w:val="34C704B8"/>
    <w:rsid w:val="34C8267C"/>
    <w:rsid w:val="34CB752E"/>
    <w:rsid w:val="34CD0755"/>
    <w:rsid w:val="35444E33"/>
    <w:rsid w:val="35862459"/>
    <w:rsid w:val="358D1013"/>
    <w:rsid w:val="35915A33"/>
    <w:rsid w:val="359246E1"/>
    <w:rsid w:val="35BD3230"/>
    <w:rsid w:val="35C04B35"/>
    <w:rsid w:val="35CE1C93"/>
    <w:rsid w:val="36B77DF8"/>
    <w:rsid w:val="36C04AEC"/>
    <w:rsid w:val="36D80657"/>
    <w:rsid w:val="371B0B34"/>
    <w:rsid w:val="37347C88"/>
    <w:rsid w:val="37B171CC"/>
    <w:rsid w:val="37E76C86"/>
    <w:rsid w:val="38314E4C"/>
    <w:rsid w:val="385F5514"/>
    <w:rsid w:val="38C34F4E"/>
    <w:rsid w:val="396430B4"/>
    <w:rsid w:val="397825BC"/>
    <w:rsid w:val="39833969"/>
    <w:rsid w:val="39AF72A0"/>
    <w:rsid w:val="39CB0F9C"/>
    <w:rsid w:val="3A3A15C3"/>
    <w:rsid w:val="3A3C41C3"/>
    <w:rsid w:val="3A434A79"/>
    <w:rsid w:val="3A9A3131"/>
    <w:rsid w:val="3AA13714"/>
    <w:rsid w:val="3ABE77F6"/>
    <w:rsid w:val="3AF76FA1"/>
    <w:rsid w:val="3B47009A"/>
    <w:rsid w:val="3B9930A8"/>
    <w:rsid w:val="3BE9242F"/>
    <w:rsid w:val="3C235935"/>
    <w:rsid w:val="3C695F34"/>
    <w:rsid w:val="3C71049E"/>
    <w:rsid w:val="3D5A1015"/>
    <w:rsid w:val="3D5A6E74"/>
    <w:rsid w:val="3D8A75E1"/>
    <w:rsid w:val="3D9F20A5"/>
    <w:rsid w:val="3DA61753"/>
    <w:rsid w:val="3DC763E0"/>
    <w:rsid w:val="3DCF7F42"/>
    <w:rsid w:val="3E1C2564"/>
    <w:rsid w:val="3E2204A3"/>
    <w:rsid w:val="3E426526"/>
    <w:rsid w:val="3EA539A8"/>
    <w:rsid w:val="3ED42873"/>
    <w:rsid w:val="3EF116EF"/>
    <w:rsid w:val="3EF75AF1"/>
    <w:rsid w:val="3F0C1EAD"/>
    <w:rsid w:val="3F354F38"/>
    <w:rsid w:val="3F92514A"/>
    <w:rsid w:val="3F972E98"/>
    <w:rsid w:val="3FB9042D"/>
    <w:rsid w:val="3FD17E41"/>
    <w:rsid w:val="3FFC1870"/>
    <w:rsid w:val="401F61B5"/>
    <w:rsid w:val="403C070B"/>
    <w:rsid w:val="40E647E3"/>
    <w:rsid w:val="40ED5CD0"/>
    <w:rsid w:val="41193E41"/>
    <w:rsid w:val="41597CC1"/>
    <w:rsid w:val="41672A63"/>
    <w:rsid w:val="41784B4A"/>
    <w:rsid w:val="418B74D9"/>
    <w:rsid w:val="41910187"/>
    <w:rsid w:val="41A01818"/>
    <w:rsid w:val="41A664D0"/>
    <w:rsid w:val="41AE5745"/>
    <w:rsid w:val="41B13BD3"/>
    <w:rsid w:val="41E22717"/>
    <w:rsid w:val="41EF728F"/>
    <w:rsid w:val="42355579"/>
    <w:rsid w:val="42522927"/>
    <w:rsid w:val="425D6528"/>
    <w:rsid w:val="42671377"/>
    <w:rsid w:val="430B6E49"/>
    <w:rsid w:val="4319029E"/>
    <w:rsid w:val="44091A2D"/>
    <w:rsid w:val="44937A8F"/>
    <w:rsid w:val="4548246E"/>
    <w:rsid w:val="455C09C9"/>
    <w:rsid w:val="456B102F"/>
    <w:rsid w:val="460D0517"/>
    <w:rsid w:val="460E66C6"/>
    <w:rsid w:val="46205A1C"/>
    <w:rsid w:val="4653532C"/>
    <w:rsid w:val="467233BF"/>
    <w:rsid w:val="46D30980"/>
    <w:rsid w:val="47427C8E"/>
    <w:rsid w:val="474A0A85"/>
    <w:rsid w:val="477F456E"/>
    <w:rsid w:val="479762EE"/>
    <w:rsid w:val="47F949DF"/>
    <w:rsid w:val="48157B65"/>
    <w:rsid w:val="482A734A"/>
    <w:rsid w:val="48577A65"/>
    <w:rsid w:val="48884BAE"/>
    <w:rsid w:val="489C6C11"/>
    <w:rsid w:val="491D55D9"/>
    <w:rsid w:val="492B467D"/>
    <w:rsid w:val="49466EFD"/>
    <w:rsid w:val="4A33138B"/>
    <w:rsid w:val="4AB76A28"/>
    <w:rsid w:val="4AC9763E"/>
    <w:rsid w:val="4AE056AB"/>
    <w:rsid w:val="4AE07264"/>
    <w:rsid w:val="4AEC5F2A"/>
    <w:rsid w:val="4B342EE1"/>
    <w:rsid w:val="4B384CC0"/>
    <w:rsid w:val="4B4E38C2"/>
    <w:rsid w:val="4B632A78"/>
    <w:rsid w:val="4BCF26BF"/>
    <w:rsid w:val="4BEA68D7"/>
    <w:rsid w:val="4C0B6E0C"/>
    <w:rsid w:val="4C1D38D4"/>
    <w:rsid w:val="4C4869E1"/>
    <w:rsid w:val="4C9F2990"/>
    <w:rsid w:val="4E1857AC"/>
    <w:rsid w:val="4E26261F"/>
    <w:rsid w:val="4E3A533C"/>
    <w:rsid w:val="4E403C3C"/>
    <w:rsid w:val="4E735E2F"/>
    <w:rsid w:val="4E901F73"/>
    <w:rsid w:val="4EBB20BD"/>
    <w:rsid w:val="4F410CB6"/>
    <w:rsid w:val="4F5A2C1F"/>
    <w:rsid w:val="4FB46852"/>
    <w:rsid w:val="501B2419"/>
    <w:rsid w:val="50B85CA8"/>
    <w:rsid w:val="50D36AC6"/>
    <w:rsid w:val="51112461"/>
    <w:rsid w:val="513959C5"/>
    <w:rsid w:val="514364D8"/>
    <w:rsid w:val="514B137F"/>
    <w:rsid w:val="51791DFD"/>
    <w:rsid w:val="520165FA"/>
    <w:rsid w:val="520874A8"/>
    <w:rsid w:val="52317545"/>
    <w:rsid w:val="5292324C"/>
    <w:rsid w:val="529309B8"/>
    <w:rsid w:val="529A2F5E"/>
    <w:rsid w:val="530C5A28"/>
    <w:rsid w:val="531D1179"/>
    <w:rsid w:val="533C7B83"/>
    <w:rsid w:val="5384654E"/>
    <w:rsid w:val="53DA28A7"/>
    <w:rsid w:val="53E34000"/>
    <w:rsid w:val="540909EB"/>
    <w:rsid w:val="54520A94"/>
    <w:rsid w:val="548A63EC"/>
    <w:rsid w:val="552044B5"/>
    <w:rsid w:val="554F676F"/>
    <w:rsid w:val="556E6742"/>
    <w:rsid w:val="55946BBA"/>
    <w:rsid w:val="5659756E"/>
    <w:rsid w:val="56AA76E5"/>
    <w:rsid w:val="56B474E3"/>
    <w:rsid w:val="56C54260"/>
    <w:rsid w:val="56D04952"/>
    <w:rsid w:val="56D76B9C"/>
    <w:rsid w:val="5734537F"/>
    <w:rsid w:val="573E7DBA"/>
    <w:rsid w:val="582D3016"/>
    <w:rsid w:val="584F4DEB"/>
    <w:rsid w:val="58BD2CEA"/>
    <w:rsid w:val="59425378"/>
    <w:rsid w:val="596F6ED5"/>
    <w:rsid w:val="59953DB9"/>
    <w:rsid w:val="59B02A1A"/>
    <w:rsid w:val="5A160B96"/>
    <w:rsid w:val="5A476FBB"/>
    <w:rsid w:val="5A53303E"/>
    <w:rsid w:val="5AA82E6F"/>
    <w:rsid w:val="5AD7100F"/>
    <w:rsid w:val="5BA83EAD"/>
    <w:rsid w:val="5BFA3AB1"/>
    <w:rsid w:val="5C0E7B80"/>
    <w:rsid w:val="5C1169B9"/>
    <w:rsid w:val="5C152C9F"/>
    <w:rsid w:val="5C35113C"/>
    <w:rsid w:val="5C432CB0"/>
    <w:rsid w:val="5C655779"/>
    <w:rsid w:val="5C720A36"/>
    <w:rsid w:val="5D25153F"/>
    <w:rsid w:val="5D5340FF"/>
    <w:rsid w:val="5D69679E"/>
    <w:rsid w:val="5D9E6DA0"/>
    <w:rsid w:val="5DA04389"/>
    <w:rsid w:val="5DAD6F80"/>
    <w:rsid w:val="5DBD752C"/>
    <w:rsid w:val="5DD664E8"/>
    <w:rsid w:val="5E344CEC"/>
    <w:rsid w:val="5E373A11"/>
    <w:rsid w:val="5E377FA2"/>
    <w:rsid w:val="5E3E24B7"/>
    <w:rsid w:val="5E536809"/>
    <w:rsid w:val="5E6926D0"/>
    <w:rsid w:val="5E7E290E"/>
    <w:rsid w:val="5E8E3B20"/>
    <w:rsid w:val="5ED11038"/>
    <w:rsid w:val="5F2A2D28"/>
    <w:rsid w:val="5F2E6734"/>
    <w:rsid w:val="5F5D73F2"/>
    <w:rsid w:val="5F7B0AA0"/>
    <w:rsid w:val="5FB332D0"/>
    <w:rsid w:val="601B3CC5"/>
    <w:rsid w:val="60484B23"/>
    <w:rsid w:val="60532E8A"/>
    <w:rsid w:val="60891CC0"/>
    <w:rsid w:val="608D2023"/>
    <w:rsid w:val="60A46CB8"/>
    <w:rsid w:val="60DF4A4D"/>
    <w:rsid w:val="612E2EC1"/>
    <w:rsid w:val="61402FE4"/>
    <w:rsid w:val="615E0D34"/>
    <w:rsid w:val="616621EC"/>
    <w:rsid w:val="616F4AAB"/>
    <w:rsid w:val="617C3486"/>
    <w:rsid w:val="61B451D9"/>
    <w:rsid w:val="61CA225A"/>
    <w:rsid w:val="62417376"/>
    <w:rsid w:val="626D24E0"/>
    <w:rsid w:val="627945C1"/>
    <w:rsid w:val="62814117"/>
    <w:rsid w:val="62861D7E"/>
    <w:rsid w:val="62DE64EC"/>
    <w:rsid w:val="62F472F7"/>
    <w:rsid w:val="63600ACF"/>
    <w:rsid w:val="64331100"/>
    <w:rsid w:val="64AC197F"/>
    <w:rsid w:val="64D40A87"/>
    <w:rsid w:val="64DC248E"/>
    <w:rsid w:val="65285B05"/>
    <w:rsid w:val="65A04BD9"/>
    <w:rsid w:val="661121FF"/>
    <w:rsid w:val="662A2677"/>
    <w:rsid w:val="6636500B"/>
    <w:rsid w:val="663C4224"/>
    <w:rsid w:val="66A667CE"/>
    <w:rsid w:val="66C463B0"/>
    <w:rsid w:val="6736504A"/>
    <w:rsid w:val="673967DC"/>
    <w:rsid w:val="6780109A"/>
    <w:rsid w:val="67C76E3A"/>
    <w:rsid w:val="67ED4339"/>
    <w:rsid w:val="683C52F1"/>
    <w:rsid w:val="684024A0"/>
    <w:rsid w:val="688050F9"/>
    <w:rsid w:val="68860761"/>
    <w:rsid w:val="68A41A7D"/>
    <w:rsid w:val="695733E8"/>
    <w:rsid w:val="696D49BA"/>
    <w:rsid w:val="6992655B"/>
    <w:rsid w:val="69A9695F"/>
    <w:rsid w:val="69AB7E77"/>
    <w:rsid w:val="6A2611E1"/>
    <w:rsid w:val="6A9A4D1F"/>
    <w:rsid w:val="6AA0237F"/>
    <w:rsid w:val="6AA758D5"/>
    <w:rsid w:val="6AC049E9"/>
    <w:rsid w:val="6AE363D6"/>
    <w:rsid w:val="6B2F6AFD"/>
    <w:rsid w:val="6B5E160E"/>
    <w:rsid w:val="6B8B392F"/>
    <w:rsid w:val="6B990F3A"/>
    <w:rsid w:val="6BA122B3"/>
    <w:rsid w:val="6BAA13E3"/>
    <w:rsid w:val="6BB15830"/>
    <w:rsid w:val="6BE03B99"/>
    <w:rsid w:val="6BE22796"/>
    <w:rsid w:val="6C2770B7"/>
    <w:rsid w:val="6C3745CE"/>
    <w:rsid w:val="6C677E00"/>
    <w:rsid w:val="6CF13463"/>
    <w:rsid w:val="6D1A4453"/>
    <w:rsid w:val="6D614100"/>
    <w:rsid w:val="6D7E4343"/>
    <w:rsid w:val="6E2305F9"/>
    <w:rsid w:val="6E7708AC"/>
    <w:rsid w:val="6E8922D0"/>
    <w:rsid w:val="6E945C90"/>
    <w:rsid w:val="6EA51E92"/>
    <w:rsid w:val="6EF5598B"/>
    <w:rsid w:val="6F071B08"/>
    <w:rsid w:val="6F1919BF"/>
    <w:rsid w:val="6FF4257E"/>
    <w:rsid w:val="704F39D4"/>
    <w:rsid w:val="704F4B0A"/>
    <w:rsid w:val="70DC36D7"/>
    <w:rsid w:val="712D6399"/>
    <w:rsid w:val="71876F14"/>
    <w:rsid w:val="71A67BCE"/>
    <w:rsid w:val="71C73E10"/>
    <w:rsid w:val="71CA593D"/>
    <w:rsid w:val="71F77214"/>
    <w:rsid w:val="71FB1ECF"/>
    <w:rsid w:val="727B3332"/>
    <w:rsid w:val="72D10D3A"/>
    <w:rsid w:val="73076B04"/>
    <w:rsid w:val="732038EF"/>
    <w:rsid w:val="73242065"/>
    <w:rsid w:val="733964B6"/>
    <w:rsid w:val="733D225B"/>
    <w:rsid w:val="737347B1"/>
    <w:rsid w:val="73CB4D0A"/>
    <w:rsid w:val="73E26124"/>
    <w:rsid w:val="740206F2"/>
    <w:rsid w:val="74034146"/>
    <w:rsid w:val="740B2075"/>
    <w:rsid w:val="743209BA"/>
    <w:rsid w:val="743C27BF"/>
    <w:rsid w:val="74661C3E"/>
    <w:rsid w:val="746E2F8B"/>
    <w:rsid w:val="7483273D"/>
    <w:rsid w:val="74EC2130"/>
    <w:rsid w:val="751273E1"/>
    <w:rsid w:val="7566410C"/>
    <w:rsid w:val="75897114"/>
    <w:rsid w:val="759A507B"/>
    <w:rsid w:val="75B704B4"/>
    <w:rsid w:val="75DC1388"/>
    <w:rsid w:val="76034310"/>
    <w:rsid w:val="76756488"/>
    <w:rsid w:val="76B1556D"/>
    <w:rsid w:val="76C9130A"/>
    <w:rsid w:val="76C92EA5"/>
    <w:rsid w:val="7729062D"/>
    <w:rsid w:val="77487E96"/>
    <w:rsid w:val="776D079C"/>
    <w:rsid w:val="77B52C72"/>
    <w:rsid w:val="77FE3729"/>
    <w:rsid w:val="782A14F3"/>
    <w:rsid w:val="78E933D4"/>
    <w:rsid w:val="78F571FD"/>
    <w:rsid w:val="79490AF8"/>
    <w:rsid w:val="797C2BF9"/>
    <w:rsid w:val="79FC3F51"/>
    <w:rsid w:val="79FC742D"/>
    <w:rsid w:val="7A324C7A"/>
    <w:rsid w:val="7A3A48A2"/>
    <w:rsid w:val="7AA5232E"/>
    <w:rsid w:val="7AB2474C"/>
    <w:rsid w:val="7ABF2D23"/>
    <w:rsid w:val="7B0B5FA9"/>
    <w:rsid w:val="7B304844"/>
    <w:rsid w:val="7B6F42DB"/>
    <w:rsid w:val="7B761B39"/>
    <w:rsid w:val="7BA8671F"/>
    <w:rsid w:val="7BD62DEB"/>
    <w:rsid w:val="7BD66D9F"/>
    <w:rsid w:val="7C012B17"/>
    <w:rsid w:val="7C4F5D1D"/>
    <w:rsid w:val="7C630EA1"/>
    <w:rsid w:val="7CB7092B"/>
    <w:rsid w:val="7CC25A84"/>
    <w:rsid w:val="7CC975D0"/>
    <w:rsid w:val="7CEF5999"/>
    <w:rsid w:val="7D0901AC"/>
    <w:rsid w:val="7D6A27F9"/>
    <w:rsid w:val="7D74675F"/>
    <w:rsid w:val="7DC44727"/>
    <w:rsid w:val="7DC46498"/>
    <w:rsid w:val="7DEC7DEC"/>
    <w:rsid w:val="7DFE516B"/>
    <w:rsid w:val="7E1E61D3"/>
    <w:rsid w:val="7E2E7118"/>
    <w:rsid w:val="7E7E6056"/>
    <w:rsid w:val="7EBE547D"/>
    <w:rsid w:val="7EE53C33"/>
    <w:rsid w:val="7EE54CF0"/>
    <w:rsid w:val="7F696CC9"/>
    <w:rsid w:val="7FBC16F3"/>
    <w:rsid w:val="7FC73D94"/>
    <w:rsid w:val="7FED30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1"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iPriority="99" w:semiHidden="0"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qFormat="1" w:unhideWhenUsed="0" w:uiPriority="0"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link w:val="43"/>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2"/>
    <w:qFormat/>
    <w:uiPriority w:val="99"/>
    <w:pPr>
      <w:keepLines/>
      <w:widowControl w:val="0"/>
      <w:numPr>
        <w:ilvl w:val="0"/>
        <w:numId w:val="1"/>
      </w:numPr>
      <w:tabs>
        <w:tab w:val="left" w:pos="239"/>
        <w:tab w:val="clear" w:pos="630"/>
      </w:tabs>
      <w:spacing w:beforeLines="150" w:afterLines="50"/>
      <w:jc w:val="both"/>
      <w:outlineLvl w:val="1"/>
    </w:pPr>
    <w:rPr>
      <w:rFonts w:ascii="宋体" w:hAnsi="Arial"/>
      <w:b/>
      <w:bCs/>
      <w:sz w:val="24"/>
      <w:szCs w:val="32"/>
    </w:rPr>
  </w:style>
  <w:style w:type="paragraph" w:styleId="5">
    <w:name w:val="heading 3"/>
    <w:basedOn w:val="1"/>
    <w:next w:val="1"/>
    <w:link w:val="41"/>
    <w:qFormat/>
    <w:uiPriority w:val="99"/>
    <w:pPr>
      <w:widowControl w:val="0"/>
      <w:spacing w:line="360" w:lineRule="auto"/>
      <w:jc w:val="both"/>
      <w:outlineLvl w:val="2"/>
    </w:pPr>
    <w:rPr>
      <w:rFonts w:ascii="宋体"/>
    </w:rPr>
  </w:style>
  <w:style w:type="paragraph" w:styleId="6">
    <w:name w:val="heading 4"/>
    <w:basedOn w:val="1"/>
    <w:next w:val="1"/>
    <w:link w:val="45"/>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7">
    <w:name w:val="heading 9"/>
    <w:basedOn w:val="1"/>
    <w:next w:val="1"/>
    <w:link w:val="46"/>
    <w:qFormat/>
    <w:uiPriority w:val="99"/>
    <w:pPr>
      <w:keepNext/>
      <w:keepLines/>
      <w:tabs>
        <w:tab w:val="left" w:pos="1584"/>
      </w:tabs>
      <w:overflowPunct w:val="0"/>
      <w:autoSpaceDE w:val="0"/>
      <w:autoSpaceDN w:val="0"/>
      <w:adjustRightInd w:val="0"/>
      <w:spacing w:before="240" w:after="64" w:line="320" w:lineRule="atLeast"/>
      <w:ind w:left="1559" w:hanging="1559"/>
      <w:textAlignment w:val="baseline"/>
      <w:outlineLvl w:val="8"/>
    </w:pPr>
    <w:rPr>
      <w:rFonts w:ascii="宋体" w:hAnsi="Calibri"/>
      <w:spacing w:val="10"/>
      <w:szCs w:val="22"/>
    </w:rPr>
  </w:style>
  <w:style w:type="character" w:default="1" w:styleId="34">
    <w:name w:val="Default Paragraph Font"/>
    <w:link w:val="35"/>
    <w:semiHidden/>
    <w:unhideWhenUsed/>
    <w:qFormat/>
    <w:uiPriority w:val="1"/>
    <w:rPr>
      <w:rFonts w:cs="Times New Roman"/>
      <w:sz w:val="24"/>
      <w:szCs w:val="24"/>
    </w:rPr>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locked/>
    <w:uiPriority w:val="0"/>
    <w:pPr>
      <w:snapToGrid w:val="0"/>
      <w:jc w:val="left"/>
    </w:pPr>
    <w:rPr>
      <w:sz w:val="18"/>
    </w:rPr>
  </w:style>
  <w:style w:type="paragraph" w:styleId="8">
    <w:name w:val="table of authorities"/>
    <w:basedOn w:val="1"/>
    <w:next w:val="1"/>
    <w:semiHidden/>
    <w:qFormat/>
    <w:locked/>
    <w:uiPriority w:val="0"/>
    <w:pPr>
      <w:ind w:left="420" w:leftChars="200"/>
    </w:pPr>
  </w:style>
  <w:style w:type="paragraph" w:styleId="9">
    <w:name w:val="Normal Indent"/>
    <w:basedOn w:val="1"/>
    <w:link w:val="59"/>
    <w:qFormat/>
    <w:uiPriority w:val="99"/>
    <w:pPr>
      <w:widowControl w:val="0"/>
      <w:tabs>
        <w:tab w:val="left" w:pos="720"/>
      </w:tabs>
      <w:autoSpaceDE w:val="0"/>
      <w:autoSpaceDN w:val="0"/>
      <w:adjustRightInd w:val="0"/>
      <w:snapToGrid w:val="0"/>
      <w:spacing w:line="360" w:lineRule="auto"/>
      <w:ind w:left="624" w:hanging="624"/>
      <w:jc w:val="both"/>
      <w:textAlignment w:val="baseline"/>
    </w:pPr>
    <w:rPr>
      <w:rFonts w:ascii="宋体"/>
      <w:color w:val="000000"/>
    </w:rPr>
  </w:style>
  <w:style w:type="paragraph" w:styleId="10">
    <w:name w:val="caption"/>
    <w:basedOn w:val="1"/>
    <w:next w:val="1"/>
    <w:qFormat/>
    <w:uiPriority w:val="99"/>
    <w:rPr>
      <w:rFonts w:ascii="Arial" w:hAnsi="Arial" w:eastAsia="黑体" w:cs="Arial"/>
      <w:sz w:val="20"/>
    </w:rPr>
  </w:style>
  <w:style w:type="paragraph" w:styleId="11">
    <w:name w:val="Document Map"/>
    <w:basedOn w:val="1"/>
    <w:link w:val="49"/>
    <w:qFormat/>
    <w:uiPriority w:val="99"/>
    <w:rPr>
      <w:rFonts w:ascii="宋体"/>
      <w:sz w:val="18"/>
      <w:szCs w:val="18"/>
    </w:rPr>
  </w:style>
  <w:style w:type="paragraph" w:styleId="12">
    <w:name w:val="annotation text"/>
    <w:basedOn w:val="1"/>
    <w:link w:val="47"/>
    <w:semiHidden/>
    <w:qFormat/>
    <w:uiPriority w:val="99"/>
  </w:style>
  <w:style w:type="paragraph" w:styleId="13">
    <w:name w:val="Body Text 3"/>
    <w:basedOn w:val="1"/>
    <w:link w:val="50"/>
    <w:qFormat/>
    <w:uiPriority w:val="99"/>
    <w:pPr>
      <w:spacing w:after="120"/>
    </w:pPr>
    <w:rPr>
      <w:sz w:val="16"/>
      <w:szCs w:val="16"/>
    </w:rPr>
  </w:style>
  <w:style w:type="paragraph" w:styleId="14">
    <w:name w:val="Body Text"/>
    <w:basedOn w:val="1"/>
    <w:next w:val="1"/>
    <w:qFormat/>
    <w:locked/>
    <w:uiPriority w:val="1"/>
    <w:rPr>
      <w:rFonts w:ascii="宋体" w:hAnsi="宋体" w:cs="宋体"/>
      <w:szCs w:val="21"/>
      <w:lang w:val="zh-CN" w:bidi="zh-CN"/>
    </w:rPr>
  </w:style>
  <w:style w:type="paragraph" w:styleId="15">
    <w:name w:val="Body Text Indent"/>
    <w:basedOn w:val="1"/>
    <w:link w:val="51"/>
    <w:qFormat/>
    <w:uiPriority w:val="99"/>
    <w:pPr>
      <w:spacing w:after="120"/>
      <w:ind w:left="420" w:leftChars="200"/>
    </w:pPr>
  </w:style>
  <w:style w:type="paragraph" w:styleId="16">
    <w:name w:val="Block Text"/>
    <w:basedOn w:val="1"/>
    <w:qFormat/>
    <w:locked/>
    <w:uiPriority w:val="0"/>
    <w:pPr>
      <w:spacing w:before="156" w:beforeLines="50" w:after="156" w:afterLines="50"/>
      <w:ind w:left="426" w:right="-11" w:hanging="426" w:hangingChars="203"/>
    </w:pPr>
    <w:rPr>
      <w:rFonts w:eastAsia="楷体_GB2312"/>
    </w:rPr>
  </w:style>
  <w:style w:type="paragraph" w:styleId="17">
    <w:name w:val="toc 3"/>
    <w:basedOn w:val="1"/>
    <w:next w:val="1"/>
    <w:qFormat/>
    <w:uiPriority w:val="0"/>
    <w:pPr>
      <w:tabs>
        <w:tab w:val="right" w:leader="dot" w:pos="9170"/>
      </w:tabs>
      <w:ind w:left="360"/>
      <w:jc w:val="left"/>
    </w:pPr>
    <w:rPr>
      <w:rFonts w:eastAsia="宋体"/>
      <w:color w:val="000000"/>
      <w:sz w:val="20"/>
    </w:rPr>
  </w:style>
  <w:style w:type="paragraph" w:styleId="18">
    <w:name w:val="Plain Text"/>
    <w:basedOn w:val="1"/>
    <w:next w:val="1"/>
    <w:link w:val="61"/>
    <w:qFormat/>
    <w:uiPriority w:val="99"/>
    <w:pPr>
      <w:widowControl w:val="0"/>
      <w:jc w:val="both"/>
    </w:pPr>
    <w:rPr>
      <w:rFonts w:ascii="宋体" w:hAnsi="Courier New"/>
      <w:kern w:val="2"/>
    </w:rPr>
  </w:style>
  <w:style w:type="paragraph" w:styleId="19">
    <w:name w:val="Date"/>
    <w:basedOn w:val="1"/>
    <w:next w:val="1"/>
    <w:link w:val="53"/>
    <w:qFormat/>
    <w:uiPriority w:val="99"/>
    <w:pPr>
      <w:widowControl w:val="0"/>
      <w:jc w:val="both"/>
    </w:pPr>
    <w:rPr>
      <w:kern w:val="2"/>
    </w:rPr>
  </w:style>
  <w:style w:type="paragraph" w:styleId="20">
    <w:name w:val="Body Text Indent 2"/>
    <w:basedOn w:val="1"/>
    <w:link w:val="54"/>
    <w:qFormat/>
    <w:uiPriority w:val="99"/>
    <w:pPr>
      <w:spacing w:after="120" w:line="480" w:lineRule="auto"/>
      <w:ind w:left="420" w:leftChars="200"/>
    </w:pPr>
  </w:style>
  <w:style w:type="paragraph" w:styleId="21">
    <w:name w:val="Balloon Text"/>
    <w:basedOn w:val="1"/>
    <w:link w:val="55"/>
    <w:semiHidden/>
    <w:qFormat/>
    <w:uiPriority w:val="99"/>
    <w:rPr>
      <w:sz w:val="18"/>
      <w:szCs w:val="18"/>
    </w:rPr>
  </w:style>
  <w:style w:type="paragraph" w:styleId="22">
    <w:name w:val="footer"/>
    <w:basedOn w:val="1"/>
    <w:next w:val="1"/>
    <w:link w:val="56"/>
    <w:qFormat/>
    <w:uiPriority w:val="99"/>
    <w:pPr>
      <w:tabs>
        <w:tab w:val="center" w:pos="4153"/>
        <w:tab w:val="right" w:pos="8306"/>
      </w:tabs>
      <w:snapToGrid w:val="0"/>
    </w:pPr>
    <w:rPr>
      <w:sz w:val="18"/>
      <w:szCs w:val="18"/>
    </w:rPr>
  </w:style>
  <w:style w:type="paragraph" w:styleId="23">
    <w:name w:val="header"/>
    <w:basedOn w:val="1"/>
    <w:link w:val="63"/>
    <w:qFormat/>
    <w:uiPriority w:val="99"/>
    <w:pPr>
      <w:pBdr>
        <w:bottom w:val="single" w:color="auto" w:sz="6" w:space="1"/>
      </w:pBdr>
      <w:tabs>
        <w:tab w:val="center" w:pos="4153"/>
        <w:tab w:val="right" w:pos="8306"/>
      </w:tabs>
      <w:snapToGrid w:val="0"/>
      <w:jc w:val="center"/>
    </w:pPr>
    <w:rPr>
      <w:sz w:val="18"/>
    </w:rPr>
  </w:style>
  <w:style w:type="paragraph" w:styleId="24">
    <w:name w:val="toc 1"/>
    <w:basedOn w:val="1"/>
    <w:next w:val="1"/>
    <w:semiHidden/>
    <w:qFormat/>
    <w:uiPriority w:val="99"/>
    <w:pPr>
      <w:tabs>
        <w:tab w:val="left" w:pos="720"/>
      </w:tabs>
      <w:spacing w:line="480" w:lineRule="exact"/>
      <w:jc w:val="center"/>
    </w:pPr>
    <w:rPr>
      <w:rFonts w:ascii="宋体"/>
      <w:b/>
      <w:bCs/>
      <w:sz w:val="28"/>
      <w:szCs w:val="28"/>
    </w:rPr>
  </w:style>
  <w:style w:type="paragraph" w:styleId="25">
    <w:name w:val="index heading"/>
    <w:basedOn w:val="1"/>
    <w:next w:val="26"/>
    <w:qFormat/>
    <w:uiPriority w:val="99"/>
    <w:pPr>
      <w:widowControl w:val="0"/>
      <w:jc w:val="both"/>
    </w:pPr>
    <w:rPr>
      <w:kern w:val="2"/>
      <w:szCs w:val="24"/>
    </w:rPr>
  </w:style>
  <w:style w:type="paragraph" w:styleId="26">
    <w:name w:val="index 1"/>
    <w:basedOn w:val="1"/>
    <w:next w:val="1"/>
    <w:semiHidden/>
    <w:qFormat/>
    <w:uiPriority w:val="99"/>
  </w:style>
  <w:style w:type="paragraph" w:styleId="27">
    <w:name w:val="toc 2"/>
    <w:basedOn w:val="1"/>
    <w:next w:val="1"/>
    <w:semiHidden/>
    <w:qFormat/>
    <w:uiPriority w:val="99"/>
    <w:pPr>
      <w:ind w:left="420" w:leftChars="200"/>
    </w:pPr>
  </w:style>
  <w:style w:type="paragraph" w:styleId="28">
    <w:name w:val="Body Text 2"/>
    <w:basedOn w:val="1"/>
    <w:unhideWhenUsed/>
    <w:qFormat/>
    <w:locked/>
    <w:uiPriority w:val="99"/>
    <w:pPr>
      <w:spacing w:line="480" w:lineRule="auto"/>
    </w:pPr>
  </w:style>
  <w:style w:type="paragraph" w:styleId="29">
    <w:name w:val="Normal (Web)"/>
    <w:basedOn w:val="1"/>
    <w:qFormat/>
    <w:uiPriority w:val="99"/>
    <w:pPr>
      <w:spacing w:beforeAutospacing="1" w:afterAutospacing="1"/>
    </w:pPr>
    <w:rPr>
      <w:rFonts w:ascii="宋体" w:hAnsi="宋体" w:cs="宋体"/>
      <w:sz w:val="24"/>
      <w:szCs w:val="24"/>
    </w:rPr>
  </w:style>
  <w:style w:type="paragraph" w:styleId="30">
    <w:name w:val="annotation subject"/>
    <w:basedOn w:val="12"/>
    <w:next w:val="12"/>
    <w:link w:val="48"/>
    <w:semiHidden/>
    <w:qFormat/>
    <w:uiPriority w:val="99"/>
    <w:rPr>
      <w:b/>
      <w:bCs/>
    </w:rPr>
  </w:style>
  <w:style w:type="paragraph" w:styleId="31">
    <w:name w:val="Body Text First Indent 2"/>
    <w:basedOn w:val="15"/>
    <w:qFormat/>
    <w:locked/>
    <w:uiPriority w:val="0"/>
    <w:pPr>
      <w:ind w:left="200" w:firstLine="200" w:firstLineChars="200"/>
      <w:jc w:val="both"/>
    </w:pPr>
    <w:rPr>
      <w:kern w:val="2"/>
    </w:rPr>
  </w:style>
  <w:style w:type="table" w:styleId="33">
    <w:name w:val="Table Grid"/>
    <w:basedOn w:val="32"/>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 Char Char1"/>
    <w:basedOn w:val="11"/>
    <w:link w:val="34"/>
    <w:qFormat/>
    <w:uiPriority w:val="0"/>
    <w:pPr>
      <w:shd w:val="clear" w:color="auto" w:fill="000080"/>
    </w:pPr>
    <w:rPr>
      <w:rFonts w:cs="Times New Roman"/>
      <w:sz w:val="24"/>
      <w:szCs w:val="24"/>
    </w:rPr>
  </w:style>
  <w:style w:type="character" w:styleId="36">
    <w:name w:val="Strong"/>
    <w:basedOn w:val="34"/>
    <w:qFormat/>
    <w:uiPriority w:val="0"/>
    <w:rPr>
      <w:b/>
    </w:rPr>
  </w:style>
  <w:style w:type="character" w:styleId="37">
    <w:name w:val="page number"/>
    <w:basedOn w:val="34"/>
    <w:qFormat/>
    <w:uiPriority w:val="99"/>
    <w:rPr>
      <w:rFonts w:cs="Times New Roman"/>
    </w:rPr>
  </w:style>
  <w:style w:type="character" w:styleId="38">
    <w:name w:val="Emphasis"/>
    <w:basedOn w:val="34"/>
    <w:qFormat/>
    <w:uiPriority w:val="99"/>
    <w:rPr>
      <w:rFonts w:cs="Times New Roman"/>
      <w:color w:val="CC0000"/>
    </w:rPr>
  </w:style>
  <w:style w:type="character" w:styleId="39">
    <w:name w:val="Hyperlink"/>
    <w:basedOn w:val="34"/>
    <w:qFormat/>
    <w:uiPriority w:val="99"/>
    <w:rPr>
      <w:rFonts w:cs="Times New Roman"/>
      <w:color w:val="0000FF"/>
      <w:u w:val="single"/>
    </w:rPr>
  </w:style>
  <w:style w:type="character" w:styleId="40">
    <w:name w:val="annotation reference"/>
    <w:basedOn w:val="34"/>
    <w:semiHidden/>
    <w:qFormat/>
    <w:uiPriority w:val="99"/>
    <w:rPr>
      <w:rFonts w:cs="Times New Roman"/>
      <w:sz w:val="21"/>
    </w:rPr>
  </w:style>
  <w:style w:type="character" w:customStyle="1" w:styleId="41">
    <w:name w:val="标题 3 Char"/>
    <w:basedOn w:val="34"/>
    <w:link w:val="5"/>
    <w:qFormat/>
    <w:locked/>
    <w:uiPriority w:val="99"/>
    <w:rPr>
      <w:rFonts w:ascii="宋体" w:eastAsia="宋体" w:cs="Times New Roman"/>
      <w:sz w:val="21"/>
      <w:lang w:val="en-US" w:eastAsia="zh-CN"/>
    </w:rPr>
  </w:style>
  <w:style w:type="character" w:customStyle="1" w:styleId="42">
    <w:name w:val="标题 2 Char"/>
    <w:basedOn w:val="34"/>
    <w:link w:val="4"/>
    <w:qFormat/>
    <w:locked/>
    <w:uiPriority w:val="99"/>
    <w:rPr>
      <w:rFonts w:ascii="宋体" w:hAnsi="Arial" w:eastAsia="宋体" w:cs="Times New Roman"/>
      <w:b/>
      <w:sz w:val="32"/>
      <w:lang w:val="en-US" w:eastAsia="zh-CN"/>
    </w:rPr>
  </w:style>
  <w:style w:type="character" w:customStyle="1" w:styleId="43">
    <w:name w:val="标题 1 Char"/>
    <w:basedOn w:val="34"/>
    <w:link w:val="3"/>
    <w:qFormat/>
    <w:locked/>
    <w:uiPriority w:val="99"/>
    <w:rPr>
      <w:rFonts w:eastAsia="宋体" w:cs="Times New Roman"/>
      <w:b/>
      <w:kern w:val="44"/>
      <w:sz w:val="44"/>
      <w:lang w:val="en-US" w:eastAsia="zh-CN"/>
    </w:rPr>
  </w:style>
  <w:style w:type="paragraph" w:customStyle="1" w:styleId="44">
    <w:name w:val="Char Char Char"/>
    <w:basedOn w:val="1"/>
    <w:qFormat/>
    <w:uiPriority w:val="99"/>
    <w:pPr>
      <w:widowControl w:val="0"/>
      <w:jc w:val="both"/>
    </w:pPr>
    <w:rPr>
      <w:rFonts w:ascii="Tahoma" w:hAnsi="Tahoma"/>
      <w:kern w:val="2"/>
      <w:sz w:val="24"/>
    </w:rPr>
  </w:style>
  <w:style w:type="character" w:customStyle="1" w:styleId="45">
    <w:name w:val="标题 4 Char"/>
    <w:basedOn w:val="34"/>
    <w:link w:val="6"/>
    <w:semiHidden/>
    <w:qFormat/>
    <w:locked/>
    <w:uiPriority w:val="99"/>
    <w:rPr>
      <w:rFonts w:ascii="Cambria" w:hAnsi="Cambria" w:eastAsia="宋体" w:cs="Times New Roman"/>
      <w:b/>
      <w:bCs/>
      <w:kern w:val="0"/>
      <w:sz w:val="28"/>
      <w:szCs w:val="28"/>
    </w:rPr>
  </w:style>
  <w:style w:type="character" w:customStyle="1" w:styleId="46">
    <w:name w:val="标题 9 Char"/>
    <w:basedOn w:val="34"/>
    <w:link w:val="7"/>
    <w:semiHidden/>
    <w:qFormat/>
    <w:locked/>
    <w:uiPriority w:val="99"/>
    <w:rPr>
      <w:rFonts w:ascii="Cambria" w:hAnsi="Cambria" w:eastAsia="宋体" w:cs="Times New Roman"/>
      <w:kern w:val="0"/>
      <w:sz w:val="21"/>
      <w:szCs w:val="21"/>
    </w:rPr>
  </w:style>
  <w:style w:type="character" w:customStyle="1" w:styleId="47">
    <w:name w:val="批注文字 Char"/>
    <w:basedOn w:val="34"/>
    <w:link w:val="12"/>
    <w:semiHidden/>
    <w:qFormat/>
    <w:locked/>
    <w:uiPriority w:val="99"/>
    <w:rPr>
      <w:rFonts w:cs="Times New Roman"/>
      <w:kern w:val="0"/>
      <w:sz w:val="20"/>
      <w:szCs w:val="20"/>
    </w:rPr>
  </w:style>
  <w:style w:type="character" w:customStyle="1" w:styleId="48">
    <w:name w:val="批注主题 Char"/>
    <w:basedOn w:val="47"/>
    <w:link w:val="30"/>
    <w:semiHidden/>
    <w:qFormat/>
    <w:locked/>
    <w:uiPriority w:val="99"/>
    <w:rPr>
      <w:rFonts w:cs="Times New Roman"/>
      <w:b/>
      <w:bCs/>
      <w:kern w:val="0"/>
      <w:sz w:val="20"/>
      <w:szCs w:val="20"/>
    </w:rPr>
  </w:style>
  <w:style w:type="character" w:customStyle="1" w:styleId="49">
    <w:name w:val="文档结构图 Char"/>
    <w:basedOn w:val="34"/>
    <w:link w:val="11"/>
    <w:qFormat/>
    <w:locked/>
    <w:uiPriority w:val="99"/>
    <w:rPr>
      <w:rFonts w:ascii="宋体" w:cs="Times New Roman"/>
      <w:sz w:val="18"/>
    </w:rPr>
  </w:style>
  <w:style w:type="character" w:customStyle="1" w:styleId="50">
    <w:name w:val="正文文本 3 Char"/>
    <w:basedOn w:val="34"/>
    <w:link w:val="13"/>
    <w:qFormat/>
    <w:locked/>
    <w:uiPriority w:val="99"/>
    <w:rPr>
      <w:rFonts w:eastAsia="宋体" w:cs="Times New Roman"/>
      <w:sz w:val="16"/>
      <w:lang w:val="en-US" w:eastAsia="zh-CN"/>
    </w:rPr>
  </w:style>
  <w:style w:type="character" w:customStyle="1" w:styleId="51">
    <w:name w:val="正文文本缩进 Char"/>
    <w:basedOn w:val="34"/>
    <w:link w:val="15"/>
    <w:semiHidden/>
    <w:qFormat/>
    <w:locked/>
    <w:uiPriority w:val="99"/>
    <w:rPr>
      <w:rFonts w:cs="Times New Roman"/>
      <w:kern w:val="0"/>
      <w:sz w:val="20"/>
      <w:szCs w:val="20"/>
    </w:rPr>
  </w:style>
  <w:style w:type="character" w:customStyle="1" w:styleId="52">
    <w:name w:val="Plain Text Char"/>
    <w:basedOn w:val="34"/>
    <w:qFormat/>
    <w:locked/>
    <w:uiPriority w:val="99"/>
    <w:rPr>
      <w:rFonts w:ascii="宋体" w:hAnsi="Courier New" w:eastAsia="宋体" w:cs="Times New Roman"/>
      <w:kern w:val="0"/>
      <w:sz w:val="21"/>
    </w:rPr>
  </w:style>
  <w:style w:type="character" w:customStyle="1" w:styleId="53">
    <w:name w:val="日期 Char"/>
    <w:basedOn w:val="34"/>
    <w:link w:val="19"/>
    <w:semiHidden/>
    <w:qFormat/>
    <w:locked/>
    <w:uiPriority w:val="99"/>
    <w:rPr>
      <w:rFonts w:cs="Times New Roman"/>
      <w:kern w:val="0"/>
      <w:sz w:val="20"/>
      <w:szCs w:val="20"/>
    </w:rPr>
  </w:style>
  <w:style w:type="character" w:customStyle="1" w:styleId="54">
    <w:name w:val="正文文本缩进 2 Char"/>
    <w:basedOn w:val="34"/>
    <w:link w:val="20"/>
    <w:semiHidden/>
    <w:qFormat/>
    <w:locked/>
    <w:uiPriority w:val="99"/>
    <w:rPr>
      <w:rFonts w:cs="Times New Roman"/>
      <w:kern w:val="0"/>
      <w:sz w:val="20"/>
      <w:szCs w:val="20"/>
    </w:rPr>
  </w:style>
  <w:style w:type="character" w:customStyle="1" w:styleId="55">
    <w:name w:val="批注框文本 Char"/>
    <w:basedOn w:val="34"/>
    <w:link w:val="21"/>
    <w:semiHidden/>
    <w:qFormat/>
    <w:locked/>
    <w:uiPriority w:val="99"/>
    <w:rPr>
      <w:rFonts w:cs="Times New Roman"/>
      <w:kern w:val="0"/>
      <w:sz w:val="2"/>
    </w:rPr>
  </w:style>
  <w:style w:type="character" w:customStyle="1" w:styleId="56">
    <w:name w:val="页脚 Char"/>
    <w:basedOn w:val="34"/>
    <w:link w:val="22"/>
    <w:qFormat/>
    <w:locked/>
    <w:uiPriority w:val="99"/>
    <w:rPr>
      <w:rFonts w:eastAsia="宋体" w:cs="Times New Roman"/>
      <w:sz w:val="18"/>
      <w:lang w:val="en-US" w:eastAsia="zh-CN"/>
    </w:rPr>
  </w:style>
  <w:style w:type="character" w:customStyle="1" w:styleId="57">
    <w:name w:val="Header Char"/>
    <w:basedOn w:val="34"/>
    <w:qFormat/>
    <w:locked/>
    <w:uiPriority w:val="99"/>
    <w:rPr>
      <w:rFonts w:cs="Times New Roman"/>
      <w:sz w:val="18"/>
    </w:rPr>
  </w:style>
  <w:style w:type="character" w:customStyle="1" w:styleId="58">
    <w:name w:val="Normal Indent Char"/>
    <w:qFormat/>
    <w:locked/>
    <w:uiPriority w:val="99"/>
    <w:rPr>
      <w:rFonts w:ascii="Times New Roman" w:hAnsi="Times New Roman" w:eastAsia="宋体"/>
      <w:kern w:val="0"/>
      <w:sz w:val="20"/>
    </w:rPr>
  </w:style>
  <w:style w:type="character" w:customStyle="1" w:styleId="59">
    <w:name w:val="正文缩进 Char"/>
    <w:link w:val="9"/>
    <w:qFormat/>
    <w:locked/>
    <w:uiPriority w:val="99"/>
    <w:rPr>
      <w:rFonts w:ascii="宋体" w:eastAsia="宋体"/>
      <w:snapToGrid w:val="0"/>
      <w:color w:val="000000"/>
      <w:sz w:val="21"/>
      <w:lang w:val="en-US" w:eastAsia="zh-CN"/>
    </w:rPr>
  </w:style>
  <w:style w:type="character" w:customStyle="1" w:styleId="60">
    <w:name w:val="font01"/>
    <w:qFormat/>
    <w:uiPriority w:val="99"/>
    <w:rPr>
      <w:rFonts w:ascii="宋体" w:hAnsi="宋体" w:eastAsia="宋体"/>
      <w:color w:val="000000"/>
      <w:sz w:val="24"/>
      <w:u w:val="none"/>
    </w:rPr>
  </w:style>
  <w:style w:type="character" w:customStyle="1" w:styleId="61">
    <w:name w:val="纯文本 Char"/>
    <w:link w:val="18"/>
    <w:qFormat/>
    <w:locked/>
    <w:uiPriority w:val="99"/>
    <w:rPr>
      <w:rFonts w:ascii="宋体" w:hAnsi="Courier New" w:eastAsia="宋体"/>
      <w:kern w:val="2"/>
      <w:sz w:val="21"/>
      <w:lang w:val="en-US" w:eastAsia="zh-CN"/>
    </w:rPr>
  </w:style>
  <w:style w:type="character" w:customStyle="1" w:styleId="62">
    <w:name w:val="style81"/>
    <w:qFormat/>
    <w:uiPriority w:val="99"/>
    <w:rPr>
      <w:sz w:val="21"/>
    </w:rPr>
  </w:style>
  <w:style w:type="character" w:customStyle="1" w:styleId="63">
    <w:name w:val="页眉 Char"/>
    <w:link w:val="23"/>
    <w:qFormat/>
    <w:locked/>
    <w:uiPriority w:val="99"/>
    <w:rPr>
      <w:rFonts w:eastAsia="宋体"/>
      <w:sz w:val="18"/>
      <w:lang w:val="en-US" w:eastAsia="zh-CN"/>
    </w:rPr>
  </w:style>
  <w:style w:type="paragraph" w:customStyle="1" w:styleId="64">
    <w:name w:val="_Style 10"/>
    <w:basedOn w:val="1"/>
    <w:qFormat/>
    <w:uiPriority w:val="99"/>
    <w:pPr>
      <w:spacing w:after="160" w:line="240" w:lineRule="exact"/>
    </w:pPr>
    <w:rPr>
      <w:rFonts w:ascii="Verdana" w:hAnsi="Verdana"/>
      <w:lang w:eastAsia="en-US"/>
    </w:rPr>
  </w:style>
  <w:style w:type="paragraph" w:customStyle="1" w:styleId="65">
    <w:name w:val="0段落文字"/>
    <w:basedOn w:val="1"/>
    <w:qFormat/>
    <w:uiPriority w:val="99"/>
    <w:pPr>
      <w:spacing w:line="360" w:lineRule="auto"/>
      <w:ind w:firstLine="200" w:firstLineChars="200"/>
    </w:pPr>
    <w:rPr>
      <w:sz w:val="24"/>
      <w:szCs w:val="21"/>
    </w:rPr>
  </w:style>
  <w:style w:type="paragraph" w:customStyle="1" w:styleId="66">
    <w:name w:val="_Style 3"/>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67">
    <w:name w:val="图"/>
    <w:basedOn w:val="1"/>
    <w:qFormat/>
    <w:uiPriority w:val="99"/>
    <w:pPr>
      <w:keepNext/>
      <w:widowControl w:val="0"/>
      <w:adjustRightInd w:val="0"/>
      <w:snapToGrid w:val="0"/>
      <w:spacing w:before="60" w:after="60" w:line="300" w:lineRule="auto"/>
      <w:jc w:val="center"/>
    </w:pPr>
    <w:rPr>
      <w:spacing w:val="20"/>
      <w:sz w:val="24"/>
    </w:rPr>
  </w:style>
  <w:style w:type="paragraph" w:customStyle="1" w:styleId="68">
    <w:name w:val="_正文段落"/>
    <w:basedOn w:val="1"/>
    <w:qFormat/>
    <w:uiPriority w:val="99"/>
    <w:pPr>
      <w:spacing w:line="360" w:lineRule="auto"/>
      <w:ind w:firstLine="480" w:firstLineChars="200"/>
    </w:pPr>
    <w:rPr>
      <w:rFonts w:ascii="宋体" w:hAnsi="宋体"/>
      <w:sz w:val="24"/>
    </w:rPr>
  </w:style>
  <w:style w:type="paragraph" w:customStyle="1" w:styleId="69">
    <w:name w:val="列出段落1"/>
    <w:basedOn w:val="1"/>
    <w:qFormat/>
    <w:uiPriority w:val="99"/>
    <w:pPr>
      <w:widowControl w:val="0"/>
      <w:ind w:firstLine="420" w:firstLineChars="200"/>
      <w:jc w:val="both"/>
    </w:pPr>
    <w:rPr>
      <w:rFonts w:ascii="Calibri" w:hAnsi="Calibri"/>
      <w:kern w:val="2"/>
      <w:szCs w:val="22"/>
    </w:rPr>
  </w:style>
  <w:style w:type="paragraph" w:customStyle="1" w:styleId="70">
    <w:name w:val="表格文字"/>
    <w:basedOn w:val="1"/>
    <w:qFormat/>
    <w:uiPriority w:val="99"/>
    <w:pPr>
      <w:widowControl w:val="0"/>
      <w:spacing w:before="25" w:after="25"/>
    </w:pPr>
    <w:rPr>
      <w:bCs/>
      <w:spacing w:val="10"/>
      <w:sz w:val="24"/>
    </w:rPr>
  </w:style>
  <w:style w:type="paragraph" w:customStyle="1" w:styleId="71">
    <w:name w:val="Char1"/>
    <w:basedOn w:val="1"/>
    <w:qFormat/>
    <w:uiPriority w:val="99"/>
    <w:pPr>
      <w:spacing w:after="160" w:line="240" w:lineRule="exact"/>
    </w:pPr>
    <w:rPr>
      <w:rFonts w:ascii="Verdana" w:hAnsi="Verdana"/>
      <w:lang w:eastAsia="en-US"/>
    </w:rPr>
  </w:style>
  <w:style w:type="paragraph" w:customStyle="1" w:styleId="72">
    <w:name w:val="题注5"/>
    <w:basedOn w:val="1"/>
    <w:next w:val="10"/>
    <w:qFormat/>
    <w:uiPriority w:val="99"/>
    <w:pPr>
      <w:widowControl w:val="0"/>
      <w:jc w:val="center"/>
    </w:pPr>
    <w:rPr>
      <w:b/>
      <w:color w:val="000000"/>
      <w:kern w:val="2"/>
      <w:sz w:val="24"/>
      <w:szCs w:val="21"/>
    </w:rPr>
  </w:style>
  <w:style w:type="paragraph" w:customStyle="1" w:styleId="73">
    <w:name w:val="列出段落2"/>
    <w:basedOn w:val="1"/>
    <w:qFormat/>
    <w:uiPriority w:val="99"/>
    <w:pPr>
      <w:widowControl w:val="0"/>
      <w:ind w:firstLine="420" w:firstLineChars="200"/>
      <w:jc w:val="both"/>
    </w:pPr>
    <w:rPr>
      <w:rFonts w:ascii="Calibri" w:hAnsi="Calibri"/>
      <w:kern w:val="2"/>
      <w:szCs w:val="22"/>
    </w:rPr>
  </w:style>
  <w:style w:type="paragraph" w:customStyle="1" w:styleId="74">
    <w:name w:val="文档正文"/>
    <w:basedOn w:val="1"/>
    <w:qFormat/>
    <w:uiPriority w:val="99"/>
    <w:pPr>
      <w:widowControl w:val="0"/>
      <w:adjustRightInd w:val="0"/>
      <w:spacing w:line="480" w:lineRule="atLeast"/>
      <w:ind w:firstLine="567"/>
      <w:jc w:val="both"/>
      <w:textAlignment w:val="baseline"/>
    </w:pPr>
    <w:rPr>
      <w:rFonts w:ascii="??_GB2312" w:eastAsia="Times New Roman"/>
      <w:sz w:val="24"/>
    </w:rPr>
  </w:style>
  <w:style w:type="paragraph" w:customStyle="1" w:styleId="75">
    <w:name w:val="注释级别 21"/>
    <w:basedOn w:val="1"/>
    <w:qFormat/>
    <w:uiPriority w:val="99"/>
    <w:pPr>
      <w:spacing w:before="120" w:line="360" w:lineRule="auto"/>
      <w:outlineLvl w:val="0"/>
    </w:pPr>
    <w:rPr>
      <w:rFonts w:ascii="??_GB2312" w:hAnsi="宋体" w:eastAsia="Times New Roman"/>
      <w:b/>
      <w:color w:val="000000"/>
      <w:sz w:val="32"/>
      <w:szCs w:val="32"/>
    </w:rPr>
  </w:style>
  <w:style w:type="paragraph" w:customStyle="1" w:styleId="76">
    <w:name w:val="正文缩进2格"/>
    <w:basedOn w:val="1"/>
    <w:qFormat/>
    <w:uiPriority w:val="99"/>
    <w:pPr>
      <w:spacing w:line="600" w:lineRule="exact"/>
      <w:ind w:firstLine="639" w:firstLineChars="206"/>
    </w:pPr>
    <w:rPr>
      <w:rFonts w:ascii="??_GB2312" w:hAnsi="宋体" w:eastAsia="Times New Roman"/>
      <w:sz w:val="31"/>
      <w:szCs w:val="28"/>
    </w:rPr>
  </w:style>
  <w:style w:type="character" w:customStyle="1" w:styleId="77">
    <w:name w:val="Char Char11"/>
    <w:basedOn w:val="34"/>
    <w:qFormat/>
    <w:uiPriority w:val="0"/>
    <w:rPr>
      <w:rFonts w:ascii="Verdana" w:hAnsi="Verdana"/>
      <w:lang w:eastAsia="en-US"/>
    </w:rPr>
  </w:style>
  <w:style w:type="paragraph" w:customStyle="1" w:styleId="78">
    <w:name w:val="Table Paragraph"/>
    <w:basedOn w:val="1"/>
    <w:qFormat/>
    <w:uiPriority w:val="1"/>
    <w:rPr>
      <w:rFonts w:ascii="宋体" w:hAnsi="宋体" w:cs="宋体"/>
      <w:lang w:val="zh-CN" w:bidi="zh-CN"/>
    </w:rPr>
  </w:style>
  <w:style w:type="paragraph" w:customStyle="1" w:styleId="79">
    <w:name w:val="正文_2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普通(网站)_0"/>
    <w:basedOn w:val="79"/>
    <w:unhideWhenUsed/>
    <w:qFormat/>
    <w:uiPriority w:val="99"/>
    <w:rPr>
      <w:rFonts w:ascii="Times New Roman" w:hAnsi="Times New Roman"/>
      <w:sz w:val="24"/>
      <w:szCs w:val="24"/>
    </w:rPr>
  </w:style>
  <w:style w:type="paragraph" w:styleId="81">
    <w:name w:val="List Paragraph"/>
    <w:basedOn w:val="1"/>
    <w:qFormat/>
    <w:uiPriority w:val="1"/>
    <w:pPr>
      <w:spacing w:before="1"/>
      <w:ind w:left="440" w:firstLine="480"/>
    </w:pPr>
    <w:rPr>
      <w:rFonts w:ascii="宋体" w:hAnsi="宋体" w:cs="宋体"/>
      <w:lang w:val="zh-CN" w:bidi="zh-CN"/>
    </w:rPr>
  </w:style>
  <w:style w:type="character" w:customStyle="1" w:styleId="82">
    <w:name w:val="font21"/>
    <w:basedOn w:val="34"/>
    <w:qFormat/>
    <w:uiPriority w:val="0"/>
    <w:rPr>
      <w:rFonts w:hint="eastAsia" w:ascii="宋体" w:hAnsi="宋体" w:eastAsia="宋体" w:cs="宋体"/>
      <w:color w:val="FF0000"/>
      <w:sz w:val="20"/>
      <w:szCs w:val="20"/>
      <w:u w:val="none"/>
    </w:rPr>
  </w:style>
  <w:style w:type="character" w:customStyle="1" w:styleId="83">
    <w:name w:val="font11"/>
    <w:basedOn w:val="34"/>
    <w:qFormat/>
    <w:uiPriority w:val="0"/>
    <w:rPr>
      <w:rFonts w:hint="eastAsia" w:ascii="宋体" w:hAnsi="宋体" w:eastAsia="宋体" w:cs="宋体"/>
      <w:color w:val="000000"/>
      <w:sz w:val="22"/>
      <w:szCs w:val="22"/>
      <w:u w:val="none"/>
    </w:rPr>
  </w:style>
  <w:style w:type="paragraph" w:customStyle="1" w:styleId="84">
    <w:name w:val="样式1"/>
    <w:basedOn w:val="1"/>
    <w:qFormat/>
    <w:uiPriority w:val="0"/>
  </w:style>
  <w:style w:type="paragraph" w:customStyle="1" w:styleId="85">
    <w:name w:val="正文_1_0"/>
    <w:basedOn w:val="86"/>
    <w:qFormat/>
    <w:uiPriority w:val="0"/>
    <w:rPr>
      <w:rFonts w:ascii="Calibri" w:hAnsi="Calibri"/>
      <w:szCs w:val="21"/>
    </w:rPr>
  </w:style>
  <w:style w:type="paragraph" w:customStyle="1" w:styleId="8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标题 3_0_0"/>
    <w:basedOn w:val="86"/>
    <w:next w:val="86"/>
    <w:qFormat/>
    <w:uiPriority w:val="0"/>
    <w:pPr>
      <w:tabs>
        <w:tab w:val="left" w:pos="851"/>
      </w:tabs>
      <w:autoSpaceDE w:val="0"/>
      <w:autoSpaceDN w:val="0"/>
      <w:adjustRightInd w:val="0"/>
      <w:snapToGrid w:val="0"/>
      <w:spacing w:line="360" w:lineRule="auto"/>
      <w:outlineLvl w:val="2"/>
    </w:pPr>
    <w:rPr>
      <w:rFonts w:ascii="宋体" w:hAnsi="Calibri" w:eastAsia="宋体"/>
    </w:rPr>
  </w:style>
  <w:style w:type="paragraph" w:customStyle="1" w:styleId="88">
    <w:name w:val="正文_0"/>
    <w:qFormat/>
    <w:uiPriority w:val="0"/>
    <w:pPr>
      <w:widowControl w:val="0"/>
      <w:spacing w:after="160" w:line="259" w:lineRule="auto"/>
      <w:jc w:val="both"/>
    </w:pPr>
    <w:rPr>
      <w:rFonts w:ascii="Times New Roman" w:hAnsi="Times New Roman" w:eastAsia="宋体" w:cs="Times New Roman"/>
      <w:kern w:val="2"/>
      <w:sz w:val="21"/>
      <w:szCs w:val="22"/>
      <w:lang w:val="en-US" w:eastAsia="zh-CN" w:bidi="ar-SA"/>
    </w:rPr>
  </w:style>
  <w:style w:type="character" w:customStyle="1" w:styleId="89">
    <w:name w:val="10"/>
    <w:basedOn w:val="34"/>
    <w:qFormat/>
    <w:uiPriority w:val="0"/>
    <w:rPr>
      <w:rFonts w:hint="default" w:ascii="Times New Roman" w:hAnsi="Times New Roman" w:cs="Times New Roman"/>
      <w:lang w:bidi="mn-Mong-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1</Pages>
  <Words>4920</Words>
  <Characters>28044</Characters>
  <Lines>233</Lines>
  <Paragraphs>65</Paragraphs>
  <TotalTime>28</TotalTime>
  <ScaleCrop>false</ScaleCrop>
  <LinksUpToDate>false</LinksUpToDate>
  <CharactersWithSpaces>32899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2017-09-05T02:33:00Z</dcterms:created>
  <dc:creator>gzsw</dc:creator>
  <cp:lastModifiedBy>阿强</cp:lastModifiedBy>
  <cp:lastPrinted>2017-08-25T03:24:00Z</cp:lastPrinted>
  <dcterms:modified xsi:type="dcterms:W3CDTF">2021-08-03T13:52:07Z</dcterms:modified>
  <dc:title>0封面</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FEC36D0218DA42D09C7D793F4E009BBE</vt:lpwstr>
  </property>
</Properties>
</file>