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策勒县津南新村、团结新村、巴什玉吉买村乡村振兴示范村规划项目</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磋</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商</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文</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件</w:t>
      </w:r>
    </w:p>
    <w:p>
      <w:pPr>
        <w:snapToGrid w:val="0"/>
        <w:jc w:val="center"/>
        <w:rPr>
          <w:rFonts w:hint="eastAsia" w:ascii="仿宋" w:hAnsi="仿宋" w:eastAsia="仿宋" w:cs="仿宋"/>
          <w:b/>
          <w:color w:val="000000" w:themeColor="text1"/>
          <w:spacing w:val="20"/>
          <w:kern w:val="10"/>
          <w:sz w:val="52"/>
          <w:szCs w:val="52"/>
          <w:highlight w:val="none"/>
          <w14:textFill>
            <w14:solidFill>
              <w14:schemeClr w14:val="tx1"/>
            </w14:solidFill>
          </w14:textFill>
        </w:rPr>
      </w:pPr>
    </w:p>
    <w:p>
      <w:pPr>
        <w:jc w:val="center"/>
        <w:rPr>
          <w:rFonts w:hint="eastAsia" w:ascii="仿宋" w:hAnsi="仿宋" w:eastAsia="仿宋" w:cs="仿宋"/>
          <w:b/>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采购编号：</w:t>
      </w:r>
      <w:r>
        <w:rPr>
          <w:rFonts w:hint="eastAsia" w:ascii="仿宋" w:hAnsi="仿宋" w:eastAsia="仿宋" w:cs="仿宋"/>
          <w:b/>
          <w:bCs/>
          <w:color w:val="000000"/>
          <w:sz w:val="30"/>
          <w:szCs w:val="30"/>
          <w:highlight w:val="none"/>
          <w:u w:val="single"/>
          <w:lang w:val="en-US" w:eastAsia="zh-CN"/>
        </w:rPr>
        <w:t>2021-clx- 062号</w:t>
      </w:r>
    </w:p>
    <w:p>
      <w:pPr>
        <w:spacing w:line="360" w:lineRule="auto"/>
        <w:jc w:val="center"/>
        <w:textAlignment w:val="top"/>
        <w:rPr>
          <w:rFonts w:hint="eastAsia" w:ascii="仿宋" w:hAnsi="仿宋" w:eastAsia="仿宋" w:cs="仿宋"/>
          <w:b/>
          <w:color w:val="000000" w:themeColor="text1"/>
          <w:spacing w:val="100"/>
          <w:sz w:val="30"/>
          <w:szCs w:val="30"/>
          <w:highlight w:val="none"/>
          <w14:textFill>
            <w14:solidFill>
              <w14:schemeClr w14:val="tx1"/>
            </w14:solidFill>
          </w14:textFill>
        </w:rPr>
      </w:pPr>
      <w:r>
        <w:rPr>
          <w:rFonts w:hint="eastAsia" w:ascii="仿宋" w:hAnsi="仿宋" w:eastAsia="仿宋" w:cs="仿宋"/>
          <w:b/>
          <w:color w:val="000000" w:themeColor="text1"/>
          <w:spacing w:val="100"/>
          <w:sz w:val="30"/>
          <w:szCs w:val="30"/>
          <w:highlight w:val="none"/>
          <w14:textFill>
            <w14:solidFill>
              <w14:schemeClr w14:val="tx1"/>
            </w14:solidFill>
          </w14:textFill>
        </w:rPr>
        <w:t>新疆晓君招标有限公司</w:t>
      </w:r>
    </w:p>
    <w:p>
      <w:pPr>
        <w:pStyle w:val="19"/>
        <w:jc w:val="center"/>
        <w:rPr>
          <w:rFonts w:hint="eastAsia" w:ascii="仿宋" w:hAnsi="仿宋" w:eastAsia="仿宋" w:cs="仿宋"/>
          <w:b/>
          <w:color w:val="000000" w:themeColor="text1"/>
          <w:spacing w:val="40"/>
          <w:sz w:val="30"/>
          <w:szCs w:val="30"/>
          <w:highlight w:val="none"/>
          <w14:textFill>
            <w14:solidFill>
              <w14:schemeClr w14:val="tx1"/>
            </w14:solidFill>
          </w14:textFill>
        </w:rPr>
      </w:pPr>
      <w:r>
        <w:rPr>
          <w:rFonts w:hint="eastAsia" w:ascii="仿宋" w:hAnsi="仿宋" w:eastAsia="仿宋" w:cs="仿宋"/>
          <w:b/>
          <w:color w:val="000000" w:themeColor="text1"/>
          <w:spacing w:val="40"/>
          <w:sz w:val="30"/>
          <w:szCs w:val="30"/>
          <w:highlight w:val="none"/>
          <w14:textFill>
            <w14:solidFill>
              <w14:schemeClr w14:val="tx1"/>
            </w14:solidFill>
          </w14:textFill>
        </w:rPr>
        <w:t>202</w:t>
      </w:r>
      <w:r>
        <w:rPr>
          <w:rFonts w:hint="eastAsia" w:ascii="仿宋" w:hAnsi="仿宋" w:eastAsia="仿宋" w:cs="仿宋"/>
          <w:b/>
          <w:color w:val="000000" w:themeColor="text1"/>
          <w:spacing w:val="40"/>
          <w:sz w:val="30"/>
          <w:szCs w:val="30"/>
          <w:highlight w:val="none"/>
          <w:lang w:val="en-US" w:eastAsia="zh-CN"/>
          <w14:textFill>
            <w14:solidFill>
              <w14:schemeClr w14:val="tx1"/>
            </w14:solidFill>
          </w14:textFill>
        </w:rPr>
        <w:t>1</w:t>
      </w:r>
      <w:r>
        <w:rPr>
          <w:rFonts w:hint="eastAsia" w:ascii="仿宋" w:hAnsi="仿宋" w:eastAsia="仿宋" w:cs="仿宋"/>
          <w:b/>
          <w:color w:val="000000" w:themeColor="text1"/>
          <w:spacing w:val="40"/>
          <w:sz w:val="30"/>
          <w:szCs w:val="30"/>
          <w:highlight w:val="none"/>
          <w14:textFill>
            <w14:solidFill>
              <w14:schemeClr w14:val="tx1"/>
            </w14:solidFill>
          </w14:textFill>
        </w:rPr>
        <w:t>年</w:t>
      </w:r>
      <w:r>
        <w:rPr>
          <w:rFonts w:hint="eastAsia" w:ascii="仿宋" w:hAnsi="仿宋" w:eastAsia="仿宋" w:cs="仿宋"/>
          <w:b/>
          <w:color w:val="000000" w:themeColor="text1"/>
          <w:spacing w:val="40"/>
          <w:sz w:val="30"/>
          <w:szCs w:val="30"/>
          <w:highlight w:val="none"/>
          <w:lang w:val="en-US" w:eastAsia="zh-CN"/>
          <w14:textFill>
            <w14:solidFill>
              <w14:schemeClr w14:val="tx1"/>
            </w14:solidFill>
          </w14:textFill>
        </w:rPr>
        <w:t>8</w:t>
      </w:r>
      <w:r>
        <w:rPr>
          <w:rFonts w:hint="eastAsia" w:ascii="仿宋" w:hAnsi="仿宋" w:eastAsia="仿宋" w:cs="仿宋"/>
          <w:b/>
          <w:color w:val="000000" w:themeColor="text1"/>
          <w:spacing w:val="40"/>
          <w:sz w:val="30"/>
          <w:szCs w:val="30"/>
          <w:highlight w:val="none"/>
          <w14:textFill>
            <w14:solidFill>
              <w14:schemeClr w14:val="tx1"/>
            </w14:solidFill>
          </w14:textFill>
        </w:rPr>
        <w:t>月</w:t>
      </w:r>
    </w:p>
    <w:p>
      <w:pPr>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政府采购</w:t>
      </w:r>
      <w:r>
        <w:rPr>
          <w:rFonts w:hint="eastAsia" w:ascii="仿宋" w:hAnsi="仿宋" w:eastAsia="仿宋" w:cs="仿宋"/>
          <w:b/>
          <w:bCs/>
          <w:color w:val="000000" w:themeColor="text1"/>
          <w:sz w:val="24"/>
          <w:highlight w:val="none"/>
          <w14:textFill>
            <w14:solidFill>
              <w14:schemeClr w14:val="tx1"/>
            </w14:solidFill>
          </w14:textFill>
        </w:rPr>
        <w:t>监督管理机构备案登记栏：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noWrap w:val="0"/>
            <w:vAlign w:val="top"/>
          </w:tcPr>
          <w:p>
            <w:pPr>
              <w:jc w:val="center"/>
              <w:rPr>
                <w:rFonts w:hint="eastAsia" w:ascii="仿宋" w:hAnsi="仿宋" w:eastAsia="仿宋" w:cs="仿宋"/>
                <w:color w:val="000000" w:themeColor="text1"/>
                <w:sz w:val="24"/>
                <w:highlight w:val="none"/>
                <w14:textFill>
                  <w14:solidFill>
                    <w14:schemeClr w14:val="tx1"/>
                  </w14:solidFill>
                </w14:textFill>
              </w:rPr>
            </w:pPr>
          </w:p>
          <w:p>
            <w:pPr>
              <w:pStyle w:val="31"/>
              <w:rPr>
                <w:rFonts w:hint="eastAsia" w:ascii="仿宋" w:hAnsi="仿宋" w:eastAsia="仿宋" w:cs="仿宋"/>
              </w:rPr>
            </w:pP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pStyle w:val="31"/>
              <w:ind w:firstLine="54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本招标文件已报备</w:t>
            </w: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31"/>
              <w:ind w:firstLine="540"/>
              <w:rPr>
                <w:rFonts w:hint="eastAsia" w:ascii="仿宋" w:hAnsi="仿宋" w:eastAsia="仿宋" w:cs="仿宋"/>
                <w:color w:val="000000" w:themeColor="text1"/>
                <w:highlight w:val="none"/>
                <w14:textFill>
                  <w14:solidFill>
                    <w14:schemeClr w14:val="tx1"/>
                  </w14:solidFill>
                </w14:textFill>
              </w:rPr>
            </w:pPr>
          </w:p>
          <w:p>
            <w:pPr>
              <w:pStyle w:val="31"/>
              <w:ind w:firstLine="542"/>
              <w:rPr>
                <w:rFonts w:hint="eastAsia" w:ascii="仿宋" w:hAnsi="仿宋" w:eastAsia="仿宋" w:cs="仿宋"/>
                <w:b/>
                <w:bCs/>
                <w:color w:val="000000" w:themeColor="text1"/>
                <w:highlight w:val="none"/>
                <w14:textFill>
                  <w14:solidFill>
                    <w14:schemeClr w14:val="tx1"/>
                  </w14:solidFill>
                </w14:textFill>
              </w:rPr>
            </w:pPr>
          </w:p>
          <w:p>
            <w:pPr>
              <w:pStyle w:val="31"/>
              <w:ind w:firstLine="542"/>
              <w:rPr>
                <w:rFonts w:hint="eastAsia" w:ascii="仿宋" w:hAnsi="仿宋" w:eastAsia="仿宋" w:cs="仿宋"/>
                <w:b/>
                <w:bCs/>
                <w:color w:val="000000" w:themeColor="text1"/>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29"/>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策勒县津南新村、团结新村、巴什玉吉买村乡村振兴示范村规划项目</w:t>
            </w: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pPr>
              <w:rPr>
                <w:rFonts w:hint="eastAsia" w:ascii="仿宋" w:hAnsi="仿宋" w:eastAsia="仿宋" w:cs="仿宋"/>
                <w:b/>
                <w:bCs/>
                <w:color w:val="000000" w:themeColor="text1"/>
                <w:sz w:val="24"/>
                <w:highlight w:val="none"/>
                <w14:textFill>
                  <w14:solidFill>
                    <w14:schemeClr w14:val="tx1"/>
                  </w14:solidFill>
                </w14:textFill>
              </w:rPr>
            </w:pPr>
          </w:p>
        </w:tc>
      </w:tr>
    </w:tbl>
    <w:p>
      <w:pPr>
        <w:spacing w:line="360" w:lineRule="auto"/>
        <w:jc w:val="righ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策勒县</w:t>
      </w:r>
      <w:r>
        <w:rPr>
          <w:rFonts w:hint="eastAsia" w:ascii="仿宋" w:hAnsi="仿宋" w:eastAsia="仿宋" w:cs="仿宋"/>
          <w:b/>
          <w:bCs/>
          <w:color w:val="000000" w:themeColor="text1"/>
          <w:sz w:val="24"/>
          <w:highlight w:val="none"/>
          <w14:textFill>
            <w14:solidFill>
              <w14:schemeClr w14:val="tx1"/>
            </w14:solidFill>
          </w14:textFill>
        </w:rPr>
        <w:t xml:space="preserve">政府采购管理办公室 </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目   录</w:t>
      </w:r>
    </w:p>
    <w:p>
      <w:pPr>
        <w:spacing w:line="360" w:lineRule="auto"/>
        <w:rPr>
          <w:rFonts w:hint="eastAsia" w:ascii="仿宋" w:hAnsi="仿宋" w:eastAsia="仿宋" w:cs="仿宋"/>
          <w:b/>
          <w:color w:val="000000" w:themeColor="text1"/>
          <w:sz w:val="44"/>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第一部分:磋商邀请函………………………………………………1-1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第二部分:磋商须知…………………………………………………2-1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第三部分:用户需求书………………………………………………3-1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第四部分:合同条款…………………………………………………4-1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sectPr>
          <w:headerReference r:id="rId3" w:type="default"/>
          <w:pgSz w:w="11906" w:h="16838"/>
          <w:pgMar w:top="1440" w:right="1588" w:bottom="1440" w:left="1588" w:header="851" w:footer="992" w:gutter="0"/>
          <w:cols w:space="720" w:num="1"/>
          <w:docGrid w:type="lines" w:linePitch="312" w:charSpace="0"/>
        </w:sectPr>
      </w:pPr>
      <w:r>
        <w:rPr>
          <w:rFonts w:hint="eastAsia" w:ascii="仿宋" w:hAnsi="仿宋" w:eastAsia="仿宋" w:cs="仿宋"/>
          <w:color w:val="000000" w:themeColor="text1"/>
          <w:sz w:val="30"/>
          <w:szCs w:val="30"/>
          <w:highlight w:val="none"/>
          <w14:textFill>
            <w14:solidFill>
              <w14:schemeClr w14:val="tx1"/>
            </w14:solidFill>
          </w14:textFill>
        </w:rPr>
        <w:t>第五部分:响应文件格式……………………………………………5-1</w:t>
      </w: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第一部分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邀 请 函</w:t>
      </w: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tabs>
          <w:tab w:val="left" w:pos="1665"/>
        </w:tabs>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3"/>
        <w:keepNext w:val="0"/>
        <w:keepLines w:val="0"/>
        <w:widowControl/>
        <w:suppressLineNumbers w:val="0"/>
        <w:spacing w:line="360" w:lineRule="atLeast"/>
        <w:jc w:val="center"/>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pStyle w:val="29"/>
        <w:spacing w:before="50" w:beforeAutospacing="0" w:after="50" w:afterAutospacing="0" w:line="360" w:lineRule="auto"/>
        <w:rPr>
          <w:rFonts w:hint="eastAsia" w:ascii="仿宋" w:hAnsi="仿宋" w:eastAsia="仿宋" w:cs="仿宋"/>
          <w:color w:val="000000"/>
          <w:highlight w:val="none"/>
        </w:rPr>
      </w:pPr>
      <w:r>
        <w:rPr>
          <w:rFonts w:hint="eastAsia" w:ascii="仿宋" w:hAnsi="仿宋" w:eastAsia="仿宋" w:cs="仿宋"/>
          <w:color w:val="000000"/>
          <w:kern w:val="28"/>
          <w:highlight w:val="none"/>
        </w:rPr>
        <w:t xml:space="preserve"> </w:t>
      </w:r>
      <w:r>
        <w:rPr>
          <w:rFonts w:hint="eastAsia" w:ascii="仿宋" w:hAnsi="仿宋" w:eastAsia="仿宋" w:cs="仿宋"/>
          <w:color w:val="000000"/>
          <w:highlight w:val="none"/>
        </w:rPr>
        <w:t>项目概况</w:t>
      </w:r>
    </w:p>
    <w:p>
      <w:pPr>
        <w:pStyle w:val="29"/>
        <w:spacing w:before="50" w:beforeAutospacing="0" w:after="50" w:afterAutospacing="0" w:line="36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u w:val="single"/>
        </w:rPr>
        <w:t>策勒县津南新村、团结新村、巴什玉吉买村乡村振兴示范村规划项目</w:t>
      </w:r>
      <w:r>
        <w:rPr>
          <w:rFonts w:hint="eastAsia" w:ascii="仿宋" w:hAnsi="仿宋" w:eastAsia="仿宋" w:cs="仿宋"/>
          <w:color w:val="000000"/>
          <w:highlight w:val="none"/>
        </w:rPr>
        <w:t>的潜在投标人应在新疆政府采购网获取招标文件，并于</w:t>
      </w:r>
      <w:r>
        <w:rPr>
          <w:rFonts w:hint="eastAsia" w:ascii="仿宋" w:hAnsi="仿宋" w:eastAsia="仿宋" w:cs="仿宋"/>
          <w:color w:val="000000"/>
          <w:highlight w:val="none"/>
          <w:u w:val="single"/>
        </w:rPr>
        <w:t>2021年</w:t>
      </w:r>
      <w:r>
        <w:rPr>
          <w:rFonts w:hint="eastAsia" w:ascii="仿宋" w:hAnsi="仿宋" w:eastAsia="仿宋" w:cs="仿宋"/>
          <w:color w:val="000000"/>
          <w:highlight w:val="none"/>
          <w:u w:val="single"/>
          <w:lang w:val="en-US" w:eastAsia="zh-CN"/>
        </w:rPr>
        <w:t>8月17日</w:t>
      </w:r>
      <w:r>
        <w:rPr>
          <w:rFonts w:hint="eastAsia" w:ascii="仿宋" w:hAnsi="仿宋" w:eastAsia="仿宋" w:cs="仿宋"/>
          <w:color w:val="000000"/>
          <w:highlight w:val="none"/>
          <w:u w:val="single"/>
        </w:rPr>
        <w:t xml:space="preserve"> 11:00</w:t>
      </w:r>
      <w:r>
        <w:rPr>
          <w:rFonts w:hint="eastAsia" w:ascii="仿宋" w:hAnsi="仿宋" w:eastAsia="仿宋" w:cs="仿宋"/>
          <w:color w:val="000000"/>
          <w:highlight w:val="none"/>
        </w:rPr>
        <w:t>（北京时间）前递交投标文件。</w:t>
      </w:r>
    </w:p>
    <w:p>
      <w:pPr>
        <w:pStyle w:val="29"/>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一、</w:t>
      </w: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项目基本情况</w:t>
      </w:r>
    </w:p>
    <w:p>
      <w:pPr>
        <w:pStyle w:val="29"/>
        <w:spacing w:before="50" w:beforeAutospacing="0" w:after="50" w:afterAutospacing="0" w:line="360" w:lineRule="auto"/>
        <w:ind w:firstLine="420"/>
        <w:rPr>
          <w:rFonts w:hint="eastAsia" w:ascii="仿宋" w:hAnsi="仿宋" w:eastAsia="仿宋" w:cs="仿宋"/>
          <w:color w:val="000000"/>
          <w:highlight w:val="none"/>
          <w:u w:val="single"/>
          <w:lang w:val="en-US" w:eastAsia="zh-CN"/>
        </w:rPr>
      </w:pPr>
      <w:r>
        <w:rPr>
          <w:rFonts w:hint="eastAsia" w:ascii="仿宋" w:hAnsi="仿宋" w:eastAsia="仿宋" w:cs="仿宋"/>
          <w:color w:val="000000"/>
          <w:highlight w:val="none"/>
        </w:rPr>
        <w:t>项目编号</w:t>
      </w:r>
      <w:r>
        <w:rPr>
          <w:rFonts w:hint="eastAsia" w:ascii="仿宋" w:hAnsi="仿宋" w:eastAsia="仿宋" w:cs="仿宋"/>
          <w:color w:val="000000"/>
          <w:highlight w:val="none"/>
          <w:u w:val="single"/>
        </w:rPr>
        <w:t>：</w:t>
      </w:r>
      <w:r>
        <w:rPr>
          <w:rFonts w:hint="eastAsia" w:ascii="仿宋" w:hAnsi="仿宋" w:eastAsia="仿宋" w:cs="仿宋"/>
          <w:color w:val="000000"/>
          <w:highlight w:val="none"/>
          <w:u w:val="single"/>
          <w:lang w:val="en-US" w:eastAsia="zh-CN"/>
        </w:rPr>
        <w:t>2021-clx- 062号</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项目名称：</w:t>
      </w:r>
      <w:r>
        <w:rPr>
          <w:rFonts w:hint="eastAsia" w:ascii="仿宋" w:hAnsi="仿宋" w:eastAsia="仿宋" w:cs="仿宋"/>
          <w:color w:val="000000"/>
          <w:highlight w:val="none"/>
          <w:u w:val="single"/>
          <w:lang w:eastAsia="zh-CN"/>
        </w:rPr>
        <w:t>策勒县津南新村、团结新村、巴什玉吉买村乡村振兴示范村规划项目</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rPr>
        <w:t>采购方式：</w:t>
      </w:r>
      <w:r>
        <w:rPr>
          <w:rFonts w:hint="eastAsia" w:ascii="仿宋" w:hAnsi="仿宋" w:eastAsia="仿宋" w:cs="仿宋"/>
          <w:color w:val="000000"/>
          <w:highlight w:val="none"/>
          <w:lang w:eastAsia="zh-CN"/>
        </w:rPr>
        <w:t>竞争性磋商</w:t>
      </w:r>
    </w:p>
    <w:p>
      <w:pPr>
        <w:pStyle w:val="29"/>
        <w:spacing w:before="50" w:beforeAutospacing="0" w:after="50" w:afterAutospacing="0" w:line="360" w:lineRule="auto"/>
        <w:ind w:firstLine="420"/>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标项1：预算金额（元）：</w:t>
      </w:r>
      <w:r>
        <w:rPr>
          <w:rFonts w:hint="eastAsia" w:ascii="仿宋" w:hAnsi="仿宋" w:eastAsia="仿宋" w:cs="仿宋"/>
          <w:color w:val="000000"/>
          <w:highlight w:val="none"/>
          <w:lang w:val="en-US" w:eastAsia="zh-CN"/>
        </w:rPr>
        <w:t>1000000.00</w:t>
      </w:r>
    </w:p>
    <w:p>
      <w:pPr>
        <w:pStyle w:val="29"/>
        <w:spacing w:before="50" w:beforeAutospacing="0" w:after="50" w:afterAutospacing="0" w:line="360" w:lineRule="auto"/>
        <w:ind w:firstLine="420"/>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最高限价（元）：</w:t>
      </w:r>
      <w:r>
        <w:rPr>
          <w:rFonts w:hint="eastAsia" w:ascii="仿宋" w:hAnsi="仿宋" w:eastAsia="仿宋" w:cs="仿宋"/>
          <w:color w:val="000000"/>
          <w:highlight w:val="none"/>
          <w:lang w:val="en-US" w:eastAsia="zh-CN"/>
        </w:rPr>
        <w:t>1000000.00</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2" w:firstLineChars="200"/>
        <w:textAlignment w:val="auto"/>
        <w:rPr>
          <w:rFonts w:hint="eastAsia" w:ascii="仿宋" w:hAnsi="仿宋" w:eastAsia="仿宋" w:cs="仿宋"/>
          <w:b w:val="0"/>
          <w:bCs w:val="0"/>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highlight w:val="none"/>
        </w:rPr>
        <w:t>采购需求：</w:t>
      </w:r>
      <w:r>
        <w:rPr>
          <w:rFonts w:hint="eastAsia" w:ascii="仿宋" w:hAnsi="仿宋" w:eastAsia="仿宋" w:cs="仿宋"/>
          <w:b w:val="0"/>
          <w:bCs w:val="0"/>
          <w:color w:val="000000" w:themeColor="text1"/>
          <w:sz w:val="24"/>
          <w:szCs w:val="24"/>
          <w:highlight w:val="none"/>
          <w:lang w:val="zh-CN" w:eastAsia="zh-CN" w:bidi="zh-CN"/>
          <w14:textFill>
            <w14:solidFill>
              <w14:schemeClr w14:val="tx1"/>
            </w14:solidFill>
          </w14:textFill>
        </w:rPr>
        <w:t>规划编制范围为津南新村、团结新村、巴什玉吉买村村域。</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合同履约期限：30天。</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lang w:eastAsia="zh-CN"/>
        </w:rPr>
        <w:t>本项目不接受联合体投标。</w:t>
      </w:r>
    </w:p>
    <w:p>
      <w:pPr>
        <w:pStyle w:val="29"/>
        <w:numPr>
          <w:ilvl w:val="0"/>
          <w:numId w:val="2"/>
        </w:numPr>
        <w:spacing w:before="50" w:beforeAutospacing="0" w:after="50" w:afterAutospacing="0" w:line="360" w:lineRule="auto"/>
        <w:rPr>
          <w:rStyle w:val="36"/>
          <w:rFonts w:hint="eastAsia" w:ascii="仿宋" w:hAnsi="仿宋" w:eastAsia="仿宋" w:cs="仿宋"/>
          <w:color w:val="000000"/>
          <w:highlight w:val="none"/>
        </w:rPr>
      </w:pPr>
      <w:r>
        <w:rPr>
          <w:rStyle w:val="36"/>
          <w:rFonts w:hint="eastAsia" w:ascii="仿宋" w:hAnsi="仿宋" w:eastAsia="仿宋" w:cs="仿宋"/>
          <w:color w:val="000000"/>
          <w:highlight w:val="none"/>
        </w:rPr>
        <w:t>申请人的资格要求：</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1.满足《中华人民共和国政府采购法》第二十二条规定；</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2）提供 2019 年度或 2020年度经审计的《财务审计报告书》复印件，或银行出具的资信证明材料复印件；</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3）提供近段时间内（近 3 个月或以上）的缴纳税收的完税证明或税务部门出具的纳税证明；如依法免税的，应提供相应文件证明；</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4）提供近段时间内（近 3 个月或以上）的缴纳社保证明材料加盖公章。如依法不需要缴纳社会保障资金的，应提供相应文件证明；</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5）提供履行合同所必需的设备和专业技术能力的书面声明；（提供《投标人资格声明函》）</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6）提供参加政府采购活动前3年内在经营活动中没有重大违法记录的书面声明；（提供《投标人资格声明函》）。</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 2.落实政府采购政策需满足的资格要求：</w:t>
      </w:r>
    </w:p>
    <w:p>
      <w:pPr>
        <w:pStyle w:val="29"/>
        <w:spacing w:before="50" w:beforeAutospacing="0" w:after="50" w:afterAutospacing="0" w:line="360" w:lineRule="auto"/>
        <w:rPr>
          <w:rFonts w:hint="eastAsia" w:ascii="仿宋" w:hAnsi="仿宋" w:eastAsia="仿宋" w:cs="仿宋"/>
          <w:color w:val="000000"/>
          <w:highlight w:val="none"/>
        </w:rPr>
      </w:pPr>
      <w:r>
        <w:rPr>
          <w:rFonts w:hint="eastAsia" w:ascii="仿宋" w:hAnsi="仿宋" w:eastAsia="仿宋" w:cs="仿宋"/>
          <w:color w:val="000000"/>
          <w:highlight w:val="none"/>
        </w:rPr>
        <w:t>需要落实的政策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3.本项目的特定资格要求：</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1）投标人具有</w:t>
      </w:r>
      <w:r>
        <w:rPr>
          <w:rFonts w:hint="eastAsia" w:ascii="仿宋" w:hAnsi="仿宋" w:eastAsia="仿宋" w:cs="仿宋"/>
          <w:color w:val="000000"/>
          <w:highlight w:val="none"/>
        </w:rPr>
        <w:t>城乡规划编制乙级或乙级以上资质证书</w:t>
      </w:r>
      <w:r>
        <w:rPr>
          <w:rFonts w:hint="eastAsia" w:ascii="仿宋" w:hAnsi="仿宋" w:eastAsia="仿宋" w:cs="仿宋"/>
          <w:color w:val="000000"/>
          <w:highlight w:val="none"/>
          <w:lang w:eastAsia="zh-CN"/>
        </w:rPr>
        <w:t>；</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项目负责人注册城乡规划师资格证书</w:t>
      </w:r>
      <w:r>
        <w:rPr>
          <w:rFonts w:hint="eastAsia" w:ascii="仿宋" w:hAnsi="仿宋" w:eastAsia="仿宋" w:cs="仿宋"/>
          <w:color w:val="000000"/>
          <w:highlight w:val="none"/>
          <w:lang w:eastAsia="zh-CN"/>
        </w:rPr>
        <w:t>；</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）为采购项目提供整体设计、规范编制或者项目管理、监理、检测等服务的供应商，不得再参加该采购项目同一合同项下的其他采购活动。（提供《投标人资格声明函》）</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）单位负责人为同一人或者存在直接控股、管理关系的不同供应商，不得参加同一合同项下的政府采购活动。（提供《投标人资格声明函》）</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三、获取招标文件</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获取文件时间：2021年</w:t>
      </w:r>
      <w:r>
        <w:rPr>
          <w:rFonts w:hint="eastAsia" w:ascii="仿宋" w:hAnsi="仿宋" w:eastAsia="仿宋" w:cs="仿宋"/>
          <w:color w:val="000000"/>
          <w:highlight w:val="none"/>
          <w:lang w:val="en-US" w:eastAsia="zh-CN"/>
        </w:rPr>
        <w:t>8</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rPr>
        <w:t>日至2021年</w:t>
      </w:r>
      <w:r>
        <w:rPr>
          <w:rFonts w:hint="eastAsia" w:ascii="仿宋" w:hAnsi="仿宋" w:eastAsia="仿宋" w:cs="仿宋"/>
          <w:color w:val="000000"/>
          <w:highlight w:val="none"/>
          <w:lang w:val="en-US" w:eastAsia="zh-CN"/>
        </w:rPr>
        <w:t>8</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13</w:t>
      </w:r>
      <w:r>
        <w:rPr>
          <w:rFonts w:hint="eastAsia" w:ascii="仿宋" w:hAnsi="仿宋" w:eastAsia="仿宋" w:cs="仿宋"/>
          <w:color w:val="000000"/>
          <w:highlight w:val="none"/>
        </w:rPr>
        <w:t>日（提供期限自本公告发布之日起不得少于5个工作日），每天上午10：00至14:00，下午16:00至19:30（北京时间，法定节假日除外）</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地点：新疆政府采购网</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方式：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w:t>
      </w:r>
    </w:p>
    <w:p>
      <w:pPr>
        <w:pStyle w:val="29"/>
        <w:spacing w:before="50" w:beforeAutospacing="0" w:after="50" w:afterAutospacing="0" w:line="360" w:lineRule="auto"/>
        <w:ind w:firstLine="420"/>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售价（元）：</w:t>
      </w:r>
      <w:r>
        <w:rPr>
          <w:rFonts w:hint="eastAsia" w:ascii="仿宋" w:hAnsi="仿宋" w:eastAsia="仿宋" w:cs="仿宋"/>
          <w:color w:val="000000"/>
          <w:highlight w:val="none"/>
          <w:lang w:val="en-US" w:eastAsia="zh-CN"/>
        </w:rPr>
        <w:t xml:space="preserve"> 0元</w:t>
      </w:r>
    </w:p>
    <w:p>
      <w:pPr>
        <w:pStyle w:val="29"/>
        <w:spacing w:before="50" w:beforeAutospacing="0" w:after="50" w:afterAutospacing="0" w:line="360" w:lineRule="auto"/>
        <w:ind w:firstLine="420"/>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获取文件时提供：营业执照扫描件加盖投标人公章，授权委托书加盖投标人公章</w:t>
      </w:r>
    </w:p>
    <w:p>
      <w:pPr>
        <w:pStyle w:val="29"/>
        <w:spacing w:before="170" w:beforeAutospacing="0" w:after="170" w:afterAutospacing="0" w:line="360" w:lineRule="auto"/>
        <w:jc w:val="both"/>
        <w:rPr>
          <w:rFonts w:hint="eastAsia" w:ascii="仿宋" w:hAnsi="仿宋" w:eastAsia="仿宋" w:cs="仿宋"/>
          <w:color w:val="000000"/>
          <w:highlight w:val="none"/>
        </w:rPr>
      </w:pPr>
      <w:r>
        <w:rPr>
          <w:rStyle w:val="36"/>
          <w:rFonts w:hint="eastAsia" w:ascii="仿宋" w:hAnsi="仿宋" w:eastAsia="仿宋" w:cs="仿宋"/>
          <w:color w:val="000000"/>
          <w:highlight w:val="none"/>
        </w:rPr>
        <w:t>四、提交投标文件截止时间、开标时间和地点</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提交投标文件截止时间：2021年</w:t>
      </w:r>
      <w:r>
        <w:rPr>
          <w:rFonts w:hint="eastAsia" w:ascii="仿宋" w:hAnsi="仿宋" w:eastAsia="仿宋" w:cs="仿宋"/>
          <w:color w:val="000000"/>
          <w:highlight w:val="none"/>
          <w:lang w:val="en-US" w:eastAsia="zh-CN"/>
        </w:rPr>
        <w:t>8月17日</w:t>
      </w:r>
      <w:r>
        <w:rPr>
          <w:rFonts w:hint="eastAsia" w:ascii="仿宋" w:hAnsi="仿宋" w:eastAsia="仿宋" w:cs="仿宋"/>
          <w:color w:val="000000"/>
          <w:highlight w:val="none"/>
        </w:rPr>
        <w:t xml:space="preserve"> 11:00（北京时间）</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投标地点：策勒县政务服务与公共资源交易中心（策勒县石榴花社区经五路21号）</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开标时间：2021年</w:t>
      </w:r>
      <w:r>
        <w:rPr>
          <w:rFonts w:hint="eastAsia" w:ascii="仿宋" w:hAnsi="仿宋" w:eastAsia="仿宋" w:cs="仿宋"/>
          <w:color w:val="000000"/>
          <w:highlight w:val="none"/>
          <w:lang w:val="en-US" w:eastAsia="zh-CN"/>
        </w:rPr>
        <w:t>8月17日</w:t>
      </w:r>
      <w:r>
        <w:rPr>
          <w:rFonts w:hint="eastAsia" w:ascii="仿宋" w:hAnsi="仿宋" w:eastAsia="仿宋" w:cs="仿宋"/>
          <w:color w:val="000000"/>
          <w:highlight w:val="none"/>
        </w:rPr>
        <w:t xml:space="preserve"> 11:00（北京时间）</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开标地点：策勒县政务服务与公共资源交易中心（策勒县石榴花社区经五路21号）</w:t>
      </w:r>
    </w:p>
    <w:p>
      <w:pPr>
        <w:pStyle w:val="29"/>
        <w:spacing w:before="170" w:beforeAutospacing="0" w:after="170" w:afterAutospacing="0" w:line="360" w:lineRule="auto"/>
        <w:jc w:val="both"/>
        <w:rPr>
          <w:rFonts w:hint="eastAsia" w:ascii="仿宋" w:hAnsi="仿宋" w:eastAsia="仿宋" w:cs="仿宋"/>
          <w:color w:val="000000"/>
          <w:highlight w:val="none"/>
        </w:rPr>
      </w:pPr>
      <w:r>
        <w:rPr>
          <w:rStyle w:val="36"/>
          <w:rFonts w:hint="eastAsia" w:ascii="仿宋" w:hAnsi="仿宋" w:eastAsia="仿宋" w:cs="仿宋"/>
          <w:color w:val="000000"/>
          <w:highlight w:val="none"/>
        </w:rPr>
        <w:t>五、公告期限</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自本公告发布之日起5个工作日。</w:t>
      </w:r>
    </w:p>
    <w:p>
      <w:pPr>
        <w:pStyle w:val="29"/>
        <w:spacing w:before="170" w:beforeAutospacing="0" w:after="170" w:afterAutospacing="0" w:line="360" w:lineRule="auto"/>
        <w:jc w:val="both"/>
        <w:rPr>
          <w:rFonts w:hint="eastAsia" w:ascii="仿宋" w:hAnsi="仿宋" w:eastAsia="仿宋" w:cs="仿宋"/>
          <w:color w:val="000000"/>
          <w:highlight w:val="none"/>
        </w:rPr>
      </w:pPr>
      <w:r>
        <w:rPr>
          <w:rStyle w:val="36"/>
          <w:rFonts w:hint="eastAsia" w:ascii="仿宋" w:hAnsi="仿宋" w:eastAsia="仿宋" w:cs="仿宋"/>
          <w:color w:val="000000"/>
          <w:highlight w:val="none"/>
        </w:rPr>
        <w:t>六、其他补充事宜</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29"/>
        <w:spacing w:before="170" w:beforeAutospacing="0" w:after="170" w:afterAutospacing="0" w:line="360" w:lineRule="auto"/>
        <w:jc w:val="both"/>
        <w:rPr>
          <w:rFonts w:hint="eastAsia" w:ascii="仿宋" w:hAnsi="仿宋" w:eastAsia="仿宋" w:cs="仿宋"/>
          <w:color w:val="000000"/>
          <w:highlight w:val="none"/>
        </w:rPr>
      </w:pPr>
      <w:r>
        <w:rPr>
          <w:rStyle w:val="36"/>
          <w:rFonts w:hint="eastAsia" w:ascii="仿宋" w:hAnsi="仿宋" w:eastAsia="仿宋" w:cs="仿宋"/>
          <w:color w:val="000000"/>
          <w:highlight w:val="none"/>
        </w:rPr>
        <w:t>七、对本次采购提出询问，请按以下方式联系</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1.采购人信息</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rPr>
        <w:t>采购人名称： </w:t>
      </w:r>
      <w:r>
        <w:rPr>
          <w:rFonts w:hint="eastAsia" w:ascii="仿宋" w:hAnsi="仿宋" w:eastAsia="仿宋" w:cs="仿宋"/>
          <w:color w:val="000000"/>
          <w:highlight w:val="none"/>
          <w:lang w:eastAsia="zh-CN"/>
        </w:rPr>
        <w:t>策勒县乡村振兴局</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rPr>
        <w:t xml:space="preserve">联系人：  </w:t>
      </w:r>
      <w:r>
        <w:rPr>
          <w:rFonts w:hint="eastAsia" w:ascii="仿宋" w:hAnsi="仿宋" w:eastAsia="仿宋" w:cs="仿宋"/>
          <w:color w:val="000000"/>
          <w:highlight w:val="none"/>
          <w:lang w:eastAsia="zh-CN"/>
        </w:rPr>
        <w:t>张建</w:t>
      </w:r>
    </w:p>
    <w:p>
      <w:pPr>
        <w:pStyle w:val="29"/>
        <w:spacing w:before="50" w:beforeAutospacing="0" w:after="50" w:afterAutospacing="0" w:line="360" w:lineRule="auto"/>
        <w:ind w:firstLine="420"/>
        <w:rPr>
          <w:rFonts w:hint="eastAsia" w:ascii="仿宋" w:hAnsi="仿宋" w:eastAsia="仿宋" w:cs="仿宋"/>
          <w:color w:val="000000"/>
          <w:highlight w:val="none"/>
          <w:lang w:val="en-US" w:eastAsia="zh-CN"/>
        </w:rPr>
      </w:pPr>
      <w:r>
        <w:rPr>
          <w:rFonts w:hint="eastAsia" w:ascii="仿宋" w:hAnsi="仿宋" w:eastAsia="仿宋" w:cs="仿宋"/>
          <w:color w:val="000000"/>
          <w:highlight w:val="none"/>
        </w:rPr>
        <w:t>联系电话：</w:t>
      </w:r>
      <w:r>
        <w:rPr>
          <w:rFonts w:hint="eastAsia" w:ascii="仿宋" w:hAnsi="仿宋" w:eastAsia="仿宋" w:cs="仿宋"/>
          <w:color w:val="000000"/>
          <w:highlight w:val="none"/>
          <w:lang w:val="en-US" w:eastAsia="zh-CN"/>
        </w:rPr>
        <w:t>18016916768</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2.采购代理机构信息</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名 称：新疆晓君招标有限公司</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rPr>
        <w:t>地 址：新疆和田市阿恰勒西路马热甫</w:t>
      </w:r>
      <w:r>
        <w:rPr>
          <w:rFonts w:hint="eastAsia" w:ascii="仿宋" w:hAnsi="仿宋" w:eastAsia="仿宋" w:cs="仿宋"/>
          <w:color w:val="000000"/>
          <w:highlight w:val="none"/>
          <w:lang w:eastAsia="zh-CN"/>
        </w:rPr>
        <w:t>3巷99号</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联系方式：17799150765</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3.项目联系方式</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项目联系人：杨强</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电 话：17799150765</w:t>
      </w:r>
    </w:p>
    <w:p>
      <w:pPr>
        <w:rPr>
          <w:rFonts w:hint="eastAsia" w:ascii="仿宋" w:hAnsi="仿宋" w:eastAsia="仿宋" w:cs="仿宋"/>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第二部分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9"/>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须 知</w:t>
      </w:r>
    </w:p>
    <w:p>
      <w:pPr>
        <w:pStyle w:val="22"/>
        <w:spacing w:line="360" w:lineRule="auto"/>
        <w:jc w:val="center"/>
        <w:rPr>
          <w:rFonts w:hint="eastAsia" w:ascii="仿宋" w:hAnsi="仿宋" w:eastAsia="仿宋" w:cs="仿宋"/>
          <w:color w:val="000000" w:themeColor="text1"/>
          <w:highlight w:val="none"/>
          <w14:textFill>
            <w14:solidFill>
              <w14:schemeClr w14:val="tx1"/>
            </w14:solidFill>
          </w14:textFill>
        </w:rPr>
      </w:pPr>
    </w:p>
    <w:p>
      <w:pPr>
        <w:pStyle w:val="24"/>
        <w:spacing w:line="360" w:lineRule="auto"/>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0" w:name="_Toc42952414"/>
      <w:r>
        <w:rPr>
          <w:rFonts w:hint="eastAsia" w:ascii="仿宋" w:hAnsi="仿宋" w:eastAsia="仿宋" w:cs="仿宋"/>
          <w:bCs w:val="0"/>
          <w:color w:val="000000" w:themeColor="text1"/>
          <w:kern w:val="2"/>
          <w:sz w:val="32"/>
          <w:szCs w:val="32"/>
          <w:highlight w:val="none"/>
          <w14:textFill>
            <w14:solidFill>
              <w14:schemeClr w14:val="tx1"/>
            </w14:solidFill>
          </w14:textFill>
        </w:rPr>
        <w:t>一、说明</w:t>
      </w:r>
      <w:bookmarkEnd w:id="0"/>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w:t>
      </w:r>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“采购代理机构”指新疆晓君招标有限公司。</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指经法定程序确定并授予合同的供应商。</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“货物”指供应商按磋商文件的规定，须向采购人提供的一切产品、物品及其它材料等。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“服务”指供应商提供的货物所需的相关服务以及用户需求书中要求的其它服务。</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1.满足《中华人民共和国政府采购法》第二十二条规定；</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2）提供 2019 年度或 2020年度经审计的《财务审计报告书》复印件，或银行出具的资信证明材料复印件；</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3）提供近段时间内（近 3 个月或以上）的缴纳税收的完税证明或税务部门出具的纳税证明；如依法免税的，应提供相应文件证明；</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4）提供近段时间内（近 3 个月或以上）的缴纳社保证明材料加盖公章。如依法不需要缴纳社会保障资金的，应提供相应文件证明；</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5）提供履行合同所必需的设备和专业技术能力的书面声明；（提供《投标人资格声明函》）</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6）提供参加政府采购活动前3年内在经营活动中没有重大违法记录的书面声明；（提供《投标人资格声明函》）。</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 2.落实政府采购政策需满足的资格要求：</w:t>
      </w:r>
    </w:p>
    <w:p>
      <w:pPr>
        <w:pStyle w:val="29"/>
        <w:spacing w:before="50" w:beforeAutospacing="0" w:after="50" w:afterAutospacing="0" w:line="360" w:lineRule="auto"/>
        <w:rPr>
          <w:rFonts w:hint="eastAsia" w:ascii="仿宋" w:hAnsi="仿宋" w:eastAsia="仿宋" w:cs="仿宋"/>
          <w:color w:val="000000"/>
          <w:highlight w:val="none"/>
        </w:rPr>
      </w:pPr>
      <w:r>
        <w:rPr>
          <w:rFonts w:hint="eastAsia" w:ascii="仿宋" w:hAnsi="仿宋" w:eastAsia="仿宋" w:cs="仿宋"/>
          <w:color w:val="000000"/>
          <w:highlight w:val="none"/>
        </w:rPr>
        <w:t>需要落实的政策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rPr>
        <w:t>3.本项目的特定资格要求：</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1）投标人具有</w:t>
      </w:r>
      <w:r>
        <w:rPr>
          <w:rFonts w:hint="eastAsia" w:ascii="仿宋" w:hAnsi="仿宋" w:eastAsia="仿宋" w:cs="仿宋"/>
          <w:color w:val="000000"/>
          <w:highlight w:val="none"/>
        </w:rPr>
        <w:t>城乡规划编制乙级或乙级以上资质证书</w:t>
      </w:r>
      <w:r>
        <w:rPr>
          <w:rFonts w:hint="eastAsia" w:ascii="仿宋" w:hAnsi="仿宋" w:eastAsia="仿宋" w:cs="仿宋"/>
          <w:color w:val="000000"/>
          <w:highlight w:val="none"/>
          <w:lang w:eastAsia="zh-CN"/>
        </w:rPr>
        <w:t>；</w:t>
      </w:r>
    </w:p>
    <w:p>
      <w:pPr>
        <w:pStyle w:val="29"/>
        <w:spacing w:before="50" w:beforeAutospacing="0" w:after="50" w:afterAutospacing="0" w:line="360" w:lineRule="auto"/>
        <w:ind w:firstLine="420"/>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项目负责人注册城乡规划师资格证书</w:t>
      </w:r>
      <w:r>
        <w:rPr>
          <w:rFonts w:hint="eastAsia" w:ascii="仿宋" w:hAnsi="仿宋" w:eastAsia="仿宋" w:cs="仿宋"/>
          <w:color w:val="000000"/>
          <w:highlight w:val="none"/>
          <w:lang w:eastAsia="zh-CN"/>
        </w:rPr>
        <w:t>；</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）为采购项目提供整体设计、规范编制或者项目管理、监理、检测等服务的供应商，不得再参加该采购项目同一合同项下的其他采购活动。（提供《投标人资格声明函》）</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）单位负责人为同一人或者存在直接控股、管理关系的不同供应商，不得参加同一合同项下的政府采购活动</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（提供《投标人资格声明函》）</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（1）经年审合格的三证合一的营业执照副本原件或复印件加盖公章；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如委托代理人投标需携带法定代表人授权委托书（原件）及委托代理人身份证（原件），且授权委托书中的授权人应与投标文件中授权委托人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（3）投标保证金银行回单；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（4）同意磋商文件的声明。</w:t>
      </w:r>
    </w:p>
    <w:p>
      <w:pPr>
        <w:pStyle w:val="29"/>
        <w:keepNext w:val="0"/>
        <w:keepLines w:val="0"/>
        <w:pageBreakBefore w:val="0"/>
        <w:widowControl/>
        <w:kinsoku/>
        <w:wordWrap/>
        <w:overflowPunct/>
        <w:topLinePunct w:val="0"/>
        <w:autoSpaceDE/>
        <w:autoSpaceDN/>
        <w:bidi w:val="0"/>
        <w:adjustRightInd/>
        <w:snapToGrid/>
        <w:spacing w:before="50" w:beforeAutospacing="0" w:after="50" w:afterAutospacing="0"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（5）城乡规划编制乙级或乙级以上资质证书原件或复印件加盖公章</w:t>
      </w:r>
    </w:p>
    <w:p>
      <w:pPr>
        <w:pStyle w:val="29"/>
        <w:keepNext w:val="0"/>
        <w:keepLines w:val="0"/>
        <w:pageBreakBefore w:val="0"/>
        <w:widowControl/>
        <w:kinsoku/>
        <w:wordWrap/>
        <w:overflowPunct/>
        <w:topLinePunct w:val="0"/>
        <w:autoSpaceDE/>
        <w:autoSpaceDN/>
        <w:bidi w:val="0"/>
        <w:adjustRightInd/>
        <w:snapToGrid/>
        <w:spacing w:before="50" w:beforeAutospacing="0" w:after="50" w:afterAutospacing="0"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（6）项目负责人注册城乡规划师资格证书原件或复印件加盖公章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未按要求提供者不得进入后续开标程序。</w:t>
      </w:r>
    </w:p>
    <w:p>
      <w:pPr>
        <w:pStyle w:val="2"/>
        <w:rPr>
          <w:rFonts w:hint="eastAsia" w:ascii="仿宋" w:hAnsi="仿宋" w:eastAsia="仿宋" w:cs="仿宋"/>
          <w:color w:val="000000" w:themeColor="text1"/>
          <w:sz w:val="28"/>
          <w:szCs w:val="28"/>
          <w14:textFill>
            <w14:solidFill>
              <w14:schemeClr w14:val="tx1"/>
            </w14:solidFill>
          </w14:textFill>
        </w:rPr>
      </w:pP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32"/>
          <w:szCs w:val="32"/>
          <w:highlight w:val="none"/>
          <w14:textFill>
            <w14:solidFill>
              <w14:schemeClr w14:val="tx1"/>
            </w14:solidFill>
          </w14:textFill>
        </w:rPr>
        <w:t>二、磋商文件</w:t>
      </w:r>
      <w:bookmarkEnd w:id="1"/>
    </w:p>
    <w:p>
      <w:pPr>
        <w:spacing w:before="60" w:line="360" w:lineRule="auto"/>
        <w:ind w:right="420" w:right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磋商文件的组成</w:t>
      </w:r>
    </w:p>
    <w:p>
      <w:pPr>
        <w:widowControl w:val="0"/>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根据项目的需要,采购代理机构可对磋商文件进行修改和变更。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在磋商过程中,磋商文件内容如有实质性的变更,磋商小组应以书面形式通知所有参与磋商的供应商。若供应商对此类实质性变更不予接受,可以要求退出磋商,否则将被视为接受此变更并受其约束。</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w:t>
      </w:r>
      <w:r>
        <w:rPr>
          <w:rFonts w:hint="eastAsia" w:ascii="仿宋" w:hAnsi="仿宋" w:eastAsia="仿宋" w:cs="仿宋"/>
          <w:color w:val="000000" w:themeColor="text1"/>
          <w:sz w:val="24"/>
          <w:szCs w:val="24"/>
          <w:highlight w:val="none"/>
          <w:lang w:eastAsia="zh-CN"/>
          <w14:textFill>
            <w14:solidFill>
              <w14:schemeClr w14:val="tx1"/>
            </w14:solidFill>
          </w14:textFill>
        </w:rPr>
        <w:t>若有</w:t>
      </w:r>
      <w:r>
        <w:rPr>
          <w:rFonts w:hint="eastAsia" w:ascii="仿宋" w:hAnsi="仿宋" w:eastAsia="仿宋" w:cs="仿宋"/>
          <w:color w:val="000000" w:themeColor="text1"/>
          <w:sz w:val="24"/>
          <w:szCs w:val="24"/>
          <w:highlight w:val="none"/>
          <w14:textFill>
            <w14:solidFill>
              <w14:schemeClr w14:val="tx1"/>
            </w14:solidFill>
          </w14:textFill>
        </w:rPr>
        <w:t>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供应商认为需加以说明的其它内容；</w:t>
      </w:r>
    </w:p>
    <w:p>
      <w:pPr>
        <w:widowControl w:val="0"/>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14:textFill>
            <w14:solidFill>
              <w14:schemeClr w14:val="tx1"/>
            </w14:solidFill>
          </w14:textFill>
        </w:rPr>
        <w:t>以U盘形式</w:t>
      </w:r>
      <w:r>
        <w:rPr>
          <w:rFonts w:hint="eastAsia" w:ascii="仿宋" w:hAnsi="仿宋" w:eastAsia="仿宋" w:cs="仿宋"/>
          <w:color w:val="000000" w:themeColor="text1"/>
          <w:sz w:val="24"/>
          <w:szCs w:val="24"/>
          <w14:textFill>
            <w14:solidFill>
              <w14:schemeClr w14:val="tx1"/>
            </w14:solidFill>
          </w14:textFill>
        </w:rPr>
        <w:t>）附在正本里，</w:t>
      </w:r>
      <w:r>
        <w:rPr>
          <w:rFonts w:hint="eastAsia" w:ascii="仿宋" w:hAnsi="仿宋" w:eastAsia="仿宋" w:cs="仿宋"/>
          <w:color w:val="000000" w:themeColor="text1"/>
          <w:sz w:val="24"/>
          <w:szCs w:val="24"/>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14:textFill>
            <w14:solidFill>
              <w14:schemeClr w14:val="tx1"/>
            </w14:solidFill>
          </w14:textFill>
        </w:rPr>
        <w:t>。不按以上要求递交的，视为</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文件不完整。</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没有按照要求递交响应文件及传真和电传的响应文件将被拒绝。 </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供应商应将响应文件正本和所有的副本分开密封装在封套中，封套须加盖公章且在封套上标明“正本”“副本”字样。</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2"/>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pacing w:line="360" w:lineRule="auto"/>
              <w:ind w:left="18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策勒县津南新村、团结新村、巴什玉吉买村乡村振兴示范村规划项目</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收件人名称：新疆晓君招标有限公司          </w:t>
            </w:r>
          </w:p>
          <w:p>
            <w:pP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：2021-clx- 062号</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供应商名称：XXXX                             </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供应商地址：XXXX                              邮政编码：XXXX</w:t>
            </w:r>
          </w:p>
          <w:p>
            <w:pPr>
              <w:pStyle w:val="5"/>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6"/>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6"/>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7"/>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tabs>
          <w:tab w:val="left" w:pos="360"/>
          <w:tab w:val="left" w:pos="735"/>
        </w:tabs>
        <w:snapToGrid w:val="0"/>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     投标保证金</w:t>
      </w:r>
    </w:p>
    <w:p>
      <w:pP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本项目的投标</w:t>
      </w:r>
      <w:r>
        <w:rPr>
          <w:rFonts w:hint="eastAsia" w:ascii="仿宋" w:hAnsi="仿宋" w:eastAsia="仿宋" w:cs="仿宋"/>
          <w:b/>
          <w:bCs/>
          <w:color w:val="000000" w:themeColor="text1"/>
          <w:sz w:val="24"/>
          <w:szCs w:val="24"/>
          <w:highlight w:val="none"/>
          <w14:textFill>
            <w14:solidFill>
              <w14:schemeClr w14:val="tx1"/>
            </w14:solidFill>
          </w14:textFill>
        </w:rPr>
        <w:t>保证金金额为人</w:t>
      </w:r>
      <w:r>
        <w:rPr>
          <w:rFonts w:hint="eastAsia" w:ascii="仿宋" w:hAnsi="仿宋" w:eastAsia="仿宋" w:cs="仿宋"/>
          <w:b/>
          <w:color w:val="000000" w:themeColor="text1"/>
          <w:sz w:val="24"/>
          <w:szCs w:val="24"/>
          <w:highlight w:val="none"/>
          <w14:textFill>
            <w14:solidFill>
              <w14:schemeClr w14:val="tx1"/>
            </w14:solidFill>
          </w14:textFill>
        </w:rPr>
        <w:t>民币</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贰</w:t>
      </w:r>
      <w:r>
        <w:rPr>
          <w:rFonts w:hint="eastAsia" w:ascii="仿宋" w:hAnsi="仿宋" w:eastAsia="仿宋" w:cs="仿宋"/>
          <w:b/>
          <w:color w:val="000000" w:themeColor="text1"/>
          <w:sz w:val="24"/>
          <w:szCs w:val="24"/>
          <w:highlight w:val="none"/>
          <w:lang w:eastAsia="zh-CN"/>
          <w14:textFill>
            <w14:solidFill>
              <w14:schemeClr w14:val="tx1"/>
            </w14:solidFill>
          </w14:textFill>
        </w:rPr>
        <w:t>万元整</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20000.00</w:t>
      </w:r>
      <w:r>
        <w:rPr>
          <w:rFonts w:hint="eastAsia" w:ascii="仿宋" w:hAnsi="仿宋" w:eastAsia="仿宋" w:cs="仿宋"/>
          <w:b/>
          <w:bCs/>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14:textFill>
            <w14:solidFill>
              <w14:schemeClr w14:val="tx1"/>
            </w14:solidFill>
          </w14:textFill>
        </w:rPr>
        <w:t>投标保证金是响应文件的组成部分。</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投标保证金是为了保护采购代理机构和采购人免遭因供应商的行为所造成的损失，采购代理机构和采购人在因供应商的行为而受到损害时，可以根据本须知的规定没收供应商的投标保证金。</w:t>
      </w:r>
    </w:p>
    <w:p>
      <w:pPr>
        <w:spacing w:line="360" w:lineRule="auto"/>
        <w:ind w:firstLine="480"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b w:val="0"/>
          <w:bCs/>
          <w:iCs/>
          <w:color w:val="000000" w:themeColor="text1"/>
          <w:sz w:val="24"/>
          <w:szCs w:val="24"/>
          <w:highlight w:val="none"/>
          <w14:textFill>
            <w14:solidFill>
              <w14:schemeClr w14:val="tx1"/>
            </w14:solidFill>
          </w14:textFill>
        </w:rPr>
        <w:t>投标保证金可以采用电汇、</w:t>
      </w:r>
      <w:r>
        <w:rPr>
          <w:rFonts w:hint="eastAsia" w:ascii="仿宋" w:hAnsi="仿宋" w:eastAsia="仿宋" w:cs="仿宋"/>
          <w:b w:val="0"/>
          <w:bCs/>
          <w:iCs/>
          <w:color w:val="000000" w:themeColor="text1"/>
          <w:sz w:val="24"/>
          <w:szCs w:val="24"/>
          <w:highlight w:val="none"/>
          <w:lang w:eastAsia="zh-CN"/>
          <w14:textFill>
            <w14:solidFill>
              <w14:schemeClr w14:val="tx1"/>
            </w14:solidFill>
          </w14:textFill>
        </w:rPr>
        <w:t>银行转账</w:t>
      </w:r>
      <w:r>
        <w:rPr>
          <w:rFonts w:hint="eastAsia" w:ascii="仿宋" w:hAnsi="仿宋" w:eastAsia="仿宋" w:cs="仿宋"/>
          <w:b w:val="0"/>
          <w:bCs/>
          <w:iCs/>
          <w:color w:val="000000" w:themeColor="text1"/>
          <w:sz w:val="24"/>
          <w:szCs w:val="24"/>
          <w:highlight w:val="none"/>
          <w14:textFill>
            <w14:solidFill>
              <w14:schemeClr w14:val="tx1"/>
            </w14:solidFill>
          </w14:textFill>
        </w:rPr>
        <w:t>形式提交：</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14:textFill>
            <w14:solidFill>
              <w14:schemeClr w14:val="tx1"/>
            </w14:solidFill>
          </w14:textFill>
        </w:rPr>
        <w:t>通过电汇、银行转账</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保函</w:t>
      </w:r>
      <w:r>
        <w:rPr>
          <w:rFonts w:hint="eastAsia" w:ascii="仿宋" w:hAnsi="仿宋" w:eastAsia="仿宋" w:cs="仿宋"/>
          <w:b/>
          <w:iCs/>
          <w:color w:val="000000" w:themeColor="text1"/>
          <w:sz w:val="24"/>
          <w:szCs w:val="24"/>
          <w:highlight w:val="none"/>
          <w14:textFill>
            <w14:solidFill>
              <w14:schemeClr w14:val="tx1"/>
            </w14:solidFill>
          </w14:textFill>
        </w:rPr>
        <w:t>形式递交保证金，由供应商对公账户转入如下账户（交款时供应商向银行提供项目编号，由银行开具收款单盖章交给客户留底，作为保证金收取依据）。</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投标保证金缴纳账户：</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开户名称：策勒县公共资源交易中心</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开户银行：策勒县农村信用合作社联合社</w:t>
      </w:r>
    </w:p>
    <w:p>
      <w:pPr>
        <w:spacing w:line="360" w:lineRule="auto"/>
        <w:ind w:firstLine="482" w:firstLineChars="200"/>
        <w:jc w:val="left"/>
        <w:rPr>
          <w:rFonts w:hint="eastAsia" w:ascii="仿宋" w:hAnsi="仿宋" w:eastAsia="仿宋" w:cs="仿宋"/>
          <w:b/>
          <w:i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账号：8810 1001 2010 1026 33101</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1</w:t>
      </w:r>
    </w:p>
    <w:p>
      <w:pPr>
        <w:spacing w:line="360" w:lineRule="auto"/>
        <w:jc w:val="left"/>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[递交投标保证金请注明：采购编号</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2021-clx- 062号</w:t>
      </w:r>
      <w:r>
        <w:rPr>
          <w:rFonts w:hint="eastAsia" w:ascii="仿宋" w:hAnsi="仿宋" w:eastAsia="仿宋" w:cs="仿宋"/>
          <w:b/>
          <w:bCs/>
          <w:color w:val="000000" w:themeColor="text1"/>
          <w:sz w:val="24"/>
          <w:szCs w:val="24"/>
          <w:highlight w:val="none"/>
          <w:u w:val="single"/>
          <w14:textFill>
            <w14:solidFill>
              <w14:schemeClr w14:val="tx1"/>
            </w14:solidFill>
          </w14:textFill>
        </w:rPr>
        <w:t>]</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14:textFill>
            <w14:solidFill>
              <w14:schemeClr w14:val="tx1"/>
            </w14:solidFill>
          </w14:textFill>
        </w:rPr>
        <w:t>保证金的提交要求：必须以投标单位的名义缴纳投标保证金,汇款时必须在备注栏写明所投采购项目名称。在投标截止时间前将投标保证金以银行电汇、银行转账的方式到策勒县公共资源交易中心账户，须公对公账户，不接受个人打款，以个人名义打款将视为无效。无需到策勒县公共资源交易中心换取投标保证金收据，开标时现场查验投标保证金到账情况。开标结束后未中标单位现场将授权委托书或法人身份证复印件、开户许可证复印件（注明：联系人、联系电话、行号）、收据（必须加盖公司公章/财务章）、投标保证金银行回单递交至策勒县公共资源交易中心财务室。</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 xml:space="preserve">投标保证金于截止日之前确认到账，若供应商未按照上述规定缴纳投标保证金,投标文件将被拒绝评审。 </w:t>
      </w:r>
    </w:p>
    <w:p>
      <w:pPr>
        <w:spacing w:line="360" w:lineRule="auto"/>
        <w:ind w:firstLine="482" w:firstLineChars="200"/>
        <w:jc w:val="left"/>
        <w:rPr>
          <w:rFonts w:hint="eastAsia" w:ascii="仿宋" w:hAnsi="仿宋" w:eastAsia="仿宋" w:cs="仿宋"/>
          <w:b/>
          <w:i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（3）退保证金需要：投标保证金回执单、法定代表人证明书（原件）及法定代表人身份证（原件），委托代理人投标需携带法定代表人授权委托书（原件）及委托代理人身份证（原件）、开户许可证、收据。</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8"/>
        </w:num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8"/>
        </w:numP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磋商小组依法根据磋商文件的规定与供应商进行磋商及对最终形成的响应文件和最终磋商结果进行详细评审,并据此推荐成交候选人。</w:t>
      </w:r>
    </w:p>
    <w:p>
      <w:pP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它供应商的技术资料、报价和其它信息。</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其它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磋商的时间及地点(见磋商邀请函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10"/>
        </w:numP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1"/>
        </w:num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则将被淘汰。</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商务和价格的评审：</w:t>
      </w:r>
    </w:p>
    <w:p>
      <w:pP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政府采购促进中小企业发展暂行办法》（财库[2011]181号）的规定，对小型和微型企业产品的价格给予6%的扣除，用扣除后的价格参与评审；提供的服务中仅有部分小型和微型企业的，则按所提供小型和微型企业服务的价格予以扣除。</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2"/>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85</w:t>
            </w:r>
            <w:r>
              <w:rPr>
                <w:rFonts w:hint="eastAsia" w:ascii="仿宋" w:hAnsi="仿宋" w:eastAsia="仿宋" w:cs="仿宋"/>
                <w:color w:val="000000" w:themeColor="text1"/>
                <w:sz w:val="24"/>
                <w:szCs w:val="24"/>
                <w:highlight w:val="none"/>
                <w14:textFill>
                  <w14:solidFill>
                    <w14:schemeClr w14:val="tx1"/>
                  </w14:solidFill>
                </w14:textFill>
              </w:rPr>
              <w:t>%</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w:t>
            </w:r>
          </w:p>
        </w:tc>
      </w:tr>
    </w:tbl>
    <w:p>
      <w:pPr>
        <w:widowControl w:val="0"/>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接受报价后，直至成交供应商与买方签订合同后止，凡与磋商、审查、澄清、评价、比较、确定成交人意见有关的内容，任何人均不得向供应商及与磋商评审无关的其它人透露。</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其它组织的名称；（4）质疑事项所依据的具体事实和理由、相关证据材料以及明确的请求；（5）有效联系人和联系电话；（6）提起质疑的日期。</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 </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质疑人拒绝配合政府代理机构依法进行调查的，按自动撤回质疑处理；被质疑人在规定时限内，无正当理由未提交相关证据和其它有关材料的，视同放弃说明权利，认可质疑事项。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采购代理机构：新疆晓君招标有限公司</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新疆和田市阿恰勒西路马热甫3巷99号</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话：0991-3198448</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编：83000</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联系人：杨先生</w:t>
      </w:r>
    </w:p>
    <w:p>
      <w:pP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质疑事项1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：_________________</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p>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本项目招标代理服务费的中标金额的百分之1.5。</w:t>
      </w:r>
    </w:p>
    <w:p>
      <w:pPr>
        <w:pStyle w:val="5"/>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成交服务费以人民币支付。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成交服务费支付方式：一次性以电汇、支票或现金等形式支付。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成交服务费不在报价中单列。</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供应商如果不按规定交纳成交服务费，采购代理机构将在成交人的投标保证金中抵扣服务费。</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策勒县津南新村、团结新村、巴什玉吉买村乡村振兴示范村规划项目（编号2021-clx- 062号）</w:t>
      </w:r>
    </w:p>
    <w:p>
      <w:pPr>
        <w:pStyle w:val="5"/>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2"/>
        <w:tblW w:w="13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362"/>
        <w:gridCol w:w="1643"/>
        <w:gridCol w:w="1536"/>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56"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与公告中合格供应商资格条件要求一致</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631" w:type="dxa"/>
            <w:gridSpan w:val="6"/>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不能通过资格性审查的供应商，不需进行以下内容的审查。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100万元</w:t>
            </w:r>
            <w:r>
              <w:rPr>
                <w:rFonts w:hint="eastAsia" w:ascii="仿宋" w:hAnsi="仿宋" w:eastAsia="仿宋" w:cs="仿宋"/>
                <w:color w:val="000000" w:themeColor="text1"/>
                <w:sz w:val="24"/>
                <w:szCs w:val="24"/>
                <w:highlight w:val="none"/>
                <w14:textFill>
                  <w14:solidFill>
                    <w14:schemeClr w14:val="tx1"/>
                  </w14:solidFill>
                </w14:textFill>
              </w:rPr>
              <w:t>）</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没有其它未实质性响应磋商文件的要求</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策勒县津南新村、团结新村、巴什玉吉买村乡村振兴示范村规划项目（编号2021-clx- 062号）</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服务商务评分表</w:t>
      </w:r>
    </w:p>
    <w:tbl>
      <w:tblPr>
        <w:tblStyle w:val="32"/>
        <w:tblW w:w="1420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583"/>
        <w:gridCol w:w="9865"/>
        <w:gridCol w:w="784"/>
        <w:gridCol w:w="11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序号</w:t>
            </w:r>
          </w:p>
        </w:tc>
        <w:tc>
          <w:tcPr>
            <w:tcW w:w="1583" w:type="dxa"/>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评审因素</w:t>
            </w:r>
          </w:p>
        </w:tc>
        <w:tc>
          <w:tcPr>
            <w:tcW w:w="9865" w:type="dxa"/>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评分细则</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分值</w:t>
            </w:r>
          </w:p>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（分）</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权重</w:t>
            </w:r>
          </w:p>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821" w:type="dxa"/>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一</w:t>
            </w:r>
          </w:p>
        </w:tc>
        <w:tc>
          <w:tcPr>
            <w:tcW w:w="13382" w:type="dxa"/>
            <w:gridSpan w:val="4"/>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技术部分（合计4</w:t>
            </w:r>
            <w:r>
              <w:rPr>
                <w:rFonts w:hint="eastAsia" w:ascii="仿宋" w:hAnsi="仿宋" w:eastAsia="仿宋" w:cs="仿宋"/>
                <w:b/>
                <w:color w:val="000000"/>
                <w:szCs w:val="21"/>
                <w:highlight w:val="none"/>
                <w:lang w:val="en-US" w:eastAsia="zh-CN"/>
              </w:rPr>
              <w:t>5</w:t>
            </w:r>
            <w:r>
              <w:rPr>
                <w:rFonts w:hint="eastAsia" w:ascii="仿宋" w:hAnsi="仿宋" w:eastAsia="仿宋" w:cs="仿宋"/>
                <w:b/>
                <w:color w:val="00000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1"/>
              <w:numPr>
                <w:ilvl w:val="0"/>
                <w:numId w:val="15"/>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snapToGrid w:val="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对项目的了解和熟悉程度</w:t>
            </w:r>
          </w:p>
        </w:tc>
        <w:tc>
          <w:tcPr>
            <w:tcW w:w="9865" w:type="dxa"/>
            <w:noWrap w:val="0"/>
            <w:vAlign w:val="center"/>
          </w:tcPr>
          <w:p>
            <w:pPr>
              <w:rPr>
                <w:rFonts w:hint="eastAsia" w:ascii="仿宋" w:hAnsi="仿宋" w:eastAsia="仿宋" w:cs="仿宋"/>
                <w:color w:val="000000"/>
                <w:highlight w:val="none"/>
              </w:rPr>
            </w:pPr>
            <w:r>
              <w:rPr>
                <w:rFonts w:hint="eastAsia" w:ascii="仿宋" w:hAnsi="仿宋" w:eastAsia="仿宋" w:cs="仿宋"/>
                <w:color w:val="000000"/>
                <w:highlight w:val="none"/>
              </w:rPr>
              <w:t>根据投标人对项目背景等相关基础资料、涉及规划意图、上层次相关规划等情况进行综合评审∶</w:t>
            </w:r>
          </w:p>
          <w:p>
            <w:pPr>
              <w:rPr>
                <w:rFonts w:hint="eastAsia" w:ascii="仿宋" w:hAnsi="仿宋" w:eastAsia="仿宋" w:cs="仿宋"/>
                <w:color w:val="000000"/>
                <w:highlight w:val="none"/>
              </w:rPr>
            </w:pPr>
            <w:r>
              <w:rPr>
                <w:rFonts w:hint="eastAsia" w:ascii="仿宋" w:hAnsi="仿宋" w:eastAsia="仿宋" w:cs="仿宋"/>
                <w:color w:val="000000"/>
                <w:highlight w:val="none"/>
              </w:rPr>
              <w:t>对情况了解充分，完全满足项目要求，得</w:t>
            </w: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rPr>
              <w:t xml:space="preserve"> 分;</w:t>
            </w:r>
          </w:p>
          <w:p>
            <w:pPr>
              <w:rPr>
                <w:rFonts w:hint="eastAsia" w:ascii="仿宋" w:hAnsi="仿宋" w:eastAsia="仿宋" w:cs="仿宋"/>
                <w:color w:val="000000"/>
                <w:highlight w:val="none"/>
              </w:rPr>
            </w:pPr>
            <w:r>
              <w:rPr>
                <w:rFonts w:hint="eastAsia" w:ascii="仿宋" w:hAnsi="仿宋" w:eastAsia="仿宋" w:cs="仿宋"/>
                <w:color w:val="000000"/>
                <w:highlight w:val="none"/>
              </w:rPr>
              <w:t>对情况了解比较充分，基本满足项目要求，得</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分;</w:t>
            </w:r>
          </w:p>
          <w:p>
            <w:pPr>
              <w:rPr>
                <w:rFonts w:hint="eastAsia" w:ascii="仿宋" w:hAnsi="仿宋" w:eastAsia="仿宋" w:cs="仿宋"/>
                <w:color w:val="000000"/>
                <w:highlight w:val="none"/>
              </w:rPr>
            </w:pPr>
            <w:r>
              <w:rPr>
                <w:rFonts w:hint="eastAsia" w:ascii="仿宋" w:hAnsi="仿宋" w:eastAsia="仿宋" w:cs="仿宋"/>
                <w:color w:val="000000"/>
                <w:highlight w:val="none"/>
              </w:rPr>
              <w:t xml:space="preserve">对情况了解一般，基本满足项目要求，得 </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 xml:space="preserve"> 分;对情况不了解，不满足项目要求，得0分。</w:t>
            </w:r>
          </w:p>
          <w:p>
            <w:pPr>
              <w:rPr>
                <w:rFonts w:hint="eastAsia" w:ascii="仿宋" w:hAnsi="仿宋" w:eastAsia="仿宋" w:cs="仿宋"/>
                <w:color w:val="000000"/>
                <w:szCs w:val="21"/>
                <w:highlight w:val="none"/>
              </w:rPr>
            </w:pPr>
            <w:r>
              <w:rPr>
                <w:rFonts w:hint="eastAsia" w:ascii="仿宋" w:hAnsi="仿宋" w:eastAsia="仿宋" w:cs="仿宋"/>
                <w:color w:val="000000"/>
                <w:highlight w:val="none"/>
              </w:rPr>
              <w:t>根据投标人对本地现行村庄规划技术标准与准则、相关规划管理及同类项目运作熟悉程度进行综合评审</w:t>
            </w:r>
          </w:p>
        </w:tc>
        <w:tc>
          <w:tcPr>
            <w:tcW w:w="784" w:type="dxa"/>
            <w:noWrap w:val="0"/>
            <w:vAlign w:val="center"/>
          </w:tcPr>
          <w:p>
            <w:pPr>
              <w:snapToGrid w:val="0"/>
              <w:spacing w:line="288" w:lineRule="auto"/>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6</w:t>
            </w:r>
          </w:p>
        </w:tc>
        <w:tc>
          <w:tcPr>
            <w:tcW w:w="1150" w:type="dxa"/>
            <w:noWrap w:val="0"/>
            <w:vAlign w:val="center"/>
          </w:tcPr>
          <w:p>
            <w:pPr>
              <w:snapToGrid w:val="0"/>
              <w:spacing w:line="288" w:lineRule="auto"/>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1"/>
              <w:numPr>
                <w:ilvl w:val="0"/>
                <w:numId w:val="15"/>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snapToGrid w:val="0"/>
              <w:jc w:val="center"/>
              <w:rPr>
                <w:rFonts w:hint="eastAsia" w:ascii="仿宋" w:hAnsi="仿宋" w:eastAsia="仿宋" w:cs="仿宋"/>
                <w:color w:val="000000"/>
                <w:szCs w:val="21"/>
                <w:highlight w:val="none"/>
              </w:rPr>
            </w:pPr>
          </w:p>
          <w:p>
            <w:pPr>
              <w:snapToGrid w:val="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相关工作基础情况</w:t>
            </w:r>
          </w:p>
        </w:tc>
        <w:tc>
          <w:tcPr>
            <w:tcW w:w="9865" w:type="dxa"/>
            <w:noWrap w:val="0"/>
            <w:vAlign w:val="center"/>
          </w:tcPr>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根据投标人对本地现行村庄规划技术标准与准则、相关规划管理及同类项目运作熟悉程度进行综合评审∶</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 xml:space="preserve">对相关工作基础情况充分了解，满足项目要求，得 </w:t>
            </w: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对相关工作基础情况较了解，基本满足项目要求，</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得</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对相关工作基础情况了解一般，基本满足项目要求，得</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对相关工作基础情况了解不够透彻，不满足项目要求，得0分。</w:t>
            </w:r>
          </w:p>
        </w:tc>
        <w:tc>
          <w:tcPr>
            <w:tcW w:w="784" w:type="dxa"/>
            <w:noWrap w:val="0"/>
            <w:vAlign w:val="center"/>
          </w:tcPr>
          <w:p>
            <w:pPr>
              <w:snapToGrid w:val="0"/>
              <w:spacing w:line="288" w:lineRule="auto"/>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6</w:t>
            </w:r>
          </w:p>
        </w:tc>
        <w:tc>
          <w:tcPr>
            <w:tcW w:w="1150" w:type="dxa"/>
            <w:noWrap w:val="0"/>
            <w:vAlign w:val="center"/>
          </w:tcPr>
          <w:p>
            <w:pPr>
              <w:snapToGrid w:val="0"/>
              <w:spacing w:line="288" w:lineRule="auto"/>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21" w:type="dxa"/>
            <w:noWrap w:val="0"/>
            <w:vAlign w:val="center"/>
          </w:tcPr>
          <w:p>
            <w:pPr>
              <w:pStyle w:val="81"/>
              <w:numPr>
                <w:ilvl w:val="0"/>
                <w:numId w:val="15"/>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pStyle w:val="78"/>
              <w:jc w:val="center"/>
              <w:rPr>
                <w:rFonts w:hint="eastAsia" w:ascii="仿宋" w:hAnsi="仿宋" w:eastAsia="仿宋" w:cs="仿宋"/>
                <w:color w:val="000000"/>
                <w:szCs w:val="21"/>
                <w:highlight w:val="none"/>
                <w:lang w:bidi="ar-SA"/>
              </w:rPr>
            </w:pPr>
            <w:r>
              <w:rPr>
                <w:rFonts w:hint="eastAsia" w:ascii="仿宋" w:hAnsi="仿宋" w:eastAsia="仿宋" w:cs="仿宋"/>
                <w:color w:val="000000"/>
                <w:szCs w:val="21"/>
                <w:highlight w:val="none"/>
              </w:rPr>
              <w:t>实施本项目的技术方案</w:t>
            </w:r>
          </w:p>
        </w:tc>
        <w:tc>
          <w:tcPr>
            <w:tcW w:w="9865" w:type="dxa"/>
            <w:noWrap w:val="0"/>
            <w:vAlign w:val="center"/>
          </w:tcPr>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根据投标人对项目拟定的技术路线、工作内容对用户需求书的响应是否全面准确，工作深度是否符合国家、省、市的相关要求和采购人的需求等方面进行综合评审:</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总体清晰、明确，研究方法和技术路线合理可行，技术方案的基本内容、技术路线、方式方法和进度安排科学合理，并对重难点问题有预判，有针对性，且提供合理化建议和优化方案,得1</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总体较清晰、明确，研究方法和技术路线基本合理可行，技术方案的基本内容、技术路线、方式方法和进度安排比较详细，按采购需求进行了多项的分析描述，得</w:t>
            </w: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总体基本清晰，研究方法和技术路线一般，技术方案的基本内容、方式方法安排基本满足要求，得5分；</w:t>
            </w:r>
          </w:p>
          <w:p>
            <w:pPr>
              <w:snapToGrid w:val="0"/>
              <w:rPr>
                <w:rFonts w:hint="eastAsia" w:ascii="仿宋" w:hAnsi="仿宋" w:eastAsia="仿宋" w:cs="仿宋"/>
                <w:color w:val="000000"/>
                <w:highlight w:val="none"/>
              </w:rPr>
            </w:pPr>
            <w:r>
              <w:rPr>
                <w:rFonts w:hint="eastAsia" w:ascii="仿宋" w:hAnsi="仿宋" w:eastAsia="仿宋" w:cs="仿宋"/>
                <w:color w:val="000000"/>
                <w:highlight w:val="none"/>
              </w:rPr>
              <w:t>总体模糊、不够明确，研究方法和技术路线不合理，技术方案的基本内容、方式方法安排不合理得0分。</w:t>
            </w:r>
          </w:p>
        </w:tc>
        <w:tc>
          <w:tcPr>
            <w:tcW w:w="784" w:type="dxa"/>
            <w:noWrap w:val="0"/>
            <w:vAlign w:val="center"/>
          </w:tcPr>
          <w:p>
            <w:pPr>
              <w:snapToGrid w:val="0"/>
              <w:spacing w:line="288" w:lineRule="auto"/>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val="en-US" w:eastAsia="zh-CN"/>
              </w:rPr>
              <w:t>5</w:t>
            </w:r>
          </w:p>
        </w:tc>
        <w:tc>
          <w:tcPr>
            <w:tcW w:w="1150" w:type="dxa"/>
            <w:noWrap w:val="0"/>
            <w:vAlign w:val="center"/>
          </w:tcPr>
          <w:p>
            <w:pPr>
              <w:snapToGrid w:val="0"/>
              <w:spacing w:line="288" w:lineRule="auto"/>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81"/>
              <w:numPr>
                <w:ilvl w:val="0"/>
                <w:numId w:val="15"/>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实施本项目的进度计划及控制措施</w:t>
            </w:r>
          </w:p>
          <w:p>
            <w:pPr>
              <w:pStyle w:val="78"/>
              <w:jc w:val="center"/>
              <w:rPr>
                <w:rFonts w:hint="eastAsia" w:ascii="仿宋" w:hAnsi="仿宋" w:eastAsia="仿宋" w:cs="仿宋"/>
                <w:color w:val="000000"/>
                <w:highlight w:val="none"/>
                <w:lang w:val="en-US"/>
              </w:rPr>
            </w:pPr>
          </w:p>
        </w:tc>
        <w:tc>
          <w:tcPr>
            <w:tcW w:w="9865" w:type="dxa"/>
            <w:noWrap w:val="0"/>
            <w:vAlign w:val="top"/>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szCs w:val="21"/>
                <w:highlight w:val="none"/>
                <w:lang w:val="en-US" w:eastAsia="zh-CN"/>
              </w:rPr>
              <w:t>8</w:t>
            </w:r>
            <w:r>
              <w:rPr>
                <w:rFonts w:hint="eastAsia" w:ascii="仿宋" w:hAnsi="仿宋" w:eastAsia="仿宋" w:cs="仿宋"/>
                <w:color w:val="000000"/>
                <w:szCs w:val="21"/>
                <w:highlight w:val="none"/>
              </w:rPr>
              <w:t>分；</w:t>
            </w:r>
          </w:p>
          <w:p>
            <w:pPr>
              <w:rPr>
                <w:rFonts w:hint="eastAsia" w:ascii="仿宋" w:hAnsi="仿宋" w:eastAsia="仿宋" w:cs="仿宋"/>
                <w:color w:val="000000"/>
                <w:highlight w:val="none"/>
              </w:rPr>
            </w:pPr>
            <w:r>
              <w:rPr>
                <w:rFonts w:hint="eastAsia" w:ascii="仿宋" w:hAnsi="仿宋" w:eastAsia="仿宋" w:cs="仿宋"/>
                <w:color w:val="000000"/>
                <w:szCs w:val="21"/>
                <w:highlight w:val="none"/>
              </w:rPr>
              <w:t>满足招标文件中规定的服务期限要求，各阶段时间节点较为明确，并附有较详细的确保完成工作措施，得</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只承诺满足招标文件中规定的服务期限以内完成的，时间节点划分照搬招标文件或较为简单，得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pPr>
              <w:pStyle w:val="2"/>
              <w:spacing w:line="240" w:lineRule="auto"/>
              <w:rPr>
                <w:rFonts w:hint="eastAsia" w:ascii="仿宋" w:hAnsi="仿宋" w:eastAsia="仿宋" w:cs="仿宋"/>
                <w:color w:val="000000"/>
                <w:highlight w:val="none"/>
              </w:rPr>
            </w:pPr>
            <w:r>
              <w:rPr>
                <w:rFonts w:hint="eastAsia" w:ascii="仿宋" w:hAnsi="仿宋" w:eastAsia="仿宋" w:cs="仿宋"/>
                <w:color w:val="000000"/>
                <w:szCs w:val="21"/>
                <w:highlight w:val="none"/>
              </w:rPr>
              <w:t>未承诺满足招标文件中规定的服务期限以内完成的，时间节点划分照搬招标文件，得0分。</w:t>
            </w:r>
          </w:p>
        </w:tc>
        <w:tc>
          <w:tcPr>
            <w:tcW w:w="784" w:type="dxa"/>
            <w:noWrap w:val="0"/>
            <w:vAlign w:val="center"/>
          </w:tcPr>
          <w:p>
            <w:pPr>
              <w:snapToGrid w:val="0"/>
              <w:spacing w:line="288" w:lineRule="auto"/>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8</w:t>
            </w:r>
          </w:p>
        </w:tc>
        <w:tc>
          <w:tcPr>
            <w:tcW w:w="1150" w:type="dxa"/>
            <w:noWrap w:val="0"/>
            <w:vAlign w:val="center"/>
          </w:tcPr>
          <w:p>
            <w:pPr>
              <w:snapToGrid w:val="0"/>
              <w:spacing w:line="288" w:lineRule="auto"/>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81"/>
              <w:numPr>
                <w:ilvl w:val="0"/>
                <w:numId w:val="15"/>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实施本项目的质量保证体系及质量承诺书</w:t>
            </w:r>
          </w:p>
          <w:p>
            <w:pPr>
              <w:pStyle w:val="78"/>
              <w:jc w:val="center"/>
              <w:rPr>
                <w:rFonts w:hint="eastAsia" w:ascii="仿宋" w:hAnsi="仿宋" w:eastAsia="仿宋" w:cs="仿宋"/>
                <w:color w:val="000000"/>
                <w:highlight w:val="none"/>
                <w:lang w:val="en-US"/>
              </w:rPr>
            </w:pPr>
          </w:p>
        </w:tc>
        <w:tc>
          <w:tcPr>
            <w:tcW w:w="9865" w:type="dxa"/>
            <w:noWrap w:val="0"/>
            <w:vAlign w:val="top"/>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有严格合理的质量保证体系，对整个项目质量管理有具体的保障制度和措施，针对性强，能很好的保证项目质量，得5分；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提供有较合理质量保证措施，质量保证及质量承诺符合项目需求，得3分；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提供相对简单的质量保证措施，没有针对性，得1分；</w:t>
            </w:r>
          </w:p>
          <w:p>
            <w:pPr>
              <w:pStyle w:val="2"/>
              <w:spacing w:line="240" w:lineRule="auto"/>
              <w:rPr>
                <w:rFonts w:hint="eastAsia" w:ascii="仿宋" w:hAnsi="仿宋" w:eastAsia="仿宋" w:cs="仿宋"/>
                <w:color w:val="000000"/>
                <w:highlight w:val="none"/>
              </w:rPr>
            </w:pPr>
            <w:r>
              <w:rPr>
                <w:rFonts w:hint="eastAsia" w:ascii="仿宋" w:hAnsi="仿宋" w:eastAsia="仿宋" w:cs="仿宋"/>
                <w:color w:val="000000"/>
                <w:szCs w:val="21"/>
                <w:highlight w:val="none"/>
              </w:rPr>
              <w:t>未提供质量保证措施得0分。</w:t>
            </w:r>
          </w:p>
        </w:tc>
        <w:tc>
          <w:tcPr>
            <w:tcW w:w="784" w:type="dxa"/>
            <w:noWrap w:val="0"/>
            <w:vAlign w:val="center"/>
          </w:tcPr>
          <w:p>
            <w:pPr>
              <w:snapToGrid w:val="0"/>
              <w:spacing w:line="288" w:lineRule="auto"/>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p>
        </w:tc>
        <w:tc>
          <w:tcPr>
            <w:tcW w:w="1150" w:type="dxa"/>
            <w:noWrap w:val="0"/>
            <w:vAlign w:val="center"/>
          </w:tcPr>
          <w:p>
            <w:pPr>
              <w:snapToGrid w:val="0"/>
              <w:spacing w:line="288" w:lineRule="auto"/>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81"/>
              <w:numPr>
                <w:ilvl w:val="0"/>
                <w:numId w:val="15"/>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后续服务方案</w:t>
            </w:r>
          </w:p>
        </w:tc>
        <w:tc>
          <w:tcPr>
            <w:tcW w:w="9865" w:type="dxa"/>
            <w:noWrap w:val="0"/>
            <w:vAlign w:val="top"/>
          </w:tcPr>
          <w:p>
            <w:pPr>
              <w:pStyle w:val="2"/>
              <w:snapToGrid w:val="0"/>
              <w:spacing w:line="240" w:lineRule="auto"/>
              <w:rPr>
                <w:rFonts w:hint="eastAsia" w:ascii="仿宋" w:hAnsi="仿宋" w:eastAsia="仿宋" w:cs="仿宋"/>
                <w:bCs/>
                <w:color w:val="000000"/>
                <w:szCs w:val="21"/>
                <w:highlight w:val="none"/>
              </w:rPr>
            </w:pPr>
            <w:r>
              <w:rPr>
                <w:rFonts w:hint="eastAsia" w:ascii="仿宋" w:hAnsi="仿宋" w:eastAsia="仿宋" w:cs="仿宋"/>
                <w:color w:val="000000"/>
                <w:highlight w:val="none"/>
              </w:rPr>
              <w:t>承</w:t>
            </w:r>
            <w:r>
              <w:rPr>
                <w:rFonts w:hint="eastAsia" w:ascii="仿宋" w:hAnsi="仿宋" w:eastAsia="仿宋" w:cs="仿宋"/>
                <w:bCs/>
                <w:color w:val="000000"/>
                <w:szCs w:val="21"/>
                <w:highlight w:val="none"/>
              </w:rPr>
              <w:t>诺策划成果质量符合国家、新疆自治区、和田地区相关规定，并有具体的质量保证措施。得1分，没有承诺不得分。</w:t>
            </w:r>
          </w:p>
          <w:p>
            <w:pPr>
              <w:pStyle w:val="2"/>
              <w:snapToGrid w:val="0"/>
              <w:spacing w:line="240" w:lineRule="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承诺在项目实施过程中将按采购人要求积极提供技术咨询，及时进行调整和修改方案。得1分，没有承诺不得分。</w:t>
            </w:r>
          </w:p>
          <w:p>
            <w:pPr>
              <w:pStyle w:val="2"/>
              <w:snapToGrid w:val="0"/>
              <w:spacing w:line="240" w:lineRule="auto"/>
              <w:rPr>
                <w:rFonts w:hint="eastAsia" w:ascii="仿宋" w:hAnsi="仿宋" w:eastAsia="仿宋" w:cs="仿宋"/>
                <w:color w:val="000000"/>
                <w:highlight w:val="none"/>
              </w:rPr>
            </w:pPr>
            <w:r>
              <w:rPr>
                <w:rFonts w:hint="eastAsia" w:ascii="仿宋" w:hAnsi="仿宋" w:eastAsia="仿宋" w:cs="仿宋"/>
                <w:bCs/>
                <w:color w:val="000000"/>
                <w:szCs w:val="21"/>
                <w:highlight w:val="none"/>
              </w:rPr>
              <w:t>投标人提供完整、详细的售后服务方案，并承诺提供至少1年后续服务的，得3分。</w:t>
            </w:r>
          </w:p>
        </w:tc>
        <w:tc>
          <w:tcPr>
            <w:tcW w:w="784" w:type="dxa"/>
            <w:noWrap w:val="0"/>
            <w:vAlign w:val="center"/>
          </w:tcPr>
          <w:p>
            <w:pPr>
              <w:snapToGrid w:val="0"/>
              <w:spacing w:line="288" w:lineRule="auto"/>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p>
        </w:tc>
        <w:tc>
          <w:tcPr>
            <w:tcW w:w="1150" w:type="dxa"/>
            <w:noWrap w:val="0"/>
            <w:vAlign w:val="center"/>
          </w:tcPr>
          <w:p>
            <w:pPr>
              <w:snapToGrid w:val="0"/>
              <w:spacing w:line="288" w:lineRule="auto"/>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821" w:type="dxa"/>
            <w:noWrap w:val="0"/>
            <w:vAlign w:val="center"/>
          </w:tcPr>
          <w:p>
            <w:pPr>
              <w:snapToGrid w:val="0"/>
              <w:spacing w:line="288"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二</w:t>
            </w:r>
          </w:p>
        </w:tc>
        <w:tc>
          <w:tcPr>
            <w:tcW w:w="13382" w:type="dxa"/>
            <w:gridSpan w:val="4"/>
            <w:noWrap w:val="0"/>
            <w:vAlign w:val="center"/>
          </w:tcPr>
          <w:p>
            <w:pPr>
              <w:snapToGrid w:val="0"/>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商务部分（4</w:t>
            </w:r>
            <w:r>
              <w:rPr>
                <w:rFonts w:hint="eastAsia" w:ascii="仿宋" w:hAnsi="仿宋" w:eastAsia="仿宋" w:cs="仿宋"/>
                <w:b/>
                <w:color w:val="000000"/>
                <w:szCs w:val="21"/>
                <w:highlight w:val="none"/>
                <w:lang w:val="en-US" w:eastAsia="zh-CN"/>
              </w:rPr>
              <w:t>0</w:t>
            </w:r>
            <w:r>
              <w:rPr>
                <w:rFonts w:hint="eastAsia" w:ascii="仿宋" w:hAnsi="仿宋" w:eastAsia="仿宋" w:cs="仿宋"/>
                <w:b/>
                <w:color w:val="00000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1"/>
              <w:numPr>
                <w:ilvl w:val="0"/>
                <w:numId w:val="16"/>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业绩得分</w:t>
            </w:r>
          </w:p>
        </w:tc>
        <w:tc>
          <w:tcPr>
            <w:tcW w:w="9865" w:type="dxa"/>
            <w:noWrap w:val="0"/>
            <w:vAlign w:val="center"/>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按以下标准累计计分：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自2016年1月1日以来，投标人承担过乡村规划、乡村振兴规划以及相关专项规划编制的，每有一个项目得2分；本条最多得</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0分。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注：投标人业绩须提供合同或中标通知书复印件，不按照上述要求提供资料者，不能作为评分的依据。</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0</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1"/>
              <w:numPr>
                <w:ilvl w:val="0"/>
                <w:numId w:val="16"/>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项目负责人</w:t>
            </w:r>
          </w:p>
        </w:tc>
        <w:tc>
          <w:tcPr>
            <w:tcW w:w="9865" w:type="dxa"/>
            <w:noWrap w:val="0"/>
            <w:vAlign w:val="center"/>
          </w:tcPr>
          <w:p>
            <w:pP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项目负责人具有高级职称证书的得1分，具有教授级高级职称的得2分。</w:t>
            </w:r>
          </w:p>
          <w:p>
            <w:pP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注：提交职称证书、社保缴纳记录以及相关证明材料复印件并加盖公章，否则不得分。</w:t>
            </w:r>
          </w:p>
          <w:p>
            <w:pP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2016年1月1日至今，承担过村庄规划、乡村振兴规划及相关专项规划编制项目（担任项目负责人），每项得2分，最多得8分。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注：提交合同协议复印件，合同中须体现项目负责人，并加盖公章，否则不得分。</w:t>
            </w:r>
          </w:p>
        </w:tc>
        <w:tc>
          <w:tcPr>
            <w:tcW w:w="784" w:type="dxa"/>
            <w:noWrap w:val="0"/>
            <w:vAlign w:val="center"/>
          </w:tcPr>
          <w:p>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10</w:t>
            </w:r>
          </w:p>
        </w:tc>
        <w:tc>
          <w:tcPr>
            <w:tcW w:w="1150" w:type="dxa"/>
            <w:noWrap w:val="0"/>
            <w:vAlign w:val="center"/>
          </w:tcPr>
          <w:p>
            <w:pPr>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1"/>
              <w:numPr>
                <w:ilvl w:val="0"/>
                <w:numId w:val="16"/>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技术团队</w:t>
            </w:r>
          </w:p>
        </w:tc>
        <w:tc>
          <w:tcPr>
            <w:tcW w:w="9865" w:type="dxa"/>
            <w:noWrap w:val="0"/>
            <w:vAlign w:val="center"/>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（1）拟派项目组人员≧10人（不含项目负责人）得5分，否则不得分；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（2）项目组成员注册城乡规划师及高级工程师占拟派项目组人员30%且3人以上得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分，占拟派项目组人员30%</w:t>
            </w:r>
            <w:r>
              <w:rPr>
                <w:rFonts w:hint="eastAsia" w:ascii="仿宋" w:hAnsi="仿宋" w:eastAsia="仿宋" w:cs="仿宋"/>
                <w:color w:val="000000"/>
                <w:szCs w:val="21"/>
                <w:highlight w:val="none"/>
                <w:lang w:val="en-US" w:eastAsia="zh-CN"/>
              </w:rPr>
              <w:t>及</w:t>
            </w:r>
            <w:r>
              <w:rPr>
                <w:rFonts w:hint="eastAsia" w:ascii="仿宋" w:hAnsi="仿宋" w:eastAsia="仿宋" w:cs="仿宋"/>
                <w:color w:val="000000"/>
                <w:szCs w:val="21"/>
                <w:highlight w:val="none"/>
              </w:rPr>
              <w:t>以下得2分。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项目组成员若同时具有高级工程师及以上职称和注册城乡规划师资格，得分则仅计一项。</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（3）项目组成员中级职称人员占拟派项目组人员50%且5人以上得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分，占拟派项目组人员50%</w:t>
            </w:r>
            <w:r>
              <w:rPr>
                <w:rFonts w:hint="eastAsia" w:ascii="仿宋" w:hAnsi="仿宋" w:eastAsia="仿宋" w:cs="仿宋"/>
                <w:color w:val="000000"/>
                <w:szCs w:val="21"/>
                <w:highlight w:val="none"/>
                <w:lang w:val="en-US" w:eastAsia="zh-CN"/>
              </w:rPr>
              <w:t>及</w:t>
            </w:r>
            <w:r>
              <w:rPr>
                <w:rFonts w:hint="eastAsia" w:ascii="仿宋" w:hAnsi="仿宋" w:eastAsia="仿宋" w:cs="仿宋"/>
                <w:color w:val="000000"/>
                <w:szCs w:val="21"/>
                <w:highlight w:val="none"/>
              </w:rPr>
              <w:t>以下得</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注：提供职称证书或资格证书或注册证书复印件并加盖公章。</w:t>
            </w:r>
          </w:p>
        </w:tc>
        <w:tc>
          <w:tcPr>
            <w:tcW w:w="784" w:type="dxa"/>
            <w:noWrap w:val="0"/>
            <w:vAlign w:val="center"/>
          </w:tcPr>
          <w:p>
            <w:pPr>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val="en-US" w:eastAsia="zh-CN"/>
              </w:rPr>
              <w:t>3</w:t>
            </w:r>
          </w:p>
        </w:tc>
        <w:tc>
          <w:tcPr>
            <w:tcW w:w="1150" w:type="dxa"/>
            <w:noWrap w:val="0"/>
            <w:vAlign w:val="center"/>
          </w:tcPr>
          <w:p>
            <w:pPr>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1"/>
              <w:numPr>
                <w:ilvl w:val="0"/>
                <w:numId w:val="16"/>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企业信誉状况</w:t>
            </w:r>
          </w:p>
          <w:p>
            <w:pPr>
              <w:jc w:val="center"/>
              <w:rPr>
                <w:rFonts w:hint="eastAsia" w:ascii="仿宋" w:hAnsi="仿宋" w:eastAsia="仿宋" w:cs="仿宋"/>
                <w:color w:val="000000"/>
                <w:szCs w:val="21"/>
                <w:highlight w:val="none"/>
              </w:rPr>
            </w:pPr>
          </w:p>
        </w:tc>
        <w:tc>
          <w:tcPr>
            <w:tcW w:w="9865" w:type="dxa"/>
            <w:noWrap w:val="0"/>
            <w:vAlign w:val="center"/>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投标人具有有效的质量管理体系认证证书、环境管理体系认证证书、职业健康安全管理体系认证证书认证范围包含城乡规划或相关专业的，满分</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分。（提供证书复印件并加盖单位公章）</w:t>
            </w:r>
          </w:p>
        </w:tc>
        <w:tc>
          <w:tcPr>
            <w:tcW w:w="784" w:type="dxa"/>
            <w:noWrap w:val="0"/>
            <w:vAlign w:val="center"/>
          </w:tcPr>
          <w:p>
            <w:pPr>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3</w:t>
            </w:r>
          </w:p>
        </w:tc>
        <w:tc>
          <w:tcPr>
            <w:tcW w:w="1150" w:type="dxa"/>
            <w:noWrap w:val="0"/>
            <w:vAlign w:val="center"/>
          </w:tcPr>
          <w:p>
            <w:pPr>
              <w:jc w:val="center"/>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1"/>
              <w:numPr>
                <w:ilvl w:val="0"/>
                <w:numId w:val="16"/>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现场服务</w:t>
            </w:r>
          </w:p>
        </w:tc>
        <w:tc>
          <w:tcPr>
            <w:tcW w:w="9865" w:type="dxa"/>
            <w:noWrap w:val="0"/>
            <w:vAlign w:val="center"/>
          </w:tcPr>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（1）派驻现场服务人员配置合理，技术力量合理，得2分；人员及配置一般，得1分；技术力量较弱，人员及配置不合理的不得分。</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（2）承诺项目组成员现场服务24小时内到达，得2分，项目组成员48小时内到达，得1分。</w:t>
            </w:r>
          </w:p>
        </w:tc>
        <w:tc>
          <w:tcPr>
            <w:tcW w:w="784" w:type="dxa"/>
            <w:noWrap w:val="0"/>
            <w:vAlign w:val="center"/>
          </w:tcPr>
          <w:p>
            <w:pPr>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w:t>
            </w:r>
          </w:p>
        </w:tc>
        <w:tc>
          <w:tcPr>
            <w:tcW w:w="1150" w:type="dxa"/>
            <w:noWrap w:val="0"/>
            <w:vAlign w:val="center"/>
          </w:tcPr>
          <w:p>
            <w:pPr>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821" w:type="dxa"/>
            <w:noWrap w:val="0"/>
            <w:vAlign w:val="center"/>
          </w:tcPr>
          <w:p>
            <w:pPr>
              <w:snapToGrid w:val="0"/>
              <w:spacing w:line="288" w:lineRule="auto"/>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三</w:t>
            </w:r>
          </w:p>
        </w:tc>
        <w:tc>
          <w:tcPr>
            <w:tcW w:w="13382" w:type="dxa"/>
            <w:gridSpan w:val="4"/>
            <w:noWrap w:val="0"/>
            <w:vAlign w:val="center"/>
          </w:tcPr>
          <w:p>
            <w:pPr>
              <w:snapToGrid w:val="0"/>
              <w:jc w:val="center"/>
              <w:rPr>
                <w:rFonts w:hint="eastAsia" w:ascii="仿宋" w:hAnsi="仿宋" w:eastAsia="仿宋" w:cs="仿宋"/>
                <w:bCs/>
                <w:i/>
                <w:color w:val="000000"/>
                <w:szCs w:val="21"/>
                <w:highlight w:val="none"/>
                <w:shd w:val="pct10" w:color="auto" w:fill="FFFFFF"/>
              </w:rPr>
            </w:pPr>
            <w:r>
              <w:rPr>
                <w:rFonts w:hint="eastAsia" w:ascii="仿宋" w:hAnsi="仿宋" w:eastAsia="仿宋" w:cs="仿宋"/>
                <w:b/>
                <w:color w:val="000000"/>
                <w:szCs w:val="21"/>
                <w:highlight w:val="none"/>
              </w:rPr>
              <w:t>价格部分（合计</w:t>
            </w:r>
            <w:r>
              <w:rPr>
                <w:rFonts w:hint="eastAsia" w:ascii="仿宋" w:hAnsi="仿宋" w:eastAsia="仿宋" w:cs="仿宋"/>
                <w:b/>
                <w:color w:val="000000"/>
                <w:szCs w:val="21"/>
                <w:highlight w:val="none"/>
                <w:lang w:val="en-US" w:eastAsia="zh-CN"/>
              </w:rPr>
              <w:t>15</w:t>
            </w:r>
            <w:r>
              <w:rPr>
                <w:rFonts w:hint="eastAsia" w:ascii="仿宋" w:hAnsi="仿宋" w:eastAsia="仿宋" w:cs="仿宋"/>
                <w:b/>
                <w:color w:val="000000"/>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1"/>
              <w:numPr>
                <w:ilvl w:val="0"/>
                <w:numId w:val="17"/>
              </w:numPr>
              <w:snapToGrid w:val="0"/>
              <w:spacing w:line="288" w:lineRule="auto"/>
              <w:ind w:firstLineChars="0"/>
              <w:jc w:val="center"/>
              <w:rPr>
                <w:rFonts w:hint="eastAsia" w:ascii="仿宋" w:hAnsi="仿宋" w:eastAsia="仿宋" w:cs="仿宋"/>
                <w:color w:val="000000"/>
                <w:szCs w:val="21"/>
                <w:highlight w:val="none"/>
              </w:rPr>
            </w:pPr>
          </w:p>
        </w:tc>
        <w:tc>
          <w:tcPr>
            <w:tcW w:w="1583" w:type="dxa"/>
            <w:noWrap w:val="0"/>
            <w:vAlign w:val="center"/>
          </w:tcPr>
          <w:p>
            <w:pPr>
              <w:snapToGrid w:val="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投标报价</w:t>
            </w:r>
          </w:p>
        </w:tc>
        <w:tc>
          <w:tcPr>
            <w:tcW w:w="9865" w:type="dxa"/>
            <w:noWrap w:val="0"/>
            <w:vAlign w:val="center"/>
          </w:tcPr>
          <w:p>
            <w:pPr>
              <w:snapToGrid w:val="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价格分应当采用低价优先法计算，即满足招标文件要求且投标价格最低的投标报价为评标基准价，其价格分为满分。其他投标人的价格分统一按照下列公式计算：</w:t>
            </w:r>
          </w:p>
          <w:p>
            <w:pPr>
              <w:snapToGrid w:val="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投标报价得分=(评标基准价／投标报价)×100×权重</w:t>
            </w:r>
          </w:p>
          <w:p>
            <w:pPr>
              <w:snapToGrid w:val="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备注：</w:t>
            </w:r>
          </w:p>
          <w:p>
            <w:pPr>
              <w:pStyle w:val="81"/>
              <w:numPr>
                <w:ilvl w:val="0"/>
                <w:numId w:val="18"/>
              </w:numPr>
              <w:snapToGrid w:val="0"/>
              <w:ind w:left="0" w:firstLineChars="0"/>
              <w:rPr>
                <w:rFonts w:hint="eastAsia" w:ascii="仿宋" w:hAnsi="仿宋" w:eastAsia="仿宋" w:cs="仿宋"/>
                <w:color w:val="000000"/>
                <w:szCs w:val="21"/>
                <w:highlight w:val="none"/>
              </w:rPr>
            </w:pPr>
            <w:r>
              <w:rPr>
                <w:rFonts w:hint="eastAsia" w:ascii="仿宋" w:hAnsi="仿宋" w:eastAsia="仿宋" w:cs="仿宋"/>
                <w:bCs/>
                <w:color w:val="000000"/>
                <w:szCs w:val="21"/>
                <w:highlight w:val="none"/>
              </w:rPr>
              <w:t>因落实政府采购政策进行价格调整的，以调整后的价格计算评标基准价和投标报价</w:t>
            </w:r>
            <w:r>
              <w:rPr>
                <w:rFonts w:hint="eastAsia" w:ascii="仿宋" w:hAnsi="仿宋" w:eastAsia="仿宋" w:cs="仿宋"/>
                <w:color w:val="000000"/>
                <w:szCs w:val="21"/>
                <w:highlight w:val="none"/>
              </w:rPr>
              <w:t>,详见《价格扣除》。</w:t>
            </w:r>
          </w:p>
          <w:p>
            <w:pPr>
              <w:pStyle w:val="81"/>
              <w:numPr>
                <w:ilvl w:val="0"/>
                <w:numId w:val="18"/>
              </w:numPr>
              <w:snapToGrid w:val="0"/>
              <w:ind w:left="0" w:firstLineChars="0"/>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投标报价得分四舍五入后，</w:t>
            </w:r>
            <w:r>
              <w:rPr>
                <w:rFonts w:hint="eastAsia" w:ascii="仿宋" w:hAnsi="仿宋" w:eastAsia="仿宋" w:cs="仿宋"/>
                <w:color w:val="000000"/>
                <w:szCs w:val="21"/>
                <w:highlight w:val="none"/>
              </w:rPr>
              <w:t>小数点后保留两位有效数</w:t>
            </w:r>
            <w:r>
              <w:rPr>
                <w:rFonts w:hint="eastAsia" w:ascii="仿宋" w:hAnsi="仿宋" w:eastAsia="仿宋" w:cs="仿宋"/>
                <w:bCs/>
                <w:color w:val="000000"/>
                <w:szCs w:val="21"/>
                <w:highlight w:val="none"/>
              </w:rPr>
              <w:t>；</w:t>
            </w:r>
          </w:p>
        </w:tc>
        <w:tc>
          <w:tcPr>
            <w:tcW w:w="784" w:type="dxa"/>
            <w:noWrap w:val="0"/>
            <w:vAlign w:val="center"/>
          </w:tcPr>
          <w:p>
            <w:pPr>
              <w:snapToGrid w:val="0"/>
              <w:spacing w:line="288" w:lineRule="auto"/>
              <w:ind w:left="-78" w:leftChars="-37" w:right="-73" w:rightChars="-35"/>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15</w:t>
            </w:r>
          </w:p>
        </w:tc>
        <w:tc>
          <w:tcPr>
            <w:tcW w:w="1150" w:type="dxa"/>
            <w:noWrap w:val="0"/>
            <w:vAlign w:val="center"/>
          </w:tcPr>
          <w:p>
            <w:pPr>
              <w:snapToGrid w:val="0"/>
              <w:spacing w:line="288" w:lineRule="auto"/>
              <w:ind w:left="-78" w:leftChars="-37" w:right="-73" w:rightChars="-35"/>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2269" w:type="dxa"/>
            <w:gridSpan w:val="3"/>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u w:val="double"/>
              </w:rPr>
            </w:pPr>
            <w:r>
              <w:rPr>
                <w:rFonts w:hint="eastAsia" w:ascii="仿宋" w:hAnsi="仿宋" w:eastAsia="仿宋" w:cs="仿宋"/>
                <w:b/>
                <w:color w:val="000000"/>
                <w:szCs w:val="21"/>
                <w:highlight w:val="none"/>
                <w:u w:val="double"/>
              </w:rPr>
              <w:t>合计</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100分</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 xml:space="preserve">100% </w:t>
            </w:r>
          </w:p>
        </w:tc>
      </w:tr>
    </w:tbl>
    <w:p>
      <w:pPr>
        <w:pStyle w:val="31"/>
        <w:wordWrap/>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cols w:space="720" w:num="1"/>
          <w:docGrid w:linePitch="285" w:charSpace="0"/>
        </w:sect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第三部分</w:t>
      </w:r>
    </w:p>
    <w:p>
      <w:pPr>
        <w:adjustRightInd w:val="0"/>
        <w:snapToGrid w:val="0"/>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用 户 需 求 书</w:t>
      </w: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19"/>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pStyle w:val="18"/>
        <w:numPr>
          <w:ilvl w:val="0"/>
          <w:numId w:val="20"/>
        </w:numPr>
        <w:tabs>
          <w:tab w:val="left" w:pos="540"/>
        </w:tabs>
        <w:snapToGrid w:val="0"/>
        <w:spacing w:line="360" w:lineRule="auto"/>
        <w:rPr>
          <w:rFonts w:hint="eastAsia" w:ascii="仿宋" w:hAnsi="仿宋" w:eastAsia="仿宋" w:cs="仿宋"/>
          <w:b/>
          <w:bCs w:val="0"/>
          <w:color w:val="000000"/>
          <w:kern w:val="0"/>
          <w:sz w:val="24"/>
          <w:szCs w:val="24"/>
          <w:lang w:val="zh-CN" w:eastAsia="zh-CN" w:bidi="zh-CN"/>
        </w:rPr>
      </w:pPr>
      <w:bookmarkStart w:id="3" w:name="_Toc29398"/>
      <w:r>
        <w:rPr>
          <w:rFonts w:hint="eastAsia" w:ascii="仿宋" w:hAnsi="仿宋" w:eastAsia="仿宋" w:cs="仿宋"/>
          <w:b/>
          <w:bCs w:val="0"/>
          <w:color w:val="000000"/>
          <w:kern w:val="0"/>
          <w:sz w:val="24"/>
          <w:szCs w:val="24"/>
          <w:lang w:val="zh-CN" w:eastAsia="zh-CN" w:bidi="zh-CN"/>
        </w:rPr>
        <w:t>有关说明</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投标人须对本项目的采购标的进行整体投标，任何只对本项目采购标的其中一部分内容、数量进行的投标都被视为无效投标。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采购需求中标注“★”号条款为实质性条款，必须逐条进行响应，有任何一条负偏离的，将导致无效投标。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采购需求中标注“▲”号条款为重要技术参数，但不作为无效投标条款。</w:t>
      </w:r>
    </w:p>
    <w:p>
      <w:pPr>
        <w:pStyle w:val="18"/>
        <w:numPr>
          <w:ilvl w:val="0"/>
          <w:numId w:val="20"/>
        </w:numPr>
        <w:tabs>
          <w:tab w:val="left" w:pos="540"/>
        </w:tabs>
        <w:snapToGrid w:val="0"/>
        <w:spacing w:line="360" w:lineRule="auto"/>
        <w:rPr>
          <w:rFonts w:hint="eastAsia" w:ascii="仿宋" w:hAnsi="仿宋" w:eastAsia="仿宋" w:cs="仿宋"/>
          <w:b/>
          <w:bCs w:val="0"/>
          <w:color w:val="000000"/>
          <w:kern w:val="0"/>
          <w:sz w:val="24"/>
          <w:szCs w:val="24"/>
          <w:lang w:val="zh-CN" w:eastAsia="zh-CN" w:bidi="zh-CN"/>
        </w:rPr>
      </w:pPr>
      <w:r>
        <w:rPr>
          <w:rFonts w:hint="eastAsia" w:ascii="仿宋" w:hAnsi="仿宋" w:eastAsia="仿宋" w:cs="仿宋"/>
          <w:b/>
          <w:bCs w:val="0"/>
          <w:color w:val="000000"/>
          <w:kern w:val="0"/>
          <w:sz w:val="24"/>
          <w:szCs w:val="24"/>
          <w:lang w:val="zh-CN" w:eastAsia="zh-CN" w:bidi="zh-CN"/>
        </w:rPr>
        <w:t>项目基本概况</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720" w:firstLineChars="300"/>
        <w:textAlignment w:val="auto"/>
        <w:rPr>
          <w:rFonts w:hint="eastAsia" w:ascii="仿宋" w:hAnsi="仿宋" w:eastAsia="仿宋" w:cs="仿宋"/>
          <w:b w:val="0"/>
          <w:bCs w:val="0"/>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lang w:val="zh-CN" w:eastAsia="zh-CN" w:bidi="zh-CN"/>
          <w14:textFill>
            <w14:solidFill>
              <w14:schemeClr w14:val="tx1"/>
            </w14:solidFill>
          </w14:textFill>
        </w:rPr>
        <w:t>规划编制范围为津南新村、团结新村、巴什玉吉买村村域范围</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textAlignment w:val="auto"/>
        <w:rPr>
          <w:rFonts w:hint="eastAsia" w:ascii="仿宋" w:hAnsi="仿宋" w:eastAsia="仿宋" w:cs="仿宋"/>
          <w:b w:val="0"/>
          <w:bCs/>
          <w:color w:val="FF0000"/>
          <w:sz w:val="21"/>
          <w:szCs w:val="21"/>
          <w:highlight w:val="none"/>
          <w:lang w:val="en-US" w:eastAsia="zh-CN" w:bidi="ar-SA"/>
        </w:rPr>
      </w:pPr>
      <w:r>
        <w:rPr>
          <w:rFonts w:hint="eastAsia" w:ascii="仿宋" w:hAnsi="仿宋" w:eastAsia="仿宋" w:cs="仿宋"/>
          <w:b/>
          <w:bCs w:val="0"/>
          <w:color w:val="000000"/>
          <w:sz w:val="24"/>
          <w:szCs w:val="24"/>
          <w:lang w:val="en-US" w:eastAsia="zh-CN" w:bidi="zh-CN"/>
        </w:rPr>
        <w:t>三、项目服务要求</w:t>
      </w:r>
      <w:bookmarkEnd w:id="3"/>
    </w:p>
    <w:p>
      <w:pPr>
        <w:pStyle w:val="2"/>
        <w:widowControl/>
        <w:numPr>
          <w:ilvl w:val="0"/>
          <w:numId w:val="21"/>
        </w:numPr>
        <w:adjustRightInd w:val="0"/>
        <w:snapToGrid w:val="0"/>
        <w:spacing w:after="0"/>
        <w:ind w:firstLine="562" w:firstLineChar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项目背景</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为深入贯彻落实习近平总书记关于乡村振兴的重要指示精神，支持天津市各结对县巩固拓展脱贫攻坚成果同步乡村振兴有效衔接，高质量完成东西部协作和对口支援任务，激励动员更多天津企业、天津资源参与乡村振兴，天津市东西部协作和支援合作工作领导小组印发《天津市助力结对地区实施“百村振兴计划”工作方案》。</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策勒县津南新村、团结新村和巴什玉吉买村作为天津市助力结对地区实施“百村振兴计划”的三个乡村振兴示范庄村，将用3至5年的时间，通过东部协作和对口支援双方共同努力，使乡村振兴示范村的内生发展能力显著增强，乡村振兴相关指标在策勒县乃至和田地区位居前列，实现可持续发展。</w:t>
      </w:r>
    </w:p>
    <w:p>
      <w:pPr>
        <w:pStyle w:val="2"/>
        <w:widowControl/>
        <w:numPr>
          <w:ilvl w:val="0"/>
          <w:numId w:val="21"/>
        </w:numPr>
        <w:adjustRightInd w:val="0"/>
        <w:snapToGrid w:val="0"/>
        <w:spacing w:after="0"/>
        <w:ind w:firstLine="562" w:firstLineChars="0"/>
        <w:jc w:val="left"/>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规划范围及期限</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规划编制范围为津南新村、团结新村、巴什玉吉买村村域范围；规划期限：2021年-2025年。</w:t>
      </w:r>
    </w:p>
    <w:p>
      <w:pPr>
        <w:pStyle w:val="2"/>
        <w:widowControl/>
        <w:numPr>
          <w:ilvl w:val="0"/>
          <w:numId w:val="21"/>
        </w:numPr>
        <w:adjustRightInd w:val="0"/>
        <w:snapToGrid w:val="0"/>
        <w:spacing w:after="0"/>
        <w:ind w:firstLine="562" w:firstLineChars="0"/>
        <w:jc w:val="left"/>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规划设计任务</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（1）加快农业转型升级，发展壮大乡村产业。</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坚持高质量发展理念，立足当地资源禀赋和比较优势，支持村集体经济发展，打造一村一品，促进农业结构转型升级，着力构建现代农业产业体系、生产体系和经营体系。完善利益联结机制，让低收入人群更多分享产业增值收益。</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推空动“万企兴万村”做深做实。广泛动员天津市有实力、有意愿且产业关联度高的企业，在受援地打造与示范村建设相结合的典型示范项目，鼓励工商资本到示范村投资适合产业化、规模化的经营项目，提供区域性、系统性解决方案，带动当地农户形成互惠共嬴的产业共同体。支持东部先进技术、解决方案在示范村推广应用，鼓励辐射带动周边村庄共同发展。</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2、推动东西部产业合作示范引领。注重发挥天津规划、技</w: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mc:AlternateContent>
          <mc:Choice Requires="wps">
            <w:drawing>
              <wp:anchor distT="0" distB="0" distL="114300" distR="114300" simplePos="0" relativeHeight="251666432" behindDoc="1" locked="0" layoutInCell="1" allowOverlap="1">
                <wp:simplePos x="0" y="0"/>
                <wp:positionH relativeFrom="page">
                  <wp:posOffset>4850130</wp:posOffset>
                </wp:positionH>
                <wp:positionV relativeFrom="paragraph">
                  <wp:posOffset>622300</wp:posOffset>
                </wp:positionV>
                <wp:extent cx="3175" cy="215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175" cy="21590"/>
                        </a:xfrm>
                        <a:prstGeom prst="rect">
                          <a:avLst/>
                        </a:prstGeom>
                        <a:noFill/>
                        <a:ln>
                          <a:noFill/>
                        </a:ln>
                      </wps:spPr>
                      <wps:txbx>
                        <w:txbxContent>
                          <w:p>
                            <w:pPr>
                              <w:pStyle w:val="2"/>
                              <w:kinsoku w:val="0"/>
                              <w:overflowPunct w:val="0"/>
                              <w:spacing w:line="33" w:lineRule="exact"/>
                              <w:ind w:firstLine="32"/>
                              <w:rPr>
                                <w:rFonts w:ascii="Times New Roman" w:hAnsi="Times New Roman" w:eastAsia="Times New Roman"/>
                                <w:w w:val="54"/>
                                <w:sz w:val="3"/>
                              </w:rPr>
                            </w:pPr>
                            <w:r>
                              <w:rPr>
                                <w:rFonts w:ascii="Times New Roman" w:hAnsi="Times New Roman" w:eastAsia="Times New Roman"/>
                                <w:w w:val="54"/>
                                <w:sz w:val="3"/>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81.9pt;margin-top:49pt;height:1.7pt;width:0.25pt;mso-position-horizontal-relative:page;z-index:-251650048;mso-width-relative:page;mso-height-relative:page;" filled="f" stroked="f" coordsize="21600,21600" o:gfxdata="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4RH2tkAAAAKAQAADwAAAAAAAAABACAAAAAi&#10;AAAAZHJzL2Rvd25yZXYueG1sUEsBAhQAFAAAAAgAh07iQEWpQ4gJAgAAAQQAAA4AAAAAAAAAAQAg&#10;AAAAKAEAAGRycy9lMm9Eb2MueG1sUEsFBgAAAAAGAAYAWQEAAKMFAAAAAA==&#10;">
                <v:fill on="f" focussize="0,0"/>
                <v:stroke on="f"/>
                <v:imagedata o:title=""/>
                <o:lock v:ext="edit" aspectratio="f"/>
                <v:textbox inset="0mm,0mm,0mm,0mm">
                  <w:txbxContent>
                    <w:p>
                      <w:pPr>
                        <w:pStyle w:val="2"/>
                        <w:kinsoku w:val="0"/>
                        <w:overflowPunct w:val="0"/>
                        <w:spacing w:line="33" w:lineRule="exact"/>
                        <w:ind w:firstLine="32"/>
                        <w:rPr>
                          <w:rFonts w:ascii="Times New Roman" w:hAnsi="Times New Roman" w:eastAsia="Times New Roman"/>
                          <w:w w:val="54"/>
                          <w:sz w:val="3"/>
                        </w:rPr>
                      </w:pPr>
                      <w:r>
                        <w:rPr>
                          <w:rFonts w:ascii="Times New Roman" w:hAnsi="Times New Roman" w:eastAsia="Times New Roman"/>
                          <w:w w:val="54"/>
                          <w:sz w:val="3"/>
                        </w:rPr>
                        <w:t>.</w:t>
                      </w:r>
                    </w:p>
                  </w:txbxContent>
                </v:textbox>
              </v:shape>
            </w:pict>
          </mc:Fallback>
        </mc:AlternateConten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术、理念、资本和产业优势，以示范村资源禀赋和独特历史文化为基础，加大东西部产业合作力度，积极推进农村一二三产业融合，大力发展高附加值特色农业、生态农业、休闲农业。加强农产品产后分级、包装、营销，推动主要农产品就地加工转化增值。健全东西部农产品产销稳定衔接机制，帮扶农村电子商务和快递业务的发展，拓宽农产品销售渠道，解决农产品销售中的突出问题。推行标准化生产，培育农产品品牌，保护地理标志农产品。依托当地红色文化资源和绿色生态资源发展乡村旅游，打造休闲农业和乡村旅游相结合的示范村。引导旅行社开发到示范村的旅游线路，开展休闲农业和乡村旅游项目发布推介活动。</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推动农业科技帮扶创新提升。推进东西部产学研合作。培育以企业为主导的农业产业技术创新战略联盟。整合两地政府、企业、社会等多方资源，推动政策、技术、资本等各类要素向农村创新创业集聚。鼓励天津高校、科研院所及科技特派员积极参与示范村建设，加强种业创新、节水技术、现代食品、农机装备、农业污染防治、农村环境整治等方面的科研成果转化、新产品应用和示范推广。</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（2）助力农村环境治理，建设生态宜居美丽乡村。</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牢固树立绿水青山就是金山银山的理念，推动建设生活环境整洁优美、生态系统稳定健康、人与自然和谐共生的生态宜居美丽乡村。</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着力加强资源保护与节约利用。大力支持发展绿色农业，引进先进技术，逐步实现投入品减量化、生产清洁化、废弃物资源化、产业模式生态化。推进有机肥替代化肥、畜禽粪污处理、农作物秸杆综合利用、废弃农膜回收、病虫害绿色防控。开展农村水环境治理和农村饮用水水源保护，建设健康稳定田园生态系统。</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2、着力加强农村人居环境整治。以农村生活垃圾处理、污水处理、“厕所革命”和村容村貌提升为主攻方向，指导示范村实施农村人居环境整治，建设“干净、整洁、有序、美化”的 人居环境。指导建立和完善农村人居环境整治长效管护机制，发挥村民主体作用参与整治成效保持，积极鼓励专业化、市场化建设和运行管护。</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着力提升村容村貌。指导编制示范村村庄规划，推动示范村村庄规划编制实施，保护保留乡村风貌，开展特色民居示范，打造生态宜居的美丽乡村。实施乡村绿化行动，全面保护古树名木，建设具有乡村特色的绿化景观。优先支持产业路、通村组道路、入户道路建设，基本解决村内道路泥泞、村民出行不便等问题。完善村庄公共照明设施。</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（3）加强东西部交往交流，繁荣发展乡村文化。</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坚持物质文明和精神文明一起抓，提升农民精神风貌，培育文明乡风、良好家风、淳朴民风，不断提高乡村社会文明程度。</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加强农村思想道德建设。以社会主义核心价值观为引领，广泛动员天津市道德模范、爱心企业和社会组织参与示范村思想道德宣传教育工作，不断筑牢中华民族共同体意识。支持在示范村建设“爱心超市”“正气银行”，引导村民自觉学习和弘扬社会主义核心价值观，在助人为乐、见义勇为、诚实守信、敬业奉献、孝老爱亲等方面争当先进、模范。</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mc:AlternateContent>
          <mc:Choice Requires="wps">
            <w:drawing>
              <wp:anchor distT="0" distB="0" distL="114300" distR="114300" simplePos="0" relativeHeight="251667456" behindDoc="1" locked="0" layoutInCell="1" allowOverlap="1">
                <wp:simplePos x="0" y="0"/>
                <wp:positionH relativeFrom="page">
                  <wp:posOffset>1443355</wp:posOffset>
                </wp:positionH>
                <wp:positionV relativeFrom="paragraph">
                  <wp:posOffset>118745</wp:posOffset>
                </wp:positionV>
                <wp:extent cx="651510" cy="32448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51510" cy="324485"/>
                        </a:xfrm>
                        <a:prstGeom prst="rect">
                          <a:avLst/>
                        </a:prstGeom>
                        <a:noFill/>
                        <a:ln>
                          <a:noFill/>
                        </a:ln>
                      </wps:spPr>
                      <wps:txbx>
                        <w:txbxContent>
                          <w:p>
                            <w:pPr>
                              <w:pStyle w:val="2"/>
                              <w:kinsoku w:val="0"/>
                              <w:overflowPunct w:val="0"/>
                              <w:spacing w:line="510" w:lineRule="exact"/>
                              <w:ind w:firstLine="454"/>
                              <w:rPr>
                                <w:spacing w:val="-175"/>
                                <w:w w:val="45"/>
                                <w:sz w:val="51"/>
                              </w:rPr>
                            </w:pPr>
                            <w:r>
                              <w:rPr>
                                <w:w w:val="45"/>
                                <w:sz w:val="51"/>
                              </w:rPr>
                              <w:t>-----</w:t>
                            </w:r>
                            <w:r>
                              <w:rPr>
                                <w:rFonts w:hint="eastAsia"/>
                                <w:w w:val="45"/>
                                <w:sz w:val="51"/>
                              </w:rPr>
                              <w:t>·</w:t>
                            </w:r>
                            <w:r>
                              <w:rPr>
                                <w:w w:val="45"/>
                                <w:sz w:val="51"/>
                              </w:rPr>
                              <w:t>-</w:t>
                            </w:r>
                            <w:r>
                              <w:rPr>
                                <w:rFonts w:hint="eastAsia"/>
                                <w:spacing w:val="-175"/>
                                <w:w w:val="45"/>
                                <w:sz w:val="51"/>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3.65pt;margin-top:9.35pt;height:25.55pt;width:51.3pt;mso-position-horizontal-relative:page;z-index:-251649024;mso-width-relative:page;mso-height-relative:page;" filled="f" stroked="f" coordsize="21600,21600" o:gfxdata="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XDavfZAAAACQEAAA8AAAAAAAAAAQAg&#10;AAAAIgAAAGRycy9kb3ducmV2LnhtbFBLAQIUABQAAAAIAIdO4kDpWj34DQIAAAQEAAAOAAAAAAAA&#10;AAEAIAAAACgBAABkcnMvZTJvRG9jLnhtbFBLBQYAAAAABgAGAFkBAACnBQAAAAA=&#10;">
                <v:fill on="f" focussize="0,0"/>
                <v:stroke on="f"/>
                <v:imagedata o:title=""/>
                <o:lock v:ext="edit" aspectratio="f"/>
                <v:textbox inset="0mm,0mm,0mm,0mm">
                  <w:txbxContent>
                    <w:p>
                      <w:pPr>
                        <w:pStyle w:val="2"/>
                        <w:kinsoku w:val="0"/>
                        <w:overflowPunct w:val="0"/>
                        <w:spacing w:line="510" w:lineRule="exact"/>
                        <w:ind w:firstLine="454"/>
                        <w:rPr>
                          <w:spacing w:val="-175"/>
                          <w:w w:val="45"/>
                          <w:sz w:val="51"/>
                        </w:rPr>
                      </w:pPr>
                      <w:r>
                        <w:rPr>
                          <w:w w:val="45"/>
                          <w:sz w:val="51"/>
                        </w:rPr>
                        <w:t>-----</w:t>
                      </w:r>
                      <w:r>
                        <w:rPr>
                          <w:rFonts w:hint="eastAsia"/>
                          <w:w w:val="45"/>
                          <w:sz w:val="51"/>
                        </w:rPr>
                        <w:t>·</w:t>
                      </w:r>
                      <w:r>
                        <w:rPr>
                          <w:w w:val="45"/>
                          <w:sz w:val="51"/>
                        </w:rPr>
                        <w:t>-</w:t>
                      </w:r>
                      <w:r>
                        <w:rPr>
                          <w:rFonts w:hint="eastAsia"/>
                          <w:spacing w:val="-175"/>
                          <w:w w:val="45"/>
                          <w:sz w:val="51"/>
                        </w:rPr>
                        <w:t>、</w:t>
                      </w:r>
                    </w:p>
                  </w:txbxContent>
                </v:textbox>
              </v:shape>
            </w:pict>
          </mc:Fallback>
        </mc:AlternateConten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2支持农村地区优秀戏曲曲艺、少数民族文化、民间文化等传承发展。培养乡村文化本土人才，培育具有民族特色和地域特色的传统工艺产品，打造文化产业特色村。组织实施“民族团结一家亲·百行百业交流行”活动，引导我市企业家、文艺工作者、退休人员、文化志愿者等投身乡村文化建设。</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丰富乡村文化生活。建立各区选派挂职教师、医生、科技文化人员等定期服务示范村机制，鼓励文艺工作者创作反映农民生产生活尤其是乡村振兴实践的优秀文艺作品。帮助示范村建设综合文化服务中心，整合图书室、体育活动室、电子阅览室、科普培训室等功能，让普通村民可以便捷地获取优质文化资源。引导企业赞助乡村党史学习阵地建设，设立“强国大屏”，集中宣传惠民政策、用工需求、农技科普、党史党建、治安防范等学习材料及成果展示，打造乡村文化生活的鲜活阵地。</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（4）加强基层党支部共建，健全现代乡村治理体系。</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高度重视基层党组织建设，突出政治功能，加强人员互动、观念互通、作风互鉴，推动乡村组织振兴，打造充满活力、和谐有序的善治乡村。</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助力示范村党组织建设。广泛动员我市先进基层党组织与示范村党组织建立结对关系，加强互访互学，共同研究热点难点问题。交流互学基层党组织在发展经济、乡村管理、基础设施建设等方面的成功经验，带动示苑村扎实推进抓党建促乡村振兴。</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2、助力示范村人才队伍建设。推动天津市党建、人才、科技等培训资源与示范村基层组织共享，定期选派优秀村（社区）党组织书记与示范村于部队伍开展交流对接。帮助示范村因地制宜制定规划，根据需要组织乡村振兴示范村干部到我市院校、科研单位和相关机构开展专题培训，帮助示范村基层党组织提高综合维稳、防灾减灾、法律服务和带领群众致富能力。</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助力示范村组织制度落实。推动东西部基层党组织共建，指导示范村加强党群活动中心建设，完善村级党群活动中心服务功能。以党史教育为契机，向示范村推送优质学习资源，加强学习交流，增强干事创业的内生动力。</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（5）提高民生保障水平，促进农民生活富裕。</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围绕农民群众最关心最直接最现实的利益问题，加快补齐民生短板，让农民群众有更多实实在在的获得感、幸福感、安全感。</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加强农村基础设施建设。充分发挥东西部协作资金的引导和撬动作用，推动当地政府改善示范村交通物流设施，鼓励商贸、邮政、快递、供销、运输等企业优先在示范村建设末端网络。推动小型农田水利设施建设，提高示范村的基础配套能力。推广农村绿色节能建筑和农用节能技术、产品，推动物联网、地理信息、智能设备等现代信息技术与农村生产生活的深度融合，深化农业农村大数据创新应用。</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2、提升农村劳动力就业质量。有针对性为示范村村民开展职业技能培训，鼓励示范村适龄学生赴天津就读职业院校。广泛搜集用工信息，积极推介一批薪酬待遇高、工作环境好的优秀用工企业，推动劳务协作用工信息向示范村倾斜，开展有组织的劳务输出，不断拓宽示范村劳动力转移就业渠道。支持示范村开展就业创业促进行动，发展文化、科技、旅游、生态等</w: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mc:AlternateContent>
          <mc:Choice Requires="wps">
            <w:drawing>
              <wp:anchor distT="0" distB="0" distL="114300" distR="114300" simplePos="0" relativeHeight="251668480" behindDoc="1" locked="0" layoutInCell="1" allowOverlap="1">
                <wp:simplePos x="0" y="0"/>
                <wp:positionH relativeFrom="page">
                  <wp:posOffset>5628005</wp:posOffset>
                </wp:positionH>
                <wp:positionV relativeFrom="paragraph">
                  <wp:posOffset>95885</wp:posOffset>
                </wp:positionV>
                <wp:extent cx="387350" cy="24828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387350" cy="248285"/>
                        </a:xfrm>
                        <a:prstGeom prst="rect">
                          <a:avLst/>
                        </a:prstGeom>
                        <a:noFill/>
                        <a:ln>
                          <a:noFill/>
                        </a:ln>
                      </wps:spPr>
                      <wps:txbx>
                        <w:txbxContent>
                          <w:p>
                            <w:pPr>
                              <w:pStyle w:val="2"/>
                              <w:kinsoku w:val="0"/>
                              <w:overflowPunct w:val="0"/>
                              <w:spacing w:line="390" w:lineRule="exact"/>
                              <w:ind w:firstLine="390"/>
                              <w:rPr>
                                <w:w w:val="50"/>
                                <w:sz w:val="39"/>
                              </w:rPr>
                            </w:pPr>
                            <w:r>
                              <w:rPr>
                                <w:rFonts w:hint="eastAsia"/>
                                <w:w w:val="50"/>
                                <w:sz w:val="39"/>
                              </w:rPr>
                              <w:t>一·</w:t>
                            </w:r>
                            <w:r>
                              <w:rPr>
                                <w:w w:val="50"/>
                                <w:sz w:val="39"/>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43.15pt;margin-top:7.55pt;height:19.55pt;width:30.5pt;mso-position-horizontal-relative:page;z-index:-251648000;mso-width-relative:page;mso-height-relative:page;" filled="f" stroked="f" coordsize="21600,21600" o:gfxdata="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vH2UHZAAAACQEAAA8AAAAAAAAAAQAg&#10;AAAAIgAAAGRycy9kb3ducmV2LnhtbFBLAQIUABQAAAAIAIdO4kCHa9daDQIAAAYEAAAOAAAAAAAA&#10;AAEAIAAAACgBAABkcnMvZTJvRG9jLnhtbFBLBQYAAAAABgAGAFkBAACnBQAAAAA=&#10;">
                <v:fill on="f" focussize="0,0"/>
                <v:stroke on="f"/>
                <v:imagedata o:title=""/>
                <o:lock v:ext="edit" aspectratio="f"/>
                <v:textbox inset="0mm,0mm,0mm,0mm">
                  <w:txbxContent>
                    <w:p>
                      <w:pPr>
                        <w:pStyle w:val="2"/>
                        <w:kinsoku w:val="0"/>
                        <w:overflowPunct w:val="0"/>
                        <w:spacing w:line="390" w:lineRule="exact"/>
                        <w:ind w:firstLine="390"/>
                        <w:rPr>
                          <w:w w:val="50"/>
                          <w:sz w:val="39"/>
                        </w:rPr>
                      </w:pPr>
                      <w:r>
                        <w:rPr>
                          <w:rFonts w:hint="eastAsia"/>
                          <w:w w:val="50"/>
                          <w:sz w:val="39"/>
                        </w:rPr>
                        <w:t>一·</w:t>
                      </w:r>
                      <w:r>
                        <w:rPr>
                          <w:w w:val="50"/>
                          <w:sz w:val="39"/>
                        </w:rPr>
                        <w:t>--</w:t>
                      </w:r>
                    </w:p>
                  </w:txbxContent>
                </v:textbox>
              </v:shape>
            </w:pict>
          </mc:Fallback>
        </mc:AlternateConten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乡村特色产业，振兴传统工艺。培育一批家庭工场、手工作坊、乡村车间，鼓励在乡村地区兴办环境友好型企业，实现乡村经济多元化，提供更多就业岗位。</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增加农村公共服务供给。加大对示范村医疗教育帮扶力度。建立各区医疗、教育单位与示范村及所在乡镇卫生院、中小学结对帮扶机制，针对当地需求开展精准帮扶。加强对乡村教师、乡村医生的技能培训。推动互联网＋健康服务项目在示范村优先得到应用，健全慢性病、地方病综合防控。推动建立防返贫保险，对示范村低收入人口和有返贫风险人员实施动态监测和重点帮扶。动员社会力量支持示范村公益事业发展，帮助建设敬老院、残疾人康复点、公益食堂、消防站等公益服务设施，对口支援地区要重点组织实施小厕所、小食堂、小浴室、小图书馆、小活动室等“五小工程”，为示范村提供各具特色的帮扶服务。</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p>
    <w:p>
      <w:pPr>
        <w:pStyle w:val="2"/>
        <w:widowControl/>
        <w:numPr>
          <w:ilvl w:val="0"/>
          <w:numId w:val="21"/>
        </w:numPr>
        <w:adjustRightInd w:val="0"/>
        <w:snapToGrid w:val="0"/>
        <w:spacing w:after="0"/>
        <w:ind w:firstLine="562" w:firstLineChars="0"/>
        <w:jc w:val="left"/>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技术要求</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科学性、前瞻性：规划成果应体现新的规划理念、规划理论和规划方法，从点到面、从局部到全局、从专业化到多维度切实研究和科学把握新时期乡村地区的人地关系和发展变化规律，妥善处理好经济发展与资源保护的关系，主动站在更高的层面做好乡村振兴规划的前瞻性工作。</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2、注重经济性和实用性：乡村振兴规划所确定的建设实施内容，须符合地域特点并切合乡村建设实际，充分考虑乡村建设实施的经济性、实用性和可操作性，并应具备在地区乡村区域的示范、借鉴、推广意义。</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3、刚弹性有机结合：规划成果应在符合约束性指标的前提下，适当提高规划管理的灵活性，合理留白，确保规划可控可用，引导各类土地高效利用和设施合理布局。</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4、充分衔接各相关规划和具体建设需求：规划成果应充分衔接已有的相关规划成果，对接并指导前期引入的具体建设项目方案，村庄发展定位、建设引导等应兼顾统筹协调和错位发展。</w:t>
      </w:r>
    </w:p>
    <w:p>
      <w:pPr>
        <w:pStyle w:val="2"/>
        <w:widowControl/>
        <w:numPr>
          <w:ilvl w:val="0"/>
          <w:numId w:val="21"/>
        </w:numPr>
        <w:adjustRightInd w:val="0"/>
        <w:snapToGrid w:val="0"/>
        <w:spacing w:after="0"/>
        <w:ind w:firstLine="562" w:firstLineChars="0"/>
        <w:jc w:val="left"/>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成果要求</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1、乡村振兴示范村规划成果应按照《新疆维吾尔自治区村庄规划编制技术指南》要求规范化表达，应符合相关最新政策要求。</w:t>
      </w:r>
    </w:p>
    <w:p>
      <w:pPr>
        <w:spacing w:line="360" w:lineRule="auto"/>
        <w:ind w:firstLine="560"/>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2、纸质成果：规划成果采用A4规格彩机纸双面打印装订成册。</w:t>
      </w:r>
    </w:p>
    <w:p>
      <w:pPr>
        <w:pStyle w:val="2"/>
        <w:widowControl/>
        <w:numPr>
          <w:ilvl w:val="0"/>
          <w:numId w:val="0"/>
        </w:numPr>
        <w:adjustRightInd w:val="0"/>
        <w:snapToGrid w:val="0"/>
        <w:spacing w:after="0"/>
        <w:ind w:left="562" w:leftChars="0"/>
        <w:jc w:val="left"/>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3、电子成果：电子稿文件成果（PDF、CAD、JPG格）及编制过程中的全部数据资料和流程文档。</w:t>
      </w:r>
    </w:p>
    <w:p>
      <w:pPr>
        <w:pStyle w:val="2"/>
        <w:widowControl/>
        <w:numPr>
          <w:ilvl w:val="0"/>
          <w:numId w:val="0"/>
        </w:numPr>
        <w:adjustRightInd w:val="0"/>
        <w:snapToGrid w:val="0"/>
        <w:spacing w:after="0"/>
        <w:ind w:left="562" w:leftChars="0"/>
        <w:jc w:val="left"/>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（六）验收标准</w: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w:t>
      </w:r>
      <w:r>
        <w:rPr>
          <w:rFonts w:hint="eastAsia" w:ascii="仿宋" w:hAnsi="仿宋" w:eastAsia="仿宋" w:cs="仿宋"/>
          <w:b/>
          <w:color w:val="000000"/>
          <w:sz w:val="24"/>
          <w:szCs w:val="24"/>
          <w:lang w:val="en-US" w:eastAsia="zh-CN"/>
        </w:rPr>
        <w:t>按照招标文件及国家标准执行。</w:t>
      </w:r>
    </w:p>
    <w:p>
      <w:pPr>
        <w:pStyle w:val="2"/>
        <w:widowControl/>
        <w:numPr>
          <w:ilvl w:val="0"/>
          <w:numId w:val="0"/>
        </w:numPr>
        <w:adjustRightInd w:val="0"/>
        <w:snapToGrid w:val="0"/>
        <w:spacing w:after="0"/>
        <w:ind w:left="562" w:leftChars="0"/>
        <w:jc w:val="left"/>
        <w:rPr>
          <w:rFonts w:hint="eastAsia" w:ascii="仿宋" w:hAnsi="仿宋" w:eastAsia="仿宋" w:cs="仿宋"/>
          <w:b/>
          <w:color w:val="000000"/>
          <w:sz w:val="24"/>
          <w:szCs w:val="24"/>
          <w:lang w:val="en-US" w:eastAsia="zh-CN"/>
        </w:rPr>
      </w:pPr>
    </w:p>
    <w:p>
      <w:pPr>
        <w:numPr>
          <w:ilvl w:val="0"/>
          <w:numId w:val="0"/>
        </w:numPr>
        <w:ind w:leftChars="0"/>
        <w:rPr>
          <w:rFonts w:hint="eastAsia" w:ascii="仿宋" w:hAnsi="仿宋" w:eastAsia="仿宋" w:cs="仿宋"/>
          <w:lang w:val="en-US" w:eastAsia="zh-CN"/>
        </w:rPr>
      </w:pP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241"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22"/>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w:t>
      </w:r>
      <w:bookmarkStart w:id="37" w:name="_GoBack"/>
      <w:bookmarkEnd w:id="37"/>
      <w:r>
        <w:rPr>
          <w:rFonts w:hint="eastAsia" w:ascii="仿宋" w:hAnsi="仿宋" w:eastAsia="仿宋" w:cs="仿宋"/>
          <w:color w:val="000000" w:themeColor="text1"/>
          <w:sz w:val="24"/>
          <w:szCs w:val="24"/>
          <w:highlight w:val="none"/>
          <w:lang w:val="en-US" w:eastAsia="zh-CN"/>
          <w14:textFill>
            <w14:solidFill>
              <w14:schemeClr w14:val="tx1"/>
            </w14:solidFill>
          </w14:textFill>
        </w:rPr>
        <w:t>设备成本、资料费、服务费、税费及合同实施过程中的所有费用。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投标人除图纸或者招标文件缺陷等原因外，因供应商自身不能参加现场勘查或现场踏勘不全面的，供应商不得因此提出修改投标报价或提出索赔等要求，须在投标文件中提供书面承诺书。</w:t>
      </w:r>
    </w:p>
    <w:p>
      <w:pPr>
        <w:keepNext w:val="0"/>
        <w:pageBreakBefore w:val="0"/>
        <w:kinsoku/>
        <w:wordWrap/>
        <w:overflowPunct/>
        <w:topLinePunct w:val="0"/>
        <w:autoSpaceDE/>
        <w:autoSpaceDN/>
        <w:bidi w:val="0"/>
        <w:spacing w:line="360" w:lineRule="auto"/>
        <w:ind w:left="0" w:leftChars="0" w:right="0" w:firstLine="482"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（三）中标供应商具体工作内容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1、负责组织人员确保项目顺利实施，完成各项规划任务；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2、负责建立信息沟通反馈机制，由项目实施联系人统一反馈信息、总结汇报工作；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3、负责明确项目负责人和联系人，确保沟通及时、畅通；</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4、负责项目实施过程中的第一手资料的采集、建档和项目实施各阶段的进展情况、总结、汇报等工作；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5、负责实行项目档案管理制度，使项目建设管理工作规范化、标准化；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6、弘扬务实作风，严守工作纪律，不影响群众生活，廉洁清正，务实为民。</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1、签订合同前，中标人需缴纳履约保证金合同总价的 10% 到采购人指定账户，在合同期内未出现违约现象，未发生劳资纠纷，合同结束时无息退还。部分违约现象或劳资纠纷，从履约保证金中扣除相应金额的违约金；若发现严重违约现象,则不予退还履约保证金；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2、交纳方式：以支票、汇票、本票、银行转账等非现金形式提交；采用支票、汇票、本票提交履约保证金的，有效期必须在供货期内保持有效；</w:t>
      </w:r>
    </w:p>
    <w:p>
      <w:pPr>
        <w:pStyle w:val="2"/>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3、交纳时间：签订合同前中标供应商向采购人交纳。</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pStyle w:val="81"/>
        <w:keepNext w:val="0"/>
        <w:pageBreakBefore w:val="0"/>
        <w:numPr>
          <w:ilvl w:val="0"/>
          <w:numId w:val="0"/>
        </w:numPr>
        <w:tabs>
          <w:tab w:val="left" w:pos="1194"/>
        </w:tabs>
        <w:kinsoku/>
        <w:wordWrap/>
        <w:overflowPunct/>
        <w:topLinePunct w:val="0"/>
        <w:autoSpaceDE/>
        <w:autoSpaceDN/>
        <w:bidi w:val="0"/>
        <w:spacing w:before="0" w:line="360" w:lineRule="auto"/>
        <w:ind w:left="0" w:leftChars="0" w:right="0" w:rightChars="0"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中标人负责其派出现场服务人员人身意外保险。（提供承诺函，格式自拟）</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★为确保本项目顺利完成，供应商必须承诺：承诺在中标后所投入的专业技术人员为本企业人专业技术人员，并与投标文件提供的专业技术人员一致的承诺书。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中标人派驻采购人办公处的常驻人员要做好登记在册手续，在职期间须接受采购人的管理，遵守采购人的纪律考勤制度。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4" w:name="五、违约责任"/>
      <w:bookmarkEnd w:id="4"/>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法务</w:t>
      </w:r>
      <w:r>
        <w:rPr>
          <w:rFonts w:hint="eastAsia" w:ascii="仿宋" w:hAnsi="仿宋" w:eastAsia="仿宋" w:cs="仿宋"/>
          <w:color w:val="000000" w:themeColor="text1"/>
          <w:sz w:val="24"/>
          <w:szCs w:val="24"/>
          <w:highlight w:val="none"/>
          <w14:textFill>
            <w14:solidFill>
              <w14:schemeClr w14:val="tx1"/>
            </w14:solidFill>
          </w14:textFill>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keepNext w:val="0"/>
        <w:keepLines w:val="0"/>
        <w:pageBreakBefore w:val="0"/>
        <w:widowControl/>
        <w:kinsoku/>
        <w:wordWrap/>
        <w:overflowPunct/>
        <w:topLinePunct w:val="0"/>
        <w:autoSpaceDE/>
        <w:autoSpaceDN/>
        <w:bidi w:val="0"/>
        <w:adjustRightInd/>
        <w:ind w:left="0" w:leftChars="0"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pP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p>
    <w:p>
      <w:pPr>
        <w:pStyle w:val="31"/>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1"/>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1"/>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1"/>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1"/>
        <w:ind w:left="0" w:leftChars="0" w:firstLine="0" w:firstLineChars="0"/>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第四部分</w:t>
      </w:r>
    </w:p>
    <w:p>
      <w:pPr>
        <w:rPr>
          <w:rFonts w:hint="eastAsia" w:ascii="仿宋" w:hAnsi="仿宋" w:eastAsia="仿宋" w:cs="仿宋"/>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合 同 条 款</w:t>
      </w:r>
    </w:p>
    <w:p>
      <w:pPr>
        <w:adjustRightInd w:val="0"/>
        <w:snapToGrid w:val="0"/>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adjustRightInd w:val="0"/>
        <w:snapToGrid w:val="0"/>
        <w:spacing w:line="480" w:lineRule="exact"/>
        <w:jc w:val="center"/>
        <w:rPr>
          <w:rFonts w:hint="eastAsia" w:ascii="仿宋" w:hAnsi="仿宋" w:eastAsia="仿宋" w:cs="仿宋"/>
          <w:szCs w:val="28"/>
        </w:rPr>
      </w:pPr>
      <w:r>
        <w:rPr>
          <w:rFonts w:hint="eastAsia" w:ascii="仿宋" w:hAnsi="仿宋" w:eastAsia="仿宋" w:cs="仿宋"/>
          <w:color w:val="000000" w:themeColor="text1"/>
          <w:sz w:val="24"/>
          <w:szCs w:val="24"/>
          <w:highlight w:val="none"/>
          <w14:textFill>
            <w14:solidFill>
              <w14:schemeClr w14:val="tx1"/>
            </w14:solidFill>
          </w14:textFill>
        </w:rPr>
        <w:br w:type="page"/>
      </w:r>
    </w:p>
    <w:p>
      <w:pPr>
        <w:ind w:firstLine="560"/>
        <w:rPr>
          <w:rFonts w:hint="eastAsia" w:ascii="仿宋" w:hAnsi="仿宋" w:eastAsia="仿宋" w:cs="仿宋"/>
          <w:szCs w:val="28"/>
        </w:rPr>
      </w:pPr>
    </w:p>
    <w:p>
      <w:pPr>
        <w:ind w:firstLine="560"/>
        <w:rPr>
          <w:rFonts w:hint="eastAsia" w:ascii="仿宋" w:hAnsi="仿宋" w:eastAsia="仿宋" w:cs="仿宋"/>
          <w:szCs w:val="28"/>
        </w:rPr>
      </w:pPr>
    </w:p>
    <w:p>
      <w:pPr>
        <w:ind w:firstLine="560"/>
        <w:rPr>
          <w:rFonts w:hint="eastAsia" w:ascii="仿宋" w:hAnsi="仿宋" w:eastAsia="仿宋" w:cs="仿宋"/>
          <w:szCs w:val="28"/>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u w:val="none"/>
          <w14:textFill>
            <w14:solidFill>
              <w14:schemeClr w14:val="tx1"/>
            </w14:solidFill>
          </w14:textFill>
        </w:rPr>
        <w:t>项目名称：</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14:textFill>
            <w14:solidFill>
              <w14:schemeClr w14:val="tx1"/>
            </w14:solidFill>
          </w14:textFill>
        </w:rPr>
        <w:t xml:space="preserve">   </w:t>
      </w:r>
      <w:r>
        <w:rPr>
          <w:rFonts w:hint="eastAsia" w:ascii="仿宋" w:hAnsi="仿宋" w:eastAsia="仿宋" w:cs="仿宋"/>
          <w:color w:val="000000" w:themeColor="text1"/>
          <w:sz w:val="30"/>
          <w:szCs w:val="30"/>
          <w:highlight w:val="none"/>
          <w:u w:val="none"/>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工程地点：  </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设计证书等级：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委托方（甲方）：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受托方（乙方）：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签订日期：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pStyle w:val="31"/>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甲方委托乙方提供</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技术服务 ,工程地点为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中华人民共和国合同法》、《中华人民共和国招标投标法》、《中华人民共和国政府采购法》等相关法律、法规的规定，甲乙双方通过平等协商，在真实、充分地表达各自意愿的基础上，就甲方委托乙方提供服务之事宜，签订本合同，双方共同遵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第一条 项目概况</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第二条 甲方委托乙方完成的设计工作具体要求如下：</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2.1 工作内容：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2.2 成果格式和数量：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时间要求：</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制工作不包括因向甲方汇报、成果讨论、成果审议、成果报批而发生的时间。工作时间从合同签订生效、甲方提供齐本合同第五条所列相关资料后开始计算。若甲方未能及时提供相关资料，乙方的工作时间顺延。</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项目工作进度：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第一阶段： 开展项目前期调研工作，完成项目初步设计方案；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第二阶段：初步规划方案通过，说明书及图册编制工作；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第三阶段：提交规划成果，甲方组织项目成果审议，进一步修改完善；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第四阶段：通过规划评审，并提交最终成果。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第三条 甲方向乙方提供下列工作条件和协作事项：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提供技术资料：</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提供工作条件：</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第四条 甲方向乙方支付设计服务费与支付方式为：</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 设计服务费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甲方应就乙方提供的设计服务，向乙方支付设计服务费合计为￥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元（大写：        元整）。</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 支付方式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设计服务费支付方式参照下表：</w:t>
      </w:r>
    </w:p>
    <w:tbl>
      <w:tblPr>
        <w:tblStyle w:val="32"/>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3092"/>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付费阶段</w:t>
            </w:r>
          </w:p>
        </w:tc>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占设计服务费比例</w:t>
            </w:r>
          </w:p>
        </w:tc>
        <w:tc>
          <w:tcPr>
            <w:tcW w:w="1549"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付费金额</w:t>
            </w:r>
          </w:p>
        </w:tc>
        <w:tc>
          <w:tcPr>
            <w:tcW w:w="1902"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付费时间节点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第一次付费</w:t>
            </w:r>
          </w:p>
        </w:tc>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9"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2"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第二次付费</w:t>
            </w:r>
          </w:p>
        </w:tc>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9"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2"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第三次付费</w:t>
            </w:r>
          </w:p>
        </w:tc>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9"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2"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第四次付费</w:t>
            </w:r>
          </w:p>
        </w:tc>
        <w:tc>
          <w:tcPr>
            <w:tcW w:w="775"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549"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902" w:type="pc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 双方委托银行代付代收有关费用。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第五条 违约及赔偿</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5.1乙方有下列情形之一的且因此造成甲方不能实现合同目的，甲方有权终止合同，乙方除退还甲方已付的设计服务费外，还应向甲方支付本合同总价款   5%   的违约金。给甲方造成损失的，乙方应承担由此造成的全部损失赔偿责任：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（1）乙方利用专业技术和行业信息优势之便，以不道德的手段，故意隐瞒和掩盖自身缔约过失，违背投标承诺和未尽义务，损害甲方合法权益的；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（2）拒不配合合同约定的成果汇报、审查、修改、提交等项目实施要求，并由甲方出具通知书达2次以上的；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（3）成果不能通过法定程序审批达2次以上的；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（4）擅自分包或转包的。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5.2乙方仅因其自身技术原因导致提供的服务不符合采购文件或合同规定的，甲方有权拒收，并且要求乙方限期整改，乙方拒不改正的，甲方有权终止合同。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乙方未能按本合同规定的时间提供服务成果，从逾期之日起每日按该阶段合同价款万分之三的数额向甲方支付违约金，赔偿最高额为本合同额；逾期30天以上（含30天）的，甲方有权终止合同，给甲方造成损失的，乙方应承担由此造成的全部损失赔偿责任。但甲方同意或甲方延期提供资料、未办理相关许可、临时变更设计方案，逾期付款、推迟或延误验收、评审时间等甲方原因引起的逾期交付，乙方不负有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甲方逾期付款，则每日按该阶段合同价款的万分之三向乙方偿付违约金，赔偿最高额不超过本合同总金额；逾期30天以上（含30天）的，乙方有权暂停履行下阶段工作、解除本合同，并书面通知甲方，乙方行使此单方解除权的，甲方仍应按照本合同约定，支付乙方已完成工作的报酬，如造成乙方损失的，还应当赔偿乙方的损失。但仅因乙方原因引起的逾期付款除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乙方人员在总服务期内未达到合同第一条中约定要求的驻场时间或地区攻坚小组根据合同约定考核不达标的，十日内仍未能经考核达标的，甲方有权终止合同，乙方除退还甲方已付的设计服务费外，还应向甲方支付本合同总价款20%的违约金。给甲方造成损失的，乙方应承担由此造成的全部损失赔偿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 其他违约责任按《中华人民共和国合同法》处理。</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5.7乙方在本合同项下承担的违约金和赔偿金以合同总金额为限。</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第六条 不可抗力与项目终止</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 “不可抗力”指本合同签订后出现妨碍任何一方履行或部分履行本合同的人力无法抗拒的自然事件，诸如：地震、风灾、水灾、战争，而且该事件是双方不能、无法预料或不能克服的。</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 任何一方由于不可抗力而影响其履行合同所规定的义务的，受事件影响的一方应尽快将发生的不可抗力事件的情况以传真或特快专递等形式通知另一方，说明发生不可抗力以及不可抗力可能持续的时间。</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 在发生不可抗力时，双方应立即协商以寻找一项公平的解决方法，并应尽一切合理的努力尽量减轻不可抗力的后果。</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6.4 在发生不可抗力后，双方未决定解除或部分免除双方在本合同的责任前，双方应根据本合同继续履行责任。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6.5 双方应承担各自因不可抗力造成的损失。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6.6 若本项目在实施过程中由于政府或政策等非甲方原因导致项目终止，乙方应根据甲方的指令暂停所有工作，并向甲方移交已完成的成果资料。甲方按乙方实际完成进展程度支付乙方相应的合同价款。</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第七条 争议的解决</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甲乙双方应本着平等互利、友好合作的精神保证本合同的顺利履行。如在履行过程中发生争议，应首先通过友好协商解决。如协商不成功，可向甲方所在地具有管辖权的人民法院提起诉讼。</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第八条 保密</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8.1除为完成本项目使用外，未经对方允许，任何一方不得将对方收集的、整理的、研究的和准备的与本合同项下所有资料提供给任何第三方。本规定不影响已经公开发布的任何项目信息。</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8.2除为完成本项目使用外，任何一方不得将合同执行过程中的中间成果，如会议纪要，谈判记录，政府不予公开的文件指示等提供给任何第三方。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8.3除为完成本项目使用外，任何一方不得将本合同内容，包括设计服务费用及支付信息等提供给任何第三方。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8.4 关于保密的规定在本合同终止后三年内仍然有效。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第九条 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 甲方按合同约定完全支付乙方各阶段的报酬后，本合同成果的著作权等知识产权属于甲方所有，乙方仅享有署名权。乙方可以以下列方式和实际需要的网络传播等方法使用项目规划设计成果：1）定期或不定期进行规划设计工作总结；2）撰写项目研究论文、报告或参加规划设计课题研究报告；3）将项目研究论文或规划设计课题研究报告编辑出版及在国内外公开发行；4）在国内外举办的规划设计成果展览中宣传和展示；5）参加国内外规划设计成果交流、研讨和评优评奖活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 本合同一式 12 份，甲方 3 份，乙方 9 份，均具有同等的法律效力。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9.3 本合同未尽事宜由双方协商签订书面补充协议。本合同的修改和补充必须以书面形式方为有效。合同的修改和补充与本合同具有同等的法律约束力。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9.4 本合同自双方代表签字并盖章之日起生效。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9.5 为了双方更加有效的沟通，双方指定本项目的联系人如下，合同履行过程中所有的通知、要求、请求、文件发送与交接、事务联络等通过传真、电子邮件、邮政邮件联系方式给对方即视为送达，如果联系人有变更或者联系方式有变更，需书面通知对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甲方指定联系人和联系方式：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乙方指定联系人和联系方式：                                   </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bl>
      <w:tblPr>
        <w:tblStyle w:val="32"/>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292"/>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restar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w:t>
            </w: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签订时间</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住　　所</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机构代码证号</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银行帐号</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Borders>
              <w:bottom w:val="single" w:color="auto" w:sz="4" w:space="0"/>
            </w:tcBorders>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Borders>
              <w:bottom w:val="single" w:color="auto" w:sz="4" w:space="0"/>
            </w:tcBorders>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财务联系人</w:t>
            </w:r>
          </w:p>
        </w:tc>
        <w:tc>
          <w:tcPr>
            <w:tcW w:w="5844" w:type="dxa"/>
            <w:tcBorders>
              <w:bottom w:val="single" w:color="auto" w:sz="4" w:space="0"/>
            </w:tcBorders>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tcBorders>
              <w:right w:val="nil"/>
            </w:tcBorders>
            <w:shd w:val="clear" w:color="auto" w:fill="E7E6E6"/>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Borders>
              <w:left w:val="nil"/>
              <w:right w:val="nil"/>
            </w:tcBorders>
            <w:shd w:val="clear" w:color="auto" w:fill="E7E6E6"/>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844" w:type="dxa"/>
            <w:tcBorders>
              <w:left w:val="nil"/>
            </w:tcBorders>
            <w:shd w:val="clear" w:color="auto" w:fill="E7E6E6"/>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restart"/>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方</w:t>
            </w: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5844" w:type="dxa"/>
            <w:vAlign w:val="center"/>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签订时间</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住　　所</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税务登记证号码</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银行账号</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6" w:type="dxa"/>
            <w:vMerge w:val="continue"/>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2308"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财务联系人</w:t>
            </w:r>
          </w:p>
        </w:tc>
        <w:tc>
          <w:tcPr>
            <w:tcW w:w="5844" w:type="dxa"/>
          </w:tcPr>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tc>
      </w:tr>
    </w:tbl>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第五部分</w:t>
      </w: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响 应 文 件 格 式</w:t>
      </w: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（响应文件须编页码，且页码必须连续）</w:t>
      </w:r>
    </w:p>
    <w:p>
      <w:pPr>
        <w:spacing w:line="360" w:lineRule="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 xml:space="preserve">       </w:t>
      </w:r>
      <w:r>
        <w:rPr>
          <w:rFonts w:hint="eastAsia" w:ascii="仿宋" w:hAnsi="仿宋" w:eastAsia="仿宋" w:cs="仿宋"/>
          <w:b/>
          <w:color w:val="000000" w:themeColor="text1"/>
          <w:sz w:val="48"/>
          <w:szCs w:val="48"/>
          <w:highlight w:val="none"/>
          <w14:textFill>
            <w14:solidFill>
              <w14:schemeClr w14:val="tx1"/>
            </w14:solidFill>
          </w14:textFill>
        </w:rPr>
        <w:br w:type="page"/>
      </w:r>
      <w:bookmarkStart w:id="5" w:name="_Toc202816995"/>
      <w:bookmarkStart w:id="6" w:name="_Toc202819877"/>
      <w:bookmarkStart w:id="7" w:name="_Toc202251074"/>
      <w:bookmarkStart w:id="8" w:name="_Toc202252033"/>
      <w:bookmarkStart w:id="9" w:name="_Toc202251699"/>
      <w:bookmarkStart w:id="10" w:name="_Toc202820350"/>
      <w:bookmarkStart w:id="11" w:name="_Toc202254104"/>
      <w:r>
        <w:rPr>
          <w:rFonts w:hint="eastAsia" w:ascii="仿宋" w:hAnsi="仿宋" w:eastAsia="仿宋" w:cs="仿宋"/>
          <w:b/>
          <w:color w:val="000000" w:themeColor="text1"/>
          <w:sz w:val="21"/>
          <w:szCs w:val="21"/>
          <w:highlight w:val="none"/>
          <w14:textFill>
            <w14:solidFill>
              <w14:schemeClr w14:val="tx1"/>
            </w14:solidFill>
          </w14:textFill>
        </w:rPr>
        <w:t>自查表</w:t>
      </w:r>
      <w:bookmarkEnd w:id="5"/>
      <w:bookmarkEnd w:id="6"/>
      <w:bookmarkEnd w:id="7"/>
      <w:bookmarkEnd w:id="8"/>
      <w:bookmarkEnd w:id="9"/>
      <w:bookmarkEnd w:id="10"/>
      <w:bookmarkEnd w:id="11"/>
    </w:p>
    <w:tbl>
      <w:tblPr>
        <w:tblStyle w:val="32"/>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3871"/>
        <w:gridCol w:w="282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（详见《资格性和符合性审查表》各项）</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778"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□通过 </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71"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firstLine="0"/>
              <w:jc w:val="both"/>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 2）提供 2019 年度或 2020年度经审计的《财务审计报告书》复印件，或银行出具的资信证明材料复印件；</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3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3）提供近段时间内（近 3 个月或以上）的缴纳税收的完税证明或税务部门出具的纳税证明；如依法免税的，应提供相应文件证明；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4）提供近段时间内（近 3 个月或以上）的缴纳社保证明材料加盖公章。如依法不需要缴纳社会保障资金的，应提供相应文件证明；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5）提供履行合同所必需的设备和专业技术能力的书面声明；（提供《投标人资格声明函》）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6）提供参加政府采购活动前3年内在经营活动中没有重大违法记录的书面声明；（提供《投标人资格声明函》）。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7）投标人具有城乡规划编制乙级或乙级以上资质证书</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8）项目负责人注册城乡规划师资格证书</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9）为采购项目提供整体设计、规范编制或者项目管理、监理、检测等服务的供应商，不得再参加该采购项目同一合同项下的其他采购活动。（提供《投标人资格声明函》）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10）单位负责人为同一人或者存在直接控股、管理关系的不同供应商，不得参加同一合同项下的政府采购活动。（提供《投标人资格声明函》）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11）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□通过 </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符合性审查</w:t>
            </w:r>
          </w:p>
        </w:tc>
        <w:tc>
          <w:tcPr>
            <w:tcW w:w="387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投标保证金已足额递交</w:t>
            </w:r>
          </w:p>
        </w:tc>
        <w:tc>
          <w:tcPr>
            <w:tcW w:w="282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响应文件完整、符合磋商文件规定的密封、签署、 盖章</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报价价格是固定唯一的</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报价有效期为90天</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spacing w:line="4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投标报价没有超出</w:t>
            </w:r>
            <w:r>
              <w:rPr>
                <w:rFonts w:hint="eastAsia" w:ascii="仿宋" w:hAnsi="仿宋" w:eastAsia="仿宋" w:cs="仿宋"/>
                <w:color w:val="000000" w:themeColor="text1"/>
                <w:sz w:val="21"/>
                <w:szCs w:val="21"/>
                <w:highlight w:val="none"/>
                <w:lang w:val="en-US" w:eastAsia="zh-CN"/>
                <w14:textFill>
                  <w14:solidFill>
                    <w14:schemeClr w14:val="tx1"/>
                  </w14:solidFill>
                </w14:textFill>
              </w:rPr>
              <w:t>最高限价</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商务没有重大偏离或保留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满足《用户需求书》中功能要求、技术指标和服务要求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没有其它未实质性响应磋商文件的要求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bl>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供应商法定代表人（或法定代表人授权代表）签字：                   </w:t>
      </w: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供应商名称（签章）：                        </w:t>
      </w:r>
    </w:p>
    <w:p>
      <w:pPr>
        <w:tabs>
          <w:tab w:val="left" w:pos="800"/>
          <w:tab w:val="left" w:pos="1000"/>
        </w:tabs>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日期：   年   月   日</w:t>
      </w: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2"/>
        <w:rPr>
          <w:rFonts w:hint="eastAsia" w:ascii="仿宋" w:hAnsi="仿宋" w:eastAsia="仿宋" w:cs="仿宋"/>
          <w:color w:val="000000" w:themeColor="text1"/>
          <w:lang w:val="en-US" w:eastAsia="zh-CN"/>
          <w14:textFill>
            <w14:solidFill>
              <w14:schemeClr w14:val="tx1"/>
            </w14:solidFill>
          </w14:textFill>
        </w:rPr>
      </w:pPr>
    </w:p>
    <w:p>
      <w:pPr>
        <w:pStyle w:val="2"/>
        <w:rPr>
          <w:rFonts w:hint="eastAsia" w:ascii="仿宋" w:hAnsi="仿宋" w:eastAsia="仿宋" w:cs="仿宋"/>
          <w:color w:val="000000" w:themeColor="text1"/>
          <w:lang w:val="en-US" w:eastAsia="zh-CN"/>
          <w14:textFill>
            <w14:solidFill>
              <w14:schemeClr w14:val="tx1"/>
            </w14:solidFill>
          </w14:textFill>
        </w:rPr>
      </w:pP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2"/>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tbl>
      <w:tblPr>
        <w:tblStyle w:val="32"/>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70"/>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一、项 目 报 价 表</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bookmarkStart w:id="12" w:name="_Hlt10519799"/>
      <w:bookmarkEnd w:id="12"/>
      <w:bookmarkStart w:id="13"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14" w:name="_Hlt10519308"/>
      <w:bookmarkEnd w:id="14"/>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3"/>
      <w:bookmarkStart w:id="15" w:name="_Hlt10456397"/>
      <w:bookmarkEnd w:id="15"/>
    </w:p>
    <w:p>
      <w:pPr>
        <w:pStyle w:val="18"/>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报价人名称：                                         </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32"/>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widowControl/>
              <w:suppressLineNumbers w:val="0"/>
              <w:spacing w:before="75" w:beforeAutospacing="0" w:after="75" w:afterAutospacing="0" w:line="300" w:lineRule="atLeast"/>
              <w:ind w:right="0"/>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策勒县津南新村、团结新村、巴什玉吉买村乡村振兴示范村规划项目</w:t>
            </w:r>
          </w:p>
        </w:tc>
        <w:tc>
          <w:tcPr>
            <w:tcW w:w="50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30天</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小</w:t>
            </w:r>
            <w:r>
              <w:rPr>
                <w:rFonts w:hint="eastAsia" w:ascii="仿宋" w:hAnsi="仿宋" w:eastAsia="仿宋" w:cs="仿宋"/>
                <w:color w:val="000000" w:themeColor="text1"/>
                <w:sz w:val="24"/>
                <w:szCs w:val="24"/>
                <w14:textFill>
                  <w14:solidFill>
                    <w14:schemeClr w14:val="tx1"/>
                  </w14:solidFill>
                </w14:textFill>
              </w:rPr>
              <w:t>写：                                （￥               ）</w:t>
            </w:r>
          </w:p>
          <w:p>
            <w:pPr>
              <w:pStyle w:val="2"/>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大写：</w:t>
            </w:r>
          </w:p>
        </w:tc>
      </w:tr>
    </w:tbl>
    <w:p>
      <w:pP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8"/>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8"/>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16" w:name="_Toc42951052"/>
      <w:bookmarkStart w:id="17" w:name="_Hlt10456257"/>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16"/>
    </w:p>
    <w:bookmarkEnd w:id="17"/>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(报价人名称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(授权代表全名, 职务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代表我方进行有关本磋商的一切事宜。</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 正本一份,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8"/>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（六）按磋商文件供应商须知的要求提供的报价文件格式的其它有关文件。</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w:t>
      </w:r>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（四）我方已详细研究了磋商文件的所有内容包括修改文件(如果有</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和所有已提供的参考资料以及有关附件并完全明白, 我方放弃在此方面提出含糊意见或误解的一切权力。</w:t>
      </w:r>
    </w:p>
    <w:p>
      <w:pP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我方明白并愿意在规定的磋商时间和日期之后,报价有效期之内撤回报价, 则报价保证金将被贵方没收。</w:t>
      </w:r>
    </w:p>
    <w:p>
      <w:pPr>
        <w:pStyle w:val="20"/>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我方同意按照贵方可能提出的要求而提供与报价有关的任何其它数据或信息。</w:t>
      </w:r>
    </w:p>
    <w:p>
      <w:pP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我方如果成交，将保证履行磋商文件以及磋商文件修改文件（如果有的话）中的全部责任和义务，按质、按量、按期完成《合同书》中的全部任务。</w:t>
      </w:r>
    </w:p>
    <w:p>
      <w:pPr>
        <w:pStyle w:val="14"/>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如我方被授予合同，由我方就本次磋商支付或将支付的服务费列于磋商文件要求的承诺书（承诺书号</w:t>
      </w:r>
      <w:r>
        <w:rPr>
          <w:rFonts w:hint="eastAsia" w:ascii="仿宋" w:hAnsi="仿宋" w:eastAsia="仿宋" w:cs="仿宋"/>
          <w:color w:val="000000" w:themeColor="text1"/>
          <w:sz w:val="24"/>
          <w:szCs w:val="24"/>
          <w:highlight w:val="none"/>
          <w:lang w:eastAsia="zh-CN"/>
          <w14:textFill>
            <w14:solidFill>
              <w14:schemeClr w14:val="tx1"/>
            </w14:solidFill>
          </w14:textFill>
        </w:rPr>
        <w:t>2021-clx- 062号</w:t>
      </w:r>
      <w:r>
        <w:rPr>
          <w:rFonts w:hint="eastAsia" w:ascii="仿宋" w:hAnsi="仿宋" w:eastAsia="仿宋" w:cs="仿宋"/>
          <w:color w:val="000000" w:themeColor="text1"/>
          <w:sz w:val="24"/>
          <w:szCs w:val="24"/>
          <w:highlight w:val="none"/>
          <w14:textFill>
            <w14:solidFill>
              <w14:schemeClr w14:val="tx1"/>
            </w14:solidFill>
          </w14:textFill>
        </w:rPr>
        <w:t>）中。</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二、</w:t>
      </w:r>
      <w:r>
        <w:rPr>
          <w:rFonts w:hint="eastAsia" w:ascii="仿宋" w:hAnsi="仿宋" w:eastAsia="仿宋" w:cs="仿宋"/>
          <w:b/>
          <w:color w:val="000000" w:themeColor="text1"/>
          <w:sz w:val="48"/>
          <w:szCs w:val="48"/>
          <w:highlight w:val="none"/>
          <w:lang w:eastAsia="zh-CN"/>
          <w14:textFill>
            <w14:solidFill>
              <w14:schemeClr w14:val="tx1"/>
            </w14:solidFill>
          </w14:textFill>
        </w:rPr>
        <w:t>服</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务</w:t>
      </w:r>
      <w:r>
        <w:rPr>
          <w:rFonts w:hint="eastAsia" w:ascii="仿宋" w:hAnsi="仿宋" w:eastAsia="仿宋" w:cs="仿宋"/>
          <w:b/>
          <w:color w:val="000000" w:themeColor="text1"/>
          <w:sz w:val="48"/>
          <w:szCs w:val="48"/>
          <w:highlight w:val="none"/>
          <w14:textFill>
            <w14:solidFill>
              <w14:schemeClr w14:val="tx1"/>
            </w14:solidFill>
          </w14:textFill>
        </w:rPr>
        <w:t xml:space="preserve"> 商 务 响 应</w: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8" w:name="_Hlt10519541"/>
      <w:bookmarkEnd w:id="18"/>
      <w:bookmarkStart w:id="19"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19"/>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8"/>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2"/>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
        <w:spacing w:before="5"/>
        <w:rPr>
          <w:rFonts w:hint="eastAsia" w:ascii="仿宋" w:hAnsi="仿宋" w:eastAsia="仿宋" w:cs="仿宋"/>
          <w:color w:val="000000" w:themeColor="text1"/>
          <w:sz w:val="24"/>
          <w:szCs w:val="24"/>
          <w:highlight w:val="none"/>
          <w14:textFill>
            <w14:solidFill>
              <w14:schemeClr w14:val="tx1"/>
            </w14:solidFill>
          </w14:textFill>
        </w:rPr>
        <w:sectPr>
          <w:headerReference r:id="rId8" w:type="default"/>
          <w:footerReference r:id="rId9" w:type="default"/>
          <w:pgSz w:w="11910" w:h="16840"/>
          <w:pgMar w:top="1340" w:right="901" w:bottom="920" w:left="900" w:header="763" w:footer="720" w:gutter="0"/>
          <w:pgNumType w:start="4"/>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5168;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4144;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8"/>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2096;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5408"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1072;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pacing w:line="480" w:lineRule="exact"/>
        <w:jc w:val="center"/>
        <w:rPr>
          <w:rFonts w:hint="eastAsia" w:ascii="仿宋" w:hAnsi="仿宋" w:eastAsia="仿宋" w:cs="仿宋"/>
          <w:color w:val="000000" w:themeColor="text1"/>
          <w:sz w:val="24"/>
          <w:szCs w:val="24"/>
          <w:lang w:eastAsia="zh-CN"/>
          <w14:textFill>
            <w14:solidFill>
              <w14:schemeClr w14:val="tx1"/>
            </w14:solidFill>
          </w14:textFill>
        </w:rPr>
      </w:pPr>
      <w:bookmarkStart w:id="20" w:name="_Toc42951054"/>
      <w:r>
        <w:rPr>
          <w:rFonts w:hint="eastAsia" w:ascii="仿宋" w:hAnsi="仿宋" w:eastAsia="仿宋" w:cs="仿宋"/>
          <w:color w:val="000000" w:themeColor="text1"/>
          <w:sz w:val="24"/>
          <w:szCs w:val="24"/>
          <w:lang w:eastAsia="zh-CN"/>
          <w14:textFill>
            <w14:solidFill>
              <w14:schemeClr w14:val="tx1"/>
            </w14:solidFill>
          </w14:textFill>
        </w:rPr>
        <w:t>投标人资格声明函</w:t>
      </w:r>
    </w:p>
    <w:p>
      <w:pPr>
        <w:rPr>
          <w:rFonts w:hint="eastAsia" w:ascii="仿宋" w:hAnsi="仿宋" w:eastAsia="仿宋" w:cs="仿宋"/>
          <w:color w:val="000000" w:themeColor="text1"/>
          <w:sz w:val="24"/>
          <w:szCs w:val="24"/>
          <w:lang w:eastAsia="zh-CN"/>
          <w14:textFill>
            <w14:solidFill>
              <w14:schemeClr w14:val="tx1"/>
            </w14:solidFill>
          </w14:textFill>
        </w:rPr>
      </w:pPr>
    </w:p>
    <w:p>
      <w:pPr>
        <w:pStyle w:val="18"/>
        <w:spacing w:line="360" w:lineRule="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致:新疆晓君招标有限公司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关于采购人</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日发布</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（项目编号：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一、本公司（企业）具备《中华人民共和国政府采购法》第二十二条规定的条件。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二、本公司在参加政府采购活动前3年内在经营活动中没有重大违法记录。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w:t>
      </w:r>
      <w:r>
        <w:rPr>
          <w:rFonts w:hint="eastAsia" w:ascii="仿宋" w:hAnsi="仿宋" w:eastAsia="仿宋" w:cs="仿宋"/>
          <w:color w:val="000000" w:themeColor="text1"/>
          <w:sz w:val="24"/>
          <w:szCs w:val="24"/>
          <w:lang w:eastAsia="zh-CN"/>
          <w14:textFill>
            <w14:solidFill>
              <w14:schemeClr w14:val="tx1"/>
            </w14:solidFill>
          </w14:textFill>
        </w:rPr>
        <w:t>、我方承诺单位负责人为同一人或者存在直接控股、管理关系的不同供应商，不得同时参加本项目的投标。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w:t>
      </w:r>
      <w:r>
        <w:rPr>
          <w:rFonts w:hint="eastAsia" w:ascii="仿宋" w:hAnsi="仿宋" w:eastAsia="仿宋" w:cs="仿宋"/>
          <w:color w:val="000000" w:themeColor="text1"/>
          <w:sz w:val="24"/>
          <w:szCs w:val="24"/>
          <w:lang w:eastAsia="zh-CN"/>
          <w14:textFill>
            <w14:solidFill>
              <w14:schemeClr w14:val="tx1"/>
            </w14:solidFill>
          </w14:textFill>
        </w:rPr>
        <w:t>我方作为</w:t>
      </w:r>
      <w:r>
        <w:rPr>
          <w:rFonts w:hint="eastAsia" w:ascii="仿宋" w:hAnsi="仿宋" w:eastAsia="仿宋" w:cs="仿宋"/>
          <w:color w:val="000000" w:themeColor="text1"/>
          <w:sz w:val="24"/>
          <w:szCs w:val="24"/>
          <w:u w:val="single"/>
          <w:lang w:eastAsia="zh-CN"/>
          <w14:textFill>
            <w14:solidFill>
              <w14:schemeClr w14:val="tx1"/>
            </w14:solidFill>
          </w14:textFill>
        </w:rPr>
        <w:t xml:space="preserve">  （供应商）   </w:t>
      </w:r>
      <w:r>
        <w:rPr>
          <w:rFonts w:hint="eastAsia" w:ascii="仿宋" w:hAnsi="仿宋" w:eastAsia="仿宋" w:cs="仿宋"/>
          <w:color w:val="000000" w:themeColor="text1"/>
          <w:sz w:val="24"/>
          <w:szCs w:val="24"/>
          <w:lang w:eastAsia="zh-CN"/>
          <w14:textFill>
            <w14:solidFill>
              <w14:schemeClr w14:val="tx1"/>
            </w14:solidFill>
          </w14:textFill>
        </w:rPr>
        <w:t>是在法律、财务和运作上独立于采购人、采购代理机构的投标人，提供“用户需求书”中全部的相关服务，提交所有文件和全部说明是真实的和正确的。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w:t>
      </w:r>
      <w:r>
        <w:rPr>
          <w:rFonts w:hint="eastAsia" w:ascii="仿宋" w:hAnsi="仿宋" w:eastAsia="仿宋" w:cs="仿宋"/>
          <w:color w:val="000000" w:themeColor="text1"/>
          <w:sz w:val="24"/>
          <w:szCs w:val="24"/>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特此声明！</w:t>
      </w:r>
    </w:p>
    <w:p>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备注：1、本声明函必须提供且内容不得擅自删改，否则视为无效投标。</w:t>
      </w:r>
    </w:p>
    <w:p>
      <w:pPr>
        <w:spacing w:line="360" w:lineRule="auto"/>
        <w:ind w:firstLine="720" w:firstLineChars="3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2、本声明函如有虚假或与事实不符的，作无效投标处理。</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投标人（公章）：</w:t>
      </w: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投标人地址：</w:t>
      </w:r>
    </w:p>
    <w:p>
      <w:pPr>
        <w:spacing w:line="480" w:lineRule="exact"/>
        <w:ind w:left="0" w:leftChars="0" w:firstLine="5280" w:firstLineChars="2200"/>
        <w:rPr>
          <w:rFonts w:hint="eastAsia" w:ascii="仿宋" w:hAnsi="仿宋" w:eastAsia="仿宋" w:cs="仿宋"/>
          <w:color w:val="000000" w:themeColor="text1"/>
          <w:sz w:val="24"/>
          <w:szCs w:val="24"/>
          <w14:textFill>
            <w14:solidFill>
              <w14:schemeClr w14:val="tx1"/>
            </w14:solidFill>
          </w14:textFill>
        </w:rPr>
        <w:sectPr>
          <w:headerReference r:id="rId10" w:type="default"/>
          <w:footerReference r:id="rId11"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t>日    期：</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附：（注：本声明函对中小企业参与政府采购活动时适用）</w:t>
      </w:r>
    </w:p>
    <w:p>
      <w:pPr>
        <w:spacing w:line="588" w:lineRule="exact"/>
        <w:rPr>
          <w:rFonts w:hint="eastAsia" w:ascii="仿宋" w:hAnsi="仿宋" w:eastAsia="仿宋" w:cs="仿宋"/>
          <w:color w:val="000000" w:themeColor="text1"/>
          <w:spacing w:val="6"/>
          <w:sz w:val="24"/>
          <w:szCs w:val="24"/>
          <w14:textFill>
            <w14:solidFill>
              <w14:schemeClr w14:val="tx1"/>
            </w14:solidFill>
          </w14:textFill>
        </w:rPr>
      </w:pPr>
    </w:p>
    <w:p>
      <w:pPr>
        <w:spacing w:line="480" w:lineRule="exact"/>
        <w:jc w:val="center"/>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b/>
          <w:color w:val="000000" w:themeColor="text1"/>
          <w:spacing w:val="6"/>
          <w:sz w:val="24"/>
          <w:szCs w:val="24"/>
          <w14:textFill>
            <w14:solidFill>
              <w14:schemeClr w14:val="tx1"/>
            </w14:solidFill>
          </w14:textFill>
        </w:rPr>
        <w:t>中小企业声明函</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本公司郑重声明，根据《政府采购促进中小企业发展暂行办法》（财库[2011]181号）的规定，本公司为______（请填写：中型、小型、微型）企业。即，本公司同时满足以下条件：</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1.根据《工业和信息化部、国家统计局、国家发展和改革委员会、财政部关于印发中小企业划型标准规定的通知》（</w:t>
      </w:r>
      <w:r>
        <w:rPr>
          <w:rFonts w:hint="eastAsia" w:ascii="仿宋" w:hAnsi="仿宋" w:eastAsia="仿宋" w:cs="仿宋"/>
          <w:color w:val="000000" w:themeColor="text1"/>
          <w:spacing w:val="6"/>
          <w:sz w:val="24"/>
          <w:szCs w:val="24"/>
          <w:highlight w:val="none"/>
          <w14:textFill>
            <w14:solidFill>
              <w14:schemeClr w14:val="tx1"/>
            </w14:solidFill>
          </w14:textFill>
        </w:rPr>
        <w:t>工信部</w:t>
      </w:r>
      <w:r>
        <w:rPr>
          <w:rFonts w:hint="eastAsia" w:ascii="仿宋" w:hAnsi="仿宋" w:eastAsia="仿宋" w:cs="仿宋"/>
          <w:color w:val="000000" w:themeColor="text1"/>
          <w:spacing w:val="6"/>
          <w:sz w:val="24"/>
          <w:szCs w:val="24"/>
          <w14:textFill>
            <w14:solidFill>
              <w14:schemeClr w14:val="tx1"/>
            </w14:solidFill>
          </w14:textFill>
        </w:rPr>
        <w:t>联企业[2011]300号）规定的划分标准，本公司为______（请填写：中型、小型、微型）企业。</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2.本公司参加______单位的______项目采购活动</w:t>
      </w:r>
      <w:r>
        <w:rPr>
          <w:rFonts w:hint="eastAsia" w:ascii="仿宋" w:hAnsi="仿宋" w:eastAsia="仿宋" w:cs="仿宋"/>
          <w:color w:val="000000" w:themeColor="text1"/>
          <w:spacing w:val="6"/>
          <w:sz w:val="24"/>
          <w:szCs w:val="24"/>
          <w:u w:val="single"/>
          <w14:textFill>
            <w14:solidFill>
              <w14:schemeClr w14:val="tx1"/>
            </w14:solidFill>
          </w14:textFill>
        </w:rPr>
        <w:t>提供本企业制造的货物，由本企业承担工程、提供服务</w:t>
      </w:r>
      <w:r>
        <w:rPr>
          <w:rFonts w:hint="eastAsia" w:ascii="仿宋" w:hAnsi="仿宋" w:eastAsia="仿宋" w:cs="仿宋"/>
          <w:color w:val="000000" w:themeColor="text1"/>
          <w:spacing w:val="6"/>
          <w:sz w:val="24"/>
          <w:szCs w:val="24"/>
          <w14:textFill>
            <w14:solidFill>
              <w14:schemeClr w14:val="tx1"/>
            </w14:solidFill>
          </w14:textFill>
        </w:rPr>
        <w:t>，</w:t>
      </w:r>
      <w:r>
        <w:rPr>
          <w:rFonts w:hint="eastAsia" w:ascii="仿宋" w:hAnsi="仿宋" w:eastAsia="仿宋" w:cs="仿宋"/>
          <w:color w:val="000000" w:themeColor="text1"/>
          <w:spacing w:val="6"/>
          <w:sz w:val="24"/>
          <w:szCs w:val="24"/>
          <w:u w:val="single"/>
          <w14:textFill>
            <w14:solidFill>
              <w14:schemeClr w14:val="tx1"/>
            </w14:solidFill>
          </w14:textFill>
        </w:rPr>
        <w:t>或者提供其他______（请填写：中型、小型、微型）企业制造的货物</w:t>
      </w:r>
      <w:r>
        <w:rPr>
          <w:rFonts w:hint="eastAsia" w:ascii="仿宋" w:hAnsi="仿宋" w:eastAsia="仿宋" w:cs="仿宋"/>
          <w:color w:val="000000" w:themeColor="text1"/>
          <w:spacing w:val="6"/>
          <w:sz w:val="24"/>
          <w:szCs w:val="24"/>
          <w14:textFill>
            <w14:solidFill>
              <w14:schemeClr w14:val="tx1"/>
            </w14:solidFill>
          </w14:textFill>
        </w:rPr>
        <w:t>。本条所称货物不包括使用大型企业注册商标的货物。</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本公司对上述声明的真实性负责。如有虚假，将依法承担相应责任。</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98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序号</w:t>
            </w:r>
          </w:p>
        </w:tc>
        <w:tc>
          <w:tcPr>
            <w:tcW w:w="360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服务类型</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服务名称</w:t>
            </w: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金额（元）</w:t>
            </w: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其他中型企业提供的服务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3</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其他小型企业提供的服务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4</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其他微型企业提供的服务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bl>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 xml:space="preserve">               </w:t>
      </w: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企业名称（盖章）： </w:t>
      </w: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2"/>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0"/>
    </w:p>
    <w:p>
      <w:pPr>
        <w:widowControl w:val="0"/>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[说明]供应商应按照磋商文件的要求做出全面的响应。其内容应包括但不限于以下各项：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2）提供 2019年度或 2020年度经审计的《财务审计报告书》复印件，或银行出具的资信证明材料复印件；</w:t>
      </w:r>
    </w:p>
    <w:p>
      <w:pPr>
        <w:pStyle w:val="29"/>
        <w:spacing w:before="50" w:beforeAutospacing="0" w:after="50" w:afterAutospacing="0" w:line="360" w:lineRule="auto"/>
        <w:ind w:firstLine="420"/>
        <w:rPr>
          <w:rFonts w:hint="eastAsia" w:ascii="仿宋" w:hAnsi="仿宋" w:eastAsia="仿宋" w:cs="仿宋"/>
          <w:color w:val="000000"/>
          <w:highlight w:val="none"/>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w:t>
      </w:r>
      <w:r>
        <w:rPr>
          <w:rFonts w:hint="eastAsia" w:ascii="仿宋" w:hAnsi="仿宋" w:eastAsia="仿宋" w:cs="仿宋"/>
          <w:color w:val="000000"/>
          <w:highlight w:val="none"/>
        </w:rPr>
        <w:t>提供近段时间内（近 3 个月或以上）的缴纳税收的完税证明或税务部门出具的纳税证明；如依法免税的，应提供相应文件证明；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FF0000"/>
          <w:sz w:val="24"/>
          <w:szCs w:val="24"/>
        </w:rPr>
      </w:pPr>
      <w:r>
        <w:rPr>
          <w:rFonts w:hint="eastAsia" w:ascii="仿宋" w:hAnsi="仿宋" w:eastAsia="仿宋" w:cs="仿宋"/>
          <w:color w:val="000000"/>
          <w:highlight w:val="none"/>
        </w:rPr>
        <w:t>4）提供近段时间内（近 3 个月或以上）的缴纳社保证明材料加盖公章。如依法不</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1" w:name="_Hlt10549792"/>
      <w:bookmarkEnd w:id="21"/>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致：新疆晓君招标有限公司</w:t>
      </w:r>
    </w:p>
    <w:p>
      <w:pP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退还时划到以下帐户：</w:t>
      </w:r>
    </w:p>
    <w:tbl>
      <w:tblPr>
        <w:tblStyle w:val="32"/>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bl>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2"/>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2"/>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注：本说明请附投标保证金交纳凭据</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2"/>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w:t>
            </w:r>
            <w:r>
              <w:rPr>
                <w:rFonts w:hint="eastAsia" w:ascii="仿宋" w:hAnsi="仿宋" w:eastAsia="仿宋" w:cs="仿宋"/>
                <w:color w:val="000000" w:themeColor="text1"/>
                <w:sz w:val="24"/>
                <w:szCs w:val="24"/>
                <w:highlight w:val="none"/>
                <w:lang w:eastAsia="zh-CN"/>
                <w14:textFill>
                  <w14:solidFill>
                    <w14:schemeClr w14:val="tx1"/>
                  </w14:solidFill>
                </w14:textFill>
              </w:rPr>
              <w:t>转账</w:t>
            </w:r>
            <w:r>
              <w:rPr>
                <w:rFonts w:hint="eastAsia" w:ascii="仿宋" w:hAnsi="仿宋" w:eastAsia="仿宋" w:cs="仿宋"/>
                <w:color w:val="000000" w:themeColor="text1"/>
                <w:sz w:val="24"/>
                <w:szCs w:val="24"/>
                <w:highlight w:val="none"/>
                <w14:textFill>
                  <w14:solidFill>
                    <w14:schemeClr w14:val="tx1"/>
                  </w14:solidFill>
                </w14:textFill>
              </w:rPr>
              <w:t>或汇款的银行凭证复印件（加盖公章）。</w:t>
            </w: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2"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2"/>
    </w:p>
    <w:p>
      <w:pPr>
        <w:numPr>
          <w:ilvl w:val="0"/>
          <w:numId w:val="0"/>
        </w:numPr>
        <w:adjustRightInd w:val="0"/>
        <w:snapToGrid w:val="0"/>
        <w:spacing w:line="300" w:lineRule="auto"/>
        <w:ind w:left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说</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明：</w:t>
      </w:r>
    </w:p>
    <w:p>
      <w:pPr>
        <w:numPr>
          <w:ilvl w:val="0"/>
          <w:numId w:val="23"/>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投标人必须对应招标文件条款逐条应答并按要求填写下表。</w:t>
      </w:r>
    </w:p>
    <w:p>
      <w:pPr>
        <w:numPr>
          <w:ilvl w:val="0"/>
          <w:numId w:val="23"/>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1"/>
          <w:szCs w:val="21"/>
          <w:highlight w:val="none"/>
          <w14:textFill>
            <w14:solidFill>
              <w14:schemeClr w14:val="tx1"/>
            </w14:solidFill>
          </w14:textFill>
        </w:rPr>
        <w:t>实际数据填写</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1"/>
          <w:szCs w:val="21"/>
          <w:highlight w:val="none"/>
          <w14:textFill>
            <w14:solidFill>
              <w14:schemeClr w14:val="tx1"/>
            </w14:solidFill>
          </w14:textFill>
        </w:rPr>
        <w:t>。</w:t>
      </w:r>
    </w:p>
    <w:p>
      <w:pPr>
        <w:numPr>
          <w:ilvl w:val="0"/>
          <w:numId w:val="23"/>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投标人应按招标文件要求附相关证明文件，如有任何一项不响应或不满足的视为负偏离。</w:t>
      </w:r>
    </w:p>
    <w:p>
      <w:pPr>
        <w:numPr>
          <w:ilvl w:val="0"/>
          <w:numId w:val="23"/>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偏离情况说明：投标人根据投标人实际情况填写“正偏离”“完全响应”或“负偏离”。</w:t>
      </w:r>
    </w:p>
    <w:p>
      <w:pPr>
        <w:adjustRightInd w:val="0"/>
        <w:snapToGrid w:val="0"/>
        <w:spacing w:line="300" w:lineRule="auto"/>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4"/>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4"/>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3</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4</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5"/>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5"/>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6"/>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6"/>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7"/>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bl>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1"/>
          <w:szCs w:val="21"/>
          <w:highlight w:val="none"/>
          <w:u w:val="singl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日期：</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年</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月</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日</w:t>
      </w:r>
    </w:p>
    <w:p>
      <w:pPr>
        <w:pStyle w:val="7"/>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（2）一般服务</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所提供的报价不高于本公司目前的报价水平</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eastAsia="zh-CN"/>
                <w14:textFill>
                  <w14:solidFill>
                    <w14:schemeClr w14:val="tx1"/>
                  </w14:solidFill>
                </w14:textFill>
              </w:rPr>
              <w:t>四年</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2"/>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2"/>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3" w:name="_Hlt10456523"/>
      <w:bookmarkEnd w:id="23"/>
      <w:bookmarkStart w:id="24"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24"/>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2021-clx- 062号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的货物及相关服务磋商中获成交（采购编号：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5" w:name="_Hlt10520073"/>
      <w:bookmarkEnd w:id="25"/>
      <w:bookmarkStart w:id="26" w:name="_Hlt10520032"/>
      <w:bookmarkEnd w:id="26"/>
      <w:bookmarkStart w:id="27" w:name="_Toc42951058"/>
      <w:r>
        <w:rPr>
          <w:rFonts w:hint="eastAsia" w:ascii="仿宋" w:hAnsi="仿宋" w:eastAsia="仿宋" w:cs="仿宋"/>
          <w:color w:val="000000" w:themeColor="text1"/>
          <w:sz w:val="24"/>
          <w:szCs w:val="24"/>
          <w:highlight w:val="none"/>
          <w14:textFill>
            <w14:solidFill>
              <w14:schemeClr w14:val="tx1"/>
            </w14:solidFill>
          </w14:textFill>
        </w:rPr>
        <w:t>7．其它资料格式</w:t>
      </w:r>
      <w:bookmarkEnd w:id="27"/>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提供近三年完成的同类项目业绩</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7.6  供应商认为有必要提供的其它资料 </w:t>
      </w:r>
    </w:p>
    <w:p>
      <w:pP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7"/>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2"/>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供应商提供近三年完成的同类项目业绩</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业  绩  表</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2"/>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1、列出近三年完成的同类项目业绩；</w:t>
      </w:r>
    </w:p>
    <w:p>
      <w:pP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其它单位举证成立，其报价资格将被取消。</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本次招标，如果有名称变更的（非因该单位出现了与资格预审时的营业性质的根本改变以至不再满足本次招标的要求），供应商应提供相关变更证明文件，说明由原名称因何种原因变更为现名称。</w:t>
      </w:r>
    </w:p>
    <w:p>
      <w:pP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供应商认为有必要提供的其它资料。</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28" w:name="_Hlt10462379"/>
      <w:bookmarkEnd w:id="28"/>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footerReference r:id="rId13" w:type="default"/>
          <w:pgSz w:w="11907" w:h="16840"/>
          <w:pgMar w:top="1440" w:right="1418" w:bottom="1440" w:left="1418" w:header="851" w:footer="851" w:gutter="0"/>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29"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29"/>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0" w:name="_Hlt10567911"/>
      <w:bookmarkEnd w:id="30"/>
    </w:p>
    <w:p>
      <w:pPr>
        <w:pStyle w:val="18"/>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1" w:name="_Hlt10523642"/>
      <w:bookmarkEnd w:id="31"/>
    </w:p>
    <w:p>
      <w:pPr>
        <w:pStyle w:val="18"/>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8"/>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策勒县津南新村、团结新村、巴什玉吉买村乡村振兴示范村规划项目</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2021-clx- 062号</w:t>
      </w:r>
      <w:r>
        <w:rPr>
          <w:rFonts w:hint="eastAsia" w:ascii="仿宋" w:hAnsi="仿宋" w:eastAsia="仿宋" w:cs="仿宋"/>
          <w:color w:val="000000" w:themeColor="text1"/>
          <w:sz w:val="24"/>
          <w:szCs w:val="24"/>
          <w:highlight w:val="none"/>
          <w14:textFill>
            <w14:solidFill>
              <w14:schemeClr w14:val="tx1"/>
            </w14:solidFill>
          </w14:textFill>
        </w:rPr>
        <w:t xml:space="preserve">  ]，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napToGrid w:val="0"/>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8"/>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2" w:name="_Hlt10524018"/>
      <w:bookmarkEnd w:id="32"/>
      <w:bookmarkStart w:id="33" w:name="_Hlt10524029"/>
      <w:bookmarkEnd w:id="33"/>
      <w:bookmarkStart w:id="34" w:name="_Hlt10524010"/>
      <w:bookmarkEnd w:id="34"/>
      <w:bookmarkStart w:id="35" w:name="_Hlt10462525"/>
      <w:bookmarkEnd w:id="35"/>
      <w:bookmarkStart w:id="36" w:name="_Hlt10529670"/>
      <w:bookmarkEnd w:id="36"/>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rFonts w:hint="eastAsia"/>
      </w:rPr>
      <w:t>新疆晓君招标有限公司</w:t>
    </w:r>
    <w:r>
      <w:rPr>
        <w:rFonts w:ascii="宋体" w:hAnsi="宋体"/>
      </w:rPr>
      <w:t xml:space="preserve">                                                                </w:t>
    </w:r>
    <w:r>
      <w:rPr>
        <w:rFonts w:ascii="宋体" w:hAnsi="宋体"/>
        <w:sz w:val="18"/>
        <w:szCs w:val="18"/>
      </w:rPr>
      <w:t>2-</w:t>
    </w:r>
    <w:r>
      <w:rPr>
        <w:rStyle w:val="37"/>
        <w:rFonts w:ascii="宋体" w:hAnsi="宋体"/>
        <w:sz w:val="18"/>
        <w:szCs w:val="18"/>
      </w:rPr>
      <w:fldChar w:fldCharType="begin"/>
    </w:r>
    <w:r>
      <w:rPr>
        <w:rStyle w:val="37"/>
        <w:rFonts w:ascii="宋体" w:hAnsi="宋体"/>
        <w:sz w:val="18"/>
        <w:szCs w:val="18"/>
      </w:rPr>
      <w:instrText xml:space="preserve"> PAGE </w:instrText>
    </w:r>
    <w:r>
      <w:rPr>
        <w:rStyle w:val="37"/>
        <w:rFonts w:ascii="宋体" w:hAnsi="宋体"/>
        <w:sz w:val="18"/>
        <w:szCs w:val="18"/>
      </w:rPr>
      <w:fldChar w:fldCharType="separate"/>
    </w:r>
    <w:r>
      <w:rPr>
        <w:rStyle w:val="37"/>
        <w:rFonts w:ascii="宋体" w:hAnsi="宋体"/>
        <w:sz w:val="18"/>
        <w:szCs w:val="18"/>
      </w:rPr>
      <w:t>14</w:t>
    </w:r>
    <w:r>
      <w:rPr>
        <w:rStyle w:val="37"/>
        <w:rFonts w:ascii="宋体"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rFonts w:hint="eastAsia"/>
      </w:rPr>
      <w:t>新疆晓君招标有限公司</w:t>
    </w:r>
    <w:r>
      <w:rPr>
        <w:rFonts w:ascii="宋体" w:hAnsi="宋体"/>
      </w:rPr>
      <w:t xml:space="preserve">                                                                    2-</w:t>
    </w:r>
    <w:r>
      <w:rPr>
        <w:rStyle w:val="37"/>
        <w:rFonts w:ascii="宋体" w:hAnsi="宋体"/>
        <w:sz w:val="18"/>
        <w:szCs w:val="18"/>
      </w:rPr>
      <w:fldChar w:fldCharType="begin"/>
    </w:r>
    <w:r>
      <w:rPr>
        <w:rStyle w:val="37"/>
        <w:rFonts w:ascii="宋体" w:hAnsi="宋体"/>
        <w:sz w:val="18"/>
        <w:szCs w:val="18"/>
      </w:rPr>
      <w:instrText xml:space="preserve"> PAGE </w:instrText>
    </w:r>
    <w:r>
      <w:rPr>
        <w:rStyle w:val="37"/>
        <w:rFonts w:ascii="宋体" w:hAnsi="宋体"/>
        <w:sz w:val="18"/>
        <w:szCs w:val="18"/>
      </w:rPr>
      <w:fldChar w:fldCharType="separate"/>
    </w:r>
    <w:r>
      <w:rPr>
        <w:rStyle w:val="37"/>
        <w:rFonts w:ascii="宋体" w:hAnsi="宋体"/>
        <w:sz w:val="18"/>
        <w:szCs w:val="18"/>
      </w:rPr>
      <w:t>17</w:t>
    </w:r>
    <w:r>
      <w:rPr>
        <w:rStyle w:val="37"/>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3360;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8pE3ZAAAACgEAAA8AAAAAAAAAAQAgAAAAIgAAAGRy&#10;cy9kb3ducmV2LnhtbFBLAQIUABQAAAAIAIdO4kDeRK/QywEAAJkDAAAOAAAAAAAAAAEAIAAAACgB&#10;AABkcnMvZTJvRG9jLnhtbFBLBQYAAAAABgAGAFkBAABlBQAAAAA=&#10;">
              <v:fill on="f" focussize="0,0"/>
              <v:stroke on="f" weight="1.2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2"/>
                          </w:pPr>
                          <w:r>
                            <w:rPr>
                              <w:rFonts w:hint="eastAsia"/>
                            </w:rPr>
                            <w:t>新疆晓君招标有限公司                                                                               5-</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61312;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U3v3dYAAAAHAQAADwAAAAAAAAABACAAAAAiAAAAZHJzL2Rvd25yZXYueG1sUEsB&#10;AhQAFAAAAAgAh07iQPU1smy+AQAAcgMAAA4AAAAAAAAAAQAgAAAAJQEAAGRycy9lMm9Eb2MueG1s&#10;UEsFBgAAAAAGAAYAWQEAAFUFAAAAAA==&#10;">
              <v:fill on="f" focussize="0,0"/>
              <v:stroke on="f" weight="1.25pt"/>
              <v:imagedata o:title=""/>
              <o:lock v:ext="edit" aspectratio="f"/>
              <v:textbox inset="0mm,0mm,0mm,0mm">
                <w:txbxContent>
                  <w:p>
                    <w:pPr>
                      <w:pStyle w:val="22"/>
                    </w:pPr>
                    <w:r>
                      <w:rPr>
                        <w:rFonts w:hint="eastAsia"/>
                      </w:rPr>
                      <w:t>新疆晓君招标有限公司                                                                               5-</w:t>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pPr>
                      <w:pStyle w:val="22"/>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1312"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1312;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left"/>
      <w:rPr>
        <w:rFonts w:hint="eastAsia"/>
      </w:rPr>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5-</w:t>
    </w: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32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0</wp:posOffset>
              </wp:positionV>
              <wp:extent cx="5747385" cy="252095"/>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5747385" cy="252095"/>
                      </a:xfrm>
                      <a:prstGeom prst="rect">
                        <a:avLst/>
                      </a:prstGeom>
                      <a:noFill/>
                      <a:ln w="15875">
                        <a:noFill/>
                      </a:ln>
                    </wps:spPr>
                    <wps:txbx>
                      <w:txbxContent>
                        <w:p>
                          <w:pPr>
                            <w:pStyle w:val="22"/>
                            <w:rPr>
                              <w:sz w:val="21"/>
                              <w:szCs w:val="21"/>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5-</w:t>
                          </w:r>
                          <w:r>
                            <w:rPr>
                              <w:rStyle w:val="37"/>
                              <w:rFonts w:ascii="宋体" w:hAnsi="宋体"/>
                              <w:sz w:val="21"/>
                              <w:szCs w:val="21"/>
                            </w:rPr>
                            <w:fldChar w:fldCharType="begin"/>
                          </w:r>
                          <w:r>
                            <w:rPr>
                              <w:rStyle w:val="37"/>
                              <w:rFonts w:ascii="宋体" w:hAnsi="宋体"/>
                              <w:sz w:val="21"/>
                              <w:szCs w:val="21"/>
                            </w:rPr>
                            <w:instrText xml:space="preserve"> PAGE </w:instrText>
                          </w:r>
                          <w:r>
                            <w:rPr>
                              <w:rStyle w:val="37"/>
                              <w:rFonts w:ascii="宋体" w:hAnsi="宋体"/>
                              <w:sz w:val="21"/>
                              <w:szCs w:val="21"/>
                            </w:rPr>
                            <w:fldChar w:fldCharType="separate"/>
                          </w:r>
                          <w:r>
                            <w:rPr>
                              <w:rStyle w:val="37"/>
                              <w:rFonts w:ascii="宋体" w:hAnsi="宋体"/>
                              <w:sz w:val="21"/>
                              <w:szCs w:val="21"/>
                            </w:rPr>
                            <w:t>25</w:t>
                          </w:r>
                          <w:r>
                            <w:rPr>
                              <w:rStyle w:val="37"/>
                              <w:rFonts w:ascii="宋体" w:hAnsi="宋体"/>
                              <w:sz w:val="21"/>
                              <w:szCs w:val="21"/>
                            </w:rPr>
                            <w:fldChar w:fldCharType="end"/>
                          </w:r>
                        </w:p>
                      </w:txbxContent>
                    </wps:txbx>
                    <wps:bodyPr lIns="0" tIns="0" rIns="0" bIns="0" upright="1"/>
                  </wps:wsp>
                </a:graphicData>
              </a:graphic>
            </wp:anchor>
          </w:drawing>
        </mc:Choice>
        <mc:Fallback>
          <w:pict>
            <v:shape id="文本框 1029" o:spid="_x0000_s1026" o:spt="202" type="#_x0000_t202" style="position:absolute;left:0pt;margin-left:0.15pt;margin-top:0pt;height:19.85pt;width:452.55pt;mso-position-horizontal-relative:margin;z-index:251660288;mso-width-relative:page;mso-height-relative:page;" filled="f" stroked="f" coordsize="21600,21600" o:gfxdata="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ZRHOHUAAAABAEAAA8AAAAAAAAAAQAgAAAAIgAAAGRycy9kb3ducmV2&#10;LnhtbFBLAQIUABQAAAAIAIdO4kBTtAA/xwEAAH8DAAAOAAAAAAAAAAEAIAAAACMBAABkcnMvZTJv&#10;RG9jLnhtbFBLBQYAAAAABgAGAFkBAABcBQAAAAA=&#10;">
              <v:fill on="f" focussize="0,0"/>
              <v:stroke on="f" weight="1.25pt"/>
              <v:imagedata o:title=""/>
              <o:lock v:ext="edit" aspectratio="f"/>
              <v:textbox inset="0mm,0mm,0mm,0mm">
                <w:txbxContent>
                  <w:p>
                    <w:pPr>
                      <w:pStyle w:val="22"/>
                      <w:rPr>
                        <w:sz w:val="21"/>
                        <w:szCs w:val="21"/>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5-</w:t>
                    </w:r>
                    <w:r>
                      <w:rPr>
                        <w:rStyle w:val="37"/>
                        <w:rFonts w:ascii="宋体" w:hAnsi="宋体"/>
                        <w:sz w:val="21"/>
                        <w:szCs w:val="21"/>
                      </w:rPr>
                      <w:fldChar w:fldCharType="begin"/>
                    </w:r>
                    <w:r>
                      <w:rPr>
                        <w:rStyle w:val="37"/>
                        <w:rFonts w:ascii="宋体" w:hAnsi="宋体"/>
                        <w:sz w:val="21"/>
                        <w:szCs w:val="21"/>
                      </w:rPr>
                      <w:instrText xml:space="preserve"> PAGE </w:instrText>
                    </w:r>
                    <w:r>
                      <w:rPr>
                        <w:rStyle w:val="37"/>
                        <w:rFonts w:ascii="宋体" w:hAnsi="宋体"/>
                        <w:sz w:val="21"/>
                        <w:szCs w:val="21"/>
                      </w:rPr>
                      <w:fldChar w:fldCharType="separate"/>
                    </w:r>
                    <w:r>
                      <w:rPr>
                        <w:rStyle w:val="37"/>
                        <w:rFonts w:ascii="宋体" w:hAnsi="宋体"/>
                        <w:sz w:val="21"/>
                        <w:szCs w:val="21"/>
                      </w:rPr>
                      <w:t>25</w:t>
                    </w:r>
                    <w:r>
                      <w:rPr>
                        <w:rStyle w:val="37"/>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策勒县津南新村、团结新村、巴什玉吉买村乡村振兴示范村规划项目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ascii="宋体" w:eastAsia="宋体"/>
        <w:lang w:eastAsia="zh-CN"/>
      </w:rPr>
    </w:pPr>
    <w:r>
      <w:rPr>
        <w:rFonts w:hint="eastAsia"/>
        <w:lang w:eastAsia="zh-CN"/>
      </w:rPr>
      <w:t>策勒县津南新村、团结新村、巴什玉吉买村乡村振兴示范村规划项目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Cs w:val="21"/>
        <w:u w:val="single"/>
      </w:rPr>
    </w:pPr>
    <w:r>
      <w:rPr>
        <w:rFonts w:hint="eastAsia"/>
        <w:lang w:eastAsia="zh-CN"/>
      </w:rPr>
      <w:t>策勒县津南新村、团结新村、巴什玉吉买村乡村振兴示范村规划项目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rPr>
    </w:pPr>
    <w:r>
      <w:rPr>
        <w:rFonts w:hint="eastAsia"/>
        <w:lang w:eastAsia="zh-CN"/>
      </w:rPr>
      <w:t>策勒县津南新村、团结新村、巴什玉吉买村乡村振兴示范村规划项目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策勒县津南新村、团结新村、巴什玉吉买村乡村振兴示范村规划项目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AFDBBAFB"/>
    <w:multiLevelType w:val="singleLevel"/>
    <w:tmpl w:val="AFDBBAFB"/>
    <w:lvl w:ilvl="0" w:tentative="0">
      <w:start w:val="2"/>
      <w:numFmt w:val="chineseCounting"/>
      <w:suff w:val="nothing"/>
      <w:lvlText w:val="%1、"/>
      <w:lvlJc w:val="left"/>
      <w:rPr>
        <w:rFonts w:hint="eastAsia"/>
      </w:rPr>
    </w:lvl>
  </w:abstractNum>
  <w:abstractNum w:abstractNumId="2">
    <w:nsid w:val="BF464EB1"/>
    <w:multiLevelType w:val="singleLevel"/>
    <w:tmpl w:val="BF464EB1"/>
    <w:lvl w:ilvl="0" w:tentative="0">
      <w:start w:val="1"/>
      <w:numFmt w:val="decimal"/>
      <w:lvlText w:val="%1."/>
      <w:lvlJc w:val="left"/>
      <w:pPr>
        <w:ind w:left="425" w:hanging="425"/>
      </w:pPr>
      <w:rPr>
        <w:rFonts w:hint="default"/>
      </w:rPr>
    </w:lvl>
  </w:abstractNum>
  <w:abstractNum w:abstractNumId="3">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5">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144C29D"/>
    <w:multiLevelType w:val="singleLevel"/>
    <w:tmpl w:val="2144C29D"/>
    <w:lvl w:ilvl="0" w:tentative="0">
      <w:start w:val="1"/>
      <w:numFmt w:val="chineseCounting"/>
      <w:suff w:val="nothing"/>
      <w:lvlText w:val="（%1）"/>
      <w:lvlJc w:val="left"/>
      <w:pPr>
        <w:ind w:left="0" w:firstLine="420"/>
      </w:pPr>
      <w:rPr>
        <w:rFonts w:hint="eastAsia"/>
      </w:rPr>
    </w:lvl>
  </w:abstractNum>
  <w:abstractNum w:abstractNumId="8">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3F32BAE"/>
    <w:multiLevelType w:val="singleLevel"/>
    <w:tmpl w:val="23F32BAE"/>
    <w:lvl w:ilvl="0" w:tentative="0">
      <w:start w:val="1"/>
      <w:numFmt w:val="decimal"/>
      <w:suff w:val="nothing"/>
      <w:lvlText w:val="%1、"/>
      <w:lvlJc w:val="left"/>
    </w:lvl>
  </w:abstractNum>
  <w:abstractNum w:abstractNumId="1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3">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7">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0AD9C3"/>
    <w:multiLevelType w:val="singleLevel"/>
    <w:tmpl w:val="590AD9C3"/>
    <w:lvl w:ilvl="0" w:tentative="0">
      <w:start w:val="1"/>
      <w:numFmt w:val="decimal"/>
      <w:suff w:val="space"/>
      <w:lvlText w:val="（%1）"/>
      <w:lvlJc w:val="left"/>
      <w:rPr>
        <w:rFonts w:cs="Times New Roman"/>
      </w:rPr>
    </w:lvl>
  </w:abstractNum>
  <w:abstractNum w:abstractNumId="22">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23">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C73457C"/>
    <w:multiLevelType w:val="multilevel"/>
    <w:tmpl w:val="6C7345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6"/>
  </w:num>
  <w:num w:numId="2">
    <w:abstractNumId w:val="1"/>
  </w:num>
  <w:num w:numId="3">
    <w:abstractNumId w:val="4"/>
  </w:num>
  <w:num w:numId="4">
    <w:abstractNumId w:val="22"/>
  </w:num>
  <w:num w:numId="5">
    <w:abstractNumId w:val="12"/>
  </w:num>
  <w:num w:numId="6">
    <w:abstractNumId w:val="19"/>
  </w:num>
  <w:num w:numId="7">
    <w:abstractNumId w:val="26"/>
  </w:num>
  <w:num w:numId="8">
    <w:abstractNumId w:val="8"/>
  </w:num>
  <w:num w:numId="9">
    <w:abstractNumId w:val="6"/>
  </w:num>
  <w:num w:numId="10">
    <w:abstractNumId w:val="5"/>
  </w:num>
  <w:num w:numId="11">
    <w:abstractNumId w:val="21"/>
  </w:num>
  <w:num w:numId="12">
    <w:abstractNumId w:val="23"/>
  </w:num>
  <w:num w:numId="13">
    <w:abstractNumId w:val="18"/>
  </w:num>
  <w:num w:numId="14">
    <w:abstractNumId w:val="14"/>
  </w:num>
  <w:num w:numId="15">
    <w:abstractNumId w:val="25"/>
  </w:num>
  <w:num w:numId="16">
    <w:abstractNumId w:val="10"/>
  </w:num>
  <w:num w:numId="17">
    <w:abstractNumId w:val="15"/>
  </w:num>
  <w:num w:numId="18">
    <w:abstractNumId w:val="24"/>
  </w:num>
  <w:num w:numId="19">
    <w:abstractNumId w:val="0"/>
  </w:num>
  <w:num w:numId="20">
    <w:abstractNumId w:val="11"/>
  </w:num>
  <w:num w:numId="21">
    <w:abstractNumId w:val="7"/>
  </w:num>
  <w:num w:numId="22">
    <w:abstractNumId w:val="9"/>
  </w:num>
  <w:num w:numId="23">
    <w:abstractNumId w:val="2"/>
  </w:num>
  <w:num w:numId="24">
    <w:abstractNumId w:val="20"/>
  </w:num>
  <w:num w:numId="25">
    <w:abstractNumId w:val="17"/>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6E5C"/>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C221B4"/>
    <w:rsid w:val="01FA7B2F"/>
    <w:rsid w:val="02453AD2"/>
    <w:rsid w:val="024C0B1E"/>
    <w:rsid w:val="0279377C"/>
    <w:rsid w:val="028B3EDC"/>
    <w:rsid w:val="031B422C"/>
    <w:rsid w:val="03507DBB"/>
    <w:rsid w:val="03627E67"/>
    <w:rsid w:val="036B6473"/>
    <w:rsid w:val="03866869"/>
    <w:rsid w:val="038C7BC5"/>
    <w:rsid w:val="038E74B0"/>
    <w:rsid w:val="03CD4D6B"/>
    <w:rsid w:val="040B5ABD"/>
    <w:rsid w:val="0417338A"/>
    <w:rsid w:val="043645E4"/>
    <w:rsid w:val="04E108E2"/>
    <w:rsid w:val="0555612F"/>
    <w:rsid w:val="059D60FC"/>
    <w:rsid w:val="05D909DD"/>
    <w:rsid w:val="05FA2518"/>
    <w:rsid w:val="060E6A0E"/>
    <w:rsid w:val="06163EE9"/>
    <w:rsid w:val="06396B90"/>
    <w:rsid w:val="06822BF9"/>
    <w:rsid w:val="073143FB"/>
    <w:rsid w:val="07CC63DA"/>
    <w:rsid w:val="07E532BC"/>
    <w:rsid w:val="07E53700"/>
    <w:rsid w:val="083D3934"/>
    <w:rsid w:val="08471D7F"/>
    <w:rsid w:val="08662291"/>
    <w:rsid w:val="08A20FFF"/>
    <w:rsid w:val="08F279E2"/>
    <w:rsid w:val="09A844B1"/>
    <w:rsid w:val="09DE4B40"/>
    <w:rsid w:val="09F2600C"/>
    <w:rsid w:val="09FA0D58"/>
    <w:rsid w:val="0AC54E9D"/>
    <w:rsid w:val="0AD54BDA"/>
    <w:rsid w:val="0AF41B7F"/>
    <w:rsid w:val="0AF97CE0"/>
    <w:rsid w:val="0AFB6CAC"/>
    <w:rsid w:val="0B044218"/>
    <w:rsid w:val="0B220ABB"/>
    <w:rsid w:val="0B6948F1"/>
    <w:rsid w:val="0B6A3D17"/>
    <w:rsid w:val="0B7C46F6"/>
    <w:rsid w:val="0BA43058"/>
    <w:rsid w:val="0C246F78"/>
    <w:rsid w:val="0C43691D"/>
    <w:rsid w:val="0C961836"/>
    <w:rsid w:val="0C994113"/>
    <w:rsid w:val="0CA127FA"/>
    <w:rsid w:val="0CE757DF"/>
    <w:rsid w:val="0D066457"/>
    <w:rsid w:val="0D776FCF"/>
    <w:rsid w:val="0D92714F"/>
    <w:rsid w:val="0DAB17C3"/>
    <w:rsid w:val="0DF824BF"/>
    <w:rsid w:val="0DFD4814"/>
    <w:rsid w:val="0E7B438C"/>
    <w:rsid w:val="0E7C5E6C"/>
    <w:rsid w:val="0E993A07"/>
    <w:rsid w:val="0EBF4C6F"/>
    <w:rsid w:val="0EF54881"/>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C044CD"/>
    <w:rsid w:val="10F2385D"/>
    <w:rsid w:val="10FB6097"/>
    <w:rsid w:val="11055DB8"/>
    <w:rsid w:val="110D72FB"/>
    <w:rsid w:val="114804F6"/>
    <w:rsid w:val="11651119"/>
    <w:rsid w:val="11E63A8B"/>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D9641F"/>
    <w:rsid w:val="157C59CB"/>
    <w:rsid w:val="15A823E6"/>
    <w:rsid w:val="15B029A2"/>
    <w:rsid w:val="161D6D8C"/>
    <w:rsid w:val="1621753B"/>
    <w:rsid w:val="16450C97"/>
    <w:rsid w:val="166B719E"/>
    <w:rsid w:val="16B61174"/>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8BC20C5"/>
    <w:rsid w:val="19A212CA"/>
    <w:rsid w:val="19AC22AE"/>
    <w:rsid w:val="19FA02C4"/>
    <w:rsid w:val="1A4736EB"/>
    <w:rsid w:val="1A7257F3"/>
    <w:rsid w:val="1AAF5693"/>
    <w:rsid w:val="1AB63633"/>
    <w:rsid w:val="1AC30890"/>
    <w:rsid w:val="1AEE539A"/>
    <w:rsid w:val="1B5C0BB4"/>
    <w:rsid w:val="1BA96D6F"/>
    <w:rsid w:val="1BAB1248"/>
    <w:rsid w:val="1C1650FE"/>
    <w:rsid w:val="1C8F2306"/>
    <w:rsid w:val="1CB3716C"/>
    <w:rsid w:val="1CFC5C77"/>
    <w:rsid w:val="1D0E4A12"/>
    <w:rsid w:val="1D1C177C"/>
    <w:rsid w:val="1D2D47BA"/>
    <w:rsid w:val="1D4C41D3"/>
    <w:rsid w:val="1D6A39B8"/>
    <w:rsid w:val="1D7238A8"/>
    <w:rsid w:val="1DA90DF0"/>
    <w:rsid w:val="1DF85109"/>
    <w:rsid w:val="1E2665E5"/>
    <w:rsid w:val="1E32703C"/>
    <w:rsid w:val="1E6814BB"/>
    <w:rsid w:val="1F2C4194"/>
    <w:rsid w:val="1F7E5188"/>
    <w:rsid w:val="1F865800"/>
    <w:rsid w:val="1F98683A"/>
    <w:rsid w:val="1FB73F48"/>
    <w:rsid w:val="1FDF4738"/>
    <w:rsid w:val="1FEE30DD"/>
    <w:rsid w:val="1FF24262"/>
    <w:rsid w:val="1FFD7051"/>
    <w:rsid w:val="200A62DA"/>
    <w:rsid w:val="20C06081"/>
    <w:rsid w:val="20E729DC"/>
    <w:rsid w:val="21203B40"/>
    <w:rsid w:val="21271D3F"/>
    <w:rsid w:val="214E5F70"/>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3E32EB5"/>
    <w:rsid w:val="24190041"/>
    <w:rsid w:val="241B5F4A"/>
    <w:rsid w:val="24217D31"/>
    <w:rsid w:val="24230ACA"/>
    <w:rsid w:val="243A0254"/>
    <w:rsid w:val="24D6667D"/>
    <w:rsid w:val="24E91E1B"/>
    <w:rsid w:val="24F4378B"/>
    <w:rsid w:val="2547624B"/>
    <w:rsid w:val="255701E0"/>
    <w:rsid w:val="25A11AD2"/>
    <w:rsid w:val="25EB70F0"/>
    <w:rsid w:val="26455201"/>
    <w:rsid w:val="26E744EE"/>
    <w:rsid w:val="27211512"/>
    <w:rsid w:val="27871C7F"/>
    <w:rsid w:val="278E4E0C"/>
    <w:rsid w:val="27DA6364"/>
    <w:rsid w:val="27FA2221"/>
    <w:rsid w:val="28323AAE"/>
    <w:rsid w:val="28454EB3"/>
    <w:rsid w:val="285751A8"/>
    <w:rsid w:val="28964742"/>
    <w:rsid w:val="28FE6A4D"/>
    <w:rsid w:val="290B566C"/>
    <w:rsid w:val="29307DE5"/>
    <w:rsid w:val="29A42BF5"/>
    <w:rsid w:val="2A1A4034"/>
    <w:rsid w:val="2A1D6EA4"/>
    <w:rsid w:val="2A4C4081"/>
    <w:rsid w:val="2AD57FA6"/>
    <w:rsid w:val="2AE36C8E"/>
    <w:rsid w:val="2B0321ED"/>
    <w:rsid w:val="2B0C57D5"/>
    <w:rsid w:val="2B26566E"/>
    <w:rsid w:val="2B487BF7"/>
    <w:rsid w:val="2B4D0A99"/>
    <w:rsid w:val="2B70039F"/>
    <w:rsid w:val="2BB82262"/>
    <w:rsid w:val="2C2E5EF5"/>
    <w:rsid w:val="2C360390"/>
    <w:rsid w:val="2C4D5253"/>
    <w:rsid w:val="2C6F63F4"/>
    <w:rsid w:val="2CB947D7"/>
    <w:rsid w:val="2CDA4BE2"/>
    <w:rsid w:val="2CF57F33"/>
    <w:rsid w:val="2D3A4BC3"/>
    <w:rsid w:val="2D421FD1"/>
    <w:rsid w:val="2D9144DC"/>
    <w:rsid w:val="2DA7128F"/>
    <w:rsid w:val="2DB27902"/>
    <w:rsid w:val="2DD850F2"/>
    <w:rsid w:val="2DFD1A48"/>
    <w:rsid w:val="2E625FB7"/>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7526B"/>
    <w:rsid w:val="30CB06DF"/>
    <w:rsid w:val="30DA4C2E"/>
    <w:rsid w:val="311B481E"/>
    <w:rsid w:val="31220029"/>
    <w:rsid w:val="314B756C"/>
    <w:rsid w:val="315241B7"/>
    <w:rsid w:val="31DC33F5"/>
    <w:rsid w:val="32250E09"/>
    <w:rsid w:val="32F41158"/>
    <w:rsid w:val="33223552"/>
    <w:rsid w:val="332C5642"/>
    <w:rsid w:val="336B2834"/>
    <w:rsid w:val="337862E5"/>
    <w:rsid w:val="33CF7591"/>
    <w:rsid w:val="33DC61E7"/>
    <w:rsid w:val="33EF7B65"/>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5DC1206"/>
    <w:rsid w:val="3680532F"/>
    <w:rsid w:val="36B77DF8"/>
    <w:rsid w:val="36C04AEC"/>
    <w:rsid w:val="36D80657"/>
    <w:rsid w:val="371B0B34"/>
    <w:rsid w:val="37347C88"/>
    <w:rsid w:val="37B171CC"/>
    <w:rsid w:val="37E76C86"/>
    <w:rsid w:val="38314E4C"/>
    <w:rsid w:val="38C34F4E"/>
    <w:rsid w:val="39270607"/>
    <w:rsid w:val="396430B4"/>
    <w:rsid w:val="397825BC"/>
    <w:rsid w:val="39833969"/>
    <w:rsid w:val="39AF72A0"/>
    <w:rsid w:val="39CB0F9C"/>
    <w:rsid w:val="3A3A15C3"/>
    <w:rsid w:val="3A3C41C3"/>
    <w:rsid w:val="3A434A79"/>
    <w:rsid w:val="3A9A3131"/>
    <w:rsid w:val="3AA13714"/>
    <w:rsid w:val="3ABE77F6"/>
    <w:rsid w:val="3AF76FA1"/>
    <w:rsid w:val="3B2B3F7D"/>
    <w:rsid w:val="3B47009A"/>
    <w:rsid w:val="3B9930A8"/>
    <w:rsid w:val="3BE9242F"/>
    <w:rsid w:val="3C235935"/>
    <w:rsid w:val="3C695F34"/>
    <w:rsid w:val="3C71049E"/>
    <w:rsid w:val="3CC12BF5"/>
    <w:rsid w:val="3D5A1015"/>
    <w:rsid w:val="3D5A6E74"/>
    <w:rsid w:val="3D8A75E1"/>
    <w:rsid w:val="3D9F20A5"/>
    <w:rsid w:val="3DA61753"/>
    <w:rsid w:val="3DCF7F42"/>
    <w:rsid w:val="3E0C2901"/>
    <w:rsid w:val="3E1C2564"/>
    <w:rsid w:val="3E2204A3"/>
    <w:rsid w:val="3E426526"/>
    <w:rsid w:val="3EA539A8"/>
    <w:rsid w:val="3ED42873"/>
    <w:rsid w:val="3EF116EF"/>
    <w:rsid w:val="3EF75AF1"/>
    <w:rsid w:val="3F0C1EAD"/>
    <w:rsid w:val="3F354F38"/>
    <w:rsid w:val="3F92514A"/>
    <w:rsid w:val="3F972E98"/>
    <w:rsid w:val="3FB9042D"/>
    <w:rsid w:val="3FD17E41"/>
    <w:rsid w:val="3FFC1870"/>
    <w:rsid w:val="401F61B5"/>
    <w:rsid w:val="403C070B"/>
    <w:rsid w:val="40B13FB6"/>
    <w:rsid w:val="40E647E3"/>
    <w:rsid w:val="40ED5CD0"/>
    <w:rsid w:val="41193E41"/>
    <w:rsid w:val="41597CC1"/>
    <w:rsid w:val="41672A63"/>
    <w:rsid w:val="41784B4A"/>
    <w:rsid w:val="418B74D9"/>
    <w:rsid w:val="41910187"/>
    <w:rsid w:val="41A01818"/>
    <w:rsid w:val="41A664D0"/>
    <w:rsid w:val="41AE5745"/>
    <w:rsid w:val="41B13BD3"/>
    <w:rsid w:val="41D8794F"/>
    <w:rsid w:val="41E22717"/>
    <w:rsid w:val="41EF728F"/>
    <w:rsid w:val="42355579"/>
    <w:rsid w:val="42522927"/>
    <w:rsid w:val="425D6528"/>
    <w:rsid w:val="42671377"/>
    <w:rsid w:val="430B6E49"/>
    <w:rsid w:val="4319029E"/>
    <w:rsid w:val="44091A2D"/>
    <w:rsid w:val="44516F14"/>
    <w:rsid w:val="44937A8F"/>
    <w:rsid w:val="4548246E"/>
    <w:rsid w:val="455C09C9"/>
    <w:rsid w:val="456B102F"/>
    <w:rsid w:val="460D0517"/>
    <w:rsid w:val="460E66C6"/>
    <w:rsid w:val="46205A1C"/>
    <w:rsid w:val="4653532C"/>
    <w:rsid w:val="467233BF"/>
    <w:rsid w:val="46D30980"/>
    <w:rsid w:val="47427C8E"/>
    <w:rsid w:val="474A0A85"/>
    <w:rsid w:val="477F456E"/>
    <w:rsid w:val="478668DE"/>
    <w:rsid w:val="479658D2"/>
    <w:rsid w:val="479762EE"/>
    <w:rsid w:val="47F949DF"/>
    <w:rsid w:val="48157B65"/>
    <w:rsid w:val="482A734A"/>
    <w:rsid w:val="48577A65"/>
    <w:rsid w:val="48884BAE"/>
    <w:rsid w:val="489C6C11"/>
    <w:rsid w:val="48A432F4"/>
    <w:rsid w:val="491D55D9"/>
    <w:rsid w:val="492B467D"/>
    <w:rsid w:val="49466EFD"/>
    <w:rsid w:val="49B004AB"/>
    <w:rsid w:val="4A33138B"/>
    <w:rsid w:val="4AB76A28"/>
    <w:rsid w:val="4AC9763E"/>
    <w:rsid w:val="4AE056AB"/>
    <w:rsid w:val="4AE07264"/>
    <w:rsid w:val="4AEC5F2A"/>
    <w:rsid w:val="4B342EE1"/>
    <w:rsid w:val="4B384CC0"/>
    <w:rsid w:val="4B4E38C2"/>
    <w:rsid w:val="4B632A78"/>
    <w:rsid w:val="4BCF26BF"/>
    <w:rsid w:val="4BEA68D7"/>
    <w:rsid w:val="4C0B6E0C"/>
    <w:rsid w:val="4C1D38D4"/>
    <w:rsid w:val="4C4869E1"/>
    <w:rsid w:val="4C9F2990"/>
    <w:rsid w:val="4E1857AC"/>
    <w:rsid w:val="4E26261F"/>
    <w:rsid w:val="4E3A533C"/>
    <w:rsid w:val="4E403C3C"/>
    <w:rsid w:val="4E901F73"/>
    <w:rsid w:val="4EBB20BD"/>
    <w:rsid w:val="4F410CB6"/>
    <w:rsid w:val="4F5A2C1F"/>
    <w:rsid w:val="4FB46852"/>
    <w:rsid w:val="501B2419"/>
    <w:rsid w:val="50B85CA8"/>
    <w:rsid w:val="50D36AC6"/>
    <w:rsid w:val="51112461"/>
    <w:rsid w:val="513959C5"/>
    <w:rsid w:val="514364D8"/>
    <w:rsid w:val="514B137F"/>
    <w:rsid w:val="51791DFD"/>
    <w:rsid w:val="520165FA"/>
    <w:rsid w:val="520874A8"/>
    <w:rsid w:val="52317545"/>
    <w:rsid w:val="5270632C"/>
    <w:rsid w:val="5292324C"/>
    <w:rsid w:val="529309B8"/>
    <w:rsid w:val="529A2F5E"/>
    <w:rsid w:val="530C5A28"/>
    <w:rsid w:val="531D1179"/>
    <w:rsid w:val="533C7B83"/>
    <w:rsid w:val="5379396F"/>
    <w:rsid w:val="5384654E"/>
    <w:rsid w:val="538B3D78"/>
    <w:rsid w:val="53DA28A7"/>
    <w:rsid w:val="540909EB"/>
    <w:rsid w:val="54520A94"/>
    <w:rsid w:val="548A63EC"/>
    <w:rsid w:val="552044B5"/>
    <w:rsid w:val="554F676F"/>
    <w:rsid w:val="55946BBA"/>
    <w:rsid w:val="5659756E"/>
    <w:rsid w:val="56B474E3"/>
    <w:rsid w:val="56C54260"/>
    <w:rsid w:val="56D04952"/>
    <w:rsid w:val="56D76B9C"/>
    <w:rsid w:val="5734537F"/>
    <w:rsid w:val="573E7DBA"/>
    <w:rsid w:val="57F12E07"/>
    <w:rsid w:val="582D3016"/>
    <w:rsid w:val="584F4DEB"/>
    <w:rsid w:val="58BD2CEA"/>
    <w:rsid w:val="59425378"/>
    <w:rsid w:val="596F6ED5"/>
    <w:rsid w:val="59953DB9"/>
    <w:rsid w:val="59B02A1A"/>
    <w:rsid w:val="5A0B51C0"/>
    <w:rsid w:val="5A160B96"/>
    <w:rsid w:val="5A1D22CC"/>
    <w:rsid w:val="5A476FBB"/>
    <w:rsid w:val="5A53303E"/>
    <w:rsid w:val="5AA82E6F"/>
    <w:rsid w:val="5AD7100F"/>
    <w:rsid w:val="5BA83EAD"/>
    <w:rsid w:val="5BCA24D5"/>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DF02C60"/>
    <w:rsid w:val="5E344CEC"/>
    <w:rsid w:val="5E373A11"/>
    <w:rsid w:val="5E377FA2"/>
    <w:rsid w:val="5E3E24B7"/>
    <w:rsid w:val="5E536809"/>
    <w:rsid w:val="5E6926D0"/>
    <w:rsid w:val="5E7E290E"/>
    <w:rsid w:val="5E8E3B20"/>
    <w:rsid w:val="5ED11038"/>
    <w:rsid w:val="5F2146D0"/>
    <w:rsid w:val="5F2A2D28"/>
    <w:rsid w:val="5F2E6734"/>
    <w:rsid w:val="5F5D73F2"/>
    <w:rsid w:val="5F7B0AA0"/>
    <w:rsid w:val="5FB332D0"/>
    <w:rsid w:val="601B3CC5"/>
    <w:rsid w:val="60484B23"/>
    <w:rsid w:val="60532E8A"/>
    <w:rsid w:val="60891CC0"/>
    <w:rsid w:val="608D2023"/>
    <w:rsid w:val="60A46CB8"/>
    <w:rsid w:val="60DF4A4D"/>
    <w:rsid w:val="612E2EC1"/>
    <w:rsid w:val="61402FE4"/>
    <w:rsid w:val="615E0D34"/>
    <w:rsid w:val="616621EC"/>
    <w:rsid w:val="616F4AAB"/>
    <w:rsid w:val="617C3486"/>
    <w:rsid w:val="61912945"/>
    <w:rsid w:val="61B451D9"/>
    <w:rsid w:val="62417376"/>
    <w:rsid w:val="627945C1"/>
    <w:rsid w:val="62814117"/>
    <w:rsid w:val="62861D7E"/>
    <w:rsid w:val="62DE64EC"/>
    <w:rsid w:val="62F472F7"/>
    <w:rsid w:val="63600ACF"/>
    <w:rsid w:val="64234F0C"/>
    <w:rsid w:val="64331100"/>
    <w:rsid w:val="64626004"/>
    <w:rsid w:val="64AC197F"/>
    <w:rsid w:val="64D40A87"/>
    <w:rsid w:val="64DC248E"/>
    <w:rsid w:val="65285B05"/>
    <w:rsid w:val="65A04BD9"/>
    <w:rsid w:val="65F220EE"/>
    <w:rsid w:val="661121FF"/>
    <w:rsid w:val="662A2677"/>
    <w:rsid w:val="6636500B"/>
    <w:rsid w:val="66A667CE"/>
    <w:rsid w:val="66C463B0"/>
    <w:rsid w:val="6736504A"/>
    <w:rsid w:val="673967DC"/>
    <w:rsid w:val="675B28A1"/>
    <w:rsid w:val="6780109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DE067F"/>
    <w:rsid w:val="6BE03B99"/>
    <w:rsid w:val="6BE22796"/>
    <w:rsid w:val="6C2770B7"/>
    <w:rsid w:val="6C677E00"/>
    <w:rsid w:val="6CA60509"/>
    <w:rsid w:val="6CF13463"/>
    <w:rsid w:val="6D1A4453"/>
    <w:rsid w:val="6D614100"/>
    <w:rsid w:val="6D7E4343"/>
    <w:rsid w:val="6E2305F9"/>
    <w:rsid w:val="6E3777F0"/>
    <w:rsid w:val="6E7708AC"/>
    <w:rsid w:val="6E8922D0"/>
    <w:rsid w:val="6E945C90"/>
    <w:rsid w:val="6EA51E92"/>
    <w:rsid w:val="6EE80F76"/>
    <w:rsid w:val="6EF5598B"/>
    <w:rsid w:val="6F071B08"/>
    <w:rsid w:val="6F1919BF"/>
    <w:rsid w:val="6FCD535A"/>
    <w:rsid w:val="6FF4257E"/>
    <w:rsid w:val="704F39D4"/>
    <w:rsid w:val="704F4B0A"/>
    <w:rsid w:val="70DC36D7"/>
    <w:rsid w:val="71705CDF"/>
    <w:rsid w:val="71876F14"/>
    <w:rsid w:val="71A67BCE"/>
    <w:rsid w:val="71C73E10"/>
    <w:rsid w:val="71CA593D"/>
    <w:rsid w:val="71F77214"/>
    <w:rsid w:val="71FB1ECF"/>
    <w:rsid w:val="727B3332"/>
    <w:rsid w:val="72D10D3A"/>
    <w:rsid w:val="72EB5238"/>
    <w:rsid w:val="73076B04"/>
    <w:rsid w:val="732038EF"/>
    <w:rsid w:val="73242065"/>
    <w:rsid w:val="733964B6"/>
    <w:rsid w:val="733D225B"/>
    <w:rsid w:val="737347B1"/>
    <w:rsid w:val="73CB4D0A"/>
    <w:rsid w:val="73E26124"/>
    <w:rsid w:val="73F06911"/>
    <w:rsid w:val="740206F2"/>
    <w:rsid w:val="74034146"/>
    <w:rsid w:val="740B2075"/>
    <w:rsid w:val="743209BA"/>
    <w:rsid w:val="743C27BF"/>
    <w:rsid w:val="74661C3E"/>
    <w:rsid w:val="746E2F8B"/>
    <w:rsid w:val="7483273D"/>
    <w:rsid w:val="74EC2130"/>
    <w:rsid w:val="751273E1"/>
    <w:rsid w:val="7566410C"/>
    <w:rsid w:val="75897114"/>
    <w:rsid w:val="759A507B"/>
    <w:rsid w:val="75A14432"/>
    <w:rsid w:val="75B704B4"/>
    <w:rsid w:val="75DC1388"/>
    <w:rsid w:val="76756488"/>
    <w:rsid w:val="76C9130A"/>
    <w:rsid w:val="76C92EA5"/>
    <w:rsid w:val="7729062D"/>
    <w:rsid w:val="77487E96"/>
    <w:rsid w:val="776D079C"/>
    <w:rsid w:val="77B52C72"/>
    <w:rsid w:val="77CF12BF"/>
    <w:rsid w:val="77FE3729"/>
    <w:rsid w:val="782A14F3"/>
    <w:rsid w:val="78CF2A42"/>
    <w:rsid w:val="78E933D4"/>
    <w:rsid w:val="78F571FD"/>
    <w:rsid w:val="79490AF8"/>
    <w:rsid w:val="797C2BF9"/>
    <w:rsid w:val="79FC3F51"/>
    <w:rsid w:val="79FC742D"/>
    <w:rsid w:val="7A324C7A"/>
    <w:rsid w:val="7A3A48A2"/>
    <w:rsid w:val="7AA5232E"/>
    <w:rsid w:val="7AB2474C"/>
    <w:rsid w:val="7ABF2D23"/>
    <w:rsid w:val="7B0B5FA9"/>
    <w:rsid w:val="7B304844"/>
    <w:rsid w:val="7B6F42DB"/>
    <w:rsid w:val="7B761B39"/>
    <w:rsid w:val="7BA8671F"/>
    <w:rsid w:val="7BD62DEB"/>
    <w:rsid w:val="7BD66D9F"/>
    <w:rsid w:val="7C012B17"/>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2024EC"/>
    <w:rsid w:val="7F696CC9"/>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6"/>
    <w:link w:val="41"/>
    <w:qFormat/>
    <w:uiPriority w:val="99"/>
    <w:pPr>
      <w:widowControl w:val="0"/>
      <w:spacing w:line="360" w:lineRule="auto"/>
      <w:jc w:val="both"/>
      <w:outlineLvl w:val="2"/>
    </w:pPr>
    <w:rPr>
      <w:rFonts w:ascii="宋体"/>
    </w:rPr>
  </w:style>
  <w:style w:type="paragraph" w:styleId="7">
    <w:name w:val="heading 4"/>
    <w:basedOn w:val="1"/>
    <w:next w:val="1"/>
    <w:link w:val="45"/>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8">
    <w:name w:val="heading 9"/>
    <w:basedOn w:val="1"/>
    <w:next w:val="1"/>
    <w:link w:val="46"/>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4">
    <w:name w:val="Default Paragraph Font"/>
    <w:link w:val="35"/>
    <w:semiHidden/>
    <w:unhideWhenUsed/>
    <w:qFormat/>
    <w:uiPriority w:val="1"/>
    <w:rPr>
      <w:rFonts w:cs="Times New Roman"/>
      <w:sz w:val="24"/>
      <w:szCs w:val="24"/>
    </w:rPr>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1"/>
    <w:rPr>
      <w:rFonts w:ascii="宋体" w:hAnsi="宋体" w:cs="宋体"/>
      <w:szCs w:val="21"/>
      <w:lang w:val="zh-CN" w:bidi="zh-CN"/>
    </w:rPr>
  </w:style>
  <w:style w:type="paragraph" w:styleId="6">
    <w:name w:val="Normal Indent"/>
    <w:basedOn w:val="1"/>
    <w:link w:val="59"/>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9">
    <w:name w:val="table of authorities"/>
    <w:basedOn w:val="1"/>
    <w:next w:val="1"/>
    <w:semiHidden/>
    <w:qFormat/>
    <w:locked/>
    <w:uiPriority w:val="0"/>
    <w:pPr>
      <w:ind w:left="420" w:leftChars="200"/>
    </w:p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49"/>
    <w:qFormat/>
    <w:uiPriority w:val="99"/>
    <w:rPr>
      <w:rFonts w:ascii="宋体"/>
      <w:sz w:val="18"/>
      <w:szCs w:val="18"/>
    </w:rPr>
  </w:style>
  <w:style w:type="paragraph" w:styleId="12">
    <w:name w:val="annotation text"/>
    <w:basedOn w:val="1"/>
    <w:link w:val="47"/>
    <w:semiHidden/>
    <w:qFormat/>
    <w:uiPriority w:val="99"/>
  </w:style>
  <w:style w:type="paragraph" w:styleId="13">
    <w:name w:val="Body Text 3"/>
    <w:basedOn w:val="1"/>
    <w:link w:val="50"/>
    <w:qFormat/>
    <w:uiPriority w:val="99"/>
    <w:pPr>
      <w:spacing w:after="120"/>
    </w:pPr>
    <w:rPr>
      <w:sz w:val="16"/>
      <w:szCs w:val="16"/>
    </w:rPr>
  </w:style>
  <w:style w:type="paragraph" w:styleId="14">
    <w:name w:val="Body Text Indent"/>
    <w:basedOn w:val="1"/>
    <w:next w:val="15"/>
    <w:link w:val="51"/>
    <w:qFormat/>
    <w:uiPriority w:val="99"/>
    <w:pPr>
      <w:spacing w:after="120"/>
      <w:ind w:left="420" w:leftChars="200"/>
    </w:pPr>
  </w:style>
  <w:style w:type="paragraph" w:customStyle="1" w:styleId="15">
    <w:name w:val="Default"/>
    <w:qFormat/>
    <w:uiPriority w:val="99"/>
    <w:pPr>
      <w:widowControl w:val="0"/>
      <w:autoSpaceDE w:val="0"/>
      <w:autoSpaceDN w:val="0"/>
      <w:adjustRightInd w:val="0"/>
    </w:pPr>
    <w:rPr>
      <w:rFonts w:ascii="Arial" w:hAnsi="Arial" w:eastAsia="宋体" w:cs="Times New Roman"/>
      <w:color w:val="000000"/>
      <w:kern w:val="0"/>
      <w:sz w:val="24"/>
      <w:szCs w:val="24"/>
      <w:lang w:val="en-US" w:eastAsia="zh-CN" w:bidi="ar-SA"/>
    </w:rPr>
  </w:style>
  <w:style w:type="paragraph" w:styleId="16">
    <w:name w:val="Block Text"/>
    <w:basedOn w:val="1"/>
    <w:qFormat/>
    <w:locked/>
    <w:uiPriority w:val="0"/>
    <w:pPr>
      <w:spacing w:before="156" w:beforeLines="50" w:after="156" w:afterLines="50"/>
      <w:ind w:left="426" w:right="-11" w:hanging="426" w:hangingChars="203"/>
    </w:pPr>
    <w:rPr>
      <w:rFonts w:eastAsia="楷体_GB2312"/>
    </w:rPr>
  </w:style>
  <w:style w:type="paragraph" w:styleId="17">
    <w:name w:val="toc 3"/>
    <w:basedOn w:val="1"/>
    <w:next w:val="1"/>
    <w:qFormat/>
    <w:uiPriority w:val="0"/>
    <w:pPr>
      <w:tabs>
        <w:tab w:val="right" w:leader="dot" w:pos="9170"/>
      </w:tabs>
      <w:ind w:left="360"/>
      <w:jc w:val="left"/>
    </w:pPr>
    <w:rPr>
      <w:rFonts w:eastAsia="宋体"/>
      <w:color w:val="000000"/>
      <w:sz w:val="20"/>
    </w:rPr>
  </w:style>
  <w:style w:type="paragraph" w:styleId="18">
    <w:name w:val="Plain Text"/>
    <w:basedOn w:val="1"/>
    <w:next w:val="1"/>
    <w:link w:val="61"/>
    <w:qFormat/>
    <w:uiPriority w:val="99"/>
    <w:pPr>
      <w:widowControl w:val="0"/>
      <w:jc w:val="both"/>
    </w:pPr>
    <w:rPr>
      <w:rFonts w:ascii="宋体" w:hAnsi="Courier New"/>
      <w:kern w:val="2"/>
    </w:rPr>
  </w:style>
  <w:style w:type="paragraph" w:styleId="19">
    <w:name w:val="Date"/>
    <w:basedOn w:val="1"/>
    <w:next w:val="1"/>
    <w:link w:val="53"/>
    <w:qFormat/>
    <w:uiPriority w:val="99"/>
    <w:pPr>
      <w:widowControl w:val="0"/>
      <w:jc w:val="both"/>
    </w:pPr>
    <w:rPr>
      <w:kern w:val="2"/>
    </w:rPr>
  </w:style>
  <w:style w:type="paragraph" w:styleId="20">
    <w:name w:val="Body Text Indent 2"/>
    <w:basedOn w:val="1"/>
    <w:link w:val="54"/>
    <w:qFormat/>
    <w:uiPriority w:val="99"/>
    <w:pPr>
      <w:spacing w:after="120" w:line="480" w:lineRule="auto"/>
      <w:ind w:left="420" w:leftChars="200"/>
    </w:pPr>
  </w:style>
  <w:style w:type="paragraph" w:styleId="21">
    <w:name w:val="Balloon Text"/>
    <w:basedOn w:val="1"/>
    <w:link w:val="55"/>
    <w:semiHidden/>
    <w:qFormat/>
    <w:uiPriority w:val="99"/>
    <w:rPr>
      <w:sz w:val="18"/>
      <w:szCs w:val="18"/>
    </w:rPr>
  </w:style>
  <w:style w:type="paragraph" w:styleId="22">
    <w:name w:val="footer"/>
    <w:basedOn w:val="1"/>
    <w:next w:val="1"/>
    <w:link w:val="56"/>
    <w:qFormat/>
    <w:uiPriority w:val="99"/>
    <w:pPr>
      <w:tabs>
        <w:tab w:val="center" w:pos="4153"/>
        <w:tab w:val="right" w:pos="8306"/>
      </w:tabs>
      <w:snapToGrid w:val="0"/>
    </w:pPr>
    <w:rPr>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semiHidden/>
    <w:qFormat/>
    <w:uiPriority w:val="99"/>
    <w:pPr>
      <w:tabs>
        <w:tab w:val="left" w:pos="720"/>
      </w:tabs>
      <w:spacing w:line="480" w:lineRule="exact"/>
      <w:jc w:val="center"/>
    </w:pPr>
    <w:rPr>
      <w:rFonts w:ascii="宋体"/>
      <w:b/>
      <w:bCs/>
      <w:sz w:val="28"/>
      <w:szCs w:val="28"/>
    </w:rPr>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toc 2"/>
    <w:basedOn w:val="1"/>
    <w:next w:val="1"/>
    <w:semiHidden/>
    <w:qFormat/>
    <w:uiPriority w:val="99"/>
    <w:pPr>
      <w:ind w:left="420" w:leftChars="200"/>
    </w:pPr>
  </w:style>
  <w:style w:type="paragraph" w:styleId="28">
    <w:name w:val="Body Text 2"/>
    <w:basedOn w:val="1"/>
    <w:unhideWhenUsed/>
    <w:qFormat/>
    <w:locked/>
    <w:uiPriority w:val="99"/>
    <w:pPr>
      <w:spacing w:line="480" w:lineRule="auto"/>
    </w:pPr>
  </w:style>
  <w:style w:type="paragraph" w:styleId="29">
    <w:name w:val="Normal (Web)"/>
    <w:basedOn w:val="1"/>
    <w:qFormat/>
    <w:uiPriority w:val="99"/>
    <w:pPr>
      <w:spacing w:beforeAutospacing="1" w:afterAutospacing="1"/>
    </w:pPr>
    <w:rPr>
      <w:rFonts w:ascii="宋体" w:hAnsi="宋体" w:cs="宋体"/>
      <w:sz w:val="24"/>
      <w:szCs w:val="24"/>
    </w:rPr>
  </w:style>
  <w:style w:type="paragraph" w:styleId="30">
    <w:name w:val="annotation subject"/>
    <w:basedOn w:val="12"/>
    <w:next w:val="12"/>
    <w:link w:val="48"/>
    <w:semiHidden/>
    <w:qFormat/>
    <w:uiPriority w:val="99"/>
    <w:rPr>
      <w:b/>
      <w:bCs/>
    </w:rPr>
  </w:style>
  <w:style w:type="paragraph" w:styleId="31">
    <w:name w:val="Body Text First Indent 2"/>
    <w:basedOn w:val="14"/>
    <w:qFormat/>
    <w:locked/>
    <w:uiPriority w:val="0"/>
    <w:pPr>
      <w:ind w:left="200" w:firstLine="200" w:firstLineChars="200"/>
      <w:jc w:val="both"/>
    </w:pPr>
    <w:rPr>
      <w:kern w:val="2"/>
    </w:rPr>
  </w:style>
  <w:style w:type="table" w:styleId="33">
    <w:name w:val="Table Grid"/>
    <w:basedOn w:val="32"/>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 Char Char1"/>
    <w:basedOn w:val="11"/>
    <w:link w:val="34"/>
    <w:qFormat/>
    <w:uiPriority w:val="0"/>
    <w:pPr>
      <w:shd w:val="clear" w:color="auto" w:fill="000080"/>
    </w:pPr>
    <w:rPr>
      <w:rFonts w:cs="Times New Roman"/>
      <w:sz w:val="24"/>
      <w:szCs w:val="24"/>
    </w:rPr>
  </w:style>
  <w:style w:type="character" w:styleId="36">
    <w:name w:val="Strong"/>
    <w:basedOn w:val="34"/>
    <w:qFormat/>
    <w:uiPriority w:val="0"/>
    <w:rPr>
      <w:b/>
    </w:rPr>
  </w:style>
  <w:style w:type="character" w:styleId="37">
    <w:name w:val="page number"/>
    <w:basedOn w:val="34"/>
    <w:qFormat/>
    <w:uiPriority w:val="99"/>
    <w:rPr>
      <w:rFonts w:cs="Times New Roman"/>
    </w:rPr>
  </w:style>
  <w:style w:type="character" w:styleId="38">
    <w:name w:val="Emphasis"/>
    <w:basedOn w:val="34"/>
    <w:qFormat/>
    <w:uiPriority w:val="99"/>
    <w:rPr>
      <w:rFonts w:cs="Times New Roman"/>
      <w:color w:val="CC0000"/>
    </w:rPr>
  </w:style>
  <w:style w:type="character" w:styleId="39">
    <w:name w:val="Hyperlink"/>
    <w:basedOn w:val="34"/>
    <w:qFormat/>
    <w:uiPriority w:val="99"/>
    <w:rPr>
      <w:rFonts w:cs="Times New Roman"/>
      <w:color w:val="0000FF"/>
      <w:u w:val="single"/>
    </w:rPr>
  </w:style>
  <w:style w:type="character" w:styleId="40">
    <w:name w:val="annotation reference"/>
    <w:basedOn w:val="34"/>
    <w:semiHidden/>
    <w:qFormat/>
    <w:uiPriority w:val="99"/>
    <w:rPr>
      <w:rFonts w:cs="Times New Roman"/>
      <w:sz w:val="21"/>
    </w:rPr>
  </w:style>
  <w:style w:type="character" w:customStyle="1" w:styleId="41">
    <w:name w:val="标题 3 Char"/>
    <w:basedOn w:val="34"/>
    <w:link w:val="5"/>
    <w:qFormat/>
    <w:locked/>
    <w:uiPriority w:val="99"/>
    <w:rPr>
      <w:rFonts w:ascii="宋体" w:eastAsia="宋体" w:cs="Times New Roman"/>
      <w:sz w:val="21"/>
      <w:lang w:val="en-US" w:eastAsia="zh-CN"/>
    </w:rPr>
  </w:style>
  <w:style w:type="character" w:customStyle="1" w:styleId="42">
    <w:name w:val="标题 2 Char"/>
    <w:basedOn w:val="34"/>
    <w:link w:val="4"/>
    <w:qFormat/>
    <w:locked/>
    <w:uiPriority w:val="99"/>
    <w:rPr>
      <w:rFonts w:ascii="宋体" w:hAnsi="Arial" w:eastAsia="宋体" w:cs="Times New Roman"/>
      <w:b/>
      <w:sz w:val="32"/>
      <w:lang w:val="en-US" w:eastAsia="zh-CN"/>
    </w:rPr>
  </w:style>
  <w:style w:type="character" w:customStyle="1" w:styleId="43">
    <w:name w:val="标题 1 Char"/>
    <w:basedOn w:val="34"/>
    <w:link w:val="3"/>
    <w:qFormat/>
    <w:locked/>
    <w:uiPriority w:val="99"/>
    <w:rPr>
      <w:rFonts w:eastAsia="宋体" w:cs="Times New Roman"/>
      <w:b/>
      <w:kern w:val="44"/>
      <w:sz w:val="44"/>
      <w:lang w:val="en-US" w:eastAsia="zh-CN"/>
    </w:rPr>
  </w:style>
  <w:style w:type="paragraph" w:customStyle="1" w:styleId="44">
    <w:name w:val="Char Char Char"/>
    <w:basedOn w:val="1"/>
    <w:qFormat/>
    <w:uiPriority w:val="99"/>
    <w:pPr>
      <w:widowControl w:val="0"/>
      <w:jc w:val="both"/>
    </w:pPr>
    <w:rPr>
      <w:rFonts w:ascii="Tahoma" w:hAnsi="Tahoma"/>
      <w:kern w:val="2"/>
      <w:sz w:val="24"/>
    </w:rPr>
  </w:style>
  <w:style w:type="character" w:customStyle="1" w:styleId="45">
    <w:name w:val="标题 4 Char"/>
    <w:basedOn w:val="34"/>
    <w:link w:val="7"/>
    <w:semiHidden/>
    <w:qFormat/>
    <w:locked/>
    <w:uiPriority w:val="99"/>
    <w:rPr>
      <w:rFonts w:ascii="Cambria" w:hAnsi="Cambria" w:eastAsia="宋体" w:cs="Times New Roman"/>
      <w:b/>
      <w:bCs/>
      <w:kern w:val="0"/>
      <w:sz w:val="28"/>
      <w:szCs w:val="28"/>
    </w:rPr>
  </w:style>
  <w:style w:type="character" w:customStyle="1" w:styleId="46">
    <w:name w:val="标题 9 Char"/>
    <w:basedOn w:val="34"/>
    <w:link w:val="8"/>
    <w:semiHidden/>
    <w:qFormat/>
    <w:locked/>
    <w:uiPriority w:val="99"/>
    <w:rPr>
      <w:rFonts w:ascii="Cambria" w:hAnsi="Cambria" w:eastAsia="宋体" w:cs="Times New Roman"/>
      <w:kern w:val="0"/>
      <w:sz w:val="21"/>
      <w:szCs w:val="21"/>
    </w:rPr>
  </w:style>
  <w:style w:type="character" w:customStyle="1" w:styleId="47">
    <w:name w:val="批注文字 Char"/>
    <w:basedOn w:val="34"/>
    <w:link w:val="12"/>
    <w:semiHidden/>
    <w:qFormat/>
    <w:locked/>
    <w:uiPriority w:val="99"/>
    <w:rPr>
      <w:rFonts w:cs="Times New Roman"/>
      <w:kern w:val="0"/>
      <w:sz w:val="20"/>
      <w:szCs w:val="20"/>
    </w:rPr>
  </w:style>
  <w:style w:type="character" w:customStyle="1" w:styleId="48">
    <w:name w:val="批注主题 Char"/>
    <w:basedOn w:val="47"/>
    <w:link w:val="30"/>
    <w:semiHidden/>
    <w:qFormat/>
    <w:locked/>
    <w:uiPriority w:val="99"/>
    <w:rPr>
      <w:rFonts w:cs="Times New Roman"/>
      <w:b/>
      <w:bCs/>
      <w:kern w:val="0"/>
      <w:sz w:val="20"/>
      <w:szCs w:val="20"/>
    </w:rPr>
  </w:style>
  <w:style w:type="character" w:customStyle="1" w:styleId="49">
    <w:name w:val="文档结构图 Char"/>
    <w:basedOn w:val="34"/>
    <w:link w:val="11"/>
    <w:qFormat/>
    <w:locked/>
    <w:uiPriority w:val="99"/>
    <w:rPr>
      <w:rFonts w:ascii="宋体" w:cs="Times New Roman"/>
      <w:sz w:val="18"/>
    </w:rPr>
  </w:style>
  <w:style w:type="character" w:customStyle="1" w:styleId="50">
    <w:name w:val="正文文本 3 Char"/>
    <w:basedOn w:val="34"/>
    <w:link w:val="13"/>
    <w:qFormat/>
    <w:locked/>
    <w:uiPriority w:val="99"/>
    <w:rPr>
      <w:rFonts w:eastAsia="宋体" w:cs="Times New Roman"/>
      <w:sz w:val="16"/>
      <w:lang w:val="en-US" w:eastAsia="zh-CN"/>
    </w:rPr>
  </w:style>
  <w:style w:type="character" w:customStyle="1" w:styleId="51">
    <w:name w:val="正文文本缩进 Char"/>
    <w:basedOn w:val="34"/>
    <w:link w:val="14"/>
    <w:semiHidden/>
    <w:qFormat/>
    <w:locked/>
    <w:uiPriority w:val="99"/>
    <w:rPr>
      <w:rFonts w:cs="Times New Roman"/>
      <w:kern w:val="0"/>
      <w:sz w:val="20"/>
      <w:szCs w:val="20"/>
    </w:rPr>
  </w:style>
  <w:style w:type="character" w:customStyle="1" w:styleId="52">
    <w:name w:val="Plain Text Char"/>
    <w:basedOn w:val="34"/>
    <w:qFormat/>
    <w:locked/>
    <w:uiPriority w:val="99"/>
    <w:rPr>
      <w:rFonts w:ascii="宋体" w:hAnsi="Courier New" w:eastAsia="宋体" w:cs="Times New Roman"/>
      <w:kern w:val="0"/>
      <w:sz w:val="21"/>
    </w:rPr>
  </w:style>
  <w:style w:type="character" w:customStyle="1" w:styleId="53">
    <w:name w:val="日期 Char"/>
    <w:basedOn w:val="34"/>
    <w:link w:val="19"/>
    <w:semiHidden/>
    <w:qFormat/>
    <w:locked/>
    <w:uiPriority w:val="99"/>
    <w:rPr>
      <w:rFonts w:cs="Times New Roman"/>
      <w:kern w:val="0"/>
      <w:sz w:val="20"/>
      <w:szCs w:val="20"/>
    </w:rPr>
  </w:style>
  <w:style w:type="character" w:customStyle="1" w:styleId="54">
    <w:name w:val="正文文本缩进 2 Char"/>
    <w:basedOn w:val="34"/>
    <w:link w:val="20"/>
    <w:semiHidden/>
    <w:qFormat/>
    <w:locked/>
    <w:uiPriority w:val="99"/>
    <w:rPr>
      <w:rFonts w:cs="Times New Roman"/>
      <w:kern w:val="0"/>
      <w:sz w:val="20"/>
      <w:szCs w:val="20"/>
    </w:rPr>
  </w:style>
  <w:style w:type="character" w:customStyle="1" w:styleId="55">
    <w:name w:val="批注框文本 Char"/>
    <w:basedOn w:val="34"/>
    <w:link w:val="21"/>
    <w:semiHidden/>
    <w:qFormat/>
    <w:locked/>
    <w:uiPriority w:val="99"/>
    <w:rPr>
      <w:rFonts w:cs="Times New Roman"/>
      <w:kern w:val="0"/>
      <w:sz w:val="2"/>
    </w:rPr>
  </w:style>
  <w:style w:type="character" w:customStyle="1" w:styleId="56">
    <w:name w:val="页脚 Char"/>
    <w:basedOn w:val="34"/>
    <w:link w:val="22"/>
    <w:qFormat/>
    <w:locked/>
    <w:uiPriority w:val="99"/>
    <w:rPr>
      <w:rFonts w:eastAsia="宋体" w:cs="Times New Roman"/>
      <w:sz w:val="18"/>
      <w:lang w:val="en-US" w:eastAsia="zh-CN"/>
    </w:rPr>
  </w:style>
  <w:style w:type="character" w:customStyle="1" w:styleId="57">
    <w:name w:val="Header Char"/>
    <w:basedOn w:val="34"/>
    <w:qFormat/>
    <w:locked/>
    <w:uiPriority w:val="99"/>
    <w:rPr>
      <w:rFonts w:cs="Times New Roman"/>
      <w:sz w:val="18"/>
    </w:rPr>
  </w:style>
  <w:style w:type="character" w:customStyle="1" w:styleId="58">
    <w:name w:val="Normal Indent Char"/>
    <w:qFormat/>
    <w:locked/>
    <w:uiPriority w:val="99"/>
    <w:rPr>
      <w:rFonts w:ascii="Times New Roman" w:hAnsi="Times New Roman" w:eastAsia="宋体"/>
      <w:kern w:val="0"/>
      <w:sz w:val="20"/>
    </w:rPr>
  </w:style>
  <w:style w:type="character" w:customStyle="1" w:styleId="59">
    <w:name w:val="正文缩进 Char"/>
    <w:link w:val="6"/>
    <w:qFormat/>
    <w:locked/>
    <w:uiPriority w:val="99"/>
    <w:rPr>
      <w:rFonts w:ascii="宋体" w:eastAsia="宋体"/>
      <w:snapToGrid w:val="0"/>
      <w:color w:val="000000"/>
      <w:sz w:val="21"/>
      <w:lang w:val="en-US" w:eastAsia="zh-CN"/>
    </w:rPr>
  </w:style>
  <w:style w:type="character" w:customStyle="1" w:styleId="60">
    <w:name w:val="font01"/>
    <w:qFormat/>
    <w:uiPriority w:val="99"/>
    <w:rPr>
      <w:rFonts w:ascii="宋体" w:hAnsi="宋体" w:eastAsia="宋体"/>
      <w:color w:val="000000"/>
      <w:sz w:val="24"/>
      <w:u w:val="none"/>
    </w:rPr>
  </w:style>
  <w:style w:type="character" w:customStyle="1" w:styleId="61">
    <w:name w:val="纯文本 Char"/>
    <w:link w:val="18"/>
    <w:qFormat/>
    <w:locked/>
    <w:uiPriority w:val="99"/>
    <w:rPr>
      <w:rFonts w:ascii="宋体" w:hAnsi="Courier New" w:eastAsia="宋体"/>
      <w:kern w:val="2"/>
      <w:sz w:val="21"/>
      <w:lang w:val="en-US" w:eastAsia="zh-CN"/>
    </w:rPr>
  </w:style>
  <w:style w:type="character" w:customStyle="1" w:styleId="62">
    <w:name w:val="style81"/>
    <w:qFormat/>
    <w:uiPriority w:val="99"/>
    <w:rPr>
      <w:sz w:val="21"/>
    </w:rPr>
  </w:style>
  <w:style w:type="character" w:customStyle="1" w:styleId="63">
    <w:name w:val="页眉 Char"/>
    <w:link w:val="23"/>
    <w:qFormat/>
    <w:locked/>
    <w:uiPriority w:val="99"/>
    <w:rPr>
      <w:rFonts w:eastAsia="宋体"/>
      <w:sz w:val="18"/>
      <w:lang w:val="en-US" w:eastAsia="zh-CN"/>
    </w:rPr>
  </w:style>
  <w:style w:type="paragraph" w:customStyle="1" w:styleId="64">
    <w:name w:val="_Style 10"/>
    <w:basedOn w:val="1"/>
    <w:qFormat/>
    <w:uiPriority w:val="99"/>
    <w:pPr>
      <w:spacing w:after="160" w:line="240" w:lineRule="exact"/>
    </w:pPr>
    <w:rPr>
      <w:rFonts w:ascii="Verdana" w:hAnsi="Verdana"/>
      <w:lang w:eastAsia="en-US"/>
    </w:rPr>
  </w:style>
  <w:style w:type="paragraph" w:customStyle="1" w:styleId="65">
    <w:name w:val="0段落文字"/>
    <w:basedOn w:val="1"/>
    <w:qFormat/>
    <w:uiPriority w:val="99"/>
    <w:pPr>
      <w:spacing w:line="360" w:lineRule="auto"/>
      <w:ind w:firstLine="200" w:firstLineChars="200"/>
    </w:pPr>
    <w:rPr>
      <w:sz w:val="24"/>
      <w:szCs w:val="21"/>
    </w:rPr>
  </w:style>
  <w:style w:type="paragraph" w:customStyle="1" w:styleId="66">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7">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8">
    <w:name w:val="_正文段落"/>
    <w:basedOn w:val="1"/>
    <w:qFormat/>
    <w:uiPriority w:val="99"/>
    <w:pPr>
      <w:spacing w:line="360" w:lineRule="auto"/>
      <w:ind w:firstLine="480" w:firstLineChars="200"/>
    </w:pPr>
    <w:rPr>
      <w:rFonts w:ascii="宋体" w:hAnsi="宋体"/>
      <w:sz w:val="24"/>
    </w:rPr>
  </w:style>
  <w:style w:type="paragraph" w:customStyle="1" w:styleId="69">
    <w:name w:val="列出段落1"/>
    <w:basedOn w:val="1"/>
    <w:qFormat/>
    <w:uiPriority w:val="99"/>
    <w:pPr>
      <w:widowControl w:val="0"/>
      <w:ind w:firstLine="420" w:firstLineChars="200"/>
      <w:jc w:val="both"/>
    </w:pPr>
    <w:rPr>
      <w:rFonts w:ascii="Calibri" w:hAnsi="Calibri"/>
      <w:kern w:val="2"/>
      <w:szCs w:val="22"/>
    </w:rPr>
  </w:style>
  <w:style w:type="paragraph" w:customStyle="1" w:styleId="70">
    <w:name w:val="表格文字"/>
    <w:basedOn w:val="1"/>
    <w:qFormat/>
    <w:uiPriority w:val="99"/>
    <w:pPr>
      <w:widowControl w:val="0"/>
      <w:spacing w:before="25" w:after="25"/>
    </w:pPr>
    <w:rPr>
      <w:bCs/>
      <w:spacing w:val="10"/>
      <w:sz w:val="24"/>
    </w:rPr>
  </w:style>
  <w:style w:type="paragraph" w:customStyle="1" w:styleId="71">
    <w:name w:val="Char1"/>
    <w:basedOn w:val="1"/>
    <w:qFormat/>
    <w:uiPriority w:val="99"/>
    <w:pPr>
      <w:spacing w:after="160" w:line="240" w:lineRule="exact"/>
    </w:pPr>
    <w:rPr>
      <w:rFonts w:ascii="Verdana" w:hAnsi="Verdana"/>
      <w:lang w:eastAsia="en-US"/>
    </w:rPr>
  </w:style>
  <w:style w:type="paragraph" w:customStyle="1" w:styleId="72">
    <w:name w:val="题注5"/>
    <w:basedOn w:val="1"/>
    <w:next w:val="10"/>
    <w:qFormat/>
    <w:uiPriority w:val="99"/>
    <w:pPr>
      <w:widowControl w:val="0"/>
      <w:jc w:val="center"/>
    </w:pPr>
    <w:rPr>
      <w:b/>
      <w:color w:val="000000"/>
      <w:kern w:val="2"/>
      <w:sz w:val="24"/>
      <w:szCs w:val="21"/>
    </w:rPr>
  </w:style>
  <w:style w:type="paragraph" w:customStyle="1" w:styleId="73">
    <w:name w:val="列出段落2"/>
    <w:basedOn w:val="1"/>
    <w:qFormat/>
    <w:uiPriority w:val="99"/>
    <w:pPr>
      <w:widowControl w:val="0"/>
      <w:ind w:firstLine="420" w:firstLineChars="200"/>
      <w:jc w:val="both"/>
    </w:pPr>
    <w:rPr>
      <w:rFonts w:ascii="Calibri" w:hAnsi="Calibri"/>
      <w:kern w:val="2"/>
      <w:szCs w:val="22"/>
    </w:rPr>
  </w:style>
  <w:style w:type="paragraph" w:customStyle="1" w:styleId="74">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5">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6">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7">
    <w:name w:val="Char Char11"/>
    <w:basedOn w:val="34"/>
    <w:qFormat/>
    <w:uiPriority w:val="0"/>
    <w:rPr>
      <w:rFonts w:ascii="Verdana" w:hAnsi="Verdana"/>
      <w:lang w:eastAsia="en-US"/>
    </w:rPr>
  </w:style>
  <w:style w:type="paragraph" w:customStyle="1" w:styleId="78">
    <w:name w:val="Table Paragraph"/>
    <w:basedOn w:val="1"/>
    <w:qFormat/>
    <w:uiPriority w:val="1"/>
    <w:rPr>
      <w:rFonts w:ascii="宋体" w:hAnsi="宋体" w:cs="宋体"/>
      <w:lang w:val="zh-CN" w:bidi="zh-CN"/>
    </w:rPr>
  </w:style>
  <w:style w:type="paragraph" w:customStyle="1" w:styleId="79">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普通(网站)_0"/>
    <w:basedOn w:val="79"/>
    <w:unhideWhenUsed/>
    <w:qFormat/>
    <w:uiPriority w:val="99"/>
    <w:rPr>
      <w:rFonts w:ascii="Times New Roman" w:hAnsi="Times New Roman"/>
      <w:sz w:val="24"/>
      <w:szCs w:val="24"/>
    </w:rPr>
  </w:style>
  <w:style w:type="paragraph" w:styleId="81">
    <w:name w:val="List Paragraph"/>
    <w:basedOn w:val="1"/>
    <w:qFormat/>
    <w:uiPriority w:val="1"/>
    <w:pPr>
      <w:spacing w:before="1"/>
      <w:ind w:left="440" w:firstLine="480"/>
    </w:pPr>
    <w:rPr>
      <w:rFonts w:ascii="宋体" w:hAnsi="宋体" w:cs="宋体"/>
      <w:lang w:val="zh-CN" w:bidi="zh-CN"/>
    </w:rPr>
  </w:style>
  <w:style w:type="character" w:customStyle="1" w:styleId="82">
    <w:name w:val="font21"/>
    <w:basedOn w:val="34"/>
    <w:qFormat/>
    <w:uiPriority w:val="0"/>
    <w:rPr>
      <w:rFonts w:hint="eastAsia" w:ascii="宋体" w:hAnsi="宋体" w:eastAsia="宋体" w:cs="宋体"/>
      <w:color w:val="FF0000"/>
      <w:sz w:val="20"/>
      <w:szCs w:val="20"/>
      <w:u w:val="none"/>
    </w:rPr>
  </w:style>
  <w:style w:type="character" w:customStyle="1" w:styleId="83">
    <w:name w:val="font11"/>
    <w:basedOn w:val="34"/>
    <w:qFormat/>
    <w:uiPriority w:val="0"/>
    <w:rPr>
      <w:rFonts w:hint="eastAsia" w:ascii="宋体" w:hAnsi="宋体" w:eastAsia="宋体" w:cs="宋体"/>
      <w:color w:val="000000"/>
      <w:sz w:val="22"/>
      <w:szCs w:val="22"/>
      <w:u w:val="none"/>
    </w:rPr>
  </w:style>
  <w:style w:type="paragraph" w:customStyle="1" w:styleId="84">
    <w:name w:val="样式1"/>
    <w:basedOn w:val="1"/>
    <w:qFormat/>
    <w:uiPriority w:val="0"/>
  </w:style>
  <w:style w:type="paragraph" w:customStyle="1" w:styleId="85">
    <w:name w:val="正文_1_0"/>
    <w:basedOn w:val="86"/>
    <w:qFormat/>
    <w:uiPriority w:val="0"/>
    <w:rPr>
      <w:rFonts w:ascii="Calibri" w:hAnsi="Calibri"/>
      <w:szCs w:val="21"/>
    </w:rPr>
  </w:style>
  <w:style w:type="paragraph" w:customStyle="1" w:styleId="8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标题 3_0_0"/>
    <w:basedOn w:val="86"/>
    <w:next w:val="86"/>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8">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89">
    <w:name w:val="10"/>
    <w:basedOn w:val="34"/>
    <w:qFormat/>
    <w:uiPriority w:val="0"/>
    <w:rPr>
      <w:rFonts w:hint="default" w:ascii="Times New Roman" w:hAnsi="Times New Roman" w:cs="Times New Roman"/>
      <w:lang w:bidi="mn-Mong-CN"/>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纯文本1"/>
    <w:basedOn w:val="1"/>
    <w:qFormat/>
    <w:uiPriority w:val="0"/>
    <w:rPr>
      <w:rFonts w:ascii="宋体" w:hAnsi="Courier New"/>
      <w:kern w:val="0"/>
      <w:sz w:val="20"/>
      <w:szCs w:val="20"/>
    </w:rPr>
  </w:style>
  <w:style w:type="paragraph" w:customStyle="1" w:styleId="9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93">
    <w:name w:val="表格"/>
    <w:basedOn w:val="1"/>
    <w:qFormat/>
    <w:uiPriority w:val="0"/>
    <w:pPr>
      <w:ind w:firstLine="0" w:firstLineChars="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30</TotalTime>
  <ScaleCrop>false</ScaleCrop>
  <LinksUpToDate>false</LinksUpToDate>
  <CharactersWithSpaces>32899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阿强</cp:lastModifiedBy>
  <cp:lastPrinted>2017-08-25T03:24:00Z</cp:lastPrinted>
  <dcterms:modified xsi:type="dcterms:W3CDTF">2021-08-05T15:56:25Z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23810F8676B6468682612D529305809A</vt:lpwstr>
  </property>
</Properties>
</file>