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widowControl/>
        <w:suppressLineNumbers w:val="0"/>
        <w:spacing w:before="75" w:beforeAutospacing="0" w:after="75" w:afterAutospacing="0" w:line="300" w:lineRule="atLeast"/>
        <w:ind w:left="0" w:right="0" w:firstLine="420"/>
        <w:jc w:val="center"/>
        <w:rPr>
          <w:rFonts w:hint="default" w:ascii="仿宋" w:hAnsi="仿宋" w:eastAsia="仿宋" w:cs="仿宋"/>
          <w:i w:val="0"/>
          <w:caps w:val="0"/>
          <w:color w:val="000000" w:themeColor="text1"/>
          <w:spacing w:val="0"/>
          <w:sz w:val="44"/>
          <w:szCs w:val="44"/>
          <w:lang w:val="en-US"/>
          <w14:textFill>
            <w14:solidFill>
              <w14:schemeClr w14:val="tx1"/>
            </w14:solidFill>
          </w14:textFill>
        </w:rPr>
      </w:pPr>
      <w:r>
        <w:rPr>
          <w:rFonts w:hint="eastAsia" w:ascii="仿宋" w:hAnsi="仿宋" w:eastAsia="仿宋" w:cs="仿宋"/>
          <w:i w:val="0"/>
          <w:caps w:val="0"/>
          <w:color w:val="000000" w:themeColor="text1"/>
          <w:spacing w:val="0"/>
          <w:sz w:val="44"/>
          <w:szCs w:val="44"/>
          <w:lang w:val="en-US" w:eastAsia="zh-CN"/>
          <w14:textFill>
            <w14:solidFill>
              <w14:schemeClr w14:val="tx1"/>
            </w14:solidFill>
          </w14:textFill>
        </w:rPr>
        <w:t>2021年和田市林果业技术扶持项目(三次)</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磋</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商</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文</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52"/>
          <w:szCs w:val="52"/>
          <w:highlight w:val="none"/>
          <w14:textFill>
            <w14:solidFill>
              <w14:schemeClr w14:val="tx1"/>
            </w14:solidFill>
          </w14:textFill>
        </w:rPr>
      </w:pPr>
    </w:p>
    <w:p>
      <w:pPr>
        <w:jc w:val="center"/>
        <w:rPr>
          <w:rFonts w:hint="default" w:ascii="仿宋" w:hAnsi="仿宋" w:eastAsia="仿宋" w:cs="仿宋"/>
          <w:b/>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采购编号：</w:t>
      </w:r>
      <w:r>
        <w:rPr>
          <w:rFonts w:hint="eastAsia" w:ascii="仿宋" w:hAnsi="仿宋" w:eastAsia="仿宋" w:cs="仿宋"/>
          <w:b/>
          <w:color w:val="000000" w:themeColor="text1"/>
          <w:sz w:val="30"/>
          <w:szCs w:val="30"/>
          <w:highlight w:val="none"/>
          <w:lang w:eastAsia="zh-CN"/>
          <w14:textFill>
            <w14:solidFill>
              <w14:schemeClr w14:val="tx1"/>
            </w14:solidFill>
          </w14:textFill>
        </w:rPr>
        <w:t>HTSZFCGZBDL-2021-089-</w:t>
      </w:r>
      <w:r>
        <w:rPr>
          <w:rFonts w:hint="eastAsia" w:ascii="仿宋" w:hAnsi="仿宋" w:eastAsia="仿宋" w:cs="仿宋"/>
          <w:b/>
          <w:color w:val="000000" w:themeColor="text1"/>
          <w:sz w:val="30"/>
          <w:szCs w:val="30"/>
          <w:highlight w:val="none"/>
          <w:lang w:val="en-US" w:eastAsia="zh-CN"/>
          <w14:textFill>
            <w14:solidFill>
              <w14:schemeClr w14:val="tx1"/>
            </w14:solidFill>
          </w14:textFill>
        </w:rPr>
        <w:t>3</w:t>
      </w:r>
    </w:p>
    <w:p>
      <w:pPr>
        <w:spacing w:line="360" w:lineRule="auto"/>
        <w:jc w:val="center"/>
        <w:textAlignment w:val="top"/>
        <w:rPr>
          <w:rFonts w:hint="eastAsia" w:ascii="仿宋" w:hAnsi="仿宋" w:eastAsia="仿宋" w:cs="仿宋"/>
          <w:b/>
          <w:color w:val="000000" w:themeColor="text1"/>
          <w:spacing w:val="100"/>
          <w:sz w:val="32"/>
          <w:szCs w:val="32"/>
          <w:highlight w:val="none"/>
          <w14:textFill>
            <w14:solidFill>
              <w14:schemeClr w14:val="tx1"/>
            </w14:solidFill>
          </w14:textFill>
        </w:rPr>
      </w:pPr>
      <w:r>
        <w:rPr>
          <w:rFonts w:hint="eastAsia" w:ascii="仿宋" w:hAnsi="仿宋" w:eastAsia="仿宋" w:cs="仿宋"/>
          <w:b/>
          <w:color w:val="000000" w:themeColor="text1"/>
          <w:spacing w:val="100"/>
          <w:sz w:val="32"/>
          <w:szCs w:val="32"/>
          <w:highlight w:val="none"/>
          <w14:textFill>
            <w14:solidFill>
              <w14:schemeClr w14:val="tx1"/>
            </w14:solidFill>
          </w14:textFill>
        </w:rPr>
        <w:t>新疆晓君招标有限公司</w:t>
      </w:r>
    </w:p>
    <w:p>
      <w:pPr>
        <w:pStyle w:val="19"/>
        <w:jc w:val="center"/>
        <w:rPr>
          <w:rFonts w:hint="eastAsia" w:ascii="仿宋" w:hAnsi="仿宋" w:eastAsia="仿宋" w:cs="仿宋"/>
          <w:b/>
          <w:color w:val="000000" w:themeColor="text1"/>
          <w:spacing w:val="40"/>
          <w:sz w:val="36"/>
          <w:szCs w:val="36"/>
          <w:highlight w:val="none"/>
          <w14:textFill>
            <w14:solidFill>
              <w14:schemeClr w14:val="tx1"/>
            </w14:solidFill>
          </w14:textFill>
        </w:rPr>
      </w:pPr>
      <w:r>
        <w:rPr>
          <w:rFonts w:hint="eastAsia" w:ascii="仿宋" w:hAnsi="仿宋" w:eastAsia="仿宋" w:cs="仿宋"/>
          <w:b/>
          <w:color w:val="000000" w:themeColor="text1"/>
          <w:spacing w:val="40"/>
          <w:sz w:val="36"/>
          <w:szCs w:val="36"/>
          <w:highlight w:val="none"/>
          <w14:textFill>
            <w14:solidFill>
              <w14:schemeClr w14:val="tx1"/>
            </w14:solidFill>
          </w14:textFill>
        </w:rPr>
        <w:t>202</w:t>
      </w:r>
      <w:r>
        <w:rPr>
          <w:rFonts w:hint="eastAsia" w:ascii="仿宋" w:hAnsi="仿宋" w:eastAsia="仿宋" w:cs="仿宋"/>
          <w:b/>
          <w:color w:val="000000" w:themeColor="text1"/>
          <w:spacing w:val="40"/>
          <w:sz w:val="36"/>
          <w:szCs w:val="36"/>
          <w:highlight w:val="none"/>
          <w:lang w:val="en-US" w:eastAsia="zh-CN"/>
          <w14:textFill>
            <w14:solidFill>
              <w14:schemeClr w14:val="tx1"/>
            </w14:solidFill>
          </w14:textFill>
        </w:rPr>
        <w:t>1</w:t>
      </w:r>
      <w:r>
        <w:rPr>
          <w:rFonts w:hint="eastAsia" w:ascii="仿宋" w:hAnsi="仿宋" w:eastAsia="仿宋" w:cs="仿宋"/>
          <w:b/>
          <w:color w:val="000000" w:themeColor="text1"/>
          <w:spacing w:val="40"/>
          <w:sz w:val="36"/>
          <w:szCs w:val="36"/>
          <w:highlight w:val="none"/>
          <w14:textFill>
            <w14:solidFill>
              <w14:schemeClr w14:val="tx1"/>
            </w14:solidFill>
          </w14:textFill>
        </w:rPr>
        <w:t>年</w:t>
      </w:r>
      <w:r>
        <w:rPr>
          <w:rFonts w:hint="eastAsia" w:ascii="仿宋" w:hAnsi="仿宋" w:eastAsia="仿宋" w:cs="仿宋"/>
          <w:b/>
          <w:color w:val="000000" w:themeColor="text1"/>
          <w:spacing w:val="40"/>
          <w:sz w:val="36"/>
          <w:szCs w:val="36"/>
          <w:highlight w:val="none"/>
          <w:lang w:val="en-US" w:eastAsia="zh-CN"/>
          <w14:textFill>
            <w14:solidFill>
              <w14:schemeClr w14:val="tx1"/>
            </w14:solidFill>
          </w14:textFill>
        </w:rPr>
        <w:t>8</w:t>
      </w:r>
      <w:r>
        <w:rPr>
          <w:rFonts w:hint="eastAsia" w:ascii="仿宋" w:hAnsi="仿宋" w:eastAsia="仿宋" w:cs="仿宋"/>
          <w:b/>
          <w:color w:val="000000" w:themeColor="text1"/>
          <w:spacing w:val="40"/>
          <w:sz w:val="36"/>
          <w:szCs w:val="36"/>
          <w:highlight w:val="none"/>
          <w14:textFill>
            <w14:solidFill>
              <w14:schemeClr w14:val="tx1"/>
            </w14:solidFill>
          </w14:textFill>
        </w:rPr>
        <w:t>月</w:t>
      </w:r>
    </w:p>
    <w:p>
      <w:pPr>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spacing w:line="360" w:lineRule="auto"/>
        <w:jc w:val="both"/>
        <w:rPr>
          <w:rFonts w:hint="eastAsia" w:ascii="仿宋" w:hAnsi="仿宋" w:eastAsia="仿宋" w:cs="仿宋"/>
          <w:b/>
          <w:color w:val="000000" w:themeColor="text1"/>
          <w:sz w:val="44"/>
          <w:highlight w:val="none"/>
          <w14:textFill>
            <w14:solidFill>
              <w14:schemeClr w14:val="tx1"/>
            </w14:solidFill>
          </w14:textFill>
        </w:rPr>
      </w:pPr>
    </w:p>
    <w:p>
      <w:pPr>
        <w:pStyle w:val="8"/>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招投标监督管理机构备案登记栏：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pStyle w:val="31"/>
              <w:ind w:firstLine="54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1"/>
              <w:ind w:firstLine="540"/>
              <w:rPr>
                <w:rFonts w:hint="eastAsia" w:ascii="仿宋" w:hAnsi="仿宋" w:eastAsia="仿宋" w:cs="仿宋"/>
                <w:color w:val="000000" w:themeColor="text1"/>
                <w:highlight w:val="none"/>
                <w14:textFill>
                  <w14:solidFill>
                    <w14:schemeClr w14:val="tx1"/>
                  </w14:solidFill>
                </w14:textFill>
              </w:rPr>
            </w:pPr>
          </w:p>
          <w:p>
            <w:pPr>
              <w:pStyle w:val="31"/>
              <w:ind w:firstLine="542"/>
              <w:rPr>
                <w:rFonts w:hint="eastAsia" w:ascii="仿宋" w:hAnsi="仿宋" w:eastAsia="仿宋" w:cs="仿宋"/>
                <w:b/>
                <w:bCs/>
                <w:color w:val="000000" w:themeColor="text1"/>
                <w:highlight w:val="none"/>
                <w14:textFill>
                  <w14:solidFill>
                    <w14:schemeClr w14:val="tx1"/>
                  </w14:solidFill>
                </w14:textFill>
              </w:rPr>
            </w:pPr>
          </w:p>
          <w:p>
            <w:pPr>
              <w:pStyle w:val="31"/>
              <w:ind w:firstLine="542"/>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29"/>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caps w:val="0"/>
                <w:color w:val="000000" w:themeColor="text1"/>
                <w:spacing w:val="0"/>
                <w:sz w:val="24"/>
                <w:szCs w:val="24"/>
                <w:lang w:val="en-US"/>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2021年和田市林果业技术扶持项目(三次)</w:t>
            </w: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rPr>
                <w:rFonts w:hint="eastAsia" w:ascii="仿宋" w:hAnsi="仿宋" w:eastAsia="仿宋" w:cs="仿宋"/>
                <w:b/>
                <w:bCs/>
                <w:color w:val="000000" w:themeColor="text1"/>
                <w:sz w:val="24"/>
                <w:highlight w:val="none"/>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和田市</w:t>
      </w:r>
      <w:r>
        <w:rPr>
          <w:rFonts w:hint="eastAsia" w:ascii="仿宋" w:hAnsi="仿宋" w:eastAsia="仿宋" w:cs="仿宋"/>
          <w:b/>
          <w:bCs/>
          <w:color w:val="000000" w:themeColor="text1"/>
          <w:sz w:val="24"/>
          <w:highlight w:val="none"/>
          <w14:textFill>
            <w14:solidFill>
              <w14:schemeClr w14:val="tx1"/>
            </w14:solidFill>
          </w14:textFill>
        </w:rPr>
        <w:t xml:space="preserve">政府采购管理办公室 </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44"/>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sectPr>
          <w:headerReference r:id="rId3" w:type="default"/>
          <w:pgSz w:w="11906" w:h="16838"/>
          <w:pgMar w:top="1440" w:right="1588" w:bottom="1440" w:left="1588" w:header="851" w:footer="992" w:gutter="0"/>
          <w:cols w:space="720" w:num="1"/>
          <w:docGrid w:type="lines" w:linePitch="312" w:charSpace="0"/>
        </w:sectPr>
      </w:pPr>
      <w:r>
        <w:rPr>
          <w:rFonts w:hint="eastAsia" w:ascii="仿宋" w:hAnsi="仿宋" w:eastAsia="仿宋" w:cs="仿宋"/>
          <w:color w:val="000000" w:themeColor="text1"/>
          <w:sz w:val="30"/>
          <w:szCs w:val="30"/>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2021年和田市林果业技术扶持项目</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的潜在投标人在符合该招标（采购）公告投标人资格要求条件的前提下，可于本公告发布之日起供应商登陆政采云平台https://www.zcygov.cn/在线下载获取采购文件，并于2021年8月31日点11：00分（北京时间）前递交投标文件。</w:t>
      </w:r>
    </w:p>
    <w:p>
      <w:pPr>
        <w:pStyle w:val="29"/>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default"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HTSZFCGZBDL-2021-089-3</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default" w:ascii="仿宋" w:hAnsi="仿宋" w:eastAsia="仿宋" w:cs="仿宋"/>
          <w:i w:val="0"/>
          <w:iCs w:val="0"/>
          <w:caps w:val="0"/>
          <w:color w:val="000000" w:themeColor="text1"/>
          <w:spacing w:val="0"/>
          <w:sz w:val="24"/>
          <w:szCs w:val="24"/>
          <w:lang w:val="en-US"/>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2021年和田市林果业技术扶持项目（三次）</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采购方式：</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竞争性磋商</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预算金额（元）：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60万元</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最高限价（元）：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60万元</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采购需求</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：聘请和田市林果业技术扶持项目专家团队，对全市16.7万亩（主要是9.7万亩核桃和4.25万红枣种植地以及2.75万亩其他果树种植地）林果业进行技术扶持。</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本项目（否）接受联合体投标。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14:textFill>
            <w14:solidFill>
              <w14:schemeClr w14:val="tx1"/>
            </w14:solidFill>
          </w14:textFill>
        </w:rPr>
        <w:t>二、</w:t>
      </w: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三、获取招标文件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8月18</w:t>
      </w:r>
      <w:r>
        <w:rPr>
          <w:rFonts w:hint="eastAsia" w:ascii="仿宋" w:hAnsi="仿宋" w:eastAsia="仿宋" w:cs="仿宋"/>
          <w:i w:val="0"/>
          <w:iCs w:val="0"/>
          <w:caps w:val="0"/>
          <w:color w:val="000000" w:themeColor="text1"/>
          <w:spacing w:val="0"/>
          <w:sz w:val="24"/>
          <w:szCs w:val="24"/>
          <w14:textFill>
            <w14:solidFill>
              <w14:schemeClr w14:val="tx1"/>
            </w14:solidFill>
          </w14:textFill>
        </w:rPr>
        <w:t>日至2021年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4"/>
          <w:szCs w:val="24"/>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30</w:t>
      </w:r>
      <w:r>
        <w:rPr>
          <w:rFonts w:hint="eastAsia" w:ascii="仿宋" w:hAnsi="仿宋" w:eastAsia="仿宋" w:cs="仿宋"/>
          <w:i w:val="0"/>
          <w:iCs w:val="0"/>
          <w:caps w:val="0"/>
          <w:color w:val="000000" w:themeColor="text1"/>
          <w:spacing w:val="0"/>
          <w:sz w:val="24"/>
          <w:szCs w:val="24"/>
          <w14:textFill>
            <w14:solidFill>
              <w14:schemeClr w14:val="tx1"/>
            </w14:solidFill>
          </w14:textFill>
        </w:rPr>
        <w:t>日（提供期限自本公告发布之日起不得少于5个工作日），每天上午10：00至14:00，下午16:00至19:30（北京时间，法定节假日除外）</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获取文件地点：新疆政府采购网（http://www.ccgp-xinjiang.gov.cn/）</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方式：在符合该招标（采购）公告投标人资格要求条件的前提下，供应商登</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录</w:t>
      </w:r>
      <w:r>
        <w:rPr>
          <w:rFonts w:hint="eastAsia" w:ascii="仿宋" w:hAnsi="仿宋" w:eastAsia="仿宋" w:cs="仿宋"/>
          <w:i w:val="0"/>
          <w:iCs w:val="0"/>
          <w:caps w:val="0"/>
          <w:color w:val="000000" w:themeColor="text1"/>
          <w:spacing w:val="0"/>
          <w:sz w:val="24"/>
          <w:szCs w:val="24"/>
          <w14:textFill>
            <w14:solidFill>
              <w14:schemeClr w14:val="tx1"/>
            </w14:solidFill>
          </w14:textFill>
        </w:rPr>
        <w:t>政采云平台https://www.zcygov.cn/在线申请获取采购文件（进入“项目采购”应用，在获取采购文件菜单中选择项目，申请获取采购文件）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文件售价（元）：0</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四、提交投标文件截止时间、开标时间和地点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提交投标文件截止时间：2021年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8月31日11：00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投标地点：和田地区行政服务和公共资源交易中心（和田市北京工业园区杭州大道78号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8月31日11：00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开标地点：和田地区行政服务和公共资源交易中心（和田市北京工业园区杭州大道78号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五、公告期限</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自本公告发布之日起5个工作日。</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六、其他补充事宜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七、对本次采购提出询问，请按以下方式联系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采购人名称：和田市林业和草原局</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联系人： 阿布都热合曼·阿布来提</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联系电话：13999657199</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2.采购代理机构信息</w:t>
      </w:r>
      <w:bookmarkStart w:id="43" w:name="_GoBack"/>
      <w:bookmarkEnd w:id="43"/>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名 称：新疆晓君招标有限公司</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地 址：</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新疆和田市阿恰勒西路马热甫3巷122号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联系方式：17799150765</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3.项目联系方式</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项目联系人：杨强</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电 话：17799150765</w:t>
      </w:r>
    </w:p>
    <w:p>
      <w:pPr>
        <w:spacing w:line="360" w:lineRule="auto"/>
        <w:jc w:val="both"/>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8"/>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须 知</w:t>
      </w:r>
    </w:p>
    <w:p>
      <w:pPr>
        <w:pStyle w:val="22"/>
        <w:spacing w:line="360" w:lineRule="auto"/>
        <w:jc w:val="center"/>
        <w:rPr>
          <w:rFonts w:hint="eastAsia" w:ascii="仿宋" w:hAnsi="仿宋" w:eastAsia="仿宋" w:cs="仿宋"/>
          <w:color w:val="000000" w:themeColor="text1"/>
          <w:highlight w:val="none"/>
          <w14:textFill>
            <w14:solidFill>
              <w14:schemeClr w14:val="tx1"/>
            </w14:solidFill>
          </w14:textFill>
        </w:rPr>
      </w:pPr>
    </w:p>
    <w:p>
      <w:pPr>
        <w:pStyle w:val="24"/>
        <w:spacing w:line="360" w:lineRule="auto"/>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42952414"/>
      <w:r>
        <w:rPr>
          <w:rFonts w:hint="eastAsia" w:ascii="仿宋" w:hAnsi="仿宋" w:eastAsia="仿宋" w:cs="仿宋"/>
          <w:bCs w:val="0"/>
          <w:color w:val="000000" w:themeColor="text1"/>
          <w:kern w:val="2"/>
          <w:sz w:val="32"/>
          <w:szCs w:val="32"/>
          <w:highlight w:val="none"/>
          <w14:textFill>
            <w14:solidFill>
              <w14:schemeClr w14:val="tx1"/>
            </w14:solidFill>
          </w14:textFill>
        </w:rPr>
        <w:t>一、说明</w:t>
      </w:r>
      <w:bookmarkEnd w:id="0"/>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“采购代理机构”指新疆晓君招标有限公司。</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（1）投标人需具备经年审合格的法人营业执照；</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法定代表人社保缴纳证明（2021年2月-7月）；委托代理人投标需携带法定代表人授权委托书（原件）及委托代理人身份证（原件）、授权委托人社保缴纳证明（（2021年2月-7月）；</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（3）提供 2019年度或 2020年度经审计的《财务审计报告书》原件；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（4）提供近段时间内（2021年2月-7月）的缴纳税收的完税证明或税务部门出具的纳税证明；如依法免税的，应提供相应文件证明原件；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（5）提供近段时间内（2021年2月-7月）的缴纳社保证明材料加盖公章。如依法不需要缴纳社会保障资金的，应提供相应文件证明；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（6）投标保证金电子回单。</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（7）同意磋商文件的声明。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color w:val="000000"/>
          <w:kern w:val="0"/>
          <w:sz w:val="24"/>
          <w:szCs w:val="24"/>
          <w:lang w:val="en-US" w:eastAsia="zh-CN" w:bidi="ar"/>
        </w:rPr>
        <w:t>注：若未按要求单独提供相关资料，投标文件将不予开启，做无效投标处理。</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32"/>
          <w:szCs w:val="32"/>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4"/>
        </w:numPr>
        <w:tabs>
          <w:tab w:val="left" w:pos="735"/>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4"/>
        </w:numPr>
        <w:tabs>
          <w:tab w:val="left" w:pos="735"/>
          <w:tab w:val="left" w:pos="900"/>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2"/>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2021年和田市林果业技术扶持项目(三次)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收件人名称：新疆晓君招标有限公司          </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：HTSZFCGZBDL-2021-089-3</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6"/>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14:textFill>
            <w14:solidFill>
              <w14:schemeClr w14:val="tx1"/>
            </w14:solidFill>
          </w14:textFill>
        </w:rPr>
        <w:t>保证金金额为人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壹万贰仟元</w:t>
      </w:r>
      <w:r>
        <w:rPr>
          <w:rFonts w:hint="eastAsia" w:ascii="仿宋" w:hAnsi="仿宋" w:eastAsia="仿宋" w:cs="仿宋"/>
          <w:b/>
          <w:color w:val="000000" w:themeColor="text1"/>
          <w:sz w:val="24"/>
          <w:szCs w:val="24"/>
          <w:highlight w:val="none"/>
          <w:lang w:eastAsia="zh-CN"/>
          <w14:textFill>
            <w14:solidFill>
              <w14:schemeClr w14:val="tx1"/>
            </w14:solidFill>
          </w14:textFill>
        </w:rPr>
        <w:t>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12000.00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tabs>
          <w:tab w:val="left" w:pos="72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投标保证金可以采用电汇、</w:t>
      </w:r>
      <w:r>
        <w:rPr>
          <w:rFonts w:hint="eastAsia" w:ascii="仿宋" w:hAnsi="仿宋" w:eastAsia="仿宋" w:cs="仿宋"/>
          <w:b/>
          <w:color w:val="000000" w:themeColor="text1"/>
          <w:sz w:val="24"/>
          <w:szCs w:val="24"/>
          <w:highlight w:val="none"/>
          <w:lang w:eastAsia="zh-CN"/>
          <w14:textFill>
            <w14:solidFill>
              <w14:schemeClr w14:val="tx1"/>
            </w14:solidFill>
          </w14:textFill>
        </w:rPr>
        <w:t>银行转账</w:t>
      </w:r>
      <w:r>
        <w:rPr>
          <w:rFonts w:hint="eastAsia" w:ascii="仿宋" w:hAnsi="仿宋" w:eastAsia="仿宋" w:cs="仿宋"/>
          <w:b/>
          <w:color w:val="000000" w:themeColor="text1"/>
          <w:sz w:val="24"/>
          <w:szCs w:val="24"/>
          <w:highlight w:val="none"/>
          <w14:textFill>
            <w14:solidFill>
              <w14:schemeClr w14:val="tx1"/>
            </w14:solidFill>
          </w14:textFill>
        </w:rPr>
        <w:t>形式提交：</w:t>
      </w:r>
    </w:p>
    <w:p>
      <w:pPr>
        <w:spacing w:line="360" w:lineRule="auto"/>
        <w:ind w:left="540" w:leftChars="257"/>
        <w:rPr>
          <w:rFonts w:hint="eastAsia" w:ascii="仿宋" w:hAnsi="仿宋" w:eastAsia="仿宋" w:cs="仿宋"/>
          <w:b/>
          <w:bCs/>
          <w:color w:val="000000" w:themeColor="text1"/>
          <w:sz w:val="24"/>
          <w:szCs w:val="24"/>
          <w:shd w:val="clear" w:color="auto" w:fill="FFFFFF"/>
          <w14:textFill>
            <w14:solidFill>
              <w14:schemeClr w14:val="tx1"/>
            </w14:solidFill>
          </w14:textFill>
        </w:rPr>
      </w:pPr>
      <w:r>
        <w:rPr>
          <w:rStyle w:val="77"/>
          <w:rFonts w:hint="eastAsia" w:ascii="仿宋" w:hAnsi="仿宋" w:eastAsia="仿宋" w:cs="仿宋"/>
          <w:b/>
          <w:color w:val="000000" w:themeColor="text1"/>
          <w:sz w:val="24"/>
          <w:szCs w:val="24"/>
          <w:highlight w:val="none"/>
          <w:lang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通过电汇、银行转账</w:t>
      </w:r>
      <w:r>
        <w:rPr>
          <w:rFonts w:hint="eastAsia" w:ascii="仿宋" w:hAnsi="仿宋" w:eastAsia="仿宋" w:cs="仿宋"/>
          <w:b/>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保函</w:t>
      </w:r>
      <w:r>
        <w:rPr>
          <w:rFonts w:hint="eastAsia" w:ascii="仿宋" w:hAnsi="仿宋" w:eastAsia="仿宋" w:cs="仿宋"/>
          <w:b/>
          <w:color w:val="000000" w:themeColor="text1"/>
          <w:sz w:val="24"/>
          <w:szCs w:val="24"/>
          <w:highlight w:val="none"/>
          <w14:textFill>
            <w14:solidFill>
              <w14:schemeClr w14:val="tx1"/>
            </w14:solidFill>
          </w14:textFill>
        </w:rPr>
        <w:t>形式递交保证金，由供应商对公账户转入如下账户（交款时供应商向银行提供项目编号，由银行开具收款单盖章交给客户留底，作为保证金收取依据）。</w:t>
      </w:r>
    </w:p>
    <w:p>
      <w:pPr>
        <w:spacing w:line="360" w:lineRule="auto"/>
        <w:ind w:firstLine="482" w:firstLineChars="200"/>
        <w:jc w:val="left"/>
        <w:rPr>
          <w:rFonts w:hint="eastAsia" w:ascii="仿宋" w:hAnsi="仿宋" w:eastAsia="仿宋" w:cs="仿宋"/>
          <w:b/>
          <w:bCs/>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14:textFill>
            <w14:solidFill>
              <w14:schemeClr w14:val="tx1"/>
            </w14:solidFill>
          </w14:textFill>
        </w:rPr>
        <w:t>投标保证金缴纳账户：</w:t>
      </w:r>
    </w:p>
    <w:p>
      <w:pPr>
        <w:spacing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开户名称：和田市公共资源交易中心</w:t>
      </w:r>
    </w:p>
    <w:p>
      <w:pPr>
        <w:spacing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开户银行：中国银行股份有限公司和田市乌鲁木齐北路支行</w:t>
      </w:r>
    </w:p>
    <w:p>
      <w:pPr>
        <w:spacing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账号：108281584917</w:t>
      </w:r>
    </w:p>
    <w:p>
      <w:pPr>
        <w:spacing w:line="360" w:lineRule="auto"/>
        <w:jc w:val="left"/>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[递交投标保证金请注明：采购编号</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HTSZFCGZBDL-2021-089-3</w:t>
      </w:r>
      <w:r>
        <w:rPr>
          <w:rFonts w:hint="eastAsia" w:ascii="仿宋" w:hAnsi="仿宋" w:eastAsia="仿宋" w:cs="仿宋"/>
          <w:b/>
          <w:bCs/>
          <w:color w:val="000000" w:themeColor="text1"/>
          <w:sz w:val="24"/>
          <w:szCs w:val="24"/>
          <w:highlight w:val="none"/>
          <w:u w:val="single"/>
          <w14:textFill>
            <w14:solidFill>
              <w14:schemeClr w14:val="tx1"/>
            </w14:solidFill>
          </w14:textFill>
        </w:rPr>
        <w:t>]</w:t>
      </w:r>
    </w:p>
    <w:p>
      <w:pPr>
        <w:numPr>
          <w:ilvl w:val="0"/>
          <w:numId w:val="7"/>
        </w:numPr>
        <w:spacing w:line="360" w:lineRule="auto"/>
        <w:ind w:left="973" w:leftChars="172" w:hanging="612" w:hangingChars="255"/>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sz w:val="24"/>
          <w:szCs w:val="24"/>
          <w:highlight w:val="none"/>
          <w14:textFill>
            <w14:solidFill>
              <w14:schemeClr w14:val="tx1"/>
            </w14:solidFill>
          </w14:textFill>
        </w:rPr>
        <w:t>保证金的提交要求：</w:t>
      </w:r>
      <w:r>
        <w:rPr>
          <w:rFonts w:hint="eastAsia" w:ascii="仿宋" w:hAnsi="仿宋" w:eastAsia="仿宋" w:cs="仿宋"/>
          <w:b/>
          <w:color w:val="000000" w:themeColor="text1"/>
          <w:sz w:val="24"/>
          <w:szCs w:val="24"/>
          <w:highlight w:val="none"/>
          <w14:textFill>
            <w14:solidFill>
              <w14:schemeClr w14:val="tx1"/>
            </w14:solidFill>
          </w14:textFill>
        </w:rPr>
        <w:t>由供应商对公账户直接存入</w:t>
      </w:r>
      <w:r>
        <w:rPr>
          <w:rFonts w:hint="eastAsia" w:ascii="仿宋" w:hAnsi="仿宋" w:eastAsia="仿宋" w:cs="仿宋"/>
          <w:b/>
          <w:iCs/>
          <w:color w:val="000000" w:themeColor="text1"/>
          <w:sz w:val="24"/>
          <w:szCs w:val="24"/>
          <w:highlight w:val="none"/>
          <w14:textFill>
            <w14:solidFill>
              <w14:schemeClr w14:val="tx1"/>
            </w14:solidFill>
          </w14:textFill>
        </w:rPr>
        <w:t>采购代理机构指定账户，开标现场不接受任何形式的投标保证金。递交响应文件时投标保证金须已到账，以代理机构查询结果为准。投标保证金</w:t>
      </w:r>
      <w:r>
        <w:rPr>
          <w:rFonts w:hint="eastAsia" w:ascii="仿宋" w:hAnsi="仿宋" w:eastAsia="仿宋" w:cs="仿宋"/>
          <w:b/>
          <w:iCs/>
          <w:color w:val="000000" w:themeColor="text1"/>
          <w:sz w:val="24"/>
          <w:szCs w:val="24"/>
          <w:highlight w:val="none"/>
          <w:lang w:eastAsia="zh-CN"/>
          <w14:textFill>
            <w14:solidFill>
              <w14:schemeClr w14:val="tx1"/>
            </w14:solidFill>
          </w14:textFill>
        </w:rPr>
        <w:t>缴纳</w:t>
      </w:r>
      <w:r>
        <w:rPr>
          <w:rFonts w:hint="eastAsia" w:ascii="仿宋" w:hAnsi="仿宋" w:eastAsia="仿宋" w:cs="仿宋"/>
          <w:b/>
          <w:iCs/>
          <w:color w:val="000000" w:themeColor="text1"/>
          <w:sz w:val="24"/>
          <w:szCs w:val="24"/>
          <w:highlight w:val="none"/>
          <w14:textFill>
            <w14:solidFill>
              <w14:schemeClr w14:val="tx1"/>
            </w14:solidFill>
          </w14:textFill>
        </w:rPr>
        <w:t>凭据须按磋商文件第五部分《响应文件要求》格式提供。为了提高采购效率，节约社会交易成本与时间，我司希望购买了采购文件而决定不参加本次报价的供应商，在响应文件递交截止时间的3日前，按《磋商邀请》中的联系方式，以书面形式告知采购代理机构。对您的支持与配合，谨此致谢！</w:t>
      </w:r>
    </w:p>
    <w:p>
      <w:pPr>
        <w:pStyle w:val="8"/>
        <w:numPr>
          <w:ilvl w:val="0"/>
          <w:numId w:val="7"/>
        </w:numPr>
        <w:spacing w:line="360" w:lineRule="auto"/>
        <w:rPr>
          <w:rFonts w:hint="eastAsia" w:ascii="仿宋" w:hAnsi="仿宋" w:eastAsia="仿宋" w:cs="仿宋"/>
          <w:b/>
          <w:i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Cs/>
          <w:color w:val="000000" w:themeColor="text1"/>
          <w:sz w:val="24"/>
          <w:szCs w:val="24"/>
          <w:highlight w:val="none"/>
          <w:lang w:val="en-US" w:eastAsia="zh-CN" w:bidi="ar-SA"/>
          <w14:textFill>
            <w14:solidFill>
              <w14:schemeClr w14:val="tx1"/>
            </w14:solidFill>
          </w14:textFill>
        </w:rPr>
        <w:t>退保证金需要</w:t>
      </w:r>
      <w:r>
        <w:rPr>
          <w:rFonts w:hint="eastAsia" w:ascii="仿宋" w:hAnsi="仿宋" w:eastAsia="仿宋" w:cs="仿宋"/>
          <w:b/>
          <w:iCs/>
          <w:color w:val="000000" w:themeColor="text1"/>
          <w:sz w:val="24"/>
          <w:szCs w:val="24"/>
          <w:highlight w:val="none"/>
          <w:lang w:val="en-US" w:eastAsia="zh-CN" w:bidi="ar-SA"/>
          <w14:textFill>
            <w14:solidFill>
              <w14:schemeClr w14:val="tx1"/>
            </w14:solidFill>
          </w14:textFill>
        </w:rPr>
        <w:t>：投标保证金回执单、法定代表人证明书（原件）及法定代表人身份证（原件），委托代理人投标需携带法定代表人授权委托书（原件）及委托代理人身份证（原件）、开户许可证、收据。</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政府采购促进中小企业发展暂行办法》（财库[2011]181号）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2"/>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采购代理机构：新疆晓君招标有限公司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新疆和田市阿恰勒西路马热甫3巷122号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话：0991-3198448</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联系人：杨先生</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授权代表签字(签章)：_________________</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本项目招标代理服务费的中标金额的百分之1.5。</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2021年和田市林果业技术扶持项目（编号HTSZFCGZBDL-2021-089-3)</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2"/>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56"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与公告中合格供应商资格条件要求一致</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0" w:type="dxa"/>
            <w:gridSpan w:val="6"/>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不能通过资格性审查的供应商，不需进行以下内容的审查。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60万元</w:t>
            </w:r>
            <w:r>
              <w:rPr>
                <w:rFonts w:hint="eastAsia" w:ascii="仿宋" w:hAnsi="仿宋" w:eastAsia="仿宋" w:cs="仿宋"/>
                <w:color w:val="000000" w:themeColor="text1"/>
                <w:sz w:val="24"/>
                <w:szCs w:val="24"/>
                <w:highlight w:val="none"/>
                <w14:textFill>
                  <w14:solidFill>
                    <w14:schemeClr w14:val="tx1"/>
                  </w14:solidFill>
                </w14:textFill>
              </w:rPr>
              <w:t>）</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2021年和田市林果业技术扶持项目（编号：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HTSZFCGZBDL-2021-089-3</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p>
      <w:pPr>
        <w:wordWrap w:val="0"/>
        <w:snapToGrid w:val="0"/>
        <w:spacing w:after="6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2"/>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lang w:eastAsia="zh-CN"/>
                <w14:textFill>
                  <w14:solidFill>
                    <w14:schemeClr w14:val="tx1"/>
                  </w14:solidFill>
                </w14:textFill>
              </w:rPr>
              <w:t>服务商务</w:t>
            </w:r>
            <w:r>
              <w:rPr>
                <w:rFonts w:hint="eastAsia" w:ascii="仿宋" w:hAnsi="仿宋" w:eastAsia="仿宋" w:cs="仿宋"/>
                <w:b/>
                <w:color w:val="000000" w:themeColor="text1"/>
                <w:sz w:val="21"/>
                <w:szCs w:val="21"/>
                <w:highlight w:val="none"/>
                <w14:textFill>
                  <w14:solidFill>
                    <w14:schemeClr w14:val="tx1"/>
                  </w14:solidFill>
                </w14:textFill>
              </w:rPr>
              <w:t>评分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得分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评价指标及权重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子项</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分值</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 xml:space="preserve">评分细则及分值范围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评分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w:t>
            </w:r>
            <w:r>
              <w:rPr>
                <w:rFonts w:hint="eastAsia" w:ascii="仿宋" w:hAnsi="仿宋" w:eastAsia="仿宋" w:cs="仿宋"/>
                <w:color w:val="000000" w:themeColor="text1"/>
                <w:sz w:val="21"/>
                <w:szCs w:val="21"/>
                <w:lang w:val="en-US" w:eastAsia="zh-CN" w:bidi="zh-CN"/>
                <w14:textFill>
                  <w14:solidFill>
                    <w14:schemeClr w14:val="tx1"/>
                  </w14:solidFill>
                </w14:textFill>
              </w:rPr>
              <w:t>65</w:t>
            </w:r>
            <w:r>
              <w:rPr>
                <w:rFonts w:hint="eastAsia" w:ascii="仿宋" w:hAnsi="仿宋" w:eastAsia="仿宋" w:cs="仿宋"/>
                <w:color w:val="000000" w:themeColor="text1"/>
                <w:sz w:val="21"/>
                <w:szCs w:val="21"/>
                <w:lang w:val="zh-CN" w:eastAsia="zh-CN"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对采购需求响应程度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对采购需求理解一般，对项目重点难点的理解分析基本到位，基本符合采购需求的，得3分；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其他或无响应，得0分。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项目技术服务方案</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15</w:t>
            </w:r>
          </w:p>
        </w:tc>
        <w:tc>
          <w:tcPr>
            <w:tcW w:w="9375" w:type="dxa"/>
            <w:vAlign w:val="center"/>
          </w:tcPr>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根据投标人对项目拟定的技术路线、工作内容对用户需求书的响应是否全面准确，工作深度是否符合国家、省、市的相关要求和采购人的需求等方面进行综合评审:</w:t>
            </w:r>
          </w:p>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总体清晰、明确，研究方法和技术路线合理可行，技术方案的基本内容、技术路线、方式方法和进度安排科学合理，并对重难点问题有预判，有针对性,得1</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分；</w:t>
            </w:r>
          </w:p>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总体较清晰、明确，研究方法和技术路线基本合理可行，技术方案的基本内容、技术路线、方式方法和进度安排比较详细，按采购需求进行了多项的分析描述，得</w:t>
            </w:r>
            <w:r>
              <w:rPr>
                <w:rFonts w:hint="eastAsia" w:ascii="仿宋" w:hAnsi="仿宋" w:eastAsia="仿宋" w:cs="仿宋"/>
                <w:color w:val="000000" w:themeColor="text1"/>
                <w:sz w:val="21"/>
                <w:szCs w:val="21"/>
                <w:lang w:val="en-US" w:eastAsia="zh-CN"/>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分；</w:t>
            </w:r>
          </w:p>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总体基本清晰，研究方法和技术路线一般，技术方案的基本内容、方式方法安排基本满足要求，得5分；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总体模糊、不够明确，研究方法和技术路线不合理，技术方案的基本内容、方式方法安排不合理得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w:t>
            </w:r>
          </w:p>
          <w:p>
            <w:pPr>
              <w:pStyle w:val="14"/>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为提供服务方案得0分。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对项目的了解和熟悉程度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对项目和理解和服务方案进行评审：</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对情况了解充分，完全满足项目要求，得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对情况了解比较充分，基本满足项目要求，得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对情况了解一般，基本满足项目要求，得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对情况不了解，不满足项目要求，得0分。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培训教材</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根据投标人对采购需求中要求的核桃及红枣</w:t>
            </w:r>
            <w:r>
              <w:rPr>
                <w:rFonts w:hint="eastAsia" w:ascii="仿宋" w:hAnsi="仿宋" w:eastAsia="仿宋" w:cs="仿宋"/>
                <w:color w:val="000000" w:themeColor="text1"/>
                <w:sz w:val="21"/>
                <w:szCs w:val="21"/>
                <w:lang w:val="en-US" w:eastAsia="zh-CN"/>
                <w14:textFill>
                  <w14:solidFill>
                    <w14:schemeClr w14:val="tx1"/>
                  </w14:solidFill>
                </w14:textFill>
              </w:rPr>
              <w:t>标准栽培管理、整形修剪、嫁接改优及病虫害防治等“口袋书”、“掌上书”、“明白册”教材</w:t>
            </w:r>
            <w:r>
              <w:rPr>
                <w:rFonts w:hint="eastAsia" w:ascii="仿宋" w:hAnsi="仿宋" w:eastAsia="仿宋" w:cs="仿宋"/>
                <w:color w:val="000000" w:themeColor="text1"/>
                <w:sz w:val="21"/>
                <w:szCs w:val="21"/>
                <w:rtl w:val="0"/>
                <w:lang w:val="en-US" w:eastAsia="zh-CN" w:bidi="zh-CN"/>
                <w14:textFill>
                  <w14:solidFill>
                    <w14:schemeClr w14:val="tx1"/>
                  </w14:solidFill>
                </w14:textFill>
              </w:rPr>
              <w:t>内容进行评审：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教材完整、详细、具体、合理可行，满足或优于采购需求的，得15分；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教材比较完整、详细、具体、合理可行，比较满足采购需求的，得10分；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教材基本完整、不够详细、具体、可行，基本满足采购需求的，得5分；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方案不完整、不可行，不满足采购需求的，得1分；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未提供教材的，得0分。 </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投标人对本项目的合理化建议</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针对本项目的特点、难点，提出具有科学合理、可行及具体措施的建议，进行评审</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建议针对性强、具有可操作性、合理性，得 5 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建议针对性较强，可操作性一般， 得 3 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建议针对性一般，欠缺可操作性， 得 1 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无或其他，得 0 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服务质量保障措施</w:t>
            </w:r>
          </w:p>
        </w:tc>
        <w:tc>
          <w:tcPr>
            <w:tcW w:w="71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5</w:t>
            </w:r>
          </w:p>
          <w:p>
            <w:pPr>
              <w:pStyle w:val="7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p>
        </w:tc>
        <w:tc>
          <w:tcPr>
            <w:tcW w:w="9375"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有严格合理的质量保证体系，对整个项目质量管理有具体的保障制度和措施，针对性强，能很好的保证项目质量，得5分；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提供有较合理质量保证措施，质量保证及质量承诺符合项目需求，得3分；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提供相对简单的质量保证措施，没有针对性，得1分；</w:t>
            </w:r>
          </w:p>
          <w:p>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商务评分（</w:t>
            </w:r>
            <w:r>
              <w:rPr>
                <w:rFonts w:hint="eastAsia" w:ascii="仿宋" w:hAnsi="仿宋" w:eastAsia="仿宋" w:cs="仿宋"/>
                <w:color w:val="000000" w:themeColor="text1"/>
                <w:sz w:val="21"/>
                <w:szCs w:val="21"/>
                <w:lang w:val="en-US" w:eastAsia="zh-CN" w:bidi="zh-CN"/>
                <w14:textFill>
                  <w14:solidFill>
                    <w14:schemeClr w14:val="tx1"/>
                  </w14:solidFill>
                </w14:textFill>
              </w:rPr>
              <w:t>25</w:t>
            </w:r>
            <w:r>
              <w:rPr>
                <w:rFonts w:hint="eastAsia" w:ascii="仿宋" w:hAnsi="仿宋" w:eastAsia="仿宋" w:cs="仿宋"/>
                <w:color w:val="000000" w:themeColor="text1"/>
                <w:sz w:val="21"/>
                <w:szCs w:val="21"/>
                <w:lang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4</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提供近2年实施的类似项目的采购合同，每提供一个项目材料得2分。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（提供证明材料原件现场备查，不提供不得分）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服务团队</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17</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一、</w:t>
            </w:r>
            <w:r>
              <w:rPr>
                <w:rFonts w:hint="eastAsia" w:ascii="仿宋" w:hAnsi="仿宋" w:eastAsia="仿宋" w:cs="仿宋"/>
                <w:color w:val="000000" w:themeColor="text1"/>
                <w:sz w:val="21"/>
                <w:szCs w:val="21"/>
                <w:lang w:bidi="zh-CN"/>
                <w14:textFill>
                  <w14:solidFill>
                    <w14:schemeClr w14:val="tx1"/>
                  </w14:solidFill>
                </w14:textFill>
              </w:rPr>
              <w:t>根据投标人对拟派服务人员</w:t>
            </w:r>
            <w:r>
              <w:rPr>
                <w:rFonts w:hint="eastAsia" w:ascii="仿宋" w:hAnsi="仿宋" w:eastAsia="仿宋" w:cs="仿宋"/>
                <w:color w:val="000000" w:themeColor="text1"/>
                <w:sz w:val="21"/>
                <w:szCs w:val="21"/>
                <w:lang w:val="en-US" w:bidi="zh-CN"/>
                <w14:textFill>
                  <w14:solidFill>
                    <w14:schemeClr w14:val="tx1"/>
                  </w14:solidFill>
                </w14:textFill>
              </w:rPr>
              <w:t>资质情况进行评分</w:t>
            </w:r>
            <w:r>
              <w:rPr>
                <w:rFonts w:hint="eastAsia" w:ascii="仿宋" w:hAnsi="仿宋" w:eastAsia="仿宋" w:cs="仿宋"/>
                <w:color w:val="000000" w:themeColor="text1"/>
                <w:sz w:val="21"/>
                <w:szCs w:val="21"/>
                <w:lang w:bidi="zh-CN"/>
                <w14:textFill>
                  <w14:solidFill>
                    <w14:schemeClr w14:val="tx1"/>
                  </w14:solidFill>
                </w14:textFill>
              </w:rPr>
              <w:t>，要求</w:t>
            </w:r>
            <w:r>
              <w:rPr>
                <w:rFonts w:hint="eastAsia" w:ascii="仿宋" w:hAnsi="仿宋" w:eastAsia="仿宋" w:cs="仿宋"/>
                <w:color w:val="000000" w:themeColor="text1"/>
                <w:sz w:val="21"/>
                <w:szCs w:val="21"/>
                <w:lang w:val="en-US" w:eastAsia="zh-CN" w:bidi="zh-CN"/>
                <w14:textFill>
                  <w14:solidFill>
                    <w14:schemeClr w14:val="tx1"/>
                  </w14:solidFill>
                </w14:textFill>
              </w:rPr>
              <w:t>服务团队实践经验丰富，技术支撑力量强，项目服务团队中每有1名林业高级职称及以上技术人员得3分，每有一名林业中级职称人员得1分，最高得12分。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（提供证书复印件，不提供不得分）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二、</w:t>
            </w:r>
            <w:r>
              <w:rPr>
                <w:rFonts w:hint="eastAsia" w:ascii="仿宋" w:hAnsi="仿宋" w:eastAsia="仿宋" w:cs="仿宋"/>
                <w:color w:val="000000" w:themeColor="text1"/>
                <w:sz w:val="21"/>
                <w:szCs w:val="21"/>
                <w:lang w:val="zh-CN" w:bidi="zh-CN"/>
                <w14:textFill>
                  <w14:solidFill>
                    <w14:schemeClr w14:val="tx1"/>
                  </w14:solidFill>
                </w14:textFill>
              </w:rPr>
              <w:t>根据投标人拟投入得技术力量进行评审</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zh-CN" w:bidi="zh-CN"/>
                <w14:textFill>
                  <w14:solidFill>
                    <w14:schemeClr w14:val="tx1"/>
                  </w14:solidFill>
                </w14:textFill>
              </w:rPr>
              <w:t>1、人员配置合理，技术力量充分，完全胜任本项目服务要求得</w:t>
            </w:r>
            <w:r>
              <w:rPr>
                <w:rFonts w:hint="eastAsia" w:ascii="仿宋" w:hAnsi="仿宋" w:eastAsia="仿宋" w:cs="仿宋"/>
                <w:color w:val="000000" w:themeColor="text1"/>
                <w:sz w:val="21"/>
                <w:szCs w:val="21"/>
                <w:lang w:val="en-US" w:bidi="zh-CN"/>
                <w14:textFill>
                  <w14:solidFill>
                    <w14:schemeClr w14:val="tx1"/>
                  </w14:solidFill>
                </w14:textFill>
              </w:rPr>
              <w:t>5</w:t>
            </w:r>
            <w:r>
              <w:rPr>
                <w:rFonts w:hint="eastAsia" w:ascii="仿宋" w:hAnsi="仿宋" w:eastAsia="仿宋" w:cs="仿宋"/>
                <w:color w:val="000000" w:themeColor="text1"/>
                <w:sz w:val="21"/>
                <w:szCs w:val="21"/>
                <w:lang w:val="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zh-CN" w:bidi="zh-CN"/>
                <w14:textFill>
                  <w14:solidFill>
                    <w14:schemeClr w14:val="tx1"/>
                  </w14:solidFill>
                </w14:textFill>
              </w:rPr>
              <w:t>2、人员配置合理，技术力量一般，基本满足本项目服务要求得</w:t>
            </w:r>
            <w:r>
              <w:rPr>
                <w:rFonts w:hint="eastAsia" w:ascii="仿宋" w:hAnsi="仿宋" w:eastAsia="仿宋" w:cs="仿宋"/>
                <w:color w:val="000000" w:themeColor="text1"/>
                <w:sz w:val="21"/>
                <w:szCs w:val="21"/>
                <w:lang w:val="en-US" w:bidi="zh-CN"/>
                <w14:textFill>
                  <w14:solidFill>
                    <w14:schemeClr w14:val="tx1"/>
                  </w14:solidFill>
                </w14:textFill>
              </w:rPr>
              <w:t>3</w:t>
            </w:r>
            <w:r>
              <w:rPr>
                <w:rFonts w:hint="eastAsia" w:ascii="仿宋" w:hAnsi="仿宋" w:eastAsia="仿宋" w:cs="仿宋"/>
                <w:color w:val="000000" w:themeColor="text1"/>
                <w:sz w:val="21"/>
                <w:szCs w:val="21"/>
                <w:lang w:val="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zh-CN" w:bidi="zh-CN"/>
                <w14:textFill>
                  <w14:solidFill>
                    <w14:schemeClr w14:val="tx1"/>
                  </w14:solidFill>
                </w14:textFill>
              </w:rPr>
              <w:t>3、人员配置一般，技术力量较弱，无法完全满足本项目服务要求得</w:t>
            </w:r>
            <w:r>
              <w:rPr>
                <w:rFonts w:hint="eastAsia" w:ascii="仿宋" w:hAnsi="仿宋" w:eastAsia="仿宋" w:cs="仿宋"/>
                <w:color w:val="000000" w:themeColor="text1"/>
                <w:sz w:val="21"/>
                <w:szCs w:val="21"/>
                <w:lang w:val="en-US" w:bidi="zh-CN"/>
                <w14:textFill>
                  <w14:solidFill>
                    <w14:schemeClr w14:val="tx1"/>
                  </w14:solidFill>
                </w14:textFill>
              </w:rPr>
              <w:t>1</w:t>
            </w:r>
            <w:r>
              <w:rPr>
                <w:rFonts w:hint="eastAsia" w:ascii="仿宋" w:hAnsi="仿宋" w:eastAsia="仿宋" w:cs="仿宋"/>
                <w:color w:val="000000" w:themeColor="text1"/>
                <w:sz w:val="21"/>
                <w:szCs w:val="21"/>
                <w:lang w:val="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以上两项评分人员配置须提供社保缴纳证明材料或劳动合同，否则不得分。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项目管理与安全保障措施</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4</w:t>
            </w:r>
          </w:p>
        </w:tc>
        <w:tc>
          <w:tcPr>
            <w:tcW w:w="9375" w:type="dxa"/>
            <w:vAlign w:val="center"/>
          </w:tcPr>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根据项目实际情况，投标人管理制度、监管安全措施及运作流程等方面进行横向对比：</w:t>
            </w:r>
          </w:p>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机构管理科学严谨，监管安全措施具体可行，运作流程流畅，得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机构管理较科学严谨，监管安全措施较具体，具有一定可行性，运作流程较流畅，得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机构管理的科学性、严谨性不高，监管安全措施不够具体，可行性不强，运作流程不够流畅，得2分；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机构管理的科学性、严谨性低，监管安全措施简单，可行性差，运作流程流畅度低，得1分</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293" w:type="dxa"/>
            <w:gridSpan w:val="4"/>
            <w:tcBorders>
              <w:left w:val="single" w:color="auto" w:sz="4" w:space="0"/>
            </w:tcBorders>
            <w:vAlign w:val="center"/>
          </w:tcPr>
          <w:p>
            <w:pPr>
              <w:pStyle w:val="78"/>
              <w:keepNext w:val="0"/>
              <w:keepLines w:val="0"/>
              <w:pageBreakBefore w:val="0"/>
              <w:kinsoku/>
              <w:wordWrap/>
              <w:overflowPunct/>
              <w:topLinePunct w:val="0"/>
              <w:autoSpaceDE/>
              <w:autoSpaceDN/>
              <w:bidi w:val="0"/>
              <w:adjustRightInd/>
              <w:snapToGrid/>
              <w:spacing w:line="240" w:lineRule="auto"/>
              <w:ind w:left="107" w:right="-29"/>
              <w:jc w:val="center"/>
              <w:rPr>
                <w:rFonts w:hint="eastAsia" w:ascii="仿宋" w:hAnsi="仿宋" w:eastAsia="仿宋" w:cs="仿宋"/>
                <w:color w:val="000000" w:themeColor="text1"/>
                <w:spacing w:val="-15"/>
                <w:sz w:val="21"/>
                <w:szCs w:val="21"/>
                <w:highlight w:val="none"/>
                <w:lang w:val="en-US"/>
                <w14:textFill>
                  <w14:solidFill>
                    <w14:schemeClr w14:val="tx1"/>
                  </w14:solidFill>
                </w14:textFill>
              </w:rPr>
            </w:pPr>
            <w:r>
              <w:rPr>
                <w:rFonts w:hint="eastAsia" w:ascii="仿宋" w:hAnsi="仿宋" w:eastAsia="仿宋" w:cs="仿宋"/>
                <w:color w:val="000000" w:themeColor="text1"/>
                <w:spacing w:val="-15"/>
                <w:sz w:val="21"/>
                <w:szCs w:val="21"/>
                <w:highlight w:val="none"/>
                <w:lang w:val="en-US"/>
                <w14:textFill>
                  <w14:solidFill>
                    <w14:schemeClr w14:val="tx1"/>
                  </w14:solidFill>
                </w14:textFill>
              </w:rPr>
              <w:t>合计</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0分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第三部分</w:t>
      </w:r>
    </w:p>
    <w:p>
      <w:pPr>
        <w:adjustRightInd w:val="0"/>
        <w:snapToGrid w:val="0"/>
        <w:ind w:left="851" w:hanging="851"/>
        <w:jc w:val="center"/>
        <w:rPr>
          <w:rFonts w:hint="eastAsia" w:ascii="仿宋" w:hAnsi="仿宋" w:eastAsia="仿宋" w:cs="仿宋"/>
          <w:b/>
          <w:color w:val="000000" w:themeColor="text1"/>
          <w:sz w:val="28"/>
          <w:szCs w:val="28"/>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5"/>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3" w:name="一、项目概况"/>
      <w:bookmarkEnd w:id="3"/>
      <w:bookmarkStart w:id="4" w:name="子包01：4个行政村财务代理服务"/>
      <w:bookmarkEnd w:id="4"/>
      <w:r>
        <w:rPr>
          <w:rFonts w:hint="eastAsia" w:ascii="仿宋" w:hAnsi="仿宋" w:eastAsia="仿宋" w:cs="仿宋"/>
          <w:color w:val="000000" w:themeColor="text1"/>
          <w:sz w:val="24"/>
          <w:szCs w:val="24"/>
          <w:highlight w:val="none"/>
          <w14:textFill>
            <w14:solidFill>
              <w14:schemeClr w14:val="tx1"/>
            </w14:solidFill>
          </w14:textFill>
        </w:rPr>
        <w:t>一、项目概况</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项目为 2021年和田市林果业技术扶持项目。</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2、和田市林果业技术扶持项目实施期间，一定要做到总体目标明确，特别是总体目标的三个核心技术问题一定扎实推进。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首先是抓基础抓根本，找出林果业永久性产量低、质量差的根本原因，从改良土壤的基础工作入手。通过理论培训和现场示范培训相结合的手段，让广大果农充分认识到果园业长期施用化肥及化学农药，已使土壤结构养分失调，物理性状变差，地块有害金属和有害病菌严重超标并使土地板结日益严重。因此，土壤改良是核心，是林果持续发展和绿色发展的首要条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4、其二是田间管理工作。打顶抹芽，整形修剪，树冠培养，对全市林管员及果农开展分期分批培训已是刻不容缓。</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其三是病虫害防治工作。由于近两年以来病虫害日趋严重，已极大地影响了林果的产量和质量，也直接影响到果农的收益。为普及林果病虫害防治知识，开展不同形式和不同人群的专业技术培训。全市林管员培训和果农的培训也是十万火急。</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其次，根据和田市的林果业种植实际情况，以林果业管理为重点的实用技术“口袋书”、“掌上书”、“明白册”等。要将“要致富，靠技术”和“要技术、靠培训”的理念传递到果农心中，对促进特色林果业增产增收、提质增效和提升经营管理水平乃至推动和田市林果业发展起到积极作用，也为巩固脱贫攻坚成果提供强有力的动力。</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leftChars="0" w:right="0" w:rightChars="0" w:firstLine="482" w:firstLineChars="200"/>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bookmarkStart w:id="5" w:name="_Toc29398"/>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二、项目服务要求</w:t>
      </w:r>
      <w:bookmarkEnd w:id="5"/>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6" w:name="_Toc6379"/>
      <w:r>
        <w:rPr>
          <w:rFonts w:hint="eastAsia" w:ascii="仿宋" w:hAnsi="仿宋" w:eastAsia="仿宋" w:cs="仿宋"/>
          <w:color w:val="000000" w:themeColor="text1"/>
          <w:sz w:val="24"/>
          <w:szCs w:val="24"/>
          <w:lang w:val="en-US" w:eastAsia="zh-CN"/>
          <w14:textFill>
            <w14:solidFill>
              <w14:schemeClr w14:val="tx1"/>
            </w14:solidFill>
          </w14:textFill>
        </w:rPr>
        <w:t>2.1优良林果和增收新品引进</w:t>
      </w:r>
      <w:bookmarkEnd w:id="6"/>
      <w:r>
        <w:rPr>
          <w:rFonts w:hint="eastAsia" w:ascii="仿宋" w:hAnsi="仿宋" w:eastAsia="仿宋" w:cs="仿宋"/>
          <w:color w:val="000000" w:themeColor="text1"/>
          <w:sz w:val="24"/>
          <w:szCs w:val="24"/>
          <w:lang w:val="en-US" w:eastAsia="zh-CN"/>
          <w14:textFill>
            <w14:solidFill>
              <w14:schemeClr w14:val="tx1"/>
            </w14:solidFill>
          </w14:textFill>
        </w:rPr>
        <w:t>技术支持与专业技术咨询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1、协助采购人引进和选育核桃新品2-3个品种，实施面积1500亩以上。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2、协助采购人引进和选育红枣新品1-2个品种，实施面积达1000亩以上。对于引进和推广新品枣农，并且由专家团队负责给收购商接洽，及协助果农签订收购合同。</w:t>
      </w:r>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7" w:name="_Toc28270"/>
      <w:r>
        <w:rPr>
          <w:rFonts w:hint="eastAsia" w:ascii="仿宋" w:hAnsi="仿宋" w:eastAsia="仿宋" w:cs="仿宋"/>
          <w:color w:val="000000" w:themeColor="text1"/>
          <w:sz w:val="24"/>
          <w:szCs w:val="24"/>
          <w:lang w:val="en-US" w:eastAsia="zh-CN"/>
          <w14:textFill>
            <w14:solidFill>
              <w14:schemeClr w14:val="tx1"/>
            </w14:solidFill>
          </w14:textFill>
        </w:rPr>
        <w:t>2.2核桃种植“三大核心”技术培训</w:t>
      </w:r>
      <w:bookmarkEnd w:id="7"/>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核桃产量和品质多年来长期在低位徘徊，再加上近两年病虫害的不断蔓延和防治不力，使果农收益每况愈下。其中最根本的问题是果农本身缺乏种植技术。对于种植中的“三大核心”技术，从没有接受过正规系统的学习和培训，因此，正规系统的“三大核心”技术学习和现场培训是贯穿全年工作的根本。</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通过正规系统的学习和培训，使果农掌握提高产量和品质的核心技术，从而才能达到长期提质增效的目的，“三大核心”技术培训全年累计达到3000人以上，具体受训人情况如下：</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1、土壤改良和农家肥微生物发酵培训，全市林管员和一线果农培训全年达1000人次以上；</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2、田间日常管理培训，全市林管员和一线果农培训，全年达1000人次以上；</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3.病虫害防治和消杀培训，全市林管员和一线果农培训，全年达1000人次以上。</w:t>
      </w:r>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8" w:name="_Toc1810"/>
      <w:r>
        <w:rPr>
          <w:rFonts w:hint="eastAsia" w:ascii="仿宋" w:hAnsi="仿宋" w:eastAsia="仿宋" w:cs="仿宋"/>
          <w:color w:val="000000" w:themeColor="text1"/>
          <w:sz w:val="24"/>
          <w:szCs w:val="24"/>
          <w:lang w:val="en-US" w:eastAsia="zh-CN"/>
          <w14:textFill>
            <w14:solidFill>
              <w14:schemeClr w14:val="tx1"/>
            </w14:solidFill>
          </w14:textFill>
        </w:rPr>
        <w:t>2.3科技示范基地建设</w:t>
      </w:r>
      <w:bookmarkEnd w:id="8"/>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结合和田市林果业发展需求，通过技术扶持与引进大中型林果产业企业相结合，优化林果业科技成果布局，依托林果企业或林果产业大户，采取“企业+基地+农户”的形式，扶持一批以实现标准化生产、集约化管理、产业化经营为目标的科技示范基地。</w:t>
      </w:r>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9" w:name="_Toc24658"/>
      <w:r>
        <w:rPr>
          <w:rFonts w:hint="eastAsia" w:ascii="仿宋" w:hAnsi="仿宋" w:eastAsia="仿宋" w:cs="仿宋"/>
          <w:color w:val="000000" w:themeColor="text1"/>
          <w:sz w:val="24"/>
          <w:szCs w:val="24"/>
          <w:lang w:val="en-US" w:eastAsia="zh-CN"/>
          <w14:textFill>
            <w14:solidFill>
              <w14:schemeClr w14:val="tx1"/>
            </w14:solidFill>
          </w14:textFill>
        </w:rPr>
        <w:t>2.4特色林果品牌培育</w:t>
      </w:r>
      <w:bookmarkEnd w:id="9"/>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按照南疆林果产品标准化、生产规范化、经营产业化的要求，大力发展无公害、绿色、有机林果产品生产。培育和推广1个新的和田市民族特色林果业区域品牌（原有的和田薄壳、和田大枣除外），加速和田市林果业的绿色、有机化进程，引领带动一二三产业融合发展。推动重点龙头企业、林下经济及绿色产业示范基地的建设，加大对龙头企业的支持。</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和田市的林果业种植实际情况，以林果业管理为重点，重点围绕核桃、红枣标准栽培管理、整形修剪、嫁接改优及病虫害防治等实用技术进行“菜单式”培训，以实用、管用为主。同时编制核桃、红枣田间管理、病虫害防治等实用技术“口袋书”、“掌上书”、“明白册”等。根据农户的需要添加其他水果树种实用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加强和田市基层科技资源整合，在林果产区建立面向市、乡（镇）两级的综合技术服务队伍，提高应对各种突发性灾害的应急处置能力。搭建“互联网+林果”科技服务平台，引导建立测土配方、控水控肥、有害生物防控、专家服务团工作群，为和田市林果生产经营者和果农提供快捷便利的科技服务。</w:t>
      </w: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241"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16"/>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总报价应包括各种人力成本、设备成本、物质成本、施肥、抚育、资料费、服务费、税费及合同实施过程中的所有费用。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1、签订合同前，中标人需缴纳履约保证金合同总价的 10% 到采购人指定账户，在合同期内未出现违约现象，未发生劳资纠纷，合同结束时无息退还。部分违约现象或劳资纠纷，从履约保证金中扣除相应金额   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2、交纳方式：以支票、汇票、本票、银行转账等非现金形式提交；采用支票、汇票、本票提交履约保证金的，有效期必须在供货期内保持有效；</w:t>
      </w:r>
    </w:p>
    <w:p>
      <w:pPr>
        <w:pStyle w:val="14"/>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pStyle w:val="81"/>
        <w:keepNext w:val="0"/>
        <w:pageBreakBefore w:val="0"/>
        <w:numPr>
          <w:ilvl w:val="0"/>
          <w:numId w:val="0"/>
        </w:numPr>
        <w:tabs>
          <w:tab w:val="left" w:pos="1194"/>
        </w:tabs>
        <w:kinsoku/>
        <w:wordWrap/>
        <w:overflowPunct/>
        <w:topLinePunct w:val="0"/>
        <w:autoSpaceDE/>
        <w:autoSpaceDN/>
        <w:bidi w:val="0"/>
        <w:spacing w:before="0" w:line="360" w:lineRule="auto"/>
        <w:ind w:left="0" w:leftChars="0" w:right="0" w:rightChars="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中标人负责其派出现场服务人员人身意外保险。（提供承诺函，格式自拟）</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★供应商须在响应文件中作出书面承诺，针对本项目在服务期内现场服务日不低于60天，否则采购人有权扣除相应的服务费。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0" w:name="五、违约责任"/>
      <w:bookmarkEnd w:id="10"/>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法务</w:t>
      </w:r>
      <w:r>
        <w:rPr>
          <w:rFonts w:hint="eastAsia" w:ascii="仿宋" w:hAnsi="仿宋" w:eastAsia="仿宋" w:cs="仿宋"/>
          <w:color w:val="000000" w:themeColor="text1"/>
          <w:sz w:val="24"/>
          <w:szCs w:val="24"/>
          <w:highlight w:val="none"/>
          <w14:textFill>
            <w14:solidFill>
              <w14:schemeClr w14:val="tx1"/>
            </w14:solidFill>
          </w14:textFill>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color w:val="000000" w:themeColor="text1"/>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第四部分</w:t>
      </w:r>
    </w:p>
    <w:p>
      <w:pPr>
        <w:rPr>
          <w:rFonts w:hint="eastAsia" w:ascii="仿宋" w:hAnsi="仿宋" w:eastAsia="仿宋" w:cs="仿宋"/>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firstLine="2409" w:firstLineChars="800"/>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2021年和田市林果业技术扶持项目</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ind w:firstLine="2805" w:firstLineChars="400"/>
        <w:jc w:val="both"/>
        <w:rPr>
          <w:rFonts w:hint="eastAsia" w:ascii="仿宋" w:hAnsi="仿宋" w:eastAsia="仿宋" w:cs="仿宋"/>
          <w:b/>
          <w:color w:val="000000" w:themeColor="text1"/>
          <w:spacing w:val="200"/>
          <w:sz w:val="30"/>
          <w:szCs w:val="30"/>
          <w:highlight w:val="none"/>
          <w14:textFill>
            <w14:solidFill>
              <w14:schemeClr w14:val="tx1"/>
            </w14:solidFill>
          </w14:textFill>
        </w:rPr>
      </w:pPr>
      <w:r>
        <w:rPr>
          <w:rFonts w:hint="eastAsia" w:ascii="仿宋" w:hAnsi="仿宋" w:eastAsia="仿宋" w:cs="仿宋"/>
          <w:b/>
          <w:color w:val="000000" w:themeColor="text1"/>
          <w:spacing w:val="200"/>
          <w:sz w:val="30"/>
          <w:szCs w:val="30"/>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r>
        <w:rPr>
          <w:rFonts w:hint="eastAsia" w:ascii="仿宋" w:hAnsi="仿宋" w:eastAsia="仿宋" w:cs="仿宋"/>
          <w:color w:val="000000" w:themeColor="text1"/>
          <w:sz w:val="24"/>
          <w:szCs w:val="24"/>
          <w14:textFill>
            <w14:solidFill>
              <w14:schemeClr w14:val="tx1"/>
            </w14:solidFill>
          </w14:textFill>
        </w:rPr>
        <w:br w:type="page"/>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注：本合同条款仅供参考之用，最终以甲乙双方共同拟定并协商一致的为准。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甲方（采购人）：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乙方（中标人）：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4"/>
          <w:rFonts w:hint="eastAsia" w:ascii="仿宋" w:hAnsi="仿宋" w:eastAsia="仿宋" w:cs="仿宋"/>
          <w:color w:val="000000" w:themeColor="text1"/>
          <w:sz w:val="24"/>
          <w:szCs w:val="24"/>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根据项目的采购结果，按照《中华人民共和国政府采购法》及其实施条例、《中华人民共和国合同法》的规定，经双方协商，本着平等互利和诚实信用的原则，一致同意签订本合同如下。</w:t>
      </w:r>
    </w:p>
    <w:p>
      <w:pPr>
        <w:pStyle w:val="22"/>
        <w:spacing w:line="360" w:lineRule="auto"/>
        <w:ind w:firstLine="240" w:firstLineChars="1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甲方委托乙方承担</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项目。全部项目共计经费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万元（人民币大写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元整）。</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二、项目依据与质量要求</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1、《中华人民共和国森林法》（2019年修订版）；</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2、《森林病虫害防治条例》（1989年11月17日国务院第50次常务会议通过 1989年12月18日中华人民共和国国务院令第46号公布 自公布之日起施行）；</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3、《国家林业局关于印发〈新疆南疆林果业发展科技支撑行动方案〉的通知》（林科发〔2017〕60号）；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4、《森林资源规划设计调查主要技术规定》（国家林业局2003年）；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5、《中共中央、国务院关于加快林业发展的决定》（中发〔2003〕9号）；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6、《国家林业局推进生态文明建设规划纲要》（林规发〔2013〕146号）；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7、《林业建设工程概算编制办法》；</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8、《国家林业局关于印发〈林业建设项目可行性研究报告编制规定〉（试行）和〈林业建设项目初步设计编制规定〉（试行）的通知》（国家林业局文件林计发[2006]156 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9、《核桃有害生物防治技术规程》（DB65/T3174-2010）；</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10、《有机红枣有害生物防治技术规程》</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11、《新疆特色林果主要有害生物防治手册》（新疆林业有害生物防治检疫总站编，中国农业出版社出版，北京，2009年12月）；</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12、《新疆维吾尔自治区林业改革发展资金管理实施细则》（新财建〔2019〕90号）；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《关于印发〈北京市扶贫协作和支援合作 项目管理办法（试行）〉的通知》（</w:t>
      </w:r>
      <w:r>
        <w:rPr>
          <w:rFonts w:hint="eastAsia" w:ascii="仿宋" w:hAnsi="仿宋" w:eastAsia="仿宋" w:cs="仿宋"/>
          <w:color w:val="000000" w:themeColor="text1"/>
          <w:sz w:val="24"/>
          <w:szCs w:val="24"/>
          <w:lang w:val="en-US" w:eastAsia="zh-CN"/>
          <w14:textFill>
            <w14:solidFill>
              <w14:schemeClr w14:val="tx1"/>
            </w14:solidFill>
          </w14:textFill>
        </w:rPr>
        <w:t>京援合办发</w:t>
      </w:r>
      <w:r>
        <w:rPr>
          <w:rFonts w:hint="eastAsia" w:ascii="仿宋" w:hAnsi="仿宋" w:eastAsia="仿宋" w:cs="仿宋"/>
          <w:color w:val="000000" w:themeColor="text1"/>
          <w:sz w:val="24"/>
          <w:szCs w:val="24"/>
          <w14:textFill>
            <w14:solidFill>
              <w14:schemeClr w14:val="tx1"/>
            </w14:solidFill>
          </w14:textFill>
        </w:rPr>
        <w:t>〔201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号</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14、《和田市林地保护利用规划成果数据》（2017年）；</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15、《和田市森林资源规划设计补充调查成果数据》（2017年）；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三）电子文档</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通过自治区验收后，乙方须向甲方提供以上文字成果的纸质文件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套、图件成果的纸质文件   套。同时提交刻录有以上文字和图件完整工作成果的电子光盘   套，须包括所有成果的电子数据。</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（四）成果提交时间：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和田市林业和草原局中标成果按照甲方需求完成。</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如因甲方组织审核等方面的原因造成不能按时提交以上成果，则因此受到影响的其它各阶段成果提交时间均相应顺延。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四、甲方的主要责任和权利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（一）负责项目的组织和协调，制定项目实施方案，审查项目技术方案，审核项目进程和工作质量，督促乙方按有关规定和计划完成项目并提交符合验收标准的成果。</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（二）负责组织对项目的成果审核、初验和上报验收。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（三）负责协助乙方收集有关文件资料，及时提供应该由甲方提供的工作资料和有关数据（含电子资料）。</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对在项目实施过程中出现的不符合有关规程、规定和项目实施方案、技术方案要求的情形，甲方有权予以纠正和制止；情节严重的，甲方有权终止合同、取消乙方项目承担资格，并要求乙方赔偿损失和支付违约金。</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（五）申请和组织成果验收。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（六）拥有对最终成果的所有权及他项权利。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（七）在合同执行过程中，如甲方发现乙方不具备承担该项目的能力，或乙方将承担的项目转包给第三方承担，甲方有权解除本合同。</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（八）在合同履行过程中，如遇国家政策的调整等原因导致项目终止，甲方有权解除本合同，但须按照工作进度支付合同费用。</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五、乙方的主要责任和权利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（一）制定和报批项目技术方案，并按照项目实施方案和技术方案开展具体的技术实施工作，接受甲方的人员安排、工作进度和质量监督。</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（二）严格按照本合同第二条项目依据与质量要求，保质保量按期完成项目，提交符合要求的最终成果。</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（三）乙方提交的成果，经验收不符合相关标准要求的，应当负责补充、完善或返工修改，并承担由此引起的一切后果及费用。</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（四）未经甲方同意，乙方不得以任何理由和任何形式向其它单位和个人提供项目成果，包括调查资料、中间成果和最终成果。</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（五）乙方在保证项目经费的合理使用和项目顺利进行的前提下，有按合同规定实施项目计划、安排所承担项目经费的使用的权利。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六、费用支付方式</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2021年和田市林果业技术扶持项目计经费     万元（人民币大写      元整）。在签订本合同时，由甲方支付总价款的     ％即   万元（人民币大写    万元整）作为项目启动费用；通过自治区审查后支付余款     万元（人民币大写     万元整）。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七、违约责任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双方如有违约，可按本合同相应价款的    ％进行违约金处罚。</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八、合同争议和解决办法</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甲、乙双方应本着积极、合作、协商的态度，严格履行本合同。因不可预见的因素或本合同未尽事宜发生争议，由双方协商解决，协商不成的，由上级主管部门协调解决。</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九、合同附件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本合同未尽事宜，可由双方约定后作为合同附件，与本合同具有同等法律效力。</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十、其它</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（一）本合同自双方签字（盖章）之日起生效。</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（二）本合同原件一式肆份，甲乙双方各执贰份，具有同等法律效力。</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注： 此为合同草案，可根据磋商情况进行变更！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22"/>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cols w:space="425" w:num="1"/>
          <w:docGrid w:type="lines" w:linePitch="312" w:charSpace="0"/>
        </w:sect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第五部分</w:t>
      </w:r>
    </w:p>
    <w:p>
      <w:pPr>
        <w:pStyle w:val="18"/>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 应 文 件 格 式</w:t>
      </w:r>
    </w:p>
    <w:p>
      <w:pPr>
        <w:pStyle w:val="18"/>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（响应文件须编页码，且页码必须连续）</w:t>
      </w:r>
    </w:p>
    <w:p>
      <w:pPr>
        <w:pStyle w:val="18"/>
        <w:spacing w:line="480" w:lineRule="exact"/>
        <w:jc w:val="center"/>
        <w:outlineLvl w:val="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br w:type="page"/>
      </w:r>
      <w:bookmarkStart w:id="11" w:name="_Toc202254104"/>
      <w:bookmarkStart w:id="12" w:name="_Toc202252033"/>
      <w:bookmarkStart w:id="13" w:name="_Toc202251074"/>
      <w:bookmarkStart w:id="14" w:name="_Toc202251699"/>
      <w:bookmarkStart w:id="15" w:name="_Toc202816995"/>
      <w:bookmarkStart w:id="16" w:name="_Toc202819877"/>
      <w:bookmarkStart w:id="17" w:name="_Toc202820350"/>
      <w:r>
        <w:rPr>
          <w:rFonts w:hint="eastAsia" w:ascii="仿宋" w:hAnsi="仿宋" w:eastAsia="仿宋" w:cs="仿宋"/>
          <w:b/>
          <w:color w:val="000000" w:themeColor="text1"/>
          <w:sz w:val="21"/>
          <w:szCs w:val="21"/>
          <w:highlight w:val="none"/>
          <w14:textFill>
            <w14:solidFill>
              <w14:schemeClr w14:val="tx1"/>
            </w14:solidFill>
          </w14:textFill>
        </w:rPr>
        <w:t>自查表</w:t>
      </w:r>
      <w:bookmarkEnd w:id="11"/>
      <w:bookmarkEnd w:id="12"/>
      <w:bookmarkEnd w:id="13"/>
      <w:bookmarkEnd w:id="14"/>
      <w:bookmarkEnd w:id="15"/>
      <w:bookmarkEnd w:id="16"/>
      <w:bookmarkEnd w:id="17"/>
    </w:p>
    <w:tbl>
      <w:tblPr>
        <w:tblStyle w:val="32"/>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71"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2）提供 2019年度或 2020年度经审计的《财务审计报告书》复印件；</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3）提供近段时间内（2021年2月-7月）的缴纳税收的完税证明或税务部门出具的纳税证明；如依法免税的，应提供相应文件证明；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4）提供近段时间内（2021年2月-7月）的缴纳社保证明材料加盖公章。如依法不需要缴纳社会保障资金的，应提供相应文件证明；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7）为采购项目提供整体设计、规范编制或者项目管理、监理、检测等服务的供应商，不得再参加该采购项目同一合同项下的其他采购活动。（提供《投标人资格声明函》）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8）单位负责人为同一人或者存在直接控股、管理关系的不同供应商，不得参加同一合同项下的政府采购活动。（提供《投标人资格声明函》）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9）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投标报价没有超出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供应商法定代表人（或法定代表人授权代表）签字：                   </w:t>
      </w: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供应商名称（签章）：                        </w:t>
      </w:r>
    </w:p>
    <w:p>
      <w:pPr>
        <w:tabs>
          <w:tab w:val="left" w:pos="800"/>
          <w:tab w:val="left" w:pos="1000"/>
        </w:tabs>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日期：   年   月   日</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14"/>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14"/>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14"/>
        <w:rPr>
          <w:rFonts w:hint="eastAsia"/>
          <w:lang w:val="en-US" w:eastAsia="zh-CN"/>
        </w:rPr>
      </w:pPr>
    </w:p>
    <w:p>
      <w:pPr>
        <w:pStyle w:val="14"/>
        <w:rPr>
          <w:rFonts w:hint="eastAsia"/>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tbl>
      <w:tblPr>
        <w:tblStyle w:val="32"/>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7" w:hRule="atLeast"/>
        </w:trPr>
        <w:tc>
          <w:tcPr>
            <w:tcW w:w="1548" w:type="dxa"/>
            <w:vAlign w:val="center"/>
          </w:tcPr>
          <w:p>
            <w:pPr>
              <w:pStyle w:val="70"/>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一、项 目 报 价 表</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8" w:name="_Hlt10519799"/>
      <w:bookmarkEnd w:id="18"/>
      <w:bookmarkStart w:id="19"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20" w:name="_Hlt10519308"/>
      <w:bookmarkEnd w:id="20"/>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9"/>
      <w:bookmarkStart w:id="21" w:name="_Hlt10456397"/>
      <w:bookmarkEnd w:id="21"/>
    </w:p>
    <w:p>
      <w:pPr>
        <w:pStyle w:val="18"/>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2"/>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widowControl/>
              <w:suppressLineNumbers w:val="0"/>
              <w:spacing w:before="75" w:beforeAutospacing="0" w:after="75" w:afterAutospacing="0" w:line="300" w:lineRule="atLeast"/>
              <w:ind w:right="0"/>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2021年和田市林果业技术扶持项目</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一年</w:t>
            </w:r>
          </w:p>
        </w:tc>
      </w:tr>
      <w:tr>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14"/>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8"/>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2" w:name="_Toc42951052"/>
      <w:bookmarkStart w:id="23"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22"/>
    </w:p>
    <w:bookmarkEnd w:id="23"/>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8"/>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（三）本报价文件的有效期为磋商日起的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20"/>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我方如果成交，将保证履行磋商文件以及磋商文件修改文件（如果有的话）中的全部责任和义务，按质、按量、按期完成《用户</w:t>
      </w:r>
      <w:r>
        <w:rPr>
          <w:rFonts w:hint="eastAsia" w:ascii="仿宋" w:hAnsi="仿宋" w:eastAsia="仿宋" w:cs="仿宋"/>
          <w:color w:val="000000" w:themeColor="text1"/>
          <w:sz w:val="24"/>
          <w:szCs w:val="24"/>
          <w:highlight w:val="none"/>
          <w:lang w:val="en-US" w:eastAsia="zh-CN"/>
          <w14:textFill>
            <w14:solidFill>
              <w14:schemeClr w14:val="tx1"/>
            </w14:solidFill>
          </w14:textFill>
        </w:rPr>
        <w:t>fei</w:t>
      </w:r>
      <w:r>
        <w:rPr>
          <w:rFonts w:hint="eastAsia" w:ascii="仿宋" w:hAnsi="仿宋" w:eastAsia="仿宋" w:cs="仿宋"/>
          <w:color w:val="000000" w:themeColor="text1"/>
          <w:sz w:val="24"/>
          <w:szCs w:val="24"/>
          <w:highlight w:val="none"/>
          <w14:textFill>
            <w14:solidFill>
              <w14:schemeClr w14:val="tx1"/>
            </w14:solidFill>
          </w14:textFill>
        </w:rPr>
        <w:t>书》及《合同书》中的全部任务。</w:t>
      </w:r>
    </w:p>
    <w:p>
      <w:pPr>
        <w:pStyle w:val="15"/>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color w:val="000000" w:themeColor="text1"/>
          <w:sz w:val="24"/>
          <w:szCs w:val="24"/>
          <w:highlight w:val="none"/>
          <w:lang w:eastAsia="zh-CN"/>
          <w14:textFill>
            <w14:solidFill>
              <w14:schemeClr w14:val="tx1"/>
            </w14:solidFill>
          </w14:textFill>
        </w:rPr>
        <w:t>HTSZFCGZBDL-2021-089-3</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二、</w:t>
      </w:r>
      <w:r>
        <w:rPr>
          <w:rFonts w:hint="eastAsia" w:ascii="仿宋" w:hAnsi="仿宋" w:eastAsia="仿宋" w:cs="仿宋"/>
          <w:b/>
          <w:color w:val="000000" w:themeColor="text1"/>
          <w:sz w:val="48"/>
          <w:szCs w:val="48"/>
          <w:highlight w:val="none"/>
          <w:lang w:eastAsia="zh-CN"/>
          <w14:textFill>
            <w14:solidFill>
              <w14:schemeClr w14:val="tx1"/>
            </w14:solidFill>
          </w14:textFill>
        </w:rPr>
        <w:t>服</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务</w:t>
      </w:r>
      <w:r>
        <w:rPr>
          <w:rFonts w:hint="eastAsia" w:ascii="仿宋" w:hAnsi="仿宋" w:eastAsia="仿宋" w:cs="仿宋"/>
          <w:b/>
          <w:color w:val="000000" w:themeColor="text1"/>
          <w:sz w:val="48"/>
          <w:szCs w:val="48"/>
          <w:highlight w:val="none"/>
          <w14:textFill>
            <w14:solidFill>
              <w14:schemeClr w14:val="tx1"/>
            </w14:solidFill>
          </w14:textFill>
        </w:rPr>
        <w:t xml:space="preserve"> 商 务 响 应</w: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4" w:name="_Hlt10519541"/>
      <w:bookmarkEnd w:id="24"/>
      <w:bookmarkStart w:id="25"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25"/>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8"/>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4"/>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start="4"/>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5168;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4144;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8"/>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2096;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5408"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1072;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6"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8"/>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致:新疆晓君招标有限公司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1）法人或者其他组织的营业执照（或三证合一证明）证明文件。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2019年、2020年的财务报告</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报价人</w:t>
      </w:r>
      <w:r>
        <w:rPr>
          <w:rFonts w:hint="eastAsia" w:ascii="仿宋" w:hAnsi="仿宋" w:eastAsia="仿宋" w:cs="仿宋"/>
          <w:color w:val="000000" w:themeColor="text1"/>
          <w:sz w:val="24"/>
          <w:szCs w:val="24"/>
          <w14:textFill>
            <w14:solidFill>
              <w14:schemeClr w14:val="tx1"/>
            </w14:solidFill>
          </w14:textFill>
        </w:rPr>
        <w:t>为新注册的，提供其中</w:t>
      </w:r>
      <w:r>
        <w:rPr>
          <w:rFonts w:hint="eastAsia" w:ascii="仿宋" w:hAnsi="仿宋" w:eastAsia="仿宋" w:cs="仿宋"/>
          <w:color w:val="000000" w:themeColor="text1"/>
          <w:sz w:val="24"/>
          <w:szCs w:val="24"/>
          <w:lang w:val="en-US" w:eastAsia="zh-CN"/>
          <w14:textFill>
            <w14:solidFill>
              <w14:schemeClr w14:val="tx1"/>
            </w14:solidFill>
          </w14:textFill>
        </w:rPr>
        <w:t>三个月</w:t>
      </w:r>
      <w:r>
        <w:rPr>
          <w:rFonts w:hint="eastAsia" w:ascii="仿宋" w:hAnsi="仿宋" w:eastAsia="仿宋" w:cs="仿宋"/>
          <w:color w:val="000000" w:themeColor="text1"/>
          <w:sz w:val="24"/>
          <w:szCs w:val="24"/>
          <w14:textFill>
            <w14:solidFill>
              <w14:schemeClr w14:val="tx1"/>
            </w14:solidFill>
          </w14:textFill>
        </w:rPr>
        <w:t>的财务状况报</w:t>
      </w:r>
      <w:r>
        <w:rPr>
          <w:rFonts w:hint="eastAsia" w:ascii="仿宋" w:hAnsi="仿宋" w:eastAsia="仿宋" w:cs="仿宋"/>
          <w:color w:val="000000" w:themeColor="text1"/>
          <w:sz w:val="24"/>
          <w:szCs w:val="24"/>
          <w:lang w:val="en-US" w:eastAsia="zh-CN"/>
          <w14:textFill>
            <w14:solidFill>
              <w14:schemeClr w14:val="tx1"/>
            </w14:solidFill>
          </w14:textFill>
        </w:rPr>
        <w:t>表</w:t>
      </w:r>
      <w:r>
        <w:rPr>
          <w:rFonts w:hint="eastAsia" w:ascii="仿宋" w:hAnsi="仿宋" w:eastAsia="仿宋" w:cs="仿宋"/>
          <w:color w:val="000000" w:themeColor="text1"/>
          <w:sz w:val="24"/>
          <w:szCs w:val="24"/>
          <w14:textFill>
            <w14:solidFill>
              <w14:schemeClr w14:val="tx1"/>
            </w14:solidFill>
          </w14:textFill>
        </w:rPr>
        <w:t>复印件。</w:t>
      </w:r>
      <w:r>
        <w:rPr>
          <w:rFonts w:hint="eastAsia" w:ascii="仿宋" w:hAnsi="仿宋" w:eastAsia="仿宋" w:cs="仿宋"/>
          <w:color w:val="000000" w:themeColor="text1"/>
          <w:sz w:val="24"/>
          <w:szCs w:val="24"/>
          <w:lang w:eastAsia="zh-CN"/>
          <w14:textFill>
            <w14:solidFill>
              <w14:schemeClr w14:val="tx1"/>
            </w14:solidFill>
          </w14:textFill>
        </w:rPr>
        <w:t>（提供资产负债表、利润表、现金流量表）</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3）20</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2021年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月（至少提供其中</w:t>
      </w:r>
      <w:r>
        <w:rPr>
          <w:rFonts w:hint="eastAsia" w:ascii="仿宋" w:hAnsi="仿宋" w:eastAsia="仿宋" w:cs="仿宋"/>
          <w:color w:val="000000" w:themeColor="text1"/>
          <w:sz w:val="24"/>
          <w:szCs w:val="24"/>
          <w:lang w:val="en-US" w:eastAsia="zh-CN"/>
          <w14:textFill>
            <w14:solidFill>
              <w14:schemeClr w14:val="tx1"/>
            </w14:solidFill>
          </w14:textFill>
        </w:rPr>
        <w:t>6个</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highlight w:val="none"/>
          <w14:textFill>
            <w14:solidFill>
              <w14:schemeClr w14:val="tx1"/>
            </w14:solidFill>
          </w14:textFill>
        </w:rPr>
        <w:t>缴纳税收</w:t>
      </w:r>
      <w:r>
        <w:rPr>
          <w:rFonts w:hint="eastAsia" w:ascii="仿宋" w:hAnsi="仿宋" w:eastAsia="仿宋" w:cs="仿宋"/>
          <w:color w:val="000000" w:themeColor="text1"/>
          <w:sz w:val="24"/>
          <w:szCs w:val="24"/>
          <w14:textFill>
            <w14:solidFill>
              <w14:schemeClr w14:val="tx1"/>
            </w14:solidFill>
          </w14:textFill>
        </w:rPr>
        <w:t>和社保的凭证。如依法免税或不需要缴纳社会保障资金的，应提供相应文件证明。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4）提供为本项目服务的设备清单以及技术人员的名单材料。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5）提供参加政府采购活动前3年内在经营活动中没有重大违法记录的书面声明。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spacing w:line="480" w:lineRule="exact"/>
        <w:jc w:val="center"/>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b/>
          <w:color w:val="000000" w:themeColor="text1"/>
          <w:spacing w:val="6"/>
          <w:sz w:val="24"/>
          <w:szCs w:val="24"/>
          <w14:textFill>
            <w14:solidFill>
              <w14:schemeClr w14:val="tx1"/>
            </w14:solidFill>
          </w14:textFill>
        </w:rPr>
        <w:t>中小企业声明函</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1.根据《工业和信息化部、国家统计局、国家发展和改革委员会、财政部关于印发中小企业划型标准规定的通知》（</w:t>
      </w:r>
      <w:r>
        <w:rPr>
          <w:rFonts w:hint="eastAsia" w:ascii="仿宋" w:hAnsi="仿宋" w:eastAsia="仿宋" w:cs="仿宋"/>
          <w:color w:val="000000" w:themeColor="text1"/>
          <w:spacing w:val="6"/>
          <w:sz w:val="24"/>
          <w:szCs w:val="24"/>
          <w:highlight w:val="none"/>
          <w14:textFill>
            <w14:solidFill>
              <w14:schemeClr w14:val="tx1"/>
            </w14:solidFill>
          </w14:textFill>
        </w:rPr>
        <w:t>工信部</w:t>
      </w:r>
      <w:r>
        <w:rPr>
          <w:rFonts w:hint="eastAsia" w:ascii="仿宋" w:hAnsi="仿宋" w:eastAsia="仿宋" w:cs="仿宋"/>
          <w:color w:val="000000" w:themeColor="text1"/>
          <w:spacing w:val="6"/>
          <w:sz w:val="24"/>
          <w:szCs w:val="24"/>
          <w14:textFill>
            <w14:solidFill>
              <w14:schemeClr w14:val="tx1"/>
            </w14:solidFill>
          </w14:textFill>
        </w:rPr>
        <w:t>联企业[2011]300号）规定的划分标准，本公司为______（请填写：中型、小型、微型）企业。</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2.本公司参加______单位的______项目采购活动</w:t>
      </w:r>
      <w:r>
        <w:rPr>
          <w:rFonts w:hint="eastAsia" w:ascii="仿宋" w:hAnsi="仿宋" w:eastAsia="仿宋" w:cs="仿宋"/>
          <w:color w:val="000000" w:themeColor="text1"/>
          <w:spacing w:val="6"/>
          <w:sz w:val="24"/>
          <w:szCs w:val="24"/>
          <w:u w:val="single"/>
          <w14:textFill>
            <w14:solidFill>
              <w14:schemeClr w14:val="tx1"/>
            </w14:solidFill>
          </w14:textFill>
        </w:rPr>
        <w:t>提供本企业制造的货物，由本企业承担工程、提供服务</w:t>
      </w:r>
      <w:r>
        <w:rPr>
          <w:rFonts w:hint="eastAsia" w:ascii="仿宋" w:hAnsi="仿宋" w:eastAsia="仿宋" w:cs="仿宋"/>
          <w:color w:val="000000" w:themeColor="text1"/>
          <w:spacing w:val="6"/>
          <w:sz w:val="24"/>
          <w:szCs w:val="24"/>
          <w14:textFill>
            <w14:solidFill>
              <w14:schemeClr w14:val="tx1"/>
            </w14:solidFill>
          </w14:textFill>
        </w:rPr>
        <w:t>，</w:t>
      </w:r>
      <w:r>
        <w:rPr>
          <w:rFonts w:hint="eastAsia" w:ascii="仿宋" w:hAnsi="仿宋" w:eastAsia="仿宋" w:cs="仿宋"/>
          <w:color w:val="000000" w:themeColor="text1"/>
          <w:spacing w:val="6"/>
          <w:sz w:val="24"/>
          <w:szCs w:val="24"/>
          <w:u w:val="single"/>
          <w14:textFill>
            <w14:solidFill>
              <w14:schemeClr w14:val="tx1"/>
            </w14:solidFill>
          </w14:textFill>
        </w:rPr>
        <w:t>或者提供其他______（请填写：中型、小型、微型）企业制造的货物</w:t>
      </w:r>
      <w:r>
        <w:rPr>
          <w:rFonts w:hint="eastAsia" w:ascii="仿宋" w:hAnsi="仿宋" w:eastAsia="仿宋" w:cs="仿宋"/>
          <w:color w:val="000000" w:themeColor="text1"/>
          <w:spacing w:val="6"/>
          <w:sz w:val="24"/>
          <w:szCs w:val="24"/>
          <w14:textFill>
            <w14:solidFill>
              <w14:schemeClr w14:val="tx1"/>
            </w14:solidFill>
          </w14:textFill>
        </w:rPr>
        <w:t>。本条所称货物不包括使用大型企业注册商标的货物。</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本公司对上述声明的真实性负责。如有虚假，将依法承担相应责任。</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9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序号</w:t>
            </w:r>
          </w:p>
        </w:tc>
        <w:tc>
          <w:tcPr>
            <w:tcW w:w="360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服务类型</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服务名称</w:t>
            </w: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金额（元）</w:t>
            </w: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其他中型企业提供的服务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3</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其他小型企业提供的服务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4</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其他微型企业提供的服务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bl>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 xml:space="preserve">               </w:t>
      </w: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 </w:t>
      </w: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6"/>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2021年2月-7月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7" w:name="_Hlt10549792"/>
      <w:bookmarkEnd w:id="27"/>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致：新疆晓君招标有限公司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2"/>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2"/>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2"/>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2"/>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投标保证金为转账及银行汇款形式的，请在此处粘贴转帐或汇款的银行凭证复印件（加盖公章）。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8"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8"/>
    </w:p>
    <w:p>
      <w:pPr>
        <w:numPr>
          <w:ilvl w:val="0"/>
          <w:numId w:val="0"/>
        </w:numPr>
        <w:adjustRightInd w:val="0"/>
        <w:snapToGrid w:val="0"/>
        <w:spacing w:line="300" w:lineRule="auto"/>
        <w:ind w:left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说</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明：</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投标人必须对应招标文件条款逐条应答并按要求填写下表。</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1"/>
          <w:szCs w:val="21"/>
          <w:highlight w:val="none"/>
          <w14:textFill>
            <w14:solidFill>
              <w14:schemeClr w14:val="tx1"/>
            </w14:solidFill>
          </w14:textFill>
        </w:rPr>
        <w:t>实际数据填写</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1"/>
          <w:szCs w:val="21"/>
          <w:highlight w:val="none"/>
          <w14:textFill>
            <w14:solidFill>
              <w14:schemeClr w14:val="tx1"/>
            </w14:solidFill>
          </w14:textFill>
        </w:rPr>
        <w:t>。</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投标人应按招标文件要求附相关证明文件，如有任何一项不响应或不满足的视为负偏离。</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8"/>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8"/>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u w:val="singl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日期：</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年</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月</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日</w:t>
      </w:r>
    </w:p>
    <w:p>
      <w:pPr>
        <w:pStyle w:val="6"/>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一年</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2"/>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2"/>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9" w:name="_Hlt10456523"/>
      <w:bookmarkEnd w:id="29"/>
      <w:bookmarkStart w:id="30"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30"/>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HTSZFCGZBDL-2021-089-3</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1" w:name="_Hlt10520073"/>
      <w:bookmarkEnd w:id="31"/>
      <w:bookmarkStart w:id="32" w:name="_Hlt10520032"/>
      <w:bookmarkEnd w:id="32"/>
      <w:bookmarkStart w:id="33"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33"/>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7.6  供应商认为有必要提供的其它资料 </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2"/>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2"/>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4" w:name="_Hlt10462379"/>
      <w:bookmarkEnd w:id="34"/>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35"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35"/>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6" w:name="_Hlt10567911"/>
      <w:bookmarkEnd w:id="36"/>
    </w:p>
    <w:p>
      <w:pPr>
        <w:pStyle w:val="18"/>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7" w:name="_Hlt10523642"/>
      <w:bookmarkEnd w:id="37"/>
    </w:p>
    <w:p>
      <w:pPr>
        <w:pStyle w:val="18"/>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8"/>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2021年和田市林果业技术扶持项目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HTSZFCGZBDL-2021-089-3</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8" w:name="_Hlt10524029"/>
      <w:bookmarkEnd w:id="38"/>
      <w:bookmarkStart w:id="39" w:name="_Hlt10524018"/>
      <w:bookmarkEnd w:id="39"/>
      <w:bookmarkStart w:id="40" w:name="_Hlt10524010"/>
      <w:bookmarkEnd w:id="40"/>
      <w:bookmarkStart w:id="41" w:name="_Hlt10529670"/>
      <w:bookmarkEnd w:id="41"/>
      <w:bookmarkStart w:id="42" w:name="_Hlt10462525"/>
      <w:bookmarkEnd w:id="42"/>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rFonts w:hint="eastAsia"/>
      </w:rPr>
      <w:t>新疆晓君招标有限公司</w:t>
    </w:r>
    <w:r>
      <w:rPr>
        <w:rFonts w:ascii="宋体" w:hAnsi="宋体"/>
      </w:rPr>
      <w:t xml:space="preserve">                                                                </w:t>
    </w:r>
    <w:r>
      <w:rPr>
        <w:rFonts w:ascii="宋体" w:hAnsi="宋体"/>
        <w:sz w:val="18"/>
        <w:szCs w:val="18"/>
      </w:rPr>
      <w:t>2-</w:t>
    </w:r>
    <w:r>
      <w:rPr>
        <w:rStyle w:val="37"/>
        <w:rFonts w:ascii="宋体" w:hAnsi="宋体"/>
        <w:sz w:val="18"/>
        <w:szCs w:val="18"/>
      </w:rPr>
      <w:fldChar w:fldCharType="begin"/>
    </w:r>
    <w:r>
      <w:rPr>
        <w:rStyle w:val="37"/>
        <w:rFonts w:ascii="宋体" w:hAnsi="宋体"/>
        <w:sz w:val="18"/>
        <w:szCs w:val="18"/>
      </w:rPr>
      <w:instrText xml:space="preserve"> PAGE </w:instrText>
    </w:r>
    <w:r>
      <w:rPr>
        <w:rStyle w:val="37"/>
        <w:rFonts w:ascii="宋体" w:hAnsi="宋体"/>
        <w:sz w:val="18"/>
        <w:szCs w:val="18"/>
      </w:rPr>
      <w:fldChar w:fldCharType="separate"/>
    </w:r>
    <w:r>
      <w:rPr>
        <w:rStyle w:val="37"/>
        <w:rFonts w:ascii="宋体" w:hAnsi="宋体"/>
        <w:sz w:val="18"/>
        <w:szCs w:val="18"/>
      </w:rPr>
      <w:t>14</w:t>
    </w:r>
    <w:r>
      <w:rPr>
        <w:rStyle w:val="37"/>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rFonts w:hint="eastAsia"/>
      </w:rPr>
      <w:t>新疆晓君招标有限公司</w:t>
    </w:r>
    <w:r>
      <w:rPr>
        <w:rFonts w:ascii="宋体" w:hAnsi="宋体"/>
      </w:rPr>
      <w:t xml:space="preserve">                                                                    2-</w:t>
    </w:r>
    <w:r>
      <w:rPr>
        <w:rStyle w:val="37"/>
        <w:rFonts w:ascii="宋体" w:hAnsi="宋体"/>
        <w:sz w:val="18"/>
        <w:szCs w:val="18"/>
      </w:rPr>
      <w:fldChar w:fldCharType="begin"/>
    </w:r>
    <w:r>
      <w:rPr>
        <w:rStyle w:val="37"/>
        <w:rFonts w:ascii="宋体" w:hAnsi="宋体"/>
        <w:sz w:val="18"/>
        <w:szCs w:val="18"/>
      </w:rPr>
      <w:instrText xml:space="preserve"> PAGE </w:instrText>
    </w:r>
    <w:r>
      <w:rPr>
        <w:rStyle w:val="37"/>
        <w:rFonts w:ascii="宋体" w:hAnsi="宋体"/>
        <w:sz w:val="18"/>
        <w:szCs w:val="18"/>
      </w:rPr>
      <w:fldChar w:fldCharType="separate"/>
    </w:r>
    <w:r>
      <w:rPr>
        <w:rStyle w:val="37"/>
        <w:rFonts w:ascii="宋体" w:hAnsi="宋体"/>
        <w:sz w:val="18"/>
        <w:szCs w:val="18"/>
      </w:rPr>
      <w:t>17</w:t>
    </w:r>
    <w:r>
      <w:rPr>
        <w:rStyle w:val="37"/>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336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DeRK/QywEAAJkDAAAOAAAAAAAAAAEAIAAAACgB&#10;AABkcnMvZTJvRG9jLnhtbFBLBQYAAAAABgAGAFkBAABlBQAAAAA=&#10;">
              <v:fill on="f" focussize="0,0"/>
              <v:stroke on="f" weight="1.2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2"/>
                          </w:pPr>
                          <w:r>
                            <w:rPr>
                              <w:rFonts w:hint="eastAsia"/>
                            </w:rPr>
                            <w:t>新疆晓君招标有限公司                                                                               5-</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131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3v3dYAAAAHAQAADwAAAAAAAAABACAAAAAiAAAAZHJzL2Rvd25yZXYueG1sUEsB&#10;AhQAFAAAAAgAh07iQPU1smy+AQAAcgMAAA4AAAAAAAAAAQAgAAAAJQEAAGRycy9lMm9Eb2MueG1s&#10;UEsFBgAAAAAGAAYAWQEAAFUFAAAAAA==&#10;">
              <v:fill on="f" focussize="0,0"/>
              <v:stroke on="f" weight="1.25pt"/>
              <v:imagedata o:title=""/>
              <o:lock v:ext="edit" aspectratio="f"/>
              <v:textbox inset="0mm,0mm,0mm,0mm">
                <w:txbxContent>
                  <w:p>
                    <w:pPr>
                      <w:pStyle w:val="22"/>
                    </w:pPr>
                    <w:r>
                      <w:rPr>
                        <w:rFonts w:hint="eastAsia"/>
                      </w:rPr>
                      <w:t>新疆晓君招标有限公司                                                                               5-</w:t>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2"/>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131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left"/>
      <w:rPr>
        <w:rFonts w:hint="eastAsia"/>
      </w:rPr>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32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0</wp:posOffset>
              </wp:positionV>
              <wp:extent cx="5747385" cy="252095"/>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5747385" cy="252095"/>
                      </a:xfrm>
                      <a:prstGeom prst="rect">
                        <a:avLst/>
                      </a:prstGeom>
                      <a:noFill/>
                      <a:ln w="15875">
                        <a:noFill/>
                      </a:ln>
                    </wps:spPr>
                    <wps:txbx>
                      <w:txbxContent>
                        <w:p>
                          <w:pPr>
                            <w:pStyle w:val="22"/>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7"/>
                              <w:rFonts w:ascii="宋体" w:hAnsi="宋体"/>
                              <w:sz w:val="21"/>
                              <w:szCs w:val="21"/>
                            </w:rPr>
                            <w:fldChar w:fldCharType="begin"/>
                          </w:r>
                          <w:r>
                            <w:rPr>
                              <w:rStyle w:val="37"/>
                              <w:rFonts w:ascii="宋体" w:hAnsi="宋体"/>
                              <w:sz w:val="21"/>
                              <w:szCs w:val="21"/>
                            </w:rPr>
                            <w:instrText xml:space="preserve"> PAGE </w:instrText>
                          </w:r>
                          <w:r>
                            <w:rPr>
                              <w:rStyle w:val="37"/>
                              <w:rFonts w:ascii="宋体" w:hAnsi="宋体"/>
                              <w:sz w:val="21"/>
                              <w:szCs w:val="21"/>
                            </w:rPr>
                            <w:fldChar w:fldCharType="separate"/>
                          </w:r>
                          <w:r>
                            <w:rPr>
                              <w:rStyle w:val="37"/>
                              <w:rFonts w:ascii="宋体" w:hAnsi="宋体"/>
                              <w:sz w:val="21"/>
                              <w:szCs w:val="21"/>
                            </w:rPr>
                            <w:t>25</w:t>
                          </w:r>
                          <w:r>
                            <w:rPr>
                              <w:rStyle w:val="37"/>
                              <w:rFonts w:ascii="宋体" w:hAnsi="宋体"/>
                              <w:sz w:val="21"/>
                              <w:szCs w:val="21"/>
                            </w:rPr>
                            <w:fldChar w:fldCharType="end"/>
                          </w:r>
                        </w:p>
                      </w:txbxContent>
                    </wps:txbx>
                    <wps:bodyPr lIns="0" tIns="0" rIns="0" bIns="0" upright="1"/>
                  </wps:wsp>
                </a:graphicData>
              </a:graphic>
            </wp:anchor>
          </w:drawing>
        </mc:Choice>
        <mc:Fallback>
          <w:pict>
            <v:shape id="文本框 1029" o:spid="_x0000_s1026" o:spt="202" type="#_x0000_t202" style="position:absolute;left:0pt;margin-left:0.15pt;margin-top:0pt;height:19.85pt;width:452.55pt;mso-position-horizontal-relative:margin;z-index:251660288;mso-width-relative:page;mso-height-relative:page;" filled="f" stroked="f" coordsize="21600,21600" o:gfxdata="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ZRHOHUAAAABAEAAA8AAAAAAAAAAQAgAAAAIgAAAGRycy9kb3ducmV2&#10;LnhtbFBLAQIUABQAAAAIAIdO4kBTtAA/xwEAAH8DAAAOAAAAAAAAAAEAIAAAACMBAABkcnMvZTJv&#10;RG9jLnhtbFBLBQYAAAAABgAGAFkBAABcBQAAAAA=&#10;">
              <v:fill on="f" focussize="0,0"/>
              <v:stroke on="f" weight="1.25pt"/>
              <v:imagedata o:title=""/>
              <o:lock v:ext="edit" aspectratio="f"/>
              <v:textbox inset="0mm,0mm,0mm,0mm">
                <w:txbxContent>
                  <w:p>
                    <w:pPr>
                      <w:pStyle w:val="22"/>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7"/>
                        <w:rFonts w:ascii="宋体" w:hAnsi="宋体"/>
                        <w:sz w:val="21"/>
                        <w:szCs w:val="21"/>
                      </w:rPr>
                      <w:fldChar w:fldCharType="begin"/>
                    </w:r>
                    <w:r>
                      <w:rPr>
                        <w:rStyle w:val="37"/>
                        <w:rFonts w:ascii="宋体" w:hAnsi="宋体"/>
                        <w:sz w:val="21"/>
                        <w:szCs w:val="21"/>
                      </w:rPr>
                      <w:instrText xml:space="preserve"> PAGE </w:instrText>
                    </w:r>
                    <w:r>
                      <w:rPr>
                        <w:rStyle w:val="37"/>
                        <w:rFonts w:ascii="宋体" w:hAnsi="宋体"/>
                        <w:sz w:val="21"/>
                        <w:szCs w:val="21"/>
                      </w:rPr>
                      <w:fldChar w:fldCharType="separate"/>
                    </w:r>
                    <w:r>
                      <w:rPr>
                        <w:rStyle w:val="37"/>
                        <w:rFonts w:ascii="宋体" w:hAnsi="宋体"/>
                        <w:sz w:val="21"/>
                        <w:szCs w:val="21"/>
                      </w:rPr>
                      <w:t>25</w:t>
                    </w:r>
                    <w:r>
                      <w:rPr>
                        <w:rStyle w:val="37"/>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2021年和田市林果业技术扶持项目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ascii="宋体" w:eastAsia="宋体"/>
        <w:lang w:eastAsia="zh-CN"/>
      </w:rPr>
    </w:pPr>
    <w:r>
      <w:rPr>
        <w:rFonts w:hint="eastAsia"/>
        <w:lang w:eastAsia="zh-CN"/>
      </w:rPr>
      <w:t>2021年和田市林果业技术扶持项目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Cs w:val="21"/>
        <w:u w:val="single"/>
      </w:rPr>
    </w:pPr>
    <w:r>
      <w:rPr>
        <w:rFonts w:hint="eastAsia"/>
        <w:lang w:eastAsia="zh-CN"/>
      </w:rPr>
      <w:t>2021年和田市林果业技术扶持项目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rPr>
    </w:pPr>
    <w:r>
      <w:rPr>
        <w:rFonts w:hint="eastAsia"/>
        <w:lang w:eastAsia="zh-CN"/>
      </w:rPr>
      <w:t>2021年和田市林果业技术扶持项目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2021年和田市林果业技术扶持项目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C98DD"/>
    <w:multiLevelType w:val="singleLevel"/>
    <w:tmpl w:val="903C98DD"/>
    <w:lvl w:ilvl="0" w:tentative="0">
      <w:start w:val="2"/>
      <w:numFmt w:val="decimal"/>
      <w:suff w:val="nothing"/>
      <w:lvlText w:val="（%1）"/>
      <w:lvlJc w:val="left"/>
    </w:lvl>
  </w:abstractNum>
  <w:abstractNum w:abstractNumId="1">
    <w:nsid w:val="9BB878F1"/>
    <w:multiLevelType w:val="singleLevel"/>
    <w:tmpl w:val="9BB878F1"/>
    <w:lvl w:ilvl="0" w:tentative="0">
      <w:start w:val="1"/>
      <w:numFmt w:val="decimal"/>
      <w:suff w:val="nothing"/>
      <w:lvlText w:val="%1、"/>
      <w:lvlJc w:val="left"/>
    </w:lvl>
  </w:abstractNum>
  <w:abstractNum w:abstractNumId="2">
    <w:nsid w:val="BF464EB1"/>
    <w:multiLevelType w:val="singleLevel"/>
    <w:tmpl w:val="BF464EB1"/>
    <w:lvl w:ilvl="0" w:tentative="0">
      <w:start w:val="1"/>
      <w:numFmt w:val="decimal"/>
      <w:lvlText w:val="%1."/>
      <w:lvlJc w:val="left"/>
      <w:pPr>
        <w:ind w:left="425" w:hanging="425"/>
      </w:pPr>
      <w:rPr>
        <w:rFonts w:hint="default"/>
      </w:rPr>
    </w:lvl>
  </w:abstractNum>
  <w:abstractNum w:abstractNumId="3">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5">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3F32BAE"/>
    <w:multiLevelType w:val="singleLevel"/>
    <w:tmpl w:val="23F32BAE"/>
    <w:lvl w:ilvl="0" w:tentative="0">
      <w:start w:val="1"/>
      <w:numFmt w:val="decimal"/>
      <w:suff w:val="nothing"/>
      <w:lvlText w:val="%1、"/>
      <w:lvlJc w:val="left"/>
    </w:lvl>
  </w:abstractNum>
  <w:abstractNum w:abstractNumId="9">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0">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3">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90AD9C3"/>
    <w:multiLevelType w:val="singleLevel"/>
    <w:tmpl w:val="590AD9C3"/>
    <w:lvl w:ilvl="0" w:tentative="0">
      <w:start w:val="1"/>
      <w:numFmt w:val="decimal"/>
      <w:suff w:val="space"/>
      <w:lvlText w:val="（%1）"/>
      <w:lvlJc w:val="left"/>
      <w:rPr>
        <w:rFonts w:cs="Times New Roman"/>
      </w:rPr>
    </w:lvl>
  </w:abstractNum>
  <w:abstractNum w:abstractNumId="18">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19">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2"/>
  </w:num>
  <w:num w:numId="2">
    <w:abstractNumId w:val="4"/>
  </w:num>
  <w:num w:numId="3">
    <w:abstractNumId w:val="18"/>
  </w:num>
  <w:num w:numId="4">
    <w:abstractNumId w:val="9"/>
  </w:num>
  <w:num w:numId="5">
    <w:abstractNumId w:val="15"/>
  </w:num>
  <w:num w:numId="6">
    <w:abstractNumId w:val="20"/>
  </w:num>
  <w:num w:numId="7">
    <w:abstractNumId w:val="0"/>
  </w:num>
  <w:num w:numId="8">
    <w:abstractNumId w:val="7"/>
  </w:num>
  <w:num w:numId="9">
    <w:abstractNumId w:val="6"/>
  </w:num>
  <w:num w:numId="10">
    <w:abstractNumId w:val="5"/>
  </w:num>
  <w:num w:numId="11">
    <w:abstractNumId w:val="17"/>
  </w:num>
  <w:num w:numId="12">
    <w:abstractNumId w:val="19"/>
  </w:num>
  <w:num w:numId="13">
    <w:abstractNumId w:val="14"/>
  </w:num>
  <w:num w:numId="14">
    <w:abstractNumId w:val="11"/>
  </w:num>
  <w:num w:numId="15">
    <w:abstractNumId w:val="1"/>
  </w:num>
  <w:num w:numId="16">
    <w:abstractNumId w:val="8"/>
  </w:num>
  <w:num w:numId="17">
    <w:abstractNumId w:val="2"/>
  </w:num>
  <w:num w:numId="18">
    <w:abstractNumId w:val="16"/>
  </w:num>
  <w:num w:numId="19">
    <w:abstractNumId w:val="13"/>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31B422C"/>
    <w:rsid w:val="03507DBB"/>
    <w:rsid w:val="03627E67"/>
    <w:rsid w:val="036B6473"/>
    <w:rsid w:val="03866869"/>
    <w:rsid w:val="038C7BC5"/>
    <w:rsid w:val="03CD4D6B"/>
    <w:rsid w:val="040B5ABD"/>
    <w:rsid w:val="0417338A"/>
    <w:rsid w:val="043645E4"/>
    <w:rsid w:val="04E108E2"/>
    <w:rsid w:val="0555612F"/>
    <w:rsid w:val="05D909DD"/>
    <w:rsid w:val="05FA2518"/>
    <w:rsid w:val="060E6A0E"/>
    <w:rsid w:val="06163EE9"/>
    <w:rsid w:val="06396B90"/>
    <w:rsid w:val="06822BF9"/>
    <w:rsid w:val="073143FB"/>
    <w:rsid w:val="07CC63DA"/>
    <w:rsid w:val="07E532BC"/>
    <w:rsid w:val="07E53700"/>
    <w:rsid w:val="083D3934"/>
    <w:rsid w:val="08471D7F"/>
    <w:rsid w:val="08662291"/>
    <w:rsid w:val="08A20FFF"/>
    <w:rsid w:val="08F279E2"/>
    <w:rsid w:val="09A844B1"/>
    <w:rsid w:val="09DE4B40"/>
    <w:rsid w:val="09F2600C"/>
    <w:rsid w:val="09FA0D58"/>
    <w:rsid w:val="0AC54E9D"/>
    <w:rsid w:val="0AD54BDA"/>
    <w:rsid w:val="0AF97CE0"/>
    <w:rsid w:val="0AFB6CAC"/>
    <w:rsid w:val="0B044218"/>
    <w:rsid w:val="0B220ABB"/>
    <w:rsid w:val="0B6948F1"/>
    <w:rsid w:val="0B6A3D17"/>
    <w:rsid w:val="0B7C46F6"/>
    <w:rsid w:val="0BA43058"/>
    <w:rsid w:val="0C246F78"/>
    <w:rsid w:val="0C961836"/>
    <w:rsid w:val="0C994113"/>
    <w:rsid w:val="0CA127FA"/>
    <w:rsid w:val="0CE757DF"/>
    <w:rsid w:val="0D066457"/>
    <w:rsid w:val="0D776FCF"/>
    <w:rsid w:val="0D92714F"/>
    <w:rsid w:val="0DAB17C3"/>
    <w:rsid w:val="0DF824BF"/>
    <w:rsid w:val="0DFD4814"/>
    <w:rsid w:val="0E7B438C"/>
    <w:rsid w:val="0E7C5E6C"/>
    <w:rsid w:val="0E993A07"/>
    <w:rsid w:val="0EF54881"/>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D9641F"/>
    <w:rsid w:val="157C59CB"/>
    <w:rsid w:val="15A823E6"/>
    <w:rsid w:val="15B029A2"/>
    <w:rsid w:val="161D6D8C"/>
    <w:rsid w:val="1621753B"/>
    <w:rsid w:val="16450C97"/>
    <w:rsid w:val="166B719E"/>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FC5C77"/>
    <w:rsid w:val="1D0E4A12"/>
    <w:rsid w:val="1D1C177C"/>
    <w:rsid w:val="1D2D47BA"/>
    <w:rsid w:val="1D3F5F58"/>
    <w:rsid w:val="1D4C41D3"/>
    <w:rsid w:val="1D6A39B8"/>
    <w:rsid w:val="1D7238A8"/>
    <w:rsid w:val="1D9A216A"/>
    <w:rsid w:val="1DF85109"/>
    <w:rsid w:val="1E2665E5"/>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D6667D"/>
    <w:rsid w:val="24E91E1B"/>
    <w:rsid w:val="24F4378B"/>
    <w:rsid w:val="2547624B"/>
    <w:rsid w:val="255701E0"/>
    <w:rsid w:val="25717D4B"/>
    <w:rsid w:val="25A11AD2"/>
    <w:rsid w:val="25EB70F0"/>
    <w:rsid w:val="2641721F"/>
    <w:rsid w:val="26455201"/>
    <w:rsid w:val="26E744EE"/>
    <w:rsid w:val="27211512"/>
    <w:rsid w:val="27871C7F"/>
    <w:rsid w:val="278E4E0C"/>
    <w:rsid w:val="27DA6364"/>
    <w:rsid w:val="27FA2221"/>
    <w:rsid w:val="28323AAE"/>
    <w:rsid w:val="28454EB3"/>
    <w:rsid w:val="285751A8"/>
    <w:rsid w:val="28964742"/>
    <w:rsid w:val="28FE6A4D"/>
    <w:rsid w:val="290B566C"/>
    <w:rsid w:val="29307DE5"/>
    <w:rsid w:val="293E7A54"/>
    <w:rsid w:val="29A42BF5"/>
    <w:rsid w:val="2A1A4034"/>
    <w:rsid w:val="2A1D6EA4"/>
    <w:rsid w:val="2A4C4081"/>
    <w:rsid w:val="2AE36C8E"/>
    <w:rsid w:val="2B0321ED"/>
    <w:rsid w:val="2B0C57D5"/>
    <w:rsid w:val="2B26566E"/>
    <w:rsid w:val="2B487BF7"/>
    <w:rsid w:val="2B4D0A99"/>
    <w:rsid w:val="2B70039F"/>
    <w:rsid w:val="2BB82262"/>
    <w:rsid w:val="2C2E5EF5"/>
    <w:rsid w:val="2C360390"/>
    <w:rsid w:val="2C4D5253"/>
    <w:rsid w:val="2C6F63F4"/>
    <w:rsid w:val="2CB947D7"/>
    <w:rsid w:val="2CDA4BE2"/>
    <w:rsid w:val="2CF57F33"/>
    <w:rsid w:val="2D3A4BC3"/>
    <w:rsid w:val="2D421FD1"/>
    <w:rsid w:val="2D9144DC"/>
    <w:rsid w:val="2DA7128F"/>
    <w:rsid w:val="2DB27902"/>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1B481E"/>
    <w:rsid w:val="31220029"/>
    <w:rsid w:val="314B756C"/>
    <w:rsid w:val="315241B7"/>
    <w:rsid w:val="31DC33F5"/>
    <w:rsid w:val="32250E09"/>
    <w:rsid w:val="32F41158"/>
    <w:rsid w:val="332C5642"/>
    <w:rsid w:val="336B2834"/>
    <w:rsid w:val="33CF7591"/>
    <w:rsid w:val="33DC61E7"/>
    <w:rsid w:val="33EF7B65"/>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6B77DF8"/>
    <w:rsid w:val="36C04AEC"/>
    <w:rsid w:val="36D80657"/>
    <w:rsid w:val="371B0B34"/>
    <w:rsid w:val="37347C88"/>
    <w:rsid w:val="37B171CC"/>
    <w:rsid w:val="37E76C86"/>
    <w:rsid w:val="38314E4C"/>
    <w:rsid w:val="385F5514"/>
    <w:rsid w:val="38C34F4E"/>
    <w:rsid w:val="396430B4"/>
    <w:rsid w:val="397825BC"/>
    <w:rsid w:val="39833969"/>
    <w:rsid w:val="39AF72A0"/>
    <w:rsid w:val="39CB0F9C"/>
    <w:rsid w:val="3A3A15C3"/>
    <w:rsid w:val="3A3C41C3"/>
    <w:rsid w:val="3A434A79"/>
    <w:rsid w:val="3A9A3131"/>
    <w:rsid w:val="3AA13714"/>
    <w:rsid w:val="3ABE77F6"/>
    <w:rsid w:val="3AF76FA1"/>
    <w:rsid w:val="3B47009A"/>
    <w:rsid w:val="3B9930A8"/>
    <w:rsid w:val="3BE9242F"/>
    <w:rsid w:val="3C235935"/>
    <w:rsid w:val="3C695F34"/>
    <w:rsid w:val="3C71049E"/>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E647E3"/>
    <w:rsid w:val="40ED5CD0"/>
    <w:rsid w:val="41193E41"/>
    <w:rsid w:val="41597CC1"/>
    <w:rsid w:val="41672A63"/>
    <w:rsid w:val="41784B4A"/>
    <w:rsid w:val="418B74D9"/>
    <w:rsid w:val="41910187"/>
    <w:rsid w:val="41A01818"/>
    <w:rsid w:val="41A664D0"/>
    <w:rsid w:val="41AE5745"/>
    <w:rsid w:val="41B13BD3"/>
    <w:rsid w:val="41E22717"/>
    <w:rsid w:val="41EF728F"/>
    <w:rsid w:val="42355579"/>
    <w:rsid w:val="42522927"/>
    <w:rsid w:val="425D6528"/>
    <w:rsid w:val="42671377"/>
    <w:rsid w:val="42923B57"/>
    <w:rsid w:val="430B6E49"/>
    <w:rsid w:val="4319029E"/>
    <w:rsid w:val="44091A2D"/>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8A03618"/>
    <w:rsid w:val="491D55D9"/>
    <w:rsid w:val="492B467D"/>
    <w:rsid w:val="49466EFD"/>
    <w:rsid w:val="4A33138B"/>
    <w:rsid w:val="4AB76A28"/>
    <w:rsid w:val="4AC9763E"/>
    <w:rsid w:val="4AE056AB"/>
    <w:rsid w:val="4AE07264"/>
    <w:rsid w:val="4AEC5F2A"/>
    <w:rsid w:val="4B342EE1"/>
    <w:rsid w:val="4B384CC0"/>
    <w:rsid w:val="4B4E38C2"/>
    <w:rsid w:val="4B632A78"/>
    <w:rsid w:val="4BCF26BF"/>
    <w:rsid w:val="4BEA68D7"/>
    <w:rsid w:val="4C0B6E0C"/>
    <w:rsid w:val="4C1D38D4"/>
    <w:rsid w:val="4C4869E1"/>
    <w:rsid w:val="4C9F2990"/>
    <w:rsid w:val="4D0F4EEF"/>
    <w:rsid w:val="4E1857AC"/>
    <w:rsid w:val="4E26261F"/>
    <w:rsid w:val="4E3A533C"/>
    <w:rsid w:val="4E403C3C"/>
    <w:rsid w:val="4E735E2F"/>
    <w:rsid w:val="4E901F73"/>
    <w:rsid w:val="4EBB20BD"/>
    <w:rsid w:val="4F410CB6"/>
    <w:rsid w:val="4F5A2C1F"/>
    <w:rsid w:val="4FB46852"/>
    <w:rsid w:val="501B2419"/>
    <w:rsid w:val="50B85CA8"/>
    <w:rsid w:val="50D36AC6"/>
    <w:rsid w:val="51112461"/>
    <w:rsid w:val="513959C5"/>
    <w:rsid w:val="514364D8"/>
    <w:rsid w:val="514B137F"/>
    <w:rsid w:val="51791DFD"/>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52044B5"/>
    <w:rsid w:val="554F676F"/>
    <w:rsid w:val="556E6742"/>
    <w:rsid w:val="55946BBA"/>
    <w:rsid w:val="5659756E"/>
    <w:rsid w:val="56AA76E5"/>
    <w:rsid w:val="56B474E3"/>
    <w:rsid w:val="56C54260"/>
    <w:rsid w:val="56D04952"/>
    <w:rsid w:val="56D76B9C"/>
    <w:rsid w:val="5734537F"/>
    <w:rsid w:val="573E7DBA"/>
    <w:rsid w:val="582D3016"/>
    <w:rsid w:val="584F4DEB"/>
    <w:rsid w:val="58BD2CEA"/>
    <w:rsid w:val="59425378"/>
    <w:rsid w:val="596F6ED5"/>
    <w:rsid w:val="59953DB9"/>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E344CEC"/>
    <w:rsid w:val="5E373A11"/>
    <w:rsid w:val="5E377FA2"/>
    <w:rsid w:val="5E3E24B7"/>
    <w:rsid w:val="5E536809"/>
    <w:rsid w:val="5E6926D0"/>
    <w:rsid w:val="5E7E290E"/>
    <w:rsid w:val="5E8E3B20"/>
    <w:rsid w:val="5ED11038"/>
    <w:rsid w:val="5F2A2D28"/>
    <w:rsid w:val="5F2E6734"/>
    <w:rsid w:val="5F5D73F2"/>
    <w:rsid w:val="5F7B0AA0"/>
    <w:rsid w:val="5FB332D0"/>
    <w:rsid w:val="601B3CC5"/>
    <w:rsid w:val="60484B23"/>
    <w:rsid w:val="60532E8A"/>
    <w:rsid w:val="60891CC0"/>
    <w:rsid w:val="608D2023"/>
    <w:rsid w:val="60A46CB8"/>
    <w:rsid w:val="60DF4A4D"/>
    <w:rsid w:val="612E2EC1"/>
    <w:rsid w:val="61402FE4"/>
    <w:rsid w:val="615E0D34"/>
    <w:rsid w:val="616621EC"/>
    <w:rsid w:val="616F4AAB"/>
    <w:rsid w:val="617C3486"/>
    <w:rsid w:val="61B451D9"/>
    <w:rsid w:val="61CA225A"/>
    <w:rsid w:val="62417376"/>
    <w:rsid w:val="626D24E0"/>
    <w:rsid w:val="627945C1"/>
    <w:rsid w:val="62814117"/>
    <w:rsid w:val="62861D7E"/>
    <w:rsid w:val="62DE64EC"/>
    <w:rsid w:val="62F472F7"/>
    <w:rsid w:val="63600ACF"/>
    <w:rsid w:val="64331100"/>
    <w:rsid w:val="64AC197F"/>
    <w:rsid w:val="64D40A87"/>
    <w:rsid w:val="64DC248E"/>
    <w:rsid w:val="65285B05"/>
    <w:rsid w:val="65A04BD9"/>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F13463"/>
    <w:rsid w:val="6D1A4453"/>
    <w:rsid w:val="6D614100"/>
    <w:rsid w:val="6D7E4343"/>
    <w:rsid w:val="6E2305F9"/>
    <w:rsid w:val="6E7708AC"/>
    <w:rsid w:val="6E8922D0"/>
    <w:rsid w:val="6E945C90"/>
    <w:rsid w:val="6EA51E92"/>
    <w:rsid w:val="6EF5598B"/>
    <w:rsid w:val="6F071B08"/>
    <w:rsid w:val="6F1919BF"/>
    <w:rsid w:val="6FF4257E"/>
    <w:rsid w:val="704F39D4"/>
    <w:rsid w:val="704F4B0A"/>
    <w:rsid w:val="70DC36D7"/>
    <w:rsid w:val="712D6399"/>
    <w:rsid w:val="71876F14"/>
    <w:rsid w:val="71A67BCE"/>
    <w:rsid w:val="71C73E10"/>
    <w:rsid w:val="71CA593D"/>
    <w:rsid w:val="71F2685D"/>
    <w:rsid w:val="71F77214"/>
    <w:rsid w:val="71FB1ECF"/>
    <w:rsid w:val="727B3332"/>
    <w:rsid w:val="72D10D3A"/>
    <w:rsid w:val="73076B04"/>
    <w:rsid w:val="732038EF"/>
    <w:rsid w:val="73242065"/>
    <w:rsid w:val="733964B6"/>
    <w:rsid w:val="733D225B"/>
    <w:rsid w:val="737347B1"/>
    <w:rsid w:val="73CB4D0A"/>
    <w:rsid w:val="73E26124"/>
    <w:rsid w:val="740206F2"/>
    <w:rsid w:val="74034146"/>
    <w:rsid w:val="740B2075"/>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696CC9"/>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1"/>
    <w:qFormat/>
    <w:uiPriority w:val="99"/>
    <w:pPr>
      <w:widowControl w:val="0"/>
      <w:spacing w:line="360" w:lineRule="auto"/>
      <w:jc w:val="both"/>
      <w:outlineLvl w:val="2"/>
    </w:pPr>
    <w:rPr>
      <w:rFonts w:ascii="宋体"/>
    </w:rPr>
  </w:style>
  <w:style w:type="paragraph" w:styleId="6">
    <w:name w:val="heading 4"/>
    <w:basedOn w:val="1"/>
    <w:next w:val="1"/>
    <w:link w:val="45"/>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6"/>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4">
    <w:name w:val="Default Paragraph Font"/>
    <w:link w:val="35"/>
    <w:semiHidden/>
    <w:unhideWhenUsed/>
    <w:qFormat/>
    <w:uiPriority w:val="1"/>
    <w:rPr>
      <w:rFonts w:cs="Times New Roman"/>
      <w:sz w:val="24"/>
      <w:szCs w:val="24"/>
    </w:rPr>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jc w:val="left"/>
    </w:pPr>
    <w:rPr>
      <w:sz w:val="18"/>
    </w:rPr>
  </w:style>
  <w:style w:type="paragraph" w:styleId="8">
    <w:name w:val="table of authorities"/>
    <w:basedOn w:val="1"/>
    <w:next w:val="1"/>
    <w:semiHidden/>
    <w:qFormat/>
    <w:locked/>
    <w:uiPriority w:val="0"/>
    <w:pPr>
      <w:ind w:left="420" w:leftChars="200"/>
    </w:pPr>
  </w:style>
  <w:style w:type="paragraph" w:styleId="9">
    <w:name w:val="Normal Indent"/>
    <w:basedOn w:val="1"/>
    <w:link w:val="59"/>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49"/>
    <w:qFormat/>
    <w:uiPriority w:val="99"/>
    <w:rPr>
      <w:rFonts w:ascii="宋体"/>
      <w:sz w:val="18"/>
      <w:szCs w:val="18"/>
    </w:rPr>
  </w:style>
  <w:style w:type="paragraph" w:styleId="12">
    <w:name w:val="annotation text"/>
    <w:basedOn w:val="1"/>
    <w:link w:val="47"/>
    <w:semiHidden/>
    <w:qFormat/>
    <w:uiPriority w:val="99"/>
  </w:style>
  <w:style w:type="paragraph" w:styleId="13">
    <w:name w:val="Body Text 3"/>
    <w:basedOn w:val="1"/>
    <w:link w:val="50"/>
    <w:qFormat/>
    <w:uiPriority w:val="99"/>
    <w:pPr>
      <w:spacing w:after="120"/>
    </w:pPr>
    <w:rPr>
      <w:sz w:val="16"/>
      <w:szCs w:val="16"/>
    </w:rPr>
  </w:style>
  <w:style w:type="paragraph" w:styleId="14">
    <w:name w:val="Body Text"/>
    <w:basedOn w:val="1"/>
    <w:next w:val="1"/>
    <w:qFormat/>
    <w:locked/>
    <w:uiPriority w:val="1"/>
    <w:rPr>
      <w:rFonts w:ascii="宋体" w:hAnsi="宋体" w:cs="宋体"/>
      <w:szCs w:val="21"/>
      <w:lang w:val="zh-CN" w:bidi="zh-CN"/>
    </w:rPr>
  </w:style>
  <w:style w:type="paragraph" w:styleId="15">
    <w:name w:val="Body Text Indent"/>
    <w:basedOn w:val="1"/>
    <w:link w:val="51"/>
    <w:qFormat/>
    <w:uiPriority w:val="99"/>
    <w:pPr>
      <w:spacing w:after="120"/>
      <w:ind w:left="420" w:leftChars="200"/>
    </w:pPr>
  </w:style>
  <w:style w:type="paragraph" w:styleId="16">
    <w:name w:val="Block Text"/>
    <w:basedOn w:val="1"/>
    <w:qFormat/>
    <w:locked/>
    <w:uiPriority w:val="0"/>
    <w:pPr>
      <w:spacing w:before="156" w:beforeLines="50" w:after="156" w:afterLines="50"/>
      <w:ind w:left="426" w:right="-11" w:hanging="426" w:hangingChars="203"/>
    </w:pPr>
    <w:rPr>
      <w:rFonts w:eastAsia="楷体_GB2312"/>
    </w:rPr>
  </w:style>
  <w:style w:type="paragraph" w:styleId="17">
    <w:name w:val="toc 3"/>
    <w:basedOn w:val="1"/>
    <w:next w:val="1"/>
    <w:qFormat/>
    <w:uiPriority w:val="0"/>
    <w:pPr>
      <w:tabs>
        <w:tab w:val="right" w:leader="dot" w:pos="9170"/>
      </w:tabs>
      <w:ind w:left="360"/>
      <w:jc w:val="left"/>
    </w:pPr>
    <w:rPr>
      <w:rFonts w:eastAsia="宋体"/>
      <w:color w:val="000000"/>
      <w:sz w:val="20"/>
    </w:rPr>
  </w:style>
  <w:style w:type="paragraph" w:styleId="18">
    <w:name w:val="Plain Text"/>
    <w:basedOn w:val="1"/>
    <w:next w:val="1"/>
    <w:link w:val="61"/>
    <w:qFormat/>
    <w:uiPriority w:val="99"/>
    <w:pPr>
      <w:widowControl w:val="0"/>
      <w:jc w:val="both"/>
    </w:pPr>
    <w:rPr>
      <w:rFonts w:ascii="宋体" w:hAnsi="Courier New"/>
      <w:kern w:val="2"/>
    </w:rPr>
  </w:style>
  <w:style w:type="paragraph" w:styleId="19">
    <w:name w:val="Date"/>
    <w:basedOn w:val="1"/>
    <w:next w:val="1"/>
    <w:link w:val="53"/>
    <w:qFormat/>
    <w:uiPriority w:val="99"/>
    <w:pPr>
      <w:widowControl w:val="0"/>
      <w:jc w:val="both"/>
    </w:pPr>
    <w:rPr>
      <w:kern w:val="2"/>
    </w:rPr>
  </w:style>
  <w:style w:type="paragraph" w:styleId="20">
    <w:name w:val="Body Text Indent 2"/>
    <w:basedOn w:val="1"/>
    <w:link w:val="54"/>
    <w:qFormat/>
    <w:uiPriority w:val="99"/>
    <w:pPr>
      <w:spacing w:after="120" w:line="480" w:lineRule="auto"/>
      <w:ind w:left="420" w:leftChars="200"/>
    </w:pPr>
  </w:style>
  <w:style w:type="paragraph" w:styleId="21">
    <w:name w:val="Balloon Text"/>
    <w:basedOn w:val="1"/>
    <w:link w:val="55"/>
    <w:semiHidden/>
    <w:qFormat/>
    <w:uiPriority w:val="99"/>
    <w:rPr>
      <w:sz w:val="18"/>
      <w:szCs w:val="18"/>
    </w:rPr>
  </w:style>
  <w:style w:type="paragraph" w:styleId="22">
    <w:name w:val="footer"/>
    <w:basedOn w:val="1"/>
    <w:next w:val="1"/>
    <w:link w:val="56"/>
    <w:qFormat/>
    <w:uiPriority w:val="99"/>
    <w:pPr>
      <w:tabs>
        <w:tab w:val="center" w:pos="4153"/>
        <w:tab w:val="right" w:pos="8306"/>
      </w:tabs>
      <w:snapToGrid w:val="0"/>
    </w:pPr>
    <w:rPr>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qFormat/>
    <w:uiPriority w:val="99"/>
    <w:pPr>
      <w:tabs>
        <w:tab w:val="left" w:pos="720"/>
      </w:tabs>
      <w:spacing w:line="480" w:lineRule="exact"/>
      <w:jc w:val="center"/>
    </w:pPr>
    <w:rPr>
      <w:rFonts w:ascii="宋体"/>
      <w:b/>
      <w:bCs/>
      <w:sz w:val="28"/>
      <w:szCs w:val="28"/>
    </w:rPr>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toc 2"/>
    <w:basedOn w:val="1"/>
    <w:next w:val="1"/>
    <w:semiHidden/>
    <w:qFormat/>
    <w:uiPriority w:val="99"/>
    <w:pPr>
      <w:ind w:left="420" w:leftChars="200"/>
    </w:pPr>
  </w:style>
  <w:style w:type="paragraph" w:styleId="28">
    <w:name w:val="Body Text 2"/>
    <w:basedOn w:val="1"/>
    <w:unhideWhenUsed/>
    <w:qFormat/>
    <w:locked/>
    <w:uiPriority w:val="99"/>
    <w:pPr>
      <w:spacing w:line="480" w:lineRule="auto"/>
    </w:pPr>
  </w:style>
  <w:style w:type="paragraph" w:styleId="29">
    <w:name w:val="Normal (Web)"/>
    <w:basedOn w:val="1"/>
    <w:qFormat/>
    <w:uiPriority w:val="99"/>
    <w:pPr>
      <w:spacing w:beforeAutospacing="1" w:afterAutospacing="1"/>
    </w:pPr>
    <w:rPr>
      <w:rFonts w:ascii="宋体" w:hAnsi="宋体" w:cs="宋体"/>
      <w:sz w:val="24"/>
      <w:szCs w:val="24"/>
    </w:rPr>
  </w:style>
  <w:style w:type="paragraph" w:styleId="30">
    <w:name w:val="annotation subject"/>
    <w:basedOn w:val="12"/>
    <w:next w:val="12"/>
    <w:link w:val="48"/>
    <w:semiHidden/>
    <w:qFormat/>
    <w:uiPriority w:val="99"/>
    <w:rPr>
      <w:b/>
      <w:bCs/>
    </w:rPr>
  </w:style>
  <w:style w:type="paragraph" w:styleId="31">
    <w:name w:val="Body Text First Indent 2"/>
    <w:basedOn w:val="15"/>
    <w:qFormat/>
    <w:locked/>
    <w:uiPriority w:val="0"/>
    <w:pPr>
      <w:ind w:left="200" w:firstLine="200" w:firstLineChars="200"/>
      <w:jc w:val="both"/>
    </w:pPr>
    <w:rPr>
      <w:kern w:val="2"/>
    </w:rPr>
  </w:style>
  <w:style w:type="table" w:styleId="33">
    <w:name w:val="Table Grid"/>
    <w:basedOn w:val="32"/>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 Char Char1"/>
    <w:basedOn w:val="11"/>
    <w:link w:val="34"/>
    <w:qFormat/>
    <w:uiPriority w:val="0"/>
    <w:pPr>
      <w:shd w:val="clear" w:color="auto" w:fill="000080"/>
    </w:pPr>
    <w:rPr>
      <w:rFonts w:cs="Times New Roman"/>
      <w:sz w:val="24"/>
      <w:szCs w:val="24"/>
    </w:rPr>
  </w:style>
  <w:style w:type="character" w:styleId="36">
    <w:name w:val="Strong"/>
    <w:basedOn w:val="34"/>
    <w:qFormat/>
    <w:uiPriority w:val="0"/>
    <w:rPr>
      <w:b/>
    </w:rPr>
  </w:style>
  <w:style w:type="character" w:styleId="37">
    <w:name w:val="page number"/>
    <w:basedOn w:val="34"/>
    <w:qFormat/>
    <w:uiPriority w:val="99"/>
    <w:rPr>
      <w:rFonts w:cs="Times New Roman"/>
    </w:rPr>
  </w:style>
  <w:style w:type="character" w:styleId="38">
    <w:name w:val="Emphasis"/>
    <w:basedOn w:val="34"/>
    <w:qFormat/>
    <w:uiPriority w:val="99"/>
    <w:rPr>
      <w:rFonts w:cs="Times New Roman"/>
      <w:color w:val="CC0000"/>
    </w:rPr>
  </w:style>
  <w:style w:type="character" w:styleId="39">
    <w:name w:val="Hyperlink"/>
    <w:basedOn w:val="34"/>
    <w:qFormat/>
    <w:uiPriority w:val="99"/>
    <w:rPr>
      <w:rFonts w:cs="Times New Roman"/>
      <w:color w:val="0000FF"/>
      <w:u w:val="single"/>
    </w:rPr>
  </w:style>
  <w:style w:type="character" w:styleId="40">
    <w:name w:val="annotation reference"/>
    <w:basedOn w:val="34"/>
    <w:semiHidden/>
    <w:qFormat/>
    <w:uiPriority w:val="99"/>
    <w:rPr>
      <w:rFonts w:cs="Times New Roman"/>
      <w:sz w:val="21"/>
    </w:rPr>
  </w:style>
  <w:style w:type="character" w:customStyle="1" w:styleId="41">
    <w:name w:val="标题 3 Char"/>
    <w:basedOn w:val="34"/>
    <w:link w:val="5"/>
    <w:qFormat/>
    <w:locked/>
    <w:uiPriority w:val="99"/>
    <w:rPr>
      <w:rFonts w:ascii="宋体" w:eastAsia="宋体" w:cs="Times New Roman"/>
      <w:sz w:val="21"/>
      <w:lang w:val="en-US" w:eastAsia="zh-CN"/>
    </w:rPr>
  </w:style>
  <w:style w:type="character" w:customStyle="1" w:styleId="42">
    <w:name w:val="标题 2 Char"/>
    <w:basedOn w:val="34"/>
    <w:link w:val="4"/>
    <w:qFormat/>
    <w:locked/>
    <w:uiPriority w:val="99"/>
    <w:rPr>
      <w:rFonts w:ascii="宋体" w:hAnsi="Arial" w:eastAsia="宋体" w:cs="Times New Roman"/>
      <w:b/>
      <w:sz w:val="32"/>
      <w:lang w:val="en-US" w:eastAsia="zh-CN"/>
    </w:rPr>
  </w:style>
  <w:style w:type="character" w:customStyle="1" w:styleId="43">
    <w:name w:val="标题 1 Char"/>
    <w:basedOn w:val="34"/>
    <w:link w:val="3"/>
    <w:qFormat/>
    <w:locked/>
    <w:uiPriority w:val="99"/>
    <w:rPr>
      <w:rFonts w:eastAsia="宋体" w:cs="Times New Roman"/>
      <w:b/>
      <w:kern w:val="44"/>
      <w:sz w:val="44"/>
      <w:lang w:val="en-US" w:eastAsia="zh-CN"/>
    </w:rPr>
  </w:style>
  <w:style w:type="paragraph" w:customStyle="1" w:styleId="44">
    <w:name w:val="Char Char Char"/>
    <w:basedOn w:val="1"/>
    <w:qFormat/>
    <w:uiPriority w:val="99"/>
    <w:pPr>
      <w:widowControl w:val="0"/>
      <w:jc w:val="both"/>
    </w:pPr>
    <w:rPr>
      <w:rFonts w:ascii="Tahoma" w:hAnsi="Tahoma"/>
      <w:kern w:val="2"/>
      <w:sz w:val="24"/>
    </w:rPr>
  </w:style>
  <w:style w:type="character" w:customStyle="1" w:styleId="45">
    <w:name w:val="标题 4 Char"/>
    <w:basedOn w:val="34"/>
    <w:link w:val="6"/>
    <w:semiHidden/>
    <w:qFormat/>
    <w:locked/>
    <w:uiPriority w:val="99"/>
    <w:rPr>
      <w:rFonts w:ascii="Cambria" w:hAnsi="Cambria" w:eastAsia="宋体" w:cs="Times New Roman"/>
      <w:b/>
      <w:bCs/>
      <w:kern w:val="0"/>
      <w:sz w:val="28"/>
      <w:szCs w:val="28"/>
    </w:rPr>
  </w:style>
  <w:style w:type="character" w:customStyle="1" w:styleId="46">
    <w:name w:val="标题 9 Char"/>
    <w:basedOn w:val="34"/>
    <w:link w:val="7"/>
    <w:semiHidden/>
    <w:qFormat/>
    <w:locked/>
    <w:uiPriority w:val="99"/>
    <w:rPr>
      <w:rFonts w:ascii="Cambria" w:hAnsi="Cambria" w:eastAsia="宋体" w:cs="Times New Roman"/>
      <w:kern w:val="0"/>
      <w:sz w:val="21"/>
      <w:szCs w:val="21"/>
    </w:rPr>
  </w:style>
  <w:style w:type="character" w:customStyle="1" w:styleId="47">
    <w:name w:val="批注文字 Char"/>
    <w:basedOn w:val="34"/>
    <w:link w:val="12"/>
    <w:semiHidden/>
    <w:qFormat/>
    <w:locked/>
    <w:uiPriority w:val="99"/>
    <w:rPr>
      <w:rFonts w:cs="Times New Roman"/>
      <w:kern w:val="0"/>
      <w:sz w:val="20"/>
      <w:szCs w:val="20"/>
    </w:rPr>
  </w:style>
  <w:style w:type="character" w:customStyle="1" w:styleId="48">
    <w:name w:val="批注主题 Char"/>
    <w:basedOn w:val="47"/>
    <w:link w:val="30"/>
    <w:semiHidden/>
    <w:qFormat/>
    <w:locked/>
    <w:uiPriority w:val="99"/>
    <w:rPr>
      <w:rFonts w:cs="Times New Roman"/>
      <w:b/>
      <w:bCs/>
      <w:kern w:val="0"/>
      <w:sz w:val="20"/>
      <w:szCs w:val="20"/>
    </w:rPr>
  </w:style>
  <w:style w:type="character" w:customStyle="1" w:styleId="49">
    <w:name w:val="文档结构图 Char"/>
    <w:basedOn w:val="34"/>
    <w:link w:val="11"/>
    <w:qFormat/>
    <w:locked/>
    <w:uiPriority w:val="99"/>
    <w:rPr>
      <w:rFonts w:ascii="宋体" w:cs="Times New Roman"/>
      <w:sz w:val="18"/>
    </w:rPr>
  </w:style>
  <w:style w:type="character" w:customStyle="1" w:styleId="50">
    <w:name w:val="正文文本 3 Char"/>
    <w:basedOn w:val="34"/>
    <w:link w:val="13"/>
    <w:qFormat/>
    <w:locked/>
    <w:uiPriority w:val="99"/>
    <w:rPr>
      <w:rFonts w:eastAsia="宋体" w:cs="Times New Roman"/>
      <w:sz w:val="16"/>
      <w:lang w:val="en-US" w:eastAsia="zh-CN"/>
    </w:rPr>
  </w:style>
  <w:style w:type="character" w:customStyle="1" w:styleId="51">
    <w:name w:val="正文文本缩进 Char"/>
    <w:basedOn w:val="34"/>
    <w:link w:val="15"/>
    <w:semiHidden/>
    <w:qFormat/>
    <w:locked/>
    <w:uiPriority w:val="99"/>
    <w:rPr>
      <w:rFonts w:cs="Times New Roman"/>
      <w:kern w:val="0"/>
      <w:sz w:val="20"/>
      <w:szCs w:val="20"/>
    </w:rPr>
  </w:style>
  <w:style w:type="character" w:customStyle="1" w:styleId="52">
    <w:name w:val="Plain Text Char"/>
    <w:basedOn w:val="34"/>
    <w:qFormat/>
    <w:locked/>
    <w:uiPriority w:val="99"/>
    <w:rPr>
      <w:rFonts w:ascii="宋体" w:hAnsi="Courier New" w:eastAsia="宋体" w:cs="Times New Roman"/>
      <w:kern w:val="0"/>
      <w:sz w:val="21"/>
    </w:rPr>
  </w:style>
  <w:style w:type="character" w:customStyle="1" w:styleId="53">
    <w:name w:val="日期 Char"/>
    <w:basedOn w:val="34"/>
    <w:link w:val="19"/>
    <w:semiHidden/>
    <w:qFormat/>
    <w:locked/>
    <w:uiPriority w:val="99"/>
    <w:rPr>
      <w:rFonts w:cs="Times New Roman"/>
      <w:kern w:val="0"/>
      <w:sz w:val="20"/>
      <w:szCs w:val="20"/>
    </w:rPr>
  </w:style>
  <w:style w:type="character" w:customStyle="1" w:styleId="54">
    <w:name w:val="正文文本缩进 2 Char"/>
    <w:basedOn w:val="34"/>
    <w:link w:val="20"/>
    <w:semiHidden/>
    <w:qFormat/>
    <w:locked/>
    <w:uiPriority w:val="99"/>
    <w:rPr>
      <w:rFonts w:cs="Times New Roman"/>
      <w:kern w:val="0"/>
      <w:sz w:val="20"/>
      <w:szCs w:val="20"/>
    </w:rPr>
  </w:style>
  <w:style w:type="character" w:customStyle="1" w:styleId="55">
    <w:name w:val="批注框文本 Char"/>
    <w:basedOn w:val="34"/>
    <w:link w:val="21"/>
    <w:semiHidden/>
    <w:qFormat/>
    <w:locked/>
    <w:uiPriority w:val="99"/>
    <w:rPr>
      <w:rFonts w:cs="Times New Roman"/>
      <w:kern w:val="0"/>
      <w:sz w:val="2"/>
    </w:rPr>
  </w:style>
  <w:style w:type="character" w:customStyle="1" w:styleId="56">
    <w:name w:val="页脚 Char"/>
    <w:basedOn w:val="34"/>
    <w:link w:val="22"/>
    <w:qFormat/>
    <w:locked/>
    <w:uiPriority w:val="99"/>
    <w:rPr>
      <w:rFonts w:eastAsia="宋体" w:cs="Times New Roman"/>
      <w:sz w:val="18"/>
      <w:lang w:val="en-US" w:eastAsia="zh-CN"/>
    </w:rPr>
  </w:style>
  <w:style w:type="character" w:customStyle="1" w:styleId="57">
    <w:name w:val="Header Char"/>
    <w:basedOn w:val="34"/>
    <w:qFormat/>
    <w:locked/>
    <w:uiPriority w:val="99"/>
    <w:rPr>
      <w:rFonts w:cs="Times New Roman"/>
      <w:sz w:val="18"/>
    </w:rPr>
  </w:style>
  <w:style w:type="character" w:customStyle="1" w:styleId="58">
    <w:name w:val="Normal Indent Char"/>
    <w:qFormat/>
    <w:locked/>
    <w:uiPriority w:val="99"/>
    <w:rPr>
      <w:rFonts w:ascii="Times New Roman" w:hAnsi="Times New Roman" w:eastAsia="宋体"/>
      <w:kern w:val="0"/>
      <w:sz w:val="20"/>
    </w:rPr>
  </w:style>
  <w:style w:type="character" w:customStyle="1" w:styleId="59">
    <w:name w:val="正文缩进 Char"/>
    <w:link w:val="9"/>
    <w:qFormat/>
    <w:locked/>
    <w:uiPriority w:val="99"/>
    <w:rPr>
      <w:rFonts w:ascii="宋体" w:eastAsia="宋体"/>
      <w:snapToGrid w:val="0"/>
      <w:color w:val="000000"/>
      <w:sz w:val="21"/>
      <w:lang w:val="en-US" w:eastAsia="zh-CN"/>
    </w:rPr>
  </w:style>
  <w:style w:type="character" w:customStyle="1" w:styleId="60">
    <w:name w:val="font01"/>
    <w:qFormat/>
    <w:uiPriority w:val="99"/>
    <w:rPr>
      <w:rFonts w:ascii="宋体" w:hAnsi="宋体" w:eastAsia="宋体"/>
      <w:color w:val="000000"/>
      <w:sz w:val="24"/>
      <w:u w:val="none"/>
    </w:rPr>
  </w:style>
  <w:style w:type="character" w:customStyle="1" w:styleId="61">
    <w:name w:val="纯文本 Char"/>
    <w:link w:val="18"/>
    <w:qFormat/>
    <w:locked/>
    <w:uiPriority w:val="99"/>
    <w:rPr>
      <w:rFonts w:ascii="宋体" w:hAnsi="Courier New" w:eastAsia="宋体"/>
      <w:kern w:val="2"/>
      <w:sz w:val="21"/>
      <w:lang w:val="en-US" w:eastAsia="zh-CN"/>
    </w:rPr>
  </w:style>
  <w:style w:type="character" w:customStyle="1" w:styleId="62">
    <w:name w:val="style81"/>
    <w:qFormat/>
    <w:uiPriority w:val="99"/>
    <w:rPr>
      <w:sz w:val="21"/>
    </w:rPr>
  </w:style>
  <w:style w:type="character" w:customStyle="1" w:styleId="63">
    <w:name w:val="页眉 Char"/>
    <w:link w:val="23"/>
    <w:qFormat/>
    <w:locked/>
    <w:uiPriority w:val="99"/>
    <w:rPr>
      <w:rFonts w:eastAsia="宋体"/>
      <w:sz w:val="18"/>
      <w:lang w:val="en-US" w:eastAsia="zh-CN"/>
    </w:rPr>
  </w:style>
  <w:style w:type="paragraph" w:customStyle="1" w:styleId="64">
    <w:name w:val="_Style 10"/>
    <w:basedOn w:val="1"/>
    <w:qFormat/>
    <w:uiPriority w:val="99"/>
    <w:pPr>
      <w:spacing w:after="160" w:line="240" w:lineRule="exact"/>
    </w:pPr>
    <w:rPr>
      <w:rFonts w:ascii="Verdana" w:hAnsi="Verdana"/>
      <w:lang w:eastAsia="en-US"/>
    </w:rPr>
  </w:style>
  <w:style w:type="paragraph" w:customStyle="1" w:styleId="65">
    <w:name w:val="0段落文字"/>
    <w:basedOn w:val="1"/>
    <w:qFormat/>
    <w:uiPriority w:val="99"/>
    <w:pPr>
      <w:spacing w:line="360" w:lineRule="auto"/>
      <w:ind w:firstLine="200" w:firstLineChars="200"/>
    </w:pPr>
    <w:rPr>
      <w:sz w:val="24"/>
      <w:szCs w:val="21"/>
    </w:rPr>
  </w:style>
  <w:style w:type="paragraph" w:customStyle="1" w:styleId="66">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7">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8">
    <w:name w:val="_正文段落"/>
    <w:basedOn w:val="1"/>
    <w:qFormat/>
    <w:uiPriority w:val="99"/>
    <w:pPr>
      <w:spacing w:line="360" w:lineRule="auto"/>
      <w:ind w:firstLine="480" w:firstLineChars="200"/>
    </w:pPr>
    <w:rPr>
      <w:rFonts w:ascii="宋体" w:hAnsi="宋体"/>
      <w:sz w:val="24"/>
    </w:rPr>
  </w:style>
  <w:style w:type="paragraph" w:customStyle="1" w:styleId="69">
    <w:name w:val="列出段落1"/>
    <w:basedOn w:val="1"/>
    <w:qFormat/>
    <w:uiPriority w:val="99"/>
    <w:pPr>
      <w:widowControl w:val="0"/>
      <w:ind w:firstLine="420" w:firstLineChars="200"/>
      <w:jc w:val="both"/>
    </w:pPr>
    <w:rPr>
      <w:rFonts w:ascii="Calibri" w:hAnsi="Calibri"/>
      <w:kern w:val="2"/>
      <w:szCs w:val="22"/>
    </w:rPr>
  </w:style>
  <w:style w:type="paragraph" w:customStyle="1" w:styleId="70">
    <w:name w:val="表格文字"/>
    <w:basedOn w:val="1"/>
    <w:qFormat/>
    <w:uiPriority w:val="99"/>
    <w:pPr>
      <w:widowControl w:val="0"/>
      <w:spacing w:before="25" w:after="25"/>
    </w:pPr>
    <w:rPr>
      <w:bCs/>
      <w:spacing w:val="10"/>
      <w:sz w:val="24"/>
    </w:rPr>
  </w:style>
  <w:style w:type="paragraph" w:customStyle="1" w:styleId="71">
    <w:name w:val="Char1"/>
    <w:basedOn w:val="1"/>
    <w:qFormat/>
    <w:uiPriority w:val="99"/>
    <w:pPr>
      <w:spacing w:after="160" w:line="240" w:lineRule="exact"/>
    </w:pPr>
    <w:rPr>
      <w:rFonts w:ascii="Verdana" w:hAnsi="Verdana"/>
      <w:lang w:eastAsia="en-US"/>
    </w:rPr>
  </w:style>
  <w:style w:type="paragraph" w:customStyle="1" w:styleId="72">
    <w:name w:val="题注5"/>
    <w:basedOn w:val="1"/>
    <w:next w:val="10"/>
    <w:qFormat/>
    <w:uiPriority w:val="99"/>
    <w:pPr>
      <w:widowControl w:val="0"/>
      <w:jc w:val="center"/>
    </w:pPr>
    <w:rPr>
      <w:b/>
      <w:color w:val="000000"/>
      <w:kern w:val="2"/>
      <w:sz w:val="24"/>
      <w:szCs w:val="21"/>
    </w:rPr>
  </w:style>
  <w:style w:type="paragraph" w:customStyle="1" w:styleId="73">
    <w:name w:val="列出段落2"/>
    <w:basedOn w:val="1"/>
    <w:qFormat/>
    <w:uiPriority w:val="99"/>
    <w:pPr>
      <w:widowControl w:val="0"/>
      <w:ind w:firstLine="420" w:firstLineChars="200"/>
      <w:jc w:val="both"/>
    </w:pPr>
    <w:rPr>
      <w:rFonts w:ascii="Calibri" w:hAnsi="Calibri"/>
      <w:kern w:val="2"/>
      <w:szCs w:val="22"/>
    </w:rPr>
  </w:style>
  <w:style w:type="paragraph" w:customStyle="1" w:styleId="74">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5">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6">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7">
    <w:name w:val="Char Char11"/>
    <w:basedOn w:val="34"/>
    <w:qFormat/>
    <w:uiPriority w:val="0"/>
    <w:rPr>
      <w:rFonts w:ascii="Verdana" w:hAnsi="Verdana"/>
      <w:lang w:eastAsia="en-US"/>
    </w:rPr>
  </w:style>
  <w:style w:type="paragraph" w:customStyle="1" w:styleId="78">
    <w:name w:val="Table Paragraph"/>
    <w:basedOn w:val="1"/>
    <w:qFormat/>
    <w:uiPriority w:val="1"/>
    <w:rPr>
      <w:rFonts w:ascii="宋体" w:hAnsi="宋体" w:cs="宋体"/>
      <w:lang w:val="zh-CN" w:bidi="zh-CN"/>
    </w:rPr>
  </w:style>
  <w:style w:type="paragraph" w:customStyle="1" w:styleId="79">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普通(网站)_0"/>
    <w:basedOn w:val="79"/>
    <w:unhideWhenUsed/>
    <w:qFormat/>
    <w:uiPriority w:val="99"/>
    <w:rPr>
      <w:rFonts w:ascii="Times New Roman" w:hAnsi="Times New Roman"/>
      <w:sz w:val="24"/>
      <w:szCs w:val="24"/>
    </w:rPr>
  </w:style>
  <w:style w:type="paragraph" w:styleId="81">
    <w:name w:val="List Paragraph"/>
    <w:basedOn w:val="1"/>
    <w:qFormat/>
    <w:uiPriority w:val="1"/>
    <w:pPr>
      <w:spacing w:before="1"/>
      <w:ind w:left="440" w:firstLine="480"/>
    </w:pPr>
    <w:rPr>
      <w:rFonts w:ascii="宋体" w:hAnsi="宋体" w:cs="宋体"/>
      <w:lang w:val="zh-CN" w:bidi="zh-CN"/>
    </w:rPr>
  </w:style>
  <w:style w:type="character" w:customStyle="1" w:styleId="82">
    <w:name w:val="font21"/>
    <w:basedOn w:val="34"/>
    <w:qFormat/>
    <w:uiPriority w:val="0"/>
    <w:rPr>
      <w:rFonts w:hint="eastAsia" w:ascii="宋体" w:hAnsi="宋体" w:eastAsia="宋体" w:cs="宋体"/>
      <w:color w:val="FF0000"/>
      <w:sz w:val="20"/>
      <w:szCs w:val="20"/>
      <w:u w:val="none"/>
    </w:rPr>
  </w:style>
  <w:style w:type="character" w:customStyle="1" w:styleId="83">
    <w:name w:val="font11"/>
    <w:basedOn w:val="34"/>
    <w:qFormat/>
    <w:uiPriority w:val="0"/>
    <w:rPr>
      <w:rFonts w:hint="eastAsia" w:ascii="宋体" w:hAnsi="宋体" w:eastAsia="宋体" w:cs="宋体"/>
      <w:color w:val="000000"/>
      <w:sz w:val="22"/>
      <w:szCs w:val="22"/>
      <w:u w:val="none"/>
    </w:rPr>
  </w:style>
  <w:style w:type="paragraph" w:customStyle="1" w:styleId="84">
    <w:name w:val="样式1"/>
    <w:basedOn w:val="1"/>
    <w:qFormat/>
    <w:uiPriority w:val="0"/>
  </w:style>
  <w:style w:type="paragraph" w:customStyle="1" w:styleId="85">
    <w:name w:val="正文_1_0"/>
    <w:basedOn w:val="86"/>
    <w:qFormat/>
    <w:uiPriority w:val="0"/>
    <w:rPr>
      <w:rFonts w:ascii="Calibri" w:hAnsi="Calibri"/>
      <w:szCs w:val="21"/>
    </w:rPr>
  </w:style>
  <w:style w:type="paragraph" w:customStyle="1" w:styleId="8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标题 3_0_0"/>
    <w:basedOn w:val="86"/>
    <w:next w:val="86"/>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8">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89">
    <w:name w:val="10"/>
    <w:basedOn w:val="34"/>
    <w:qFormat/>
    <w:uiPriority w:val="0"/>
    <w:rPr>
      <w:rFonts w:hint="default" w:ascii="Times New Roman" w:hAnsi="Times New Roman" w:cs="Times New Roman"/>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19</TotalTime>
  <ScaleCrop>false</ScaleCrop>
  <LinksUpToDate>false</LinksUpToDate>
  <CharactersWithSpaces>32899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2017-08-25T03:24:00Z</cp:lastPrinted>
  <dcterms:modified xsi:type="dcterms:W3CDTF">2021-08-16T08:28:09Z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6F39111FDDAE42A791C48C60AEBA166F</vt:lpwstr>
  </property>
</Properties>
</file>