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77" w:lineRule="atLeast"/>
        <w:ind w:left="1"/>
        <w:jc w:val="center"/>
        <w:textAlignment w:val="bottom"/>
        <w:rPr>
          <w:rFonts w:hint="eastAsia" w:ascii="宋体" w:hAnsi="宋体" w:cs="宋体"/>
          <w:b/>
          <w:bCs/>
          <w:color w:val="auto"/>
          <w:sz w:val="36"/>
          <w:szCs w:val="28"/>
          <w:highlight w:val="none"/>
          <w:lang w:val="zh-CN"/>
        </w:rPr>
      </w:pPr>
    </w:p>
    <w:p>
      <w:pPr>
        <w:spacing w:line="777" w:lineRule="atLeast"/>
        <w:ind w:left="1"/>
        <w:jc w:val="center"/>
        <w:textAlignment w:val="bottom"/>
        <w:rPr>
          <w:rFonts w:hint="eastAsia" w:ascii="宋体" w:hAnsi="宋体" w:cs="宋体"/>
          <w:b/>
          <w:bCs/>
          <w:color w:val="auto"/>
          <w:sz w:val="56"/>
          <w:szCs w:val="48"/>
          <w:highlight w:val="none"/>
          <w:lang w:val="zh-CN"/>
        </w:rPr>
      </w:pPr>
      <w:r>
        <w:rPr>
          <w:rFonts w:hint="eastAsia" w:ascii="宋体" w:hAnsi="宋体" w:cs="宋体"/>
          <w:b/>
          <w:bCs/>
          <w:color w:val="auto"/>
          <w:sz w:val="56"/>
          <w:szCs w:val="48"/>
          <w:highlight w:val="none"/>
          <w:lang w:val="zh-CN"/>
        </w:rPr>
        <w:t>永宁镇下岔河村人居环境整治项目</w:t>
      </w:r>
    </w:p>
    <w:p>
      <w:pPr>
        <w:spacing w:line="777" w:lineRule="atLeast"/>
        <w:ind w:left="1"/>
        <w:jc w:val="center"/>
        <w:textAlignment w:val="bottom"/>
        <w:rPr>
          <w:rFonts w:hint="eastAsia" w:ascii="宋体" w:hAnsi="宋体" w:eastAsia="宋体" w:cs="宋体"/>
          <w:b/>
          <w:bCs/>
          <w:color w:val="auto"/>
          <w:spacing w:val="198"/>
          <w:kern w:val="0"/>
          <w:sz w:val="52"/>
          <w:szCs w:val="52"/>
          <w:highlight w:val="none"/>
        </w:rPr>
      </w:pPr>
    </w:p>
    <w:p>
      <w:pPr>
        <w:pStyle w:val="10"/>
        <w:widowControl w:val="0"/>
        <w:numPr>
          <w:ilvl w:val="0"/>
          <w:numId w:val="0"/>
        </w:numPr>
        <w:jc w:val="both"/>
        <w:rPr>
          <w:rFonts w:hint="eastAsia" w:ascii="宋体" w:hAnsi="宋体" w:eastAsia="宋体" w:cs="宋体"/>
          <w:b/>
          <w:bCs/>
          <w:color w:val="auto"/>
          <w:spacing w:val="198"/>
          <w:kern w:val="0"/>
          <w:sz w:val="52"/>
          <w:szCs w:val="52"/>
          <w:highlight w:val="none"/>
          <w:lang w:val="en-US" w:eastAsia="zh-CN"/>
        </w:rPr>
      </w:pPr>
      <w:r>
        <w:rPr>
          <w:rFonts w:hint="eastAsia" w:ascii="宋体" w:hAnsi="宋体" w:eastAsia="宋体" w:cs="宋体"/>
          <w:b/>
          <w:bCs/>
          <w:color w:val="auto"/>
          <w:spacing w:val="198"/>
          <w:kern w:val="0"/>
          <w:sz w:val="52"/>
          <w:szCs w:val="52"/>
          <w:highlight w:val="none"/>
          <w:lang w:val="en-US" w:eastAsia="zh-CN"/>
        </w:rPr>
        <w:t xml:space="preserve">   </w:t>
      </w:r>
    </w:p>
    <w:p>
      <w:pPr>
        <w:pStyle w:val="10"/>
        <w:widowControl w:val="0"/>
        <w:numPr>
          <w:ilvl w:val="0"/>
          <w:numId w:val="0"/>
        </w:numPr>
        <w:jc w:val="both"/>
        <w:rPr>
          <w:rFonts w:hint="eastAsia" w:ascii="宋体" w:hAnsi="宋体" w:eastAsia="宋体" w:cs="宋体"/>
          <w:b/>
          <w:bCs/>
          <w:color w:val="auto"/>
          <w:spacing w:val="198"/>
          <w:kern w:val="0"/>
          <w:sz w:val="52"/>
          <w:szCs w:val="52"/>
          <w:highlight w:val="none"/>
          <w:lang w:val="en-US" w:eastAsia="zh-CN"/>
        </w:rPr>
      </w:pPr>
    </w:p>
    <w:p>
      <w:pPr>
        <w:pStyle w:val="10"/>
        <w:widowControl w:val="0"/>
        <w:numPr>
          <w:ilvl w:val="0"/>
          <w:numId w:val="0"/>
        </w:numPr>
        <w:jc w:val="both"/>
        <w:rPr>
          <w:rFonts w:hint="default" w:ascii="宋体" w:hAnsi="宋体" w:eastAsia="宋体" w:cs="宋体"/>
          <w:b/>
          <w:bCs/>
          <w:color w:val="auto"/>
          <w:spacing w:val="198"/>
          <w:kern w:val="0"/>
          <w:sz w:val="52"/>
          <w:szCs w:val="52"/>
          <w:highlight w:val="none"/>
          <w:lang w:val="en-US" w:eastAsia="zh-CN"/>
        </w:rPr>
      </w:pPr>
    </w:p>
    <w:p>
      <w:pPr>
        <w:pStyle w:val="10"/>
        <w:widowControl w:val="0"/>
        <w:numPr>
          <w:ilvl w:val="0"/>
          <w:numId w:val="0"/>
        </w:numPr>
        <w:jc w:val="both"/>
        <w:rPr>
          <w:rFonts w:hint="eastAsia" w:ascii="宋体" w:hAnsi="宋体" w:eastAsia="宋体" w:cs="宋体"/>
          <w:b/>
          <w:bCs/>
          <w:color w:val="auto"/>
          <w:spacing w:val="198"/>
          <w:kern w:val="0"/>
          <w:sz w:val="52"/>
          <w:szCs w:val="52"/>
          <w:highlight w:val="none"/>
        </w:rPr>
      </w:pPr>
    </w:p>
    <w:p>
      <w:pPr>
        <w:spacing w:line="777" w:lineRule="atLeast"/>
        <w:ind w:left="1"/>
        <w:jc w:val="center"/>
        <w:textAlignment w:val="bottom"/>
        <w:rPr>
          <w:rFonts w:hint="eastAsia" w:ascii="宋体" w:hAnsi="宋体" w:eastAsia="宋体" w:cs="宋体"/>
          <w:b/>
          <w:bCs/>
          <w:color w:val="auto"/>
          <w:spacing w:val="198"/>
          <w:kern w:val="0"/>
          <w:sz w:val="52"/>
          <w:szCs w:val="52"/>
          <w:highlight w:val="none"/>
        </w:rPr>
      </w:pPr>
      <w:r>
        <w:rPr>
          <w:rFonts w:hint="eastAsia" w:ascii="宋体" w:hAnsi="宋体" w:eastAsia="宋体" w:cs="宋体"/>
          <w:b/>
          <w:bCs/>
          <w:color w:val="auto"/>
          <w:spacing w:val="198"/>
          <w:kern w:val="0"/>
          <w:sz w:val="52"/>
          <w:szCs w:val="52"/>
          <w:highlight w:val="none"/>
        </w:rPr>
        <w:t>竞争性磋商文件</w:t>
      </w:r>
    </w:p>
    <w:p>
      <w:pPr>
        <w:pStyle w:val="6"/>
        <w:ind w:firstLine="1400" w:firstLineChars="5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XJZTZFCG(CS)-</w:t>
      </w:r>
      <w:r>
        <w:rPr>
          <w:rFonts w:hint="eastAsia" w:ascii="宋体" w:hAnsi="宋体" w:cs="宋体"/>
          <w:color w:val="auto"/>
          <w:sz w:val="28"/>
          <w:szCs w:val="28"/>
          <w:highlight w:val="none"/>
          <w:lang w:val="en-US" w:eastAsia="zh-CN"/>
        </w:rPr>
        <w:t>2024-004</w:t>
      </w:r>
    </w:p>
    <w:p>
      <w:pPr>
        <w:spacing w:line="365" w:lineRule="atLeast"/>
        <w:ind w:left="1"/>
        <w:jc w:val="center"/>
        <w:textAlignment w:val="bottom"/>
        <w:rPr>
          <w:rFonts w:hint="eastAsia" w:ascii="宋体" w:hAnsi="宋体" w:eastAsia="宋体" w:cs="宋体"/>
          <w:b/>
          <w:bCs/>
          <w:color w:val="auto"/>
          <w:kern w:val="0"/>
          <w:sz w:val="32"/>
          <w:szCs w:val="32"/>
          <w:highlight w:val="none"/>
        </w:rPr>
      </w:pPr>
    </w:p>
    <w:p>
      <w:pPr>
        <w:spacing w:line="365" w:lineRule="atLeast"/>
        <w:ind w:left="1"/>
        <w:jc w:val="center"/>
        <w:textAlignment w:val="bottom"/>
        <w:rPr>
          <w:rFonts w:hint="eastAsia" w:ascii="宋体" w:hAnsi="宋体" w:eastAsia="宋体" w:cs="宋体"/>
          <w:b/>
          <w:bCs/>
          <w:color w:val="auto"/>
          <w:kern w:val="0"/>
          <w:sz w:val="32"/>
          <w:szCs w:val="32"/>
          <w:highlight w:val="none"/>
        </w:rPr>
      </w:pPr>
    </w:p>
    <w:p>
      <w:pPr>
        <w:spacing w:line="365" w:lineRule="atLeast"/>
        <w:ind w:left="1"/>
        <w:jc w:val="center"/>
        <w:textAlignment w:val="bottom"/>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 xml:space="preserve"> </w:t>
      </w:r>
    </w:p>
    <w:p>
      <w:pPr>
        <w:spacing w:line="365" w:lineRule="atLeast"/>
        <w:ind w:left="1"/>
        <w:textAlignment w:val="bottom"/>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 xml:space="preserve"> </w:t>
      </w: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pStyle w:val="28"/>
        <w:rPr>
          <w:rFonts w:hint="eastAsia" w:ascii="宋体" w:hAnsi="宋体" w:eastAsia="宋体" w:cs="宋体"/>
          <w:b/>
          <w:bCs/>
          <w:color w:val="auto"/>
          <w:sz w:val="32"/>
          <w:szCs w:val="32"/>
          <w:highlight w:val="none"/>
        </w:rPr>
      </w:pPr>
    </w:p>
    <w:p>
      <w:pPr>
        <w:spacing w:line="720" w:lineRule="auto"/>
        <w:jc w:val="left"/>
        <w:textAlignment w:val="bottom"/>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en-US" w:eastAsia="zh-CN"/>
        </w:rPr>
        <w:t>招标</w:t>
      </w:r>
      <w:r>
        <w:rPr>
          <w:rFonts w:hint="eastAsia" w:ascii="宋体" w:hAnsi="宋体" w:eastAsia="宋体" w:cs="宋体"/>
          <w:b/>
          <w:bCs/>
          <w:color w:val="auto"/>
          <w:kern w:val="0"/>
          <w:sz w:val="30"/>
          <w:szCs w:val="30"/>
          <w:highlight w:val="none"/>
        </w:rPr>
        <w:t>人：</w:t>
      </w:r>
      <w:r>
        <w:rPr>
          <w:rFonts w:hint="eastAsia" w:ascii="宋体" w:hAnsi="宋体" w:eastAsia="宋体" w:cs="宋体"/>
          <w:b/>
          <w:bCs/>
          <w:color w:val="auto"/>
          <w:kern w:val="0"/>
          <w:sz w:val="30"/>
          <w:szCs w:val="30"/>
          <w:highlight w:val="none"/>
          <w:lang w:eastAsia="zh-CN"/>
        </w:rPr>
        <w:t>焉耆回族自治县永宁镇人民政府</w:t>
      </w:r>
    </w:p>
    <w:p>
      <w:pPr>
        <w:spacing w:line="720" w:lineRule="auto"/>
        <w:jc w:val="left"/>
        <w:textAlignment w:val="bottom"/>
        <w:rPr>
          <w:rFonts w:hint="eastAsia" w:ascii="宋体" w:hAnsi="宋体" w:eastAsia="宋体" w:cs="宋体"/>
          <w:b/>
          <w:color w:val="auto"/>
          <w:spacing w:val="160"/>
          <w:sz w:val="36"/>
          <w:szCs w:val="36"/>
          <w:highlight w:val="none"/>
        </w:rPr>
      </w:pPr>
      <w:r>
        <w:rPr>
          <w:rFonts w:hint="eastAsia" w:ascii="宋体" w:hAnsi="宋体" w:eastAsia="宋体" w:cs="宋体"/>
          <w:b/>
          <w:bCs/>
          <w:color w:val="auto"/>
          <w:kern w:val="0"/>
          <w:sz w:val="30"/>
          <w:szCs w:val="30"/>
          <w:highlight w:val="none"/>
        </w:rPr>
        <w:t>招标代理机构：</w:t>
      </w:r>
      <w:r>
        <w:rPr>
          <w:rFonts w:hint="eastAsia" w:ascii="宋体" w:hAnsi="宋体" w:eastAsia="宋体" w:cs="宋体"/>
          <w:b/>
          <w:bCs/>
          <w:color w:val="auto"/>
          <w:kern w:val="0"/>
          <w:sz w:val="30"/>
          <w:szCs w:val="30"/>
          <w:highlight w:val="none"/>
          <w:lang w:eastAsia="zh-CN"/>
        </w:rPr>
        <w:t>新疆智投工程项目管理有限公司</w:t>
      </w:r>
    </w:p>
    <w:p>
      <w:pPr>
        <w:spacing w:line="365" w:lineRule="atLeast"/>
        <w:ind w:firstLine="2811" w:firstLineChars="1000"/>
        <w:jc w:val="both"/>
        <w:textAlignment w:val="bottom"/>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二零二</w:t>
      </w:r>
      <w:r>
        <w:rPr>
          <w:rFonts w:hint="eastAsia" w:ascii="宋体" w:hAnsi="宋体" w:cs="宋体"/>
          <w:b/>
          <w:bCs/>
          <w:color w:val="auto"/>
          <w:kern w:val="0"/>
          <w:sz w:val="28"/>
          <w:szCs w:val="28"/>
          <w:highlight w:val="none"/>
          <w:lang w:val="en-US" w:eastAsia="zh-CN"/>
        </w:rPr>
        <w:t>四</w:t>
      </w:r>
      <w:r>
        <w:rPr>
          <w:rFonts w:hint="eastAsia" w:ascii="宋体" w:hAnsi="宋体" w:eastAsia="宋体" w:cs="宋体"/>
          <w:b/>
          <w:bCs/>
          <w:color w:val="auto"/>
          <w:kern w:val="0"/>
          <w:sz w:val="28"/>
          <w:szCs w:val="28"/>
          <w:highlight w:val="none"/>
          <w:lang w:eastAsia="zh-CN"/>
        </w:rPr>
        <w:t>年</w:t>
      </w:r>
      <w:r>
        <w:rPr>
          <w:rFonts w:hint="eastAsia" w:ascii="宋体" w:hAnsi="宋体" w:eastAsia="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lang w:eastAsia="zh-CN"/>
        </w:rPr>
        <w:t>月</w:t>
      </w:r>
    </w:p>
    <w:p>
      <w:pPr>
        <w:pStyle w:val="14"/>
        <w:adjustRightInd w:val="0"/>
        <w:snapToGrid w:val="0"/>
        <w:spacing w:line="360" w:lineRule="auto"/>
        <w:jc w:val="center"/>
        <w:rPr>
          <w:rFonts w:hint="eastAsia" w:ascii="宋体" w:hAnsi="宋体" w:eastAsia="宋体" w:cs="宋体"/>
          <w:b/>
          <w:color w:val="auto"/>
          <w:spacing w:val="160"/>
          <w:sz w:val="36"/>
          <w:szCs w:val="36"/>
          <w:highlight w:val="none"/>
        </w:rPr>
      </w:pPr>
    </w:p>
    <w:p>
      <w:pPr>
        <w:pStyle w:val="14"/>
        <w:adjustRightInd w:val="0"/>
        <w:snapToGrid w:val="0"/>
        <w:spacing w:line="360" w:lineRule="auto"/>
        <w:jc w:val="center"/>
        <w:rPr>
          <w:rFonts w:hint="eastAsia" w:ascii="宋体" w:hAnsi="宋体" w:eastAsia="宋体" w:cs="宋体"/>
          <w:b/>
          <w:color w:val="auto"/>
          <w:spacing w:val="160"/>
          <w:sz w:val="36"/>
          <w:szCs w:val="36"/>
          <w:highlight w:val="none"/>
        </w:rPr>
      </w:pPr>
    </w:p>
    <w:p>
      <w:pPr>
        <w:pStyle w:val="14"/>
        <w:adjustRightInd w:val="0"/>
        <w:snapToGrid w:val="0"/>
        <w:spacing w:line="360" w:lineRule="auto"/>
        <w:jc w:val="both"/>
        <w:rPr>
          <w:rFonts w:hint="eastAsia" w:ascii="宋体" w:hAnsi="宋体" w:eastAsia="宋体" w:cs="宋体"/>
          <w:b/>
          <w:color w:val="auto"/>
          <w:spacing w:val="160"/>
          <w:sz w:val="36"/>
          <w:szCs w:val="36"/>
          <w:highlight w:val="none"/>
        </w:rPr>
      </w:pPr>
    </w:p>
    <w:p>
      <w:pPr>
        <w:pStyle w:val="14"/>
        <w:adjustRightInd w:val="0"/>
        <w:snapToGrid w:val="0"/>
        <w:spacing w:line="360" w:lineRule="auto"/>
        <w:jc w:val="center"/>
        <w:rPr>
          <w:rFonts w:hint="eastAsia" w:ascii="宋体" w:hAnsi="宋体" w:eastAsia="宋体" w:cs="宋体"/>
          <w:b/>
          <w:color w:val="auto"/>
          <w:spacing w:val="160"/>
          <w:sz w:val="36"/>
          <w:szCs w:val="36"/>
          <w:highlight w:val="none"/>
        </w:rPr>
      </w:pPr>
    </w:p>
    <w:p>
      <w:pPr>
        <w:pStyle w:val="14"/>
        <w:adjustRightInd w:val="0"/>
        <w:snapToGrid w:val="0"/>
        <w:spacing w:line="360" w:lineRule="auto"/>
        <w:jc w:val="center"/>
        <w:rPr>
          <w:rFonts w:hint="eastAsia" w:ascii="宋体" w:hAnsi="宋体" w:eastAsia="宋体" w:cs="宋体"/>
          <w:b/>
          <w:color w:val="auto"/>
          <w:spacing w:val="160"/>
          <w:sz w:val="36"/>
          <w:szCs w:val="36"/>
          <w:highlight w:val="none"/>
        </w:rPr>
      </w:pPr>
      <w:r>
        <w:rPr>
          <w:rFonts w:hint="eastAsia" w:ascii="宋体" w:hAnsi="宋体" w:eastAsia="宋体" w:cs="宋体"/>
          <w:b/>
          <w:color w:val="auto"/>
          <w:spacing w:val="160"/>
          <w:sz w:val="36"/>
          <w:szCs w:val="36"/>
          <w:highlight w:val="none"/>
        </w:rPr>
        <w:t>目录</w:t>
      </w:r>
    </w:p>
    <w:p>
      <w:pPr>
        <w:autoSpaceDE w:val="0"/>
        <w:autoSpaceDN w:val="0"/>
        <w:adjustRightInd w:val="0"/>
        <w:snapToGrid w:val="0"/>
        <w:spacing w:line="360" w:lineRule="auto"/>
        <w:rPr>
          <w:rFonts w:hint="eastAsia" w:ascii="宋体" w:hAnsi="宋体" w:eastAsia="宋体" w:cs="宋体"/>
          <w:color w:val="auto"/>
          <w:sz w:val="24"/>
          <w:szCs w:val="24"/>
          <w:highlight w:val="none"/>
        </w:rPr>
        <w:sectPr>
          <w:headerReference r:id="rId4" w:type="default"/>
          <w:footerReference r:id="rId5" w:type="default"/>
          <w:pgSz w:w="11906" w:h="16839"/>
          <w:pgMar w:top="400" w:right="1477" w:bottom="655" w:left="1491" w:header="0" w:footer="447" w:gutter="0"/>
          <w:pgBorders>
            <w:top w:val="none" w:sz="0" w:space="0"/>
            <w:left w:val="none" w:sz="0" w:space="0"/>
            <w:bottom w:val="none" w:sz="0" w:space="0"/>
            <w:right w:val="none" w:sz="0" w:space="0"/>
          </w:pgBorders>
          <w:pgNumType w:fmt="decimal"/>
          <w:cols w:space="720" w:num="1"/>
        </w:sectPr>
      </w:pPr>
    </w:p>
    <w:p>
      <w:pPr>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8"/>
        <w:tabs>
          <w:tab w:val="right" w:leader="dot" w:pos="8834"/>
        </w:tabs>
        <w:ind w:firstLine="1260" w:firstLineChars="225"/>
        <w:rPr>
          <w:rFonts w:hint="eastAsia" w:ascii="宋体" w:hAnsi="宋体" w:eastAsia="宋体" w:cs="宋体"/>
          <w:b/>
          <w:bCs/>
          <w:color w:val="auto"/>
          <w:sz w:val="28"/>
          <w:szCs w:val="28"/>
          <w:highlight w:val="none"/>
        </w:rPr>
      </w:pPr>
      <w:r>
        <w:rPr>
          <w:rFonts w:hint="eastAsia" w:ascii="宋体" w:hAnsi="宋体" w:eastAsia="宋体" w:cs="宋体"/>
          <w:color w:val="auto"/>
          <w:spacing w:val="160"/>
          <w:szCs w:val="24"/>
          <w:highlight w:val="none"/>
        </w:rPr>
        <w:fldChar w:fldCharType="begin"/>
      </w:r>
      <w:r>
        <w:rPr>
          <w:rFonts w:hint="eastAsia" w:ascii="宋体" w:hAnsi="宋体" w:eastAsia="宋体" w:cs="宋体"/>
          <w:color w:val="auto"/>
          <w:spacing w:val="160"/>
          <w:szCs w:val="24"/>
          <w:highlight w:val="none"/>
        </w:rPr>
        <w:instrText xml:space="preserve">TOC \o "1-3" \h \u </w:instrText>
      </w:r>
      <w:r>
        <w:rPr>
          <w:rFonts w:hint="eastAsia" w:ascii="宋体" w:hAnsi="宋体" w:eastAsia="宋体" w:cs="宋体"/>
          <w:color w:val="auto"/>
          <w:spacing w:val="160"/>
          <w:szCs w:val="24"/>
          <w:highlight w:val="none"/>
        </w:rPr>
        <w:fldChar w:fldCharType="separate"/>
      </w:r>
      <w:r>
        <w:rPr>
          <w:rFonts w:hint="eastAsia" w:ascii="宋体" w:hAnsi="宋体" w:eastAsia="宋体" w:cs="宋体"/>
          <w:b/>
          <w:bCs/>
          <w:color w:val="auto"/>
          <w:sz w:val="28"/>
          <w:szCs w:val="28"/>
          <w:highlight w:val="none"/>
        </w:rPr>
        <w:fldChar w:fldCharType="begin"/>
      </w:r>
      <w:r>
        <w:rPr>
          <w:rStyle w:val="26"/>
          <w:rFonts w:hint="eastAsia" w:ascii="宋体" w:hAnsi="宋体" w:eastAsia="宋体" w:cs="宋体"/>
          <w:b/>
          <w:bCs/>
          <w:color w:val="auto"/>
          <w:sz w:val="28"/>
          <w:szCs w:val="28"/>
          <w:highlight w:val="none"/>
        </w:rPr>
        <w:instrText xml:space="preserve"> HYPERLINK \l "_Toc256000000" </w:instrText>
      </w:r>
      <w:r>
        <w:rPr>
          <w:rFonts w:hint="eastAsia" w:ascii="宋体" w:hAnsi="宋体" w:eastAsia="宋体" w:cs="宋体"/>
          <w:b/>
          <w:bCs/>
          <w:color w:val="auto"/>
          <w:sz w:val="28"/>
          <w:szCs w:val="28"/>
          <w:highlight w:val="none"/>
        </w:rPr>
        <w:fldChar w:fldCharType="separate"/>
      </w:r>
      <w:r>
        <w:rPr>
          <w:rStyle w:val="26"/>
          <w:rFonts w:hint="eastAsia" w:ascii="宋体" w:hAnsi="宋体" w:eastAsia="宋体" w:cs="宋体"/>
          <w:b/>
          <w:bCs/>
          <w:color w:val="auto"/>
          <w:sz w:val="28"/>
          <w:szCs w:val="28"/>
          <w:highlight w:val="none"/>
        </w:rPr>
        <w:t>第一章  磋商公告</w:t>
      </w:r>
      <w:r>
        <w:rPr>
          <w:rFonts w:hint="eastAsia" w:ascii="宋体" w:hAnsi="宋体" w:eastAsia="宋体" w:cs="宋体"/>
          <w:b/>
          <w:bCs/>
          <w:color w:val="auto"/>
          <w:sz w:val="28"/>
          <w:szCs w:val="28"/>
          <w:highlight w:val="none"/>
        </w:rPr>
        <w:fldChar w:fldCharType="end"/>
      </w:r>
    </w:p>
    <w:p>
      <w:pPr>
        <w:pStyle w:val="18"/>
        <w:tabs>
          <w:tab w:val="right" w:leader="dot" w:pos="8834"/>
        </w:tabs>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Style w:val="26"/>
          <w:rFonts w:hint="eastAsia" w:ascii="宋体" w:hAnsi="宋体" w:eastAsia="宋体" w:cs="宋体"/>
          <w:b/>
          <w:bCs/>
          <w:color w:val="auto"/>
          <w:sz w:val="28"/>
          <w:szCs w:val="28"/>
          <w:highlight w:val="none"/>
        </w:rPr>
        <w:instrText xml:space="preserve"> HYPERLINK \l "_Toc256000001" </w:instrText>
      </w:r>
      <w:r>
        <w:rPr>
          <w:rFonts w:hint="eastAsia" w:ascii="宋体" w:hAnsi="宋体" w:eastAsia="宋体" w:cs="宋体"/>
          <w:b/>
          <w:bCs/>
          <w:color w:val="auto"/>
          <w:sz w:val="28"/>
          <w:szCs w:val="28"/>
          <w:highlight w:val="none"/>
        </w:rPr>
        <w:fldChar w:fldCharType="separate"/>
      </w:r>
      <w:r>
        <w:rPr>
          <w:rStyle w:val="26"/>
          <w:rFonts w:hint="eastAsia" w:ascii="宋体" w:hAnsi="宋体" w:eastAsia="宋体" w:cs="宋体"/>
          <w:b/>
          <w:bCs/>
          <w:color w:val="auto"/>
          <w:sz w:val="28"/>
          <w:szCs w:val="28"/>
          <w:highlight w:val="none"/>
        </w:rPr>
        <w:t>第二章  磋商须知</w:t>
      </w:r>
      <w:r>
        <w:rPr>
          <w:rFonts w:hint="eastAsia" w:ascii="宋体" w:hAnsi="宋体" w:eastAsia="宋体" w:cs="宋体"/>
          <w:b/>
          <w:bCs/>
          <w:color w:val="auto"/>
          <w:sz w:val="28"/>
          <w:szCs w:val="28"/>
          <w:highlight w:val="none"/>
        </w:rPr>
        <w:fldChar w:fldCharType="end"/>
      </w:r>
    </w:p>
    <w:p>
      <w:pPr>
        <w:pStyle w:val="18"/>
        <w:tabs>
          <w:tab w:val="right" w:leader="dot" w:pos="8834"/>
        </w:tabs>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Style w:val="26"/>
          <w:rFonts w:hint="eastAsia" w:ascii="宋体" w:hAnsi="宋体" w:eastAsia="宋体" w:cs="宋体"/>
          <w:b/>
          <w:bCs/>
          <w:color w:val="auto"/>
          <w:sz w:val="28"/>
          <w:szCs w:val="28"/>
          <w:highlight w:val="none"/>
        </w:rPr>
        <w:instrText xml:space="preserve"> HYPERLINK \l "_Toc256000013" </w:instrText>
      </w:r>
      <w:r>
        <w:rPr>
          <w:rFonts w:hint="eastAsia" w:ascii="宋体" w:hAnsi="宋体" w:eastAsia="宋体" w:cs="宋体"/>
          <w:b/>
          <w:bCs/>
          <w:color w:val="auto"/>
          <w:sz w:val="28"/>
          <w:szCs w:val="28"/>
          <w:highlight w:val="none"/>
        </w:rPr>
        <w:fldChar w:fldCharType="separate"/>
      </w:r>
      <w:r>
        <w:rPr>
          <w:rStyle w:val="26"/>
          <w:rFonts w:hint="eastAsia" w:ascii="宋体" w:hAnsi="宋体" w:eastAsia="宋体" w:cs="宋体"/>
          <w:b/>
          <w:bCs/>
          <w:color w:val="auto"/>
          <w:sz w:val="28"/>
          <w:szCs w:val="28"/>
          <w:highlight w:val="none"/>
        </w:rPr>
        <w:t>第三章  评审方法（综合评分法）</w:t>
      </w:r>
      <w:r>
        <w:rPr>
          <w:rFonts w:hint="eastAsia" w:ascii="宋体" w:hAnsi="宋体" w:eastAsia="宋体" w:cs="宋体"/>
          <w:b/>
          <w:bCs/>
          <w:color w:val="auto"/>
          <w:sz w:val="28"/>
          <w:szCs w:val="28"/>
          <w:highlight w:val="none"/>
        </w:rPr>
        <w:fldChar w:fldCharType="end"/>
      </w:r>
    </w:p>
    <w:p>
      <w:pPr>
        <w:pStyle w:val="18"/>
        <w:tabs>
          <w:tab w:val="right" w:leader="dot" w:pos="8834"/>
        </w:tabs>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Style w:val="26"/>
          <w:rFonts w:hint="eastAsia" w:ascii="宋体" w:hAnsi="宋体" w:eastAsia="宋体" w:cs="宋体"/>
          <w:b/>
          <w:bCs/>
          <w:color w:val="auto"/>
          <w:sz w:val="28"/>
          <w:szCs w:val="28"/>
          <w:highlight w:val="none"/>
        </w:rPr>
        <w:instrText xml:space="preserve"> HYPERLINK \l "_Toc256000014" </w:instrText>
      </w:r>
      <w:r>
        <w:rPr>
          <w:rFonts w:hint="eastAsia" w:ascii="宋体" w:hAnsi="宋体" w:eastAsia="宋体" w:cs="宋体"/>
          <w:b/>
          <w:bCs/>
          <w:color w:val="auto"/>
          <w:sz w:val="28"/>
          <w:szCs w:val="28"/>
          <w:highlight w:val="none"/>
        </w:rPr>
        <w:fldChar w:fldCharType="separate"/>
      </w:r>
      <w:r>
        <w:rPr>
          <w:rStyle w:val="26"/>
          <w:rFonts w:hint="eastAsia" w:ascii="宋体" w:hAnsi="宋体" w:eastAsia="宋体" w:cs="宋体"/>
          <w:b/>
          <w:bCs/>
          <w:color w:val="auto"/>
          <w:sz w:val="28"/>
          <w:szCs w:val="28"/>
          <w:highlight w:val="none"/>
        </w:rPr>
        <w:t>第四章  合同条款</w:t>
      </w:r>
      <w:r>
        <w:rPr>
          <w:rFonts w:hint="eastAsia" w:ascii="宋体" w:hAnsi="宋体" w:eastAsia="宋体" w:cs="宋体"/>
          <w:b/>
          <w:bCs/>
          <w:color w:val="auto"/>
          <w:sz w:val="28"/>
          <w:szCs w:val="28"/>
          <w:highlight w:val="none"/>
        </w:rPr>
        <w:fldChar w:fldCharType="end"/>
      </w:r>
    </w:p>
    <w:p>
      <w:pPr>
        <w:pStyle w:val="18"/>
        <w:tabs>
          <w:tab w:val="right" w:leader="dot" w:pos="8834"/>
        </w:tabs>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Style w:val="26"/>
          <w:rFonts w:hint="eastAsia" w:ascii="宋体" w:hAnsi="宋体" w:eastAsia="宋体" w:cs="宋体"/>
          <w:b/>
          <w:bCs/>
          <w:color w:val="auto"/>
          <w:sz w:val="28"/>
          <w:szCs w:val="28"/>
          <w:highlight w:val="none"/>
        </w:rPr>
        <w:instrText xml:space="preserve"> HYPERLINK \l "_Toc256000039" </w:instrText>
      </w:r>
      <w:r>
        <w:rPr>
          <w:rFonts w:hint="eastAsia" w:ascii="宋体" w:hAnsi="宋体" w:eastAsia="宋体" w:cs="宋体"/>
          <w:b/>
          <w:bCs/>
          <w:color w:val="auto"/>
          <w:sz w:val="28"/>
          <w:szCs w:val="28"/>
          <w:highlight w:val="none"/>
        </w:rPr>
        <w:fldChar w:fldCharType="separate"/>
      </w:r>
      <w:r>
        <w:rPr>
          <w:rStyle w:val="26"/>
          <w:rFonts w:hint="eastAsia" w:ascii="宋体" w:hAnsi="宋体" w:eastAsia="宋体" w:cs="宋体"/>
          <w:b/>
          <w:bCs/>
          <w:color w:val="auto"/>
          <w:sz w:val="28"/>
          <w:szCs w:val="28"/>
          <w:highlight w:val="none"/>
        </w:rPr>
        <w:t>第五章  工程量清单</w:t>
      </w:r>
      <w:r>
        <w:rPr>
          <w:rFonts w:hint="eastAsia" w:ascii="宋体" w:hAnsi="宋体" w:eastAsia="宋体" w:cs="宋体"/>
          <w:b/>
          <w:bCs/>
          <w:color w:val="auto"/>
          <w:sz w:val="28"/>
          <w:szCs w:val="28"/>
          <w:highlight w:val="none"/>
        </w:rPr>
        <w:fldChar w:fldCharType="end"/>
      </w:r>
    </w:p>
    <w:p>
      <w:pPr>
        <w:pStyle w:val="18"/>
        <w:tabs>
          <w:tab w:val="right" w:leader="dot" w:pos="8834"/>
        </w:tabs>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Style w:val="26"/>
          <w:rFonts w:hint="eastAsia" w:ascii="宋体" w:hAnsi="宋体" w:eastAsia="宋体" w:cs="宋体"/>
          <w:b/>
          <w:bCs/>
          <w:color w:val="auto"/>
          <w:sz w:val="28"/>
          <w:szCs w:val="28"/>
          <w:highlight w:val="none"/>
        </w:rPr>
        <w:instrText xml:space="preserve"> HYPERLINK \l "_Toc256000043" </w:instrText>
      </w:r>
      <w:r>
        <w:rPr>
          <w:rFonts w:hint="eastAsia" w:ascii="宋体" w:hAnsi="宋体" w:eastAsia="宋体" w:cs="宋体"/>
          <w:b/>
          <w:bCs/>
          <w:color w:val="auto"/>
          <w:sz w:val="28"/>
          <w:szCs w:val="28"/>
          <w:highlight w:val="none"/>
        </w:rPr>
        <w:fldChar w:fldCharType="separate"/>
      </w:r>
      <w:r>
        <w:rPr>
          <w:rStyle w:val="26"/>
          <w:rFonts w:hint="eastAsia" w:ascii="宋体" w:hAnsi="宋体" w:eastAsia="宋体" w:cs="宋体"/>
          <w:b/>
          <w:bCs/>
          <w:color w:val="auto"/>
          <w:sz w:val="28"/>
          <w:szCs w:val="28"/>
          <w:highlight w:val="none"/>
        </w:rPr>
        <w:t>第六章  图纸</w:t>
      </w:r>
      <w:r>
        <w:rPr>
          <w:rFonts w:hint="eastAsia" w:ascii="宋体" w:hAnsi="宋体" w:eastAsia="宋体" w:cs="宋体"/>
          <w:b/>
          <w:bCs/>
          <w:color w:val="auto"/>
          <w:sz w:val="28"/>
          <w:szCs w:val="28"/>
          <w:highlight w:val="none"/>
        </w:rPr>
        <w:fldChar w:fldCharType="end"/>
      </w:r>
    </w:p>
    <w:p>
      <w:pPr>
        <w:pStyle w:val="18"/>
        <w:tabs>
          <w:tab w:val="right" w:leader="dot" w:pos="8834"/>
        </w:tabs>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Style w:val="26"/>
          <w:rFonts w:hint="eastAsia" w:ascii="宋体" w:hAnsi="宋体" w:eastAsia="宋体" w:cs="宋体"/>
          <w:b/>
          <w:bCs/>
          <w:color w:val="auto"/>
          <w:sz w:val="28"/>
          <w:szCs w:val="28"/>
          <w:highlight w:val="none"/>
        </w:rPr>
        <w:instrText xml:space="preserve"> HYPERLINK \l "_Toc256000044" </w:instrText>
      </w:r>
      <w:r>
        <w:rPr>
          <w:rFonts w:hint="eastAsia" w:ascii="宋体" w:hAnsi="宋体" w:eastAsia="宋体" w:cs="宋体"/>
          <w:b/>
          <w:bCs/>
          <w:color w:val="auto"/>
          <w:sz w:val="28"/>
          <w:szCs w:val="28"/>
          <w:highlight w:val="none"/>
        </w:rPr>
        <w:fldChar w:fldCharType="separate"/>
      </w:r>
      <w:r>
        <w:rPr>
          <w:rStyle w:val="26"/>
          <w:rFonts w:hint="eastAsia" w:ascii="宋体" w:hAnsi="宋体" w:eastAsia="宋体" w:cs="宋体"/>
          <w:b/>
          <w:bCs/>
          <w:color w:val="auto"/>
          <w:sz w:val="28"/>
          <w:szCs w:val="28"/>
          <w:highlight w:val="none"/>
        </w:rPr>
        <w:t>第七章  响应文件格式</w:t>
      </w:r>
      <w:r>
        <w:rPr>
          <w:rFonts w:hint="eastAsia" w:ascii="宋体" w:hAnsi="宋体" w:eastAsia="宋体" w:cs="宋体"/>
          <w:b/>
          <w:bCs/>
          <w:color w:val="auto"/>
          <w:sz w:val="28"/>
          <w:szCs w:val="28"/>
          <w:highlight w:val="none"/>
        </w:rPr>
        <w:fldChar w:fldCharType="end"/>
      </w:r>
    </w:p>
    <w:p>
      <w:pPr>
        <w:pStyle w:val="21"/>
        <w:tabs>
          <w:tab w:val="right" w:leader="dot" w:pos="8834"/>
        </w:tabs>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bookmarkStart w:id="0" w:name="_Toc456291340"/>
      <w:bookmarkStart w:id="1" w:name="_Toc462487357"/>
      <w:bookmarkStart w:id="2" w:name="_Toc456291246"/>
      <w:bookmarkStart w:id="3" w:name="_Toc456291523"/>
      <w:bookmarkStart w:id="4" w:name="_Toc456291266"/>
      <w:bookmarkStart w:id="5" w:name="_Toc456291465"/>
      <w:bookmarkStart w:id="69" w:name="_GoBack"/>
      <w:bookmarkEnd w:id="69"/>
      <w:r>
        <w:rPr>
          <w:rFonts w:hint="eastAsia" w:ascii="宋体" w:hAnsi="宋体" w:eastAsia="宋体" w:cs="宋体"/>
          <w:color w:val="auto"/>
          <w:sz w:val="24"/>
          <w:szCs w:val="24"/>
          <w:highlight w:val="none"/>
        </w:rPr>
        <w:t xml:space="preserve">  </w:t>
      </w:r>
    </w:p>
    <w:p>
      <w:pPr>
        <w:pStyle w:val="12"/>
        <w:numPr>
          <w:ilvl w:val="0"/>
          <w:numId w:val="3"/>
        </w:numPr>
        <w:tabs>
          <w:tab w:val="left" w:pos="640"/>
          <w:tab w:val="clear" w:pos="993"/>
        </w:tabs>
        <w:ind w:left="2905" w:leftChars="0" w:firstLine="0" w:firstLineChars="0"/>
        <w:jc w:val="both"/>
        <w:rPr>
          <w:rFonts w:hint="eastAsia" w:ascii="宋体" w:hAnsi="宋体" w:eastAsia="宋体" w:cs="宋体"/>
          <w:bCs/>
          <w:color w:val="auto"/>
          <w:sz w:val="36"/>
          <w:szCs w:val="36"/>
          <w:highlight w:val="none"/>
        </w:rPr>
      </w:pPr>
      <w:r>
        <w:rPr>
          <w:rFonts w:hint="eastAsia" w:ascii="宋体" w:hAnsi="宋体" w:eastAsia="宋体" w:cs="宋体"/>
          <w:color w:val="auto"/>
          <w:spacing w:val="160"/>
          <w:sz w:val="24"/>
          <w:szCs w:val="24"/>
          <w:highlight w:val="none"/>
        </w:rPr>
        <w:br w:type="page"/>
      </w:r>
      <w:bookmarkEnd w:id="0"/>
      <w:bookmarkEnd w:id="1"/>
      <w:bookmarkEnd w:id="2"/>
      <w:bookmarkEnd w:id="3"/>
      <w:bookmarkEnd w:id="4"/>
      <w:bookmarkEnd w:id="5"/>
      <w:bookmarkStart w:id="6" w:name="_Toc529952597"/>
      <w:bookmarkStart w:id="7" w:name="_Toc256000001"/>
      <w:r>
        <w:rPr>
          <w:rFonts w:hint="eastAsia" w:ascii="宋体" w:hAnsi="宋体" w:eastAsia="宋体" w:cs="宋体"/>
          <w:bCs/>
          <w:color w:val="auto"/>
          <w:sz w:val="36"/>
          <w:szCs w:val="36"/>
          <w:highlight w:val="none"/>
          <w:lang w:val="en-US" w:eastAsia="zh-CN"/>
        </w:rPr>
        <w:t>竞争性磋商</w:t>
      </w:r>
      <w:r>
        <w:rPr>
          <w:rFonts w:hint="eastAsia" w:ascii="宋体" w:hAnsi="宋体" w:eastAsia="宋体" w:cs="宋体"/>
          <w:bCs/>
          <w:color w:val="auto"/>
          <w:sz w:val="36"/>
          <w:szCs w:val="36"/>
          <w:highlight w:val="none"/>
        </w:rPr>
        <w:t>公告</w:t>
      </w:r>
    </w:p>
    <w:p>
      <w:pPr>
        <w:pStyle w:val="80"/>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项目概况</w:t>
      </w:r>
    </w:p>
    <w:p>
      <w:pPr>
        <w:pStyle w:val="80"/>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u w:val="single"/>
          <w:lang w:val="en-US" w:eastAsia="zh-CN" w:bidi="ar-SA"/>
        </w:rPr>
        <w:t>永宁镇下岔河村人居环境整治项目</w:t>
      </w:r>
      <w:r>
        <w:rPr>
          <w:rFonts w:hint="eastAsia" w:ascii="宋体" w:hAnsi="宋体" w:eastAsia="宋体" w:cs="宋体"/>
          <w:color w:val="auto"/>
          <w:kern w:val="2"/>
          <w:sz w:val="21"/>
          <w:szCs w:val="21"/>
          <w:highlight w:val="none"/>
          <w:lang w:val="en-US" w:eastAsia="zh-CN" w:bidi="ar-SA"/>
        </w:rPr>
        <w:t>潜在供应商应登陆政采云平台https://www.zcygov.cn/在线申请获取采购文件（进入“项目采购”应用，在获取采购文件菜单中选择项目，申请获取采购文件） 获取（下载）获取采购文件，并于</w:t>
      </w:r>
      <w:r>
        <w:rPr>
          <w:rFonts w:hint="eastAsia" w:ascii="宋体" w:hAnsi="宋体" w:eastAsia="宋体" w:cs="宋体"/>
          <w:color w:val="0000FF"/>
          <w:kern w:val="2"/>
          <w:sz w:val="21"/>
          <w:szCs w:val="21"/>
          <w:highlight w:val="none"/>
          <w:lang w:val="en-US" w:eastAsia="zh-CN" w:bidi="ar-SA"/>
        </w:rPr>
        <w:t>202</w:t>
      </w:r>
      <w:r>
        <w:rPr>
          <w:rFonts w:hint="eastAsia" w:ascii="宋体" w:hAnsi="宋体" w:cs="宋体"/>
          <w:color w:val="0000FF"/>
          <w:kern w:val="2"/>
          <w:sz w:val="21"/>
          <w:szCs w:val="21"/>
          <w:highlight w:val="none"/>
          <w:lang w:val="en-US" w:eastAsia="zh-CN" w:bidi="ar-SA"/>
        </w:rPr>
        <w:t>4</w:t>
      </w:r>
      <w:r>
        <w:rPr>
          <w:rFonts w:hint="eastAsia" w:ascii="宋体" w:hAnsi="宋体" w:eastAsia="宋体" w:cs="宋体"/>
          <w:color w:val="0000FF"/>
          <w:kern w:val="2"/>
          <w:sz w:val="21"/>
          <w:szCs w:val="21"/>
          <w:highlight w:val="none"/>
          <w:lang w:val="en-US" w:eastAsia="zh-CN" w:bidi="ar-SA"/>
        </w:rPr>
        <w:t>年</w:t>
      </w:r>
      <w:r>
        <w:rPr>
          <w:rFonts w:hint="eastAsia" w:ascii="宋体" w:hAnsi="宋体" w:cs="宋体"/>
          <w:color w:val="0000FF"/>
          <w:kern w:val="2"/>
          <w:sz w:val="21"/>
          <w:szCs w:val="21"/>
          <w:highlight w:val="none"/>
          <w:lang w:val="en-US" w:eastAsia="zh-CN" w:bidi="ar-SA"/>
        </w:rPr>
        <w:t>4</w:t>
      </w:r>
      <w:r>
        <w:rPr>
          <w:rFonts w:hint="eastAsia" w:ascii="宋体" w:hAnsi="宋体" w:eastAsia="宋体" w:cs="宋体"/>
          <w:color w:val="0000FF"/>
          <w:kern w:val="2"/>
          <w:sz w:val="21"/>
          <w:szCs w:val="21"/>
          <w:highlight w:val="none"/>
          <w:lang w:val="en-US" w:eastAsia="zh-CN" w:bidi="ar-SA"/>
        </w:rPr>
        <w:t>月</w:t>
      </w:r>
      <w:r>
        <w:rPr>
          <w:rFonts w:hint="eastAsia" w:ascii="宋体" w:hAnsi="宋体" w:cs="宋体"/>
          <w:color w:val="0000FF"/>
          <w:kern w:val="2"/>
          <w:sz w:val="21"/>
          <w:szCs w:val="21"/>
          <w:highlight w:val="none"/>
          <w:lang w:val="en-US" w:eastAsia="zh-CN" w:bidi="ar-SA"/>
        </w:rPr>
        <w:t>12</w:t>
      </w:r>
      <w:r>
        <w:rPr>
          <w:rFonts w:hint="eastAsia" w:ascii="宋体" w:hAnsi="宋体" w:eastAsia="宋体" w:cs="宋体"/>
          <w:color w:val="0000FF"/>
          <w:kern w:val="2"/>
          <w:sz w:val="21"/>
          <w:szCs w:val="21"/>
          <w:highlight w:val="none"/>
          <w:lang w:val="en-US" w:eastAsia="zh-CN" w:bidi="ar-SA"/>
        </w:rPr>
        <w:t>日1</w:t>
      </w:r>
      <w:r>
        <w:rPr>
          <w:rFonts w:hint="eastAsia" w:ascii="宋体" w:hAnsi="宋体" w:cs="宋体"/>
          <w:color w:val="0000FF"/>
          <w:kern w:val="2"/>
          <w:sz w:val="21"/>
          <w:szCs w:val="21"/>
          <w:highlight w:val="none"/>
          <w:lang w:val="en-US" w:eastAsia="zh-CN" w:bidi="ar-SA"/>
        </w:rPr>
        <w:t>0</w:t>
      </w:r>
      <w:r>
        <w:rPr>
          <w:rFonts w:hint="eastAsia" w:ascii="宋体" w:hAnsi="宋体" w:eastAsia="宋体" w:cs="宋体"/>
          <w:color w:val="0000FF"/>
          <w:kern w:val="2"/>
          <w:sz w:val="21"/>
          <w:szCs w:val="21"/>
          <w:highlight w:val="none"/>
          <w:lang w:val="en-US" w:eastAsia="zh-CN" w:bidi="ar-SA"/>
        </w:rPr>
        <w:t>时</w:t>
      </w: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kern w:val="2"/>
          <w:sz w:val="21"/>
          <w:szCs w:val="21"/>
          <w:highlight w:val="none"/>
          <w:lang w:val="en-US" w:eastAsia="zh-CN" w:bidi="ar-SA"/>
        </w:rPr>
        <w:t>0分</w:t>
      </w:r>
      <w:r>
        <w:rPr>
          <w:rFonts w:hint="eastAsia" w:ascii="宋体" w:hAnsi="宋体" w:eastAsia="宋体" w:cs="宋体"/>
          <w:color w:val="auto"/>
          <w:kern w:val="2"/>
          <w:sz w:val="21"/>
          <w:szCs w:val="21"/>
          <w:highlight w:val="none"/>
          <w:lang w:val="en-US" w:eastAsia="zh-CN" w:bidi="ar-SA"/>
        </w:rPr>
        <w:t>（北京时间）前提交响应文件。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新疆智投工程项目管理有限公司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val="zh-CN" w:eastAsia="zh-CN"/>
        </w:rPr>
        <w:t>焉耆回族自治县永宁镇人民政府</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委托，对</w:t>
      </w:r>
      <w:r>
        <w:rPr>
          <w:rFonts w:hint="eastAsia" w:ascii="宋体" w:hAnsi="宋体" w:cs="宋体"/>
          <w:color w:val="auto"/>
          <w:sz w:val="21"/>
          <w:szCs w:val="21"/>
          <w:highlight w:val="none"/>
          <w:u w:val="single"/>
          <w:lang w:eastAsia="zh-CN"/>
        </w:rPr>
        <w:t>永宁镇下岔河村人居环境整治项目</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竞争性磋商采购</w:t>
      </w:r>
      <w:r>
        <w:rPr>
          <w:rFonts w:hint="eastAsia" w:ascii="宋体" w:hAnsi="宋体" w:eastAsia="宋体" w:cs="宋体"/>
          <w:color w:val="auto"/>
          <w:sz w:val="21"/>
          <w:szCs w:val="21"/>
          <w:highlight w:val="none"/>
        </w:rPr>
        <w:t>，欢迎符合资格条件的供应商</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rPr>
        <w:t>。</w:t>
      </w:r>
    </w:p>
    <w:p>
      <w:pPr>
        <w:pStyle w:val="12"/>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一、采购项目编号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XJZTZFCG(CS)-</w:t>
      </w:r>
      <w:r>
        <w:rPr>
          <w:rFonts w:hint="eastAsia" w:ascii="宋体" w:eastAsia="宋体" w:cs="宋体"/>
          <w:color w:val="auto"/>
          <w:sz w:val="21"/>
          <w:szCs w:val="21"/>
          <w:highlight w:val="none"/>
          <w:lang w:eastAsia="zh-CN"/>
        </w:rPr>
        <w:t>2024-004</w:t>
      </w:r>
    </w:p>
    <w:p>
      <w:pPr>
        <w:autoSpaceDE w:val="0"/>
        <w:autoSpaceDN w:val="0"/>
        <w:spacing w:line="360" w:lineRule="auto"/>
        <w:rPr>
          <w:rFonts w:hint="eastAsia" w:ascii="宋体" w:hAnsi="宋体" w:cs="宋体"/>
          <w:color w:val="auto"/>
          <w:sz w:val="21"/>
          <w:szCs w:val="21"/>
          <w:highlight w:val="none"/>
          <w:lang w:eastAsia="zh-CN"/>
        </w:rPr>
      </w:pPr>
      <w:r>
        <w:rPr>
          <w:rFonts w:hint="eastAsia" w:ascii="宋体" w:hAnsi="宋体" w:eastAsia="宋体" w:cs="宋体"/>
          <w:b/>
          <w:bCs/>
          <w:color w:val="auto"/>
          <w:sz w:val="21"/>
          <w:szCs w:val="21"/>
          <w:highlight w:val="none"/>
        </w:rPr>
        <w:t>二、采购项目名称：</w:t>
      </w:r>
      <w:r>
        <w:rPr>
          <w:rFonts w:hint="eastAsia" w:ascii="宋体" w:hAnsi="宋体" w:cs="宋体"/>
          <w:color w:val="auto"/>
          <w:sz w:val="21"/>
          <w:szCs w:val="21"/>
          <w:highlight w:val="none"/>
          <w:lang w:eastAsia="zh-CN"/>
        </w:rPr>
        <w:t>永宁镇下岔河村人居环境整治项目</w:t>
      </w:r>
    </w:p>
    <w:p>
      <w:pPr>
        <w:autoSpaceDE w:val="0"/>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三、项目内容及需求</w:t>
      </w:r>
      <w:r>
        <w:rPr>
          <w:rFonts w:hint="eastAsia" w:ascii="宋体" w:hAnsi="宋体" w:eastAsia="宋体" w:cs="宋体"/>
          <w:color w:val="auto"/>
          <w:sz w:val="21"/>
          <w:szCs w:val="21"/>
          <w:highlight w:val="none"/>
        </w:rPr>
        <w:t>：</w:t>
      </w:r>
    </w:p>
    <w:p>
      <w:pPr>
        <w:autoSpaceDE w:val="0"/>
        <w:autoSpaceDN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1、采购项目需求：</w:t>
      </w:r>
      <w:r>
        <w:rPr>
          <w:rFonts w:hint="eastAsia" w:ascii="宋体" w:hAnsi="宋体" w:cs="宋体"/>
          <w:color w:val="auto"/>
          <w:sz w:val="21"/>
          <w:szCs w:val="21"/>
          <w:highlight w:val="none"/>
          <w:lang w:val="en-US" w:eastAsia="zh-CN"/>
        </w:rPr>
        <w:t>下岔河村三四组居民点建设生态环境带及附属设施，安装公共照明设施，下岔村大门楼两侧地面硬化、铺吸水砖等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（具体内容</w:t>
      </w:r>
      <w:r>
        <w:rPr>
          <w:rFonts w:hint="eastAsia" w:ascii="宋体" w:hAnsi="宋体" w:eastAsia="宋体" w:cs="宋体"/>
          <w:color w:val="auto"/>
          <w:sz w:val="21"/>
          <w:szCs w:val="21"/>
          <w:highlight w:val="none"/>
          <w:lang w:val="en-US" w:eastAsia="zh-CN"/>
        </w:rPr>
        <w:t>详见磋商文件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2、采购项目预算金额：</w:t>
      </w:r>
      <w:r>
        <w:rPr>
          <w:rFonts w:hint="eastAsia" w:ascii="宋体" w:hAnsi="宋体" w:cs="宋体"/>
          <w:b w:val="0"/>
          <w:color w:val="auto"/>
          <w:kern w:val="2"/>
          <w:sz w:val="21"/>
          <w:szCs w:val="21"/>
          <w:highlight w:val="none"/>
          <w:lang w:val="en-US" w:eastAsia="zh-CN" w:bidi="ar-SA"/>
        </w:rPr>
        <w:t xml:space="preserve">2111235.88 </w:t>
      </w:r>
      <w:r>
        <w:rPr>
          <w:rFonts w:hint="eastAsia" w:ascii="宋体" w:hAnsi="宋体" w:eastAsia="宋体" w:cs="宋体"/>
          <w:b w:val="0"/>
          <w:color w:val="auto"/>
          <w:kern w:val="2"/>
          <w:sz w:val="21"/>
          <w:szCs w:val="21"/>
          <w:highlight w:val="none"/>
          <w:lang w:val="en-US" w:eastAsia="zh-CN" w:bidi="ar-SA"/>
        </w:rPr>
        <w:t>元（大写：</w:t>
      </w:r>
      <w:r>
        <w:rPr>
          <w:rFonts w:hint="eastAsia" w:ascii="宋体" w:hAnsi="宋体" w:cs="宋体"/>
          <w:b w:val="0"/>
          <w:color w:val="auto"/>
          <w:kern w:val="2"/>
          <w:sz w:val="21"/>
          <w:szCs w:val="21"/>
          <w:highlight w:val="none"/>
          <w:lang w:val="en-US" w:eastAsia="zh-CN" w:bidi="ar-SA"/>
        </w:rPr>
        <w:t>贰佰壹拾壹万壹仟贰佰叁拾伍元捌角捌分</w:t>
      </w:r>
      <w:r>
        <w:rPr>
          <w:rFonts w:hint="eastAsia" w:ascii="宋体" w:hAnsi="宋体" w:eastAsia="宋体" w:cs="宋体"/>
          <w:b w:val="0"/>
          <w:color w:val="auto"/>
          <w:kern w:val="2"/>
          <w:sz w:val="21"/>
          <w:szCs w:val="21"/>
          <w:highlight w:val="none"/>
          <w:lang w:val="en-US" w:eastAsia="zh-CN" w:bidi="ar-SA"/>
        </w:rPr>
        <w:t>）</w:t>
      </w:r>
    </w:p>
    <w:p>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3、项目服务期限、服务要求等详见竞争性磋商文件。</w:t>
      </w:r>
    </w:p>
    <w:p>
      <w:pPr>
        <w:pStyle w:val="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val="0"/>
          <w:color w:val="auto"/>
          <w:kern w:val="2"/>
          <w:sz w:val="21"/>
          <w:szCs w:val="21"/>
          <w:highlight w:val="none"/>
          <w:lang w:val="en-US" w:eastAsia="zh-CN" w:bidi="ar-SA"/>
        </w:rPr>
        <w:t>4、磋商文件售价：0元</w:t>
      </w:r>
    </w:p>
    <w:p>
      <w:pPr>
        <w:pStyle w:val="29"/>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四、投标保证金：</w:t>
      </w:r>
      <w:r>
        <w:rPr>
          <w:rFonts w:hint="eastAsia" w:hAnsi="宋体" w:cs="宋体"/>
          <w:b w:val="0"/>
          <w:bCs w:val="0"/>
          <w:color w:val="auto"/>
          <w:sz w:val="21"/>
          <w:szCs w:val="21"/>
          <w:highlight w:val="none"/>
          <w:lang w:val="en-US" w:eastAsia="zh-CN"/>
        </w:rPr>
        <w:t>20000.00</w:t>
      </w:r>
      <w:r>
        <w:rPr>
          <w:rFonts w:hint="eastAsia" w:ascii="宋体" w:hAnsi="宋体" w:eastAsia="宋体" w:cs="宋体"/>
          <w:color w:val="auto"/>
          <w:sz w:val="21"/>
          <w:szCs w:val="21"/>
          <w:highlight w:val="none"/>
          <w:lang w:val="en-US" w:eastAsia="zh-CN"/>
        </w:rPr>
        <w:t>元（大写：</w:t>
      </w:r>
      <w:r>
        <w:rPr>
          <w:rFonts w:hint="eastAsia" w:hAnsi="宋体" w:cs="宋体"/>
          <w:color w:val="auto"/>
          <w:sz w:val="21"/>
          <w:szCs w:val="21"/>
          <w:highlight w:val="none"/>
          <w:lang w:val="en-US" w:eastAsia="zh-CN"/>
        </w:rPr>
        <w:t>贰万元零角零分</w:t>
      </w:r>
      <w:r>
        <w:rPr>
          <w:rFonts w:hint="eastAsia" w:ascii="宋体" w:hAnsi="宋体" w:eastAsia="宋体" w:cs="宋体"/>
          <w:color w:val="auto"/>
          <w:sz w:val="21"/>
          <w:szCs w:val="21"/>
          <w:highlight w:val="none"/>
          <w:lang w:val="en-US" w:eastAsia="zh-CN"/>
        </w:rPr>
        <w:t>）</w:t>
      </w:r>
    </w:p>
    <w:p>
      <w:pPr>
        <w:autoSpaceDE w:val="0"/>
        <w:autoSpaceDN w:val="0"/>
        <w:spacing w:line="360" w:lineRule="auto"/>
        <w:rPr>
          <w:rFonts w:hint="eastAsia" w:ascii="宋体" w:hAnsi="宋体" w:eastAsia="宋体" w:cs="宋体"/>
          <w:color w:val="auto"/>
          <w:sz w:val="21"/>
          <w:szCs w:val="21"/>
          <w:highlight w:val="none"/>
        </w:rPr>
      </w:pPr>
      <w:bookmarkStart w:id="8" w:name="_Toc56911021"/>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、供应商资格要求：</w:t>
      </w:r>
    </w:p>
    <w:p>
      <w:pPr>
        <w:autoSpaceDE w:val="0"/>
        <w:autoSpaceDN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1、供应商必须符合《中华人民共和国政府采购法》第二十二条规定的条件，提供以下材料</w:t>
      </w:r>
      <w:r>
        <w:rPr>
          <w:rFonts w:hint="eastAsia" w:ascii="宋体" w:hAnsi="宋体" w:eastAsia="宋体" w:cs="宋体"/>
          <w:color w:val="auto"/>
          <w:sz w:val="21"/>
          <w:szCs w:val="21"/>
          <w:highlight w:val="none"/>
        </w:rPr>
        <w:t>：</w:t>
      </w:r>
    </w:p>
    <w:p>
      <w:pPr>
        <w:pStyle w:val="22"/>
        <w:spacing w:before="0" w:beforeLines="0" w:beforeAutospacing="0" w:line="360" w:lineRule="auto"/>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（1）具有独立承担民事责任的能力；</w:t>
      </w:r>
    </w:p>
    <w:p>
      <w:pPr>
        <w:pStyle w:val="22"/>
        <w:spacing w:line="360" w:lineRule="auto"/>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（2）法定代表人身份证原件或法定代表人授权委托书和委托代理人身份证原件（授权委托书应附上法人和代理人身份证复印件）；</w:t>
      </w:r>
    </w:p>
    <w:p>
      <w:pPr>
        <w:pStyle w:val="22"/>
        <w:spacing w:line="360" w:lineRule="auto"/>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（3）提供202</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年或202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年度财务状况报告（新成立的公司可不提供）；</w:t>
      </w:r>
    </w:p>
    <w:p>
      <w:pPr>
        <w:pStyle w:val="22"/>
        <w:spacing w:line="360" w:lineRule="auto"/>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（4）具有履行合同所必需的设备和专业技术能力（提供书面说明）；</w:t>
      </w:r>
    </w:p>
    <w:p>
      <w:pPr>
        <w:pStyle w:val="22"/>
        <w:spacing w:line="360" w:lineRule="auto"/>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（5）提供近半年依法缴纳税收的证明（纳税凭证）复印件，如依法免税的，应提供相应文件证明其依法免税（新成立的公司可不提供）；</w:t>
      </w:r>
    </w:p>
    <w:p>
      <w:pPr>
        <w:pStyle w:val="22"/>
        <w:spacing w:line="360" w:lineRule="auto"/>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（6）提供近半年依法缴纳社会保险的证明（缴费凭证）复印件，如依法不需要缴纳社会保障资金的，应提供相应文件证明其依法不需要缴纳社会保障资金（新成立的公司可不提供）；</w:t>
      </w:r>
    </w:p>
    <w:p>
      <w:pPr>
        <w:pStyle w:val="22"/>
        <w:spacing w:line="360" w:lineRule="auto"/>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（7）具备法律、行政法规规定的其他条件的书面声明；</w:t>
      </w:r>
    </w:p>
    <w:p>
      <w:pPr>
        <w:pStyle w:val="22"/>
        <w:spacing w:line="360" w:lineRule="auto"/>
        <w:contextualSpacing/>
        <w:rPr>
          <w:rFonts w:hint="eastAsia" w:ascii="宋体" w:hAnsi="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（8）</w:t>
      </w:r>
      <w:r>
        <w:rPr>
          <w:rFonts w:hint="eastAsia" w:ascii="宋体" w:hAnsi="宋体" w:cs="宋体"/>
          <w:b/>
          <w:bCs/>
          <w:color w:val="auto"/>
          <w:kern w:val="2"/>
          <w:sz w:val="21"/>
          <w:szCs w:val="21"/>
          <w:highlight w:val="none"/>
          <w:lang w:val="en-US" w:eastAsia="zh-CN" w:bidi="ar-SA"/>
        </w:rPr>
        <w:t>本项目为中小企业预留</w:t>
      </w:r>
    </w:p>
    <w:p>
      <w:pPr>
        <w:pStyle w:val="22"/>
        <w:spacing w:line="360" w:lineRule="auto"/>
        <w:contextualSpacing/>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2.落实政府采购政策需满足的资格要求：</w:t>
      </w:r>
    </w:p>
    <w:p>
      <w:pPr>
        <w:pStyle w:val="22"/>
        <w:spacing w:line="360" w:lineRule="auto"/>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（1）财政部、国家发展改革委、生态环境部、市场监管总局《关于调整优化节能产品、环境标志产品政府采购执行机制的通知》（财库[2019]9号文）； </w:t>
      </w:r>
    </w:p>
    <w:p>
      <w:pPr>
        <w:pStyle w:val="22"/>
        <w:spacing w:line="360" w:lineRule="auto"/>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（2）财政部、生态环境部《关于印发环境标志产品政府采购品目清单的通知》（财库[2019]18号文）； </w:t>
      </w:r>
    </w:p>
    <w:p>
      <w:pPr>
        <w:pStyle w:val="22"/>
        <w:spacing w:line="360" w:lineRule="auto"/>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（3）财政部、发展改革委《关于印发节能产品政府采购品目清单的通知》（财库[2019]19号文）； </w:t>
      </w:r>
    </w:p>
    <w:p>
      <w:pPr>
        <w:pStyle w:val="22"/>
        <w:spacing w:line="360" w:lineRule="auto"/>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（4）市场监管总局《市场监管总局关于发布参与实施政府采购节能产品、环境标志产品认证机构名录的公告》（2019年第16号）； </w:t>
      </w:r>
    </w:p>
    <w:p>
      <w:pPr>
        <w:pStyle w:val="22"/>
        <w:spacing w:line="360" w:lineRule="auto"/>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（5）财政部、工业和信息化部《关于印发《政府采购促进中小企业发展管理办法》的通知》（财</w:t>
      </w:r>
    </w:p>
    <w:p>
      <w:pPr>
        <w:spacing w:line="360" w:lineRule="auto"/>
        <w:ind w:firstLine="210" w:firstLineChars="1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库[2020]46号文）； </w:t>
      </w:r>
    </w:p>
    <w:p>
      <w:pPr>
        <w:spacing w:line="360" w:lineRule="auto"/>
        <w:ind w:firstLine="210" w:firstLineChars="1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（6）财政部、民政部、中国残疾人联合会《关于促进残疾人就业政府采购政策的通知》（财库[2017]141号）； </w:t>
      </w:r>
    </w:p>
    <w:p>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（7）财政部、司法部《关于政府采购支持监狱企业发展有关问题的通知》（财库[2014]68号文）。（中小企业优惠、监狱企业、节能产品、环境标志产品等）。</w:t>
      </w:r>
    </w:p>
    <w:p>
      <w:pPr>
        <w:pStyle w:val="30"/>
        <w:keepNext w:val="0"/>
        <w:keepLines w:val="0"/>
        <w:pageBreakBefore w:val="0"/>
        <w:widowControl w:val="0"/>
        <w:kinsoku/>
        <w:wordWrap/>
        <w:overflowPunct/>
        <w:topLinePunct w:val="0"/>
        <w:bidi w:val="0"/>
        <w:snapToGrid/>
        <w:spacing w:line="360" w:lineRule="auto"/>
        <w:ind w:left="-199" w:leftChars="-95" w:firstLine="632" w:firstLineChars="300"/>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3、本项目的特定资格要求：</w:t>
      </w:r>
    </w:p>
    <w:p>
      <w:pPr>
        <w:pStyle w:val="30"/>
        <w:keepNext w:val="0"/>
        <w:keepLines w:val="0"/>
        <w:pageBreakBefore w:val="0"/>
        <w:widowControl w:val="0"/>
        <w:kinsoku/>
        <w:wordWrap/>
        <w:overflowPunct/>
        <w:topLinePunct w:val="0"/>
        <w:bidi w:val="0"/>
        <w:snapToGrid/>
        <w:spacing w:line="360" w:lineRule="auto"/>
        <w:ind w:left="-199" w:leftChars="-95" w:firstLine="630" w:firstLineChars="300"/>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w:t>
      </w:r>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val="en-US" w:eastAsia="zh-CN"/>
        </w:rPr>
        <w:t>市政公用工程施工</w:t>
      </w:r>
      <w:r>
        <w:rPr>
          <w:rFonts w:hint="eastAsia" w:ascii="宋体" w:hAnsi="宋体" w:eastAsia="宋体" w:cs="宋体"/>
          <w:color w:val="auto"/>
          <w:sz w:val="21"/>
          <w:szCs w:val="21"/>
          <w:highlight w:val="none"/>
        </w:rPr>
        <w:t>总承包</w:t>
      </w:r>
      <w:r>
        <w:rPr>
          <w:rFonts w:hint="eastAsia" w:ascii="宋体" w:hAnsi="宋体" w:eastAsia="宋体" w:cs="宋体"/>
          <w:color w:val="auto"/>
          <w:sz w:val="21"/>
          <w:szCs w:val="21"/>
          <w:highlight w:val="none"/>
          <w:lang w:eastAsia="zh-CN"/>
        </w:rPr>
        <w:t>叁级（含叁级）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以上资质，具有合格有效的施工企业安全生产许可证，区外企业需提供进疆企业信息报送手续。拟用项目负责人须</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lang w:eastAsia="zh-CN"/>
        </w:rPr>
        <w:t>备</w:t>
      </w:r>
      <w:r>
        <w:rPr>
          <w:rFonts w:hint="eastAsia" w:ascii="宋体" w:hAnsi="宋体" w:cs="宋体"/>
          <w:color w:val="auto"/>
          <w:sz w:val="21"/>
          <w:szCs w:val="21"/>
          <w:highlight w:val="none"/>
          <w:lang w:val="en-US" w:eastAsia="zh-CN"/>
        </w:rPr>
        <w:t>市政公用工程</w:t>
      </w:r>
      <w:r>
        <w:rPr>
          <w:rFonts w:hint="eastAsia" w:ascii="宋体" w:hAnsi="宋体" w:eastAsia="宋体" w:cs="宋体"/>
          <w:color w:val="auto"/>
          <w:sz w:val="21"/>
          <w:szCs w:val="21"/>
          <w:highlight w:val="none"/>
          <w:lang w:eastAsia="zh-CN"/>
        </w:rPr>
        <w:t>专业二级（含二级）及以上注册建造师执业资格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具备有效的安全生产考核合格证书（B类），且未担任其他在施建设工程项目的项目经理。</w:t>
      </w:r>
    </w:p>
    <w:p>
      <w:pPr>
        <w:pStyle w:val="30"/>
        <w:keepNext w:val="0"/>
        <w:keepLines w:val="0"/>
        <w:pageBreakBefore w:val="0"/>
        <w:widowControl w:val="0"/>
        <w:kinsoku/>
        <w:wordWrap/>
        <w:overflowPunct/>
        <w:topLinePunct w:val="0"/>
        <w:bidi w:val="0"/>
        <w:snapToGrid/>
        <w:spacing w:line="360" w:lineRule="auto"/>
        <w:ind w:firstLine="420" w:firstLineChars="200"/>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4、提供《公平竞争承诺书》；</w:t>
      </w:r>
    </w:p>
    <w:p>
      <w:pPr>
        <w:pStyle w:val="30"/>
        <w:keepNext w:val="0"/>
        <w:keepLines w:val="0"/>
        <w:pageBreakBefore w:val="0"/>
        <w:widowControl w:val="0"/>
        <w:kinsoku/>
        <w:wordWrap/>
        <w:overflowPunct/>
        <w:topLinePunct w:val="0"/>
        <w:bidi w:val="0"/>
        <w:snapToGrid/>
        <w:spacing w:line="360" w:lineRule="auto"/>
        <w:ind w:left="-199" w:leftChars="-95" w:firstLine="630" w:firstLineChars="3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pPr>
        <w:pStyle w:val="30"/>
        <w:keepNext w:val="0"/>
        <w:keepLines w:val="0"/>
        <w:pageBreakBefore w:val="0"/>
        <w:widowControl w:val="0"/>
        <w:kinsoku/>
        <w:wordWrap/>
        <w:overflowPunct/>
        <w:topLinePunct w:val="0"/>
        <w:bidi w:val="0"/>
        <w:snapToGrid/>
        <w:spacing w:line="360" w:lineRule="auto"/>
        <w:ind w:left="-199" w:leftChars="-95" w:firstLine="630" w:firstLineChars="3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、本项目不接受联合体投标。        </w:t>
      </w:r>
      <w:bookmarkEnd w:id="8"/>
    </w:p>
    <w:p>
      <w:pPr>
        <w:pStyle w:val="30"/>
        <w:keepNext w:val="0"/>
        <w:keepLines w:val="0"/>
        <w:pageBreakBefore w:val="0"/>
        <w:widowControl w:val="0"/>
        <w:kinsoku/>
        <w:wordWrap/>
        <w:overflowPunct/>
        <w:topLinePunct w:val="0"/>
        <w:bidi w:val="0"/>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注：供应商须保证所提交资料真实、完整、有效、一致，否则自行承担由此导致的与本项目有关的任何损失。报名时对供应商资格要求的合格性审查不代表在评审时进行的评判和论断。</w:t>
      </w:r>
    </w:p>
    <w:p>
      <w:pPr>
        <w:pStyle w:val="30"/>
        <w:keepNext w:val="0"/>
        <w:keepLines w:val="0"/>
        <w:pageBreakBefore w:val="0"/>
        <w:widowControl w:val="0"/>
        <w:numPr>
          <w:ilvl w:val="0"/>
          <w:numId w:val="0"/>
        </w:numPr>
        <w:kinsoku/>
        <w:wordWrap/>
        <w:overflowPunct/>
        <w:topLinePunct w:val="0"/>
        <w:bidi w:val="0"/>
        <w:snapToGrid/>
        <w:spacing w:line="360" w:lineRule="auto"/>
        <w:textAlignment w:val="auto"/>
        <w:outlineLvl w:val="0"/>
        <w:rPr>
          <w:rStyle w:val="26"/>
          <w:rFonts w:hint="eastAsia" w:ascii="宋体" w:hAnsi="宋体" w:eastAsia="宋体" w:cs="宋体"/>
          <w:color w:val="auto"/>
          <w:sz w:val="21"/>
          <w:szCs w:val="21"/>
          <w:highlight w:val="none"/>
        </w:rPr>
      </w:pPr>
      <w:r>
        <w:rPr>
          <w:rStyle w:val="26"/>
          <w:rFonts w:hint="eastAsia" w:ascii="宋体" w:hAnsi="宋体" w:eastAsia="宋体" w:cs="宋体"/>
          <w:b/>
          <w:bCs/>
          <w:color w:val="auto"/>
          <w:sz w:val="21"/>
          <w:szCs w:val="21"/>
          <w:highlight w:val="none"/>
          <w:u w:val="none"/>
          <w:lang w:eastAsia="zh-CN"/>
        </w:rPr>
        <w:t>六、</w:t>
      </w:r>
      <w:r>
        <w:rPr>
          <w:rStyle w:val="26"/>
          <w:rFonts w:hint="eastAsia" w:ascii="宋体" w:hAnsi="宋体" w:eastAsia="宋体" w:cs="宋体"/>
          <w:b/>
          <w:bCs/>
          <w:color w:val="auto"/>
          <w:sz w:val="21"/>
          <w:szCs w:val="21"/>
          <w:highlight w:val="none"/>
        </w:rPr>
        <w:t>获取</w:t>
      </w:r>
      <w:r>
        <w:rPr>
          <w:rStyle w:val="26"/>
          <w:rFonts w:hint="eastAsia" w:ascii="宋体" w:hAnsi="宋体" w:eastAsia="宋体" w:cs="宋体"/>
          <w:b/>
          <w:bCs/>
          <w:color w:val="auto"/>
          <w:sz w:val="21"/>
          <w:szCs w:val="21"/>
          <w:highlight w:val="none"/>
          <w:lang w:val="en-US" w:eastAsia="zh-CN"/>
        </w:rPr>
        <w:t>磋商</w:t>
      </w:r>
      <w:r>
        <w:rPr>
          <w:rStyle w:val="26"/>
          <w:rFonts w:hint="eastAsia" w:ascii="宋体" w:hAnsi="宋体" w:eastAsia="宋体" w:cs="宋体"/>
          <w:b/>
          <w:bCs/>
          <w:color w:val="auto"/>
          <w:sz w:val="21"/>
          <w:szCs w:val="21"/>
          <w:highlight w:val="none"/>
        </w:rPr>
        <w:t>文件时间</w:t>
      </w:r>
      <w:r>
        <w:rPr>
          <w:rStyle w:val="26"/>
          <w:rFonts w:hint="eastAsia" w:ascii="宋体" w:hAnsi="宋体" w:eastAsia="宋体" w:cs="宋体"/>
          <w:color w:val="auto"/>
          <w:sz w:val="21"/>
          <w:szCs w:val="21"/>
          <w:highlight w:val="none"/>
        </w:rPr>
        <w:t>：</w:t>
      </w:r>
      <w:r>
        <w:rPr>
          <w:rStyle w:val="26"/>
          <w:rFonts w:hint="eastAsia" w:ascii="宋体" w:hAnsi="宋体" w:eastAsia="宋体" w:cs="宋体"/>
          <w:color w:val="0000FF"/>
          <w:sz w:val="21"/>
          <w:szCs w:val="21"/>
          <w:highlight w:val="none"/>
          <w:lang w:eastAsia="zh-CN"/>
        </w:rPr>
        <w:t>202</w:t>
      </w:r>
      <w:r>
        <w:rPr>
          <w:rStyle w:val="26"/>
          <w:rFonts w:hint="eastAsia" w:ascii="宋体" w:hAnsi="宋体" w:cs="宋体"/>
          <w:color w:val="0000FF"/>
          <w:sz w:val="21"/>
          <w:szCs w:val="21"/>
          <w:highlight w:val="none"/>
          <w:lang w:val="en-US" w:eastAsia="zh-CN"/>
        </w:rPr>
        <w:t>4</w:t>
      </w:r>
      <w:r>
        <w:rPr>
          <w:rStyle w:val="26"/>
          <w:rFonts w:hint="eastAsia" w:ascii="宋体" w:hAnsi="宋体" w:eastAsia="宋体" w:cs="宋体"/>
          <w:color w:val="0000FF"/>
          <w:sz w:val="21"/>
          <w:szCs w:val="21"/>
          <w:highlight w:val="none"/>
          <w:lang w:eastAsia="zh-CN"/>
        </w:rPr>
        <w:t>年</w:t>
      </w:r>
      <w:r>
        <w:rPr>
          <w:rStyle w:val="26"/>
          <w:rFonts w:hint="eastAsia" w:ascii="宋体" w:hAnsi="宋体" w:cs="宋体"/>
          <w:color w:val="0000FF"/>
          <w:sz w:val="21"/>
          <w:szCs w:val="21"/>
          <w:highlight w:val="none"/>
          <w:lang w:val="en-US" w:eastAsia="zh-CN"/>
        </w:rPr>
        <w:t>4</w:t>
      </w:r>
      <w:r>
        <w:rPr>
          <w:rStyle w:val="26"/>
          <w:rFonts w:hint="eastAsia" w:ascii="宋体" w:hAnsi="宋体" w:eastAsia="宋体" w:cs="宋体"/>
          <w:color w:val="0000FF"/>
          <w:sz w:val="21"/>
          <w:szCs w:val="21"/>
          <w:highlight w:val="none"/>
          <w:lang w:eastAsia="zh-CN"/>
        </w:rPr>
        <w:t>月</w:t>
      </w:r>
      <w:r>
        <w:rPr>
          <w:rStyle w:val="26"/>
          <w:rFonts w:hint="eastAsia" w:ascii="宋体" w:hAnsi="宋体" w:cs="宋体"/>
          <w:color w:val="0000FF"/>
          <w:sz w:val="21"/>
          <w:szCs w:val="21"/>
          <w:highlight w:val="none"/>
          <w:lang w:val="en-US" w:eastAsia="zh-CN"/>
        </w:rPr>
        <w:t>2</w:t>
      </w:r>
      <w:r>
        <w:rPr>
          <w:rStyle w:val="26"/>
          <w:rFonts w:hint="eastAsia" w:ascii="宋体" w:hAnsi="宋体" w:eastAsia="宋体" w:cs="宋体"/>
          <w:color w:val="0000FF"/>
          <w:sz w:val="21"/>
          <w:szCs w:val="21"/>
          <w:highlight w:val="none"/>
          <w:lang w:eastAsia="zh-CN"/>
        </w:rPr>
        <w:t>日起至202</w:t>
      </w:r>
      <w:r>
        <w:rPr>
          <w:rStyle w:val="26"/>
          <w:rFonts w:hint="eastAsia" w:ascii="宋体" w:hAnsi="宋体" w:cs="宋体"/>
          <w:color w:val="0000FF"/>
          <w:sz w:val="21"/>
          <w:szCs w:val="21"/>
          <w:highlight w:val="none"/>
          <w:lang w:val="en-US" w:eastAsia="zh-CN"/>
        </w:rPr>
        <w:t>4</w:t>
      </w:r>
      <w:r>
        <w:rPr>
          <w:rStyle w:val="26"/>
          <w:rFonts w:hint="eastAsia" w:ascii="宋体" w:hAnsi="宋体" w:eastAsia="宋体" w:cs="宋体"/>
          <w:color w:val="0000FF"/>
          <w:sz w:val="21"/>
          <w:szCs w:val="21"/>
          <w:highlight w:val="none"/>
          <w:lang w:eastAsia="zh-CN"/>
        </w:rPr>
        <w:t>年</w:t>
      </w:r>
      <w:r>
        <w:rPr>
          <w:rStyle w:val="26"/>
          <w:rFonts w:hint="eastAsia" w:ascii="宋体" w:hAnsi="宋体" w:cs="宋体"/>
          <w:color w:val="0000FF"/>
          <w:sz w:val="21"/>
          <w:szCs w:val="21"/>
          <w:highlight w:val="none"/>
          <w:lang w:val="en-US" w:eastAsia="zh-CN"/>
        </w:rPr>
        <w:t>4</w:t>
      </w:r>
      <w:r>
        <w:rPr>
          <w:rStyle w:val="26"/>
          <w:rFonts w:hint="eastAsia" w:ascii="宋体" w:hAnsi="宋体" w:eastAsia="宋体" w:cs="宋体"/>
          <w:color w:val="0000FF"/>
          <w:sz w:val="21"/>
          <w:szCs w:val="21"/>
          <w:highlight w:val="none"/>
          <w:lang w:eastAsia="zh-CN"/>
        </w:rPr>
        <w:t>月</w:t>
      </w:r>
      <w:r>
        <w:rPr>
          <w:rStyle w:val="26"/>
          <w:rFonts w:hint="eastAsia" w:ascii="宋体" w:hAnsi="宋体" w:cs="宋体"/>
          <w:color w:val="0000FF"/>
          <w:sz w:val="21"/>
          <w:szCs w:val="21"/>
          <w:highlight w:val="none"/>
          <w:lang w:val="en-US" w:eastAsia="zh-CN"/>
        </w:rPr>
        <w:t>1</w:t>
      </w:r>
      <w:r>
        <w:rPr>
          <w:rStyle w:val="26"/>
          <w:rFonts w:hint="default" w:ascii="宋体" w:hAnsi="宋体" w:cs="宋体"/>
          <w:color w:val="0000FF"/>
          <w:sz w:val="21"/>
          <w:szCs w:val="21"/>
          <w:highlight w:val="none"/>
          <w:lang w:eastAsia="zh-CN"/>
        </w:rPr>
        <w:t>1</w:t>
      </w:r>
      <w:r>
        <w:rPr>
          <w:rStyle w:val="26"/>
          <w:rFonts w:hint="eastAsia" w:ascii="宋体" w:hAnsi="宋体" w:eastAsia="宋体" w:cs="宋体"/>
          <w:color w:val="0000FF"/>
          <w:sz w:val="21"/>
          <w:szCs w:val="21"/>
          <w:highlight w:val="none"/>
          <w:lang w:eastAsia="zh-CN"/>
        </w:rPr>
        <w:t>日止</w:t>
      </w:r>
      <w:r>
        <w:rPr>
          <w:rFonts w:hint="eastAsia" w:ascii="宋体" w:hAnsi="宋体" w:eastAsia="宋体" w:cs="宋体"/>
          <w:color w:val="auto"/>
          <w:sz w:val="21"/>
          <w:szCs w:val="21"/>
          <w:highlight w:val="none"/>
        </w:rPr>
        <w:t>，每日上午</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0时，每日下午16:00～19:</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0时北京时间（</w:t>
      </w:r>
      <w:r>
        <w:rPr>
          <w:rStyle w:val="26"/>
          <w:rFonts w:hint="eastAsia" w:ascii="宋体" w:hAnsi="宋体" w:eastAsia="宋体" w:cs="宋体"/>
          <w:color w:val="auto"/>
          <w:sz w:val="21"/>
          <w:szCs w:val="21"/>
          <w:highlight w:val="none"/>
        </w:rPr>
        <w:t>线上获取法定节假日均可，线下获取文件法定节假日除外）。</w:t>
      </w:r>
    </w:p>
    <w:p>
      <w:pPr>
        <w:pStyle w:val="30"/>
        <w:keepNext w:val="0"/>
        <w:keepLines w:val="0"/>
        <w:pageBreakBefore w:val="0"/>
        <w:widowControl w:val="0"/>
        <w:numPr>
          <w:ilvl w:val="0"/>
          <w:numId w:val="4"/>
        </w:numPr>
        <w:kinsoku/>
        <w:wordWrap/>
        <w:overflowPunct/>
        <w:topLinePunct w:val="0"/>
        <w:bidi w:val="0"/>
        <w:snapToGrid/>
        <w:spacing w:line="360" w:lineRule="auto"/>
        <w:ind w:left="0" w:leftChars="0" w:firstLine="420" w:firstLineChars="0"/>
        <w:textAlignment w:val="auto"/>
        <w:outlineLvl w:val="0"/>
        <w:rPr>
          <w:rStyle w:val="26"/>
          <w:rFonts w:hint="eastAsia" w:ascii="宋体" w:hAnsi="宋体" w:eastAsia="宋体" w:cs="宋体"/>
          <w:color w:val="auto"/>
          <w:sz w:val="21"/>
          <w:szCs w:val="21"/>
          <w:highlight w:val="none"/>
        </w:rPr>
      </w:pPr>
      <w:r>
        <w:rPr>
          <w:rStyle w:val="26"/>
          <w:rFonts w:hint="eastAsia" w:ascii="宋体" w:hAnsi="宋体" w:eastAsia="宋体" w:cs="宋体"/>
          <w:b/>
          <w:bCs/>
          <w:color w:val="auto"/>
          <w:sz w:val="21"/>
          <w:szCs w:val="21"/>
          <w:highlight w:val="none"/>
        </w:rPr>
        <w:t>获取</w:t>
      </w:r>
      <w:r>
        <w:rPr>
          <w:rStyle w:val="26"/>
          <w:rFonts w:hint="eastAsia" w:ascii="宋体" w:hAnsi="宋体" w:eastAsia="宋体" w:cs="宋体"/>
          <w:b/>
          <w:bCs/>
          <w:color w:val="auto"/>
          <w:sz w:val="21"/>
          <w:szCs w:val="21"/>
          <w:highlight w:val="none"/>
          <w:lang w:val="en-US" w:eastAsia="zh-CN"/>
        </w:rPr>
        <w:t>磋商</w:t>
      </w:r>
      <w:r>
        <w:rPr>
          <w:rStyle w:val="26"/>
          <w:rFonts w:hint="eastAsia" w:ascii="宋体" w:hAnsi="宋体" w:eastAsia="宋体" w:cs="宋体"/>
          <w:b/>
          <w:bCs/>
          <w:color w:val="auto"/>
          <w:sz w:val="21"/>
          <w:szCs w:val="21"/>
          <w:highlight w:val="none"/>
        </w:rPr>
        <w:t>文件地点（网址）</w:t>
      </w:r>
      <w:r>
        <w:rPr>
          <w:rStyle w:val="26"/>
          <w:rFonts w:hint="eastAsia" w:ascii="宋体" w:hAnsi="宋体" w:eastAsia="宋体" w:cs="宋体"/>
          <w:color w:val="auto"/>
          <w:sz w:val="21"/>
          <w:szCs w:val="21"/>
          <w:highlight w:val="none"/>
        </w:rPr>
        <w:t>：政采云平台https://www.zcygov.cn/。</w:t>
      </w:r>
    </w:p>
    <w:p>
      <w:pPr>
        <w:pStyle w:val="30"/>
        <w:keepNext w:val="0"/>
        <w:keepLines w:val="0"/>
        <w:pageBreakBefore w:val="0"/>
        <w:widowControl w:val="0"/>
        <w:numPr>
          <w:ilvl w:val="0"/>
          <w:numId w:val="4"/>
        </w:numPr>
        <w:kinsoku/>
        <w:wordWrap/>
        <w:overflowPunct/>
        <w:topLinePunct w:val="0"/>
        <w:bidi w:val="0"/>
        <w:snapToGrid/>
        <w:spacing w:line="360" w:lineRule="auto"/>
        <w:ind w:left="0" w:leftChars="0" w:firstLine="420" w:firstLineChars="0"/>
        <w:textAlignment w:val="auto"/>
        <w:outlineLvl w:val="0"/>
        <w:rPr>
          <w:rFonts w:hint="eastAsia" w:ascii="宋体" w:hAnsi="宋体" w:eastAsia="宋体" w:cs="宋体"/>
          <w:color w:val="auto"/>
          <w:sz w:val="21"/>
          <w:szCs w:val="21"/>
          <w:highlight w:val="none"/>
        </w:rPr>
      </w:pPr>
      <w:r>
        <w:rPr>
          <w:rStyle w:val="26"/>
          <w:rFonts w:hint="eastAsia" w:ascii="宋体" w:hAnsi="宋体" w:eastAsia="宋体" w:cs="宋体"/>
          <w:b/>
          <w:bCs/>
          <w:color w:val="auto"/>
          <w:sz w:val="21"/>
          <w:szCs w:val="21"/>
          <w:highlight w:val="none"/>
        </w:rPr>
        <w:t>获取</w:t>
      </w:r>
      <w:r>
        <w:rPr>
          <w:rStyle w:val="26"/>
          <w:rFonts w:hint="eastAsia" w:ascii="宋体" w:hAnsi="宋体" w:eastAsia="宋体" w:cs="宋体"/>
          <w:b/>
          <w:bCs/>
          <w:color w:val="auto"/>
          <w:sz w:val="21"/>
          <w:szCs w:val="21"/>
          <w:highlight w:val="none"/>
          <w:lang w:val="en-US" w:eastAsia="zh-CN"/>
        </w:rPr>
        <w:t>磋商</w:t>
      </w:r>
      <w:r>
        <w:rPr>
          <w:rStyle w:val="26"/>
          <w:rFonts w:hint="eastAsia" w:ascii="宋体" w:hAnsi="宋体" w:eastAsia="宋体" w:cs="宋体"/>
          <w:b/>
          <w:bCs/>
          <w:color w:val="auto"/>
          <w:sz w:val="21"/>
          <w:szCs w:val="21"/>
          <w:highlight w:val="none"/>
        </w:rPr>
        <w:t>文件方式</w:t>
      </w:r>
      <w:r>
        <w:rPr>
          <w:rStyle w:val="26"/>
          <w:rFonts w:hint="eastAsia" w:ascii="宋体" w:hAnsi="宋体" w:eastAsia="宋体" w:cs="宋体"/>
          <w:color w:val="auto"/>
          <w:sz w:val="21"/>
          <w:szCs w:val="21"/>
          <w:highlight w:val="none"/>
        </w:rPr>
        <w:t>：供应商登陆政采云平台https://www.zcygov.cn/在线免费申请获取采购文件（进入“项目采购”应用，在获取采购文件菜单中选择项目，申请获取招标文件前须上传的资格证明文件扫描件有：营业执照、法人授权委托书、委托代理人身份证、企业资质证书、安全生产许可证书、项目负责人资格证书</w:t>
      </w:r>
      <w:r>
        <w:rPr>
          <w:rStyle w:val="26"/>
          <w:rFonts w:hint="eastAsia" w:ascii="宋体" w:hAnsi="宋体" w:eastAsia="宋体" w:cs="宋体"/>
          <w:color w:val="auto"/>
          <w:sz w:val="21"/>
          <w:szCs w:val="21"/>
          <w:highlight w:val="none"/>
          <w:lang w:eastAsia="zh-CN"/>
        </w:rPr>
        <w:t>、</w:t>
      </w:r>
      <w:r>
        <w:rPr>
          <w:rStyle w:val="26"/>
          <w:rFonts w:hint="eastAsia" w:ascii="宋体" w:hAnsi="宋体" w:eastAsia="宋体" w:cs="宋体"/>
          <w:color w:val="auto"/>
          <w:sz w:val="21"/>
          <w:szCs w:val="21"/>
          <w:highlight w:val="none"/>
          <w:lang w:val="en-US" w:eastAsia="zh-CN"/>
        </w:rPr>
        <w:t>提供《中小企业声明函》</w:t>
      </w:r>
      <w:r>
        <w:rPr>
          <w:rStyle w:val="26"/>
          <w:rFonts w:hint="eastAsia" w:ascii="宋体" w:hAnsi="宋体" w:eastAsia="宋体" w:cs="宋体"/>
          <w:color w:val="auto"/>
          <w:sz w:val="21"/>
          <w:szCs w:val="21"/>
          <w:highlight w:val="none"/>
        </w:rPr>
        <w:t>“信用中国”“中国政府采购网”截图。</w:t>
      </w:r>
    </w:p>
    <w:p>
      <w:pPr>
        <w:pStyle w:val="30"/>
        <w:keepNext w:val="0"/>
        <w:keepLines w:val="0"/>
        <w:pageBreakBefore w:val="0"/>
        <w:widowControl w:val="0"/>
        <w:numPr>
          <w:ilvl w:val="0"/>
          <w:numId w:val="4"/>
        </w:numPr>
        <w:kinsoku/>
        <w:wordWrap/>
        <w:overflowPunct/>
        <w:topLinePunct w:val="0"/>
        <w:bidi w:val="0"/>
        <w:snapToGrid/>
        <w:spacing w:line="360" w:lineRule="auto"/>
        <w:ind w:left="0" w:leftChars="0" w:firstLine="420" w:firstLineChars="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磋商响应文件</w:t>
      </w:r>
      <w:r>
        <w:rPr>
          <w:rFonts w:hint="eastAsia" w:ascii="宋体" w:hAnsi="宋体" w:eastAsia="宋体" w:cs="宋体"/>
          <w:b/>
          <w:bCs/>
          <w:color w:val="auto"/>
          <w:sz w:val="21"/>
          <w:szCs w:val="21"/>
          <w:highlight w:val="none"/>
          <w:lang w:val="en-US" w:eastAsia="zh-CN"/>
        </w:rPr>
        <w:t>递交</w:t>
      </w:r>
      <w:r>
        <w:rPr>
          <w:rFonts w:hint="eastAsia" w:ascii="宋体" w:hAnsi="宋体" w:eastAsia="宋体" w:cs="宋体"/>
          <w:b/>
          <w:bCs/>
          <w:color w:val="auto"/>
          <w:sz w:val="21"/>
          <w:szCs w:val="21"/>
          <w:highlight w:val="none"/>
        </w:rPr>
        <w:t>截止时间</w:t>
      </w:r>
      <w:r>
        <w:rPr>
          <w:rFonts w:hint="eastAsia" w:ascii="宋体" w:hAnsi="宋体" w:eastAsia="宋体" w:cs="宋体"/>
          <w:color w:val="auto"/>
          <w:sz w:val="21"/>
          <w:szCs w:val="21"/>
          <w:highlight w:val="none"/>
        </w:rPr>
        <w:t>：</w:t>
      </w:r>
      <w:r>
        <w:rPr>
          <w:rFonts w:hint="eastAsia" w:ascii="宋体" w:hAnsi="宋体" w:eastAsia="宋体" w:cs="宋体"/>
          <w:color w:val="0000FF"/>
          <w:sz w:val="21"/>
          <w:szCs w:val="21"/>
          <w:highlight w:val="none"/>
          <w:lang w:eastAsia="zh-CN"/>
        </w:rPr>
        <w:t>202</w:t>
      </w: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lang w:eastAsia="zh-CN"/>
        </w:rPr>
        <w:t>年</w:t>
      </w: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lang w:eastAsia="zh-CN"/>
        </w:rPr>
        <w:t>月</w:t>
      </w:r>
      <w:r>
        <w:rPr>
          <w:rFonts w:hint="eastAsia" w:ascii="宋体" w:hAnsi="宋体" w:cs="宋体"/>
          <w:color w:val="0000FF"/>
          <w:sz w:val="21"/>
          <w:szCs w:val="21"/>
          <w:highlight w:val="none"/>
          <w:lang w:val="en-US" w:eastAsia="zh-CN"/>
        </w:rPr>
        <w:t>12</w:t>
      </w:r>
      <w:r>
        <w:rPr>
          <w:rFonts w:hint="eastAsia" w:ascii="宋体" w:hAnsi="宋体" w:eastAsia="宋体" w:cs="宋体"/>
          <w:color w:val="0000FF"/>
          <w:sz w:val="21"/>
          <w:szCs w:val="21"/>
          <w:highlight w:val="none"/>
          <w:lang w:eastAsia="zh-CN"/>
        </w:rPr>
        <w:t>日</w:t>
      </w:r>
      <w:r>
        <w:rPr>
          <w:rFonts w:hint="eastAsia" w:ascii="宋体" w:hAnsi="宋体" w:cs="宋体"/>
          <w:color w:val="0000FF"/>
          <w:sz w:val="21"/>
          <w:szCs w:val="21"/>
          <w:highlight w:val="none"/>
          <w:lang w:val="en-US" w:eastAsia="zh-CN"/>
        </w:rPr>
        <w:t>10</w:t>
      </w:r>
      <w:r>
        <w:rPr>
          <w:rFonts w:hint="eastAsia" w:ascii="宋体" w:hAnsi="宋体" w:eastAsia="宋体" w:cs="宋体"/>
          <w:color w:val="0000FF"/>
          <w:sz w:val="21"/>
          <w:szCs w:val="21"/>
          <w:highlight w:val="none"/>
          <w:lang w:eastAsia="zh-CN"/>
        </w:rPr>
        <w:t>:</w:t>
      </w: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lang w:eastAsia="zh-CN"/>
        </w:rPr>
        <w:t>0分</w:t>
      </w:r>
      <w:r>
        <w:rPr>
          <w:rFonts w:hint="eastAsia" w:ascii="宋体" w:hAnsi="宋体" w:eastAsia="宋体" w:cs="宋体"/>
          <w:color w:val="auto"/>
          <w:sz w:val="21"/>
          <w:szCs w:val="21"/>
          <w:highlight w:val="none"/>
        </w:rPr>
        <w:t>（北京时间）。供应商应在</w:t>
      </w:r>
      <w:r>
        <w:rPr>
          <w:rFonts w:hint="eastAsia" w:ascii="宋体" w:hAnsi="宋体" w:eastAsia="宋体" w:cs="宋体"/>
          <w:color w:val="auto"/>
          <w:sz w:val="21"/>
          <w:szCs w:val="21"/>
          <w:highlight w:val="none"/>
          <w:lang w:eastAsia="zh-CN"/>
        </w:rPr>
        <w:t>响应文件递交截止时间</w:t>
      </w:r>
      <w:r>
        <w:rPr>
          <w:rFonts w:hint="eastAsia" w:ascii="宋体" w:hAnsi="宋体" w:eastAsia="宋体" w:cs="宋体"/>
          <w:color w:val="auto"/>
          <w:sz w:val="21"/>
          <w:szCs w:val="21"/>
          <w:highlight w:val="none"/>
        </w:rPr>
        <w:t>之前将加密的电子投标文件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文件后缀.jmbs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上传到政采云平台</w:t>
      </w:r>
      <w:r>
        <w:rPr>
          <w:rFonts w:hint="eastAsia" w:ascii="宋体" w:hAnsi="宋体" w:eastAsia="宋体" w:cs="宋体"/>
          <w:color w:val="auto"/>
          <w:sz w:val="21"/>
          <w:szCs w:val="21"/>
          <w:highlight w:val="none"/>
          <w:lang w:eastAsia="zh-CN"/>
        </w:rPr>
        <w:t>https://www.zcygov.cn</w:t>
      </w:r>
      <w:r>
        <w:rPr>
          <w:rFonts w:hint="eastAsia" w:ascii="宋体" w:hAnsi="宋体" w:eastAsia="宋体" w:cs="宋体"/>
          <w:color w:val="auto"/>
          <w:sz w:val="21"/>
          <w:szCs w:val="21"/>
          <w:highlight w:val="none"/>
        </w:rPr>
        <w:t>对应位置。逾期未上传</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将被拒绝接收）</w:t>
      </w:r>
      <w:r>
        <w:rPr>
          <w:rFonts w:hint="eastAsia" w:ascii="宋体" w:hAnsi="宋体" w:eastAsia="宋体" w:cs="宋体"/>
          <w:color w:val="auto"/>
          <w:sz w:val="21"/>
          <w:szCs w:val="21"/>
          <w:highlight w:val="none"/>
          <w:lang w:eastAsia="zh-CN"/>
        </w:rPr>
        <w:t>。</w:t>
      </w:r>
    </w:p>
    <w:p>
      <w:pPr>
        <w:pStyle w:val="30"/>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注：请</w:t>
      </w:r>
      <w:r>
        <w:rPr>
          <w:rFonts w:hint="eastAsia" w:ascii="宋体" w:hAnsi="宋体" w:eastAsia="宋体" w:cs="宋体"/>
          <w:color w:val="auto"/>
          <w:sz w:val="21"/>
          <w:szCs w:val="21"/>
          <w:highlight w:val="none"/>
        </w:rPr>
        <w:t>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400-881-7190。</w:t>
      </w:r>
    </w:p>
    <w:p>
      <w:pPr>
        <w:pStyle w:val="30"/>
        <w:keepNext w:val="0"/>
        <w:keepLines w:val="0"/>
        <w:pageBreakBefore w:val="0"/>
        <w:widowControl w:val="0"/>
        <w:numPr>
          <w:ilvl w:val="0"/>
          <w:numId w:val="4"/>
        </w:numPr>
        <w:kinsoku/>
        <w:wordWrap/>
        <w:overflowPunct/>
        <w:topLinePunct w:val="0"/>
        <w:bidi w:val="0"/>
        <w:snapToGrid/>
        <w:spacing w:line="360" w:lineRule="auto"/>
        <w:ind w:left="0" w:leftChars="0" w:firstLine="420" w:firstLineChars="0"/>
        <w:textAlignment w:val="auto"/>
        <w:outlineLvl w:val="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rPr>
        <w:t>开标日期</w:t>
      </w:r>
      <w:r>
        <w:rPr>
          <w:rFonts w:hint="eastAsia" w:ascii="宋体" w:hAnsi="宋体" w:eastAsia="宋体" w:cs="宋体"/>
          <w:color w:val="auto"/>
          <w:sz w:val="21"/>
          <w:szCs w:val="21"/>
          <w:highlight w:val="none"/>
        </w:rPr>
        <w:t>：</w:t>
      </w:r>
      <w:r>
        <w:rPr>
          <w:rFonts w:hint="eastAsia" w:ascii="宋体" w:hAnsi="宋体" w:eastAsia="宋体" w:cs="宋体"/>
          <w:color w:val="0000FF"/>
          <w:sz w:val="21"/>
          <w:szCs w:val="21"/>
          <w:highlight w:val="none"/>
          <w:lang w:eastAsia="zh-CN"/>
        </w:rPr>
        <w:t>202</w:t>
      </w: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lang w:eastAsia="zh-CN"/>
        </w:rPr>
        <w:t>年</w:t>
      </w: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lang w:eastAsia="zh-CN"/>
        </w:rPr>
        <w:t>月</w:t>
      </w:r>
      <w:r>
        <w:rPr>
          <w:rFonts w:hint="eastAsia" w:ascii="宋体" w:hAnsi="宋体" w:cs="宋体"/>
          <w:color w:val="0000FF"/>
          <w:sz w:val="21"/>
          <w:szCs w:val="21"/>
          <w:highlight w:val="none"/>
          <w:lang w:val="en-US" w:eastAsia="zh-CN"/>
        </w:rPr>
        <w:t>12</w:t>
      </w:r>
      <w:r>
        <w:rPr>
          <w:rFonts w:hint="eastAsia" w:ascii="宋体" w:hAnsi="宋体" w:eastAsia="宋体" w:cs="宋体"/>
          <w:color w:val="0000FF"/>
          <w:sz w:val="21"/>
          <w:szCs w:val="21"/>
          <w:highlight w:val="none"/>
          <w:lang w:eastAsia="zh-CN"/>
        </w:rPr>
        <w:t>日1</w:t>
      </w:r>
      <w:r>
        <w:rPr>
          <w:rFonts w:hint="eastAsia" w:ascii="宋体" w:hAnsi="宋体" w:cs="宋体"/>
          <w:color w:val="0000FF"/>
          <w:sz w:val="21"/>
          <w:szCs w:val="21"/>
          <w:highlight w:val="none"/>
          <w:lang w:val="en-US" w:eastAsia="zh-CN"/>
        </w:rPr>
        <w:t>0</w:t>
      </w:r>
      <w:r>
        <w:rPr>
          <w:rFonts w:hint="eastAsia" w:ascii="宋体" w:hAnsi="宋体" w:eastAsia="宋体" w:cs="宋体"/>
          <w:color w:val="0000FF"/>
          <w:sz w:val="21"/>
          <w:szCs w:val="21"/>
          <w:highlight w:val="none"/>
          <w:lang w:eastAsia="zh-CN"/>
        </w:rPr>
        <w:t>:</w:t>
      </w: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lang w:eastAsia="zh-CN"/>
        </w:rPr>
        <w:t>0分</w:t>
      </w:r>
      <w:r>
        <w:rPr>
          <w:rFonts w:hint="eastAsia" w:ascii="宋体" w:hAnsi="宋体" w:eastAsia="宋体" w:cs="宋体"/>
          <w:color w:val="0000FF"/>
          <w:kern w:val="0"/>
          <w:sz w:val="21"/>
          <w:szCs w:val="21"/>
          <w:highlight w:val="none"/>
          <w:lang w:val="en-US" w:eastAsia="zh-CN" w:bidi="ar-SA"/>
        </w:rPr>
        <w:t>（北</w:t>
      </w:r>
      <w:r>
        <w:rPr>
          <w:rFonts w:hint="eastAsia" w:ascii="宋体" w:hAnsi="宋体" w:eastAsia="宋体" w:cs="宋体"/>
          <w:color w:val="auto"/>
          <w:kern w:val="0"/>
          <w:sz w:val="21"/>
          <w:szCs w:val="21"/>
          <w:highlight w:val="none"/>
          <w:lang w:val="en-US" w:eastAsia="zh-CN" w:bidi="ar-SA"/>
        </w:rPr>
        <w:t>京时间）。</w:t>
      </w:r>
    </w:p>
    <w:p>
      <w:pPr>
        <w:pStyle w:val="30"/>
        <w:keepNext w:val="0"/>
        <w:keepLines w:val="0"/>
        <w:pageBreakBefore w:val="0"/>
        <w:widowControl w:val="0"/>
        <w:numPr>
          <w:ilvl w:val="0"/>
          <w:numId w:val="4"/>
        </w:numPr>
        <w:kinsoku/>
        <w:wordWrap/>
        <w:overflowPunct/>
        <w:topLinePunct w:val="0"/>
        <w:bidi w:val="0"/>
        <w:snapToGrid/>
        <w:spacing w:line="360" w:lineRule="auto"/>
        <w:ind w:left="0" w:leftChars="0" w:firstLine="420" w:firstLineChars="0"/>
        <w:textAlignment w:val="auto"/>
        <w:outlineLvl w:val="0"/>
        <w:rPr>
          <w:rStyle w:val="26"/>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开标地点：</w:t>
      </w:r>
      <w:r>
        <w:rPr>
          <w:rFonts w:hint="eastAsia" w:ascii="宋体" w:hAnsi="宋体" w:eastAsia="宋体" w:cs="宋体"/>
          <w:color w:val="auto"/>
          <w:sz w:val="21"/>
          <w:szCs w:val="21"/>
          <w:highlight w:val="none"/>
        </w:rPr>
        <w:t>政采云线上开标大厅（</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"https://www.zcygov.xn--cn)-np6ej63c8vhfp5b/" </w:instrText>
      </w:r>
      <w:r>
        <w:rPr>
          <w:rFonts w:hint="eastAsia" w:ascii="宋体" w:hAnsi="宋体" w:eastAsia="宋体" w:cs="宋体"/>
          <w:color w:val="auto"/>
          <w:sz w:val="21"/>
          <w:szCs w:val="21"/>
          <w:highlight w:val="none"/>
        </w:rPr>
        <w:fldChar w:fldCharType="separate"/>
      </w:r>
      <w:r>
        <w:rPr>
          <w:rStyle w:val="26"/>
          <w:rFonts w:hint="eastAsia" w:ascii="宋体" w:hAnsi="宋体" w:eastAsia="宋体" w:cs="宋体"/>
          <w:color w:val="auto"/>
          <w:sz w:val="21"/>
          <w:szCs w:val="21"/>
          <w:highlight w:val="none"/>
        </w:rPr>
        <w:t>https://www.zcygov.cn在线投标）</w:t>
      </w:r>
      <w:r>
        <w:rPr>
          <w:rFonts w:hint="eastAsia" w:ascii="宋体" w:hAnsi="宋体" w:eastAsia="宋体" w:cs="宋体"/>
          <w:color w:val="auto"/>
          <w:sz w:val="21"/>
          <w:szCs w:val="21"/>
          <w:highlight w:val="none"/>
        </w:rPr>
        <w:fldChar w:fldCharType="end"/>
      </w:r>
      <w:r>
        <w:rPr>
          <w:rStyle w:val="26"/>
          <w:rFonts w:hint="eastAsia" w:ascii="宋体" w:hAnsi="宋体" w:eastAsia="宋体" w:cs="宋体"/>
          <w:color w:val="auto"/>
          <w:sz w:val="21"/>
          <w:szCs w:val="21"/>
          <w:highlight w:val="none"/>
        </w:rPr>
        <w:t>。</w:t>
      </w:r>
    </w:p>
    <w:p>
      <w:pPr>
        <w:adjustRightInd w:val="0"/>
        <w:snapToGri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注意事项：</w:t>
      </w: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 xml:space="preserve"> 本项目采用全流程不见面电子开评标</w:t>
      </w:r>
      <w:r>
        <w:rPr>
          <w:rFonts w:hint="eastAsia" w:ascii="宋体" w:hAnsi="宋体" w:eastAsia="宋体" w:cs="宋体"/>
          <w:bCs/>
          <w:color w:val="auto"/>
          <w:sz w:val="21"/>
          <w:szCs w:val="21"/>
          <w:highlight w:val="none"/>
        </w:rPr>
        <w:t>，投标供应商需要使用CA加密设备，</w:t>
      </w:r>
      <w:r>
        <w:rPr>
          <w:rFonts w:hint="eastAsia" w:ascii="宋体" w:hAnsi="宋体" w:eastAsia="宋体" w:cs="宋体"/>
          <w:color w:val="auto"/>
          <w:kern w:val="0"/>
          <w:sz w:val="21"/>
          <w:szCs w:val="21"/>
          <w:highlight w:val="none"/>
        </w:rPr>
        <w:t>供应商可通过新疆数字证书认证中心官网（https://www.xjca.com.cn/）或下载“新疆政务通”APP自</w:t>
      </w:r>
    </w:p>
    <w:p>
      <w:pPr>
        <w:adjustRightInd w:val="0"/>
        <w:snapToGrid w:val="0"/>
        <w:spacing w:line="440" w:lineRule="exact"/>
        <w:ind w:firstLine="420" w:firstLineChars="200"/>
        <w:rPr>
          <w:rFonts w:hint="eastAsia" w:ascii="宋体" w:hAnsi="宋体" w:eastAsia="宋体" w:cs="宋体"/>
          <w:color w:val="auto"/>
          <w:kern w:val="0"/>
          <w:sz w:val="21"/>
          <w:szCs w:val="21"/>
          <w:highlight w:val="none"/>
        </w:rPr>
      </w:pPr>
    </w:p>
    <w:p>
      <w:pPr>
        <w:adjustRightInd w:val="0"/>
        <w:snapToGrid w:val="0"/>
        <w:spacing w:line="440" w:lineRule="exact"/>
        <w:ind w:firstLine="420" w:firstLineChars="200"/>
        <w:rPr>
          <w:rFonts w:hint="eastAsia" w:ascii="宋体" w:hAnsi="宋体" w:eastAsia="宋体" w:cs="宋体"/>
          <w:color w:val="auto"/>
          <w:kern w:val="0"/>
          <w:sz w:val="21"/>
          <w:szCs w:val="21"/>
          <w:highlight w:val="none"/>
        </w:rPr>
      </w:pPr>
    </w:p>
    <w:p>
      <w:p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行进行申领。</w:t>
      </w:r>
    </w:p>
    <w:p>
      <w:pPr>
        <w:adjustRightInd w:val="0"/>
        <w:snapToGri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adjustRightInd w:val="0"/>
        <w:snapToGrid w:val="0"/>
        <w:spacing w:line="440" w:lineRule="exact"/>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5.供应商在开标时须使用制作加密电子投标响应文件所使用的CA锁及电脑，电脑须提前配置好浏览器（建议使用360浏览器或谷歌浏览器），以便开标时解锁。  </w:t>
      </w:r>
    </w:p>
    <w:p>
      <w:pPr>
        <w:pStyle w:val="31"/>
        <w:spacing w:line="440" w:lineRule="exact"/>
        <w:ind w:firstLine="525" w:firstLineChars="25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31"/>
        <w:spacing w:line="360" w:lineRule="auto"/>
        <w:ind w:firstLine="525" w:firstLineChars="25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 7.为了保证开评标顺利进行，政采云线上开标功能完全实现，供应商开标所使用的电脑设备须具有视频及语音功能。</w:t>
      </w:r>
    </w:p>
    <w:p>
      <w:pPr>
        <w:numPr>
          <w:ilvl w:val="0"/>
          <w:numId w:val="0"/>
        </w:numPr>
        <w:autoSpaceDE w:val="0"/>
        <w:autoSpaceDN w:val="0"/>
        <w:spacing w:line="360" w:lineRule="auto"/>
        <w:ind w:left="420" w:left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十三、</w:t>
      </w:r>
      <w:r>
        <w:rPr>
          <w:rFonts w:hint="eastAsia" w:ascii="宋体" w:hAnsi="宋体" w:eastAsia="宋体" w:cs="宋体"/>
          <w:color w:val="auto"/>
          <w:sz w:val="21"/>
          <w:szCs w:val="21"/>
          <w:highlight w:val="none"/>
        </w:rPr>
        <w:t>采购代理机构联系人：</w:t>
      </w:r>
      <w:r>
        <w:rPr>
          <w:rFonts w:hint="eastAsia" w:ascii="宋体" w:hAnsi="宋体" w:eastAsia="宋体" w:cs="宋体"/>
          <w:color w:val="auto"/>
          <w:sz w:val="21"/>
          <w:szCs w:val="21"/>
          <w:highlight w:val="none"/>
          <w:lang w:val="en-US" w:eastAsia="zh-CN"/>
        </w:rPr>
        <w:t>杨佩</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13565026200</w:t>
      </w:r>
    </w:p>
    <w:p>
      <w:pPr>
        <w:autoSpaceDE w:val="0"/>
        <w:autoSpaceDN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、采购单位项目联系人：</w:t>
      </w:r>
      <w:r>
        <w:rPr>
          <w:rFonts w:hint="eastAsia" w:ascii="宋体" w:hAnsi="宋体" w:eastAsia="宋体" w:cs="宋体"/>
          <w:color w:val="auto"/>
          <w:sz w:val="21"/>
          <w:szCs w:val="21"/>
          <w:highlight w:val="none"/>
          <w:lang w:val="en-US" w:eastAsia="zh-CN"/>
        </w:rPr>
        <w:t>李博</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：0996-6030967</w:t>
      </w:r>
    </w:p>
    <w:p>
      <w:pPr>
        <w:pStyle w:val="6"/>
        <w:spacing w:line="360" w:lineRule="auto"/>
        <w:ind w:left="3780" w:leftChars="1800" w:firstLine="420" w:firstLineChars="200"/>
        <w:rPr>
          <w:rFonts w:hint="eastAsia" w:ascii="宋体" w:hAnsi="宋体" w:eastAsia="宋体" w:cs="宋体"/>
          <w:color w:val="auto"/>
          <w:kern w:val="0"/>
          <w:sz w:val="21"/>
          <w:szCs w:val="21"/>
          <w:highlight w:val="none"/>
        </w:rPr>
      </w:pPr>
    </w:p>
    <w:p>
      <w:pPr>
        <w:pStyle w:val="6"/>
        <w:spacing w:line="360" w:lineRule="auto"/>
        <w:ind w:left="3780" w:leftChars="1800" w:firstLine="420" w:firstLineChars="200"/>
        <w:rPr>
          <w:rFonts w:hint="eastAsia" w:ascii="宋体" w:hAnsi="宋体" w:eastAsia="宋体" w:cs="宋体"/>
          <w:color w:val="auto"/>
          <w:kern w:val="0"/>
          <w:sz w:val="21"/>
          <w:szCs w:val="21"/>
          <w:highlight w:val="none"/>
        </w:rPr>
      </w:pPr>
    </w:p>
    <w:p>
      <w:pPr>
        <w:pStyle w:val="6"/>
        <w:spacing w:line="360" w:lineRule="auto"/>
        <w:jc w:val="righ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新疆智投工程项目管理有限公司</w:t>
      </w:r>
    </w:p>
    <w:p>
      <w:pPr>
        <w:autoSpaceDE w:val="0"/>
        <w:autoSpaceDN w:val="0"/>
        <w:spacing w:line="360" w:lineRule="auto"/>
        <w:ind w:firstLine="6300" w:firstLineChars="30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日</w:t>
      </w:r>
    </w:p>
    <w:p>
      <w:pPr>
        <w:rPr>
          <w:rFonts w:hint="eastAsia" w:ascii="宋体" w:hAnsi="宋体" w:eastAsia="宋体" w:cs="宋体"/>
          <w:color w:val="auto"/>
          <w:highlight w:val="none"/>
          <w:lang w:eastAsia="zh-CN"/>
        </w:rPr>
      </w:pPr>
    </w:p>
    <w:p>
      <w:pPr>
        <w:pStyle w:val="6"/>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keepNext/>
        <w:keepLines/>
        <w:spacing w:line="360" w:lineRule="auto"/>
        <w:jc w:val="both"/>
        <w:outlineLvl w:val="0"/>
        <w:rPr>
          <w:rFonts w:hint="eastAsia" w:ascii="宋体" w:hAnsi="宋体" w:eastAsia="宋体" w:cs="宋体"/>
          <w:color w:val="auto"/>
          <w:sz w:val="28"/>
          <w:szCs w:val="28"/>
          <w:highlight w:val="none"/>
          <w:lang w:eastAsia="zh-CN"/>
        </w:rPr>
      </w:pPr>
    </w:p>
    <w:p>
      <w:pPr>
        <w:keepNext/>
        <w:keepLines/>
        <w:spacing w:line="360" w:lineRule="auto"/>
        <w:jc w:val="center"/>
        <w:outlineLvl w:val="0"/>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第二章 磋商须知</w:t>
      </w:r>
      <w:bookmarkEnd w:id="6"/>
      <w:bookmarkEnd w:id="7"/>
      <w:bookmarkStart w:id="9" w:name="EBd5da4144bf5b4dcfa561be372d70f824"/>
    </w:p>
    <w:p>
      <w:pPr>
        <w:pStyle w:val="32"/>
        <w:spacing w:before="0" w:after="0" w:line="360" w:lineRule="auto"/>
        <w:jc w:val="center"/>
        <w:rPr>
          <w:rFonts w:hint="eastAsia" w:ascii="宋体" w:hAnsi="宋体" w:eastAsia="宋体" w:cs="宋体"/>
          <w:b/>
          <w:bCs/>
          <w:color w:val="auto"/>
          <w:szCs w:val="24"/>
          <w:highlight w:val="none"/>
        </w:rPr>
      </w:pPr>
      <w:bookmarkStart w:id="10" w:name="_Toc17069"/>
      <w:bookmarkStart w:id="11" w:name="_Toc256000002"/>
      <w:r>
        <w:rPr>
          <w:rFonts w:hint="eastAsia" w:ascii="宋体" w:hAnsi="宋体" w:eastAsia="宋体" w:cs="宋体"/>
          <w:b/>
          <w:bCs/>
          <w:color w:val="auto"/>
          <w:szCs w:val="24"/>
          <w:highlight w:val="none"/>
        </w:rPr>
        <w:t>磋商须知前附表1</w:t>
      </w:r>
      <w:bookmarkEnd w:id="10"/>
      <w:bookmarkEnd w:id="11"/>
    </w:p>
    <w:p>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本须知前附表的条款号是与《磋商须知正文部分》中条款的项号相对应的。如果有矛盾的话，应以本附表为准。</w:t>
      </w:r>
    </w:p>
    <w:tbl>
      <w:tblPr>
        <w:tblStyle w:val="2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11"/>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6484"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采购人</w:t>
            </w:r>
          </w:p>
        </w:tc>
        <w:tc>
          <w:tcPr>
            <w:tcW w:w="6484"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采 购 人：</w:t>
            </w:r>
            <w:r>
              <w:rPr>
                <w:rFonts w:hint="eastAsia" w:ascii="宋体" w:hAnsi="宋体" w:eastAsia="宋体" w:cs="宋体"/>
                <w:color w:val="auto"/>
                <w:kern w:val="0"/>
                <w:sz w:val="21"/>
                <w:szCs w:val="21"/>
                <w:highlight w:val="none"/>
                <w:lang w:val="zh-CN" w:eastAsia="zh-CN"/>
              </w:rPr>
              <w:t>焉耆回族自治县永宁镇人民政府</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联系地址：</w:t>
            </w:r>
            <w:r>
              <w:rPr>
                <w:rFonts w:hint="eastAsia" w:ascii="宋体" w:hAnsi="宋体" w:eastAsia="宋体" w:cs="宋体"/>
                <w:color w:val="auto"/>
                <w:kern w:val="0"/>
                <w:sz w:val="21"/>
                <w:szCs w:val="21"/>
                <w:highlight w:val="none"/>
                <w:lang w:val="zh-CN" w:eastAsia="zh-CN"/>
              </w:rPr>
              <w:t>焉耆回族自治县永宁镇</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李博</w:t>
            </w:r>
            <w:r>
              <w:rPr>
                <w:rFonts w:hint="eastAsia" w:ascii="宋体" w:hAnsi="宋体" w:eastAsia="宋体" w:cs="宋体"/>
                <w:color w:val="auto"/>
                <w:kern w:val="0"/>
                <w:sz w:val="21"/>
                <w:szCs w:val="21"/>
                <w:highlight w:val="none"/>
                <w:lang w:val="zh-CN" w:eastAsia="zh-CN"/>
              </w:rPr>
              <w:t xml:space="preserve">  </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zh-CN" w:eastAsia="zh-CN"/>
              </w:rPr>
              <w:t>联 系 电 话：0996-6030967</w:t>
            </w:r>
            <w:r>
              <w:rPr>
                <w:rFonts w:hint="eastAsia" w:ascii="宋体" w:hAnsi="宋体" w:eastAsia="宋体" w:cs="宋体"/>
                <w:color w:val="auto"/>
                <w:kern w:val="0"/>
                <w:sz w:val="21"/>
                <w:szCs w:val="21"/>
                <w:highlight w:val="none"/>
                <w:lang w:val="zh-CN"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采购代理机构</w:t>
            </w:r>
          </w:p>
        </w:tc>
        <w:tc>
          <w:tcPr>
            <w:tcW w:w="6484" w:type="dxa"/>
            <w:noWrap w:val="0"/>
            <w:vAlign w:val="top"/>
          </w:tcPr>
          <w:p>
            <w:pPr>
              <w:pStyle w:val="6"/>
              <w:keepNext w:val="0"/>
              <w:keepLines w:val="0"/>
              <w:pageBreakBefore w:val="0"/>
              <w:kinsoku/>
              <w:wordWrap/>
              <w:overflowPunct/>
              <w:topLinePunct w:val="0"/>
              <w:bidi w:val="0"/>
              <w:adjustRightInd/>
              <w:snapToGrid/>
              <w:spacing w:line="288" w:lineRule="auto"/>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kern w:val="0"/>
                <w:sz w:val="21"/>
                <w:szCs w:val="21"/>
                <w:highlight w:val="none"/>
                <w:lang w:eastAsia="zh-CN"/>
              </w:rPr>
              <w:t>新疆智投工程项目管理有限公司</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lang w:eastAsia="zh-CN"/>
              </w:rPr>
              <w:t>新疆巴州库尔勒索克巴格路27号康都时代花园35栋3层01</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eastAsia="zh-CN"/>
              </w:rPr>
              <w:t>杨佩</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13565026200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6484" w:type="dxa"/>
            <w:noWrap w:val="0"/>
            <w:vAlign w:val="top"/>
          </w:tcPr>
          <w:p>
            <w:pPr>
              <w:pStyle w:val="34"/>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eastAsia="宋体" w:cs="宋体"/>
                <w:color w:val="auto"/>
                <w:kern w:val="0"/>
                <w:sz w:val="21"/>
                <w:szCs w:val="21"/>
                <w:highlight w:val="none"/>
                <w:u w:val="single"/>
                <w:lang w:eastAsia="zh-CN"/>
              </w:rPr>
            </w:pPr>
            <w:r>
              <w:rPr>
                <w:rFonts w:hint="eastAsia" w:ascii="宋体" w:hAnsi="宋体" w:cs="宋体"/>
                <w:color w:val="auto"/>
                <w:sz w:val="21"/>
                <w:szCs w:val="21"/>
                <w:highlight w:val="none"/>
                <w:lang w:eastAsia="zh-CN"/>
              </w:rPr>
              <w:t>永宁镇下岔河村人居环境整治项目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项目实施地点</w:t>
            </w:r>
          </w:p>
        </w:tc>
        <w:tc>
          <w:tcPr>
            <w:tcW w:w="6484" w:type="dxa"/>
            <w:noWrap w:val="0"/>
            <w:vAlign w:val="top"/>
          </w:tcPr>
          <w:p>
            <w:pPr>
              <w:pStyle w:val="34"/>
              <w:keepNext w:val="0"/>
              <w:keepLines w:val="0"/>
              <w:pageBreakBefore w:val="0"/>
              <w:widowControl/>
              <w:kinsoku/>
              <w:wordWrap/>
              <w:overflowPunct/>
              <w:topLinePunct w:val="0"/>
              <w:bidi w:val="0"/>
              <w:adjustRightInd/>
              <w:snapToGrid/>
              <w:spacing w:line="288"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永宁镇下岔河村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资金来源</w:t>
            </w:r>
          </w:p>
        </w:tc>
        <w:tc>
          <w:tcPr>
            <w:tcW w:w="6484" w:type="dxa"/>
            <w:noWrap w:val="0"/>
            <w:vAlign w:val="top"/>
          </w:tcPr>
          <w:p>
            <w:pPr>
              <w:pStyle w:val="34"/>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财政</w:t>
            </w:r>
            <w:r>
              <w:rPr>
                <w:rFonts w:hint="eastAsia" w:ascii="宋体" w:hAnsi="宋体" w:eastAsia="宋体" w:cs="宋体"/>
                <w:color w:val="auto"/>
                <w:sz w:val="21"/>
                <w:szCs w:val="21"/>
                <w:highlight w:val="none"/>
                <w:lang w:val="en-US" w:eastAsia="zh-CN"/>
              </w:rPr>
              <w:t>衔接推进乡村振兴补助资金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落实情况</w:t>
            </w:r>
          </w:p>
        </w:tc>
        <w:tc>
          <w:tcPr>
            <w:tcW w:w="6484" w:type="dxa"/>
            <w:noWrap w:val="0"/>
            <w:vAlign w:val="top"/>
          </w:tcPr>
          <w:p>
            <w:pPr>
              <w:pStyle w:val="34"/>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1911" w:type="dxa"/>
            <w:noWrap w:val="0"/>
            <w:vAlign w:val="center"/>
          </w:tcPr>
          <w:p>
            <w:pPr>
              <w:pStyle w:val="34"/>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工期</w:t>
            </w:r>
          </w:p>
        </w:tc>
        <w:tc>
          <w:tcPr>
            <w:tcW w:w="6484" w:type="dxa"/>
            <w:noWrap w:val="0"/>
            <w:vAlign w:val="center"/>
          </w:tcPr>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r>
              <w:rPr>
                <w:rFonts w:hint="eastAsia" w:ascii="宋体" w:hAnsi="宋体" w:cs="宋体"/>
                <w:color w:val="auto"/>
                <w:kern w:val="0"/>
                <w:sz w:val="21"/>
                <w:szCs w:val="21"/>
                <w:highlight w:val="none"/>
                <w:lang w:val="en-US" w:eastAsia="zh-CN"/>
              </w:rPr>
              <w:t>120</w:t>
            </w:r>
            <w:r>
              <w:rPr>
                <w:rFonts w:hint="eastAsia" w:ascii="宋体" w:hAnsi="宋体" w:eastAsia="宋体" w:cs="宋体"/>
                <w:color w:val="auto"/>
                <w:kern w:val="0"/>
                <w:sz w:val="21"/>
                <w:szCs w:val="21"/>
                <w:highlight w:val="none"/>
              </w:rPr>
              <w:t>日历天；</w:t>
            </w:r>
          </w:p>
          <w:p>
            <w:pPr>
              <w:pStyle w:val="34"/>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日</w:t>
            </w:r>
          </w:p>
          <w:p>
            <w:pPr>
              <w:pStyle w:val="34"/>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计划竣工日期：202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最终以签订合同为准</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6484"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供应商的资格要求</w:t>
            </w:r>
          </w:p>
        </w:tc>
        <w:tc>
          <w:tcPr>
            <w:tcW w:w="6484" w:type="dxa"/>
            <w:noWrap w:val="0"/>
            <w:vAlign w:val="center"/>
          </w:tcPr>
          <w:p>
            <w:pPr>
              <w:keepNext w:val="0"/>
              <w:keepLines w:val="0"/>
              <w:pageBreakBefore w:val="0"/>
              <w:numPr>
                <w:ilvl w:val="0"/>
                <w:numId w:val="5"/>
              </w:numPr>
              <w:kinsoku/>
              <w:wordWrap/>
              <w:overflowPunct/>
              <w:topLinePunct w:val="0"/>
              <w:autoSpaceDE w:val="0"/>
              <w:autoSpaceDN w:val="0"/>
              <w:bidi w:val="0"/>
              <w:adjustRightInd/>
              <w:snapToGrid/>
              <w:spacing w:afterAutospacing="0" w:line="288"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供应商必须符合《中华人民共和国政府采购法》第二十二条规定的条件，提供以下材料：</w:t>
            </w:r>
          </w:p>
          <w:p>
            <w:pPr>
              <w:pStyle w:val="22"/>
              <w:keepNext w:val="0"/>
              <w:keepLines w:val="0"/>
              <w:pageBreakBefore w:val="0"/>
              <w:kinsoku/>
              <w:wordWrap/>
              <w:overflowPunct/>
              <w:topLinePunct w:val="0"/>
              <w:bidi w:val="0"/>
              <w:adjustRightInd/>
              <w:snapToGrid/>
              <w:spacing w:before="0" w:beforeLines="0" w:beforeAutospacing="0" w:line="288" w:lineRule="auto"/>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（1）具有独立承担民事责任的能力；</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（2）法定代表人身份证原件或法定代表人授权委托书和委托代理人身份证原件（授权委托书应附上法人和代理人身份证复印件）；</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（3）提供202</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年或202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年度财务状况报告（新成立的公司可不提供）；</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（4）具有履行合同所必需的设备和专业技术能力（提供书面说明）；</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（5）提供近半年依法缴纳税收的证明（纳税凭证）复印件，如依法免税的，应提供相应文件证明其依法免税（新成立的公司可不提供）；</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（6）提供近半年依法缴纳社会保险的证明（缴费凭证）复印件，如依法不需要缴纳社会保障资金的，应提供相应文件证明其依法不需要缴纳社会保障资金（新成立的公司可不提供）；</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（7）具备法律、行政法规规定的其他条件的书面声明；</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（8）</w:t>
            </w:r>
            <w:r>
              <w:rPr>
                <w:rFonts w:hint="eastAsia" w:ascii="宋体" w:hAnsi="宋体" w:cs="宋体"/>
                <w:b/>
                <w:bCs/>
                <w:color w:val="auto"/>
                <w:kern w:val="2"/>
                <w:sz w:val="21"/>
                <w:szCs w:val="21"/>
                <w:highlight w:val="none"/>
                <w:lang w:val="en-US" w:eastAsia="zh-CN" w:bidi="ar-SA"/>
              </w:rPr>
              <w:t>本项目为中小企业预留</w:t>
            </w:r>
          </w:p>
          <w:p>
            <w:pPr>
              <w:pStyle w:val="22"/>
              <w:keepNext w:val="0"/>
              <w:keepLines w:val="0"/>
              <w:pageBreakBefore w:val="0"/>
              <w:kinsoku/>
              <w:wordWrap/>
              <w:overflowPunct/>
              <w:topLinePunct w:val="0"/>
              <w:bidi w:val="0"/>
              <w:adjustRightInd/>
              <w:snapToGrid/>
              <w:spacing w:line="288" w:lineRule="auto"/>
              <w:contextualSpacing/>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highlight w:val="none"/>
              </w:rPr>
              <w:t>（</w:t>
            </w:r>
            <w:r>
              <w:rPr>
                <w:rFonts w:hint="eastAsia"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en-US" w:eastAsia="zh-CN" w:bidi="ar-SA"/>
              </w:rPr>
              <w:t>）投标人须具备</w:t>
            </w:r>
            <w:r>
              <w:rPr>
                <w:rFonts w:hint="eastAsia" w:cs="宋体"/>
                <w:color w:val="auto"/>
                <w:kern w:val="0"/>
                <w:sz w:val="21"/>
                <w:szCs w:val="21"/>
                <w:highlight w:val="none"/>
                <w:lang w:val="en-US" w:eastAsia="zh-CN" w:bidi="ar-SA"/>
              </w:rPr>
              <w:t>市政公用工程施工</w:t>
            </w:r>
            <w:r>
              <w:rPr>
                <w:rFonts w:hint="eastAsia" w:ascii="宋体" w:hAnsi="宋体" w:eastAsia="宋体" w:cs="宋体"/>
                <w:color w:val="auto"/>
                <w:kern w:val="0"/>
                <w:sz w:val="21"/>
                <w:szCs w:val="21"/>
                <w:highlight w:val="none"/>
                <w:lang w:val="en-US" w:eastAsia="zh-CN" w:bidi="ar-SA"/>
              </w:rPr>
              <w:t>总承包叁级（含叁级）及以上资质，具有合格有效的施工企业安全生产许可证，区外企业需提供进疆企业信息报送手续。拟用项目负责人须具备</w:t>
            </w:r>
            <w:r>
              <w:rPr>
                <w:rFonts w:hint="eastAsia" w:cs="宋体"/>
                <w:color w:val="auto"/>
                <w:kern w:val="0"/>
                <w:sz w:val="21"/>
                <w:szCs w:val="21"/>
                <w:highlight w:val="none"/>
                <w:lang w:val="en-US" w:eastAsia="zh-CN" w:bidi="ar-SA"/>
              </w:rPr>
              <w:t>市政公用</w:t>
            </w:r>
            <w:r>
              <w:rPr>
                <w:rFonts w:hint="eastAsia" w:ascii="宋体" w:hAnsi="宋体" w:eastAsia="宋体" w:cs="宋体"/>
                <w:color w:val="auto"/>
                <w:kern w:val="0"/>
                <w:sz w:val="21"/>
                <w:szCs w:val="21"/>
                <w:highlight w:val="none"/>
                <w:lang w:val="en-US" w:eastAsia="zh-CN" w:bidi="ar-SA"/>
              </w:rPr>
              <w:t>工程专业二级（含二级）及以上注册建造师执业资格，具备有效的安全生产考核合格证书（B类），且未担任其他在施建设工程项目的项目经理。</w:t>
            </w:r>
          </w:p>
          <w:p>
            <w:pPr>
              <w:pStyle w:val="22"/>
              <w:keepNext w:val="0"/>
              <w:keepLines w:val="0"/>
              <w:pageBreakBefore w:val="0"/>
              <w:kinsoku/>
              <w:wordWrap/>
              <w:overflowPunct/>
              <w:topLinePunct w:val="0"/>
              <w:bidi w:val="0"/>
              <w:adjustRightInd/>
              <w:snapToGrid/>
              <w:spacing w:line="288" w:lineRule="auto"/>
              <w:ind w:firstLine="474" w:firstLineChars="226"/>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、提供《公平竞争承诺书》；</w:t>
            </w:r>
          </w:p>
          <w:p>
            <w:pPr>
              <w:pStyle w:val="22"/>
              <w:keepNext w:val="0"/>
              <w:keepLines w:val="0"/>
              <w:pageBreakBefore w:val="0"/>
              <w:kinsoku/>
              <w:wordWrap/>
              <w:overflowPunct/>
              <w:topLinePunct w:val="0"/>
              <w:bidi w:val="0"/>
              <w:adjustRightInd/>
              <w:snapToGrid/>
              <w:spacing w:after="0" w:afterLines="0" w:afterAutospacing="0" w:line="288" w:lineRule="auto"/>
              <w:ind w:firstLine="474" w:firstLineChars="226"/>
              <w:contextualSpacing/>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3、必须提供“信用中国”“中国政府采购网”以上</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r>
              <w:rPr>
                <w:rFonts w:hint="eastAsia" w:ascii="宋体" w:hAnsi="宋体" w:eastAsia="宋体" w:cs="宋体"/>
                <w:sz w:val="21"/>
                <w:szCs w:val="21"/>
                <w:highlight w:val="none"/>
                <w:lang w:eastAsia="zh-CN"/>
              </w:rPr>
              <w:t>。</w:t>
            </w:r>
          </w:p>
          <w:p>
            <w:pPr>
              <w:pStyle w:val="2"/>
              <w:keepNext w:val="0"/>
              <w:keepLines w:val="0"/>
              <w:pageBreakBefore w:val="0"/>
              <w:numPr>
                <w:ilvl w:val="0"/>
                <w:numId w:val="0"/>
              </w:numPr>
              <w:kinsoku/>
              <w:wordWrap/>
              <w:overflowPunct/>
              <w:topLinePunct w:val="0"/>
              <w:bidi w:val="0"/>
              <w:adjustRightInd/>
              <w:snapToGrid/>
              <w:spacing w:beforeAutospacing="0"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、本项目不接受联合体投标。 </w:t>
            </w:r>
          </w:p>
          <w:p>
            <w:pPr>
              <w:pStyle w:val="2"/>
              <w:keepNext w:val="0"/>
              <w:keepLines w:val="0"/>
              <w:pageBreakBefore w:val="0"/>
              <w:numPr>
                <w:ilvl w:val="0"/>
                <w:numId w:val="0"/>
              </w:numPr>
              <w:kinsoku/>
              <w:wordWrap/>
              <w:overflowPunct/>
              <w:topLinePunct w:val="0"/>
              <w:bidi w:val="0"/>
              <w:adjustRightInd/>
              <w:snapToGrid/>
              <w:spacing w:beforeAutospacing="0" w:line="288"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落实政府采购政策需满足的资格要求：</w:t>
            </w:r>
          </w:p>
          <w:p>
            <w:pPr>
              <w:pStyle w:val="2"/>
              <w:keepNext w:val="0"/>
              <w:keepLines w:val="0"/>
              <w:pageBreakBefore w:val="0"/>
              <w:numPr>
                <w:ilvl w:val="0"/>
                <w:numId w:val="0"/>
              </w:numPr>
              <w:kinsoku/>
              <w:wordWrap/>
              <w:overflowPunct/>
              <w:topLinePunct w:val="0"/>
              <w:bidi w:val="0"/>
              <w:adjustRightInd/>
              <w:snapToGrid/>
              <w:spacing w:beforeAutospacing="0" w:line="288"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（1）投标供应商须为中小企业。（本项目专门面向中小微企业采购，投标供应商须为中小企业且必须提供《中小企业声明函》。残疾人福利性单位、监狱企业视同为中小微企业。）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是否允许联合体</w:t>
            </w:r>
          </w:p>
          <w:p>
            <w:pPr>
              <w:pStyle w:val="34"/>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投标</w:t>
            </w:r>
          </w:p>
        </w:tc>
        <w:tc>
          <w:tcPr>
            <w:tcW w:w="6484" w:type="dxa"/>
            <w:noWrap w:val="0"/>
            <w:vAlign w:val="center"/>
          </w:tcPr>
          <w:p>
            <w:pPr>
              <w:pStyle w:val="34"/>
              <w:keepNext w:val="0"/>
              <w:keepLines w:val="0"/>
              <w:pageBreakBefore w:val="0"/>
              <w:kinsoku/>
              <w:wordWrap/>
              <w:overflowPunct/>
              <w:topLinePunct w:val="0"/>
              <w:autoSpaceDE w:val="0"/>
              <w:autoSpaceDN w:val="0"/>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□是 </w:t>
            </w:r>
          </w:p>
          <w:p>
            <w:pPr>
              <w:pStyle w:val="34"/>
              <w:keepNext w:val="0"/>
              <w:keepLines w:val="0"/>
              <w:pageBreakBefore w:val="0"/>
              <w:kinsoku/>
              <w:wordWrap/>
              <w:overflowPunct/>
              <w:topLinePunct w:val="0"/>
              <w:autoSpaceDE w:val="0"/>
              <w:autoSpaceDN w:val="0"/>
              <w:bidi w:val="0"/>
              <w:adjustRightInd/>
              <w:snapToGrid/>
              <w:spacing w:line="288" w:lineRule="auto"/>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☑否</w:t>
            </w:r>
            <w:r>
              <w:rPr>
                <w:rFonts w:hint="eastAsia" w:ascii="宋体" w:hAnsi="宋体" w:eastAsia="宋体" w:cs="宋体"/>
                <w:color w:val="auto"/>
                <w:kern w:val="0"/>
                <w:sz w:val="21"/>
                <w:szCs w:val="21"/>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控制价</w:t>
            </w:r>
          </w:p>
          <w:p>
            <w:pPr>
              <w:pStyle w:val="34"/>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（或采购预算）</w:t>
            </w:r>
          </w:p>
        </w:tc>
        <w:tc>
          <w:tcPr>
            <w:tcW w:w="6484" w:type="dxa"/>
            <w:noWrap w:val="0"/>
            <w:vAlign w:val="top"/>
          </w:tcPr>
          <w:p>
            <w:pPr>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2111235.88</w:t>
            </w:r>
            <w:r>
              <w:rPr>
                <w:rFonts w:hint="eastAsia" w:ascii="宋体" w:hAnsi="宋体" w:eastAsia="宋体" w:cs="宋体"/>
                <w:b/>
                <w:bCs/>
                <w:color w:val="auto"/>
                <w:sz w:val="21"/>
                <w:szCs w:val="21"/>
                <w:highlight w:val="none"/>
                <w:u w:val="single"/>
                <w:lang w:eastAsia="zh-CN"/>
              </w:rPr>
              <w:t>元</w:t>
            </w:r>
          </w:p>
          <w:p>
            <w:pPr>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大写：</w:t>
            </w:r>
            <w:r>
              <w:rPr>
                <w:rFonts w:hint="eastAsia" w:ascii="宋体" w:hAnsi="宋体" w:cs="宋体"/>
                <w:b/>
                <w:bCs/>
                <w:color w:val="auto"/>
                <w:sz w:val="21"/>
                <w:szCs w:val="21"/>
                <w:highlight w:val="none"/>
                <w:u w:val="single"/>
                <w:lang w:val="en-US" w:eastAsia="zh-CN"/>
              </w:rPr>
              <w:t>贰佰壹拾壹万壹仟贰佰叁拾伍元捌角捌分</w:t>
            </w:r>
            <w:r>
              <w:rPr>
                <w:rFonts w:hint="eastAsia" w:ascii="宋体" w:hAnsi="宋体" w:eastAsia="宋体" w:cs="宋体"/>
                <w:b/>
                <w:bCs/>
                <w:color w:val="auto"/>
                <w:sz w:val="21"/>
                <w:szCs w:val="21"/>
                <w:highlight w:val="none"/>
                <w:u w:val="single"/>
                <w:lang w:eastAsia="zh-CN"/>
              </w:rPr>
              <w:t>）</w:t>
            </w:r>
          </w:p>
          <w:p>
            <w:pPr>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投标人投标报价超过或等于项目控制价的按无效投标处理。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1" w:type="dxa"/>
            <w:vMerge w:val="restart"/>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4</w:t>
            </w:r>
          </w:p>
        </w:tc>
        <w:tc>
          <w:tcPr>
            <w:tcW w:w="1911" w:type="dxa"/>
            <w:vMerge w:val="restart"/>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磋商保证金</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eastAsia="zh-CN"/>
              </w:rPr>
              <w:t>或电子保函</w:t>
            </w:r>
          </w:p>
        </w:tc>
        <w:tc>
          <w:tcPr>
            <w:tcW w:w="6484" w:type="dxa"/>
            <w:noWrap w:val="0"/>
            <w:vAlign w:val="center"/>
          </w:tcPr>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缴纳方式：</w:t>
            </w:r>
            <w:r>
              <w:rPr>
                <w:rFonts w:hint="eastAsia" w:ascii="宋体" w:hAnsi="宋体" w:eastAsia="宋体" w:cs="宋体"/>
                <w:color w:val="auto"/>
                <w:kern w:val="0"/>
                <w:sz w:val="21"/>
                <w:szCs w:val="21"/>
                <w:highlight w:val="none"/>
              </w:rPr>
              <w:t>从供应商所在地企业账户以电汇或银行转账的方式汇到指定的投标保证金账户，或以支票、汇票或</w:t>
            </w:r>
            <w:r>
              <w:rPr>
                <w:rFonts w:hint="eastAsia" w:ascii="宋体" w:hAnsi="宋体" w:cs="宋体"/>
                <w:color w:val="auto"/>
                <w:kern w:val="0"/>
                <w:sz w:val="21"/>
                <w:szCs w:val="21"/>
                <w:highlight w:val="none"/>
                <w:lang w:val="en-US" w:eastAsia="zh-CN"/>
              </w:rPr>
              <w:t>电子</w:t>
            </w:r>
            <w:r>
              <w:rPr>
                <w:rFonts w:hint="eastAsia" w:ascii="宋体" w:hAnsi="宋体" w:eastAsia="宋体" w:cs="宋体"/>
                <w:color w:val="auto"/>
                <w:kern w:val="0"/>
                <w:sz w:val="21"/>
                <w:szCs w:val="21"/>
                <w:highlight w:val="none"/>
              </w:rPr>
              <w:t>保函的方式递交。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1" w:type="dxa"/>
            <w:vMerge w:val="continue"/>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tc>
        <w:tc>
          <w:tcPr>
            <w:tcW w:w="1911" w:type="dxa"/>
            <w:vMerge w:val="continue"/>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tc>
        <w:tc>
          <w:tcPr>
            <w:tcW w:w="6484"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金额（小写）：</w:t>
            </w:r>
            <w:r>
              <w:rPr>
                <w:rFonts w:hint="eastAsia" w:ascii="宋体" w:hAnsi="宋体" w:cs="宋体"/>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u w:val="single"/>
                <w:lang w:val="en-US" w:eastAsia="zh-CN"/>
              </w:rPr>
              <w:t>000.00元</w:t>
            </w:r>
            <w:r>
              <w:rPr>
                <w:rFonts w:hint="eastAsia" w:ascii="宋体" w:hAnsi="宋体" w:eastAsia="宋体" w:cs="宋体"/>
                <w:color w:val="auto"/>
                <w:kern w:val="0"/>
                <w:sz w:val="21"/>
                <w:szCs w:val="21"/>
                <w:highlight w:val="none"/>
                <w:u w:val="single"/>
              </w:rPr>
              <w:t xml:space="preserve">        </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金额（大写）：</w:t>
            </w:r>
            <w:r>
              <w:rPr>
                <w:rFonts w:hint="eastAsia" w:ascii="宋体" w:hAnsi="宋体" w:cs="宋体"/>
                <w:color w:val="auto"/>
                <w:kern w:val="0"/>
                <w:sz w:val="21"/>
                <w:szCs w:val="21"/>
                <w:highlight w:val="none"/>
                <w:u w:val="single"/>
                <w:lang w:val="en-US" w:eastAsia="zh-CN"/>
              </w:rPr>
              <w:t>贰万元零角零分</w:t>
            </w:r>
            <w:r>
              <w:rPr>
                <w:rFonts w:hint="eastAsia" w:ascii="宋体" w:hAnsi="宋体" w:eastAsia="宋体" w:cs="宋体"/>
                <w:color w:val="auto"/>
                <w:kern w:val="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61" w:type="dxa"/>
            <w:vMerge w:val="continue"/>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tc>
        <w:tc>
          <w:tcPr>
            <w:tcW w:w="1911" w:type="dxa"/>
            <w:vMerge w:val="continue"/>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tc>
        <w:tc>
          <w:tcPr>
            <w:tcW w:w="6484" w:type="dxa"/>
            <w:noWrap w:val="0"/>
            <w:vAlign w:val="center"/>
          </w:tcPr>
          <w:p>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新疆智投工程项目管理有限公司</w:t>
            </w:r>
          </w:p>
          <w:p>
            <w:pPr>
              <w:keepNext w:val="0"/>
              <w:keepLines w:val="0"/>
              <w:pageBreakBefore w:val="0"/>
              <w:widowControl/>
              <w:kinsoku/>
              <w:wordWrap/>
              <w:overflowPunct/>
              <w:topLinePunct w:val="0"/>
              <w:autoSpaceDE/>
              <w:autoSpaceDN/>
              <w:bidi w:val="0"/>
              <w:adjustRightInd/>
              <w:snapToGrid/>
              <w:spacing w:line="288" w:lineRule="auto"/>
              <w:ind w:left="1200" w:hanging="1050" w:hanging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中国建设银行股份有限公司巴音郭楞蒙古自治州人民东路支行</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银行账号：65050170603600000945 </w:t>
            </w:r>
          </w:p>
          <w:p>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  号：105888000039</w:t>
            </w:r>
          </w:p>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投标保证金必须由投标人公对公账户转出且在汇单附言栏内或备注栏明确注明项目名称和投标保证金字样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保证金递交</w:t>
            </w:r>
            <w:r>
              <w:rPr>
                <w:rFonts w:hint="eastAsia" w:ascii="宋体" w:hAnsi="宋体" w:eastAsia="宋体" w:cs="宋体"/>
                <w:b/>
                <w:bCs/>
                <w:color w:val="auto"/>
                <w:sz w:val="21"/>
                <w:szCs w:val="21"/>
                <w:highlight w:val="none"/>
              </w:rPr>
              <w:t>截止</w:t>
            </w:r>
            <w:r>
              <w:rPr>
                <w:rFonts w:hint="eastAsia" w:ascii="宋体" w:hAnsi="宋体" w:eastAsia="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lang w:eastAsia="zh-CN"/>
              </w:rPr>
              <w:t>202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年202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0分 （北京时间）</w:t>
            </w:r>
          </w:p>
          <w:p>
            <w:pPr>
              <w:keepNext w:val="0"/>
              <w:keepLines w:val="0"/>
              <w:pageBreakBefore w:val="0"/>
              <w:numPr>
                <w:ilvl w:val="0"/>
                <w:numId w:val="6"/>
              </w:numPr>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本项目</w:t>
            </w:r>
            <w:r>
              <w:rPr>
                <w:rFonts w:hint="eastAsia" w:ascii="宋体" w:hAnsi="宋体" w:eastAsia="宋体" w:cs="宋体"/>
                <w:b/>
                <w:bCs/>
                <w:color w:val="auto"/>
                <w:sz w:val="21"/>
                <w:szCs w:val="21"/>
                <w:highlight w:val="none"/>
              </w:rPr>
              <w:t>不接受现金形式的投标保证金</w:t>
            </w:r>
            <w:r>
              <w:rPr>
                <w:rFonts w:hint="eastAsia" w:ascii="宋体" w:hAnsi="宋体" w:eastAsia="宋体" w:cs="宋体"/>
                <w:b/>
                <w:bCs/>
                <w:color w:val="auto"/>
                <w:sz w:val="21"/>
                <w:szCs w:val="21"/>
                <w:highlight w:val="none"/>
                <w:lang w:eastAsia="zh-CN"/>
              </w:rPr>
              <w:t>；</w:t>
            </w:r>
          </w:p>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如果发现供应商有围标、串标行为，其投标无效，且投标保证金将被没收，不予退还；</w:t>
            </w:r>
          </w:p>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投标保证金未按规定时间缴纳或提交金额不足的，将被视为无效投标,其投标文件将不予接受。供应商应充分考虑资金在途时间）；</w:t>
            </w:r>
          </w:p>
          <w:p>
            <w:pPr>
              <w:keepNext w:val="0"/>
              <w:keepLines w:val="0"/>
              <w:pageBreakBefore w:val="0"/>
              <w:numPr>
                <w:ilvl w:val="0"/>
                <w:numId w:val="0"/>
              </w:numPr>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未按上述要求提交投标保证金的按无效响应处理。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61" w:type="dxa"/>
            <w:vMerge w:val="continue"/>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tc>
        <w:tc>
          <w:tcPr>
            <w:tcW w:w="1911" w:type="dxa"/>
            <w:vMerge w:val="continue"/>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tc>
        <w:tc>
          <w:tcPr>
            <w:tcW w:w="6484" w:type="dxa"/>
            <w:noWrap w:val="0"/>
            <w:vAlign w:val="top"/>
          </w:tcPr>
          <w:p>
            <w:pPr>
              <w:pStyle w:val="13"/>
              <w:keepNext w:val="0"/>
              <w:keepLines w:val="0"/>
              <w:pageBreakBefore w:val="0"/>
              <w:kinsoku/>
              <w:wordWrap/>
              <w:overflowPunct/>
              <w:topLinePunct w:val="0"/>
              <w:bidi w:val="0"/>
              <w:adjustRightInd/>
              <w:snapToGrid/>
              <w:spacing w:line="288"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电子保函：在线递交电子保函</w:t>
            </w:r>
          </w:p>
          <w:p>
            <w:pPr>
              <w:pStyle w:val="1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保函投保金额:</w:t>
            </w:r>
            <w:r>
              <w:rPr>
                <w:rFonts w:hint="eastAsia" w:hAnsi="宋体" w:cs="宋体"/>
                <w:kern w:val="2"/>
                <w:sz w:val="21"/>
                <w:szCs w:val="21"/>
                <w:highlight w:val="none"/>
                <w:lang w:val="en-US" w:eastAsia="zh-CN" w:bidi="ar-SA"/>
              </w:rPr>
              <w:t>20</w:t>
            </w:r>
            <w:r>
              <w:rPr>
                <w:rFonts w:hint="eastAsia" w:ascii="宋体" w:hAnsi="宋体" w:eastAsia="宋体" w:cs="宋体"/>
                <w:kern w:val="2"/>
                <w:sz w:val="21"/>
                <w:szCs w:val="21"/>
                <w:highlight w:val="none"/>
                <w:lang w:val="en-US" w:eastAsia="zh-CN" w:bidi="ar-SA"/>
              </w:rPr>
              <w:t>000</w:t>
            </w:r>
            <w:r>
              <w:rPr>
                <w:rFonts w:hint="eastAsia" w:hAnsi="宋体" w:cs="宋体"/>
                <w:kern w:val="2"/>
                <w:sz w:val="21"/>
                <w:szCs w:val="21"/>
                <w:highlight w:val="none"/>
                <w:lang w:val="en-US" w:eastAsia="zh-CN" w:bidi="ar-SA"/>
              </w:rPr>
              <w:t>.00</w:t>
            </w:r>
            <w:r>
              <w:rPr>
                <w:rFonts w:hint="eastAsia" w:ascii="宋体" w:hAnsi="宋体" w:eastAsia="宋体" w:cs="宋体"/>
                <w:kern w:val="2"/>
                <w:sz w:val="21"/>
                <w:szCs w:val="21"/>
                <w:highlight w:val="none"/>
                <w:lang w:val="en-US" w:eastAsia="zh-CN" w:bidi="ar-SA"/>
              </w:rPr>
              <w:t>(元)</w:t>
            </w:r>
          </w:p>
          <w:p>
            <w:pPr>
              <w:pStyle w:val="1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lang w:val="en-US" w:eastAsia="zh-CN" w:bidi="ar-SA"/>
              </w:rPr>
              <w:t>保函承保期</w:t>
            </w:r>
            <w:r>
              <w:rPr>
                <w:rFonts w:hint="eastAsia" w:ascii="宋体" w:hAnsi="宋体" w:eastAsia="宋体" w:cs="宋体"/>
                <w:color w:val="auto"/>
                <w:kern w:val="2"/>
                <w:sz w:val="21"/>
                <w:szCs w:val="21"/>
                <w:highlight w:val="none"/>
                <w:lang w:val="en-US" w:eastAsia="zh-CN" w:bidi="ar-SA"/>
              </w:rPr>
              <w:t>限:202</w:t>
            </w:r>
            <w:r>
              <w:rPr>
                <w:rFonts w:hint="eastAsia"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年</w:t>
            </w:r>
            <w:r>
              <w:rPr>
                <w:rFonts w:hint="eastAsia"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月</w:t>
            </w:r>
            <w:r>
              <w:rPr>
                <w:rFonts w:hint="eastAsia"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日-202</w:t>
            </w:r>
            <w:r>
              <w:rPr>
                <w:rFonts w:hint="eastAsia"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年</w:t>
            </w:r>
            <w:r>
              <w:rPr>
                <w:rFonts w:hint="eastAsia"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月</w:t>
            </w:r>
            <w:r>
              <w:rPr>
                <w:rFonts w:hint="eastAsia"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5</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响应文件有效期</w:t>
            </w:r>
          </w:p>
        </w:tc>
        <w:tc>
          <w:tcPr>
            <w:tcW w:w="6484"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自首次递交响应文件截止时间起计算</w:t>
            </w:r>
            <w:r>
              <w:rPr>
                <w:rFonts w:hint="eastAsia" w:ascii="宋体" w:hAnsi="宋体" w:cs="宋体"/>
                <w:color w:val="auto"/>
                <w:sz w:val="21"/>
                <w:szCs w:val="21"/>
                <w:highlight w:val="none"/>
                <w:u w:val="single"/>
                <w:lang w:val="en-US" w:eastAsia="zh-CN"/>
              </w:rPr>
              <w:t>90</w:t>
            </w:r>
            <w:r>
              <w:rPr>
                <w:rFonts w:hint="eastAsia" w:ascii="宋体" w:hAnsi="宋体" w:eastAsia="宋体" w:cs="宋体"/>
                <w:color w:val="auto"/>
                <w:sz w:val="21"/>
                <w:szCs w:val="21"/>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p>
        </w:tc>
        <w:tc>
          <w:tcPr>
            <w:tcW w:w="191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电子投标注意事项</w:t>
            </w:r>
          </w:p>
        </w:tc>
        <w:tc>
          <w:tcPr>
            <w:tcW w:w="6484" w:type="dxa"/>
            <w:noWrap w:val="0"/>
            <w:vAlign w:val="top"/>
          </w:tcPr>
          <w:p>
            <w:pPr>
              <w:pStyle w:val="34"/>
              <w:keepNext w:val="0"/>
              <w:keepLines w:val="0"/>
              <w:pageBreakBefore w:val="0"/>
              <w:numPr>
                <w:ilvl w:val="0"/>
                <w:numId w:val="7"/>
              </w:numPr>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本项目实行网上投标，采用电子投标文件，投标人需要使用CA加密设备，凡参加本项目投标人自行必须办理CA锁。</w:t>
            </w:r>
          </w:p>
          <w:p>
            <w:pPr>
              <w:pStyle w:val="34"/>
              <w:keepNext w:val="0"/>
              <w:keepLines w:val="0"/>
              <w:pageBreakBefore w:val="0"/>
              <w:numPr>
                <w:ilvl w:val="0"/>
                <w:numId w:val="7"/>
              </w:numPr>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供应商备份文件可自愿在</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分前（北京时间）以U盘邮寄或电子邮件方式提供给代理机构（具体联系人：</w:t>
            </w:r>
            <w:r>
              <w:rPr>
                <w:rFonts w:hint="eastAsia" w:ascii="宋体" w:hAnsi="宋体" w:eastAsia="宋体" w:cs="宋体"/>
                <w:color w:val="auto"/>
                <w:sz w:val="21"/>
                <w:szCs w:val="21"/>
                <w:highlight w:val="none"/>
                <w:lang w:eastAsia="zh-CN"/>
              </w:rPr>
              <w:t>杨佩</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13565026200</w:t>
            </w:r>
            <w:r>
              <w:rPr>
                <w:rFonts w:hint="eastAsia" w:ascii="宋体" w:hAnsi="宋体" w:eastAsia="宋体" w:cs="宋体"/>
                <w:color w:val="auto"/>
                <w:sz w:val="21"/>
                <w:szCs w:val="21"/>
                <w:highlight w:val="none"/>
              </w:rPr>
              <w:t>；邮箱：</w:t>
            </w:r>
            <w:r>
              <w:rPr>
                <w:rFonts w:hint="eastAsia" w:ascii="宋体" w:hAnsi="宋体" w:eastAsia="宋体" w:cs="宋体"/>
                <w:color w:val="auto"/>
                <w:sz w:val="21"/>
                <w:szCs w:val="21"/>
                <w:highlight w:val="none"/>
                <w:lang w:val="en-US" w:eastAsia="zh-CN"/>
              </w:rPr>
              <w:t>358721574</w:t>
            </w:r>
            <w:r>
              <w:rPr>
                <w:rFonts w:hint="eastAsia" w:ascii="宋体" w:hAnsi="宋体" w:eastAsia="宋体" w:cs="宋体"/>
                <w:color w:val="auto"/>
                <w:sz w:val="21"/>
                <w:szCs w:val="21"/>
                <w:highlight w:val="none"/>
              </w:rPr>
              <w:t>@qq.com）。</w:t>
            </w:r>
          </w:p>
          <w:p>
            <w:pPr>
              <w:pStyle w:val="34"/>
              <w:keepNext w:val="0"/>
              <w:keepLines w:val="0"/>
              <w:pageBreakBefore w:val="0"/>
              <w:numPr>
                <w:ilvl w:val="0"/>
                <w:numId w:val="0"/>
              </w:numPr>
              <w:kinsoku/>
              <w:wordWrap/>
              <w:overflowPunct/>
              <w:topLinePunct w:val="0"/>
              <w:bidi w:val="0"/>
              <w:adjustRightInd/>
              <w:snapToGrid/>
              <w:spacing w:line="288"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pStyle w:val="34"/>
              <w:keepNext w:val="0"/>
              <w:keepLines w:val="0"/>
              <w:pageBreakBefore w:val="0"/>
              <w:numPr>
                <w:ilvl w:val="0"/>
                <w:numId w:val="0"/>
              </w:numPr>
              <w:kinsoku/>
              <w:wordWrap/>
              <w:overflowPunct/>
              <w:topLinePunct w:val="0"/>
              <w:bidi w:val="0"/>
              <w:adjustRightInd/>
              <w:snapToGrid/>
              <w:spacing w:line="288"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（1）与加密标书同时生成的备份标书，在出现异常情况进行异常处理时使用。比如当加密标书无法正常解密时，可以在开启标书信息前，通过异常处理上传备份标书。</w:t>
            </w:r>
          </w:p>
          <w:p>
            <w:pPr>
              <w:pStyle w:val="34"/>
              <w:keepNext w:val="0"/>
              <w:keepLines w:val="0"/>
              <w:pageBreakBefore w:val="0"/>
              <w:numPr>
                <w:ilvl w:val="0"/>
                <w:numId w:val="0"/>
              </w:numPr>
              <w:kinsoku/>
              <w:wordWrap/>
              <w:overflowPunct/>
              <w:topLinePunct w:val="0"/>
              <w:bidi w:val="0"/>
              <w:adjustRightInd/>
              <w:snapToGrid/>
              <w:spacing w:line="288"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（2）平台会校验标书一致性及标书身份识别，切勿手动修改标书。</w:t>
            </w:r>
          </w:p>
          <w:p>
            <w:pPr>
              <w:pStyle w:val="34"/>
              <w:keepNext w:val="0"/>
              <w:keepLines w:val="0"/>
              <w:pageBreakBefore w:val="0"/>
              <w:numPr>
                <w:ilvl w:val="0"/>
                <w:numId w:val="0"/>
              </w:numPr>
              <w:kinsoku/>
              <w:wordWrap/>
              <w:overflowPunct/>
              <w:topLinePunct w:val="0"/>
              <w:bidi w:val="0"/>
              <w:adjustRightInd/>
              <w:snapToGrid/>
              <w:spacing w:line="288"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（3）供应商生成的后缀格式为.bfbs的备份标书是无法查看的，主要是为了在开标解密时异常处理使用。</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（4）关联点链接。</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（5）凡因个人原因无法正常解密投标文件（且没提供备份文件至采购代理机构），致使供应商无法参与评标，供应商自行承担后果。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18</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磋商时间、地点等要求</w:t>
            </w:r>
          </w:p>
        </w:tc>
        <w:tc>
          <w:tcPr>
            <w:tcW w:w="6484"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0分</w:t>
            </w:r>
            <w:r>
              <w:rPr>
                <w:rFonts w:hint="eastAsia" w:ascii="宋体" w:hAnsi="宋体" w:eastAsia="宋体" w:cs="宋体"/>
                <w:color w:val="auto"/>
                <w:sz w:val="21"/>
                <w:szCs w:val="21"/>
                <w:highlight w:val="none"/>
              </w:rPr>
              <w:t>（北京时间）</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磋商地点：</w:t>
            </w:r>
            <w:r>
              <w:rPr>
                <w:rFonts w:hint="eastAsia" w:ascii="宋体" w:hAnsi="宋体" w:eastAsia="宋体" w:cs="宋体"/>
                <w:color w:val="auto"/>
                <w:sz w:val="21"/>
                <w:szCs w:val="21"/>
                <w:highlight w:val="none"/>
                <w:lang w:val="en-US" w:eastAsia="zh-CN"/>
              </w:rPr>
              <w:t>政采云平台</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18.1</w:t>
            </w:r>
          </w:p>
        </w:tc>
        <w:tc>
          <w:tcPr>
            <w:tcW w:w="1911" w:type="dxa"/>
            <w:noWrap w:val="0"/>
            <w:vAlign w:val="center"/>
          </w:tcPr>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付款方式</w:t>
            </w:r>
          </w:p>
        </w:tc>
        <w:tc>
          <w:tcPr>
            <w:tcW w:w="6484" w:type="dxa"/>
            <w:noWrap w:val="0"/>
            <w:vAlign w:val="center"/>
          </w:tcPr>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(最终执行甲乙双方合同约定）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磋商小组的组成</w:t>
            </w:r>
          </w:p>
        </w:tc>
        <w:tc>
          <w:tcPr>
            <w:tcW w:w="6484"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评审专家人数：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人，其中采购人代表</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人，专家</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人。</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评审专家确定方式：相关专业的专家库中随机抽取。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w:t>
            </w:r>
          </w:p>
        </w:tc>
        <w:tc>
          <w:tcPr>
            <w:tcW w:w="1911" w:type="dxa"/>
            <w:noWrap w:val="0"/>
            <w:vAlign w:val="center"/>
          </w:tcPr>
          <w:p>
            <w:pPr>
              <w:keepNext w:val="0"/>
              <w:keepLines w:val="0"/>
              <w:pageBreakBefore w:val="0"/>
              <w:kinsoku/>
              <w:wordWrap/>
              <w:overflowPunct/>
              <w:topLinePunct w:val="0"/>
              <w:bidi w:val="0"/>
              <w:adjustRightInd/>
              <w:snapToGrid/>
              <w:spacing w:line="288" w:lineRule="auto"/>
              <w:ind w:left="-199" w:leftChars="-95" w:firstLine="211" w:firstLineChars="1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中小微型企业</w:t>
            </w:r>
          </w:p>
          <w:p>
            <w:pPr>
              <w:keepNext w:val="0"/>
              <w:keepLines w:val="0"/>
              <w:pageBreakBefore w:val="0"/>
              <w:kinsoku/>
              <w:wordWrap/>
              <w:overflowPunct/>
              <w:topLinePunct w:val="0"/>
              <w:bidi w:val="0"/>
              <w:adjustRightInd/>
              <w:snapToGrid/>
              <w:spacing w:line="288" w:lineRule="auto"/>
              <w:ind w:left="-199" w:leftChars="-95"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有关政策</w:t>
            </w:r>
          </w:p>
        </w:tc>
        <w:tc>
          <w:tcPr>
            <w:tcW w:w="6484" w:type="dxa"/>
            <w:noWrap w:val="0"/>
            <w:vAlign w:val="center"/>
          </w:tcPr>
          <w:p>
            <w:pPr>
              <w:keepNext w:val="0"/>
              <w:keepLines w:val="0"/>
              <w:pageBreakBefore w:val="0"/>
              <w:numPr>
                <w:ilvl w:val="0"/>
                <w:numId w:val="0"/>
              </w:numPr>
              <w:kinsoku/>
              <w:wordWrap/>
              <w:overflowPunct/>
              <w:topLinePunct w:val="0"/>
              <w:bidi w:val="0"/>
              <w:adjustRightInd/>
              <w:snapToGrid/>
              <w:spacing w:line="288" w:lineRule="auto"/>
              <w:ind w:leftChars="5"/>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（1）根据工信部等部委发布的《关于印发中小企业划型标准规定的通知》（工信部联企业[2011]300号）规定执行；</w:t>
            </w:r>
          </w:p>
          <w:p>
            <w:pPr>
              <w:keepNext w:val="0"/>
              <w:keepLines w:val="0"/>
              <w:pageBreakBefore w:val="0"/>
              <w:numPr>
                <w:ilvl w:val="0"/>
                <w:numId w:val="0"/>
              </w:numPr>
              <w:kinsoku/>
              <w:wordWrap/>
              <w:overflowPunct/>
              <w:topLinePunct w:val="0"/>
              <w:bidi w:val="0"/>
              <w:adjustRightInd/>
              <w:snapToGrid/>
              <w:spacing w:line="288" w:lineRule="auto"/>
              <w:ind w:leftChars="5"/>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（2）价格扣除幅度：对小型和微型企业产品的价格给予3%～5%的扣除，用扣除后的价格参与评审。</w:t>
            </w:r>
          </w:p>
          <w:p>
            <w:pPr>
              <w:keepNext w:val="0"/>
              <w:keepLines w:val="0"/>
              <w:pageBreakBefore w:val="0"/>
              <w:numPr>
                <w:ilvl w:val="0"/>
                <w:numId w:val="0"/>
              </w:numPr>
              <w:kinsoku/>
              <w:wordWrap/>
              <w:overflowPunct/>
              <w:topLinePunct w:val="0"/>
              <w:bidi w:val="0"/>
              <w:adjustRightInd/>
              <w:snapToGrid/>
              <w:spacing w:line="288" w:lineRule="auto"/>
              <w:ind w:leftChars="5"/>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本项目的扣除比例为：小型企业扣除5%，微型企业扣除5%。</w:t>
            </w:r>
          </w:p>
          <w:p>
            <w:pPr>
              <w:keepNext w:val="0"/>
              <w:keepLines w:val="0"/>
              <w:pageBreakBefore w:val="0"/>
              <w:numPr>
                <w:ilvl w:val="0"/>
                <w:numId w:val="0"/>
              </w:numPr>
              <w:kinsoku/>
              <w:wordWrap/>
              <w:overflowPunct/>
              <w:topLinePunct w:val="0"/>
              <w:bidi w:val="0"/>
              <w:adjustRightInd/>
              <w:snapToGrid/>
              <w:spacing w:line="288" w:lineRule="auto"/>
              <w:ind w:leftChars="5"/>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□非专门面向中小企业采购项目(其他优惠)：</w:t>
            </w:r>
          </w:p>
          <w:p>
            <w:pPr>
              <w:pStyle w:val="30"/>
              <w:keepNext w:val="0"/>
              <w:keepLines w:val="0"/>
              <w:pageBreakBefore w:val="0"/>
              <w:widowControl w:val="0"/>
              <w:kinsoku/>
              <w:wordWrap/>
              <w:overflowPunct/>
              <w:topLinePunct w:val="0"/>
              <w:autoSpaceDE w:val="0"/>
              <w:autoSpaceDN w:val="0"/>
              <w:bidi w:val="0"/>
              <w:adjustRightInd/>
              <w:snapToGrid/>
              <w:spacing w:line="288" w:lineRule="auto"/>
              <w:jc w:val="left"/>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落实政府采购政策需满足的要求：</w:t>
            </w:r>
          </w:p>
          <w:p>
            <w:pPr>
              <w:pStyle w:val="30"/>
              <w:keepNext w:val="0"/>
              <w:keepLines w:val="0"/>
              <w:pageBreakBefore w:val="0"/>
              <w:widowControl w:val="0"/>
              <w:kinsoku/>
              <w:wordWrap/>
              <w:overflowPunct/>
              <w:topLinePunct w:val="0"/>
              <w:autoSpaceDE w:val="0"/>
              <w:autoSpaceDN w:val="0"/>
              <w:bidi w:val="0"/>
              <w:adjustRightInd/>
              <w:snapToGrid/>
              <w:spacing w:line="288" w:lineRule="auto"/>
              <w:ind w:left="0" w:leftChars="0" w:firstLine="210" w:firstLineChars="100"/>
              <w:jc w:val="left"/>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1、中小企业（含中型、小型、微型企业）根据《政府采购促进中小企业发展暂行办法》（财库[2011]181号）的规定，评标时将给予此类企业进行价格3%的优惠，监狱企业、残疾人福利性单位视同为小微企业。</w:t>
            </w:r>
          </w:p>
          <w:p>
            <w:pPr>
              <w:pStyle w:val="30"/>
              <w:keepNext w:val="0"/>
              <w:keepLines w:val="0"/>
              <w:pageBreakBefore w:val="0"/>
              <w:widowControl w:val="0"/>
              <w:kinsoku/>
              <w:wordWrap/>
              <w:overflowPunct/>
              <w:topLinePunct w:val="0"/>
              <w:autoSpaceDE w:val="0"/>
              <w:autoSpaceDN w:val="0"/>
              <w:bidi w:val="0"/>
              <w:adjustRightInd/>
              <w:snapToGrid/>
              <w:spacing w:line="288" w:lineRule="auto"/>
              <w:ind w:left="0" w:leftChars="0" w:firstLine="210" w:firstLineChars="100"/>
              <w:jc w:val="left"/>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2、财政部、国家发展改革委、生态环境部、市场监管总局《关于调整优化节能产品、环境标志产品政府采购执行机制的通知》（财库[2019]9号文）；</w:t>
            </w:r>
          </w:p>
          <w:p>
            <w:pPr>
              <w:pStyle w:val="30"/>
              <w:keepNext w:val="0"/>
              <w:keepLines w:val="0"/>
              <w:pageBreakBefore w:val="0"/>
              <w:widowControl w:val="0"/>
              <w:kinsoku/>
              <w:wordWrap/>
              <w:overflowPunct/>
              <w:topLinePunct w:val="0"/>
              <w:autoSpaceDE w:val="0"/>
              <w:autoSpaceDN w:val="0"/>
              <w:bidi w:val="0"/>
              <w:adjustRightInd/>
              <w:snapToGrid/>
              <w:spacing w:line="288" w:lineRule="auto"/>
              <w:ind w:left="0" w:leftChars="0" w:firstLine="210" w:firstLineChars="100"/>
              <w:jc w:val="left"/>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pStyle w:val="30"/>
              <w:keepNext w:val="0"/>
              <w:keepLines w:val="0"/>
              <w:pageBreakBefore w:val="0"/>
              <w:widowControl w:val="0"/>
              <w:kinsoku/>
              <w:wordWrap/>
              <w:overflowPunct/>
              <w:topLinePunct w:val="0"/>
              <w:autoSpaceDE w:val="0"/>
              <w:autoSpaceDN w:val="0"/>
              <w:bidi w:val="0"/>
              <w:adjustRightInd/>
              <w:snapToGrid/>
              <w:spacing w:line="288" w:lineRule="auto"/>
              <w:ind w:left="0" w:leftChars="0" w:firstLine="210" w:firstLineChars="100"/>
              <w:jc w:val="left"/>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4、按照《财政部、司法部关于政府采购支持监狱企业发展有关问题的通知》（财库〔2014〕68号）的规定，落实支持监狱企业发展政策；</w:t>
            </w:r>
          </w:p>
          <w:p>
            <w:pPr>
              <w:pStyle w:val="30"/>
              <w:keepNext w:val="0"/>
              <w:keepLines w:val="0"/>
              <w:pageBreakBefore w:val="0"/>
              <w:widowControl w:val="0"/>
              <w:kinsoku/>
              <w:wordWrap/>
              <w:overflowPunct/>
              <w:topLinePunct w:val="0"/>
              <w:autoSpaceDE w:val="0"/>
              <w:autoSpaceDN w:val="0"/>
              <w:bidi w:val="0"/>
              <w:adjustRightInd/>
              <w:snapToGrid/>
              <w:spacing w:line="288" w:lineRule="auto"/>
              <w:ind w:left="0" w:leftChars="0" w:firstLine="210" w:firstLineChars="100"/>
              <w:jc w:val="left"/>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5、按照《三部门联合发布关于促进残疾人就业政府采购政策的通知》（财库〔2017〕141号）的规定，落实支持残疾人福利性单位发展政策。</w:t>
            </w:r>
          </w:p>
          <w:p>
            <w:pPr>
              <w:pStyle w:val="6"/>
              <w:keepNext w:val="0"/>
              <w:keepLines w:val="0"/>
              <w:pageBreakBefore w:val="0"/>
              <w:kinsoku/>
              <w:wordWrap/>
              <w:overflowPunct/>
              <w:topLinePunct w:val="0"/>
              <w:bidi w:val="0"/>
              <w:adjustRightInd/>
              <w:snapToGrid/>
              <w:spacing w:line="288" w:lineRule="auto"/>
              <w:ind w:left="0" w:leftChars="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6、《关于运用政府采购政策支持脱贫攻坚的通知》（财库【2019】27号文）。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推荐成交候选供应商的数量</w:t>
            </w:r>
          </w:p>
        </w:tc>
        <w:tc>
          <w:tcPr>
            <w:tcW w:w="6484"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w:t>
            </w:r>
          </w:p>
        </w:tc>
        <w:tc>
          <w:tcPr>
            <w:tcW w:w="1911"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成交结果公示媒体</w:t>
            </w:r>
          </w:p>
        </w:tc>
        <w:tc>
          <w:tcPr>
            <w:tcW w:w="6484" w:type="dxa"/>
            <w:noWrap w:val="0"/>
            <w:vAlign w:val="center"/>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1" w:type="dxa"/>
            <w:noWrap w:val="0"/>
            <w:vAlign w:val="top"/>
          </w:tcPr>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p>
        </w:tc>
        <w:tc>
          <w:tcPr>
            <w:tcW w:w="1911" w:type="dxa"/>
            <w:noWrap w:val="0"/>
            <w:vAlign w:val="top"/>
          </w:tcPr>
          <w:p>
            <w:pPr>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p>
        </w:tc>
        <w:tc>
          <w:tcPr>
            <w:tcW w:w="6484" w:type="dxa"/>
            <w:noWrap w:val="0"/>
            <w:vAlign w:val="top"/>
          </w:tcPr>
          <w:p>
            <w:pPr>
              <w:keepNext w:val="0"/>
              <w:keepLines w:val="0"/>
              <w:pageBreakBefore w:val="0"/>
              <w:kinsoku/>
              <w:wordWrap/>
              <w:overflowPunct/>
              <w:topLinePunct w:val="0"/>
              <w:bidi w:val="0"/>
              <w:adjustRightInd/>
              <w:snapToGrid/>
              <w:spacing w:before="267"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1" w:type="dxa"/>
            <w:noWrap w:val="0"/>
            <w:vAlign w:val="center"/>
          </w:tcPr>
          <w:p>
            <w:pPr>
              <w:keepNext w:val="0"/>
              <w:keepLines w:val="0"/>
              <w:pageBreakBefore w:val="0"/>
              <w:kinsoku/>
              <w:wordWrap/>
              <w:overflowPunct/>
              <w:topLinePunct w:val="0"/>
              <w:bidi w:val="0"/>
              <w:adjustRightInd/>
              <w:snapToGrid/>
              <w:spacing w:before="75" w:line="288"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32</w:t>
            </w:r>
          </w:p>
        </w:tc>
        <w:tc>
          <w:tcPr>
            <w:tcW w:w="1911" w:type="dxa"/>
            <w:noWrap w:val="0"/>
            <w:vAlign w:val="center"/>
          </w:tcPr>
          <w:p>
            <w:pPr>
              <w:keepNext w:val="0"/>
              <w:keepLines w:val="0"/>
              <w:pageBreakBefore w:val="0"/>
              <w:kinsoku/>
              <w:wordWrap/>
              <w:overflowPunct/>
              <w:topLinePunct w:val="0"/>
              <w:bidi w:val="0"/>
              <w:adjustRightInd/>
              <w:snapToGrid/>
              <w:spacing w:before="75" w:line="288" w:lineRule="auto"/>
              <w:ind w:right="113" w:right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响应文件解密时间</w:t>
            </w:r>
          </w:p>
        </w:tc>
        <w:tc>
          <w:tcPr>
            <w:tcW w:w="6484" w:type="dxa"/>
            <w:noWrap w:val="0"/>
            <w:vAlign w:val="center"/>
          </w:tcPr>
          <w:p>
            <w:pPr>
              <w:keepNext w:val="0"/>
              <w:keepLines w:val="0"/>
              <w:pageBreakBefore w:val="0"/>
              <w:kinsoku/>
              <w:wordWrap/>
              <w:overflowPunct/>
              <w:topLinePunct w:val="0"/>
              <w:bidi w:val="0"/>
              <w:adjustRightInd/>
              <w:snapToGrid/>
              <w:spacing w:before="75" w:line="288" w:lineRule="auto"/>
              <w:ind w:right="22"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响应文件解密时间 30 分钟；开标前需投标单位用CA 证书登录政采云平台开 标大厅签到，在 30 分钟解密时间内输入 CA 证书PIN 码解密响应文件。在 30 分钟解密时间内未进行解密的投标单位可能导致废标。  (解密时间开始时政 采云平台将以短信形式向供应商在政采云平台预留的手机号发送短信通知， 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1" w:type="dxa"/>
            <w:noWrap w:val="0"/>
            <w:vAlign w:val="top"/>
          </w:tcPr>
          <w:p>
            <w:pPr>
              <w:keepNext w:val="0"/>
              <w:keepLines w:val="0"/>
              <w:pageBreakBefore w:val="0"/>
              <w:kinsoku/>
              <w:wordWrap/>
              <w:overflowPunct/>
              <w:topLinePunct w:val="0"/>
              <w:bidi w:val="0"/>
              <w:adjustRightInd/>
              <w:snapToGrid/>
              <w:spacing w:before="75" w:line="288"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33</w:t>
            </w:r>
          </w:p>
        </w:tc>
        <w:tc>
          <w:tcPr>
            <w:tcW w:w="1911" w:type="dxa"/>
            <w:noWrap w:val="0"/>
            <w:vAlign w:val="top"/>
          </w:tcPr>
          <w:p>
            <w:pPr>
              <w:keepNext w:val="0"/>
              <w:keepLines w:val="0"/>
              <w:pageBreakBefore w:val="0"/>
              <w:kinsoku/>
              <w:wordWrap/>
              <w:overflowPunct/>
              <w:topLinePunct w:val="0"/>
              <w:bidi w:val="0"/>
              <w:adjustRightInd/>
              <w:snapToGrid/>
              <w:spacing w:before="75" w:line="288" w:lineRule="auto"/>
              <w:ind w:right="161" w:right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供应商报价CA 签字确认</w:t>
            </w:r>
          </w:p>
        </w:tc>
        <w:tc>
          <w:tcPr>
            <w:tcW w:w="6484" w:type="dxa"/>
            <w:noWrap w:val="0"/>
            <w:vAlign w:val="center"/>
          </w:tcPr>
          <w:p>
            <w:pPr>
              <w:keepNext w:val="0"/>
              <w:keepLines w:val="0"/>
              <w:pageBreakBefore w:val="0"/>
              <w:kinsoku/>
              <w:wordWrap/>
              <w:overflowPunct/>
              <w:topLinePunct w:val="0"/>
              <w:bidi w:val="0"/>
              <w:adjustRightInd/>
              <w:snapToGrid/>
              <w:spacing w:before="75" w:line="288" w:lineRule="auto"/>
              <w:ind w:right="22"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报价文件开启后将开启签字时段，供应商须在 30 分钟内用CA 证书对报价进 行签字确认；确认完成后不得离开，需等待最终报价。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1" w:type="dxa"/>
            <w:noWrap w:val="0"/>
            <w:vAlign w:val="center"/>
          </w:tcPr>
          <w:p>
            <w:pPr>
              <w:keepNext w:val="0"/>
              <w:keepLines w:val="0"/>
              <w:pageBreakBefore w:val="0"/>
              <w:kinsoku/>
              <w:wordWrap/>
              <w:overflowPunct/>
              <w:topLinePunct w:val="0"/>
              <w:bidi w:val="0"/>
              <w:adjustRightInd/>
              <w:snapToGrid/>
              <w:spacing w:before="75" w:line="288" w:lineRule="auto"/>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34</w:t>
            </w:r>
          </w:p>
        </w:tc>
        <w:tc>
          <w:tcPr>
            <w:tcW w:w="1911" w:type="dxa"/>
            <w:noWrap w:val="0"/>
            <w:vAlign w:val="top"/>
          </w:tcPr>
          <w:p>
            <w:pPr>
              <w:keepNext w:val="0"/>
              <w:keepLines w:val="0"/>
              <w:pageBreakBefore w:val="0"/>
              <w:kinsoku/>
              <w:wordWrap/>
              <w:overflowPunct/>
              <w:topLinePunct w:val="0"/>
              <w:bidi w:val="0"/>
              <w:adjustRightInd/>
              <w:snapToGrid/>
              <w:spacing w:line="288" w:lineRule="auto"/>
              <w:jc w:val="left"/>
              <w:textAlignment w:val="auto"/>
              <w:rPr>
                <w:rFonts w:ascii="Arial"/>
                <w:sz w:val="21"/>
                <w:highlight w:val="none"/>
              </w:rPr>
            </w:pPr>
          </w:p>
          <w:p>
            <w:pPr>
              <w:keepNext w:val="0"/>
              <w:keepLines w:val="0"/>
              <w:pageBreakBefore w:val="0"/>
              <w:kinsoku/>
              <w:wordWrap/>
              <w:overflowPunct/>
              <w:topLinePunct w:val="0"/>
              <w:bidi w:val="0"/>
              <w:adjustRightInd/>
              <w:snapToGrid/>
              <w:spacing w:line="288" w:lineRule="auto"/>
              <w:jc w:val="left"/>
              <w:textAlignment w:val="auto"/>
              <w:rPr>
                <w:rFonts w:ascii="Arial"/>
                <w:sz w:val="21"/>
                <w:highlight w:val="none"/>
              </w:rPr>
            </w:pPr>
          </w:p>
          <w:p>
            <w:pPr>
              <w:keepNext w:val="0"/>
              <w:keepLines w:val="0"/>
              <w:pageBreakBefore w:val="0"/>
              <w:kinsoku/>
              <w:wordWrap/>
              <w:overflowPunct/>
              <w:topLinePunct w:val="0"/>
              <w:bidi w:val="0"/>
              <w:adjustRightInd/>
              <w:snapToGrid/>
              <w:spacing w:line="288" w:lineRule="auto"/>
              <w:jc w:val="left"/>
              <w:textAlignment w:val="auto"/>
              <w:rPr>
                <w:rFonts w:ascii="Arial"/>
                <w:sz w:val="21"/>
                <w:highlight w:val="none"/>
              </w:rPr>
            </w:pPr>
          </w:p>
          <w:p>
            <w:pPr>
              <w:pStyle w:val="85"/>
              <w:keepNext w:val="0"/>
              <w:keepLines w:val="0"/>
              <w:pageBreakBefore w:val="0"/>
              <w:kinsoku/>
              <w:wordWrap/>
              <w:overflowPunct/>
              <w:topLinePunct w:val="0"/>
              <w:bidi w:val="0"/>
              <w:adjustRightInd/>
              <w:snapToGrid/>
              <w:spacing w:before="75" w:line="288" w:lineRule="auto"/>
              <w:ind w:left="609" w:leftChars="0"/>
              <w:jc w:val="left"/>
              <w:textAlignment w:val="auto"/>
              <w:rPr>
                <w:rFonts w:hint="eastAsia" w:ascii="宋体" w:hAnsi="宋体" w:eastAsia="宋体" w:cs="宋体"/>
                <w:b/>
                <w:bCs/>
                <w:color w:val="auto"/>
                <w:kern w:val="2"/>
                <w:sz w:val="21"/>
                <w:szCs w:val="21"/>
                <w:highlight w:val="none"/>
                <w:lang w:val="en-US" w:eastAsia="zh-CN" w:bidi="ar-SA"/>
              </w:rPr>
            </w:pPr>
            <w:r>
              <w:rPr>
                <w:b/>
                <w:bCs/>
                <w:spacing w:val="-4"/>
                <w:highlight w:val="none"/>
              </w:rPr>
              <w:t>质疑须知：</w:t>
            </w:r>
          </w:p>
        </w:tc>
        <w:tc>
          <w:tcPr>
            <w:tcW w:w="6484" w:type="dxa"/>
            <w:noWrap w:val="0"/>
            <w:vAlign w:val="top"/>
          </w:tcPr>
          <w:p>
            <w:pPr>
              <w:keepNext w:val="0"/>
              <w:keepLines w:val="0"/>
              <w:pageBreakBefore w:val="0"/>
              <w:kinsoku/>
              <w:wordWrap/>
              <w:overflowPunct/>
              <w:topLinePunct w:val="0"/>
              <w:bidi w:val="0"/>
              <w:adjustRightInd/>
              <w:snapToGrid/>
              <w:spacing w:before="75" w:line="288" w:lineRule="auto"/>
              <w:ind w:right="22"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接收质疑函的方式：现场递交纸质版或邮件、信件、Word 格式电子版质疑文件至接受单位</w:t>
            </w:r>
          </w:p>
          <w:p>
            <w:pPr>
              <w:keepNext w:val="0"/>
              <w:keepLines w:val="0"/>
              <w:pageBreakBefore w:val="0"/>
              <w:kinsoku/>
              <w:wordWrap/>
              <w:overflowPunct/>
              <w:topLinePunct w:val="0"/>
              <w:bidi w:val="0"/>
              <w:adjustRightInd/>
              <w:snapToGrid/>
              <w:spacing w:before="75" w:line="288" w:lineRule="auto"/>
              <w:ind w:right="22"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接受质疑的单位：新疆智投工程项目管理有限公司</w:t>
            </w:r>
          </w:p>
          <w:p>
            <w:pPr>
              <w:keepNext w:val="0"/>
              <w:keepLines w:val="0"/>
              <w:pageBreakBefore w:val="0"/>
              <w:kinsoku/>
              <w:wordWrap/>
              <w:overflowPunct/>
              <w:topLinePunct w:val="0"/>
              <w:bidi w:val="0"/>
              <w:adjustRightInd/>
              <w:snapToGrid/>
              <w:spacing w:before="75" w:line="288" w:lineRule="auto"/>
              <w:ind w:right="22" w:righ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联系电话：13565026200</w:t>
            </w:r>
          </w:p>
          <w:p>
            <w:pPr>
              <w:keepNext w:val="0"/>
              <w:keepLines w:val="0"/>
              <w:pageBreakBefore w:val="0"/>
              <w:kinsoku/>
              <w:wordWrap/>
              <w:overflowPunct/>
              <w:topLinePunct w:val="0"/>
              <w:bidi w:val="0"/>
              <w:adjustRightInd/>
              <w:snapToGrid/>
              <w:spacing w:before="75" w:line="288" w:lineRule="auto"/>
              <w:ind w:right="22"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地址：新疆巴州库尔勒索克巴格路27号康都时代花园35栋3层01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w:t>
            </w:r>
          </w:p>
        </w:tc>
        <w:tc>
          <w:tcPr>
            <w:tcW w:w="8395" w:type="dxa"/>
            <w:gridSpan w:val="2"/>
            <w:noWrap w:val="0"/>
            <w:vAlign w:val="center"/>
          </w:tcPr>
          <w:p>
            <w:pPr>
              <w:keepNext w:val="0"/>
              <w:keepLines w:val="0"/>
              <w:pageBreakBefore w:val="0"/>
              <w:kinsoku/>
              <w:wordWrap/>
              <w:overflowPunct/>
              <w:topLinePunct w:val="0"/>
              <w:autoSpaceDE w:val="0"/>
              <w:autoSpaceDN w:val="0"/>
              <w:bidi w:val="0"/>
              <w:adjustRightInd/>
              <w:snapToGrid/>
              <w:spacing w:line="288" w:lineRule="auto"/>
              <w:jc w:val="left"/>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支付费用：</w:t>
            </w:r>
          </w:p>
          <w:p>
            <w:pPr>
              <w:keepNext w:val="0"/>
              <w:keepLines w:val="0"/>
              <w:pageBreakBefore w:val="0"/>
              <w:kinsoku/>
              <w:wordWrap/>
              <w:overflowPunct/>
              <w:topLinePunct w:val="0"/>
              <w:autoSpaceDE w:val="0"/>
              <w:autoSpaceDN w:val="0"/>
              <w:bidi w:val="0"/>
              <w:adjustRightInd/>
              <w:snapToGrid/>
              <w:spacing w:line="288" w:lineRule="auto"/>
              <w:jc w:val="left"/>
              <w:textAlignment w:val="auto"/>
              <w:rPr>
                <w:rFonts w:hint="eastAsia" w:ascii="宋体" w:hAnsi="宋体" w:eastAsia="宋体" w:cs="宋体"/>
                <w:highlight w:val="none"/>
                <w:lang w:val="zh-CN"/>
              </w:rPr>
            </w:pPr>
            <w:r>
              <w:rPr>
                <w:rFonts w:hint="eastAsia" w:ascii="宋体" w:hAnsi="宋体" w:cs="宋体"/>
                <w:b/>
                <w:color w:val="auto"/>
                <w:sz w:val="21"/>
                <w:szCs w:val="21"/>
                <w:highlight w:val="none"/>
                <w:lang w:val="en-US" w:eastAsia="zh-CN"/>
              </w:rPr>
              <w:t>1.</w:t>
            </w:r>
            <w:r>
              <w:rPr>
                <w:spacing w:val="26"/>
                <w:highlight w:val="none"/>
              </w:rPr>
              <w:t>本项目的采购代理服务费由成交供应商承担。按计价格</w:t>
            </w:r>
            <w:r>
              <w:rPr>
                <w:spacing w:val="7"/>
                <w:highlight w:val="none"/>
              </w:rPr>
              <w:t xml:space="preserve"> </w:t>
            </w:r>
            <w:r>
              <w:rPr>
                <w:spacing w:val="4"/>
                <w:highlight w:val="none"/>
              </w:rPr>
              <w:t>【2002】1980</w:t>
            </w:r>
            <w:r>
              <w:rPr>
                <w:spacing w:val="-26"/>
                <w:highlight w:val="none"/>
              </w:rPr>
              <w:t xml:space="preserve"> </w:t>
            </w:r>
            <w:r>
              <w:rPr>
                <w:spacing w:val="4"/>
                <w:highlight w:val="none"/>
              </w:rPr>
              <w:t>号规定标准下浮</w:t>
            </w:r>
            <w:r>
              <w:rPr>
                <w:spacing w:val="-43"/>
                <w:highlight w:val="none"/>
              </w:rPr>
              <w:t xml:space="preserve"> </w:t>
            </w:r>
            <w:r>
              <w:rPr>
                <w:spacing w:val="4"/>
                <w:highlight w:val="none"/>
              </w:rPr>
              <w:t>20%计取。</w:t>
            </w:r>
            <w:r>
              <w:rPr>
                <w:rFonts w:hint="eastAsia" w:ascii="宋体" w:hAnsi="宋体" w:eastAsia="宋体" w:cs="宋体"/>
                <w:bCs/>
                <w:highlight w:val="none"/>
                <w:lang w:eastAsia="zh-CN"/>
              </w:rPr>
              <w:t>代理服务费支付时间：由中标人领取中标通知书前支付。</w:t>
            </w:r>
          </w:p>
          <w:p>
            <w:pPr>
              <w:keepNext w:val="0"/>
              <w:keepLines w:val="0"/>
              <w:pageBreakBefore w:val="0"/>
              <w:kinsoku/>
              <w:wordWrap/>
              <w:overflowPunct/>
              <w:topLinePunct w:val="0"/>
              <w:autoSpaceDE w:val="0"/>
              <w:autoSpaceDN w:val="0"/>
              <w:bidi w:val="0"/>
              <w:adjustRightInd/>
              <w:snapToGrid/>
              <w:spacing w:line="288" w:lineRule="auto"/>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2.场地服务费：无。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61" w:type="dxa"/>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rPr>
            </w:pP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w:t>
            </w:r>
          </w:p>
        </w:tc>
        <w:tc>
          <w:tcPr>
            <w:tcW w:w="8395" w:type="dxa"/>
            <w:gridSpan w:val="2"/>
            <w:noWrap w:val="0"/>
            <w:vAlign w:val="top"/>
          </w:tcPr>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p>
            <w:pPr>
              <w:pStyle w:val="34"/>
              <w:keepNext w:val="0"/>
              <w:keepLines w:val="0"/>
              <w:pageBreakBefore w:val="0"/>
              <w:kinsoku/>
              <w:wordWrap/>
              <w:overflowPunct/>
              <w:topLinePunct w:val="0"/>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bl>
    <w:p>
      <w:pPr>
        <w:pStyle w:val="34"/>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注：1.本表内容与磋商文件其它内容不一致的，应当以本表内容为准。</w:t>
      </w:r>
    </w:p>
    <w:p>
      <w:pPr>
        <w:pStyle w:val="34"/>
        <w:spacing w:line="360" w:lineRule="auto"/>
        <w:ind w:firstLine="42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2.本表中“</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eq \o\ac(</w:instrText>
      </w:r>
      <w:r>
        <w:rPr>
          <w:rFonts w:hint="eastAsia" w:ascii="宋体" w:hAnsi="宋体" w:eastAsia="宋体" w:cs="宋体"/>
          <w:color w:val="auto"/>
          <w:kern w:val="0"/>
          <w:position w:val="-4"/>
          <w:sz w:val="31"/>
          <w:szCs w:val="21"/>
          <w:highlight w:val="none"/>
        </w:rPr>
        <w:instrText xml:space="preserve">□</w:instrText>
      </w:r>
      <w:r>
        <w:rPr>
          <w:rFonts w:hint="eastAsia" w:ascii="宋体" w:hAnsi="宋体" w:eastAsia="宋体" w:cs="宋体"/>
          <w:color w:val="auto"/>
          <w:kern w:val="0"/>
          <w:position w:val="0"/>
          <w:sz w:val="21"/>
          <w:szCs w:val="21"/>
          <w:highlight w:val="none"/>
        </w:rPr>
        <w:instrText xml:space="preserve">,√)</w:instrTex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”标示选择使用该项，“□”标示不选择使用该项。</w:t>
      </w:r>
    </w:p>
    <w:p>
      <w:pPr>
        <w:pStyle w:val="32"/>
        <w:jc w:val="both"/>
        <w:rPr>
          <w:rStyle w:val="36"/>
          <w:rFonts w:hint="eastAsia" w:ascii="宋体" w:hAnsi="宋体" w:eastAsia="宋体" w:cs="宋体"/>
          <w:b/>
          <w:bCs/>
          <w:color w:val="auto"/>
          <w:szCs w:val="24"/>
          <w:highlight w:val="none"/>
        </w:rPr>
      </w:pPr>
      <w:bookmarkStart w:id="12" w:name="_Toc256000004"/>
      <w:bookmarkStart w:id="13" w:name="_Toc29932"/>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4"/>
        <w:rPr>
          <w:rFonts w:hint="eastAsia" w:ascii="宋体" w:hAnsi="宋体" w:eastAsia="宋体" w:cs="宋体"/>
          <w:color w:val="auto"/>
          <w:highlight w:val="none"/>
        </w:rPr>
      </w:pPr>
    </w:p>
    <w:p>
      <w:pPr>
        <w:pStyle w:val="32"/>
        <w:ind w:firstLine="2891" w:firstLineChars="1200"/>
        <w:jc w:val="both"/>
        <w:rPr>
          <w:rStyle w:val="36"/>
          <w:rFonts w:hint="eastAsia" w:ascii="宋体" w:hAnsi="宋体" w:eastAsia="宋体" w:cs="宋体"/>
          <w:b/>
          <w:bCs/>
          <w:color w:val="auto"/>
          <w:szCs w:val="24"/>
          <w:highlight w:val="none"/>
        </w:rPr>
      </w:pPr>
      <w:r>
        <w:rPr>
          <w:rStyle w:val="36"/>
          <w:rFonts w:hint="eastAsia" w:ascii="宋体" w:hAnsi="宋体" w:eastAsia="宋体" w:cs="宋体"/>
          <w:b/>
          <w:bCs/>
          <w:color w:val="auto"/>
          <w:szCs w:val="24"/>
          <w:highlight w:val="none"/>
          <w:lang w:val="en-US" w:eastAsia="zh-CN"/>
        </w:rPr>
        <w:t>一、</w:t>
      </w:r>
      <w:r>
        <w:rPr>
          <w:rStyle w:val="36"/>
          <w:rFonts w:hint="eastAsia" w:ascii="宋体" w:hAnsi="宋体" w:eastAsia="宋体" w:cs="宋体"/>
          <w:b/>
          <w:bCs/>
          <w:color w:val="auto"/>
          <w:szCs w:val="24"/>
          <w:highlight w:val="none"/>
        </w:rPr>
        <w:t>磋商须知正文部分</w:t>
      </w:r>
      <w:bookmarkEnd w:id="12"/>
      <w:bookmarkEnd w:id="13"/>
    </w:p>
    <w:p>
      <w:pPr>
        <w:pStyle w:val="32"/>
        <w:jc w:val="both"/>
        <w:rPr>
          <w:rFonts w:hint="eastAsia" w:ascii="宋体" w:hAnsi="宋体" w:eastAsia="宋体" w:cs="宋体"/>
          <w:color w:val="auto"/>
          <w:sz w:val="21"/>
          <w:szCs w:val="21"/>
          <w:highlight w:val="none"/>
        </w:rPr>
      </w:pPr>
      <w:bookmarkStart w:id="14" w:name="_Toc5724"/>
      <w:bookmarkStart w:id="15" w:name="_Toc256000005"/>
      <w:r>
        <w:rPr>
          <w:rFonts w:hint="eastAsia" w:ascii="宋体" w:hAnsi="宋体" w:eastAsia="宋体" w:cs="宋体"/>
          <w:color w:val="auto"/>
          <w:sz w:val="21"/>
          <w:szCs w:val="21"/>
          <w:highlight w:val="none"/>
        </w:rPr>
        <w:t>一、说明</w:t>
      </w:r>
      <w:bookmarkEnd w:id="14"/>
      <w:bookmarkEnd w:id="15"/>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适用范围</w:t>
      </w:r>
    </w:p>
    <w:p>
      <w:pPr>
        <w:spacing w:line="400" w:lineRule="exact"/>
        <w:ind w:left="-199" w:leftChars="-95" w:firstLine="604" w:firstLineChars="2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1.1本磋商文件仅适用于</w:t>
      </w:r>
      <w:r>
        <w:rPr>
          <w:rFonts w:hint="eastAsia" w:ascii="宋体" w:hAnsi="宋体" w:cs="宋体"/>
          <w:color w:val="auto"/>
          <w:sz w:val="21"/>
          <w:szCs w:val="21"/>
          <w:highlight w:val="none"/>
          <w:lang w:eastAsia="zh-CN"/>
        </w:rPr>
        <w:t>永宁镇下岔河村人居环境整治项目</w:t>
      </w:r>
      <w:r>
        <w:rPr>
          <w:rFonts w:hint="eastAsia" w:ascii="宋体" w:hAnsi="宋体" w:eastAsia="宋体" w:cs="宋体"/>
          <w:color w:val="auto"/>
          <w:sz w:val="21"/>
          <w:szCs w:val="21"/>
          <w:highlight w:val="none"/>
        </w:rPr>
        <w:t>中所叙述的本采购项目的采购。</w:t>
      </w:r>
    </w:p>
    <w:p>
      <w:pPr>
        <w:pStyle w:val="14"/>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1.2磋商依据</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根据《中华人民共和国政府采购法》、《中华人民共和国政府采购实施条例》、《财政部关于</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印发〈政府采购竞争性磋商采购方式管理暂行办法〉的通知》（财库〔2014〕214号）及有关法律、法规等。</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2.定义：</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 “采购人”系指：焉耆回族自治县永宁镇人民政府。</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 “采购代理机构”系指：新疆智投工程项目管理有限公司。</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 “供应商”系指具备资格并响应磋商文件要求提交响应文件的法人，供应商若成交，在签订和执行合同阶段称“乙方”。</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 “磋商文件”系指由采购人向供应商发出的本采购项目的全部文件（包括修改文件、补充文件、答疑纪要、各种通知和附件等）。</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 “响应文件”系指供应商根据磋商文件提交的所有文件。</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2.6“货物”，系指供方根据合同规定须向采购人提供的各种形态和种类的物品，包括产品、设备、配件等。</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2.7“服务”系指合同文本、技术规范及标准、项目采购需求、本磋商文件规定，成交供应商完成应承担的所有工作并提交相关成果资料。</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2.8“工程”系指供方根据合同规定须向采购人提供的永久或临时工程。</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2.9凡提及的“天、日期、星期、月份和年份”系指公历日历的日历天、日期、星期、月份和年份。 </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2.10.本文件及本合同的货币单位为人民币。</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项目概况</w:t>
      </w:r>
    </w:p>
    <w:p>
      <w:pPr>
        <w:pStyle w:val="34"/>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见磋商须知前附表1。</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合格的供应商</w:t>
      </w:r>
    </w:p>
    <w:p>
      <w:pPr>
        <w:pStyle w:val="34"/>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lang w:val="en-US" w:eastAsia="zh-CN"/>
        </w:rPr>
        <w:t>4.1.1</w:t>
      </w:r>
      <w:r>
        <w:rPr>
          <w:rFonts w:hint="eastAsia" w:ascii="宋体" w:hAnsi="宋体" w:eastAsia="宋体" w:cs="宋体"/>
          <w:bCs/>
          <w:color w:val="auto"/>
          <w:sz w:val="21"/>
          <w:szCs w:val="21"/>
          <w:highlight w:val="none"/>
        </w:rPr>
        <w:t xml:space="preserve"> 供应商的资格要求见</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w:t>
      </w:r>
    </w:p>
    <w:p>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4.1.2 </w:t>
      </w:r>
      <w:r>
        <w:rPr>
          <w:rFonts w:hint="eastAsia" w:ascii="宋体" w:hAnsi="宋体" w:eastAsia="宋体" w:cs="宋体"/>
          <w:color w:val="auto"/>
          <w:sz w:val="21"/>
          <w:szCs w:val="21"/>
          <w:highlight w:val="none"/>
        </w:rPr>
        <w:t>凡为本采购项目提供整体设计、规范编制或者项目管理、监理、检测等服务的供应商，不得参加报价。</w:t>
      </w:r>
    </w:p>
    <w:p>
      <w:pPr>
        <w:pStyle w:val="3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4.1.3 </w:t>
      </w:r>
      <w:r>
        <w:rPr>
          <w:rFonts w:hint="eastAsia" w:ascii="宋体" w:hAnsi="宋体" w:eastAsia="宋体" w:cs="宋体"/>
          <w:color w:val="auto"/>
          <w:sz w:val="21"/>
          <w:szCs w:val="21"/>
          <w:highlight w:val="none"/>
        </w:rPr>
        <w:t>一个供应商只能提交一个响应文件。但如果不同供应商之间的单位负责人为同一人或者存在直接控股、管理关系的，均作无效报价处理。</w:t>
      </w:r>
    </w:p>
    <w:p>
      <w:pPr>
        <w:pStyle w:val="3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4.1.4 </w:t>
      </w:r>
      <w:r>
        <w:rPr>
          <w:rFonts w:hint="eastAsia" w:ascii="宋体" w:hAnsi="宋体" w:eastAsia="宋体" w:cs="宋体"/>
          <w:color w:val="auto"/>
          <w:sz w:val="21"/>
          <w:szCs w:val="21"/>
          <w:highlight w:val="none"/>
        </w:rPr>
        <w:t>供应商存在下列情形之一的，将被认定为串通报价行为并作无效报价处理：</w:t>
      </w:r>
    </w:p>
    <w:p>
      <w:pPr>
        <w:pStyle w:val="34"/>
        <w:spacing w:line="360" w:lineRule="auto"/>
        <w:rPr>
          <w:rFonts w:hint="eastAsia"/>
        </w:rPr>
      </w:pPr>
      <w:r>
        <w:rPr>
          <w:rFonts w:hint="eastAsia" w:ascii="宋体" w:hAnsi="宋体" w:eastAsia="宋体" w:cs="宋体"/>
          <w:color w:val="auto"/>
          <w:sz w:val="21"/>
          <w:szCs w:val="21"/>
          <w:highlight w:val="none"/>
        </w:rPr>
        <w:t>（1）不同供应商的响应文件错、漏之处一致或雷同，且不能合理解释的；</w:t>
      </w:r>
    </w:p>
    <w:p>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34"/>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（3）有关法律、法规或规章规定的其他串通报价行为。</w:t>
      </w:r>
    </w:p>
    <w:p>
      <w:pPr>
        <w:spacing w:line="360" w:lineRule="auto"/>
        <w:ind w:firstLine="482"/>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5、回避: </w:t>
      </w:r>
    </w:p>
    <w:p>
      <w:pPr>
        <w:spacing w:line="360" w:lineRule="auto"/>
        <w:ind w:firstLine="482"/>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政府采购活动中，采购人员及相关人员与供应商有下列利害关系之一的，应当回避：</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5.1参加采购活动前3年内与供应商存在劳动关系；</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5.2参加采购活动前3年内担任供应商的董事、监事；</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5.3参加采购活动前3年内是供应商的控股股东或者实际控制人；</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5.4与供应商的法定代表人或者负责人有夫妻、直系血亲、三代以内旁系血亲或者近姻亲关系；</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5.5与供应商有其他可能影响政府采购活动公平、公正进行的关系。</w:t>
      </w:r>
    </w:p>
    <w:p>
      <w:pPr>
        <w:pStyle w:val="37"/>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供应商认为采购人员及相关人员与其他供应商有利害关系的，可以向采购代理机构书面提出回避申请，并说明理由。采购代理机构将及时询问被申请回避人员，有利害关系的被申请回避人员应当回避。</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参与磋商的费用 </w:t>
      </w:r>
    </w:p>
    <w:p>
      <w:pPr>
        <w:pStyle w:val="14"/>
        <w:spacing w:line="360" w:lineRule="auto"/>
        <w:ind w:firstLine="420" w:firstLineChars="200"/>
        <w:rPr>
          <w:rFonts w:hint="eastAsia" w:ascii="宋体" w:hAnsi="宋体" w:eastAsia="宋体" w:cs="宋体"/>
          <w:color w:val="auto"/>
          <w:kern w:val="2"/>
          <w:sz w:val="21"/>
          <w:szCs w:val="21"/>
          <w:highlight w:val="none"/>
          <w:lang w:val="en-US" w:eastAsia="zh-CN" w:bidi="ar-SA"/>
        </w:rPr>
      </w:pPr>
      <w:bookmarkStart w:id="16" w:name="_Toc23764"/>
      <w:bookmarkStart w:id="17" w:name="_Toc256000006"/>
      <w:r>
        <w:rPr>
          <w:rFonts w:hint="eastAsia" w:ascii="宋体" w:hAnsi="宋体" w:eastAsia="宋体" w:cs="宋体"/>
          <w:color w:val="auto"/>
          <w:kern w:val="2"/>
          <w:sz w:val="21"/>
          <w:szCs w:val="21"/>
          <w:highlight w:val="none"/>
          <w:lang w:val="en-US" w:eastAsia="zh-CN" w:bidi="ar-SA"/>
        </w:rPr>
        <w:t>6.1供应商应承担所有与磋商准备和磋商有关的全部费用，不论磋商结果如何，采购人和采购代理机构无义务和责任承担供应商所发生的一切费用。</w:t>
      </w:r>
    </w:p>
    <w:p>
      <w:pPr>
        <w:pStyle w:val="14"/>
        <w:spacing w:line="360" w:lineRule="auto"/>
        <w:ind w:firstLine="420" w:firstLineChars="200"/>
        <w:outlineLvl w:val="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6.2供应商在磋商准备、实地考察和磋商的全过程中，如果发生人身伤亡、财物或其它任何损失，不论何种原因所造成，均由供应商自行承担全部责任和损失。</w:t>
      </w:r>
      <w:bookmarkStart w:id="18" w:name="_Toc245897276"/>
      <w:bookmarkStart w:id="19" w:name="_Toc243906316"/>
      <w:bookmarkStart w:id="20" w:name="_Toc243907576"/>
      <w:bookmarkStart w:id="21" w:name="_Toc233274816"/>
    </w:p>
    <w:p>
      <w:pPr>
        <w:pStyle w:val="14"/>
        <w:spacing w:line="360" w:lineRule="auto"/>
        <w:ind w:firstLine="422" w:firstLineChars="200"/>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7、法律适用</w:t>
      </w:r>
      <w:bookmarkEnd w:id="18"/>
      <w:bookmarkEnd w:id="19"/>
      <w:bookmarkEnd w:id="20"/>
      <w:bookmarkEnd w:id="21"/>
    </w:p>
    <w:p>
      <w:pPr>
        <w:pStyle w:val="14"/>
        <w:spacing w:line="360" w:lineRule="auto"/>
        <w:ind w:firstLine="420" w:firstLineChars="200"/>
        <w:outlineLvl w:val="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7.1本次磋商活动及由本次磋商产生的合同受中国法律制约和保护。</w:t>
      </w:r>
    </w:p>
    <w:p>
      <w:pPr>
        <w:pStyle w:val="14"/>
        <w:spacing w:line="360" w:lineRule="auto"/>
        <w:ind w:firstLine="422" w:firstLineChars="200"/>
        <w:outlineLvl w:val="1"/>
        <w:rPr>
          <w:rFonts w:hint="eastAsia" w:ascii="宋体" w:hAnsi="宋体" w:eastAsia="宋体" w:cs="宋体"/>
          <w:b/>
          <w:bCs/>
          <w:color w:val="auto"/>
          <w:kern w:val="2"/>
          <w:sz w:val="21"/>
          <w:szCs w:val="21"/>
          <w:highlight w:val="none"/>
          <w:lang w:val="en-US" w:eastAsia="zh-CN" w:bidi="ar-SA"/>
        </w:rPr>
      </w:pPr>
      <w:bookmarkStart w:id="22" w:name="_Toc243906317"/>
      <w:bookmarkStart w:id="23" w:name="_Toc245897277"/>
      <w:bookmarkStart w:id="24" w:name="_Toc243907577"/>
      <w:bookmarkStart w:id="25" w:name="_Toc233274817"/>
      <w:r>
        <w:rPr>
          <w:rFonts w:hint="eastAsia" w:ascii="宋体" w:hAnsi="宋体" w:eastAsia="宋体" w:cs="宋体"/>
          <w:b/>
          <w:bCs/>
          <w:color w:val="auto"/>
          <w:kern w:val="2"/>
          <w:sz w:val="21"/>
          <w:szCs w:val="21"/>
          <w:highlight w:val="none"/>
          <w:lang w:val="en-US" w:eastAsia="zh-CN" w:bidi="ar-SA"/>
        </w:rPr>
        <w:t>8、磋商文件的约束力</w:t>
      </w:r>
      <w:bookmarkEnd w:id="22"/>
      <w:bookmarkEnd w:id="23"/>
      <w:bookmarkEnd w:id="24"/>
      <w:bookmarkEnd w:id="25"/>
    </w:p>
    <w:p>
      <w:pPr>
        <w:pStyle w:val="14"/>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8.1供应商若成交，即被认为接受了本磋商文件中的所有条件和规定。是采购人与成交供应商签订合同的依据且是合同的组成部分。</w:t>
      </w:r>
    </w:p>
    <w:p>
      <w:pPr>
        <w:pStyle w:val="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二、磋商文件</w:t>
      </w:r>
      <w:bookmarkEnd w:id="16"/>
      <w:bookmarkEnd w:id="17"/>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  磋商文件的组成</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（1）磋商公告</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（2）磋商须知</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（3）评审方法（综合评分法）</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w:t>
      </w:r>
    </w:p>
    <w:p>
      <w:pPr>
        <w:pStyle w:val="38"/>
        <w:adjustRightInd w:val="0"/>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（5）工程量清单</w:t>
      </w:r>
    </w:p>
    <w:p>
      <w:pPr>
        <w:pStyle w:val="38"/>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图纸</w:t>
      </w:r>
    </w:p>
    <w:p>
      <w:pPr>
        <w:pStyle w:val="34"/>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（7）响应文件格式</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 磋商文件的澄清</w:t>
      </w:r>
      <w:r>
        <w:rPr>
          <w:rFonts w:hint="eastAsia" w:ascii="宋体" w:hAnsi="宋体" w:eastAsia="宋体" w:cs="宋体"/>
          <w:b/>
          <w:color w:val="auto"/>
          <w:kern w:val="0"/>
          <w:sz w:val="21"/>
          <w:szCs w:val="21"/>
          <w:highlight w:val="none"/>
          <w:lang w:val="zh-CN"/>
        </w:rPr>
        <w:t>或者</w:t>
      </w:r>
      <w:r>
        <w:rPr>
          <w:rFonts w:hint="eastAsia" w:ascii="宋体" w:hAnsi="宋体" w:eastAsia="宋体" w:cs="宋体"/>
          <w:b/>
          <w:bCs/>
          <w:color w:val="auto"/>
          <w:sz w:val="21"/>
          <w:szCs w:val="21"/>
          <w:highlight w:val="none"/>
        </w:rPr>
        <w:t>修改</w:t>
      </w:r>
    </w:p>
    <w:p>
      <w:pPr>
        <w:pStyle w:val="34"/>
        <w:adjustRightInd w:val="0"/>
        <w:snapToGrid w:val="0"/>
        <w:spacing w:line="360" w:lineRule="auto"/>
        <w:ind w:right="-105" w:righ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r>
        <w:rPr>
          <w:rFonts w:hint="eastAsia" w:ascii="宋体" w:hAnsi="宋体" w:eastAsia="宋体" w:cs="宋体"/>
          <w:color w:val="auto"/>
          <w:sz w:val="21"/>
          <w:szCs w:val="21"/>
          <w:highlight w:val="none"/>
          <w:lang w:val="zh-CN"/>
        </w:rPr>
        <w:t>供应商在收到</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zh-CN"/>
        </w:rPr>
        <w:t>文件后，若有疑问需要澄清，应于收到</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zh-CN"/>
        </w:rPr>
        <w:t>文件后</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lang w:val="zh-CN"/>
        </w:rPr>
        <w:t>以书面形式向采购人或采购代理机构（以下统称采购机构）提出，采购机构将以书面形式予以解答，解答内容将送达所有参与</w:t>
      </w:r>
      <w:r>
        <w:rPr>
          <w:rFonts w:hint="eastAsia" w:ascii="宋体" w:hAnsi="宋体" w:eastAsia="宋体" w:cs="宋体"/>
          <w:color w:val="auto"/>
          <w:sz w:val="21"/>
          <w:szCs w:val="21"/>
          <w:highlight w:val="none"/>
        </w:rPr>
        <w:t>磋商采购活动</w:t>
      </w:r>
      <w:r>
        <w:rPr>
          <w:rFonts w:hint="eastAsia" w:ascii="宋体" w:hAnsi="宋体" w:eastAsia="宋体" w:cs="宋体"/>
          <w:color w:val="auto"/>
          <w:sz w:val="21"/>
          <w:szCs w:val="21"/>
          <w:highlight w:val="none"/>
          <w:lang w:val="zh-CN"/>
        </w:rPr>
        <w:t>的供应商。</w:t>
      </w:r>
    </w:p>
    <w:p>
      <w:pPr>
        <w:pStyle w:val="34"/>
        <w:adjustRightInd w:val="0"/>
        <w:snapToGrid w:val="0"/>
        <w:spacing w:line="360" w:lineRule="auto"/>
        <w:ind w:right="-105" w:rightChars="-5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bookmarkStart w:id="26" w:name="_Toc256000007"/>
      <w:bookmarkStart w:id="27" w:name="_Toc29250"/>
      <w:r>
        <w:rPr>
          <w:rFonts w:hint="eastAsia" w:ascii="宋体" w:hAnsi="宋体" w:eastAsia="宋体" w:cs="宋体"/>
          <w:color w:val="auto"/>
          <w:sz w:val="21"/>
          <w:szCs w:val="21"/>
          <w:highlight w:val="none"/>
          <w:lang w:val="en-US" w:eastAsia="zh-CN"/>
        </w:rPr>
        <w:t xml:space="preserve">                 </w:t>
      </w:r>
    </w:p>
    <w:p>
      <w:pPr>
        <w:pStyle w:val="34"/>
        <w:adjustRightInd w:val="0"/>
        <w:snapToGrid w:val="0"/>
        <w:spacing w:line="360" w:lineRule="auto"/>
        <w:ind w:right="-105" w:rightChars="-50" w:firstLine="3780" w:firstLineChars="1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三、响应文件</w:t>
      </w:r>
      <w:bookmarkEnd w:id="26"/>
      <w:bookmarkEnd w:id="27"/>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 一般要求</w:t>
      </w:r>
    </w:p>
    <w:p>
      <w:pPr>
        <w:pStyle w:val="34"/>
        <w:adjustRightInd w:val="0"/>
        <w:snapToGrid w:val="0"/>
        <w:spacing w:line="360" w:lineRule="auto"/>
        <w:ind w:right="-105" w:righ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供应商应按本文件第七章“响应文件格式”的要求编制响应文件。</w:t>
      </w:r>
    </w:p>
    <w:p>
      <w:pPr>
        <w:pStyle w:val="34"/>
        <w:adjustRightInd w:val="0"/>
        <w:snapToGrid w:val="0"/>
        <w:spacing w:line="360" w:lineRule="auto"/>
        <w:ind w:right="-105" w:rightChars="-5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3.1.2计量单位应使用我国法定计量单位。</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3.2 </w:t>
      </w:r>
      <w:r>
        <w:rPr>
          <w:rFonts w:hint="eastAsia" w:ascii="宋体" w:hAnsi="宋体" w:eastAsia="宋体" w:cs="宋体"/>
          <w:b/>
          <w:color w:val="auto"/>
          <w:sz w:val="21"/>
          <w:szCs w:val="21"/>
          <w:highlight w:val="none"/>
        </w:rPr>
        <w:t>响应文件</w:t>
      </w:r>
      <w:r>
        <w:rPr>
          <w:rFonts w:hint="eastAsia" w:ascii="宋体" w:hAnsi="宋体" w:eastAsia="宋体" w:cs="宋体"/>
          <w:b/>
          <w:bCs/>
          <w:color w:val="auto"/>
          <w:sz w:val="21"/>
          <w:szCs w:val="21"/>
          <w:highlight w:val="none"/>
        </w:rPr>
        <w:t>的组成</w:t>
      </w:r>
    </w:p>
    <w:p>
      <w:pPr>
        <w:pStyle w:val="34"/>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投标函</w:t>
      </w:r>
    </w:p>
    <w:p>
      <w:pPr>
        <w:pStyle w:val="64"/>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（2）磋商报价一览表</w:t>
      </w:r>
    </w:p>
    <w:p>
      <w:pPr>
        <w:pStyle w:val="54"/>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（3）已标价的工程量清单</w:t>
      </w:r>
    </w:p>
    <w:p>
      <w:pPr>
        <w:pStyle w:val="54"/>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（4）法定代表人身份证明或附有法定代表人身份证明的授权书</w:t>
      </w:r>
    </w:p>
    <w:p>
      <w:pPr>
        <w:pStyle w:val="58"/>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（5）《公平竞争承诺书》文件</w:t>
      </w:r>
    </w:p>
    <w:p>
      <w:pPr>
        <w:pStyle w:val="59"/>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（6）供应商基本情况表    </w:t>
      </w:r>
    </w:p>
    <w:p>
      <w:pPr>
        <w:pStyle w:val="59"/>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（7）其他资格证明文件</w:t>
      </w:r>
    </w:p>
    <w:p>
      <w:pPr>
        <w:pStyle w:val="59"/>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（8）不参与围标串标承诺书</w:t>
      </w:r>
    </w:p>
    <w:p>
      <w:pPr>
        <w:pStyle w:val="66"/>
        <w:keepNext w:val="0"/>
        <w:keepLines w:val="0"/>
        <w:pageBreakBefore w:val="0"/>
        <w:kinsoku/>
        <w:wordWrap/>
        <w:overflowPunct/>
        <w:topLinePunct w:val="0"/>
        <w:bidi w:val="0"/>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（9）联合体协议书格式（如有）</w:t>
      </w:r>
    </w:p>
    <w:p>
      <w:pPr>
        <w:pStyle w:val="6"/>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w:t>
      </w:r>
      <w:r>
        <w:rPr>
          <w:rFonts w:hint="eastAsia" w:ascii="宋体" w:hAnsi="宋体" w:cs="宋体"/>
          <w:b w:val="0"/>
          <w:color w:val="auto"/>
          <w:kern w:val="2"/>
          <w:sz w:val="21"/>
          <w:szCs w:val="21"/>
          <w:highlight w:val="none"/>
          <w:lang w:val="en-US" w:eastAsia="zh-CN" w:bidi="ar-SA"/>
        </w:rPr>
        <w:t>0</w:t>
      </w:r>
      <w:r>
        <w:rPr>
          <w:rFonts w:hint="eastAsia" w:ascii="宋体" w:hAnsi="宋体" w:eastAsia="宋体" w:cs="宋体"/>
          <w:b w:val="0"/>
          <w:color w:val="auto"/>
          <w:kern w:val="2"/>
          <w:sz w:val="21"/>
          <w:szCs w:val="21"/>
          <w:highlight w:val="none"/>
          <w:lang w:val="en-US" w:eastAsia="zh-CN" w:bidi="ar-SA"/>
        </w:rPr>
        <w:t>）中、小微企业声明函（非中、小微企业可不提供）；</w:t>
      </w:r>
    </w:p>
    <w:p>
      <w:pPr>
        <w:pStyle w:val="78"/>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（11）施工组织设计</w:t>
      </w:r>
    </w:p>
    <w:p>
      <w:pPr>
        <w:keepNext w:val="0"/>
        <w:keepLines w:val="0"/>
        <w:pageBreakBefore w:val="0"/>
        <w:widowControl w:val="0"/>
        <w:kinsoku/>
        <w:wordWrap/>
        <w:overflowPunct/>
        <w:topLinePunct w:val="0"/>
        <w:autoSpaceDE/>
        <w:autoSpaceDN/>
        <w:bidi w:val="0"/>
        <w:adjustRightInd/>
        <w:snapToGrid/>
        <w:spacing w:before="101" w:line="360" w:lineRule="auto"/>
        <w:jc w:val="both"/>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w:t>
      </w:r>
      <w:r>
        <w:rPr>
          <w:rFonts w:hint="eastAsia" w:ascii="宋体" w:hAnsi="宋体"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）近年完成的类似项目情况一览表 (格式自拟)</w:t>
      </w:r>
    </w:p>
    <w:p>
      <w:pPr>
        <w:keepNext w:val="0"/>
        <w:keepLines w:val="0"/>
        <w:pageBreakBefore w:val="0"/>
        <w:widowControl w:val="0"/>
        <w:kinsoku/>
        <w:wordWrap/>
        <w:overflowPunct/>
        <w:topLinePunct w:val="0"/>
        <w:autoSpaceDE/>
        <w:autoSpaceDN/>
        <w:bidi w:val="0"/>
        <w:adjustRightInd/>
        <w:snapToGrid/>
        <w:spacing w:before="101" w:line="360" w:lineRule="auto"/>
        <w:jc w:val="both"/>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w:t>
      </w:r>
      <w:r>
        <w:rPr>
          <w:rFonts w:hint="eastAsia" w:ascii="宋体" w:hAnsi="宋体" w:cs="宋体"/>
          <w:b w:val="0"/>
          <w:color w:val="auto"/>
          <w:kern w:val="2"/>
          <w:sz w:val="21"/>
          <w:szCs w:val="21"/>
          <w:highlight w:val="none"/>
          <w:lang w:val="en-US" w:eastAsia="zh-CN" w:bidi="ar-SA"/>
        </w:rPr>
        <w:t>3</w:t>
      </w:r>
      <w:r>
        <w:rPr>
          <w:rFonts w:hint="eastAsia" w:ascii="宋体" w:hAnsi="宋体" w:eastAsia="宋体" w:cs="宋体"/>
          <w:b w:val="0"/>
          <w:color w:val="auto"/>
          <w:kern w:val="2"/>
          <w:sz w:val="21"/>
          <w:szCs w:val="21"/>
          <w:highlight w:val="none"/>
          <w:lang w:val="en-US" w:eastAsia="zh-CN" w:bidi="ar-SA"/>
        </w:rPr>
        <w:t>）投标保证金</w:t>
      </w:r>
    </w:p>
    <w:p>
      <w:pPr>
        <w:keepNext w:val="0"/>
        <w:keepLines w:val="0"/>
        <w:pageBreakBefore w:val="0"/>
        <w:widowControl w:val="0"/>
        <w:kinsoku/>
        <w:wordWrap/>
        <w:overflowPunct/>
        <w:topLinePunct w:val="0"/>
        <w:autoSpaceDE/>
        <w:autoSpaceDN/>
        <w:bidi w:val="0"/>
        <w:adjustRightInd/>
        <w:snapToGrid/>
        <w:spacing w:before="101"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 报价要求</w:t>
      </w:r>
    </w:p>
    <w:p>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r>
        <w:rPr>
          <w:rFonts w:hint="eastAsia" w:ascii="宋体" w:hAnsi="宋体" w:eastAsia="宋体" w:cs="宋体"/>
          <w:color w:val="auto"/>
          <w:sz w:val="21"/>
          <w:szCs w:val="21"/>
          <w:highlight w:val="none"/>
          <w:lang w:val="zh-CN"/>
        </w:rPr>
        <w:t>供应商应根据所提供的工程项目清单</w:t>
      </w:r>
      <w:r>
        <w:rPr>
          <w:rFonts w:hint="eastAsia" w:ascii="宋体" w:hAnsi="宋体" w:eastAsia="宋体" w:cs="宋体"/>
          <w:color w:val="auto"/>
          <w:sz w:val="21"/>
          <w:szCs w:val="21"/>
          <w:highlight w:val="none"/>
          <w:lang w:val="en-US" w:eastAsia="zh-CN"/>
        </w:rPr>
        <w:t>及参数</w:t>
      </w:r>
      <w:r>
        <w:rPr>
          <w:rFonts w:hint="eastAsia" w:ascii="宋体" w:hAnsi="宋体" w:eastAsia="宋体" w:cs="宋体"/>
          <w:color w:val="auto"/>
          <w:sz w:val="21"/>
          <w:szCs w:val="21"/>
          <w:highlight w:val="none"/>
          <w:lang w:val="zh-CN"/>
        </w:rPr>
        <w:t>的要求编制单价、合价和总价</w:t>
      </w:r>
      <w:r>
        <w:rPr>
          <w:rFonts w:hint="eastAsia" w:ascii="宋体" w:hAnsi="宋体" w:eastAsia="宋体" w:cs="宋体"/>
          <w:color w:val="auto"/>
          <w:sz w:val="21"/>
          <w:szCs w:val="21"/>
          <w:highlight w:val="none"/>
        </w:rPr>
        <w:t>，且只允许有一个报价</w:t>
      </w:r>
      <w:r>
        <w:rPr>
          <w:rFonts w:hint="eastAsia" w:ascii="宋体" w:hAnsi="宋体" w:eastAsia="宋体" w:cs="宋体"/>
          <w:color w:val="auto"/>
          <w:sz w:val="21"/>
          <w:szCs w:val="21"/>
          <w:highlight w:val="none"/>
          <w:lang w:val="zh-CN"/>
        </w:rPr>
        <w:t>。</w:t>
      </w:r>
    </w:p>
    <w:p>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r>
        <w:rPr>
          <w:rFonts w:hint="eastAsia" w:ascii="宋体" w:hAnsi="宋体" w:eastAsia="宋体" w:cs="宋体"/>
          <w:color w:val="auto"/>
          <w:sz w:val="21"/>
          <w:szCs w:val="21"/>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3.3.3响应文件中标明的价格在合同执行过程中是固定不变的，不得以任何理由予以变更。以可变动价格提交的报价将被认为是非实质响应采购要求而被拒绝。</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3.3.4采购项目预算见</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供应商</w:t>
      </w:r>
      <w:r>
        <w:rPr>
          <w:rFonts w:hint="eastAsia" w:ascii="宋体" w:hAnsi="宋体" w:eastAsia="宋体" w:cs="宋体"/>
          <w:color w:val="auto"/>
          <w:sz w:val="21"/>
          <w:szCs w:val="21"/>
          <w:highlight w:val="none"/>
        </w:rPr>
        <w:t>的报价不得超过采购预算。否则，按无效报价处理。</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 证明供应商资格的文件</w:t>
      </w:r>
    </w:p>
    <w:p>
      <w:pPr>
        <w:pStyle w:val="38"/>
        <w:adjustRightInd w:val="0"/>
        <w:snapToGrid w:val="0"/>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w:t>
      </w:r>
      <w:r>
        <w:rPr>
          <w:rFonts w:hint="eastAsia" w:ascii="宋体" w:hAnsi="宋体" w:eastAsia="宋体" w:cs="宋体"/>
          <w:color w:val="auto"/>
          <w:sz w:val="21"/>
          <w:szCs w:val="21"/>
          <w:highlight w:val="none"/>
        </w:rPr>
        <w:t>应提交满足</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第9条</w:t>
      </w:r>
      <w:r>
        <w:rPr>
          <w:rFonts w:hint="eastAsia" w:ascii="宋体" w:hAnsi="宋体" w:eastAsia="宋体" w:cs="宋体"/>
          <w:color w:val="auto"/>
          <w:kern w:val="0"/>
          <w:sz w:val="21"/>
          <w:szCs w:val="21"/>
          <w:highlight w:val="none"/>
          <w:lang w:val="zh-CN"/>
        </w:rPr>
        <w:t>款</w:t>
      </w:r>
      <w:r>
        <w:rPr>
          <w:rFonts w:hint="eastAsia" w:ascii="宋体" w:hAnsi="宋体" w:eastAsia="宋体" w:cs="宋体"/>
          <w:color w:val="auto"/>
          <w:sz w:val="21"/>
          <w:szCs w:val="21"/>
          <w:highlight w:val="none"/>
        </w:rPr>
        <w:t>规定的资格条件要求的证明文件,该证明文件作为响应文件的一部分。</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3.5磋商保证金</w:t>
      </w:r>
    </w:p>
    <w:p>
      <w:pPr>
        <w:pStyle w:val="38"/>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3.5.1供应商应按</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第15条</w:t>
      </w:r>
      <w:r>
        <w:rPr>
          <w:rFonts w:hint="eastAsia" w:ascii="宋体" w:hAnsi="宋体" w:eastAsia="宋体" w:cs="宋体"/>
          <w:color w:val="auto"/>
          <w:kern w:val="0"/>
          <w:sz w:val="21"/>
          <w:szCs w:val="21"/>
          <w:highlight w:val="none"/>
          <w:lang w:val="zh-CN"/>
        </w:rPr>
        <w:t>款</w:t>
      </w:r>
      <w:r>
        <w:rPr>
          <w:rFonts w:hint="eastAsia" w:ascii="宋体" w:hAnsi="宋体" w:eastAsia="宋体" w:cs="宋体"/>
          <w:color w:val="auto"/>
          <w:sz w:val="21"/>
          <w:szCs w:val="21"/>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未按磋商文件规定提交磋商保证金的响应文件，将被视为非实质响应而被拒绝。</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 未成交供应商的磋商保证金在成交通知书发出后五个工作日内退还；成交供应商的磋商保证金在采购合同签定后五个工作日内退还。</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3.5.4发生以下情况磋商保证金将不予退还：</w:t>
      </w:r>
    </w:p>
    <w:p>
      <w:pPr>
        <w:pStyle w:val="38"/>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（一）供应商在提交响应文件截止时间后撤回响应文件的；</w:t>
      </w:r>
    </w:p>
    <w:p>
      <w:pPr>
        <w:pStyle w:val="38"/>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（二）供应商在响应文件中提供虚假材料的；</w:t>
      </w:r>
    </w:p>
    <w:p>
      <w:pPr>
        <w:pStyle w:val="38"/>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（三）除因不可抗力或磋商文件认可的情形以外，成交供应商不与采购人签订合同的；</w:t>
      </w:r>
    </w:p>
    <w:p>
      <w:pPr>
        <w:pStyle w:val="38"/>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（四）供应商与采购人、其他供应商或者采购代理机构恶意串通的；</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（五）磋商文件规定的其他情形。</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3.6 </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响应文件有效期</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3.6.1响应文件有效期见</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，响应文件有效期不足的将被视为无效响应，并予以拒绝。</w:t>
      </w:r>
    </w:p>
    <w:p>
      <w:pPr>
        <w:pStyle w:val="34"/>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3.7 响应文件的签署及规定</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3.7.1供应商应提供响应文件份数见</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w:t>
      </w:r>
    </w:p>
    <w:p>
      <w:pPr>
        <w:pStyle w:val="34"/>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zh-CN"/>
        </w:rPr>
        <w:t xml:space="preserve">3.7.2 </w:t>
      </w:r>
      <w:r>
        <w:rPr>
          <w:rFonts w:hint="eastAsia" w:ascii="宋体" w:hAnsi="宋体" w:eastAsia="宋体" w:cs="宋体"/>
          <w:color w:val="auto"/>
          <w:sz w:val="21"/>
          <w:szCs w:val="21"/>
          <w:highlight w:val="none"/>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32"/>
        <w:jc w:val="center"/>
        <w:rPr>
          <w:rFonts w:hint="eastAsia" w:ascii="宋体" w:hAnsi="宋体" w:eastAsia="宋体" w:cs="宋体"/>
          <w:b/>
          <w:bCs/>
          <w:color w:val="auto"/>
          <w:sz w:val="21"/>
          <w:szCs w:val="21"/>
          <w:highlight w:val="none"/>
        </w:rPr>
      </w:pPr>
      <w:bookmarkStart w:id="28" w:name="_Toc256000009"/>
      <w:bookmarkStart w:id="29" w:name="_Toc13285"/>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、磋商和评审</w:t>
      </w:r>
      <w:bookmarkEnd w:id="28"/>
      <w:bookmarkEnd w:id="29"/>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 磋商小组</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磋商小组将根据采购项目的特点依法组建，磋商小组的组成见</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w:t>
      </w:r>
    </w:p>
    <w:p>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4.2  </w:t>
      </w:r>
      <w:r>
        <w:rPr>
          <w:rFonts w:hint="eastAsia" w:ascii="宋体" w:hAnsi="宋体" w:eastAsia="宋体" w:cs="宋体"/>
          <w:b/>
          <w:color w:val="auto"/>
          <w:sz w:val="21"/>
          <w:szCs w:val="21"/>
          <w:highlight w:val="none"/>
        </w:rPr>
        <w:t>响应文件的初步评审</w:t>
      </w:r>
    </w:p>
    <w:p>
      <w:pPr>
        <w:spacing w:line="360" w:lineRule="auto"/>
        <w:ind w:firstLine="420"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响应文件的初步评审为资格、符合性审查。</w:t>
      </w:r>
      <w:r>
        <w:rPr>
          <w:rFonts w:hint="eastAsia" w:ascii="宋体" w:hAnsi="宋体" w:eastAsia="宋体" w:cs="宋体"/>
          <w:color w:val="auto"/>
          <w:spacing w:val="-2"/>
          <w:sz w:val="21"/>
          <w:szCs w:val="21"/>
          <w:highlight w:val="none"/>
        </w:rPr>
        <w:t>详细评审标准见</w:t>
      </w:r>
      <w:r>
        <w:rPr>
          <w:rFonts w:hint="eastAsia" w:ascii="宋体" w:hAnsi="宋体" w:eastAsia="宋体" w:cs="宋体"/>
          <w:b/>
          <w:color w:val="auto"/>
          <w:spacing w:val="-2"/>
          <w:sz w:val="21"/>
          <w:szCs w:val="21"/>
          <w:highlight w:val="none"/>
        </w:rPr>
        <w:t>评审方法</w:t>
      </w:r>
      <w:r>
        <w:rPr>
          <w:rFonts w:hint="eastAsia" w:ascii="宋体" w:hAnsi="宋体" w:eastAsia="宋体" w:cs="宋体"/>
          <w:color w:val="auto"/>
          <w:sz w:val="21"/>
          <w:szCs w:val="21"/>
          <w:highlight w:val="none"/>
        </w:rPr>
        <w:t>资格、符合性审查表（详见附表一、二）</w:t>
      </w:r>
      <w:r>
        <w:rPr>
          <w:rFonts w:hint="eastAsia" w:ascii="宋体" w:hAnsi="宋体" w:eastAsia="宋体" w:cs="宋体"/>
          <w:color w:val="auto"/>
          <w:spacing w:val="-2"/>
          <w:sz w:val="21"/>
          <w:szCs w:val="21"/>
          <w:highlight w:val="none"/>
        </w:rPr>
        <w:t>。</w:t>
      </w:r>
    </w:p>
    <w:p>
      <w:pPr>
        <w:pStyle w:val="34"/>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 磋商文件的澄清</w:t>
      </w:r>
      <w:r>
        <w:rPr>
          <w:rFonts w:hint="eastAsia" w:ascii="宋体" w:hAnsi="宋体" w:eastAsia="宋体" w:cs="宋体"/>
          <w:b/>
          <w:bCs/>
          <w:color w:val="auto"/>
          <w:sz w:val="21"/>
          <w:szCs w:val="21"/>
          <w:highlight w:val="none"/>
        </w:rPr>
        <w:tab/>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任何要求对磋商文件进行澄清的投标人，均应在投标截止时间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日前以书面形式送达并告知招标机构，招标机构负责联络采购人，且最终将以书面形式答复投标人，同时将书面答复递交给所有投标人。答复中包括所提问题，但不包括问题的来源。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磋商文件的修改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4.4.1在投标截止日期前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日，招标机构必须经过采购人书面许可方可主动地或在解答投标人提出的澄清问题时对磋商文件进行修改。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4.4.2磋商文件的修改将以书面形式通知所有投标人，投标人应立即以电传或传真的形式确认已收到修改。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 为使投标人在准备投标文件时有合理的时间考虑磋商文件的修改，招标机构必须经过采购人书面许可方可酌情推迟投标截止时间。</w:t>
      </w:r>
    </w:p>
    <w:p>
      <w:pPr>
        <w:pStyle w:val="32"/>
        <w:jc w:val="center"/>
        <w:rPr>
          <w:rFonts w:hint="eastAsia" w:ascii="宋体" w:hAnsi="宋体" w:eastAsia="宋体" w:cs="宋体"/>
          <w:color w:val="auto"/>
          <w:sz w:val="21"/>
          <w:szCs w:val="21"/>
          <w:highlight w:val="none"/>
          <w:lang w:eastAsia="zh-CN"/>
        </w:rPr>
      </w:pPr>
      <w:bookmarkStart w:id="30" w:name="_Toc13595"/>
      <w:bookmarkStart w:id="31" w:name="_Toc256000010"/>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评标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评标过程的纪律和保密性</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5.1.1从投标截止时间开始，直至采购人授予合同时止，凡与审查、澄清、评价和比较投标的有关资料以及授标意见等均不得向投标人和无关人员透露。</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5.1.2招标机构和采购人将采取必要的措施，保证评标在严格保密的情况下进行。</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5.1.3参与评标的人员应严格遵守国家有关保密的法律、法规和规定，严格自律，并接受行政监督部门的监督。</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5.1.4投标人提交的关于资质、业绩等的文件和材料必须真实准确，不得弄虚作假。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 投标人不得串通作弊，哄抬标价，致使定标困难或无法定标。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5.1.6投标人不得采用不正当手段妨碍、排挤其它投标人，扰乱招标活动，破坏公平竞争。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5.1.7 投标人不得以任何形式打听和搜集评标机密，不得以任何形式干扰评标或投标工作。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5.1.8投标人若违反前述要求，其投标将被废除，投标保证金将被没收，没收的投标保证金归采购人所有。</w:t>
      </w:r>
    </w:p>
    <w:p>
      <w:pPr>
        <w:spacing w:line="360" w:lineRule="auto"/>
        <w:ind w:firstLine="420" w:firstLineChars="200"/>
        <w:rPr>
          <w:rFonts w:hint="eastAsia" w:ascii="宋体" w:hAnsi="宋体" w:eastAsia="宋体" w:cs="宋体"/>
          <w:color w:val="auto"/>
          <w:sz w:val="21"/>
          <w:szCs w:val="21"/>
          <w:highlight w:val="none"/>
        </w:rPr>
      </w:pPr>
      <w:bookmarkStart w:id="32" w:name="_Hlt115349744"/>
      <w:bookmarkEnd w:id="32"/>
      <w:bookmarkStart w:id="33" w:name="_Toc438371769"/>
      <w:bookmarkStart w:id="34" w:name="_Toc438371400"/>
      <w:bookmarkStart w:id="35" w:name="_Toc438371217"/>
      <w:bookmarkStart w:id="36" w:name="_Toc438370547"/>
      <w:bookmarkStart w:id="37" w:name="_Toc438354318"/>
      <w:bookmarkStart w:id="38" w:name="_Toc438371582"/>
      <w:r>
        <w:rPr>
          <w:rFonts w:hint="eastAsia" w:ascii="宋体" w:hAnsi="宋体" w:eastAsia="宋体" w:cs="宋体"/>
          <w:color w:val="auto"/>
          <w:sz w:val="21"/>
          <w:szCs w:val="21"/>
          <w:highlight w:val="none"/>
        </w:rPr>
        <w:t>5.2 投标文件的初审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5.2.1评标委员会将根据磋商文件规定提交的响应性文件和采购人认为其它必要的、合适的资料，对投标人的能力和资格等进行进一步审查。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评标委员会将审查每份投标文件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投标人的竞争地位产生不公正的影响。下列情况属于重大偏离：</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没有按照磋商文件要求提供投标保证金;</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投标文件没有按要求盖章或没有由符合资格的投标人代表签字;</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rPr>
        <w:t>投标文件载明的招标项目完成期限超过采购人可以接受的程度;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明显不符合技术规格、技术标准的要求；</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投标文件附有采购人不能接受的条件；</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不符合磋商文件中规定的其他实质性要求；</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rPr>
        <w:t>投标人(供应商)投标价或某分项报价明显不合理（畸高畸低）或低于成本,且无法对其投标报价构成做出合理解释并提交相关证据;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上述评审是对开标阶段响应性审查的补充，投标文件有上述情形之一的，将作为废标处理。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5.2.3对资格证明文件有伪造或隐瞒事实的，将视为未实质上响应磋商文件要求而取消资格，并没收投标保证金，没收的投标保证金归采购人所有。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5.3细微偏差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5.3.1评标委员会将对投标文件中存在的个别漏项或提供了不完整的技术信息和数据、含义不明确、对同类问题表述不一致或者有明显文字和计算错误的内容等加以记录、汇总。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5.3.2前述内容评标委员会将在投标文件澄清阶段要求投标人予以澄清或补正。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5.4投标文件的澄清</w:t>
      </w:r>
      <w:bookmarkEnd w:id="33"/>
      <w:bookmarkEnd w:id="34"/>
      <w:bookmarkEnd w:id="35"/>
      <w:bookmarkEnd w:id="36"/>
      <w:bookmarkEnd w:id="37"/>
      <w:bookmarkEnd w:id="3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有助于对投标文件的审查、评价和比较，采购人可要求投标人对其投标文件进行澄清，有关澄清的答复由投标人整理后在规定的时间内以书面形式提交.但不得寻求、提供或允许对投标价格或实质性内容做任何更改。澄清答复应由投标人法定代表人或其授权代表签署后在规定的时间内送达招标机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投标人澄清的答复文件将取代投标文件中被澄清的部分，从而构成投标文件的组成部分。但不允许更改投标报价或投标的其它实质性内容（按照投标人须知中规定校核发现的算术错误不在此列）。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如果投标人在投标文件中未对磋商文件中的条款、数据等提出偏离或澄清，将被视同投标人同意磋商文件的全部或部分要求。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详细评审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评标委员会对各投标文件的各个部分作进一步评审、比较，并按照第22条的评标办法对投标人进行逐项打分。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详细评审的依据是磋商文件、投标文件和投标人的答疑澄清等内容。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评标办法(附后)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5.7磋商程序、方法、无效响应、采购终止及成交原则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5.7.1磋商程序及方法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（一）磋商按竞争性磋商文件规定的时间和地点进行，服务商须有负责人或其授权代表参加并政采云平台进行签到。本项目依法组建的磋商小组分别与各服务商进行磋商。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（二）磋商小组对各服务商的响应文件的有效性、完整性和响应程度进行审查。各服务商只有在完全符合要求的前提下，才能参与正式磋商。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1、完备性及符合性检查。依据竞争性磋商文件的规定，从响应文件的有效性、完整性和对竞争性磋商文件的响应程度进行审查，以确定是否对竞争性磋商文件的实质性要求作出响应。</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澄清有关问题。磋商小组在对响应文件的有效性、完整性和响应程度进行审查时，可以要求服务商对响应文件中含义不明确、同类问题表述不一致或者有明显文字和计算错误的内容等作出必要的澄清、说明或者更正。服务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要求服务商澄清、说明或者更正响应文件应当以书面形式作出。服务商的澄清、说明或者更正应当由负责人或其授权代表签字或者加盖公章。由授权代表签字的，应当附负责人授权书。服务商为自然人的，应当由本人签字并附身份证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4、在磋商过程中磋商的任何一方不得向他人透露与磋商有关的技术资料、价格或其他信息。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服务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6、服务商在磋商时作出的所有书面承诺须由负责人或其授权代表签字。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磋商确定最终采购需求且磋商结束后，服务商应当按照竞争性磋商文件的变动情况和磋商小组的要求重新提交响应文件或重新做出相关的书面承诺，上传提交最终报价及有关承诺（填写最终报价并上传政采云平台）。已提交上传响应文件但未在规定时间内进行最后报价的服务商，视为放弃最终报价，以服务商响应文件中的报价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磋商小组采用综合评分法对提交最终报价的服务商的响应文件和最终报价进行综合评分，综合评分法是指响应文件满足竞争性磋商文件全部实质性要求且按照评审因素的量化指标评审得分最高的服务商为成交候选服务商的评审方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注：各服务商不得恶意竞争，需要根据项目实际情况进行最终报价，最低磋商报价只是磋商基准价，在满足项目要求的前提下合理低价优先考虑，最低价不是成交的绝对依据。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各成员独立对每个有效响应的文件进行评价、打分，然后汇总每个服务商每项评分因素的得分，并根据综合评分情况按照评审得分由高到低顺序推荐3名以上成交候选服务商，并编写评审报告。若服务商的评审得分相同的，按照最后报价由低到高的顺序排列推荐。评审得分且最后报价相同的，按照服务指标优劣顺序排列推荐。以上都相同的，按服务条款的优劣顺序排列推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5.7.2无效响应</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服务商发生以下条款情况之一者，视为无效响应，其响应文件将被拒绝：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（一）服务商不符合规定的基本资格条件或特定资格条件的；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（二）服务商的负责人或其授权代表未参加磋商；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（三）服务商未按照竞争性磋商文件的要求缴纳磋商保证金；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（四）服务商所提交的响应文件不按规定签字、盖章；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（五）服务商的最后报价超过采购预算的；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（六）单位负责人为同一人或者存在直接控股、管理关系的不同服务商，参加同一合同项下的政府采购活动的；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（七）为采购项目提供整体设计、规范编制或者项目管理、监理、检测等服务的服务商再参加本项目的采购活动的；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（八）服务商响应文件内容有与国家现行法律法规相违背的内容，或附有采购人无法接受的条件；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5.8采购终止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出现下列情形之一的，采购人或者采购代理机构应当终止竞争性磋商采购活动，发布项目终止公告并说明原因，重新开展采购活动：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（一）因情况变化，不再符合规定的竞争性磋商采购方式适用情形的；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（二）出现影响采购公正的违法、违规行为的。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5.8.1成交原则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服务商得分相同时，以价格低者排名靠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5.9磋商议程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5.9.1准备会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采购人、评审委员会和监督人参加。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准备会由采购人主持。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采购人在准备会现场确定评审委员会负责人、磋商会主持人、记录人等。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评审委员会主任职责是宣布评标纪律、成交人等内容。评审委员会主任参与评审则与其他专家的权利相同。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主持人职责是按本采购文件规定的程序主持磋商会。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记录人职责是对整个磋商会情况进行记录。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5.10磋商会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请参加磋商的潜在服务商代表在政采云平台签到。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招标代理机构宣读服务商响应文件上传时间。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开标会主持人宣布响应文件上传时间是否符合竞争性磋商文件要求。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监督人对响应文件是否按竞争性磋商文件规定进行核查。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服务商在规定的时间内解密响应文件，唱标人宣布响应文件中的报价。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电子评审阶段。</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5.11评审准备会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评审委员会对磋商文件依据《响应文件完备性及符合性审查表》进行初审。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评审委员会对通过初审的响应文件依据打分表（附后）进行详审。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汇总出各潜在服务商最终得分。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评审委员会负责人宣布各潜在服务商最终得分并按有关条款规定宣布成交人。</w:t>
      </w:r>
    </w:p>
    <w:p>
      <w:pPr>
        <w:spacing w:line="360" w:lineRule="auto"/>
        <w:ind w:firstLine="420" w:firstLineChars="200"/>
        <w:jc w:val="center"/>
        <w:rPr>
          <w:rFonts w:hint="eastAsia" w:ascii="宋体" w:hAnsi="宋体" w:eastAsia="宋体" w:cs="宋体"/>
          <w:color w:val="auto"/>
          <w:sz w:val="21"/>
          <w:szCs w:val="21"/>
          <w:highlight w:val="none"/>
        </w:rPr>
      </w:pPr>
    </w:p>
    <w:p>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六、成交结果及合同授予</w:t>
      </w:r>
      <w:bookmarkEnd w:id="30"/>
      <w:bookmarkEnd w:id="31"/>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6.1成交结果</w:t>
      </w:r>
    </w:p>
    <w:p>
      <w:pPr>
        <w:pStyle w:val="3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磋商结束后，成交结果信息将在</w:t>
      </w:r>
      <w:r>
        <w:rPr>
          <w:rFonts w:hint="eastAsia" w:ascii="宋体" w:hAnsi="宋体" w:eastAsia="宋体" w:cs="宋体"/>
          <w:b/>
          <w:color w:val="auto"/>
          <w:sz w:val="21"/>
          <w:szCs w:val="21"/>
          <w:highlight w:val="none"/>
        </w:rPr>
        <w:t>磋商须知前附表1</w:t>
      </w:r>
      <w:r>
        <w:rPr>
          <w:rFonts w:hint="eastAsia" w:ascii="宋体" w:hAnsi="宋体" w:eastAsia="宋体" w:cs="宋体"/>
          <w:color w:val="auto"/>
          <w:sz w:val="21"/>
          <w:szCs w:val="21"/>
          <w:highlight w:val="none"/>
        </w:rPr>
        <w:t>规定的媒体上公布。</w:t>
      </w:r>
      <w:r>
        <w:rPr>
          <w:rFonts w:hint="eastAsia" w:ascii="宋体" w:hAnsi="宋体" w:eastAsia="宋体" w:cs="宋体"/>
          <w:color w:val="auto"/>
          <w:sz w:val="21"/>
          <w:szCs w:val="21"/>
          <w:highlight w:val="none"/>
          <w:lang w:val="zh-CN"/>
        </w:rPr>
        <w:t>同时向成交供应商发出成交通知书，该通知书将是合同的组成部分。</w:t>
      </w:r>
    </w:p>
    <w:p>
      <w:pPr>
        <w:pStyle w:val="34"/>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6.2签订合同</w:t>
      </w:r>
    </w:p>
    <w:p>
      <w:pPr>
        <w:pStyle w:val="34"/>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6.2.1 成交供应商应按成交通知书规定的时间、地点与采购人签订书面合同。</w:t>
      </w:r>
    </w:p>
    <w:p>
      <w:pPr>
        <w:pStyle w:val="34"/>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6.2.2 </w:t>
      </w:r>
      <w:r>
        <w:rPr>
          <w:rFonts w:hint="eastAsia" w:ascii="宋体" w:hAnsi="宋体" w:eastAsia="宋体" w:cs="宋体"/>
          <w:color w:val="auto"/>
          <w:sz w:val="21"/>
          <w:szCs w:val="21"/>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32"/>
        <w:jc w:val="center"/>
        <w:rPr>
          <w:rFonts w:hint="eastAsia" w:ascii="宋体" w:hAnsi="宋体" w:eastAsia="宋体" w:cs="宋体"/>
          <w:color w:val="auto"/>
          <w:sz w:val="21"/>
          <w:szCs w:val="21"/>
          <w:highlight w:val="none"/>
        </w:rPr>
      </w:pPr>
      <w:bookmarkStart w:id="39" w:name="_Toc32267"/>
      <w:bookmarkStart w:id="40" w:name="_Toc256000011"/>
      <w:r>
        <w:rPr>
          <w:rFonts w:hint="eastAsia" w:ascii="宋体" w:hAnsi="宋体" w:eastAsia="宋体" w:cs="宋体"/>
          <w:color w:val="auto"/>
          <w:sz w:val="21"/>
          <w:szCs w:val="21"/>
          <w:highlight w:val="none"/>
        </w:rPr>
        <w:t>七、质疑与投诉</w:t>
      </w:r>
      <w:bookmarkEnd w:id="39"/>
      <w:bookmarkEnd w:id="40"/>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供应商认为采购文件、采购过程、中标或者成交结果使自己的权益受到损害的，可以在知道或者应知其权益受到损害之日起7个工作日内，以书面形式向采购人、采购代理机构提出质疑。</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7.2供应商若认为磋商文件、磋商过程和成交结果使自己的权益受到损害，应在以下规定时间内以书面形式向采购机构提出：</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（1）对可以质疑的磋商文件提出质疑的，应当自收到磋商文件之日或者磋商文件公告期限届满之日起七个工作日内；</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（2）对磋商过程提出质疑的，应当在各磋商程序环节结束之日起七个工作日内；</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（3）对成交结果提出质疑的，应当在成交结果公告期限届满之日起七个工作日内提出；</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（4）磋商文件或法律法规规定的其他时间内。</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供应商提出质疑的，应当有明确的请求和必要的证明材料，并提供质疑书原件。招标采购单位向质疑供应商签收回执。</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质疑书应当由质疑供应商法定代表人或授权代表人签字并加盖公章，质疑书由授权代表人签字的应附法定代表人授权书。</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采购机构将在签收回执之日起七个工作日内作出书面答复，并以书面形式通知与质疑处理结果有关的供应商。</w:t>
      </w:r>
    </w:p>
    <w:p>
      <w:pPr>
        <w:pStyle w:val="34"/>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bookmarkStart w:id="41" w:name="_Toc256000012"/>
      <w:bookmarkStart w:id="42" w:name="_Toc9458"/>
    </w:p>
    <w:p>
      <w:pPr>
        <w:pStyle w:val="34"/>
        <w:tabs>
          <w:tab w:val="left" w:pos="420"/>
          <w:tab w:val="left" w:pos="7560"/>
          <w:tab w:val="left" w:pos="7740"/>
          <w:tab w:val="left" w:pos="7920"/>
        </w:tabs>
        <w:adjustRightInd w:val="0"/>
        <w:snapToGrid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八、其他规定</w:t>
      </w:r>
      <w:bookmarkEnd w:id="41"/>
      <w:bookmarkEnd w:id="42"/>
    </w:p>
    <w:p>
      <w:pPr>
        <w:pStyle w:val="34"/>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磋商文件的其他规定见</w:t>
      </w:r>
      <w:r>
        <w:rPr>
          <w:rFonts w:hint="eastAsia" w:ascii="宋体" w:hAnsi="宋体" w:eastAsia="宋体" w:cs="宋体"/>
          <w:b/>
          <w:color w:val="auto"/>
          <w:sz w:val="21"/>
          <w:szCs w:val="21"/>
          <w:highlight w:val="none"/>
        </w:rPr>
        <w:t>磋商须知前附1</w:t>
      </w:r>
    </w:p>
    <w:bookmarkEnd w:id="9"/>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43" w:name="_Toc256000013"/>
      <w:bookmarkStart w:id="44" w:name="_Toc529952598"/>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
        <w:bidi w:val="0"/>
        <w:rPr>
          <w:rFonts w:hint="eastAsia"/>
        </w:rPr>
      </w:pPr>
      <w:r>
        <w:rPr>
          <w:rFonts w:hint="eastAsia"/>
        </w:rPr>
        <w:t>第三章 评审方法（综合评分法）</w:t>
      </w:r>
      <w:bookmarkEnd w:id="43"/>
      <w:bookmarkEnd w:id="44"/>
    </w:p>
    <w:p>
      <w:pPr>
        <w:numPr>
          <w:ilvl w:val="0"/>
          <w:numId w:val="8"/>
        </w:numPr>
        <w:tabs>
          <w:tab w:val="left" w:pos="567"/>
          <w:tab w:val="clear" w:pos="851"/>
        </w:tabs>
        <w:snapToGrid w:val="0"/>
        <w:spacing w:line="360" w:lineRule="auto"/>
        <w:rPr>
          <w:rFonts w:hint="eastAsia" w:ascii="宋体" w:hAnsi="宋体" w:eastAsia="宋体" w:cs="宋体"/>
          <w:b/>
          <w:color w:val="auto"/>
          <w:sz w:val="21"/>
          <w:szCs w:val="21"/>
          <w:highlight w:val="none"/>
          <w:lang w:eastAsia="zh-TW"/>
        </w:rPr>
      </w:pPr>
      <w:r>
        <w:rPr>
          <w:rFonts w:hint="eastAsia" w:ascii="宋体" w:hAnsi="宋体" w:eastAsia="宋体" w:cs="宋体"/>
          <w:b/>
          <w:color w:val="auto"/>
          <w:sz w:val="21"/>
          <w:szCs w:val="21"/>
          <w:highlight w:val="none"/>
        </w:rPr>
        <w:t>磋商小组</w:t>
      </w:r>
    </w:p>
    <w:p>
      <w:pPr>
        <w:numPr>
          <w:ilvl w:val="1"/>
          <w:numId w:val="8"/>
        </w:numPr>
        <w:tabs>
          <w:tab w:val="left" w:pos="567"/>
          <w:tab w:val="clear" w:pos="851"/>
        </w:tabs>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本次磋商按照磋商须知前附表第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项规定依法组建磋商小组。</w:t>
      </w:r>
    </w:p>
    <w:p>
      <w:pPr>
        <w:numPr>
          <w:ilvl w:val="1"/>
          <w:numId w:val="8"/>
        </w:numPr>
        <w:tabs>
          <w:tab w:val="left" w:pos="567"/>
          <w:tab w:val="clear" w:pos="851"/>
        </w:tabs>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所有成员集中对响应文件进行审查，与每个供应商的响应文件进行先商务技术条件后价格的磋商，本次磋商采用一轮磋商，两次报价形式进行。磋商小组也可视实际情况确定磋商轮次（报价最多不超过3轮），并提交评审报告及推荐中标供应商。</w:t>
      </w:r>
    </w:p>
    <w:p>
      <w:pPr>
        <w:numPr>
          <w:ilvl w:val="1"/>
          <w:numId w:val="8"/>
        </w:numPr>
        <w:tabs>
          <w:tab w:val="left" w:pos="567"/>
          <w:tab w:val="clear" w:pos="851"/>
        </w:tabs>
        <w:snapToGrid w:val="0"/>
        <w:spacing w:line="360" w:lineRule="auto"/>
        <w:ind w:left="567" w:hanging="567"/>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磋商小组名单在磋商结果确定前严格保密。</w:t>
      </w:r>
    </w:p>
    <w:p>
      <w:pPr>
        <w:numPr>
          <w:ilvl w:val="0"/>
          <w:numId w:val="8"/>
        </w:numPr>
        <w:tabs>
          <w:tab w:val="left" w:pos="567"/>
          <w:tab w:val="clear" w:pos="851"/>
        </w:tabs>
        <w:snapToGrid w:val="0"/>
        <w:spacing w:line="360" w:lineRule="auto"/>
        <w:rPr>
          <w:rFonts w:hint="eastAsia" w:ascii="宋体" w:hAnsi="宋体" w:eastAsia="宋体" w:cs="宋体"/>
          <w:b/>
          <w:color w:val="auto"/>
          <w:sz w:val="21"/>
          <w:szCs w:val="21"/>
          <w:highlight w:val="none"/>
          <w:lang w:eastAsia="zh-TW"/>
        </w:rPr>
      </w:pPr>
      <w:r>
        <w:rPr>
          <w:rFonts w:hint="eastAsia" w:ascii="宋体" w:hAnsi="宋体" w:eastAsia="宋体" w:cs="宋体"/>
          <w:b/>
          <w:color w:val="auto"/>
          <w:sz w:val="21"/>
          <w:szCs w:val="21"/>
          <w:highlight w:val="none"/>
        </w:rPr>
        <w:t>评审方法：综合评分法。</w:t>
      </w:r>
    </w:p>
    <w:p>
      <w:pPr>
        <w:numPr>
          <w:ilvl w:val="0"/>
          <w:numId w:val="8"/>
        </w:numPr>
        <w:tabs>
          <w:tab w:val="left" w:pos="567"/>
          <w:tab w:val="clear" w:pos="851"/>
        </w:tabs>
        <w:snapToGrid w:val="0"/>
        <w:spacing w:line="360" w:lineRule="auto"/>
        <w:rPr>
          <w:rFonts w:hint="eastAsia" w:ascii="宋体" w:hAnsi="宋体" w:eastAsia="宋体" w:cs="宋体"/>
          <w:b/>
          <w:color w:val="auto"/>
          <w:sz w:val="21"/>
          <w:szCs w:val="21"/>
          <w:highlight w:val="none"/>
          <w:lang w:eastAsia="zh-TW"/>
        </w:rPr>
      </w:pPr>
      <w:r>
        <w:rPr>
          <w:rFonts w:hint="eastAsia" w:ascii="宋体" w:hAnsi="宋体" w:eastAsia="宋体" w:cs="宋体"/>
          <w:b/>
          <w:color w:val="auto"/>
          <w:sz w:val="21"/>
          <w:szCs w:val="21"/>
          <w:highlight w:val="none"/>
        </w:rPr>
        <w:t>评审程序</w:t>
      </w:r>
    </w:p>
    <w:p>
      <w:pPr>
        <w:tabs>
          <w:tab w:val="left" w:pos="567"/>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3.1 </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确定磋商次序</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按照供应商签到的先后顺序作为磋商的先后顺序。</w:t>
      </w:r>
    </w:p>
    <w:p>
      <w:pPr>
        <w:tabs>
          <w:tab w:val="left" w:pos="567"/>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3.2 </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磋商小组确认磋商文件</w:t>
      </w:r>
    </w:p>
    <w:p>
      <w:pPr>
        <w:tabs>
          <w:tab w:val="left" w:pos="567"/>
        </w:tabs>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3.3 </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资格、符合性审查</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pPr>
        <w:tabs>
          <w:tab w:val="left" w:pos="567"/>
        </w:tabs>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3.4</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磋商</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3.4.1</w:t>
      </w:r>
      <w:r>
        <w:rPr>
          <w:rFonts w:hint="eastAsia" w:ascii="宋体" w:hAnsi="宋体" w:eastAsia="宋体" w:cs="宋体"/>
          <w:color w:val="auto"/>
          <w:sz w:val="21"/>
          <w:szCs w:val="21"/>
          <w:highlight w:val="none"/>
        </w:rPr>
        <w:t>磋商文件未发生实质性变动的：</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3.4.2磋商文件发生实质性变动的：</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（1）书面通知变更内容</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w:t>
      </w:r>
    </w:p>
    <w:p>
      <w:pPr>
        <w:snapToGrid w:val="0"/>
        <w:spacing w:line="360" w:lineRule="auto"/>
        <w:ind w:left="567" w:leftChars="27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（3）重新提交响应文件（含报价）</w:t>
      </w:r>
    </w:p>
    <w:p>
      <w:pPr>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w:t>
      </w:r>
    </w:p>
    <w:p>
      <w:pPr>
        <w:snapToGrid w:val="0"/>
        <w:spacing w:line="360" w:lineRule="auto"/>
        <w:ind w:firstLine="630" w:firstLineChars="300"/>
        <w:rPr>
          <w:rFonts w:hint="eastAsia" w:ascii="宋体" w:hAnsi="宋体" w:eastAsia="宋体" w:cs="宋体"/>
          <w:color w:val="auto"/>
          <w:sz w:val="21"/>
          <w:szCs w:val="21"/>
          <w:highlight w:val="none"/>
        </w:rPr>
      </w:pPr>
    </w:p>
    <w:p>
      <w:pPr>
        <w:snapToGrid w:val="0"/>
        <w:spacing w:line="360" w:lineRule="auto"/>
        <w:ind w:firstLine="630" w:firstLineChars="300"/>
        <w:rPr>
          <w:rFonts w:hint="eastAsia" w:ascii="宋体" w:hAnsi="宋体" w:eastAsia="宋体" w:cs="宋体"/>
          <w:color w:val="auto"/>
          <w:sz w:val="21"/>
          <w:szCs w:val="21"/>
          <w:highlight w:val="none"/>
        </w:rPr>
      </w:pPr>
    </w:p>
    <w:p>
      <w:pPr>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代表签字或者加盖公章。由授权代表签字的，应当附法定代表人授权书。供应商为自然人的，应当由本人签字并附身份证明。</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若供应商未按《磋商纪要》的要求对相关问题进行响应的，视为非实质性响应磋商文件。</w:t>
      </w:r>
    </w:p>
    <w:p>
      <w:pPr>
        <w:tabs>
          <w:tab w:val="left" w:pos="567"/>
        </w:tabs>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  公布最终报价</w:t>
      </w:r>
    </w:p>
    <w:p>
      <w:pPr>
        <w:snapToGrid w:val="0"/>
        <w:spacing w:line="360" w:lineRule="auto"/>
        <w:ind w:left="567" w:left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除非在磋商中磋商小组调整或修改采购需求内容，否则采购人不接受高于前面轮次磋商报价的最终报价。最终报价内容现场公布。</w:t>
      </w:r>
    </w:p>
    <w:p>
      <w:pPr>
        <w:tabs>
          <w:tab w:val="left" w:pos="567"/>
        </w:tabs>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最终方案评审</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3.6.1综</w:t>
      </w:r>
      <w:r>
        <w:rPr>
          <w:rFonts w:hint="eastAsia" w:ascii="宋体" w:hAnsi="宋体" w:eastAsia="宋体" w:cs="宋体"/>
          <w:color w:val="auto"/>
          <w:sz w:val="21"/>
          <w:szCs w:val="21"/>
          <w:highlight w:val="none"/>
        </w:rPr>
        <w:t>合评分法评审步骤</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经磋商确定最终采购需求和提交最后报价的供应商后，由磋商小组采用综合评分法对提交最后报价的供应商的响应文件和最后报价进行综合评分。</w:t>
      </w:r>
      <w:r>
        <w:rPr>
          <w:rFonts w:hint="eastAsia" w:ascii="宋体" w:hAnsi="宋体" w:eastAsia="宋体" w:cs="宋体"/>
          <w:b/>
          <w:color w:val="auto"/>
          <w:sz w:val="21"/>
          <w:szCs w:val="21"/>
          <w:highlight w:val="none"/>
        </w:rPr>
        <w:t>先进行资格、符合性审查，再进行技术、商务及价格的详细评审。</w:t>
      </w:r>
      <w:r>
        <w:rPr>
          <w:rFonts w:hint="eastAsia" w:ascii="宋体" w:hAnsi="宋体" w:eastAsia="宋体" w:cs="宋体"/>
          <w:color w:val="auto"/>
          <w:sz w:val="21"/>
          <w:szCs w:val="21"/>
          <w:highlight w:val="none"/>
        </w:rPr>
        <w:t>只有通过资格、符合性审查的供应商才能进入下一步的详细评审。</w:t>
      </w:r>
    </w:p>
    <w:p>
      <w:pPr>
        <w:numPr>
          <w:ilvl w:val="1"/>
          <w:numId w:val="9"/>
        </w:numPr>
        <w:spacing w:line="360" w:lineRule="auto"/>
        <w:ind w:left="748" w:hanging="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资格审查表（详见附表一）</w:t>
      </w:r>
    </w:p>
    <w:p>
      <w:pPr>
        <w:numPr>
          <w:ilvl w:val="1"/>
          <w:numId w:val="9"/>
        </w:numPr>
        <w:spacing w:line="360" w:lineRule="auto"/>
        <w:ind w:left="748" w:hanging="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符合性审查表（详见附表二）</w:t>
      </w:r>
    </w:p>
    <w:p>
      <w:pPr>
        <w:numPr>
          <w:ilvl w:val="1"/>
          <w:numId w:val="9"/>
        </w:numPr>
        <w:spacing w:line="360" w:lineRule="auto"/>
        <w:ind w:left="748" w:hanging="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技术评审表（详见附表三）</w:t>
      </w:r>
    </w:p>
    <w:p>
      <w:pPr>
        <w:numPr>
          <w:ilvl w:val="1"/>
          <w:numId w:val="9"/>
        </w:numPr>
        <w:spacing w:line="360" w:lineRule="auto"/>
        <w:ind w:left="748" w:hanging="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商务评审表（详见附表四）</w:t>
      </w:r>
    </w:p>
    <w:p>
      <w:pPr>
        <w:numPr>
          <w:ilvl w:val="1"/>
          <w:numId w:val="9"/>
        </w:numPr>
        <w:spacing w:line="360" w:lineRule="auto"/>
        <w:ind w:left="748" w:hanging="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价格评审</w:t>
      </w:r>
    </w:p>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3.6.2比较与评价</w:t>
      </w:r>
    </w:p>
    <w:p>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磋商小组按磋商文件中规定的评审方法和标准，对资格、符合性审查合格的响应文件进行商务和技术评估，综合比较与评价。技术、商务、价格部分分值分配如下：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评分项目</w:t>
            </w:r>
          </w:p>
        </w:tc>
        <w:tc>
          <w:tcPr>
            <w:tcW w:w="1889"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技术评分</w:t>
            </w:r>
          </w:p>
        </w:tc>
        <w:tc>
          <w:tcPr>
            <w:tcW w:w="1701"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商务评分</w:t>
            </w:r>
          </w:p>
        </w:tc>
        <w:tc>
          <w:tcPr>
            <w:tcW w:w="1701" w:type="dxa"/>
            <w:noWrap w:val="0"/>
            <w:vAlign w:val="center"/>
          </w:tcPr>
          <w:p>
            <w:pPr>
              <w:autoSpaceDE w:val="0"/>
              <w:autoSpaceDN w:val="0"/>
              <w:adjustRightInd w:val="0"/>
              <w:spacing w:line="360" w:lineRule="auto"/>
              <w:ind w:left="1" w:leftChars="-51" w:hanging="108" w:hangingChars="5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价格评分</w:t>
            </w:r>
          </w:p>
        </w:tc>
        <w:tc>
          <w:tcPr>
            <w:tcW w:w="160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权重</w:t>
            </w:r>
          </w:p>
        </w:tc>
        <w:tc>
          <w:tcPr>
            <w:tcW w:w="1889"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0%</w:t>
            </w:r>
          </w:p>
        </w:tc>
        <w:tc>
          <w:tcPr>
            <w:tcW w:w="1701"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rPr>
              <w:t>0%</w:t>
            </w:r>
          </w:p>
        </w:tc>
        <w:tc>
          <w:tcPr>
            <w:tcW w:w="1701"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0%</w:t>
            </w:r>
          </w:p>
        </w:tc>
        <w:tc>
          <w:tcPr>
            <w:tcW w:w="160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c>
          <w:tcPr>
            <w:tcW w:w="1889"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0分</w:t>
            </w:r>
          </w:p>
        </w:tc>
        <w:tc>
          <w:tcPr>
            <w:tcW w:w="1701"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分</w:t>
            </w:r>
          </w:p>
        </w:tc>
        <w:tc>
          <w:tcPr>
            <w:tcW w:w="1701"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40</w:t>
            </w:r>
            <w:r>
              <w:rPr>
                <w:rFonts w:hint="eastAsia" w:ascii="宋体" w:hAnsi="宋体" w:eastAsia="宋体" w:cs="宋体"/>
                <w:b/>
                <w:color w:val="auto"/>
                <w:kern w:val="0"/>
                <w:sz w:val="21"/>
                <w:szCs w:val="21"/>
                <w:highlight w:val="none"/>
              </w:rPr>
              <w:t>分</w:t>
            </w:r>
          </w:p>
        </w:tc>
        <w:tc>
          <w:tcPr>
            <w:tcW w:w="1609" w:type="dxa"/>
            <w:noWrap w:val="0"/>
            <w:vAlign w:val="center"/>
          </w:tcPr>
          <w:p>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100分</w:t>
            </w:r>
          </w:p>
        </w:tc>
      </w:tr>
    </w:tbl>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具体打分标准如下：</w:t>
      </w:r>
    </w:p>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（1）技术、商务评分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磋商小组分别对各供应商的技术、商务响应文件中的各项内容进行评议比较，详细对比其技术、商务方案等各种因素方面是否满足磋商文件的要求。在技术、商务评审表的相应项各自记名打分。</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（2）技术商务得分统计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将所有磋商小组的技术评分的算术平均值即为每个有效供应商的技术得分（四舍五入后，精确到0.01）。</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将所有磋商小组的商务评分的算术平均值即为每个有效供应商的商务得分（四舍五入后，精确到0.01）。</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将技术得分、商务得分相加乘于对应权重得出商务技术得分。</w:t>
      </w:r>
    </w:p>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（3）价格核准和评分</w:t>
      </w:r>
    </w:p>
    <w:p>
      <w:pPr>
        <w:pStyle w:val="40"/>
        <w:numPr>
          <w:ilvl w:val="0"/>
          <w:numId w:val="10"/>
        </w:numPr>
        <w:snapToGrid w:val="0"/>
        <w:spacing w:line="360" w:lineRule="auto"/>
        <w:ind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价格的核准</w:t>
      </w:r>
    </w:p>
    <w:p>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供应商不得以低于成本的报价竞争 (若报价明显低于其成本（报价低于采购预算80%（含）以下），供应商应能做出合理说明)。如果磋商小组发现供应商的报价明显低于其他供应商的，使得</w:t>
      </w:r>
    </w:p>
    <w:p>
      <w:pPr>
        <w:snapToGrid w:val="0"/>
        <w:spacing w:line="360" w:lineRule="auto"/>
        <w:ind w:firstLine="411" w:firstLineChars="196"/>
        <w:rPr>
          <w:rFonts w:hint="eastAsia" w:ascii="宋体" w:hAnsi="宋体" w:eastAsia="宋体" w:cs="宋体"/>
          <w:color w:val="auto"/>
          <w:sz w:val="21"/>
          <w:szCs w:val="21"/>
          <w:highlight w:val="none"/>
        </w:rPr>
      </w:pPr>
    </w:p>
    <w:p>
      <w:pPr>
        <w:snapToGrid w:val="0"/>
        <w:spacing w:line="360" w:lineRule="auto"/>
        <w:ind w:firstLine="411" w:firstLineChars="196"/>
        <w:rPr>
          <w:rFonts w:hint="eastAsia" w:ascii="宋体" w:hAnsi="宋体" w:eastAsia="宋体" w:cs="宋体"/>
          <w:color w:val="auto"/>
          <w:sz w:val="21"/>
          <w:szCs w:val="21"/>
          <w:highlight w:val="none"/>
        </w:rPr>
      </w:pPr>
    </w:p>
    <w:p>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磋商小组先对入围供应商的最后报价进行复核，审查其是否有计算上的错误，修正错误的原则如下</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按上述修正错误的方法调整后的最后报价，对供应商具有约束力。如果供应商不接受修正后的价格，则其响应文件作无效处理。</w:t>
      </w:r>
    </w:p>
    <w:p>
      <w:pPr>
        <w:pStyle w:val="40"/>
        <w:numPr>
          <w:ilvl w:val="0"/>
          <w:numId w:val="10"/>
        </w:numPr>
        <w:tabs>
          <w:tab w:val="left" w:pos="570"/>
        </w:tabs>
        <w:snapToGrid w:val="0"/>
        <w:spacing w:line="360" w:lineRule="auto"/>
        <w:ind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政策价格扣除</w:t>
      </w:r>
    </w:p>
    <w:p>
      <w:pPr>
        <w:tabs>
          <w:tab w:val="left" w:pos="1050"/>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1.小型和微型企业产品价格扣除</w:t>
      </w:r>
    </w:p>
    <w:p>
      <w:pPr>
        <w:numPr>
          <w:ilvl w:val="1"/>
          <w:numId w:val="11"/>
        </w:numPr>
        <w:tabs>
          <w:tab w:val="left" w:pos="1050"/>
        </w:tabs>
        <w:spacing w:line="360" w:lineRule="auto"/>
        <w:ind w:left="10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根据财务部、工业和信息化部印发的《政府采购促进中小企业发展暂行办法》（财库[2014]181号）的规定，对小型和微型企业产品的价格给予</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numPr>
          <w:ilvl w:val="1"/>
          <w:numId w:val="11"/>
        </w:numPr>
        <w:tabs>
          <w:tab w:val="left" w:pos="1050"/>
        </w:tabs>
        <w:spacing w:line="360" w:lineRule="auto"/>
        <w:ind w:left="10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《政府采购促进中小企业发展暂行办法》所称中小企业（含中型、小型、微型企业，下同）应当同时符合以下条件：</w:t>
      </w:r>
    </w:p>
    <w:p>
      <w:pPr>
        <w:spacing w:line="360" w:lineRule="auto"/>
        <w:ind w:left="63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①符合中小企业划分标准；</w:t>
      </w:r>
    </w:p>
    <w:p>
      <w:pPr>
        <w:spacing w:line="360" w:lineRule="auto"/>
        <w:ind w:left="630"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②提供本企业制造的货物、承担的工程或者服务，或者提供其他中小企业制造的货物。本项所称货物不包括使用大型企业注册商标的货物。</w:t>
      </w:r>
    </w:p>
    <w:p>
      <w:pPr>
        <w:spacing w:line="360" w:lineRule="auto"/>
        <w:ind w:left="630"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pPr>
        <w:numPr>
          <w:ilvl w:val="0"/>
          <w:numId w:val="0"/>
        </w:numPr>
        <w:spacing w:line="360" w:lineRule="auto"/>
        <w:ind w:left="1110" w:lef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③</w:t>
      </w:r>
      <w:r>
        <w:rPr>
          <w:rFonts w:hint="eastAsia" w:ascii="宋体" w:hAnsi="宋体" w:eastAsia="宋体" w:cs="宋体"/>
          <w:bCs/>
          <w:color w:val="auto"/>
          <w:sz w:val="21"/>
          <w:szCs w:val="21"/>
          <w:highlight w:val="none"/>
        </w:rPr>
        <w:t>参加政府采购活动的中小企业应当提供《中小企业声明函》</w:t>
      </w:r>
    </w:p>
    <w:p>
      <w:pPr>
        <w:tabs>
          <w:tab w:val="left" w:pos="1050"/>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2.监狱企业产品价格扣除</w:t>
      </w:r>
    </w:p>
    <w:p>
      <w:pPr>
        <w:numPr>
          <w:ilvl w:val="0"/>
          <w:numId w:val="12"/>
        </w:numPr>
        <w:tabs>
          <w:tab w:val="left" w:pos="105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监狱企业视同小型、微型企业，按上述1.的a)条款享受评审中价格扣除。</w:t>
      </w:r>
    </w:p>
    <w:p>
      <w:pPr>
        <w:numPr>
          <w:ilvl w:val="0"/>
          <w:numId w:val="12"/>
        </w:numPr>
        <w:tabs>
          <w:tab w:val="left" w:pos="105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0"/>
          <w:numId w:val="12"/>
        </w:numPr>
        <w:tabs>
          <w:tab w:val="left" w:pos="105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3.残疾人福利性单位产品价格扣除</w:t>
      </w:r>
    </w:p>
    <w:p>
      <w:pPr>
        <w:numPr>
          <w:ilvl w:val="0"/>
          <w:numId w:val="0"/>
        </w:numPr>
        <w:tabs>
          <w:tab w:val="left" w:pos="1050"/>
        </w:tabs>
        <w:spacing w:line="360" w:lineRule="auto"/>
        <w:ind w:left="420" w:leftChars="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a)</w:t>
      </w:r>
      <w:r>
        <w:rPr>
          <w:rFonts w:hint="eastAsia" w:ascii="宋体" w:hAnsi="宋体" w:eastAsia="宋体" w:cs="宋体"/>
          <w:bCs/>
          <w:color w:val="auto"/>
          <w:sz w:val="21"/>
          <w:szCs w:val="21"/>
          <w:highlight w:val="none"/>
        </w:rPr>
        <w:t>残疾人福利性单位视同小型、微型企业，按上述1.的a)条款享受评审中价格扣除。</w:t>
      </w:r>
    </w:p>
    <w:p>
      <w:pPr>
        <w:numPr>
          <w:ilvl w:val="0"/>
          <w:numId w:val="0"/>
        </w:numPr>
        <w:tabs>
          <w:tab w:val="left" w:pos="1050"/>
        </w:tabs>
        <w:spacing w:line="360" w:lineRule="auto"/>
        <w:rPr>
          <w:rFonts w:hint="eastAsia" w:ascii="宋体" w:hAnsi="宋体" w:cs="宋体"/>
          <w:bCs/>
          <w:color w:val="auto"/>
          <w:sz w:val="21"/>
          <w:szCs w:val="21"/>
          <w:highlight w:val="none"/>
          <w:lang w:val="en-US" w:eastAsia="zh-CN"/>
        </w:rPr>
      </w:pPr>
    </w:p>
    <w:p>
      <w:pPr>
        <w:numPr>
          <w:ilvl w:val="0"/>
          <w:numId w:val="0"/>
        </w:numPr>
        <w:tabs>
          <w:tab w:val="left" w:pos="1050"/>
        </w:tabs>
        <w:spacing w:line="360" w:lineRule="auto"/>
        <w:rPr>
          <w:rFonts w:hint="eastAsia" w:ascii="宋体" w:hAnsi="宋体" w:cs="宋体"/>
          <w:bCs/>
          <w:color w:val="auto"/>
          <w:sz w:val="21"/>
          <w:szCs w:val="21"/>
          <w:highlight w:val="none"/>
          <w:lang w:val="en-US" w:eastAsia="zh-CN"/>
        </w:rPr>
      </w:pPr>
    </w:p>
    <w:p>
      <w:pPr>
        <w:numPr>
          <w:ilvl w:val="0"/>
          <w:numId w:val="0"/>
        </w:numPr>
        <w:tabs>
          <w:tab w:val="left" w:pos="1050"/>
        </w:tabs>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 xml:space="preserve">b) </w:t>
      </w:r>
      <w:r>
        <w:rPr>
          <w:rFonts w:hint="eastAsia" w:ascii="宋体" w:hAnsi="宋体" w:eastAsia="宋体" w:cs="宋体"/>
          <w:bCs/>
          <w:color w:val="auto"/>
          <w:sz w:val="21"/>
          <w:szCs w:val="21"/>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4.供应商同时为小型、微型企业、监狱企业和残疾人福利性单位任两种或以上情况的，评审中只享受一次价格扣除。不重复进行价格扣除。</w:t>
      </w:r>
    </w:p>
    <w:p>
      <w:pPr>
        <w:pStyle w:val="40"/>
        <w:numPr>
          <w:ilvl w:val="0"/>
          <w:numId w:val="10"/>
        </w:numPr>
        <w:snapToGrid w:val="0"/>
        <w:spacing w:line="360" w:lineRule="auto"/>
        <w:ind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价格评分</w:t>
      </w:r>
    </w:p>
    <w:p>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磋商报价得分＝（磋商基准价／最后磋商报价）x 价格权值X 100（精确到0.01）。</w:t>
      </w:r>
    </w:p>
    <w:p>
      <w:pPr>
        <w:tabs>
          <w:tab w:val="left" w:pos="567"/>
        </w:tabs>
        <w:snapToGrid w:val="0"/>
        <w:spacing w:line="360" w:lineRule="auto"/>
        <w:ind w:firstLine="210" w:firstLineChars="100"/>
        <w:rPr>
          <w:rFonts w:hint="eastAsia" w:ascii="宋体" w:hAnsi="宋体" w:eastAsia="宋体" w:cs="宋体"/>
          <w:bCs/>
          <w:color w:val="auto"/>
          <w:sz w:val="21"/>
          <w:szCs w:val="21"/>
          <w:highlight w:val="none"/>
        </w:rPr>
      </w:pPr>
      <w:bookmarkStart w:id="45" w:name="_Toc418701687"/>
      <w:r>
        <w:rPr>
          <w:rFonts w:hint="eastAsia" w:ascii="宋体" w:hAnsi="宋体" w:eastAsia="宋体" w:cs="宋体"/>
          <w:bCs/>
          <w:color w:val="auto"/>
          <w:sz w:val="21"/>
          <w:szCs w:val="21"/>
          <w:highlight w:val="none"/>
        </w:rPr>
        <w:t>4.确定中标供应商</w:t>
      </w:r>
      <w:bookmarkEnd w:id="45"/>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采购人将根据评审结果，确定中标供应商。采购代理机构受采购人委托在规定的媒体</w:t>
      </w:r>
      <w:r>
        <w:rPr>
          <w:rFonts w:hint="eastAsia" w:ascii="宋体" w:hAnsi="宋体" w:eastAsia="宋体" w:cs="宋体"/>
          <w:bCs/>
          <w:color w:val="auto"/>
          <w:sz w:val="21"/>
          <w:szCs w:val="21"/>
          <w:highlight w:val="none"/>
        </w:rPr>
        <w:t>上发布中标公告，同时</w:t>
      </w:r>
      <w:r>
        <w:rPr>
          <w:rFonts w:hint="eastAsia" w:ascii="宋体" w:hAnsi="宋体" w:eastAsia="宋体" w:cs="宋体"/>
          <w:color w:val="auto"/>
          <w:sz w:val="21"/>
          <w:szCs w:val="21"/>
          <w:highlight w:val="none"/>
        </w:rPr>
        <w:t>向中标供应商发出书面《中标通知书》，向所有</w:t>
      </w:r>
      <w:r>
        <w:rPr>
          <w:rFonts w:hint="eastAsia" w:ascii="宋体" w:hAnsi="宋体" w:eastAsia="宋体" w:cs="宋体"/>
          <w:bCs/>
          <w:color w:val="auto"/>
          <w:sz w:val="21"/>
          <w:szCs w:val="21"/>
          <w:highlight w:val="none"/>
        </w:rPr>
        <w:t>未中标供应商</w:t>
      </w:r>
      <w:r>
        <w:rPr>
          <w:rFonts w:hint="eastAsia" w:ascii="宋体" w:hAnsi="宋体" w:eastAsia="宋体" w:cs="宋体"/>
          <w:color w:val="auto"/>
          <w:sz w:val="21"/>
          <w:szCs w:val="21"/>
          <w:highlight w:val="none"/>
        </w:rPr>
        <w:t>发出《中标结果通知书》。</w:t>
      </w:r>
    </w:p>
    <w:p>
      <w:pPr>
        <w:spacing w:line="360" w:lineRule="auto"/>
        <w:rPr>
          <w:rFonts w:hint="eastAsia" w:ascii="宋体" w:hAnsi="宋体" w:eastAsia="宋体" w:cs="宋体"/>
          <w:color w:val="auto"/>
          <w:sz w:val="21"/>
          <w:szCs w:val="21"/>
          <w:highlight w:val="none"/>
        </w:rPr>
      </w:pPr>
    </w:p>
    <w:p>
      <w:pPr>
        <w:adjustRightInd w:val="0"/>
        <w:snapToGrid w:val="0"/>
        <w:spacing w:line="360" w:lineRule="auto"/>
        <w:outlineLvl w:val="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sz w:val="21"/>
          <w:szCs w:val="21"/>
          <w:highlight w:val="none"/>
        </w:rPr>
        <w:t>附表一：资格审查表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永宁镇下岔河村人居环境整治项目</w:t>
      </w: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r>
        <w:rPr>
          <w:rFonts w:hint="eastAsia" w:ascii="宋体" w:hAnsi="宋体" w:eastAsia="宋体" w:cs="宋体"/>
          <w:color w:val="auto"/>
          <w:kern w:val="0"/>
          <w:sz w:val="21"/>
          <w:szCs w:val="21"/>
          <w:highlight w:val="none"/>
          <w:lang w:eastAsia="zh-CN"/>
        </w:rPr>
        <w:t>XJZTZFCG(CS)-</w:t>
      </w:r>
      <w:r>
        <w:rPr>
          <w:rFonts w:hint="eastAsia" w:ascii="宋体" w:hAnsi="宋体" w:cs="宋体"/>
          <w:color w:val="auto"/>
          <w:kern w:val="0"/>
          <w:sz w:val="21"/>
          <w:szCs w:val="21"/>
          <w:highlight w:val="none"/>
          <w:lang w:eastAsia="zh-CN"/>
        </w:rPr>
        <w:t>2024-004</w:t>
      </w:r>
      <w:r>
        <w:rPr>
          <w:rFonts w:hint="eastAsia" w:ascii="宋体" w:hAnsi="宋体" w:eastAsia="宋体" w:cs="宋体"/>
          <w:color w:val="auto"/>
          <w:sz w:val="21"/>
          <w:szCs w:val="21"/>
          <w:highlight w:val="none"/>
        </w:rPr>
        <w:t xml:space="preserve">                日期：202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  月  日</w:t>
      </w:r>
    </w:p>
    <w:tbl>
      <w:tblPr>
        <w:tblStyle w:val="23"/>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995"/>
        <w:gridCol w:w="66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5" w:type="dxa"/>
            <w:shd w:val="clear" w:color="auto" w:fill="D9D9D9"/>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674" w:type="dxa"/>
            <w:gridSpan w:val="2"/>
            <w:shd w:val="clear" w:color="auto" w:fill="D9D9D9"/>
            <w:noWrap w:val="0"/>
            <w:vAlign w:val="center"/>
          </w:tcPr>
          <w:p>
            <w:pPr>
              <w:keepNext w:val="0"/>
              <w:keepLines w:val="0"/>
              <w:suppressLineNumbers w:val="0"/>
              <w:spacing w:before="0" w:beforeAutospacing="0" w:after="0" w:afterAutospacing="0"/>
              <w:ind w:left="0" w:right="-124" w:rightChars="-5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8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95" w:type="dxa"/>
            <w:vMerge w:val="restar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8"/>
                <w:sz w:val="21"/>
                <w:szCs w:val="21"/>
                <w:highlight w:val="none"/>
              </w:rPr>
              <w:t>具备《政府采购法》第二十二条供应商资格条件</w:t>
            </w:r>
          </w:p>
        </w:tc>
        <w:tc>
          <w:tcPr>
            <w:tcW w:w="6679" w:type="dxa"/>
            <w:noWrap w:val="0"/>
            <w:vAlign w:val="center"/>
          </w:tcPr>
          <w:p>
            <w:pPr>
              <w:pStyle w:val="22"/>
              <w:keepNext w:val="0"/>
              <w:keepLines w:val="0"/>
              <w:suppressLineNumbers w:val="0"/>
              <w:spacing w:line="360" w:lineRule="auto"/>
              <w:ind w:left="0" w:leftChars="0" w:right="0" w:rightChars="0"/>
              <w:contextualSpacing/>
              <w:rPr>
                <w:rFonts w:hint="default"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具有独立承担民事责任的能力</w:t>
            </w:r>
            <w:r>
              <w:rPr>
                <w:rFonts w:hint="eastAsia" w:cs="宋体"/>
                <w:color w:val="auto"/>
                <w:kern w:val="28"/>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rPr>
            </w:pPr>
          </w:p>
        </w:tc>
        <w:tc>
          <w:tcPr>
            <w:tcW w:w="1995"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rPr>
            </w:pPr>
          </w:p>
        </w:tc>
        <w:tc>
          <w:tcPr>
            <w:tcW w:w="6679" w:type="dxa"/>
            <w:noWrap w:val="0"/>
            <w:vAlign w:val="center"/>
          </w:tcPr>
          <w:p>
            <w:pPr>
              <w:pStyle w:val="22"/>
              <w:keepNext w:val="0"/>
              <w:keepLines w:val="0"/>
              <w:suppressLineNumbers w:val="0"/>
              <w:spacing w:line="360" w:lineRule="auto"/>
              <w:ind w:left="0" w:leftChars="0" w:right="0" w:rightChars="0"/>
              <w:contextualSpacing/>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法定代表人身份证原件或法定代表人授权委托书和委托代理人身份证原件（授权委托书应附上法人和代理人身份证复印件）；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rPr>
            </w:pPr>
          </w:p>
        </w:tc>
        <w:tc>
          <w:tcPr>
            <w:tcW w:w="1995"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rPr>
            </w:pPr>
          </w:p>
        </w:tc>
        <w:tc>
          <w:tcPr>
            <w:tcW w:w="667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提供202</w:t>
            </w:r>
            <w:r>
              <w:rPr>
                <w:rFonts w:hint="eastAsia" w:ascii="宋体" w:hAnsi="宋体" w:cs="宋体"/>
                <w:color w:val="auto"/>
                <w:kern w:val="28"/>
                <w:sz w:val="21"/>
                <w:szCs w:val="21"/>
                <w:highlight w:val="none"/>
                <w:lang w:val="en-US" w:eastAsia="zh-CN" w:bidi="ar-SA"/>
              </w:rPr>
              <w:t>2</w:t>
            </w:r>
            <w:r>
              <w:rPr>
                <w:rFonts w:hint="eastAsia" w:ascii="宋体" w:hAnsi="宋体" w:eastAsia="宋体" w:cs="宋体"/>
                <w:color w:val="auto"/>
                <w:kern w:val="28"/>
                <w:sz w:val="21"/>
                <w:szCs w:val="21"/>
                <w:highlight w:val="none"/>
                <w:lang w:val="en-US" w:eastAsia="zh-CN" w:bidi="ar-SA"/>
              </w:rPr>
              <w:t>年或202</w:t>
            </w:r>
            <w:r>
              <w:rPr>
                <w:rFonts w:hint="eastAsia" w:ascii="宋体" w:hAnsi="宋体" w:cs="宋体"/>
                <w:color w:val="auto"/>
                <w:kern w:val="28"/>
                <w:sz w:val="21"/>
                <w:szCs w:val="21"/>
                <w:highlight w:val="none"/>
                <w:lang w:val="en-US" w:eastAsia="zh-CN" w:bidi="ar-SA"/>
              </w:rPr>
              <w:t>3</w:t>
            </w:r>
            <w:r>
              <w:rPr>
                <w:rFonts w:hint="eastAsia" w:ascii="宋体" w:hAnsi="宋体" w:eastAsia="宋体" w:cs="宋体"/>
                <w:color w:val="auto"/>
                <w:kern w:val="28"/>
                <w:sz w:val="21"/>
                <w:szCs w:val="21"/>
                <w:highlight w:val="none"/>
                <w:lang w:val="en-US" w:eastAsia="zh-CN" w:bidi="ar-SA"/>
              </w:rPr>
              <w:t>年财务状况报告（新成立的公司可不提供）；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rPr>
            </w:pPr>
          </w:p>
        </w:tc>
        <w:tc>
          <w:tcPr>
            <w:tcW w:w="1995"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rPr>
            </w:pPr>
          </w:p>
        </w:tc>
        <w:tc>
          <w:tcPr>
            <w:tcW w:w="6679" w:type="dxa"/>
            <w:noWrap w:val="0"/>
            <w:vAlign w:val="center"/>
          </w:tcPr>
          <w:p>
            <w:pPr>
              <w:pStyle w:val="22"/>
              <w:keepNext w:val="0"/>
              <w:keepLines w:val="0"/>
              <w:suppressLineNumbers w:val="0"/>
              <w:spacing w:line="360" w:lineRule="auto"/>
              <w:ind w:left="0" w:leftChars="0" w:right="0" w:rightChars="0"/>
              <w:contextualSpacing/>
              <w:jc w:val="both"/>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具有履行合同所必需的设备和专业技术能力（提供书面说明）；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rPr>
            </w:pPr>
          </w:p>
        </w:tc>
        <w:tc>
          <w:tcPr>
            <w:tcW w:w="1995"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rPr>
            </w:pPr>
          </w:p>
        </w:tc>
        <w:tc>
          <w:tcPr>
            <w:tcW w:w="667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提供近半年依法缴纳税收的证明（纳税凭证）复印件，如依法免税的，应提供相应文件证明其依法免税（新成立的公司可不提供）；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rPr>
            </w:pPr>
          </w:p>
        </w:tc>
        <w:tc>
          <w:tcPr>
            <w:tcW w:w="1995"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rPr>
            </w:pPr>
          </w:p>
        </w:tc>
        <w:tc>
          <w:tcPr>
            <w:tcW w:w="667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提供近半年依法缴纳社会保险的证明（缴费凭证）复印件，如依法不需要缴纳社会保障资金的，应提供相应文件证明其依法不需要缴纳社会保障资金（新成立的公司可不提供）；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rPr>
            </w:pPr>
          </w:p>
        </w:tc>
        <w:tc>
          <w:tcPr>
            <w:tcW w:w="1995"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rPr>
            </w:pPr>
          </w:p>
        </w:tc>
        <w:tc>
          <w:tcPr>
            <w:tcW w:w="667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具备法律、行政法规规定的其他条件的书面声明；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w:t>
            </w:r>
          </w:p>
        </w:tc>
        <w:tc>
          <w:tcPr>
            <w:tcW w:w="8674" w:type="dxa"/>
            <w:gridSpan w:val="2"/>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FF0000"/>
                <w:sz w:val="21"/>
                <w:szCs w:val="21"/>
                <w:highlight w:val="none"/>
              </w:rPr>
            </w:pPr>
            <w:r>
              <w:rPr>
                <w:rFonts w:hint="eastAsia" w:ascii="宋体" w:hAnsi="宋体" w:eastAsia="宋体" w:cs="宋体"/>
                <w:color w:val="auto"/>
                <w:kern w:val="28"/>
                <w:sz w:val="21"/>
                <w:szCs w:val="21"/>
                <w:highlight w:val="none"/>
                <w:lang w:val="en-US" w:eastAsia="zh-CN" w:bidi="ar-SA"/>
              </w:rPr>
              <w:t>提供《公平竞争承诺书》；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3</w:t>
            </w:r>
          </w:p>
        </w:tc>
        <w:tc>
          <w:tcPr>
            <w:tcW w:w="8674" w:type="dxa"/>
            <w:gridSpan w:val="2"/>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供应商为中小企业，请根据要求单独上传《中小企业声明函》，格式以采购文件要求为准；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4</w:t>
            </w:r>
          </w:p>
        </w:tc>
        <w:tc>
          <w:tcPr>
            <w:tcW w:w="8674" w:type="dxa"/>
            <w:gridSpan w:val="2"/>
            <w:noWrap w:val="0"/>
            <w:vAlign w:val="center"/>
          </w:tcPr>
          <w:p>
            <w:pPr>
              <w:pStyle w:val="30"/>
              <w:keepNext w:val="0"/>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投标人须</w:t>
            </w:r>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val="en-US" w:eastAsia="zh-CN"/>
              </w:rPr>
              <w:t>市政公用工程施工</w:t>
            </w:r>
            <w:r>
              <w:rPr>
                <w:rFonts w:hint="eastAsia" w:ascii="宋体" w:hAnsi="宋体" w:eastAsia="宋体" w:cs="宋体"/>
                <w:color w:val="auto"/>
                <w:sz w:val="21"/>
                <w:szCs w:val="21"/>
                <w:highlight w:val="none"/>
              </w:rPr>
              <w:t>总承包</w:t>
            </w:r>
            <w:r>
              <w:rPr>
                <w:rFonts w:hint="eastAsia" w:ascii="宋体" w:hAnsi="宋体" w:eastAsia="宋体" w:cs="宋体"/>
                <w:color w:val="auto"/>
                <w:sz w:val="21"/>
                <w:szCs w:val="21"/>
                <w:highlight w:val="none"/>
                <w:lang w:eastAsia="zh-CN"/>
              </w:rPr>
              <w:t>叁级（含叁级）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以上资质，具有合格有效的施工企业安全生产许可证，区外企业需提供进疆企业信息报送手续。拟用项目负责人须</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lang w:eastAsia="zh-CN"/>
              </w:rPr>
              <w:t>备</w:t>
            </w:r>
            <w:r>
              <w:rPr>
                <w:rFonts w:hint="eastAsia" w:ascii="宋体" w:hAnsi="宋体" w:cs="宋体"/>
                <w:color w:val="auto"/>
                <w:sz w:val="21"/>
                <w:szCs w:val="21"/>
                <w:highlight w:val="none"/>
                <w:lang w:val="en-US" w:eastAsia="zh-CN"/>
              </w:rPr>
              <w:t>市政公用工程</w:t>
            </w:r>
            <w:r>
              <w:rPr>
                <w:rFonts w:hint="eastAsia" w:ascii="宋体" w:hAnsi="宋体" w:eastAsia="宋体" w:cs="宋体"/>
                <w:color w:val="auto"/>
                <w:sz w:val="21"/>
                <w:szCs w:val="21"/>
                <w:highlight w:val="none"/>
                <w:lang w:eastAsia="zh-CN"/>
              </w:rPr>
              <w:t>专业二级（含二级）及以上注册建造师执业资格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具备有效的安全生产考核合格证书（B类），且未担任其他在施建设工程项目的项目经理。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5</w:t>
            </w:r>
          </w:p>
        </w:tc>
        <w:tc>
          <w:tcPr>
            <w:tcW w:w="8674" w:type="dxa"/>
            <w:gridSpan w:val="2"/>
            <w:noWrap w:val="0"/>
            <w:vAlign w:val="center"/>
          </w:tcPr>
          <w:p>
            <w:pPr>
              <w:pStyle w:val="22"/>
              <w:keepNext w:val="0"/>
              <w:keepLines w:val="0"/>
              <w:suppressLineNumbers w:val="0"/>
              <w:spacing w:line="360" w:lineRule="auto"/>
              <w:ind w:left="0" w:right="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必须提供</w:t>
            </w:r>
            <w:r>
              <w:rPr>
                <w:rFonts w:hint="eastAsia" w:ascii="宋体" w:hAnsi="宋体" w:eastAsia="宋体" w:cs="宋体"/>
                <w:color w:val="auto"/>
                <w:sz w:val="21"/>
                <w:szCs w:val="21"/>
                <w:highlight w:val="none"/>
                <w:lang w:eastAsia="zh-CN"/>
              </w:rPr>
              <w:t>近期</w:t>
            </w:r>
            <w:r>
              <w:rPr>
                <w:rFonts w:hint="eastAsia" w:ascii="宋体" w:hAnsi="宋体" w:eastAsia="宋体" w:cs="宋体"/>
                <w:color w:val="auto"/>
                <w:sz w:val="21"/>
                <w:szCs w:val="21"/>
                <w:highlight w:val="none"/>
              </w:rPr>
              <w:t>“信用中国”</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“中国政府采购网”以上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6</w:t>
            </w:r>
          </w:p>
        </w:tc>
        <w:tc>
          <w:tcPr>
            <w:tcW w:w="8674" w:type="dxa"/>
            <w:gridSpan w:val="2"/>
            <w:noWrap w:val="0"/>
            <w:vAlign w:val="center"/>
          </w:tcPr>
          <w:p>
            <w:pPr>
              <w:pStyle w:val="22"/>
              <w:keepNext w:val="0"/>
              <w:keepLines w:val="0"/>
              <w:suppressLineNumbers w:val="0"/>
              <w:spacing w:line="360" w:lineRule="auto"/>
              <w:ind w:left="0" w:righ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867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附表二：符合性审查表</w:t>
      </w:r>
    </w:p>
    <w:p>
      <w:pPr>
        <w:spacing w:line="360" w:lineRule="auto"/>
        <w:rPr>
          <w:rFonts w:hint="eastAsia" w:ascii="宋体" w:hAnsi="宋体" w:cs="宋体"/>
          <w:color w:val="auto"/>
          <w:kern w:val="0"/>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kern w:val="0"/>
          <w:sz w:val="21"/>
          <w:szCs w:val="21"/>
          <w:highlight w:val="none"/>
          <w:lang w:eastAsia="zh-CN"/>
        </w:rPr>
        <w:t>永宁镇下岔河村人居环境整治项目</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采购编号：</w:t>
      </w:r>
      <w:r>
        <w:rPr>
          <w:rFonts w:hint="eastAsia" w:ascii="宋体" w:hAnsi="宋体" w:eastAsia="宋体" w:cs="宋体"/>
          <w:color w:val="auto"/>
          <w:kern w:val="0"/>
          <w:sz w:val="21"/>
          <w:szCs w:val="21"/>
          <w:highlight w:val="none"/>
          <w:lang w:eastAsia="zh-CN"/>
        </w:rPr>
        <w:t>XJZTZFCG(CS)-</w:t>
      </w:r>
      <w:r>
        <w:rPr>
          <w:rFonts w:hint="eastAsia" w:ascii="宋体" w:hAnsi="宋体" w:cs="宋体"/>
          <w:color w:val="auto"/>
          <w:kern w:val="0"/>
          <w:sz w:val="21"/>
          <w:szCs w:val="21"/>
          <w:highlight w:val="none"/>
          <w:lang w:eastAsia="zh-CN"/>
        </w:rPr>
        <w:t>2024-004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  月  日</w:t>
      </w:r>
    </w:p>
    <w:tbl>
      <w:tblPr>
        <w:tblStyle w:val="23"/>
        <w:tblW w:w="942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6338"/>
        <w:gridCol w:w="189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91" w:type="dxa"/>
            <w:tcBorders>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338" w:type="dxa"/>
            <w:tcBorders>
              <w:lef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1895"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项目负责人（建造师）条件是否满足磋商文件的要求</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是否满足项目的完工期要求</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是否符合磋商文件的签署盖章要求</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是否按规定</w:t>
            </w:r>
            <w:r>
              <w:rPr>
                <w:rFonts w:hint="eastAsia" w:ascii="宋体" w:hAnsi="宋体" w:eastAsia="宋体" w:cs="宋体"/>
                <w:color w:val="auto"/>
                <w:kern w:val="0"/>
                <w:sz w:val="21"/>
                <w:szCs w:val="21"/>
                <w:highlight w:val="none"/>
                <w:lang w:val="en-US" w:eastAsia="zh-CN" w:bidi="ar"/>
              </w:rPr>
              <w:t>缴纳</w:t>
            </w:r>
            <w:r>
              <w:rPr>
                <w:rFonts w:hint="eastAsia" w:ascii="宋体" w:hAnsi="宋体" w:eastAsia="宋体" w:cs="宋体"/>
                <w:color w:val="auto"/>
                <w:kern w:val="0"/>
                <w:sz w:val="21"/>
                <w:szCs w:val="21"/>
                <w:highlight w:val="none"/>
                <w:lang w:bidi="ar"/>
              </w:rPr>
              <w:t>磋商保证金</w:t>
            </w:r>
            <w:r>
              <w:rPr>
                <w:rFonts w:hint="eastAsia" w:ascii="宋体" w:hAnsi="宋体" w:cs="宋体"/>
                <w:color w:val="auto"/>
                <w:kern w:val="0"/>
                <w:sz w:val="21"/>
                <w:szCs w:val="21"/>
                <w:highlight w:val="none"/>
                <w:lang w:val="en-US" w:eastAsia="zh-CN" w:bidi="ar"/>
              </w:rPr>
              <w:t>或提供电子保函</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bidi="ar"/>
              </w:rPr>
              <w:t>报价有效期是否为</w:t>
            </w:r>
            <w:r>
              <w:rPr>
                <w:rFonts w:hint="eastAsia" w:ascii="宋体" w:hAnsi="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bidi="ar"/>
              </w:rPr>
              <w:t>天</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最后报价是否固定唯一，且各报价没有超过最高限价</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是否不存在投标人之间或者投标人与磋商人串通投标的</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6338" w:type="dxa"/>
            <w:noWrap w:val="0"/>
            <w:vAlign w:val="center"/>
          </w:tcPr>
          <w:p>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投标人的信誉及履约能力是否满足磋商文件要求</w:t>
            </w:r>
            <w:r>
              <w:rPr>
                <w:rFonts w:hint="eastAsia" w:ascii="宋体" w:hAnsi="宋体" w:eastAsia="宋体" w:cs="宋体"/>
                <w:color w:val="auto"/>
                <w:kern w:val="0"/>
                <w:sz w:val="21"/>
                <w:szCs w:val="21"/>
                <w:highlight w:val="none"/>
                <w:lang w:eastAsia="zh-CN" w:bidi="ar"/>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338" w:type="dxa"/>
            <w:noWrap w:val="0"/>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hint="eastAsia"/>
                <w:highlight w:val="none"/>
                <w:lang w:eastAsia="zh-CN"/>
              </w:rPr>
            </w:pPr>
            <w:r>
              <w:rPr>
                <w:rFonts w:hint="eastAsia"/>
                <w:highlight w:val="none"/>
              </w:rPr>
              <w:t>投标人的投标报价符合招标文件的规定：投标人的投标报价符合第五部分“工程量清单”的要求填写响应的表格；投标人不得更改招标文件第五部分工程量清单表中的项目编码、项目名称、单位、工程量、主要技术条款等及招标规定的总价项目 (包括投标 人费用不得浮动项目) ，也不应在工程量清单中自行增加新的项目</w:t>
            </w:r>
            <w:r>
              <w:rPr>
                <w:rFonts w:hint="eastAsia"/>
                <w:highlight w:val="none"/>
                <w:lang w:val="en-US" w:eastAsia="zh-CN"/>
              </w:rPr>
              <w:t>出现偏离</w:t>
            </w:r>
            <w:r>
              <w:rPr>
                <w:rFonts w:hint="eastAsia"/>
                <w:highlight w:val="none"/>
              </w:rPr>
              <w:t>，否则招标人将按无效标处理</w:t>
            </w:r>
            <w:r>
              <w:rPr>
                <w:rFonts w:hint="eastAsia"/>
                <w:highlight w:val="none"/>
                <w:lang w:eastAsia="zh-CN"/>
              </w:rPr>
              <w:t>；</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1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6338" w:type="dxa"/>
            <w:noWrap w:val="0"/>
            <w:vAlign w:val="center"/>
          </w:tcPr>
          <w:p>
            <w:pPr>
              <w:pStyle w:val="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是否实质性响应磋商文件（写“是”或“否”）</w:t>
            </w:r>
          </w:p>
        </w:tc>
        <w:tc>
          <w:tcPr>
            <w:tcW w:w="1895" w:type="dxa"/>
            <w:noWrap w:val="0"/>
            <w:vAlign w:val="center"/>
          </w:tcPr>
          <w:p>
            <w:pPr>
              <w:spacing w:line="360" w:lineRule="auto"/>
              <w:jc w:val="center"/>
              <w:rPr>
                <w:rFonts w:hint="eastAsia" w:ascii="宋体" w:hAnsi="宋体" w:eastAsia="宋体" w:cs="宋体"/>
                <w:color w:val="auto"/>
                <w:sz w:val="21"/>
                <w:szCs w:val="21"/>
                <w:highlight w:val="none"/>
              </w:rPr>
            </w:pPr>
          </w:p>
        </w:tc>
      </w:tr>
    </w:tbl>
    <w:p>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每一项符合要求的打“√”，对不符合要求的打“×”，并在结论栏中简要说明原因。</w:t>
      </w:r>
      <w:r>
        <w:rPr>
          <w:rFonts w:hint="eastAsia" w:ascii="宋体" w:hAnsi="宋体" w:eastAsia="宋体" w:cs="宋体"/>
          <w:color w:val="auto"/>
          <w:sz w:val="21"/>
          <w:szCs w:val="21"/>
          <w:highlight w:val="none"/>
        </w:rPr>
        <w:t>出现一个“×”的结论为未实质性响应磋商文件。</w:t>
      </w:r>
    </w:p>
    <w:p>
      <w:pPr>
        <w:tabs>
          <w:tab w:val="left" w:pos="72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2、结论栏中填写“是”表示该供应商响应文件符合磋商文件要求，“否”表示该供应商响应文件不符合磋商文件要求；</w:t>
      </w:r>
    </w:p>
    <w:p>
      <w:pPr>
        <w:tabs>
          <w:tab w:val="left" w:pos="72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3、汇总结论按少数服从多数原则确定。</w:t>
      </w:r>
    </w:p>
    <w:p>
      <w:pPr>
        <w:spacing w:line="360" w:lineRule="auto"/>
        <w:rPr>
          <w:rFonts w:hint="eastAsia" w:ascii="宋体" w:hAnsi="宋体" w:eastAsia="宋体" w:cs="宋体"/>
          <w:color w:val="auto"/>
          <w:sz w:val="21"/>
          <w:szCs w:val="21"/>
          <w:highlight w:val="none"/>
        </w:rPr>
      </w:pPr>
    </w:p>
    <w:p>
      <w:pPr>
        <w:adjustRightInd w:val="0"/>
        <w:snapToGrid w:val="0"/>
        <w:spacing w:line="360" w:lineRule="auto"/>
        <w:outlineLvl w:val="2"/>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附表二：技术评审表</w:t>
      </w:r>
    </w:p>
    <w:p>
      <w:pPr>
        <w:spacing w:line="360" w:lineRule="auto"/>
        <w:rPr>
          <w:rFonts w:hint="eastAsia" w:ascii="宋体" w:hAnsi="宋体" w:cs="宋体"/>
          <w:color w:val="auto"/>
          <w:kern w:val="0"/>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kern w:val="0"/>
          <w:sz w:val="21"/>
          <w:szCs w:val="21"/>
          <w:highlight w:val="none"/>
          <w:lang w:eastAsia="zh-CN"/>
        </w:rPr>
        <w:t>永宁镇下岔河村人居环境整治项目</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r>
        <w:rPr>
          <w:rFonts w:hint="eastAsia" w:ascii="宋体" w:hAnsi="宋体" w:eastAsia="宋体" w:cs="宋体"/>
          <w:color w:val="auto"/>
          <w:kern w:val="0"/>
          <w:sz w:val="21"/>
          <w:szCs w:val="21"/>
          <w:highlight w:val="none"/>
          <w:lang w:eastAsia="zh-CN"/>
        </w:rPr>
        <w:t>XJZTZFCG(CS)-</w:t>
      </w:r>
      <w:r>
        <w:rPr>
          <w:rFonts w:hint="eastAsia" w:ascii="宋体" w:hAnsi="宋体" w:cs="宋体"/>
          <w:color w:val="auto"/>
          <w:kern w:val="0"/>
          <w:sz w:val="21"/>
          <w:szCs w:val="21"/>
          <w:highlight w:val="none"/>
          <w:lang w:eastAsia="zh-CN"/>
        </w:rPr>
        <w:t>2024-004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日期：202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年 月  日      </w:t>
      </w:r>
    </w:p>
    <w:tbl>
      <w:tblPr>
        <w:tblStyle w:val="23"/>
        <w:tblW w:w="89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554"/>
        <w:gridCol w:w="764"/>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60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firstLine="2"/>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76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left="1" w:hanging="10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04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firstLine="14"/>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评分</w:t>
            </w:r>
            <w:r>
              <w:rPr>
                <w:rFonts w:hint="eastAsia" w:ascii="宋体" w:hAnsi="宋体" w:eastAsia="宋体" w:cs="宋体"/>
                <w:b/>
                <w:color w:val="auto"/>
                <w:sz w:val="21"/>
                <w:szCs w:val="21"/>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rPr>
            </w:pP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施工方案与技术措施</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1"/>
                <w:szCs w:val="21"/>
                <w:highlight w:val="none"/>
                <w:lang w:val="en-US" w:eastAsia="zh-CN"/>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根据投标人针对本项目特点及需求制定的项目服务方案进行综合比较评审，方案至少包含</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eastAsia="zh-CN"/>
              </w:rPr>
              <w:t>个要素：</w:t>
            </w:r>
          </w:p>
          <w:p>
            <w:pPr>
              <w:keepNext w:val="0"/>
              <w:keepLines w:val="0"/>
              <w:pageBreakBefore w:val="0"/>
              <w:widowControl w:val="0"/>
              <w:numPr>
                <w:ilvl w:val="0"/>
                <w:numId w:val="13"/>
              </w:numPr>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施工方案合理先进；（</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）工序衔接合理</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机械设备满足工程需要；（</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eastAsia="zh-CN"/>
              </w:rPr>
              <w:t>）劳动力组织均衡</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每具有1个上述要素但存在不合理或不清晰描述的，该要素得1.5分；方案每具有1个上述要素且考虑全面，权责清晰，科学合理，对于本项目实际操作具有指导意义和全流程保障的，该要素得3分；本项最多得12分，方案的要素不符合采购需求或存在明显错误或未提供的，该要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安全管理体系与措施</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12分</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根据投标人针对本项目特点及需求制定的项目服务方案进行综合比较评审，方案至少包含4个要素：</w:t>
            </w:r>
          </w:p>
          <w:p>
            <w:pPr>
              <w:keepNext w:val="0"/>
              <w:keepLines w:val="0"/>
              <w:pageBreakBefore w:val="0"/>
              <w:widowControl w:val="0"/>
              <w:numPr>
                <w:ilvl w:val="0"/>
                <w:numId w:val="14"/>
              </w:numPr>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安全管理目标明确；（2）安全生产管理小组健全；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（3）职责分工明确；    （4）管理制度齐全。</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每具有1个上述要素但存在不合理或不清晰描述的，该要素得1.5分；方案每具有1个上述要素且考虑全面，权责清晰，科学合理，对于本项目实际操作具有指导意义和全流程保障的，该要素得3分；本项最多得12分，方案的要素不符合采购需求或存在明显错误或未提供的，该要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after="72"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环境保护管理体系与措施</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根据投标人针对本项目特点及需求制定的项目服务方案进行综合比较评审，方案至少包含5个要素：</w:t>
            </w:r>
          </w:p>
          <w:p>
            <w:pPr>
              <w:keepNext w:val="0"/>
              <w:keepLines w:val="0"/>
              <w:pageBreakBefore w:val="0"/>
              <w:widowControl w:val="0"/>
              <w:numPr>
                <w:ilvl w:val="0"/>
                <w:numId w:val="15"/>
              </w:numPr>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环境管理目标明确；（2）管理机构健全；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（3）职责分工明确；    （4）管理制度齐全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（5）实施与监控措施全面、有效。</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每具有1个上述要素但存在不合理或不清晰描述的，该要素得1分；方案每具有1个上述要素且考虑全面，权责清晰，科学合理，对于本项目实际操作具有指导意义和全流程保障的，该要素得2分；本项最多得10分，方案的要素不符合采购需求或存在明显错误或未提供的，该要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after="72"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现场文明施工措施</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措施符合工程实际情况，措施得力，切实可行得3分；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措施存在描述不清晰的，思路混乱，操作性较弱得1.5分；不符合采购需求或存在明显错误或未提供的，不得分。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after="72"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施工进度计划</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进度计划应在空间和时间上做合理的统筹安排且符合施工的科学规律，确保工程质量、工期得力得3分；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进度计划应安排有缺陷，各工序衔接不严瑾，有个别缺陷得1.5分；不符合采购需求或存在明显错误或未提供的，不得分。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924" w:type="dxa"/>
            <w:gridSpan w:val="3"/>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6044"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r>
    </w:tbl>
    <w:p>
      <w:pPr>
        <w:adjustRightInd w:val="0"/>
        <w:snapToGrid w:val="0"/>
        <w:spacing w:line="360" w:lineRule="auto"/>
        <w:outlineLvl w:val="2"/>
        <w:rPr>
          <w:rFonts w:hint="eastAsia" w:ascii="宋体" w:hAnsi="宋体" w:eastAsia="宋体" w:cs="宋体"/>
          <w:b/>
          <w:color w:val="auto"/>
          <w:sz w:val="21"/>
          <w:szCs w:val="21"/>
          <w:highlight w:val="none"/>
        </w:rPr>
      </w:pPr>
    </w:p>
    <w:p>
      <w:pPr>
        <w:adjustRightInd w:val="0"/>
        <w:snapToGrid w:val="0"/>
        <w:spacing w:line="360" w:lineRule="auto"/>
        <w:outlineLvl w:val="2"/>
        <w:rPr>
          <w:rFonts w:hint="eastAsia" w:ascii="宋体" w:hAnsi="宋体" w:eastAsia="宋体" w:cs="宋体"/>
          <w:b/>
          <w:color w:val="auto"/>
          <w:sz w:val="21"/>
          <w:szCs w:val="21"/>
          <w:highlight w:val="none"/>
        </w:rPr>
      </w:pPr>
    </w:p>
    <w:p>
      <w:pPr>
        <w:adjustRightInd w:val="0"/>
        <w:snapToGrid w:val="0"/>
        <w:spacing w:line="360" w:lineRule="auto"/>
        <w:outlineLvl w:val="2"/>
        <w:rPr>
          <w:rFonts w:hint="eastAsia" w:ascii="宋体" w:hAnsi="宋体" w:eastAsia="宋体" w:cs="宋体"/>
          <w:b/>
          <w:color w:val="auto"/>
          <w:sz w:val="21"/>
          <w:szCs w:val="21"/>
          <w:highlight w:val="none"/>
        </w:rPr>
      </w:pPr>
    </w:p>
    <w:p>
      <w:pPr>
        <w:adjustRightInd w:val="0"/>
        <w:snapToGrid w:val="0"/>
        <w:spacing w:line="360" w:lineRule="auto"/>
        <w:outlineLvl w:val="2"/>
        <w:rPr>
          <w:rFonts w:hint="eastAsia" w:ascii="宋体" w:hAnsi="宋体" w:eastAsia="宋体" w:cs="宋体"/>
          <w:b/>
          <w:color w:val="auto"/>
          <w:sz w:val="21"/>
          <w:szCs w:val="21"/>
          <w:highlight w:val="none"/>
        </w:rPr>
      </w:pPr>
    </w:p>
    <w:p>
      <w:pPr>
        <w:adjustRightInd w:val="0"/>
        <w:snapToGrid w:val="0"/>
        <w:spacing w:line="360" w:lineRule="auto"/>
        <w:outlineLvl w:val="2"/>
        <w:rPr>
          <w:rFonts w:hint="eastAsia" w:ascii="宋体" w:hAnsi="宋体" w:eastAsia="宋体" w:cs="宋体"/>
          <w:b/>
          <w:color w:val="auto"/>
          <w:sz w:val="21"/>
          <w:szCs w:val="21"/>
          <w:highlight w:val="none"/>
        </w:rPr>
      </w:pPr>
    </w:p>
    <w:p>
      <w:pPr>
        <w:adjustRightInd w:val="0"/>
        <w:snapToGrid w:val="0"/>
        <w:spacing w:line="360" w:lineRule="auto"/>
        <w:outlineLvl w:val="2"/>
        <w:rPr>
          <w:rFonts w:hint="eastAsia" w:ascii="宋体" w:hAnsi="宋体" w:eastAsia="宋体" w:cs="宋体"/>
          <w:b/>
          <w:color w:val="auto"/>
          <w:sz w:val="21"/>
          <w:szCs w:val="21"/>
          <w:highlight w:val="none"/>
        </w:rPr>
      </w:pPr>
    </w:p>
    <w:p>
      <w:pPr>
        <w:adjustRightInd w:val="0"/>
        <w:snapToGrid w:val="0"/>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附表三：商务评审表</w:t>
      </w:r>
    </w:p>
    <w:p>
      <w:pPr>
        <w:spacing w:line="360" w:lineRule="auto"/>
        <w:rPr>
          <w:rFonts w:hint="eastAsia" w:ascii="宋体" w:hAnsi="宋体" w:cs="宋体"/>
          <w:color w:val="auto"/>
          <w:kern w:val="0"/>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kern w:val="0"/>
          <w:sz w:val="21"/>
          <w:szCs w:val="21"/>
          <w:highlight w:val="none"/>
          <w:lang w:eastAsia="zh-CN"/>
        </w:rPr>
        <w:t>永宁镇下岔河村人居环境整治项目</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采购编号：</w:t>
      </w:r>
      <w:r>
        <w:rPr>
          <w:rFonts w:hint="eastAsia" w:ascii="宋体" w:hAnsi="宋体" w:eastAsia="宋体" w:cs="宋体"/>
          <w:color w:val="auto"/>
          <w:kern w:val="0"/>
          <w:sz w:val="21"/>
          <w:szCs w:val="21"/>
          <w:highlight w:val="none"/>
          <w:lang w:eastAsia="zh-CN"/>
        </w:rPr>
        <w:t>XJZTZFCG(CS)-</w:t>
      </w:r>
      <w:r>
        <w:rPr>
          <w:rFonts w:hint="eastAsia" w:ascii="宋体" w:hAnsi="宋体" w:cs="宋体"/>
          <w:color w:val="auto"/>
          <w:kern w:val="0"/>
          <w:sz w:val="21"/>
          <w:szCs w:val="21"/>
          <w:highlight w:val="none"/>
          <w:lang w:eastAsia="zh-CN"/>
        </w:rPr>
        <w:t>2024-004</w:t>
      </w:r>
      <w:r>
        <w:rPr>
          <w:rFonts w:hint="eastAsia" w:ascii="宋体" w:hAnsi="宋体" w:eastAsia="宋体" w:cs="宋体"/>
          <w:color w:val="auto"/>
          <w:sz w:val="21"/>
          <w:szCs w:val="21"/>
          <w:highlight w:val="none"/>
        </w:rPr>
        <w:t xml:space="preserve">            日期：202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 月  日</w:t>
      </w:r>
    </w:p>
    <w:tbl>
      <w:tblPr>
        <w:tblStyle w:val="23"/>
        <w:tblW w:w="89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91"/>
        <w:gridCol w:w="674"/>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3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firstLine="2"/>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67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left="1" w:hanging="10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27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firstLine="14"/>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评分</w:t>
            </w:r>
            <w:r>
              <w:rPr>
                <w:rFonts w:hint="eastAsia" w:ascii="宋体" w:hAnsi="宋体" w:eastAsia="宋体" w:cs="宋体"/>
                <w:b/>
                <w:color w:val="auto"/>
                <w:sz w:val="21"/>
                <w:szCs w:val="21"/>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433" w:type="dxa"/>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9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企业业绩</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c>
          <w:tcPr>
            <w:tcW w:w="6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供应商近三年（自递交响应文件截止日往前推 算，以合同签订日期为准）完成过同类项目，每具有一个类似项目业绩的得2分，最多得6分；（提供中标通知书、合同复印件</w:t>
            </w:r>
            <w:r>
              <w:rPr>
                <w:rFonts w:hint="eastAsia" w:ascii="宋体" w:hAnsi="宋体" w:cs="宋体"/>
                <w:color w:val="auto"/>
                <w:kern w:val="0"/>
                <w:sz w:val="21"/>
                <w:szCs w:val="21"/>
                <w:highlight w:val="none"/>
                <w:lang w:val="en-US" w:eastAsia="zh-CN"/>
              </w:rPr>
              <w:t>、竣工验收报告</w:t>
            </w:r>
            <w:r>
              <w:rPr>
                <w:rFonts w:hint="eastAsia" w:ascii="宋体" w:hAnsi="宋体" w:eastAsia="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433" w:type="dxa"/>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91"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人力资源配备及服务方式</w:t>
            </w:r>
          </w:p>
        </w:tc>
        <w:tc>
          <w:tcPr>
            <w:tcW w:w="674"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c>
          <w:tcPr>
            <w:tcW w:w="6270" w:type="dxa"/>
            <w:noWrap w:val="0"/>
            <w:vAlign w:val="top"/>
          </w:tcPr>
          <w:p>
            <w:pPr>
              <w:spacing w:before="37" w:line="239" w:lineRule="auto"/>
              <w:ind w:left="121" w:leftChars="0" w:right="44" w:rightChars="0" w:firstLine="3"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人员配备完全合理，专业齐全，素质高，服务 承诺条款完善、切实可行得 </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 xml:space="preserve"> 分；人员配备一般，专业较齐全，服务承诺条款一般、但 基本可行得 </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 xml:space="preserve"> 分；人员配备不齐全，缺少关键专业，服务承诺条款基本没有，得 </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33" w:type="dxa"/>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91" w:type="dxa"/>
            <w:noWrap w:val="0"/>
            <w:vAlign w:val="center"/>
          </w:tcPr>
          <w:p>
            <w:pPr>
              <w:pStyle w:val="42"/>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bidi="ar-SA"/>
              </w:rPr>
              <w:t>工期</w:t>
            </w:r>
          </w:p>
        </w:tc>
        <w:tc>
          <w:tcPr>
            <w:tcW w:w="674" w:type="dxa"/>
            <w:noWrap w:val="0"/>
            <w:vAlign w:val="center"/>
          </w:tcPr>
          <w:p>
            <w:pPr>
              <w:pStyle w:val="42"/>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4分</w:t>
            </w:r>
          </w:p>
        </w:tc>
        <w:tc>
          <w:tcPr>
            <w:tcW w:w="6270" w:type="dxa"/>
            <w:noWrap w:val="0"/>
            <w:vAlign w:val="center"/>
          </w:tcPr>
          <w:p>
            <w:pPr>
              <w:pStyle w:val="42"/>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bidi="ar-SA"/>
              </w:rPr>
              <w:t>满足采购文件要求得</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分，优于得</w:t>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433" w:type="dxa"/>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91" w:type="dxa"/>
            <w:noWrap w:val="0"/>
            <w:vAlign w:val="center"/>
          </w:tcPr>
          <w:p>
            <w:pPr>
              <w:pStyle w:val="42"/>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服务保障及</w:t>
            </w:r>
          </w:p>
          <w:p>
            <w:pPr>
              <w:pStyle w:val="42"/>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bidi="ar-SA"/>
              </w:rPr>
              <w:t>承诺</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4分</w:t>
            </w:r>
          </w:p>
        </w:tc>
        <w:tc>
          <w:tcPr>
            <w:tcW w:w="627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bidi="ar-SA"/>
              </w:rPr>
              <w:t>承诺达到优质质量标准、服务方案清晰，并有切实可行质量保证措施得</w:t>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zh-CN" w:eastAsia="zh-CN" w:bidi="ar-SA"/>
              </w:rPr>
              <w:t>分，</w:t>
            </w:r>
            <w:r>
              <w:rPr>
                <w:rFonts w:hint="eastAsia" w:ascii="宋体" w:hAnsi="宋体" w:eastAsia="宋体" w:cs="宋体"/>
                <w:color w:val="auto"/>
                <w:kern w:val="0"/>
                <w:sz w:val="21"/>
                <w:szCs w:val="21"/>
                <w:highlight w:val="none"/>
                <w:lang w:val="en-US" w:eastAsia="zh-CN" w:bidi="ar-SA"/>
              </w:rPr>
              <w:t>未达到不得分。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98" w:type="dxa"/>
            <w:gridSpan w:val="3"/>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62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bl>
    <w:p>
      <w:pPr>
        <w:rPr>
          <w:rFonts w:hint="eastAsia" w:ascii="宋体" w:hAnsi="宋体" w:eastAsia="宋体" w:cs="宋体"/>
          <w:b/>
          <w:bCs/>
          <w:color w:val="auto"/>
          <w:sz w:val="21"/>
          <w:szCs w:val="21"/>
          <w:highlight w:val="none"/>
        </w:rPr>
      </w:pP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bookmarkStart w:id="46" w:name="_Toc256000014"/>
      <w:bookmarkStart w:id="47" w:name="_Toc529952599"/>
      <w:r>
        <w:rPr>
          <w:rFonts w:hint="eastAsia" w:ascii="宋体" w:hAnsi="宋体" w:eastAsia="宋体" w:cs="宋体"/>
          <w:color w:val="auto"/>
          <w:sz w:val="21"/>
          <w:szCs w:val="21"/>
          <w:highlight w:val="none"/>
          <w:lang w:val="en-US" w:eastAsia="zh-CN"/>
        </w:rPr>
        <w:t xml:space="preserve">   </w:t>
      </w:r>
    </w:p>
    <w:p>
      <w:pPr>
        <w:pStyle w:val="2"/>
        <w:rPr>
          <w:rFonts w:hint="eastAsia" w:ascii="宋体" w:hAnsi="宋体" w:eastAsia="宋体" w:cs="宋体"/>
          <w:color w:val="auto"/>
          <w:sz w:val="21"/>
          <w:szCs w:val="21"/>
          <w:highlight w:val="none"/>
          <w:lang w:val="en-US" w:eastAsia="zh-CN"/>
        </w:rPr>
      </w:pPr>
    </w:p>
    <w:p>
      <w:pPr>
        <w:pStyle w:val="2"/>
        <w:bidi w:val="0"/>
        <w:rPr>
          <w:rFonts w:hint="eastAsia"/>
          <w:highlight w:val="none"/>
          <w:lang w:val="en-US" w:eastAsia="zh-CN"/>
        </w:rPr>
      </w:pPr>
    </w:p>
    <w:p>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第四章</w:t>
      </w:r>
      <w:r>
        <w:rPr>
          <w:rFonts w:hint="eastAsia" w:ascii="宋体" w:hAnsi="宋体" w:eastAsia="宋体" w:cs="宋体"/>
          <w:color w:val="auto"/>
          <w:sz w:val="21"/>
          <w:szCs w:val="21"/>
          <w:highlight w:val="none"/>
          <w:lang w:val="en-US" w:eastAsia="zh-CN"/>
        </w:rPr>
        <w:t xml:space="preserve">  </w:t>
      </w:r>
      <w:bookmarkEnd w:id="46"/>
      <w:bookmarkEnd w:id="47"/>
      <w:bookmarkStart w:id="48" w:name="_Toc256000015"/>
      <w:bookmarkStart w:id="49" w:name="EB0241872a782746df84ab771927209b83"/>
      <w:r>
        <w:rPr>
          <w:rFonts w:hint="eastAsia" w:ascii="宋体" w:hAnsi="宋体" w:eastAsia="宋体" w:cs="宋体"/>
          <w:color w:val="auto"/>
          <w:sz w:val="21"/>
          <w:szCs w:val="21"/>
          <w:highlight w:val="none"/>
          <w:lang w:eastAsia="zh-CN"/>
        </w:rPr>
        <w:t>合同条款</w:t>
      </w:r>
    </w:p>
    <w:p>
      <w:pPr>
        <w:pStyle w:val="2"/>
        <w:ind w:firstLine="4006" w:firstLineChars="19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合同条款及格式</w:t>
      </w:r>
      <w:bookmarkEnd w:id="48"/>
    </w:p>
    <w:p>
      <w:pPr>
        <w:pStyle w:val="2"/>
        <w:spacing w:before="312" w:beforeLine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（本合同范本仅作参考，具体合同签订由甲乙双方再行约定）</w:t>
      </w:r>
    </w:p>
    <w:p>
      <w:pPr>
        <w:pStyle w:val="14"/>
        <w:adjustRightInd w:val="0"/>
        <w:snapToGrid w:val="0"/>
        <w:spacing w:line="360" w:lineRule="auto"/>
        <w:ind w:firstLine="472" w:firstLineChars="225"/>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第一章 合同一般条款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合同条件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本项目施工合同协议条款由建设单位（以下称甲方）与中标单位（以下称乙方）结合本项目具体情况协商后签订。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合同文件的优先顺序：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合同协议书（如有时）；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投标书及其附件；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标准、规范及有关技术文件；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图纸（如有时）；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招标文件；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资料表以及其他任何构成合同一部分的文件。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履约保证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履约保证的形式采用下列方式中第（1）、（2）或（3）条：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支票（转账或者现金支票）；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现金。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保函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在收到中标通知书后的 七 天内，乙方应向甲方提交一份以支票、现金或保函形式提供的履约保证金，其数额为合同总价的 0%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如果乙方未能满足本文件第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条的要求，则甲方有权取消其中标资格并没收其投标保证金。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乙方根据合同进行施工工作，在该项目竣工验收合格前，履约保证金将一直有效。履约保证金在工程完工过并验收合格后 7 天内清退。</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进度计划</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乙方必须按照本工程的设计和招标文件的要求以及乙方投标承诺的施工计划组织实施。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工程工期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完工日期：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工期延误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如果由于下列原因造成交货期、竣工工期延误，经甲方代表确认后，乙方有理由延长工期期限。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合同条款规定允许范围内的延误；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不可抗力；</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由甲方造成的延误、障碍、阻止；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可能出现的非乙方过失或违约的其他特殊情况。</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非上述原因，乙方不能按合同约定的时间竣工并通过验收。赔偿费按每推延一天赔偿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元。交货期、竣工工期延误最大赔偿限额均为最终合同价格的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甲方可从向乙方支付的任何金额中扣除此项赔偿款。此赔偿款的支付并不能解除乙方完成工程的责任和合同规定的其他责任。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工程质量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工程质量应符合国家及行业标准或国际通用标准，执行国家有关工程验收规范、质量评定标准以及自治区、市建委有关工程质量规定。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工程质量评审部门：执行国家、自治区现行规定。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乙方承诺的工程质量等级为合同的约定条件。因乙方原因，工程质量达不到约定条件的部分，甲方现场代表一经发现，可要求乙方返工，直至达到合同约定条件，并由乙方承担返工费用。乙方拒绝返工或返工后仍然达不到约定条件，乙方承担违约责任，并按照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支付赔偿金。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因甲方原因造成工程质量达不到约定条件的，由甲方承担相应的经济责任。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合同价款与支付</w:t>
      </w:r>
    </w:p>
    <w:p>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8.1  价款支付：</w:t>
      </w:r>
      <w:r>
        <w:rPr>
          <w:rFonts w:hint="eastAsia" w:ascii="宋体" w:hAnsi="宋体" w:eastAsia="宋体" w:cs="宋体"/>
          <w:color w:val="auto"/>
          <w:sz w:val="21"/>
          <w:szCs w:val="21"/>
          <w:highlight w:val="none"/>
          <w:u w:val="single"/>
          <w:lang w:val="en-US" w:eastAsia="zh-CN"/>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专利权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乙方须保障甲方在使用其货物、服务及其任何部门不受到第三方关于侵权的指控，如果出现此类情况，只由乙方与第三方交涉并承担可能发生的一切经济和法律责任。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技术资料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准备技术资料，并于合同生效后七天内寄送到甲方，其费用包括在投标报价内。例如：样本、图纸、操作手册、使用说明、维修指南和服务手册、制造、安装标准和技术规范、验收报告及测试数据等，如该技术资料不完整或丢失，乙方应在收到甲方通知后三天内免费另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质量保证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乙方应保证在规定的质量保修期内，乙方应对工程的质量负责。出现工程质量事故，乙方应在24小时内，免费负责修理并相应延长此保修期。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售后服务及承诺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在本项目合同项下的工程验收合格并交付使用后，乙方应对工程的保修期及其以后终身服务做出承诺，并应提供切实可行的服务措施。不能及时兑现服务承诺内容而影响甲方使用，乙方应怎样给予补偿，在投标书中均应明确说明。乙方在疆应有常设或指派的法定售后服务机构，维修人员应是乙方派出的具有一定专业技术水平的人员，并具有乙方的法人授权委托和有关主管部门颁发的资格证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乙方对工程维修等工作应随时派技术人员并应满足24小时到位的服务，并保证零配件的供应。</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保修期</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按国家质量保修期标准规范执行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违约责任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按合同条款中双方约定执行。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  争议的解决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甲乙双方因履行合同而发生争议可按下列</w:t>
      </w:r>
      <w:r>
        <w:rPr>
          <w:rFonts w:hint="eastAsia" w:ascii="宋体" w:hAnsi="宋体" w:eastAsia="宋体" w:cs="宋体"/>
          <w:color w:val="auto"/>
          <w:sz w:val="21"/>
          <w:szCs w:val="21"/>
          <w:highlight w:val="none"/>
          <w:u w:val="single"/>
        </w:rPr>
        <w:t>第（2）款</w:t>
      </w:r>
      <w:r>
        <w:rPr>
          <w:rFonts w:hint="eastAsia" w:ascii="宋体" w:hAnsi="宋体" w:eastAsia="宋体" w:cs="宋体"/>
          <w:color w:val="auto"/>
          <w:sz w:val="21"/>
          <w:szCs w:val="21"/>
          <w:highlight w:val="none"/>
        </w:rPr>
        <w:t>方式解决。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向工程所在地仲裁机关申请仲裁；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向工程所在地人民法院起诉。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   合同生效及终止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合同自</w:t>
      </w:r>
      <w:r>
        <w:rPr>
          <w:rFonts w:hint="eastAsia" w:ascii="宋体" w:hAnsi="宋体" w:eastAsia="宋体" w:cs="宋体"/>
          <w:color w:val="auto"/>
          <w:sz w:val="21"/>
          <w:szCs w:val="21"/>
          <w:highlight w:val="none"/>
          <w:u w:val="single"/>
        </w:rPr>
        <w:t xml:space="preserve">  双方签字盖章  </w:t>
      </w:r>
      <w:r>
        <w:rPr>
          <w:rFonts w:hint="eastAsia" w:ascii="宋体" w:hAnsi="宋体" w:eastAsia="宋体" w:cs="宋体"/>
          <w:color w:val="auto"/>
          <w:sz w:val="21"/>
          <w:szCs w:val="21"/>
          <w:highlight w:val="none"/>
        </w:rPr>
        <w:t>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乙方完成工程保修期内所应承担的工程保修、设备维护、技术人员培训等工作并且甲方按合同规定将货款全部支付完毕后，合同即告终止。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合同份数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合同正本二份，副本四份，具备同等效力，由双方分送相关部门。</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第二章 竣工要求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投标单位必须响应并承诺竣工时间和竣工目的地的要求。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1、竣工时间要求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按招标文件规定。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2、竣工地点要求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工程所在地。</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第三章 付款币种及方式</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1、付款币种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本次招标所述的项目资金均以人民币支付</w:t>
      </w:r>
    </w:p>
    <w:p>
      <w:pPr>
        <w:numPr>
          <w:ilvl w:val="0"/>
          <w:numId w:val="0"/>
        </w:numPr>
        <w:spacing w:line="360" w:lineRule="auto"/>
        <w:ind w:left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u w:val="single"/>
          <w:lang w:val="en-US" w:eastAsia="zh-CN"/>
        </w:rPr>
        <w:t xml:space="preserve">                                     </w:t>
      </w:r>
    </w:p>
    <w:p>
      <w:pPr>
        <w:numPr>
          <w:ilvl w:val="0"/>
          <w:numId w:val="0"/>
        </w:numPr>
        <w:spacing w:line="360" w:lineRule="auto"/>
        <w:ind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第四章 对投标单位要求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详见投标人须知</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第五章 合同特殊条款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合同特殊条款是对合同一般条款的补充和修改，如果两者之间有不一致之处时，应以特殊条款为准。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检验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计或工艺重新进行检验，则此类检验应按相同条款和条件重新进行。如果此类拒收和重新检验致使发包人产生了额外费用，则此类费用应由承包人支付给发包人，或从发包人应支付给承包人的款项中扣除。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除合同另有约定外，承包人应负担本合同项下的所有材料、工程设备和工艺检验的费用。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质量要求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本工程要求的质量标准为符合现行国家有关工程施工验收规范和标准的要求合格。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竣工验收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其他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投标报价： 投标报价包含该项目所有的费用，甲方不再支付其他费用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投标货币：人民币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列出详细的易损件、专用工具的清单，并分项报价（应包括在总价内）。清单内容应包括：名称、数量、单价、总价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付款币种及方式（见第三章）</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4.5 完工日期：</w:t>
      </w:r>
      <w:r>
        <w:rPr>
          <w:rFonts w:hint="eastAsia" w:ascii="宋体" w:hAnsi="宋体" w:cs="宋体"/>
          <w:color w:val="auto"/>
          <w:sz w:val="21"/>
          <w:szCs w:val="21"/>
          <w:highlight w:val="none"/>
          <w:lang w:val="en-US" w:eastAsia="zh-CN"/>
        </w:rPr>
        <w:t>120日历天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最终以签订合同为准</w:t>
      </w:r>
      <w:r>
        <w:rPr>
          <w:rFonts w:hint="eastAsia" w:ascii="宋体" w:hAnsi="宋体" w:eastAsia="宋体" w:cs="宋体"/>
          <w:color w:val="auto"/>
          <w:kern w:val="0"/>
          <w:sz w:val="21"/>
          <w:szCs w:val="21"/>
          <w:highlight w:val="none"/>
          <w:lang w:eastAsia="zh-CN"/>
        </w:rPr>
        <w:t>）</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4.6 工程地点</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永宁镇下岔河村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4.7弃标赔偿责任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任何弃标行为都是违约行为（不可抗力导致的除外），都应依据《政府采购货物和服务招标投标管理办法》（财政部令第18号）第75条和第76条规定承担民事责任。中标人放弃中标后，为了避免重新招标导致的时间延误和社会成本增加，顺延中标应当是采购人的首选。顺延中标如果导致合同价格抬升，采购人将蒙受合同价格损失。磋商文件可以将顺延中标人的报价高于弃标人报价的部分，界定为弃标人给采购人造成的合同价格损失。恶意弃标行为出现后，采购人有权要求弃标人依法承担赔偿合同价格损失的责任。设定弃标赔偿责任，弃标人不仅要损失投标保证金，还要赔偿合同差价。</w:t>
      </w:r>
    </w:p>
    <w:p>
      <w:pPr>
        <w:pStyle w:val="43"/>
        <w:spacing w:line="460" w:lineRule="exact"/>
        <w:rPr>
          <w:rFonts w:hint="eastAsia" w:ascii="宋体" w:hAnsi="宋体" w:eastAsia="宋体" w:cs="宋体"/>
          <w:b/>
          <w:color w:val="auto"/>
          <w:sz w:val="21"/>
          <w:szCs w:val="21"/>
          <w:highlight w:val="none"/>
        </w:rPr>
      </w:pPr>
    </w:p>
    <w:p>
      <w:pPr>
        <w:pStyle w:val="44"/>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注：本协议书仅为参考文本，签订双方可根据项目的具体要求另行修订。</w:t>
      </w:r>
    </w:p>
    <w:bookmarkEnd w:id="49"/>
    <w:p>
      <w:pPr>
        <w:rPr>
          <w:rFonts w:hint="eastAsia" w:ascii="宋体" w:hAnsi="宋体" w:eastAsia="宋体" w:cs="宋体"/>
          <w:color w:val="auto"/>
          <w:sz w:val="32"/>
          <w:szCs w:val="32"/>
          <w:highlight w:val="none"/>
          <w:lang w:val="en-US" w:eastAsia="zh-CN"/>
        </w:rPr>
      </w:pPr>
      <w:bookmarkStart w:id="50" w:name="EBa7aace56499c438eba0da8955ee091e8"/>
    </w:p>
    <w:p>
      <w:pPr>
        <w:pStyle w:val="45"/>
        <w:numPr>
          <w:ilvl w:val="0"/>
          <w:numId w:val="0"/>
        </w:numPr>
        <w:spacing w:line="360" w:lineRule="auto"/>
        <w:ind w:leftChars="800" w:firstLine="643" w:firstLineChars="200"/>
        <w:rPr>
          <w:rFonts w:hint="eastAsia" w:ascii="宋体" w:hAnsi="宋体" w:eastAsia="宋体" w:cs="宋体"/>
          <w:b/>
          <w:color w:val="auto"/>
          <w:sz w:val="32"/>
          <w:szCs w:val="32"/>
          <w:highlight w:val="none"/>
          <w:lang w:val="en-US" w:eastAsia="zh-CN"/>
        </w:rPr>
      </w:pPr>
    </w:p>
    <w:p>
      <w:pPr>
        <w:pStyle w:val="45"/>
        <w:numPr>
          <w:ilvl w:val="0"/>
          <w:numId w:val="0"/>
        </w:numPr>
        <w:spacing w:line="360" w:lineRule="auto"/>
        <w:ind w:leftChars="800" w:firstLine="643" w:firstLineChars="200"/>
        <w:rPr>
          <w:rFonts w:hint="eastAsia" w:ascii="宋体" w:hAnsi="宋体" w:eastAsia="宋体" w:cs="宋体"/>
          <w:b/>
          <w:color w:val="auto"/>
          <w:sz w:val="32"/>
          <w:szCs w:val="32"/>
          <w:highlight w:val="none"/>
          <w:lang w:val="en-US" w:eastAsia="zh-CN"/>
        </w:rPr>
      </w:pPr>
    </w:p>
    <w:p>
      <w:pPr>
        <w:pStyle w:val="45"/>
        <w:numPr>
          <w:ilvl w:val="0"/>
          <w:numId w:val="0"/>
        </w:numPr>
        <w:spacing w:line="360" w:lineRule="auto"/>
        <w:rPr>
          <w:rFonts w:hint="eastAsia" w:ascii="宋体" w:hAnsi="宋体" w:eastAsia="宋体" w:cs="宋体"/>
          <w:b/>
          <w:color w:val="auto"/>
          <w:sz w:val="32"/>
          <w:szCs w:val="32"/>
          <w:highlight w:val="none"/>
          <w:lang w:val="en-US" w:eastAsia="zh-CN"/>
        </w:rPr>
      </w:pPr>
    </w:p>
    <w:p>
      <w:pPr>
        <w:pStyle w:val="45"/>
        <w:numPr>
          <w:ilvl w:val="0"/>
          <w:numId w:val="0"/>
        </w:numPr>
        <w:spacing w:line="360" w:lineRule="auto"/>
        <w:ind w:leftChars="800" w:firstLine="643" w:firstLineChars="200"/>
        <w:rPr>
          <w:rFonts w:hint="eastAsia" w:ascii="宋体" w:hAnsi="宋体" w:eastAsia="宋体" w:cs="宋体"/>
          <w:b/>
          <w:color w:val="auto"/>
          <w:sz w:val="32"/>
          <w:szCs w:val="32"/>
          <w:highlight w:val="none"/>
          <w:lang w:val="en-US" w:eastAsia="zh-CN"/>
        </w:rPr>
      </w:pPr>
    </w:p>
    <w:p>
      <w:pPr>
        <w:pStyle w:val="45"/>
        <w:numPr>
          <w:ilvl w:val="0"/>
          <w:numId w:val="0"/>
        </w:numPr>
        <w:spacing w:line="360" w:lineRule="auto"/>
        <w:ind w:leftChars="800" w:firstLine="643" w:firstLineChars="200"/>
        <w:rPr>
          <w:rFonts w:hint="eastAsia" w:ascii="宋体" w:hAnsi="宋体" w:eastAsia="宋体" w:cs="宋体"/>
          <w:b/>
          <w:color w:val="auto"/>
          <w:sz w:val="32"/>
          <w:szCs w:val="32"/>
          <w:highlight w:val="none"/>
          <w:lang w:val="en-US" w:eastAsia="zh-CN"/>
        </w:rPr>
      </w:pPr>
    </w:p>
    <w:p>
      <w:pPr>
        <w:pStyle w:val="45"/>
        <w:numPr>
          <w:ilvl w:val="0"/>
          <w:numId w:val="0"/>
        </w:numPr>
        <w:spacing w:line="360" w:lineRule="auto"/>
        <w:ind w:leftChars="800" w:firstLine="643" w:firstLineChars="200"/>
        <w:rPr>
          <w:rFonts w:hint="eastAsia" w:ascii="宋体" w:hAnsi="宋体" w:eastAsia="宋体" w:cs="宋体"/>
          <w:b/>
          <w:color w:val="auto"/>
          <w:sz w:val="32"/>
          <w:szCs w:val="32"/>
          <w:highlight w:val="none"/>
          <w:lang w:val="en-US" w:eastAsia="zh-CN"/>
        </w:rPr>
      </w:pPr>
    </w:p>
    <w:p>
      <w:pPr>
        <w:pStyle w:val="45"/>
        <w:numPr>
          <w:ilvl w:val="0"/>
          <w:numId w:val="0"/>
        </w:numPr>
        <w:spacing w:line="360" w:lineRule="auto"/>
        <w:ind w:leftChars="800" w:firstLine="643" w:firstLineChars="200"/>
        <w:rPr>
          <w:rFonts w:hint="eastAsia" w:ascii="宋体" w:hAnsi="宋体" w:eastAsia="宋体" w:cs="宋体"/>
          <w:b/>
          <w:color w:val="auto"/>
          <w:sz w:val="32"/>
          <w:szCs w:val="32"/>
          <w:highlight w:val="none"/>
          <w:lang w:val="en-US" w:eastAsia="zh-CN"/>
        </w:rPr>
      </w:pPr>
    </w:p>
    <w:p>
      <w:pPr>
        <w:pStyle w:val="45"/>
        <w:numPr>
          <w:ilvl w:val="0"/>
          <w:numId w:val="0"/>
        </w:numPr>
        <w:spacing w:line="360" w:lineRule="auto"/>
        <w:ind w:leftChars="800" w:firstLine="643" w:firstLineChars="200"/>
        <w:rPr>
          <w:rFonts w:hint="eastAsia" w:ascii="宋体" w:hAnsi="宋体" w:eastAsia="宋体" w:cs="宋体"/>
          <w:highlight w:val="none"/>
        </w:rPr>
      </w:pPr>
      <w:r>
        <w:rPr>
          <w:rFonts w:hint="eastAsia" w:ascii="宋体" w:hAnsi="宋体" w:eastAsia="宋体" w:cs="宋体"/>
          <w:b/>
          <w:color w:val="auto"/>
          <w:sz w:val="32"/>
          <w:szCs w:val="32"/>
          <w:highlight w:val="none"/>
          <w:lang w:val="en-US" w:eastAsia="zh-CN"/>
        </w:rPr>
        <w:t xml:space="preserve">第五章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eastAsia="zh-CN"/>
        </w:rPr>
        <w:t>工程量清单</w:t>
      </w:r>
      <w:bookmarkStart w:id="51" w:name="_Toc460703980"/>
      <w:bookmarkStart w:id="52" w:name="_Toc529952601"/>
      <w:bookmarkStart w:id="53" w:name="_Toc256000043"/>
    </w:p>
    <w:bookmarkEnd w:id="51"/>
    <w:p>
      <w:pPr>
        <w:rPr>
          <w:rFonts w:hint="eastAsia" w:ascii="宋体" w:hAnsi="宋体" w:eastAsia="宋体" w:cs="宋体"/>
          <w:sz w:val="21"/>
          <w:highlight w:val="none"/>
          <w:lang w:val="en-US" w:eastAsia="zh-CN"/>
        </w:rPr>
      </w:pPr>
      <w:bookmarkStart w:id="54" w:name="_Toc239650609"/>
      <w:bookmarkStart w:id="55" w:name="_Toc239651328"/>
      <w:bookmarkStart w:id="56" w:name="_Toc460703982"/>
    </w:p>
    <w:p>
      <w:pPr>
        <w:pStyle w:val="12"/>
        <w:rPr>
          <w:rFonts w:hint="eastAsia" w:ascii="宋体" w:hAnsi="宋体" w:eastAsia="宋体" w:cs="宋体"/>
          <w:sz w:val="21"/>
          <w:highlight w:val="none"/>
          <w:lang w:val="en-US" w:eastAsia="zh-CN"/>
        </w:rPr>
      </w:pPr>
    </w:p>
    <w:p>
      <w:pPr>
        <w:pStyle w:val="10"/>
        <w:widowControl w:val="0"/>
        <w:numPr>
          <w:ilvl w:val="0"/>
          <w:numId w:val="0"/>
        </w:numPr>
        <w:jc w:val="both"/>
        <w:rPr>
          <w:rFonts w:hint="eastAsia"/>
          <w:highlight w:val="none"/>
          <w:lang w:val="en-US" w:eastAsia="zh-CN"/>
        </w:rPr>
      </w:pPr>
    </w:p>
    <w:p>
      <w:pPr>
        <w:adjustRightInd w:val="0"/>
        <w:snapToGrid w:val="0"/>
        <w:spacing w:line="500" w:lineRule="exact"/>
        <w:jc w:val="left"/>
        <w:rPr>
          <w:rFonts w:hint="eastAsia" w:ascii="宋体" w:hAnsi="宋体" w:eastAsia="宋体" w:cs="宋体"/>
          <w:i w:val="0"/>
          <w:iCs w:val="0"/>
          <w:caps w:val="0"/>
          <w:color w:val="auto"/>
          <w:spacing w:val="0"/>
          <w:sz w:val="28"/>
          <w:szCs w:val="28"/>
          <w:highlight w:val="none"/>
          <w:lang w:val="en-US" w:eastAsia="zh-CN"/>
        </w:rPr>
      </w:pPr>
    </w:p>
    <w:bookmarkEnd w:id="54"/>
    <w:bookmarkEnd w:id="55"/>
    <w:bookmarkEnd w:id="56"/>
    <w:p>
      <w:pPr>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lang w:eastAsia="zh-CN"/>
        </w:rPr>
      </w:pPr>
    </w:p>
    <w:p>
      <w:pPr>
        <w:pStyle w:val="20"/>
        <w:jc w:val="both"/>
        <w:rPr>
          <w:rFonts w:hint="eastAsia" w:ascii="宋体" w:hAnsi="宋体" w:eastAsia="宋体" w:cs="宋体"/>
          <w:b/>
          <w:color w:val="auto"/>
          <w:kern w:val="2"/>
          <w:sz w:val="32"/>
          <w:szCs w:val="32"/>
          <w:highlight w:val="none"/>
          <w:lang w:val="en-US" w:eastAsia="zh-CN" w:bidi="ar-SA"/>
        </w:rPr>
      </w:pPr>
    </w:p>
    <w:p>
      <w:pPr>
        <w:pStyle w:val="20"/>
        <w:ind w:firstLine="2570" w:firstLineChars="800"/>
        <w:jc w:val="both"/>
        <w:rPr>
          <w:rFonts w:hint="eastAsia" w:ascii="宋体" w:hAnsi="宋体" w:eastAsia="宋体" w:cs="宋体"/>
          <w:b/>
          <w:color w:val="auto"/>
          <w:kern w:val="2"/>
          <w:sz w:val="32"/>
          <w:szCs w:val="32"/>
          <w:highlight w:val="none"/>
          <w:lang w:val="en-US" w:eastAsia="zh-CN" w:bidi="ar-SA"/>
        </w:rPr>
      </w:pPr>
    </w:p>
    <w:p>
      <w:pPr>
        <w:pStyle w:val="20"/>
        <w:ind w:firstLine="2570" w:firstLineChars="800"/>
        <w:jc w:val="both"/>
        <w:rPr>
          <w:rFonts w:hint="eastAsia" w:ascii="宋体" w:hAnsi="宋体" w:eastAsia="宋体" w:cs="宋体"/>
          <w:b/>
          <w:color w:val="auto"/>
          <w:kern w:val="2"/>
          <w:sz w:val="32"/>
          <w:szCs w:val="32"/>
          <w:highlight w:val="none"/>
          <w:lang w:val="en-US" w:eastAsia="zh-CN" w:bidi="ar-SA"/>
        </w:rPr>
      </w:pPr>
    </w:p>
    <w:p>
      <w:pPr>
        <w:pStyle w:val="20"/>
        <w:jc w:val="both"/>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 xml:space="preserve"> </w:t>
      </w:r>
    </w:p>
    <w:p>
      <w:pPr>
        <w:pStyle w:val="20"/>
        <w:numPr>
          <w:ilvl w:val="0"/>
          <w:numId w:val="16"/>
        </w:numPr>
        <w:ind w:firstLine="2570" w:firstLineChars="80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 xml:space="preserve"> 图纸</w:t>
      </w:r>
      <w:bookmarkEnd w:id="52"/>
      <w:bookmarkEnd w:id="53"/>
      <w:bookmarkStart w:id="57" w:name="EB494e10445b284177a9350c3e96722e55"/>
    </w:p>
    <w:p>
      <w:pPr>
        <w:pStyle w:val="20"/>
        <w:numPr>
          <w:ilvl w:val="0"/>
          <w:numId w:val="0"/>
        </w:numPr>
        <w:jc w:val="both"/>
        <w:rPr>
          <w:rFonts w:hint="eastAsia" w:ascii="宋体" w:hAnsi="宋体" w:eastAsia="宋体" w:cs="宋体"/>
          <w:b/>
          <w:bCs w:val="0"/>
          <w:color w:val="auto"/>
          <w:kern w:val="2"/>
          <w:sz w:val="32"/>
          <w:szCs w:val="32"/>
          <w:highlight w:val="none"/>
          <w:lang w:val="en-US" w:eastAsia="zh-CN" w:bidi="ar-SA"/>
        </w:rPr>
      </w:pPr>
    </w:p>
    <w:bookmarkEnd w:id="57"/>
    <w:p>
      <w:pPr>
        <w:pStyle w:val="4"/>
        <w:rPr>
          <w:rFonts w:hint="eastAsia" w:ascii="宋体" w:hAnsi="宋体" w:eastAsia="宋体" w:cs="宋体"/>
          <w:color w:val="auto"/>
          <w:highlight w:val="none"/>
        </w:rPr>
      </w:pPr>
    </w:p>
    <w:p>
      <w:pPr>
        <w:pStyle w:val="4"/>
        <w:keepNext/>
        <w:keepLines/>
        <w:widowControl w:val="0"/>
        <w:numPr>
          <w:ilvl w:val="0"/>
          <w:numId w:val="0"/>
        </w:numPr>
        <w:spacing w:before="260" w:beforeLines="0" w:after="260" w:afterLines="0" w:line="413" w:lineRule="auto"/>
        <w:jc w:val="both"/>
        <w:outlineLvl w:val="2"/>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50"/>
    <w:p>
      <w:pPr>
        <w:pStyle w:val="2"/>
        <w:pageBreakBefore/>
        <w:numPr>
          <w:ilvl w:val="0"/>
          <w:numId w:val="0"/>
        </w:numPr>
        <w:ind w:firstLine="2249" w:firstLineChars="700"/>
        <w:jc w:val="both"/>
        <w:rPr>
          <w:rFonts w:hint="eastAsia" w:ascii="宋体" w:hAnsi="宋体" w:eastAsia="宋体" w:cs="宋体"/>
          <w:color w:val="auto"/>
          <w:sz w:val="32"/>
          <w:szCs w:val="32"/>
          <w:highlight w:val="none"/>
        </w:rPr>
      </w:pPr>
      <w:bookmarkStart w:id="58" w:name="_Toc256000044"/>
      <w:bookmarkStart w:id="59" w:name="_Toc529952602"/>
      <w:r>
        <w:rPr>
          <w:rFonts w:hint="eastAsia" w:ascii="宋体" w:hAnsi="宋体" w:eastAsia="宋体" w:cs="宋体"/>
          <w:color w:val="auto"/>
          <w:sz w:val="32"/>
          <w:szCs w:val="32"/>
          <w:highlight w:val="none"/>
          <w:lang w:eastAsia="zh-CN"/>
        </w:rPr>
        <w:t>第</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lang w:eastAsia="zh-CN"/>
        </w:rPr>
        <w:t>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响应文件格式</w:t>
      </w:r>
      <w:bookmarkEnd w:id="58"/>
      <w:bookmarkEnd w:id="59"/>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（目录自拟）</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7"/>
        <w:outlineLvl w:val="1"/>
        <w:rPr>
          <w:rFonts w:hint="eastAsia" w:ascii="宋体" w:hAnsi="宋体" w:eastAsia="宋体" w:cs="宋体"/>
          <w:color w:val="auto"/>
          <w:sz w:val="24"/>
          <w:highlight w:val="none"/>
        </w:rPr>
      </w:pPr>
      <w:bookmarkStart w:id="60" w:name="_Toc256000045"/>
      <w:r>
        <w:rPr>
          <w:rFonts w:hint="eastAsia" w:ascii="宋体" w:hAnsi="宋体" w:eastAsia="宋体" w:cs="宋体"/>
          <w:color w:val="auto"/>
          <w:sz w:val="24"/>
          <w:highlight w:val="none"/>
        </w:rPr>
        <w:t>一、投标文件封面</w:t>
      </w:r>
      <w:bookmarkEnd w:id="60"/>
    </w:p>
    <w:p>
      <w:pPr>
        <w:pStyle w:val="48"/>
        <w:spacing w:line="360" w:lineRule="auto"/>
        <w:rPr>
          <w:rFonts w:hint="eastAsia" w:ascii="宋体" w:hAnsi="宋体" w:eastAsia="宋体" w:cs="宋体"/>
          <w:b/>
          <w:color w:val="auto"/>
          <w:sz w:val="24"/>
          <w:highlight w:val="none"/>
        </w:rPr>
      </w:pPr>
    </w:p>
    <w:p>
      <w:pPr>
        <w:pStyle w:val="48"/>
        <w:spacing w:line="360" w:lineRule="auto"/>
        <w:jc w:val="center"/>
        <w:rPr>
          <w:rFonts w:hint="eastAsia" w:ascii="宋体" w:hAnsi="宋体" w:eastAsia="宋体" w:cs="宋体"/>
          <w:color w:val="auto"/>
          <w:sz w:val="24"/>
          <w:highlight w:val="none"/>
        </w:rPr>
      </w:pPr>
    </w:p>
    <w:p>
      <w:pPr>
        <w:pStyle w:val="4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p>
    <w:p>
      <w:pPr>
        <w:pStyle w:val="48"/>
        <w:spacing w:line="360" w:lineRule="auto"/>
        <w:jc w:val="center"/>
        <w:rPr>
          <w:rFonts w:hint="eastAsia" w:ascii="宋体" w:hAnsi="宋体" w:eastAsia="宋体" w:cs="宋体"/>
          <w:color w:val="auto"/>
          <w:sz w:val="24"/>
          <w:highlight w:val="none"/>
        </w:rPr>
      </w:pPr>
    </w:p>
    <w:p>
      <w:pPr>
        <w:pStyle w:val="48"/>
        <w:spacing w:line="360" w:lineRule="auto"/>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p>
    <w:p>
      <w:pPr>
        <w:pStyle w:val="48"/>
        <w:spacing w:line="360" w:lineRule="auto"/>
        <w:jc w:val="center"/>
        <w:rPr>
          <w:rFonts w:hint="eastAsia" w:ascii="宋体" w:hAnsi="宋体" w:eastAsia="宋体" w:cs="宋体"/>
          <w:color w:val="auto"/>
          <w:sz w:val="24"/>
          <w:highlight w:val="none"/>
        </w:rPr>
      </w:pPr>
    </w:p>
    <w:p>
      <w:pPr>
        <w:pStyle w:val="48"/>
        <w:spacing w:line="360" w:lineRule="auto"/>
        <w:jc w:val="center"/>
        <w:rPr>
          <w:rFonts w:hint="eastAsia" w:ascii="宋体" w:hAnsi="宋体" w:eastAsia="宋体" w:cs="宋体"/>
          <w:color w:val="auto"/>
          <w:sz w:val="24"/>
          <w:highlight w:val="none"/>
        </w:rPr>
      </w:pPr>
    </w:p>
    <w:p>
      <w:pPr>
        <w:pStyle w:val="48"/>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w:t>
      </w:r>
    </w:p>
    <w:p>
      <w:pPr>
        <w:pStyle w:val="48"/>
        <w:spacing w:line="360" w:lineRule="auto"/>
        <w:jc w:val="center"/>
        <w:rPr>
          <w:rFonts w:hint="eastAsia" w:ascii="宋体" w:hAnsi="宋体" w:eastAsia="宋体" w:cs="宋体"/>
          <w:color w:val="auto"/>
          <w:sz w:val="24"/>
          <w:highlight w:val="none"/>
        </w:rPr>
      </w:pPr>
    </w:p>
    <w:p>
      <w:pPr>
        <w:pStyle w:val="48"/>
        <w:spacing w:line="360" w:lineRule="auto"/>
        <w:jc w:val="center"/>
        <w:rPr>
          <w:rFonts w:hint="eastAsia" w:ascii="宋体" w:hAnsi="宋体" w:eastAsia="宋体" w:cs="宋体"/>
          <w:color w:val="auto"/>
          <w:sz w:val="24"/>
          <w:highlight w:val="none"/>
        </w:rPr>
      </w:pPr>
    </w:p>
    <w:p>
      <w:pPr>
        <w:pStyle w:val="48"/>
        <w:spacing w:line="360" w:lineRule="auto"/>
        <w:jc w:val="center"/>
        <w:rPr>
          <w:rFonts w:hint="eastAsia" w:ascii="宋体" w:hAnsi="宋体" w:eastAsia="宋体" w:cs="宋体"/>
          <w:b/>
          <w:color w:val="auto"/>
          <w:sz w:val="24"/>
          <w:highlight w:val="none"/>
        </w:rPr>
      </w:pPr>
    </w:p>
    <w:p>
      <w:pPr>
        <w:pStyle w:val="48"/>
        <w:spacing w:line="360" w:lineRule="auto"/>
        <w:jc w:val="center"/>
        <w:rPr>
          <w:rFonts w:hint="eastAsia" w:ascii="宋体" w:hAnsi="宋体" w:eastAsia="宋体" w:cs="宋体"/>
          <w:b/>
          <w:color w:val="auto"/>
          <w:sz w:val="24"/>
          <w:highlight w:val="none"/>
        </w:rPr>
      </w:pPr>
    </w:p>
    <w:p>
      <w:pPr>
        <w:pStyle w:val="48"/>
        <w:spacing w:line="360" w:lineRule="auto"/>
        <w:jc w:val="center"/>
        <w:rPr>
          <w:rFonts w:hint="eastAsia" w:ascii="宋体" w:hAnsi="宋体" w:eastAsia="宋体" w:cs="宋体"/>
          <w:b/>
          <w:color w:val="auto"/>
          <w:sz w:val="24"/>
          <w:highlight w:val="none"/>
        </w:rPr>
      </w:pPr>
    </w:p>
    <w:p>
      <w:pPr>
        <w:pStyle w:val="48"/>
        <w:spacing w:line="360" w:lineRule="auto"/>
        <w:jc w:val="center"/>
        <w:rPr>
          <w:rFonts w:hint="eastAsia" w:ascii="宋体" w:hAnsi="宋体" w:eastAsia="宋体" w:cs="宋体"/>
          <w:b/>
          <w:color w:val="auto"/>
          <w:sz w:val="24"/>
          <w:highlight w:val="none"/>
        </w:rPr>
      </w:pPr>
    </w:p>
    <w:p>
      <w:pPr>
        <w:pStyle w:val="48"/>
        <w:spacing w:line="360" w:lineRule="auto"/>
        <w:jc w:val="center"/>
        <w:rPr>
          <w:rFonts w:hint="eastAsia" w:ascii="宋体" w:hAnsi="宋体" w:eastAsia="宋体" w:cs="宋体"/>
          <w:b/>
          <w:color w:val="auto"/>
          <w:sz w:val="24"/>
          <w:highlight w:val="none"/>
        </w:rPr>
      </w:pPr>
    </w:p>
    <w:p>
      <w:pPr>
        <w:pStyle w:val="48"/>
        <w:spacing w:line="360" w:lineRule="auto"/>
        <w:jc w:val="center"/>
        <w:rPr>
          <w:rFonts w:hint="eastAsia" w:ascii="宋体" w:hAnsi="宋体" w:eastAsia="宋体" w:cs="宋体"/>
          <w:b/>
          <w:color w:val="auto"/>
          <w:sz w:val="24"/>
          <w:highlight w:val="none"/>
        </w:rPr>
      </w:pPr>
    </w:p>
    <w:p>
      <w:pPr>
        <w:pStyle w:val="48"/>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pPr>
        <w:pStyle w:val="48"/>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pPr>
        <w:pStyle w:val="48"/>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（年/月/日）</w:t>
      </w:r>
    </w:p>
    <w:p>
      <w:pPr>
        <w:pStyle w:val="49"/>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61" w:name="_Toc256000046"/>
    </w:p>
    <w:bookmarkEnd w:id="61"/>
    <w:p>
      <w:pPr>
        <w:pStyle w:val="64"/>
        <w:ind w:firstLine="4096" w:firstLineChars="1700"/>
        <w:outlineLvl w:val="1"/>
        <w:rPr>
          <w:rFonts w:hint="eastAsia" w:ascii="宋体" w:hAnsi="宋体" w:eastAsia="宋体" w:cs="宋体"/>
          <w:b/>
          <w:color w:val="auto"/>
          <w:sz w:val="24"/>
          <w:szCs w:val="24"/>
          <w:highlight w:val="none"/>
          <w:lang w:val="en-US" w:eastAsia="zh-CN" w:bidi="ar-SA"/>
        </w:rPr>
      </w:pPr>
      <w:bookmarkStart w:id="62" w:name="_Toc256000048"/>
      <w:r>
        <w:rPr>
          <w:rFonts w:hint="eastAsia" w:ascii="宋体" w:hAnsi="宋体" w:eastAsia="宋体" w:cs="宋体"/>
          <w:b/>
          <w:color w:val="auto"/>
          <w:sz w:val="24"/>
          <w:szCs w:val="24"/>
          <w:highlight w:val="none"/>
          <w:lang w:val="en-US" w:eastAsia="zh-CN" w:bidi="ar-SA"/>
        </w:rPr>
        <w:t xml:space="preserve">一、投标函    </w:t>
      </w:r>
    </w:p>
    <w:p>
      <w:pPr>
        <w:pStyle w:val="30"/>
        <w:spacing w:line="240" w:lineRule="auto"/>
        <w:ind w:firstLine="422" w:firstLineChars="200"/>
        <w:jc w:val="center"/>
        <w:rPr>
          <w:rFonts w:hint="eastAsia" w:ascii="宋体" w:hAnsi="宋体" w:eastAsia="宋体" w:cs="宋体"/>
          <w:b/>
          <w:color w:val="auto"/>
          <w:kern w:val="2"/>
          <w:sz w:val="21"/>
          <w:szCs w:val="21"/>
          <w:highlight w:val="none"/>
        </w:rPr>
      </w:pPr>
    </w:p>
    <w:p>
      <w:pPr>
        <w:spacing w:line="360" w:lineRule="auto"/>
        <w:rPr>
          <w:rFonts w:hint="eastAsia" w:ascii="宋体" w:hAnsi="宋体" w:eastAsia="宋体" w:cs="宋体"/>
          <w:bCs/>
          <w:color w:val="auto"/>
          <w:kern w:val="0"/>
          <w:sz w:val="21"/>
          <w:szCs w:val="21"/>
          <w:highlight w:val="none"/>
          <w:u w:val="single"/>
        </w:rPr>
      </w:pPr>
    </w:p>
    <w:p>
      <w:pPr>
        <w:spacing w:line="36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pPr>
        <w:pStyle w:val="51"/>
        <w:widowControl/>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我方全面研究了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”项目磋商文件（文件编号：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），决定参</w:t>
      </w:r>
    </w:p>
    <w:p>
      <w:pPr>
        <w:pStyle w:val="51"/>
        <w:widowControl/>
        <w:spacing w:line="36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加本项目竞争性磋商。我方授权</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（姓名、职务）代表我方（供应商的名称）全权处理本项目磋商的有关事宜。</w:t>
      </w:r>
    </w:p>
    <w:p>
      <w:pPr>
        <w:pStyle w:val="15"/>
        <w:widowControl/>
        <w:numPr>
          <w:ilvl w:val="0"/>
          <w:numId w:val="17"/>
        </w:numPr>
        <w:autoSpaceDE w:val="0"/>
        <w:autoSpaceDN w:val="0"/>
        <w:spacing w:line="360" w:lineRule="auto"/>
        <w:ind w:left="218" w:leftChars="104" w:firstLine="312" w:firstLineChars="149"/>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我方自愿按照磋商文件规定的各项要求向采购人提供所需工作内容，商务报价为￥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元（大写：人民币</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pPr>
        <w:pStyle w:val="15"/>
        <w:widowControl/>
        <w:numPr>
          <w:ilvl w:val="0"/>
          <w:numId w:val="17"/>
        </w:numPr>
        <w:autoSpaceDE w:val="0"/>
        <w:autoSpaceDN w:val="0"/>
        <w:spacing w:line="360" w:lineRule="auto"/>
        <w:ind w:left="218" w:leftChars="104" w:firstLine="312" w:firstLineChars="149"/>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我方承诺：本</w:t>
      </w:r>
      <w:r>
        <w:rPr>
          <w:rFonts w:hint="eastAsia" w:ascii="宋体" w:hAnsi="宋体" w:eastAsia="宋体" w:cs="宋体"/>
          <w:bCs/>
          <w:color w:val="auto"/>
          <w:kern w:val="0"/>
          <w:sz w:val="21"/>
          <w:szCs w:val="21"/>
          <w:highlight w:val="none"/>
          <w:lang w:eastAsia="zh-CN"/>
        </w:rPr>
        <w:t>项目</w:t>
      </w:r>
      <w:r>
        <w:rPr>
          <w:rFonts w:hint="eastAsia" w:ascii="宋体" w:hAnsi="宋体" w:eastAsia="宋体" w:cs="宋体"/>
          <w:bCs/>
          <w:color w:val="auto"/>
          <w:kern w:val="0"/>
          <w:sz w:val="21"/>
          <w:szCs w:val="21"/>
          <w:highlight w:val="none"/>
        </w:rPr>
        <w:t>的</w:t>
      </w:r>
      <w:r>
        <w:rPr>
          <w:rFonts w:hint="eastAsia" w:ascii="宋体" w:hAnsi="宋体" w:eastAsia="宋体" w:cs="宋体"/>
          <w:bCs/>
          <w:color w:val="auto"/>
          <w:kern w:val="0"/>
          <w:sz w:val="21"/>
          <w:szCs w:val="21"/>
          <w:highlight w:val="none"/>
          <w:lang w:eastAsia="zh-CN"/>
        </w:rPr>
        <w:t>服务期</w:t>
      </w:r>
      <w:r>
        <w:rPr>
          <w:rFonts w:hint="eastAsia" w:ascii="宋体" w:hAnsi="宋体" w:eastAsia="宋体" w:cs="宋体"/>
          <w:bCs/>
          <w:color w:val="auto"/>
          <w:kern w:val="0"/>
          <w:sz w:val="21"/>
          <w:szCs w:val="21"/>
          <w:highlight w:val="none"/>
        </w:rPr>
        <w:t>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；质量要求为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lang w:eastAsia="zh-CN"/>
        </w:rPr>
        <w:t>。</w:t>
      </w:r>
    </w:p>
    <w:p>
      <w:pPr>
        <w:pStyle w:val="15"/>
        <w:spacing w:line="360" w:lineRule="auto"/>
        <w:ind w:left="332" w:leftChars="158" w:firstLine="210" w:firstLineChars="1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3、若我方成交，我方将严格履行合同规定的责任和义务，保证按采购人要求及我方承诺完成所需工作内容及应尽义务。</w:t>
      </w:r>
    </w:p>
    <w:p>
      <w:pPr>
        <w:pStyle w:val="15"/>
        <w:spacing w:line="360" w:lineRule="auto"/>
        <w:ind w:left="237" w:leftChars="113" w:firstLine="344" w:firstLineChars="164"/>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4、其投标自递交响应文件截止之日起有效期为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个日历日。如果我们的投标被接受，则至合同生效时止，本投标始终有效，我们将按服务协议、投标承诺及采购文件的规定履行合同责任和义务。</w:t>
      </w:r>
    </w:p>
    <w:p>
      <w:pPr>
        <w:pStyle w:val="15"/>
        <w:spacing w:line="360" w:lineRule="auto"/>
        <w:ind w:firstLine="577" w:firstLineChars="275"/>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5、我方愿意提供采购人可能另外要求的，与磋商有关的文件资料，并保证我方已提供和将要提供的文件资料是真实、准确的。</w:t>
      </w:r>
    </w:p>
    <w:p>
      <w:pPr>
        <w:pStyle w:val="51"/>
        <w:widowControl/>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、我方完全理解采购人不一定将合同授予最低报价的供应商的行为。</w:t>
      </w:r>
    </w:p>
    <w:p>
      <w:pPr>
        <w:pStyle w:val="48"/>
        <w:rPr>
          <w:rFonts w:hint="eastAsia" w:ascii="宋体" w:hAnsi="宋体" w:eastAsia="宋体" w:cs="宋体"/>
          <w:color w:val="auto"/>
          <w:sz w:val="21"/>
          <w:szCs w:val="21"/>
          <w:highlight w:val="none"/>
        </w:rPr>
      </w:pPr>
    </w:p>
    <w:p>
      <w:pPr>
        <w:pStyle w:val="53"/>
        <w:adjustRightInd w:val="0"/>
        <w:snapToGrid w:val="0"/>
        <w:spacing w:line="500" w:lineRule="exact"/>
        <w:ind w:left="1077" w:leftChars="506" w:hanging="14" w:hangingChars="7"/>
        <w:rPr>
          <w:rFonts w:hint="eastAsia" w:ascii="宋体" w:hAnsi="宋体" w:eastAsia="宋体" w:cs="宋体"/>
          <w:color w:val="auto"/>
          <w:sz w:val="21"/>
          <w:szCs w:val="21"/>
          <w:highlight w:val="none"/>
        </w:rPr>
      </w:pPr>
    </w:p>
    <w:p>
      <w:pPr>
        <w:pStyle w:val="53"/>
        <w:adjustRightInd w:val="0"/>
        <w:snapToGrid w:val="0"/>
        <w:spacing w:line="500" w:lineRule="exact"/>
        <w:ind w:left="1077" w:leftChars="506" w:hanging="14" w:hangingChars="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投标人名称（盖章）：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53"/>
        <w:adjustRightInd w:val="0"/>
        <w:snapToGrid w:val="0"/>
        <w:spacing w:line="500" w:lineRule="exact"/>
        <w:ind w:left="1077" w:leftChars="506" w:hanging="14" w:hangingChars="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投标人法定代表人或委托代理人（盖章或签字）：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30"/>
        <w:spacing w:line="400" w:lineRule="exact"/>
        <w:ind w:firstLine="420" w:firstLineChars="20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spacing w:before="91" w:line="223" w:lineRule="auto"/>
        <w:ind w:left="3337"/>
        <w:rPr>
          <w:rFonts w:hint="eastAsia" w:ascii="宋体" w:hAnsi="宋体" w:eastAsia="宋体" w:cs="宋体"/>
          <w:spacing w:val="-10"/>
          <w:sz w:val="28"/>
          <w:szCs w:val="28"/>
          <w:highlight w:val="none"/>
          <w14:textOutline w14:w="5105" w14:cap="sq" w14:cmpd="sng">
            <w14:solidFill>
              <w14:srgbClr w14:val="000000"/>
            </w14:solidFill>
            <w14:prstDash w14:val="solid"/>
            <w14:bevel/>
          </w14:textOutli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64"/>
        <w:ind w:firstLine="2811" w:firstLineChars="10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、磋商报价一览表</w:t>
      </w:r>
    </w:p>
    <w:p>
      <w:pPr>
        <w:pStyle w:val="65"/>
        <w:spacing w:after="156" w:afterLines="50" w:line="360" w:lineRule="auto"/>
        <w:jc w:val="left"/>
        <w:rPr>
          <w:rFonts w:hint="eastAsia" w:ascii="宋体" w:hAnsi="宋体" w:eastAsia="宋体" w:cs="宋体"/>
          <w:color w:val="auto"/>
          <w:sz w:val="21"/>
          <w:szCs w:val="21"/>
          <w:highlight w:val="none"/>
        </w:rPr>
      </w:pPr>
    </w:p>
    <w:p>
      <w:pPr>
        <w:pStyle w:val="65"/>
        <w:spacing w:after="156" w:afterLines="50"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                                 报价单位：人民币元</w:t>
      </w:r>
    </w:p>
    <w:tbl>
      <w:tblPr>
        <w:tblStyle w:val="2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供应商全称</w:t>
            </w:r>
          </w:p>
        </w:tc>
        <w:tc>
          <w:tcPr>
            <w:tcW w:w="7371" w:type="dxa"/>
            <w:gridSpan w:val="2"/>
            <w:noWrap w:val="0"/>
            <w:vAlign w:val="center"/>
          </w:tcPr>
          <w:p>
            <w:pPr>
              <w:pStyle w:val="65"/>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总报价（元）</w:t>
            </w:r>
          </w:p>
        </w:tc>
        <w:tc>
          <w:tcPr>
            <w:tcW w:w="1501" w:type="dxa"/>
            <w:tcBorders>
              <w:bottom w:val="single" w:color="auto" w:sz="4" w:space="0"/>
            </w:tcBorders>
            <w:noWrap w:val="0"/>
            <w:vAlign w:val="center"/>
          </w:tcPr>
          <w:p>
            <w:pPr>
              <w:pStyle w:val="6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c>
          <w:tcPr>
            <w:tcW w:w="5870" w:type="dxa"/>
            <w:tcBorders>
              <w:bottom w:val="single" w:color="auto" w:sz="4" w:space="0"/>
            </w:tcBorders>
            <w:noWrap w:val="0"/>
            <w:vAlign w:val="center"/>
          </w:tcPr>
          <w:p>
            <w:pPr>
              <w:pStyle w:val="65"/>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65"/>
              <w:spacing w:line="360" w:lineRule="auto"/>
              <w:jc w:val="left"/>
              <w:rPr>
                <w:rFonts w:hint="eastAsia" w:ascii="宋体" w:hAnsi="宋体" w:eastAsia="宋体" w:cs="宋体"/>
                <w:color w:val="auto"/>
                <w:sz w:val="21"/>
                <w:szCs w:val="21"/>
                <w:highlight w:val="none"/>
              </w:rPr>
            </w:pPr>
          </w:p>
        </w:tc>
        <w:tc>
          <w:tcPr>
            <w:tcW w:w="1501" w:type="dxa"/>
            <w:tcBorders>
              <w:bottom w:val="single" w:color="auto" w:sz="4" w:space="0"/>
            </w:tcBorders>
            <w:noWrap w:val="0"/>
            <w:vAlign w:val="center"/>
          </w:tcPr>
          <w:p>
            <w:pPr>
              <w:pStyle w:val="6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5870" w:type="dxa"/>
            <w:tcBorders>
              <w:bottom w:val="single" w:color="auto" w:sz="4" w:space="0"/>
            </w:tcBorders>
            <w:noWrap w:val="0"/>
            <w:vAlign w:val="center"/>
          </w:tcPr>
          <w:p>
            <w:pPr>
              <w:pStyle w:val="65"/>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7371" w:type="dxa"/>
            <w:gridSpan w:val="2"/>
            <w:noWrap w:val="0"/>
            <w:vAlign w:val="center"/>
          </w:tcPr>
          <w:p>
            <w:pPr>
              <w:pStyle w:val="65"/>
              <w:spacing w:line="360" w:lineRule="auto"/>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7371" w:type="dxa"/>
            <w:gridSpan w:val="2"/>
            <w:noWrap w:val="0"/>
            <w:vAlign w:val="center"/>
          </w:tcPr>
          <w:p>
            <w:pPr>
              <w:pStyle w:val="65"/>
              <w:spacing w:line="360" w:lineRule="auto"/>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5"/>
              <w:spacing w:line="360" w:lineRule="auto"/>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371" w:type="dxa"/>
            <w:gridSpan w:val="2"/>
            <w:noWrap w:val="0"/>
            <w:vAlign w:val="center"/>
          </w:tcPr>
          <w:p>
            <w:pPr>
              <w:pStyle w:val="65"/>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供应商在磋商文件中规定的实质性要求和条件的基础上，可做出其他有利于采购人的承诺。此类承诺可在本表中予以补充填写。</w:t>
            </w:r>
          </w:p>
        </w:tc>
      </w:tr>
    </w:tbl>
    <w:p>
      <w:pPr>
        <w:pStyle w:val="65"/>
        <w:spacing w:line="360" w:lineRule="auto"/>
        <w:ind w:firstLine="420" w:firstLineChars="200"/>
        <w:rPr>
          <w:rFonts w:hint="eastAsia" w:ascii="宋体" w:hAnsi="宋体" w:eastAsia="宋体" w:cs="宋体"/>
          <w:color w:val="auto"/>
          <w:sz w:val="21"/>
          <w:szCs w:val="21"/>
          <w:highlight w:val="none"/>
        </w:rPr>
      </w:pPr>
    </w:p>
    <w:p>
      <w:pPr>
        <w:pStyle w:val="65"/>
        <w:spacing w:before="50"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p>
    <w:p>
      <w:pPr>
        <w:pStyle w:val="6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供应商名称(签章)：</w:t>
      </w:r>
    </w:p>
    <w:p>
      <w:pPr>
        <w:pStyle w:val="6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lang w:val="en-US" w:eastAsia="zh-CN"/>
        </w:rPr>
      </w:pPr>
    </w:p>
    <w:p>
      <w:pPr>
        <w:pStyle w:val="54"/>
        <w:outlineLvl w:val="1"/>
        <w:rPr>
          <w:rFonts w:hint="eastAsia" w:ascii="宋体" w:hAnsi="宋体" w:eastAsia="宋体" w:cs="宋体"/>
          <w:color w:val="auto"/>
          <w:sz w:val="21"/>
          <w:szCs w:val="21"/>
          <w:highlight w:val="none"/>
          <w:lang w:val="en-US" w:eastAsia="zh-CN"/>
        </w:rPr>
      </w:pPr>
    </w:p>
    <w:p>
      <w:pPr>
        <w:pStyle w:val="54"/>
        <w:ind w:firstLine="2951" w:firstLineChars="1400"/>
        <w:outlineLvl w:val="1"/>
        <w:rPr>
          <w:rFonts w:hint="eastAsia" w:ascii="宋体" w:hAnsi="宋体" w:eastAsia="宋体" w:cs="宋体"/>
          <w:color w:val="auto"/>
          <w:sz w:val="21"/>
          <w:szCs w:val="21"/>
          <w:highlight w:val="none"/>
          <w:lang w:val="en-US" w:eastAsia="zh-CN"/>
        </w:rPr>
      </w:pPr>
    </w:p>
    <w:p>
      <w:pPr>
        <w:pStyle w:val="54"/>
        <w:ind w:firstLine="2951" w:firstLineChars="1400"/>
        <w:outlineLvl w:val="1"/>
        <w:rPr>
          <w:rFonts w:hint="eastAsia" w:ascii="宋体" w:hAnsi="宋体" w:eastAsia="宋体" w:cs="宋体"/>
          <w:color w:val="auto"/>
          <w:sz w:val="21"/>
          <w:szCs w:val="21"/>
          <w:highlight w:val="none"/>
          <w:lang w:val="en-US" w:eastAsia="zh-CN"/>
        </w:rPr>
      </w:pPr>
    </w:p>
    <w:p>
      <w:pPr>
        <w:pStyle w:val="54"/>
        <w:ind w:firstLine="2951" w:firstLineChars="1400"/>
        <w:outlineLvl w:val="1"/>
        <w:rPr>
          <w:rFonts w:hint="eastAsia" w:ascii="宋体" w:hAnsi="宋体" w:eastAsia="宋体" w:cs="宋体"/>
          <w:color w:val="auto"/>
          <w:sz w:val="21"/>
          <w:szCs w:val="21"/>
          <w:highlight w:val="none"/>
          <w:lang w:val="en-US" w:eastAsia="zh-CN"/>
        </w:rPr>
      </w:pPr>
    </w:p>
    <w:p>
      <w:pPr>
        <w:pStyle w:val="54"/>
        <w:ind w:firstLine="2951" w:firstLineChars="1400"/>
        <w:outlineLvl w:val="1"/>
        <w:rPr>
          <w:rFonts w:hint="eastAsia" w:ascii="宋体" w:hAnsi="宋体" w:eastAsia="宋体" w:cs="宋体"/>
          <w:color w:val="auto"/>
          <w:sz w:val="21"/>
          <w:szCs w:val="21"/>
          <w:highlight w:val="none"/>
          <w:lang w:val="en-US" w:eastAsia="zh-CN"/>
        </w:rPr>
      </w:pPr>
    </w:p>
    <w:p>
      <w:pPr>
        <w:pStyle w:val="54"/>
        <w:ind w:firstLine="2530" w:firstLineChars="9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已标价的工程量清单</w:t>
      </w: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1"/>
          <w:szCs w:val="21"/>
          <w:highlight w:val="none"/>
        </w:rPr>
      </w:pPr>
    </w:p>
    <w:p>
      <w:pPr>
        <w:pStyle w:val="54"/>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、法定代表人身份证明或附有法定代表人身份证明的授权书</w:t>
      </w:r>
      <w:bookmarkEnd w:id="62"/>
    </w:p>
    <w:p>
      <w:pPr>
        <w:pStyle w:val="55"/>
        <w:spacing w:line="360" w:lineRule="auto"/>
        <w:ind w:firstLine="420"/>
        <w:jc w:val="center"/>
        <w:rPr>
          <w:rFonts w:hint="eastAsia" w:ascii="宋体" w:hAnsi="宋体" w:eastAsia="宋体" w:cs="宋体"/>
          <w:color w:val="auto"/>
          <w:sz w:val="21"/>
          <w:szCs w:val="21"/>
          <w:highlight w:val="none"/>
        </w:rPr>
      </w:pPr>
    </w:p>
    <w:p>
      <w:pPr>
        <w:pStyle w:val="55"/>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法定代表人身份证明</w:t>
      </w:r>
    </w:p>
    <w:p>
      <w:pPr>
        <w:pStyle w:val="55"/>
        <w:spacing w:line="360" w:lineRule="auto"/>
        <w:ind w:firstLine="480"/>
        <w:rPr>
          <w:rFonts w:hint="eastAsia" w:ascii="宋体" w:hAnsi="宋体" w:eastAsia="宋体" w:cs="宋体"/>
          <w:color w:val="auto"/>
          <w:sz w:val="21"/>
          <w:szCs w:val="21"/>
          <w:highlight w:val="none"/>
        </w:rPr>
      </w:pPr>
    </w:p>
    <w:p>
      <w:pPr>
        <w:pStyle w:val="55"/>
        <w:spacing w:line="360" w:lineRule="auto"/>
        <w:ind w:firstLine="420"/>
        <w:rPr>
          <w:rFonts w:hint="eastAsia" w:ascii="宋体" w:hAnsi="宋体" w:eastAsia="宋体" w:cs="宋体"/>
          <w:color w:val="auto"/>
          <w:sz w:val="21"/>
          <w:szCs w:val="21"/>
          <w:highlight w:val="none"/>
        </w:rPr>
      </w:pP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 xml:space="preserve">                                             </w:t>
      </w: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xml:space="preserve">                                             </w:t>
      </w:r>
    </w:p>
    <w:p>
      <w:pPr>
        <w:pStyle w:val="55"/>
        <w:spacing w:line="360" w:lineRule="auto"/>
        <w:ind w:firstLine="420"/>
        <w:rPr>
          <w:rFonts w:hint="eastAsia" w:ascii="宋体" w:hAnsi="宋体" w:eastAsia="宋体" w:cs="宋体"/>
          <w:color w:val="auto"/>
          <w:sz w:val="21"/>
          <w:szCs w:val="21"/>
          <w:highlight w:val="none"/>
        </w:rPr>
      </w:pP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pPr>
        <w:pStyle w:val="55"/>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pPr>
        <w:pStyle w:val="55"/>
        <w:spacing w:line="360" w:lineRule="auto"/>
        <w:rPr>
          <w:rFonts w:hint="eastAsia" w:ascii="宋体" w:hAnsi="宋体" w:eastAsia="宋体" w:cs="宋体"/>
          <w:color w:val="auto"/>
          <w:sz w:val="21"/>
          <w:szCs w:val="21"/>
          <w:highlight w:val="none"/>
        </w:rPr>
      </w:pP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（供应商）的法定代表人。</w:t>
      </w: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Style w:val="55"/>
        <w:spacing w:line="360" w:lineRule="auto"/>
        <w:ind w:firstLine="420"/>
        <w:rPr>
          <w:rFonts w:hint="eastAsia" w:ascii="宋体" w:hAnsi="宋体" w:eastAsia="宋体" w:cs="宋体"/>
          <w:color w:val="auto"/>
          <w:sz w:val="21"/>
          <w:szCs w:val="21"/>
          <w:highlight w:val="none"/>
        </w:rPr>
      </w:pPr>
    </w:p>
    <w:p>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附：法定代表人身份证复印件正反面</w:t>
      </w:r>
    </w:p>
    <w:tbl>
      <w:tblPr>
        <w:tblStyle w:val="23"/>
        <w:tblpPr w:leftFromText="180" w:rightFromText="180" w:vertAnchor="text" w:horzAnchor="page" w:tblpX="2313"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56"/>
              <w:adjustRightInd w:val="0"/>
              <w:snapToGrid w:val="0"/>
              <w:spacing w:line="400" w:lineRule="exact"/>
              <w:jc w:val="center"/>
              <w:rPr>
                <w:rFonts w:hint="eastAsia" w:ascii="宋体" w:hAnsi="宋体" w:eastAsia="宋体" w:cs="宋体"/>
                <w:color w:val="auto"/>
                <w:sz w:val="21"/>
                <w:szCs w:val="21"/>
                <w:highlight w:val="none"/>
              </w:rPr>
            </w:pPr>
          </w:p>
          <w:p>
            <w:pPr>
              <w:pStyle w:val="56"/>
              <w:adjustRightInd w:val="0"/>
              <w:snapToGrid w:val="0"/>
              <w:spacing w:line="400" w:lineRule="exact"/>
              <w:jc w:val="center"/>
              <w:rPr>
                <w:rFonts w:hint="eastAsia" w:ascii="宋体" w:hAnsi="宋体" w:eastAsia="宋体" w:cs="宋体"/>
                <w:color w:val="auto"/>
                <w:sz w:val="21"/>
                <w:szCs w:val="21"/>
                <w:highlight w:val="none"/>
              </w:rPr>
            </w:pPr>
          </w:p>
          <w:p>
            <w:pPr>
              <w:tabs>
                <w:tab w:val="left" w:pos="360"/>
                <w:tab w:val="left" w:pos="180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法定代表身份证复印件或扫描件（正、反两面）</w:t>
            </w:r>
          </w:p>
          <w:p>
            <w:pPr>
              <w:pStyle w:val="56"/>
              <w:adjustRightInd w:val="0"/>
              <w:snapToGrid w:val="0"/>
              <w:spacing w:line="400" w:lineRule="exact"/>
              <w:jc w:val="center"/>
              <w:rPr>
                <w:rFonts w:hint="eastAsia" w:ascii="宋体" w:hAnsi="宋体" w:eastAsia="宋体" w:cs="宋体"/>
                <w:color w:val="auto"/>
                <w:sz w:val="21"/>
                <w:szCs w:val="21"/>
                <w:highlight w:val="none"/>
              </w:rPr>
            </w:pPr>
          </w:p>
        </w:tc>
      </w:tr>
    </w:tbl>
    <w:p>
      <w:pPr>
        <w:pStyle w:val="55"/>
        <w:spacing w:line="360" w:lineRule="auto"/>
        <w:ind w:firstLine="420"/>
        <w:rPr>
          <w:rFonts w:hint="eastAsia" w:ascii="宋体" w:hAnsi="宋体" w:eastAsia="宋体" w:cs="宋体"/>
          <w:color w:val="auto"/>
          <w:sz w:val="21"/>
          <w:szCs w:val="21"/>
          <w:highlight w:val="none"/>
        </w:rPr>
      </w:pPr>
    </w:p>
    <w:p>
      <w:pPr>
        <w:pStyle w:val="55"/>
        <w:spacing w:line="360" w:lineRule="auto"/>
        <w:ind w:firstLine="420"/>
        <w:rPr>
          <w:rFonts w:hint="eastAsia" w:ascii="宋体" w:hAnsi="宋体" w:eastAsia="宋体" w:cs="宋体"/>
          <w:color w:val="auto"/>
          <w:sz w:val="21"/>
          <w:szCs w:val="21"/>
          <w:highlight w:val="none"/>
        </w:rPr>
      </w:pPr>
    </w:p>
    <w:p>
      <w:pPr>
        <w:pStyle w:val="55"/>
        <w:spacing w:line="360" w:lineRule="auto"/>
        <w:ind w:firstLine="420"/>
        <w:rPr>
          <w:rFonts w:hint="eastAsia" w:ascii="宋体" w:hAnsi="宋体" w:eastAsia="宋体" w:cs="宋体"/>
          <w:color w:val="auto"/>
          <w:sz w:val="21"/>
          <w:szCs w:val="21"/>
          <w:highlight w:val="none"/>
        </w:rPr>
      </w:pPr>
    </w:p>
    <w:p>
      <w:pPr>
        <w:pStyle w:val="55"/>
        <w:spacing w:line="360" w:lineRule="auto"/>
        <w:ind w:firstLine="4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pPr>
        <w:pStyle w:val="55"/>
        <w:spacing w:line="360" w:lineRule="auto"/>
        <w:ind w:firstLine="420"/>
        <w:jc w:val="center"/>
        <w:rPr>
          <w:rFonts w:hint="eastAsia" w:ascii="宋体" w:hAnsi="宋体" w:eastAsia="宋体" w:cs="宋体"/>
          <w:color w:val="auto"/>
          <w:sz w:val="21"/>
          <w:szCs w:val="21"/>
          <w:highlight w:val="none"/>
          <w:lang w:val="en-US" w:eastAsia="zh-CN"/>
        </w:rPr>
      </w:pPr>
    </w:p>
    <w:p>
      <w:pPr>
        <w:pStyle w:val="55"/>
        <w:spacing w:line="360" w:lineRule="auto"/>
        <w:ind w:firstLine="420"/>
        <w:jc w:val="center"/>
        <w:rPr>
          <w:rFonts w:hint="eastAsia" w:ascii="宋体" w:hAnsi="宋体" w:eastAsia="宋体" w:cs="宋体"/>
          <w:color w:val="auto"/>
          <w:sz w:val="21"/>
          <w:szCs w:val="21"/>
          <w:highlight w:val="none"/>
          <w:lang w:val="en-US" w:eastAsia="zh-CN"/>
        </w:rPr>
      </w:pPr>
    </w:p>
    <w:p>
      <w:pPr>
        <w:pStyle w:val="55"/>
        <w:spacing w:line="360" w:lineRule="auto"/>
        <w:ind w:firstLine="420"/>
        <w:jc w:val="center"/>
        <w:rPr>
          <w:rFonts w:hint="eastAsia" w:ascii="宋体" w:hAnsi="宋体" w:eastAsia="宋体" w:cs="宋体"/>
          <w:color w:val="auto"/>
          <w:sz w:val="21"/>
          <w:szCs w:val="21"/>
          <w:highlight w:val="none"/>
          <w:lang w:val="en-US" w:eastAsia="zh-CN"/>
        </w:rPr>
      </w:pPr>
    </w:p>
    <w:p>
      <w:pPr>
        <w:pStyle w:val="55"/>
        <w:spacing w:line="360" w:lineRule="auto"/>
        <w:ind w:firstLine="420"/>
        <w:jc w:val="center"/>
        <w:rPr>
          <w:rFonts w:hint="eastAsia" w:ascii="宋体" w:hAnsi="宋体" w:eastAsia="宋体" w:cs="宋体"/>
          <w:color w:val="auto"/>
          <w:sz w:val="21"/>
          <w:szCs w:val="21"/>
          <w:highlight w:val="none"/>
          <w:lang w:val="en-US" w:eastAsia="zh-CN"/>
        </w:rPr>
      </w:pPr>
    </w:p>
    <w:p>
      <w:pPr>
        <w:pStyle w:val="55"/>
        <w:spacing w:line="360" w:lineRule="auto"/>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55"/>
        <w:spacing w:line="360" w:lineRule="auto"/>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供应商（签章）：</w:t>
      </w:r>
      <w:r>
        <w:rPr>
          <w:rFonts w:hint="eastAsia" w:ascii="宋体" w:hAnsi="宋体" w:eastAsia="宋体" w:cs="宋体"/>
          <w:color w:val="auto"/>
          <w:sz w:val="21"/>
          <w:szCs w:val="21"/>
          <w:highlight w:val="none"/>
          <w:u w:val="single"/>
        </w:rPr>
        <w:t xml:space="preserve">                           </w:t>
      </w:r>
    </w:p>
    <w:p>
      <w:pPr>
        <w:pStyle w:val="55"/>
        <w:spacing w:line="360" w:lineRule="auto"/>
        <w:ind w:firstLine="4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2741" w:firstLineChars="1300"/>
        <w:jc w:val="both"/>
        <w:rPr>
          <w:rFonts w:hint="eastAsia" w:ascii="宋体" w:hAnsi="宋体" w:eastAsia="宋体" w:cs="宋体"/>
          <w:b/>
          <w:bCs/>
          <w:color w:val="auto"/>
          <w:sz w:val="21"/>
          <w:szCs w:val="21"/>
          <w:highlight w:val="none"/>
          <w:lang w:val="zh-CN"/>
        </w:rPr>
      </w:pPr>
    </w:p>
    <w:p>
      <w:pPr>
        <w:pStyle w:val="55"/>
        <w:spacing w:line="360" w:lineRule="auto"/>
        <w:ind w:firstLine="3795" w:firstLineChars="1800"/>
        <w:jc w:val="both"/>
        <w:rPr>
          <w:rFonts w:hint="eastAsia" w:ascii="宋体" w:hAnsi="宋体" w:eastAsia="宋体" w:cs="宋体"/>
          <w:b/>
          <w:bCs/>
          <w:color w:val="auto"/>
          <w:sz w:val="21"/>
          <w:szCs w:val="21"/>
          <w:highlight w:val="none"/>
          <w:lang w:val="zh-CN"/>
        </w:rPr>
      </w:pPr>
    </w:p>
    <w:p>
      <w:pPr>
        <w:pStyle w:val="55"/>
        <w:spacing w:line="360" w:lineRule="auto"/>
        <w:ind w:firstLine="3795" w:firstLineChars="18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授权委托书</w:t>
      </w:r>
    </w:p>
    <w:p>
      <w:pPr>
        <w:pStyle w:val="57"/>
        <w:adjustRightInd w:val="0"/>
        <w:snapToGrid w:val="0"/>
        <w:spacing w:line="360" w:lineRule="auto"/>
        <w:rPr>
          <w:rFonts w:hint="eastAsia" w:ascii="宋体" w:hAnsi="宋体" w:eastAsia="宋体" w:cs="宋体"/>
          <w:color w:val="auto"/>
          <w:sz w:val="21"/>
          <w:szCs w:val="21"/>
          <w:highlight w:val="none"/>
        </w:rPr>
      </w:pPr>
    </w:p>
    <w:p>
      <w:pPr>
        <w:pStyle w:val="5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(供应商名称)的法定代表人，现授权委托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(姓名)为我公司本次磋商采购活动的授权代表，参加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项目的磋商采购活动。授权代表在磋商、合同签订过程中所签署的一切文件和处理与之有关的一切事务，我均予以承认。</w:t>
      </w:r>
    </w:p>
    <w:p>
      <w:pPr>
        <w:pStyle w:val="57"/>
        <w:adjustRightInd w:val="0"/>
        <w:snapToGrid w:val="0"/>
        <w:spacing w:line="360" w:lineRule="auto"/>
        <w:rPr>
          <w:rFonts w:hint="eastAsia" w:ascii="宋体" w:hAnsi="宋体" w:eastAsia="宋体" w:cs="宋体"/>
          <w:color w:val="auto"/>
          <w:sz w:val="21"/>
          <w:szCs w:val="21"/>
          <w:highlight w:val="none"/>
        </w:rPr>
      </w:pPr>
    </w:p>
    <w:p>
      <w:pPr>
        <w:pStyle w:val="57"/>
        <w:adjustRightInd w:val="0"/>
        <w:snapToGrid w:val="0"/>
        <w:spacing w:line="360" w:lineRule="auto"/>
        <w:ind w:left="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授权代表无转委托权。特此委托。</w:t>
      </w:r>
    </w:p>
    <w:p>
      <w:pPr>
        <w:pStyle w:val="57"/>
        <w:adjustRightInd w:val="0"/>
        <w:snapToGrid w:val="0"/>
        <w:spacing w:line="360" w:lineRule="auto"/>
        <w:ind w:left="412"/>
        <w:rPr>
          <w:rFonts w:hint="eastAsia" w:ascii="宋体" w:hAnsi="宋体" w:eastAsia="宋体" w:cs="宋体"/>
          <w:color w:val="auto"/>
          <w:sz w:val="21"/>
          <w:szCs w:val="21"/>
          <w:highlight w:val="none"/>
        </w:rPr>
      </w:pPr>
    </w:p>
    <w:p>
      <w:pPr>
        <w:pStyle w:val="57"/>
        <w:adjustRightInd w:val="0"/>
        <w:snapToGrid w:val="0"/>
        <w:spacing w:line="360" w:lineRule="auto"/>
        <w:ind w:left="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授权代表（姓名）：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性别：                    年龄：</w:t>
      </w:r>
    </w:p>
    <w:p>
      <w:pPr>
        <w:pStyle w:val="57"/>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           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部门：                    职务：</w:t>
      </w:r>
    </w:p>
    <w:p>
      <w:pPr>
        <w:pStyle w:val="57"/>
        <w:adjustRightInd w:val="0"/>
        <w:snapToGrid w:val="0"/>
        <w:spacing w:line="360" w:lineRule="auto"/>
        <w:ind w:firstLine="420"/>
        <w:rPr>
          <w:rFonts w:hint="eastAsia" w:ascii="宋体" w:hAnsi="宋体" w:eastAsia="宋体" w:cs="宋体"/>
          <w:color w:val="auto"/>
          <w:sz w:val="21"/>
          <w:szCs w:val="21"/>
          <w:highlight w:val="none"/>
        </w:rPr>
      </w:pPr>
    </w:p>
    <w:p>
      <w:pPr>
        <w:pStyle w:val="57"/>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r>
        <w:rPr>
          <w:rFonts w:hint="eastAsia" w:ascii="宋体" w:hAnsi="宋体" w:eastAsia="宋体" w:cs="宋体"/>
          <w:b/>
          <w:bCs/>
          <w:color w:val="auto"/>
          <w:sz w:val="21"/>
          <w:szCs w:val="21"/>
          <w:highlight w:val="none"/>
        </w:rPr>
        <w:t>授权代表身份证复印件正反面</w:t>
      </w:r>
    </w:p>
    <w:p>
      <w:pPr>
        <w:pStyle w:val="57"/>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2463800</wp:posOffset>
                </wp:positionH>
                <wp:positionV relativeFrom="paragraph">
                  <wp:posOffset>114300</wp:posOffset>
                </wp:positionV>
                <wp:extent cx="2971800" cy="1647190"/>
                <wp:effectExtent l="4445" t="4445" r="14605"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pt;margin-top:9pt;height:129.7pt;width:234pt;z-index:251660288;mso-width-relative:page;mso-height-relative:page;" fillcolor="#FFFFFF" filled="t" stroked="t" coordsize="21600,21600" o:gfxdata="UEsDBAoAAAAAAIdO4kAAAAAAAAAAAAAAAAAEAAAAZHJzL1BLAwQUAAAACACHTuJA8WjCyNoAAAAK&#10;AQAADwAAAGRycy9kb3ducmV2LnhtbE2PzU7DMBCE70i8g7VIXBB1WkgbhTgVAiFBJQ6UcnfixY4a&#10;r9PY/eHt2Z7gtLua0ew31fLke3HAMXaBFEwnGQikNpiOrILN58ttASImTUb3gVDBD0ZY1pcXlS5N&#10;ONIHHtbJCg6hWGoFLqWhlDK2Dr2OkzAgsfYdRq8Tn6OVZtRHDve9nGXZXHrdEX9wesAnh+12vfcK&#10;3vNXY3fNbvucm83w9nVjV271qNT11TR7AJHwlP7McMZndKiZqQl7MlH0Cu6KgrskFs6TDUU+56VR&#10;MFss7kHWlfxfof4F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FowsjaAAAACg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-774700</wp:posOffset>
                </wp:positionH>
                <wp:positionV relativeFrom="paragraph">
                  <wp:posOffset>111760</wp:posOffset>
                </wp:positionV>
                <wp:extent cx="2971800" cy="1624965"/>
                <wp:effectExtent l="4445" t="4445" r="14605" b="889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1pt;margin-top:8.8pt;height:127.95pt;width:234pt;z-index:-251657216;mso-width-relative:page;mso-height-relative:page;" fillcolor="#FFFFFF" filled="t" stroked="t" coordsize="21600,21600" o:gfxdata="UEsDBAoAAAAAAIdO4kAAAAAAAAAAAAAAAAAEAAAAZHJzL1BLAwQUAAAACACHTuJAw8P8odsAAAAL&#10;AQAADwAAAGRycy9kb3ducmV2LnhtbE2PzU7DMBCE70i8g7VIXFDrJCUpCnEqBEKCShwo5e7EixM1&#10;Xqex+8Pbs5zguDOj2W+q1dkN4ohT6D0pSOcJCKTWm56sgu3H8+wORIiajB48oYJvDLCqLy8qXRp/&#10;onc8bqIVXEKh1Aq6GMdSytB26HSY+xGJvS8/OR35nKw0kz5xuRtkliSFdLon/tDpER87bHebg1Pw&#10;lr8Yu2/2u6fcbMfXzxu77tYPSl1fpck9iIjn+BeGX3xGh5qZGn8gE8SgYJZmGY+J7CwLEJxY3BYs&#10;NAqy5SIHWVfy/4b6B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Dw/yh2wAAAAs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p>
    <w:p>
      <w:pPr>
        <w:pStyle w:val="57"/>
        <w:adjustRightInd w:val="0"/>
        <w:snapToGrid w:val="0"/>
        <w:spacing w:line="360" w:lineRule="auto"/>
        <w:ind w:firstLine="42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 (签章)：</w:t>
      </w:r>
    </w:p>
    <w:p>
      <w:pPr>
        <w:pStyle w:val="57"/>
        <w:adjustRightInd w:val="0"/>
        <w:snapToGrid w:val="0"/>
        <w:spacing w:line="360" w:lineRule="auto"/>
        <w:ind w:firstLine="4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(签章)：</w:t>
      </w:r>
    </w:p>
    <w:p>
      <w:pPr>
        <w:pStyle w:val="57"/>
        <w:adjustRightInd w:val="0"/>
        <w:snapToGrid w:val="0"/>
        <w:spacing w:line="360" w:lineRule="auto"/>
        <w:ind w:right="420"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58"/>
        <w:jc w:val="both"/>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63" w:name="_Toc256000050"/>
    </w:p>
    <w:p>
      <w:pPr>
        <w:pStyle w:val="58"/>
        <w:jc w:val="both"/>
        <w:outlineLvl w:val="1"/>
        <w:rPr>
          <w:rFonts w:hint="eastAsia" w:ascii="宋体" w:hAnsi="宋体" w:eastAsia="宋体" w:cs="宋体"/>
          <w:color w:val="auto"/>
          <w:sz w:val="21"/>
          <w:szCs w:val="21"/>
          <w:highlight w:val="none"/>
        </w:rPr>
      </w:pPr>
    </w:p>
    <w:p>
      <w:pPr>
        <w:pStyle w:val="58"/>
        <w:jc w:val="both"/>
        <w:outlineLvl w:val="1"/>
        <w:rPr>
          <w:rFonts w:hint="eastAsia" w:ascii="宋体" w:hAnsi="宋体" w:eastAsia="宋体" w:cs="宋体"/>
          <w:color w:val="auto"/>
          <w:sz w:val="21"/>
          <w:szCs w:val="21"/>
          <w:highlight w:val="none"/>
        </w:rPr>
      </w:pPr>
    </w:p>
    <w:p>
      <w:pPr>
        <w:pStyle w:val="58"/>
        <w:jc w:val="both"/>
        <w:outlineLvl w:val="1"/>
        <w:rPr>
          <w:rFonts w:hint="eastAsia" w:ascii="宋体" w:hAnsi="宋体" w:eastAsia="宋体" w:cs="宋体"/>
          <w:color w:val="auto"/>
          <w:sz w:val="28"/>
          <w:szCs w:val="28"/>
          <w:highlight w:val="none"/>
        </w:rPr>
      </w:pPr>
    </w:p>
    <w:p>
      <w:pPr>
        <w:pStyle w:val="58"/>
        <w:jc w:val="both"/>
        <w:outlineLvl w:val="1"/>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、《公平竞争承诺书》文件</w:t>
      </w:r>
      <w:bookmarkEnd w:id="63"/>
    </w:p>
    <w:p>
      <w:pPr>
        <w:spacing w:before="101" w:line="414" w:lineRule="exact"/>
        <w:rPr>
          <w:rFonts w:hint="eastAsia" w:ascii="宋体" w:hAnsi="宋体" w:cs="宋体"/>
          <w:b/>
          <w:color w:val="auto"/>
          <w:kern w:val="0"/>
          <w:sz w:val="28"/>
          <w:szCs w:val="28"/>
          <w:highlight w:val="none"/>
          <w:lang w:val="en-US" w:eastAsia="zh-CN" w:bidi="ar-SA"/>
        </w:rPr>
      </w:pPr>
    </w:p>
    <w:p>
      <w:pPr>
        <w:spacing w:before="101" w:line="414" w:lineRule="exact"/>
        <w:rPr>
          <w:rFonts w:hint="eastAsia" w:ascii="宋体" w:hAnsi="宋体" w:cs="宋体"/>
          <w:b/>
          <w:color w:val="auto"/>
          <w:kern w:val="0"/>
          <w:sz w:val="28"/>
          <w:szCs w:val="28"/>
          <w:highlight w:val="none"/>
          <w:lang w:val="en-US" w:eastAsia="zh-CN" w:bidi="ar-SA"/>
        </w:rPr>
      </w:pPr>
    </w:p>
    <w:p>
      <w:pPr>
        <w:spacing w:before="101" w:line="414" w:lineRule="exact"/>
        <w:rPr>
          <w:rFonts w:hint="eastAsia" w:ascii="宋体" w:hAnsi="宋体" w:cs="宋体"/>
          <w:b/>
          <w:color w:val="auto"/>
          <w:kern w:val="0"/>
          <w:sz w:val="28"/>
          <w:szCs w:val="28"/>
          <w:highlight w:val="none"/>
          <w:lang w:val="en-US" w:eastAsia="zh-CN" w:bidi="ar-SA"/>
        </w:rPr>
      </w:pPr>
    </w:p>
    <w:p>
      <w:pPr>
        <w:spacing w:before="101" w:line="414" w:lineRule="exact"/>
        <w:rPr>
          <w:rFonts w:hint="eastAsia" w:ascii="宋体" w:hAnsi="宋体" w:eastAsia="宋体" w:cs="宋体"/>
          <w:b/>
          <w:color w:val="auto"/>
          <w:kern w:val="0"/>
          <w:sz w:val="21"/>
          <w:szCs w:val="21"/>
          <w:highlight w:val="none"/>
          <w:lang w:val="en-US" w:eastAsia="zh-CN" w:bidi="ar-SA"/>
        </w:rPr>
      </w:pPr>
      <w:r>
        <w:rPr>
          <w:rFonts w:hint="eastAsia" w:ascii="宋体" w:hAnsi="宋体" w:cs="宋体"/>
          <w:b/>
          <w:color w:val="auto"/>
          <w:kern w:val="0"/>
          <w:sz w:val="28"/>
          <w:szCs w:val="28"/>
          <w:highlight w:val="none"/>
          <w:lang w:val="en-US" w:eastAsia="zh-CN" w:bidi="ar-SA"/>
        </w:rPr>
        <w:t>六</w:t>
      </w:r>
      <w:r>
        <w:rPr>
          <w:rFonts w:hint="eastAsia" w:ascii="宋体" w:hAnsi="宋体" w:eastAsia="宋体" w:cs="宋体"/>
          <w:b/>
          <w:color w:val="auto"/>
          <w:kern w:val="0"/>
          <w:sz w:val="28"/>
          <w:szCs w:val="28"/>
          <w:highlight w:val="none"/>
          <w:lang w:val="en-US" w:eastAsia="zh-CN" w:bidi="ar-SA"/>
        </w:rPr>
        <w:t xml:space="preserve">.供应商基本情况表    </w:t>
      </w:r>
      <w:r>
        <w:rPr>
          <w:rFonts w:hint="eastAsia" w:ascii="宋体" w:hAnsi="宋体" w:eastAsia="宋体" w:cs="宋体"/>
          <w:b/>
          <w:color w:val="auto"/>
          <w:kern w:val="0"/>
          <w:sz w:val="21"/>
          <w:szCs w:val="21"/>
          <w:highlight w:val="none"/>
          <w:lang w:val="en-US" w:eastAsia="zh-CN" w:bidi="ar-SA"/>
        </w:rPr>
        <w:t xml:space="preserve">             表 </w:t>
      </w:r>
      <w:r>
        <w:rPr>
          <w:rFonts w:hint="eastAsia" w:ascii="宋体" w:hAnsi="宋体" w:cs="宋体"/>
          <w:b/>
          <w:color w:val="auto"/>
          <w:kern w:val="0"/>
          <w:sz w:val="21"/>
          <w:szCs w:val="21"/>
          <w:highlight w:val="none"/>
          <w:lang w:val="en-US" w:eastAsia="zh-CN" w:bidi="ar-SA"/>
        </w:rPr>
        <w:t>6</w:t>
      </w:r>
      <w:r>
        <w:rPr>
          <w:rFonts w:hint="eastAsia" w:ascii="宋体" w:hAnsi="宋体" w:eastAsia="宋体" w:cs="宋体"/>
          <w:b/>
          <w:color w:val="auto"/>
          <w:kern w:val="0"/>
          <w:sz w:val="21"/>
          <w:szCs w:val="21"/>
          <w:highlight w:val="none"/>
          <w:lang w:val="en-US" w:eastAsia="zh-CN" w:bidi="ar-SA"/>
        </w:rPr>
        <w:t>.1</w:t>
      </w:r>
    </w:p>
    <w:p>
      <w:pPr>
        <w:spacing w:line="206" w:lineRule="exact"/>
        <w:rPr>
          <w:rFonts w:hint="eastAsia" w:ascii="宋体" w:hAnsi="宋体" w:eastAsia="宋体" w:cs="宋体"/>
          <w:highlight w:val="none"/>
        </w:rPr>
      </w:pPr>
    </w:p>
    <w:tbl>
      <w:tblPr>
        <w:tblStyle w:val="82"/>
        <w:tblW w:w="856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188"/>
        <w:gridCol w:w="1001"/>
        <w:gridCol w:w="1236"/>
        <w:gridCol w:w="1255"/>
        <w:gridCol w:w="400"/>
        <w:gridCol w:w="532"/>
        <w:gridCol w:w="1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1567" w:type="dxa"/>
            <w:vAlign w:val="top"/>
          </w:tcPr>
          <w:p>
            <w:pPr>
              <w:spacing w:before="235" w:line="229" w:lineRule="auto"/>
              <w:ind w:left="196"/>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供</w:t>
            </w:r>
            <w:r>
              <w:rPr>
                <w:rFonts w:hint="eastAsia" w:ascii="宋体" w:hAnsi="宋体" w:eastAsia="宋体" w:cs="宋体"/>
                <w:spacing w:val="6"/>
                <w:sz w:val="21"/>
                <w:szCs w:val="21"/>
                <w:highlight w:val="none"/>
              </w:rPr>
              <w:t>应商名称</w:t>
            </w:r>
          </w:p>
        </w:tc>
        <w:tc>
          <w:tcPr>
            <w:tcW w:w="6997" w:type="dxa"/>
            <w:gridSpan w:val="7"/>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pPr>
              <w:spacing w:before="209" w:line="232" w:lineRule="auto"/>
              <w:ind w:left="32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注</w:t>
            </w:r>
            <w:r>
              <w:rPr>
                <w:rFonts w:hint="eastAsia" w:ascii="宋体" w:hAnsi="宋体" w:eastAsia="宋体" w:cs="宋体"/>
                <w:spacing w:val="4"/>
                <w:sz w:val="21"/>
                <w:szCs w:val="21"/>
                <w:highlight w:val="none"/>
              </w:rPr>
              <w:t>册地址</w:t>
            </w:r>
          </w:p>
        </w:tc>
        <w:tc>
          <w:tcPr>
            <w:tcW w:w="3425" w:type="dxa"/>
            <w:gridSpan w:val="3"/>
            <w:vAlign w:val="top"/>
          </w:tcPr>
          <w:p>
            <w:pPr>
              <w:rPr>
                <w:rFonts w:hint="eastAsia" w:ascii="宋体" w:hAnsi="宋体" w:eastAsia="宋体" w:cs="宋体"/>
                <w:sz w:val="21"/>
                <w:szCs w:val="21"/>
                <w:highlight w:val="none"/>
              </w:rPr>
            </w:pPr>
          </w:p>
        </w:tc>
        <w:tc>
          <w:tcPr>
            <w:tcW w:w="1255" w:type="dxa"/>
            <w:vAlign w:val="top"/>
          </w:tcPr>
          <w:p>
            <w:pPr>
              <w:spacing w:before="209" w:line="230" w:lineRule="auto"/>
              <w:ind w:left="17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邮政</w:t>
            </w:r>
            <w:r>
              <w:rPr>
                <w:rFonts w:hint="eastAsia" w:ascii="宋体" w:hAnsi="宋体" w:eastAsia="宋体" w:cs="宋体"/>
                <w:spacing w:val="1"/>
                <w:sz w:val="21"/>
                <w:szCs w:val="21"/>
                <w:highlight w:val="none"/>
              </w:rPr>
              <w:t>编码</w:t>
            </w:r>
          </w:p>
        </w:tc>
        <w:tc>
          <w:tcPr>
            <w:tcW w:w="2317" w:type="dxa"/>
            <w:gridSpan w:val="3"/>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Merge w:val="restart"/>
            <w:tcBorders>
              <w:bottom w:val="nil"/>
            </w:tcBorders>
            <w:vAlign w:val="top"/>
          </w:tcPr>
          <w:p>
            <w:pPr>
              <w:spacing w:line="468" w:lineRule="auto"/>
              <w:rPr>
                <w:rFonts w:hint="eastAsia" w:ascii="宋体" w:hAnsi="宋体" w:eastAsia="宋体" w:cs="宋体"/>
                <w:sz w:val="21"/>
                <w:szCs w:val="21"/>
                <w:highlight w:val="none"/>
              </w:rPr>
            </w:pPr>
          </w:p>
          <w:p>
            <w:pPr>
              <w:spacing w:before="75" w:line="231" w:lineRule="auto"/>
              <w:ind w:left="31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联</w:t>
            </w:r>
            <w:r>
              <w:rPr>
                <w:rFonts w:hint="eastAsia" w:ascii="宋体" w:hAnsi="宋体" w:eastAsia="宋体" w:cs="宋体"/>
                <w:spacing w:val="6"/>
                <w:sz w:val="21"/>
                <w:szCs w:val="21"/>
                <w:highlight w:val="none"/>
              </w:rPr>
              <w:t>系方式</w:t>
            </w:r>
          </w:p>
        </w:tc>
        <w:tc>
          <w:tcPr>
            <w:tcW w:w="1188" w:type="dxa"/>
            <w:vAlign w:val="top"/>
          </w:tcPr>
          <w:p>
            <w:pPr>
              <w:spacing w:before="209" w:line="233" w:lineRule="auto"/>
              <w:ind w:left="24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联</w:t>
            </w:r>
            <w:r>
              <w:rPr>
                <w:rFonts w:hint="eastAsia" w:ascii="宋体" w:hAnsi="宋体" w:eastAsia="宋体" w:cs="宋体"/>
                <w:spacing w:val="5"/>
                <w:sz w:val="21"/>
                <w:szCs w:val="21"/>
                <w:highlight w:val="none"/>
              </w:rPr>
              <w:t>系人</w:t>
            </w:r>
          </w:p>
        </w:tc>
        <w:tc>
          <w:tcPr>
            <w:tcW w:w="2237" w:type="dxa"/>
            <w:gridSpan w:val="2"/>
            <w:vAlign w:val="top"/>
          </w:tcPr>
          <w:p>
            <w:pPr>
              <w:rPr>
                <w:rFonts w:hint="eastAsia" w:ascii="宋体" w:hAnsi="宋体" w:eastAsia="宋体" w:cs="宋体"/>
                <w:sz w:val="21"/>
                <w:szCs w:val="21"/>
                <w:highlight w:val="none"/>
              </w:rPr>
            </w:pPr>
          </w:p>
        </w:tc>
        <w:tc>
          <w:tcPr>
            <w:tcW w:w="1255" w:type="dxa"/>
            <w:vAlign w:val="top"/>
          </w:tcPr>
          <w:p>
            <w:pPr>
              <w:spacing w:before="209" w:line="231" w:lineRule="auto"/>
              <w:ind w:left="30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 xml:space="preserve">电  </w:t>
            </w:r>
            <w:r>
              <w:rPr>
                <w:rFonts w:hint="eastAsia" w:ascii="宋体" w:hAnsi="宋体" w:eastAsia="宋体" w:cs="宋体"/>
                <w:spacing w:val="-1"/>
                <w:sz w:val="21"/>
                <w:szCs w:val="21"/>
                <w:highlight w:val="none"/>
              </w:rPr>
              <w:t>话</w:t>
            </w:r>
          </w:p>
        </w:tc>
        <w:tc>
          <w:tcPr>
            <w:tcW w:w="2317" w:type="dxa"/>
            <w:gridSpan w:val="3"/>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Merge w:val="continue"/>
            <w:tcBorders>
              <w:top w:val="nil"/>
            </w:tcBorders>
            <w:vAlign w:val="top"/>
          </w:tcPr>
          <w:p>
            <w:pPr>
              <w:rPr>
                <w:rFonts w:hint="eastAsia" w:ascii="宋体" w:hAnsi="宋体" w:eastAsia="宋体" w:cs="宋体"/>
                <w:sz w:val="21"/>
                <w:szCs w:val="21"/>
                <w:highlight w:val="none"/>
              </w:rPr>
            </w:pPr>
          </w:p>
        </w:tc>
        <w:tc>
          <w:tcPr>
            <w:tcW w:w="1188" w:type="dxa"/>
            <w:vAlign w:val="top"/>
          </w:tcPr>
          <w:p>
            <w:pPr>
              <w:spacing w:before="211" w:line="231" w:lineRule="auto"/>
              <w:ind w:left="248"/>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传  真</w:t>
            </w:r>
          </w:p>
        </w:tc>
        <w:tc>
          <w:tcPr>
            <w:tcW w:w="2237" w:type="dxa"/>
            <w:gridSpan w:val="2"/>
            <w:vAlign w:val="top"/>
          </w:tcPr>
          <w:p>
            <w:pPr>
              <w:rPr>
                <w:rFonts w:hint="eastAsia" w:ascii="宋体" w:hAnsi="宋体" w:eastAsia="宋体" w:cs="宋体"/>
                <w:sz w:val="21"/>
                <w:szCs w:val="21"/>
                <w:highlight w:val="none"/>
              </w:rPr>
            </w:pPr>
          </w:p>
        </w:tc>
        <w:tc>
          <w:tcPr>
            <w:tcW w:w="1255" w:type="dxa"/>
            <w:vAlign w:val="top"/>
          </w:tcPr>
          <w:p>
            <w:pPr>
              <w:spacing w:before="211" w:line="232" w:lineRule="auto"/>
              <w:ind w:left="30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 xml:space="preserve">网 </w:t>
            </w:r>
            <w:r>
              <w:rPr>
                <w:rFonts w:hint="eastAsia" w:ascii="宋体" w:hAnsi="宋体" w:eastAsia="宋体" w:cs="宋体"/>
                <w:sz w:val="21"/>
                <w:szCs w:val="21"/>
                <w:highlight w:val="none"/>
              </w:rPr>
              <w:t xml:space="preserve"> 址</w:t>
            </w:r>
          </w:p>
        </w:tc>
        <w:tc>
          <w:tcPr>
            <w:tcW w:w="2317" w:type="dxa"/>
            <w:gridSpan w:val="3"/>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pPr>
              <w:spacing w:before="210" w:line="231" w:lineRule="auto"/>
              <w:ind w:left="20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法</w:t>
            </w:r>
            <w:r>
              <w:rPr>
                <w:rFonts w:hint="eastAsia" w:ascii="宋体" w:hAnsi="宋体" w:eastAsia="宋体" w:cs="宋体"/>
                <w:spacing w:val="5"/>
                <w:sz w:val="21"/>
                <w:szCs w:val="21"/>
                <w:highlight w:val="none"/>
              </w:rPr>
              <w:t>定代表人</w:t>
            </w:r>
          </w:p>
        </w:tc>
        <w:tc>
          <w:tcPr>
            <w:tcW w:w="1188" w:type="dxa"/>
            <w:vAlign w:val="top"/>
          </w:tcPr>
          <w:p>
            <w:pPr>
              <w:spacing w:before="210" w:line="233" w:lineRule="auto"/>
              <w:ind w:left="366"/>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姓名</w:t>
            </w:r>
          </w:p>
        </w:tc>
        <w:tc>
          <w:tcPr>
            <w:tcW w:w="1001" w:type="dxa"/>
            <w:vAlign w:val="top"/>
          </w:tcPr>
          <w:p>
            <w:pPr>
              <w:rPr>
                <w:rFonts w:hint="eastAsia" w:ascii="宋体" w:hAnsi="宋体" w:eastAsia="宋体" w:cs="宋体"/>
                <w:sz w:val="21"/>
                <w:szCs w:val="21"/>
                <w:highlight w:val="none"/>
              </w:rPr>
            </w:pPr>
          </w:p>
        </w:tc>
        <w:tc>
          <w:tcPr>
            <w:tcW w:w="1236" w:type="dxa"/>
            <w:vAlign w:val="top"/>
          </w:tcPr>
          <w:p>
            <w:pPr>
              <w:spacing w:before="210" w:line="229" w:lineRule="auto"/>
              <w:ind w:left="15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技术职</w:t>
            </w:r>
            <w:r>
              <w:rPr>
                <w:rFonts w:hint="eastAsia" w:ascii="宋体" w:hAnsi="宋体" w:eastAsia="宋体" w:cs="宋体"/>
                <w:spacing w:val="5"/>
                <w:sz w:val="21"/>
                <w:szCs w:val="21"/>
                <w:highlight w:val="none"/>
              </w:rPr>
              <w:t>称</w:t>
            </w:r>
          </w:p>
        </w:tc>
        <w:tc>
          <w:tcPr>
            <w:tcW w:w="1255" w:type="dxa"/>
            <w:vAlign w:val="top"/>
          </w:tcPr>
          <w:p>
            <w:pPr>
              <w:rPr>
                <w:rFonts w:hint="eastAsia" w:ascii="宋体" w:hAnsi="宋体" w:eastAsia="宋体" w:cs="宋体"/>
                <w:sz w:val="21"/>
                <w:szCs w:val="21"/>
                <w:highlight w:val="none"/>
              </w:rPr>
            </w:pPr>
          </w:p>
        </w:tc>
        <w:tc>
          <w:tcPr>
            <w:tcW w:w="932" w:type="dxa"/>
            <w:gridSpan w:val="2"/>
            <w:vAlign w:val="top"/>
          </w:tcPr>
          <w:p>
            <w:pPr>
              <w:spacing w:before="210" w:line="231" w:lineRule="auto"/>
              <w:ind w:left="267"/>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电</w:t>
            </w:r>
            <w:r>
              <w:rPr>
                <w:rFonts w:hint="eastAsia" w:ascii="宋体" w:hAnsi="宋体" w:eastAsia="宋体" w:cs="宋体"/>
                <w:spacing w:val="-11"/>
                <w:sz w:val="21"/>
                <w:szCs w:val="21"/>
                <w:highlight w:val="none"/>
              </w:rPr>
              <w:t>话</w:t>
            </w:r>
          </w:p>
        </w:tc>
        <w:tc>
          <w:tcPr>
            <w:tcW w:w="1385"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pPr>
              <w:spacing w:before="210" w:line="231" w:lineRule="auto"/>
              <w:ind w:left="31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成立时间</w:t>
            </w:r>
          </w:p>
        </w:tc>
        <w:tc>
          <w:tcPr>
            <w:tcW w:w="6997" w:type="dxa"/>
            <w:gridSpan w:val="7"/>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pPr>
              <w:spacing w:before="56"/>
              <w:ind w:left="677" w:right="182" w:hanging="481"/>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企</w:t>
            </w:r>
            <w:r>
              <w:rPr>
                <w:rFonts w:hint="eastAsia" w:ascii="宋体" w:hAnsi="宋体" w:eastAsia="宋体" w:cs="宋体"/>
                <w:spacing w:val="6"/>
                <w:sz w:val="21"/>
                <w:szCs w:val="21"/>
                <w:highlight w:val="none"/>
              </w:rPr>
              <w:t>业资质等</w:t>
            </w:r>
            <w:r>
              <w:rPr>
                <w:rFonts w:hint="eastAsia" w:ascii="宋体" w:hAnsi="宋体" w:eastAsia="宋体" w:cs="宋体"/>
                <w:sz w:val="21"/>
                <w:szCs w:val="21"/>
                <w:highlight w:val="none"/>
              </w:rPr>
              <w:t xml:space="preserve"> 级</w:t>
            </w:r>
          </w:p>
        </w:tc>
        <w:tc>
          <w:tcPr>
            <w:tcW w:w="2189" w:type="dxa"/>
            <w:gridSpan w:val="2"/>
            <w:vAlign w:val="top"/>
          </w:tcPr>
          <w:p>
            <w:pPr>
              <w:rPr>
                <w:rFonts w:hint="eastAsia" w:ascii="宋体" w:hAnsi="宋体" w:eastAsia="宋体" w:cs="宋体"/>
                <w:sz w:val="21"/>
                <w:szCs w:val="21"/>
                <w:highlight w:val="none"/>
              </w:rPr>
            </w:pPr>
          </w:p>
        </w:tc>
        <w:tc>
          <w:tcPr>
            <w:tcW w:w="1236" w:type="dxa"/>
            <w:vMerge w:val="restart"/>
            <w:tcBorders>
              <w:bottom w:val="nil"/>
            </w:tcBorders>
            <w:vAlign w:val="top"/>
          </w:tcPr>
          <w:p>
            <w:pPr>
              <w:spacing w:line="243" w:lineRule="auto"/>
              <w:rPr>
                <w:rFonts w:hint="eastAsia" w:ascii="宋体" w:hAnsi="宋体" w:eastAsia="宋体" w:cs="宋体"/>
                <w:sz w:val="21"/>
                <w:szCs w:val="21"/>
                <w:highlight w:val="none"/>
              </w:rPr>
            </w:pPr>
          </w:p>
          <w:p>
            <w:pPr>
              <w:spacing w:line="243" w:lineRule="auto"/>
              <w:rPr>
                <w:rFonts w:hint="eastAsia" w:ascii="宋体" w:hAnsi="宋体" w:eastAsia="宋体" w:cs="宋体"/>
                <w:sz w:val="21"/>
                <w:szCs w:val="21"/>
                <w:highlight w:val="none"/>
              </w:rPr>
            </w:pPr>
          </w:p>
          <w:p>
            <w:pPr>
              <w:spacing w:line="244" w:lineRule="auto"/>
              <w:rPr>
                <w:rFonts w:hint="eastAsia" w:ascii="宋体" w:hAnsi="宋体" w:eastAsia="宋体" w:cs="宋体"/>
                <w:sz w:val="21"/>
                <w:szCs w:val="21"/>
                <w:highlight w:val="none"/>
              </w:rPr>
            </w:pPr>
          </w:p>
          <w:p>
            <w:pPr>
              <w:spacing w:line="244" w:lineRule="auto"/>
              <w:rPr>
                <w:rFonts w:hint="eastAsia" w:ascii="宋体" w:hAnsi="宋体" w:eastAsia="宋体" w:cs="宋体"/>
                <w:sz w:val="21"/>
                <w:szCs w:val="21"/>
                <w:highlight w:val="none"/>
              </w:rPr>
            </w:pPr>
          </w:p>
          <w:p>
            <w:pPr>
              <w:spacing w:line="244" w:lineRule="auto"/>
              <w:rPr>
                <w:rFonts w:hint="eastAsia" w:ascii="宋体" w:hAnsi="宋体" w:eastAsia="宋体" w:cs="宋体"/>
                <w:sz w:val="21"/>
                <w:szCs w:val="21"/>
                <w:highlight w:val="none"/>
              </w:rPr>
            </w:pPr>
          </w:p>
          <w:p>
            <w:pPr>
              <w:spacing w:line="244" w:lineRule="auto"/>
              <w:rPr>
                <w:rFonts w:hint="eastAsia" w:ascii="宋体" w:hAnsi="宋体" w:eastAsia="宋体" w:cs="宋体"/>
                <w:sz w:val="21"/>
                <w:szCs w:val="21"/>
                <w:highlight w:val="none"/>
              </w:rPr>
            </w:pPr>
          </w:p>
          <w:p>
            <w:pPr>
              <w:spacing w:before="75" w:line="233" w:lineRule="auto"/>
              <w:ind w:left="15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企业人</w:t>
            </w:r>
            <w:r>
              <w:rPr>
                <w:rFonts w:hint="eastAsia" w:ascii="宋体" w:hAnsi="宋体" w:eastAsia="宋体" w:cs="宋体"/>
                <w:spacing w:val="5"/>
                <w:sz w:val="21"/>
                <w:szCs w:val="21"/>
                <w:highlight w:val="none"/>
              </w:rPr>
              <w:t>员</w:t>
            </w:r>
          </w:p>
        </w:tc>
        <w:tc>
          <w:tcPr>
            <w:tcW w:w="1655" w:type="dxa"/>
            <w:gridSpan w:val="2"/>
            <w:vAlign w:val="top"/>
          </w:tcPr>
          <w:p>
            <w:pPr>
              <w:rPr>
                <w:rFonts w:hint="eastAsia" w:ascii="宋体" w:hAnsi="宋体" w:eastAsia="宋体" w:cs="宋体"/>
                <w:sz w:val="21"/>
                <w:szCs w:val="21"/>
                <w:highlight w:val="none"/>
              </w:rPr>
            </w:pPr>
          </w:p>
        </w:tc>
        <w:tc>
          <w:tcPr>
            <w:tcW w:w="1917"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pPr>
              <w:spacing w:before="211" w:line="232" w:lineRule="auto"/>
              <w:ind w:left="202"/>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营</w:t>
            </w:r>
            <w:r>
              <w:rPr>
                <w:rFonts w:hint="eastAsia" w:ascii="宋体" w:hAnsi="宋体" w:eastAsia="宋体" w:cs="宋体"/>
                <w:spacing w:val="5"/>
                <w:sz w:val="21"/>
                <w:szCs w:val="21"/>
                <w:highlight w:val="none"/>
              </w:rPr>
              <w:t>业执照号</w:t>
            </w:r>
          </w:p>
        </w:tc>
        <w:tc>
          <w:tcPr>
            <w:tcW w:w="2189" w:type="dxa"/>
            <w:gridSpan w:val="2"/>
            <w:vAlign w:val="top"/>
          </w:tcPr>
          <w:p>
            <w:pPr>
              <w:rPr>
                <w:rFonts w:hint="eastAsia" w:ascii="宋体" w:hAnsi="宋体" w:eastAsia="宋体" w:cs="宋体"/>
                <w:sz w:val="21"/>
                <w:szCs w:val="21"/>
                <w:highlight w:val="none"/>
              </w:rPr>
            </w:pPr>
          </w:p>
        </w:tc>
        <w:tc>
          <w:tcPr>
            <w:tcW w:w="1236" w:type="dxa"/>
            <w:vMerge w:val="continue"/>
            <w:tcBorders>
              <w:top w:val="nil"/>
              <w:bottom w:val="nil"/>
            </w:tcBorders>
            <w:vAlign w:val="top"/>
          </w:tcPr>
          <w:p>
            <w:pPr>
              <w:rPr>
                <w:rFonts w:hint="eastAsia" w:ascii="宋体" w:hAnsi="宋体" w:eastAsia="宋体" w:cs="宋体"/>
                <w:sz w:val="21"/>
                <w:szCs w:val="21"/>
                <w:highlight w:val="none"/>
              </w:rPr>
            </w:pPr>
          </w:p>
        </w:tc>
        <w:tc>
          <w:tcPr>
            <w:tcW w:w="1655" w:type="dxa"/>
            <w:gridSpan w:val="2"/>
            <w:vAlign w:val="top"/>
          </w:tcPr>
          <w:p>
            <w:pPr>
              <w:rPr>
                <w:rFonts w:hint="eastAsia" w:ascii="宋体" w:hAnsi="宋体" w:eastAsia="宋体" w:cs="宋体"/>
                <w:sz w:val="21"/>
                <w:szCs w:val="21"/>
                <w:highlight w:val="none"/>
              </w:rPr>
            </w:pPr>
          </w:p>
        </w:tc>
        <w:tc>
          <w:tcPr>
            <w:tcW w:w="1917"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pPr>
              <w:spacing w:before="211" w:line="232" w:lineRule="auto"/>
              <w:ind w:left="32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注</w:t>
            </w:r>
            <w:r>
              <w:rPr>
                <w:rFonts w:hint="eastAsia" w:ascii="宋体" w:hAnsi="宋体" w:eastAsia="宋体" w:cs="宋体"/>
                <w:spacing w:val="4"/>
                <w:sz w:val="21"/>
                <w:szCs w:val="21"/>
                <w:highlight w:val="none"/>
              </w:rPr>
              <w:t>册资金</w:t>
            </w:r>
          </w:p>
        </w:tc>
        <w:tc>
          <w:tcPr>
            <w:tcW w:w="2189" w:type="dxa"/>
            <w:gridSpan w:val="2"/>
            <w:vAlign w:val="top"/>
          </w:tcPr>
          <w:p>
            <w:pPr>
              <w:rPr>
                <w:rFonts w:hint="eastAsia" w:ascii="宋体" w:hAnsi="宋体" w:eastAsia="宋体" w:cs="宋体"/>
                <w:sz w:val="21"/>
                <w:szCs w:val="21"/>
                <w:highlight w:val="none"/>
              </w:rPr>
            </w:pPr>
          </w:p>
        </w:tc>
        <w:tc>
          <w:tcPr>
            <w:tcW w:w="1236" w:type="dxa"/>
            <w:vMerge w:val="continue"/>
            <w:tcBorders>
              <w:top w:val="nil"/>
              <w:bottom w:val="nil"/>
            </w:tcBorders>
            <w:vAlign w:val="top"/>
          </w:tcPr>
          <w:p>
            <w:pPr>
              <w:rPr>
                <w:rFonts w:hint="eastAsia" w:ascii="宋体" w:hAnsi="宋体" w:eastAsia="宋体" w:cs="宋体"/>
                <w:sz w:val="21"/>
                <w:szCs w:val="21"/>
                <w:highlight w:val="none"/>
              </w:rPr>
            </w:pPr>
          </w:p>
        </w:tc>
        <w:tc>
          <w:tcPr>
            <w:tcW w:w="1655" w:type="dxa"/>
            <w:gridSpan w:val="2"/>
            <w:vAlign w:val="top"/>
          </w:tcPr>
          <w:p>
            <w:pPr>
              <w:rPr>
                <w:rFonts w:hint="eastAsia" w:ascii="宋体" w:hAnsi="宋体" w:eastAsia="宋体" w:cs="宋体"/>
                <w:sz w:val="21"/>
                <w:szCs w:val="21"/>
                <w:highlight w:val="none"/>
              </w:rPr>
            </w:pPr>
          </w:p>
        </w:tc>
        <w:tc>
          <w:tcPr>
            <w:tcW w:w="1917"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pPr>
              <w:spacing w:before="214" w:line="229" w:lineRule="auto"/>
              <w:ind w:left="31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开户银行</w:t>
            </w:r>
          </w:p>
        </w:tc>
        <w:tc>
          <w:tcPr>
            <w:tcW w:w="2189" w:type="dxa"/>
            <w:gridSpan w:val="2"/>
            <w:vAlign w:val="top"/>
          </w:tcPr>
          <w:p>
            <w:pPr>
              <w:rPr>
                <w:rFonts w:hint="eastAsia" w:ascii="宋体" w:hAnsi="宋体" w:eastAsia="宋体" w:cs="宋体"/>
                <w:sz w:val="21"/>
                <w:szCs w:val="21"/>
                <w:highlight w:val="none"/>
              </w:rPr>
            </w:pPr>
          </w:p>
        </w:tc>
        <w:tc>
          <w:tcPr>
            <w:tcW w:w="1236" w:type="dxa"/>
            <w:vMerge w:val="continue"/>
            <w:tcBorders>
              <w:top w:val="nil"/>
              <w:bottom w:val="nil"/>
            </w:tcBorders>
            <w:vAlign w:val="top"/>
          </w:tcPr>
          <w:p>
            <w:pPr>
              <w:rPr>
                <w:rFonts w:hint="eastAsia" w:ascii="宋体" w:hAnsi="宋体" w:eastAsia="宋体" w:cs="宋体"/>
                <w:sz w:val="21"/>
                <w:szCs w:val="21"/>
                <w:highlight w:val="none"/>
              </w:rPr>
            </w:pPr>
          </w:p>
        </w:tc>
        <w:tc>
          <w:tcPr>
            <w:tcW w:w="1655" w:type="dxa"/>
            <w:gridSpan w:val="2"/>
            <w:vAlign w:val="top"/>
          </w:tcPr>
          <w:p>
            <w:pPr>
              <w:rPr>
                <w:rFonts w:hint="eastAsia" w:ascii="宋体" w:hAnsi="宋体" w:eastAsia="宋体" w:cs="宋体"/>
                <w:sz w:val="21"/>
                <w:szCs w:val="21"/>
                <w:highlight w:val="none"/>
              </w:rPr>
            </w:pPr>
          </w:p>
        </w:tc>
        <w:tc>
          <w:tcPr>
            <w:tcW w:w="1917"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pPr>
              <w:spacing w:before="213" w:line="232" w:lineRule="auto"/>
              <w:ind w:left="372"/>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账</w:t>
            </w:r>
            <w:r>
              <w:rPr>
                <w:rFonts w:hint="eastAsia" w:ascii="宋体" w:hAnsi="宋体" w:eastAsia="宋体" w:cs="宋体"/>
                <w:spacing w:val="6"/>
                <w:sz w:val="21"/>
                <w:szCs w:val="21"/>
                <w:highlight w:val="none"/>
              </w:rPr>
              <w:t xml:space="preserve">   号</w:t>
            </w:r>
          </w:p>
        </w:tc>
        <w:tc>
          <w:tcPr>
            <w:tcW w:w="2189" w:type="dxa"/>
            <w:gridSpan w:val="2"/>
            <w:vAlign w:val="top"/>
          </w:tcPr>
          <w:p>
            <w:pPr>
              <w:rPr>
                <w:rFonts w:hint="eastAsia" w:ascii="宋体" w:hAnsi="宋体" w:eastAsia="宋体" w:cs="宋体"/>
                <w:sz w:val="21"/>
                <w:szCs w:val="21"/>
                <w:highlight w:val="none"/>
              </w:rPr>
            </w:pPr>
          </w:p>
        </w:tc>
        <w:tc>
          <w:tcPr>
            <w:tcW w:w="1236" w:type="dxa"/>
            <w:vMerge w:val="continue"/>
            <w:tcBorders>
              <w:top w:val="nil"/>
            </w:tcBorders>
            <w:vAlign w:val="top"/>
          </w:tcPr>
          <w:p>
            <w:pPr>
              <w:rPr>
                <w:rFonts w:hint="eastAsia" w:ascii="宋体" w:hAnsi="宋体" w:eastAsia="宋体" w:cs="宋体"/>
                <w:sz w:val="21"/>
                <w:szCs w:val="21"/>
                <w:highlight w:val="none"/>
              </w:rPr>
            </w:pPr>
          </w:p>
        </w:tc>
        <w:tc>
          <w:tcPr>
            <w:tcW w:w="1655" w:type="dxa"/>
            <w:gridSpan w:val="2"/>
            <w:vAlign w:val="top"/>
          </w:tcPr>
          <w:p>
            <w:pPr>
              <w:rPr>
                <w:rFonts w:hint="eastAsia" w:ascii="宋体" w:hAnsi="宋体" w:eastAsia="宋体" w:cs="宋体"/>
                <w:sz w:val="21"/>
                <w:szCs w:val="21"/>
                <w:highlight w:val="none"/>
              </w:rPr>
            </w:pPr>
          </w:p>
        </w:tc>
        <w:tc>
          <w:tcPr>
            <w:tcW w:w="1917"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67" w:type="dxa"/>
            <w:vAlign w:val="top"/>
          </w:tcPr>
          <w:p>
            <w:pPr>
              <w:spacing w:before="39" w:line="222" w:lineRule="auto"/>
              <w:ind w:left="31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经营范围</w:t>
            </w:r>
          </w:p>
        </w:tc>
        <w:tc>
          <w:tcPr>
            <w:tcW w:w="6997" w:type="dxa"/>
            <w:gridSpan w:val="7"/>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567" w:type="dxa"/>
            <w:vAlign w:val="top"/>
          </w:tcPr>
          <w:p>
            <w:pPr>
              <w:spacing w:line="292" w:lineRule="auto"/>
              <w:rPr>
                <w:rFonts w:hint="eastAsia" w:ascii="宋体" w:hAnsi="宋体" w:eastAsia="宋体" w:cs="宋体"/>
                <w:sz w:val="21"/>
                <w:szCs w:val="21"/>
                <w:highlight w:val="none"/>
              </w:rPr>
            </w:pPr>
          </w:p>
          <w:p>
            <w:pPr>
              <w:spacing w:before="75" w:line="233" w:lineRule="auto"/>
              <w:ind w:left="37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 xml:space="preserve">备   </w:t>
            </w:r>
            <w:r>
              <w:rPr>
                <w:rFonts w:hint="eastAsia" w:ascii="宋体" w:hAnsi="宋体" w:eastAsia="宋体" w:cs="宋体"/>
                <w:spacing w:val="5"/>
                <w:sz w:val="21"/>
                <w:szCs w:val="21"/>
                <w:highlight w:val="none"/>
              </w:rPr>
              <w:t>注</w:t>
            </w:r>
          </w:p>
        </w:tc>
        <w:tc>
          <w:tcPr>
            <w:tcW w:w="6997" w:type="dxa"/>
            <w:gridSpan w:val="7"/>
            <w:vAlign w:val="top"/>
          </w:tcPr>
          <w:p>
            <w:pPr>
              <w:rPr>
                <w:rFonts w:hint="eastAsia" w:ascii="宋体" w:hAnsi="宋体" w:eastAsia="宋体" w:cs="宋体"/>
                <w:sz w:val="21"/>
                <w:szCs w:val="21"/>
                <w:highlight w:val="none"/>
              </w:rPr>
            </w:pPr>
          </w:p>
        </w:tc>
      </w:tr>
    </w:tbl>
    <w:p>
      <w:pPr>
        <w:spacing w:before="75" w:line="233" w:lineRule="auto"/>
        <w:ind w:left="377"/>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注：本表后应附企业法人营业执照、资质证书、安全生产许可证、近半年任意一个月社保缴纳明细、20</w:t>
      </w:r>
      <w:r>
        <w:rPr>
          <w:rFonts w:hint="eastAsia" w:ascii="宋体" w:hAnsi="宋体" w:eastAsia="宋体" w:cs="宋体"/>
          <w:b/>
          <w:bCs/>
          <w:spacing w:val="6"/>
          <w:sz w:val="21"/>
          <w:szCs w:val="21"/>
          <w:highlight w:val="none"/>
          <w:lang w:val="en-US" w:eastAsia="zh-CN"/>
        </w:rPr>
        <w:t>2</w:t>
      </w:r>
      <w:r>
        <w:rPr>
          <w:rFonts w:hint="eastAsia" w:ascii="宋体" w:hAnsi="宋体" w:cs="宋体"/>
          <w:b/>
          <w:bCs/>
          <w:spacing w:val="6"/>
          <w:sz w:val="21"/>
          <w:szCs w:val="21"/>
          <w:highlight w:val="none"/>
          <w:lang w:val="en-US" w:eastAsia="zh-CN"/>
        </w:rPr>
        <w:t>2</w:t>
      </w:r>
      <w:r>
        <w:rPr>
          <w:rFonts w:hint="eastAsia" w:ascii="宋体" w:hAnsi="宋体" w:eastAsia="宋体" w:cs="宋体"/>
          <w:b/>
          <w:bCs/>
          <w:spacing w:val="6"/>
          <w:sz w:val="21"/>
          <w:szCs w:val="21"/>
          <w:highlight w:val="none"/>
        </w:rPr>
        <w:t>年或202</w:t>
      </w:r>
      <w:r>
        <w:rPr>
          <w:rFonts w:hint="eastAsia" w:ascii="宋体" w:hAnsi="宋体" w:cs="宋体"/>
          <w:b/>
          <w:bCs/>
          <w:spacing w:val="6"/>
          <w:sz w:val="21"/>
          <w:szCs w:val="21"/>
          <w:highlight w:val="none"/>
          <w:lang w:val="en-US" w:eastAsia="zh-CN"/>
        </w:rPr>
        <w:t>3</w:t>
      </w:r>
      <w:r>
        <w:rPr>
          <w:rFonts w:hint="eastAsia" w:ascii="宋体" w:hAnsi="宋体" w:eastAsia="宋体" w:cs="宋体"/>
          <w:b/>
          <w:bCs/>
          <w:spacing w:val="6"/>
          <w:sz w:val="21"/>
          <w:szCs w:val="21"/>
          <w:highlight w:val="none"/>
        </w:rPr>
        <w:t>年财务审计报告等相关材料的复印件。  (供应商可根据本表自行编制)</w:t>
      </w:r>
    </w:p>
    <w:p>
      <w:pPr>
        <w:spacing w:before="75" w:line="233" w:lineRule="auto"/>
        <w:ind w:left="377"/>
        <w:rPr>
          <w:rFonts w:hint="eastAsia" w:ascii="宋体" w:hAnsi="宋体" w:eastAsia="宋体" w:cs="宋体"/>
          <w:b/>
          <w:bCs/>
          <w:spacing w:val="6"/>
          <w:sz w:val="21"/>
          <w:szCs w:val="21"/>
          <w:highlight w:val="none"/>
        </w:rPr>
      </w:pPr>
    </w:p>
    <w:p>
      <w:pPr>
        <w:pStyle w:val="12"/>
        <w:rPr>
          <w:rFonts w:hint="eastAsia" w:ascii="宋体" w:hAnsi="宋体" w:eastAsia="宋体" w:cs="宋体"/>
          <w:highlight w:val="none"/>
        </w:rPr>
        <w:sectPr>
          <w:type w:val="continuous"/>
          <w:pgSz w:w="11906" w:h="16839"/>
          <w:pgMar w:top="400" w:right="1477" w:bottom="655" w:left="1491" w:header="0" w:footer="447" w:gutter="0"/>
          <w:pgBorders>
            <w:top w:val="none" w:sz="0" w:space="0"/>
            <w:left w:val="none" w:sz="0" w:space="0"/>
            <w:bottom w:val="none" w:sz="0" w:space="0"/>
            <w:right w:val="none" w:sz="0" w:space="0"/>
          </w:pgBorders>
          <w:pgNumType w:fmt="decimal"/>
          <w:cols w:space="720" w:num="1"/>
        </w:sectPr>
      </w:pPr>
    </w:p>
    <w:p>
      <w:pPr>
        <w:spacing w:line="262" w:lineRule="auto"/>
        <w:rPr>
          <w:rFonts w:hint="eastAsia" w:ascii="宋体" w:hAnsi="宋体" w:eastAsia="宋体" w:cs="宋体"/>
          <w:sz w:val="21"/>
          <w:szCs w:val="21"/>
          <w:highlight w:val="none"/>
        </w:rPr>
      </w:pPr>
    </w:p>
    <w:p>
      <w:pPr>
        <w:spacing w:line="262" w:lineRule="auto"/>
        <w:rPr>
          <w:rFonts w:hint="eastAsia" w:ascii="宋体" w:hAnsi="宋体" w:eastAsia="宋体" w:cs="宋体"/>
          <w:sz w:val="21"/>
          <w:szCs w:val="21"/>
          <w:highlight w:val="none"/>
        </w:rPr>
      </w:pPr>
    </w:p>
    <w:p>
      <w:pPr>
        <w:spacing w:line="263" w:lineRule="auto"/>
        <w:rPr>
          <w:rFonts w:hint="eastAsia" w:ascii="宋体" w:hAnsi="宋体" w:eastAsia="宋体" w:cs="宋体"/>
          <w:sz w:val="21"/>
          <w:szCs w:val="21"/>
          <w:highlight w:val="none"/>
        </w:rPr>
      </w:pPr>
    </w:p>
    <w:p>
      <w:pPr>
        <w:spacing w:before="91" w:line="210" w:lineRule="auto"/>
        <w:ind w:left="1690"/>
        <w:rPr>
          <w:rFonts w:hint="eastAsia" w:ascii="宋体" w:hAnsi="宋体" w:eastAsia="宋体" w:cs="宋体"/>
          <w:sz w:val="21"/>
          <w:szCs w:val="21"/>
          <w:highlight w:val="none"/>
        </w:rPr>
      </w:pPr>
      <w:r>
        <w:rPr>
          <w:rFonts w:hint="eastAsia" w:ascii="宋体" w:hAnsi="宋体" w:cs="宋体"/>
          <w:spacing w:val="-4"/>
          <w:sz w:val="21"/>
          <w:szCs w:val="21"/>
          <w:highlight w:val="none"/>
          <w:lang w:val="en-US" w:eastAsia="zh-CN"/>
          <w14:textOutline w14:w="5105" w14:cap="sq" w14:cmpd="sng">
            <w14:solidFill>
              <w14:srgbClr w14:val="000000"/>
            </w14:solidFill>
            <w14:prstDash w14:val="solid"/>
            <w14:bevel/>
          </w14:textOutline>
        </w:rPr>
        <w:t>6</w:t>
      </w:r>
      <w:r>
        <w:rPr>
          <w:rFonts w:hint="eastAsia" w:ascii="宋体" w:hAnsi="宋体" w:eastAsia="宋体" w:cs="宋体"/>
          <w:spacing w:val="-4"/>
          <w:sz w:val="21"/>
          <w:szCs w:val="21"/>
          <w:highlight w:val="none"/>
          <w14:textOutline w14:w="5105" w14:cap="sq" w14:cmpd="sng">
            <w14:solidFill>
              <w14:srgbClr w14:val="000000"/>
            </w14:solidFill>
            <w14:prstDash w14:val="solid"/>
            <w14:bevel/>
          </w14:textOutline>
        </w:rPr>
        <w:t>.2</w:t>
      </w:r>
      <w:r>
        <w:rPr>
          <w:rFonts w:hint="eastAsia" w:ascii="宋体" w:hAnsi="宋体" w:eastAsia="宋体" w:cs="宋体"/>
          <w:spacing w:val="-4"/>
          <w:sz w:val="21"/>
          <w:szCs w:val="21"/>
          <w:highlight w:val="none"/>
        </w:rPr>
        <w:t xml:space="preserve"> </w:t>
      </w:r>
      <w:r>
        <w:rPr>
          <w:rFonts w:hint="eastAsia" w:ascii="宋体" w:hAnsi="宋体" w:eastAsia="宋体" w:cs="宋体"/>
          <w:spacing w:val="-4"/>
          <w:sz w:val="21"/>
          <w:szCs w:val="21"/>
          <w:highlight w:val="none"/>
          <w14:textOutline w14:w="5105" w14:cap="sq" w14:cmpd="sng">
            <w14:solidFill>
              <w14:srgbClr w14:val="000000"/>
            </w14:solidFill>
            <w14:prstDash w14:val="solid"/>
            <w14:bevel/>
          </w14:textOutline>
        </w:rPr>
        <w:t>承包本合同</w:t>
      </w:r>
      <w:r>
        <w:rPr>
          <w:rFonts w:hint="eastAsia" w:ascii="宋体" w:hAnsi="宋体" w:eastAsia="宋体" w:cs="宋体"/>
          <w:spacing w:val="-2"/>
          <w:sz w:val="21"/>
          <w:szCs w:val="21"/>
          <w:highlight w:val="none"/>
          <w14:textOutline w14:w="5105" w14:cap="sq" w14:cmpd="sng">
            <w14:solidFill>
              <w14:srgbClr w14:val="000000"/>
            </w14:solidFill>
            <w14:prstDash w14:val="solid"/>
            <w14:bevel/>
          </w14:textOutline>
        </w:rPr>
        <w:t>工程主要任职人员及进场时间表</w:t>
      </w:r>
    </w:p>
    <w:tbl>
      <w:tblPr>
        <w:tblStyle w:val="82"/>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443"/>
        <w:gridCol w:w="1088"/>
        <w:gridCol w:w="1306"/>
        <w:gridCol w:w="1851"/>
        <w:gridCol w:w="25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742" w:type="dxa"/>
            <w:vAlign w:val="top"/>
          </w:tcPr>
          <w:p>
            <w:pPr>
              <w:spacing w:line="256" w:lineRule="auto"/>
              <w:rPr>
                <w:rFonts w:hint="eastAsia" w:ascii="宋体" w:hAnsi="宋体" w:eastAsia="宋体" w:cs="宋体"/>
                <w:sz w:val="21"/>
                <w:szCs w:val="21"/>
                <w:highlight w:val="none"/>
              </w:rPr>
            </w:pPr>
          </w:p>
          <w:p>
            <w:pPr>
              <w:spacing w:before="75" w:line="231" w:lineRule="auto"/>
              <w:ind w:left="14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序号</w:t>
            </w:r>
          </w:p>
        </w:tc>
        <w:tc>
          <w:tcPr>
            <w:tcW w:w="1443" w:type="dxa"/>
            <w:vAlign w:val="top"/>
          </w:tcPr>
          <w:p>
            <w:pPr>
              <w:spacing w:before="100" w:line="382" w:lineRule="auto"/>
              <w:ind w:left="254" w:right="121" w:hanging="1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在</w:t>
            </w:r>
            <w:r>
              <w:rPr>
                <w:rFonts w:hint="eastAsia" w:ascii="宋体" w:hAnsi="宋体" w:eastAsia="宋体" w:cs="宋体"/>
                <w:spacing w:val="6"/>
                <w:sz w:val="21"/>
                <w:szCs w:val="21"/>
                <w:highlight w:val="none"/>
              </w:rPr>
              <w:t>本合同中</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担</w:t>
            </w:r>
            <w:r>
              <w:rPr>
                <w:rFonts w:hint="eastAsia" w:ascii="宋体" w:hAnsi="宋体" w:eastAsia="宋体" w:cs="宋体"/>
                <w:spacing w:val="5"/>
                <w:sz w:val="21"/>
                <w:szCs w:val="21"/>
                <w:highlight w:val="none"/>
              </w:rPr>
              <w:t>任职务</w:t>
            </w:r>
          </w:p>
        </w:tc>
        <w:tc>
          <w:tcPr>
            <w:tcW w:w="1088" w:type="dxa"/>
            <w:vAlign w:val="top"/>
          </w:tcPr>
          <w:p>
            <w:pPr>
              <w:spacing w:line="256" w:lineRule="auto"/>
              <w:rPr>
                <w:rFonts w:hint="eastAsia" w:ascii="宋体" w:hAnsi="宋体" w:eastAsia="宋体" w:cs="宋体"/>
                <w:sz w:val="21"/>
                <w:szCs w:val="21"/>
                <w:highlight w:val="none"/>
              </w:rPr>
            </w:pPr>
          </w:p>
          <w:p>
            <w:pPr>
              <w:spacing w:before="75" w:line="233" w:lineRule="auto"/>
              <w:ind w:left="25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姓 名</w:t>
            </w:r>
          </w:p>
        </w:tc>
        <w:tc>
          <w:tcPr>
            <w:tcW w:w="1306" w:type="dxa"/>
            <w:vAlign w:val="top"/>
          </w:tcPr>
          <w:p>
            <w:pPr>
              <w:spacing w:line="257" w:lineRule="auto"/>
              <w:rPr>
                <w:rFonts w:hint="eastAsia" w:ascii="宋体" w:hAnsi="宋体" w:eastAsia="宋体" w:cs="宋体"/>
                <w:sz w:val="21"/>
                <w:szCs w:val="21"/>
                <w:highlight w:val="none"/>
              </w:rPr>
            </w:pPr>
          </w:p>
          <w:p>
            <w:pPr>
              <w:spacing w:before="74" w:line="229" w:lineRule="auto"/>
              <w:ind w:left="36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职 称</w:t>
            </w:r>
          </w:p>
        </w:tc>
        <w:tc>
          <w:tcPr>
            <w:tcW w:w="1851" w:type="dxa"/>
            <w:vAlign w:val="top"/>
          </w:tcPr>
          <w:p>
            <w:pPr>
              <w:spacing w:line="257" w:lineRule="auto"/>
              <w:rPr>
                <w:rFonts w:hint="eastAsia" w:ascii="宋体" w:hAnsi="宋体" w:eastAsia="宋体" w:cs="宋体"/>
                <w:sz w:val="21"/>
                <w:szCs w:val="21"/>
                <w:highlight w:val="none"/>
              </w:rPr>
            </w:pPr>
          </w:p>
          <w:p>
            <w:pPr>
              <w:spacing w:before="75" w:line="231" w:lineRule="auto"/>
              <w:ind w:left="46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进</w:t>
            </w:r>
            <w:r>
              <w:rPr>
                <w:rFonts w:hint="eastAsia" w:ascii="宋体" w:hAnsi="宋体" w:eastAsia="宋体" w:cs="宋体"/>
                <w:spacing w:val="5"/>
                <w:sz w:val="21"/>
                <w:szCs w:val="21"/>
                <w:highlight w:val="none"/>
              </w:rPr>
              <w:t>场时间</w:t>
            </w:r>
          </w:p>
        </w:tc>
        <w:tc>
          <w:tcPr>
            <w:tcW w:w="2508" w:type="dxa"/>
            <w:vAlign w:val="top"/>
          </w:tcPr>
          <w:p>
            <w:pPr>
              <w:spacing w:line="256" w:lineRule="auto"/>
              <w:rPr>
                <w:rFonts w:hint="eastAsia" w:ascii="宋体" w:hAnsi="宋体" w:eastAsia="宋体" w:cs="宋体"/>
                <w:sz w:val="21"/>
                <w:szCs w:val="21"/>
                <w:highlight w:val="none"/>
              </w:rPr>
            </w:pPr>
          </w:p>
          <w:p>
            <w:pPr>
              <w:spacing w:before="75" w:line="233" w:lineRule="auto"/>
              <w:ind w:left="84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 xml:space="preserve">备   </w:t>
            </w:r>
            <w:r>
              <w:rPr>
                <w:rFonts w:hint="eastAsia" w:ascii="宋体" w:hAnsi="宋体" w:eastAsia="宋体" w:cs="宋体"/>
                <w:spacing w:val="5"/>
                <w:sz w:val="21"/>
                <w:szCs w:val="21"/>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2" w:type="dxa"/>
            <w:vAlign w:val="top"/>
          </w:tcPr>
          <w:p>
            <w:pPr>
              <w:spacing w:before="77" w:line="187" w:lineRule="auto"/>
              <w:ind w:left="335"/>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42" w:type="dxa"/>
            <w:vAlign w:val="top"/>
          </w:tcPr>
          <w:p>
            <w:pPr>
              <w:spacing w:before="96" w:line="186" w:lineRule="auto"/>
              <w:ind w:left="320"/>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2" w:type="dxa"/>
            <w:vAlign w:val="top"/>
          </w:tcPr>
          <w:p>
            <w:pPr>
              <w:spacing w:before="104" w:line="186" w:lineRule="auto"/>
              <w:ind w:left="322"/>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09" w:line="186" w:lineRule="auto"/>
              <w:ind w:left="316"/>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42" w:type="dxa"/>
            <w:vAlign w:val="top"/>
          </w:tcPr>
          <w:p>
            <w:pPr>
              <w:spacing w:before="113" w:line="184" w:lineRule="auto"/>
              <w:ind w:left="322"/>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11" w:line="186" w:lineRule="auto"/>
              <w:ind w:left="319"/>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2" w:type="dxa"/>
            <w:vAlign w:val="top"/>
          </w:tcPr>
          <w:p>
            <w:pPr>
              <w:spacing w:before="106" w:line="184" w:lineRule="auto"/>
              <w:ind w:left="323"/>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42" w:type="dxa"/>
            <w:vAlign w:val="top"/>
          </w:tcPr>
          <w:p>
            <w:pPr>
              <w:spacing w:before="111" w:line="186" w:lineRule="auto"/>
              <w:ind w:left="318"/>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11" w:line="186" w:lineRule="auto"/>
              <w:ind w:left="318"/>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42" w:type="dxa"/>
            <w:vAlign w:val="top"/>
          </w:tcPr>
          <w:p>
            <w:pPr>
              <w:spacing w:before="111" w:line="186"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0</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2" w:type="dxa"/>
            <w:vAlign w:val="top"/>
          </w:tcPr>
          <w:p>
            <w:pPr>
              <w:spacing w:before="105" w:line="187"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1</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10" w:line="187"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2</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13" w:line="186"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3</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11" w:line="187"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4</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2" w:type="dxa"/>
            <w:vAlign w:val="top"/>
          </w:tcPr>
          <w:p>
            <w:pPr>
              <w:spacing w:before="105" w:line="186"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5</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12" w:line="186"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6</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42" w:type="dxa"/>
            <w:vAlign w:val="top"/>
          </w:tcPr>
          <w:p>
            <w:pPr>
              <w:spacing w:before="112" w:line="186"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7</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2" w:type="dxa"/>
            <w:vAlign w:val="top"/>
          </w:tcPr>
          <w:p>
            <w:pPr>
              <w:spacing w:before="107" w:line="186"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8</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2" w:type="dxa"/>
            <w:vAlign w:val="top"/>
          </w:tcPr>
          <w:p>
            <w:pPr>
              <w:spacing w:before="113" w:line="186" w:lineRule="auto"/>
              <w:ind w:left="275"/>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9</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42" w:type="dxa"/>
            <w:vAlign w:val="top"/>
          </w:tcPr>
          <w:p>
            <w:pPr>
              <w:spacing w:before="80" w:line="377" w:lineRule="exact"/>
              <w:ind w:left="274"/>
              <w:rPr>
                <w:rFonts w:hint="eastAsia" w:ascii="宋体" w:hAnsi="宋体" w:eastAsia="宋体" w:cs="宋体"/>
                <w:sz w:val="21"/>
                <w:szCs w:val="21"/>
                <w:highlight w:val="none"/>
              </w:rPr>
            </w:pPr>
            <w:r>
              <w:rPr>
                <w:rFonts w:hint="eastAsia" w:ascii="宋体" w:hAnsi="宋体" w:eastAsia="宋体" w:cs="宋体"/>
                <w:position w:val="3"/>
                <w:sz w:val="21"/>
                <w:szCs w:val="21"/>
                <w:highlight w:val="none"/>
              </w:rPr>
              <w:t>…</w:t>
            </w:r>
          </w:p>
        </w:tc>
        <w:tc>
          <w:tcPr>
            <w:tcW w:w="1443" w:type="dxa"/>
            <w:vAlign w:val="top"/>
          </w:tcPr>
          <w:p>
            <w:pPr>
              <w:rPr>
                <w:rFonts w:hint="eastAsia" w:ascii="宋体" w:hAnsi="宋体" w:eastAsia="宋体" w:cs="宋体"/>
                <w:sz w:val="21"/>
                <w:szCs w:val="21"/>
                <w:highlight w:val="none"/>
              </w:rPr>
            </w:pPr>
          </w:p>
        </w:tc>
        <w:tc>
          <w:tcPr>
            <w:tcW w:w="1088" w:type="dxa"/>
            <w:vAlign w:val="top"/>
          </w:tcPr>
          <w:p>
            <w:pPr>
              <w:rPr>
                <w:rFonts w:hint="eastAsia" w:ascii="宋体" w:hAnsi="宋体" w:eastAsia="宋体" w:cs="宋体"/>
                <w:sz w:val="21"/>
                <w:szCs w:val="21"/>
                <w:highlight w:val="none"/>
              </w:rPr>
            </w:pPr>
          </w:p>
        </w:tc>
        <w:tc>
          <w:tcPr>
            <w:tcW w:w="1306" w:type="dxa"/>
            <w:vAlign w:val="top"/>
          </w:tcPr>
          <w:p>
            <w:pPr>
              <w:rPr>
                <w:rFonts w:hint="eastAsia" w:ascii="宋体" w:hAnsi="宋体" w:eastAsia="宋体" w:cs="宋体"/>
                <w:sz w:val="21"/>
                <w:szCs w:val="21"/>
                <w:highlight w:val="none"/>
              </w:rPr>
            </w:pPr>
          </w:p>
        </w:tc>
        <w:tc>
          <w:tcPr>
            <w:tcW w:w="1851" w:type="dxa"/>
            <w:vAlign w:val="top"/>
          </w:tcPr>
          <w:p>
            <w:pPr>
              <w:rPr>
                <w:rFonts w:hint="eastAsia" w:ascii="宋体" w:hAnsi="宋体" w:eastAsia="宋体" w:cs="宋体"/>
                <w:sz w:val="21"/>
                <w:szCs w:val="21"/>
                <w:highlight w:val="none"/>
              </w:rPr>
            </w:pPr>
          </w:p>
        </w:tc>
        <w:tc>
          <w:tcPr>
            <w:tcW w:w="2508" w:type="dxa"/>
            <w:vAlign w:val="top"/>
          </w:tcPr>
          <w:p>
            <w:pPr>
              <w:rPr>
                <w:rFonts w:hint="eastAsia" w:ascii="宋体" w:hAnsi="宋体" w:eastAsia="宋体" w:cs="宋体"/>
                <w:sz w:val="21"/>
                <w:szCs w:val="21"/>
                <w:highlight w:val="none"/>
              </w:rPr>
            </w:pPr>
          </w:p>
        </w:tc>
      </w:tr>
    </w:tbl>
    <w:p>
      <w:pPr>
        <w:spacing w:before="134" w:line="366" w:lineRule="auto"/>
        <w:ind w:left="676" w:hanging="54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说明：“主</w:t>
      </w:r>
      <w:r>
        <w:rPr>
          <w:rFonts w:hint="eastAsia" w:ascii="宋体" w:hAnsi="宋体" w:eastAsia="宋体" w:cs="宋体"/>
          <w:spacing w:val="4"/>
          <w:sz w:val="21"/>
          <w:szCs w:val="21"/>
          <w:highlight w:val="none"/>
        </w:rPr>
        <w:t>要人员”指实际参加本合同工程施工的项目管理、技术等方面的负责人，包括下列人员：</w:t>
      </w:r>
      <w:r>
        <w:rPr>
          <w:rFonts w:hint="eastAsia" w:ascii="宋体" w:hAnsi="宋体" w:eastAsia="宋体" w:cs="宋体"/>
          <w:sz w:val="21"/>
          <w:szCs w:val="21"/>
          <w:highlight w:val="none"/>
        </w:rPr>
        <w:t xml:space="preserve"> </w:t>
      </w:r>
      <w:r>
        <w:rPr>
          <w:rFonts w:hint="eastAsia" w:ascii="宋体" w:hAnsi="宋体" w:eastAsia="宋体" w:cs="宋体"/>
          <w:spacing w:val="18"/>
          <w:sz w:val="21"/>
          <w:szCs w:val="21"/>
          <w:highlight w:val="none"/>
        </w:rPr>
        <w:t>项</w:t>
      </w:r>
      <w:r>
        <w:rPr>
          <w:rFonts w:hint="eastAsia" w:ascii="宋体" w:hAnsi="宋体" w:eastAsia="宋体" w:cs="宋体"/>
          <w:spacing w:val="14"/>
          <w:sz w:val="21"/>
          <w:szCs w:val="21"/>
          <w:highlight w:val="none"/>
        </w:rPr>
        <w:t>目</w:t>
      </w:r>
      <w:r>
        <w:rPr>
          <w:rFonts w:hint="eastAsia" w:ascii="宋体" w:hAnsi="宋体" w:eastAsia="宋体" w:cs="宋体"/>
          <w:spacing w:val="9"/>
          <w:sz w:val="21"/>
          <w:szCs w:val="21"/>
          <w:highlight w:val="none"/>
        </w:rPr>
        <w:t>经理、项目副经理 (如有) 、总工程师、项目技术负责人、质检工程师桥梁、道路、机</w:t>
      </w:r>
      <w:r>
        <w:rPr>
          <w:rFonts w:hint="eastAsia" w:ascii="宋体" w:hAnsi="宋体" w:eastAsia="宋体" w:cs="宋体"/>
          <w:sz w:val="21"/>
          <w:szCs w:val="21"/>
          <w:highlight w:val="none"/>
        </w:rPr>
        <w:t xml:space="preserve"> </w:t>
      </w:r>
      <w:r>
        <w:rPr>
          <w:rFonts w:hint="eastAsia" w:ascii="宋体" w:hAnsi="宋体" w:eastAsia="宋体" w:cs="宋体"/>
          <w:spacing w:val="16"/>
          <w:sz w:val="21"/>
          <w:szCs w:val="21"/>
          <w:highlight w:val="none"/>
        </w:rPr>
        <w:t>械</w:t>
      </w:r>
      <w:r>
        <w:rPr>
          <w:rFonts w:hint="eastAsia" w:ascii="宋体" w:hAnsi="宋体" w:eastAsia="宋体" w:cs="宋体"/>
          <w:spacing w:val="10"/>
          <w:sz w:val="21"/>
          <w:szCs w:val="21"/>
          <w:highlight w:val="none"/>
        </w:rPr>
        <w:t>、</w:t>
      </w:r>
      <w:r>
        <w:rPr>
          <w:rFonts w:hint="eastAsia" w:ascii="宋体" w:hAnsi="宋体" w:eastAsia="宋体" w:cs="宋体"/>
          <w:spacing w:val="8"/>
          <w:sz w:val="21"/>
          <w:szCs w:val="21"/>
          <w:highlight w:val="none"/>
        </w:rPr>
        <w:t>试验等专业工程师、计划计量主管。</w:t>
      </w:r>
    </w:p>
    <w:p>
      <w:pPr>
        <w:rPr>
          <w:rFonts w:hint="eastAsia" w:ascii="宋体" w:hAnsi="宋体" w:eastAsia="宋体" w:cs="宋体"/>
          <w:sz w:val="21"/>
          <w:szCs w:val="21"/>
          <w:highlight w:val="none"/>
        </w:rPr>
        <w:sectPr>
          <w:footerReference r:id="rId6" w:type="default"/>
          <w:pgSz w:w="11906" w:h="16839"/>
          <w:pgMar w:top="400" w:right="1420" w:bottom="655" w:left="1361" w:header="0" w:footer="447" w:gutter="0"/>
          <w:pgBorders>
            <w:top w:val="none" w:sz="0" w:space="0"/>
            <w:left w:val="none" w:sz="0" w:space="0"/>
            <w:bottom w:val="none" w:sz="0" w:space="0"/>
            <w:right w:val="none" w:sz="0" w:space="0"/>
          </w:pgBorders>
          <w:pgNumType w:fmt="decimal"/>
          <w:cols w:space="720" w:num="1"/>
        </w:sectPr>
      </w:pPr>
    </w:p>
    <w:p>
      <w:pPr>
        <w:spacing w:before="91" w:line="210" w:lineRule="auto"/>
        <w:ind w:left="2251"/>
        <w:rPr>
          <w:rFonts w:hint="eastAsia" w:ascii="宋体" w:hAnsi="宋体" w:eastAsia="宋体" w:cs="宋体"/>
          <w:sz w:val="21"/>
          <w:szCs w:val="21"/>
          <w:highlight w:val="none"/>
        </w:rPr>
      </w:pPr>
      <w:r>
        <w:rPr>
          <w:rFonts w:hint="eastAsia" w:ascii="宋体" w:hAnsi="宋体" w:eastAsia="宋体" w:cs="宋体"/>
          <w:spacing w:val="-5"/>
          <w:sz w:val="21"/>
          <w:szCs w:val="21"/>
          <w:highlight w:val="none"/>
          <w:lang w:val="en-US" w:eastAsia="zh-CN"/>
          <w14:textOutline w14:w="5105" w14:cap="sq" w14:cmpd="sng">
            <w14:solidFill>
              <w14:srgbClr w14:val="000000"/>
            </w14:solidFill>
            <w14:prstDash w14:val="solid"/>
            <w14:bevel/>
          </w14:textOutline>
        </w:rPr>
        <w:t>6</w:t>
      </w:r>
      <w:r>
        <w:rPr>
          <w:rFonts w:hint="eastAsia" w:ascii="宋体" w:hAnsi="宋体" w:eastAsia="宋体" w:cs="宋体"/>
          <w:spacing w:val="-6"/>
          <w:sz w:val="21"/>
          <w:szCs w:val="21"/>
          <w:highlight w:val="none"/>
          <w14:textOutline w14:w="5105" w14:cap="sq" w14:cmpd="sng">
            <w14:solidFill>
              <w14:srgbClr w14:val="000000"/>
            </w14:solidFill>
            <w14:prstDash w14:val="solid"/>
            <w14:bevel/>
          </w14:textOutline>
        </w:rPr>
        <w:t>.</w:t>
      </w:r>
      <w:r>
        <w:rPr>
          <w:rFonts w:hint="eastAsia" w:ascii="宋体" w:hAnsi="宋体" w:eastAsia="宋体" w:cs="宋体"/>
          <w:spacing w:val="-5"/>
          <w:sz w:val="21"/>
          <w:szCs w:val="21"/>
          <w:highlight w:val="none"/>
          <w14:textOutline w14:w="5105" w14:cap="sq" w14:cmpd="sng">
            <w14:solidFill>
              <w14:srgbClr w14:val="000000"/>
            </w14:solidFill>
            <w14:prstDash w14:val="solid"/>
            <w14:bevel/>
          </w14:textOutline>
        </w:rPr>
        <w:t>3</w:t>
      </w:r>
      <w:r>
        <w:rPr>
          <w:rFonts w:hint="eastAsia"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14:textOutline w14:w="5105" w14:cap="sq" w14:cmpd="sng">
            <w14:solidFill>
              <w14:srgbClr w14:val="000000"/>
            </w14:solidFill>
            <w14:prstDash w14:val="solid"/>
            <w14:bevel/>
          </w14:textOutline>
        </w:rPr>
        <w:t>投入本合同工程的主要施工机械表</w:t>
      </w:r>
    </w:p>
    <w:tbl>
      <w:tblPr>
        <w:tblStyle w:val="82"/>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45"/>
        <w:gridCol w:w="1485"/>
        <w:gridCol w:w="1802"/>
        <w:gridCol w:w="1062"/>
        <w:gridCol w:w="1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27" w:type="dxa"/>
            <w:vAlign w:val="top"/>
          </w:tcPr>
          <w:p>
            <w:pPr>
              <w:spacing w:before="47" w:line="466" w:lineRule="exact"/>
              <w:ind w:left="129"/>
              <w:rPr>
                <w:rFonts w:hint="eastAsia" w:ascii="宋体" w:hAnsi="宋体" w:eastAsia="宋体" w:cs="宋体"/>
                <w:sz w:val="21"/>
                <w:szCs w:val="21"/>
                <w:highlight w:val="none"/>
              </w:rPr>
            </w:pPr>
            <w:r>
              <w:rPr>
                <w:rFonts w:hint="eastAsia" w:ascii="宋体" w:hAnsi="宋体" w:eastAsia="宋体" w:cs="宋体"/>
                <w:spacing w:val="6"/>
                <w:position w:val="17"/>
                <w:sz w:val="21"/>
                <w:szCs w:val="21"/>
                <w:highlight w:val="none"/>
              </w:rPr>
              <w:t>工 程</w:t>
            </w:r>
          </w:p>
          <w:p>
            <w:pPr>
              <w:spacing w:line="231" w:lineRule="auto"/>
              <w:ind w:left="12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类</w:t>
            </w:r>
            <w:r>
              <w:rPr>
                <w:rFonts w:hint="eastAsia" w:ascii="宋体" w:hAnsi="宋体" w:eastAsia="宋体" w:cs="宋体"/>
                <w:sz w:val="21"/>
                <w:szCs w:val="21"/>
                <w:highlight w:val="none"/>
              </w:rPr>
              <w:t>别</w:t>
            </w:r>
          </w:p>
        </w:tc>
        <w:tc>
          <w:tcPr>
            <w:tcW w:w="2045" w:type="dxa"/>
            <w:vAlign w:val="top"/>
          </w:tcPr>
          <w:p>
            <w:pPr>
              <w:spacing w:before="280" w:line="229" w:lineRule="auto"/>
              <w:ind w:left="55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机械名称</w:t>
            </w:r>
          </w:p>
        </w:tc>
        <w:tc>
          <w:tcPr>
            <w:tcW w:w="1485" w:type="dxa"/>
            <w:vAlign w:val="top"/>
          </w:tcPr>
          <w:p>
            <w:pPr>
              <w:spacing w:before="280" w:line="231" w:lineRule="auto"/>
              <w:ind w:left="27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规格型号</w:t>
            </w:r>
          </w:p>
        </w:tc>
        <w:tc>
          <w:tcPr>
            <w:tcW w:w="1802" w:type="dxa"/>
            <w:vAlign w:val="top"/>
          </w:tcPr>
          <w:p>
            <w:pPr>
              <w:spacing w:before="47" w:line="243" w:lineRule="auto"/>
              <w:ind w:left="216" w:right="31" w:hanging="9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额定功率 (</w:t>
            </w:r>
            <w:r>
              <w:rPr>
                <w:rFonts w:hint="eastAsia" w:ascii="宋体" w:hAnsi="宋体" w:eastAsia="宋体" w:cs="宋体"/>
                <w:sz w:val="21"/>
                <w:szCs w:val="21"/>
                <w:highlight w:val="none"/>
              </w:rPr>
              <w:t>kW</w:t>
            </w:r>
            <w:r>
              <w:rPr>
                <w:rFonts w:hint="eastAsia" w:ascii="宋体" w:hAnsi="宋体" w:eastAsia="宋体" w:cs="宋体"/>
                <w:spacing w:val="4"/>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或</w:t>
            </w:r>
            <w:r>
              <w:rPr>
                <w:rFonts w:hint="eastAsia" w:ascii="宋体" w:hAnsi="宋体" w:eastAsia="宋体" w:cs="宋体"/>
                <w:spacing w:val="-4"/>
                <w:sz w:val="21"/>
                <w:szCs w:val="21"/>
                <w:highlight w:val="none"/>
              </w:rPr>
              <w:t>容量 (m3)</w:t>
            </w:r>
            <w:r>
              <w:rPr>
                <w:rFonts w:hint="eastAsia" w:ascii="宋体" w:hAnsi="宋体" w:eastAsia="宋体" w:cs="宋体"/>
                <w:sz w:val="21"/>
                <w:szCs w:val="21"/>
                <w:highlight w:val="none"/>
              </w:rPr>
              <w:t xml:space="preserve">  </w:t>
            </w:r>
            <w:r>
              <w:rPr>
                <w:rFonts w:hint="eastAsia" w:ascii="宋体" w:hAnsi="宋体" w:eastAsia="宋体" w:cs="宋体"/>
                <w:spacing w:val="11"/>
                <w:sz w:val="21"/>
                <w:szCs w:val="21"/>
                <w:highlight w:val="none"/>
              </w:rPr>
              <w:t>或吨位 (</w:t>
            </w:r>
            <w:r>
              <w:rPr>
                <w:rFonts w:hint="eastAsia" w:ascii="宋体" w:hAnsi="宋体" w:eastAsia="宋体" w:cs="宋体"/>
                <w:sz w:val="21"/>
                <w:szCs w:val="21"/>
                <w:highlight w:val="none"/>
              </w:rPr>
              <w:t>t</w:t>
            </w:r>
            <w:r>
              <w:rPr>
                <w:rFonts w:hint="eastAsia" w:ascii="宋体" w:hAnsi="宋体" w:eastAsia="宋体" w:cs="宋体"/>
                <w:spacing w:val="11"/>
                <w:sz w:val="21"/>
                <w:szCs w:val="21"/>
                <w:highlight w:val="none"/>
              </w:rPr>
              <w:t>)</w:t>
            </w:r>
          </w:p>
        </w:tc>
        <w:tc>
          <w:tcPr>
            <w:tcW w:w="1062" w:type="dxa"/>
            <w:vAlign w:val="top"/>
          </w:tcPr>
          <w:p>
            <w:pPr>
              <w:spacing w:before="47" w:line="466" w:lineRule="exact"/>
              <w:ind w:left="304"/>
              <w:rPr>
                <w:rFonts w:hint="eastAsia" w:ascii="宋体" w:hAnsi="宋体" w:eastAsia="宋体" w:cs="宋体"/>
                <w:sz w:val="21"/>
                <w:szCs w:val="21"/>
                <w:highlight w:val="none"/>
              </w:rPr>
            </w:pPr>
            <w:r>
              <w:rPr>
                <w:rFonts w:hint="eastAsia" w:ascii="宋体" w:hAnsi="宋体" w:eastAsia="宋体" w:cs="宋体"/>
                <w:spacing w:val="2"/>
                <w:position w:val="17"/>
                <w:sz w:val="21"/>
                <w:szCs w:val="21"/>
                <w:highlight w:val="none"/>
              </w:rPr>
              <w:t>数量</w:t>
            </w:r>
          </w:p>
          <w:p>
            <w:pPr>
              <w:spacing w:line="229" w:lineRule="auto"/>
              <w:ind w:left="190"/>
              <w:rPr>
                <w:rFonts w:hint="eastAsia" w:ascii="宋体" w:hAnsi="宋体" w:eastAsia="宋体" w:cs="宋体"/>
                <w:sz w:val="21"/>
                <w:szCs w:val="21"/>
                <w:highlight w:val="none"/>
              </w:rPr>
            </w:pPr>
            <w:r>
              <w:rPr>
                <w:rFonts w:hint="eastAsia" w:ascii="宋体" w:hAnsi="宋体" w:eastAsia="宋体" w:cs="宋体"/>
                <w:spacing w:val="38"/>
                <w:sz w:val="21"/>
                <w:szCs w:val="21"/>
                <w:highlight w:val="none"/>
              </w:rPr>
              <w:t>(台)</w:t>
            </w:r>
          </w:p>
        </w:tc>
        <w:tc>
          <w:tcPr>
            <w:tcW w:w="1823" w:type="dxa"/>
            <w:vAlign w:val="top"/>
          </w:tcPr>
          <w:p>
            <w:pPr>
              <w:spacing w:before="280" w:line="231" w:lineRule="auto"/>
              <w:ind w:left="447"/>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进</w:t>
            </w:r>
            <w:r>
              <w:rPr>
                <w:rFonts w:hint="eastAsia" w:ascii="宋体" w:hAnsi="宋体" w:eastAsia="宋体" w:cs="宋体"/>
                <w:spacing w:val="5"/>
                <w:sz w:val="21"/>
                <w:szCs w:val="21"/>
                <w:highlight w:val="none"/>
              </w:rPr>
              <w:t>场时间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27" w:type="dxa"/>
            <w:vMerge w:val="restart"/>
            <w:tcBorders>
              <w:bottom w:val="nil"/>
            </w:tcBorders>
            <w:textDirection w:val="tbRlV"/>
            <w:vAlign w:val="top"/>
          </w:tcPr>
          <w:p>
            <w:pPr>
              <w:spacing w:before="292" w:line="211" w:lineRule="auto"/>
              <w:ind w:left="766"/>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路</w:t>
            </w:r>
            <w:r>
              <w:rPr>
                <w:rFonts w:hint="eastAsia" w:ascii="宋体" w:hAnsi="宋体" w:eastAsia="宋体" w:cs="宋体"/>
                <w:spacing w:val="20"/>
                <w:sz w:val="21"/>
                <w:szCs w:val="21"/>
                <w:highlight w:val="none"/>
              </w:rPr>
              <w:t xml:space="preserve">     基</w:t>
            </w: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27" w:type="dxa"/>
            <w:vMerge w:val="continue"/>
            <w:tcBorders>
              <w:top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27" w:type="dxa"/>
            <w:vMerge w:val="restart"/>
            <w:tcBorders>
              <w:bottom w:val="nil"/>
            </w:tcBorders>
            <w:textDirection w:val="tbRlV"/>
            <w:vAlign w:val="top"/>
          </w:tcPr>
          <w:p>
            <w:pPr>
              <w:spacing w:before="292" w:line="211" w:lineRule="auto"/>
              <w:ind w:left="800"/>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路</w:t>
            </w:r>
            <w:r>
              <w:rPr>
                <w:rFonts w:hint="eastAsia" w:ascii="宋体" w:hAnsi="宋体" w:eastAsia="宋体" w:cs="宋体"/>
                <w:spacing w:val="20"/>
                <w:sz w:val="21"/>
                <w:szCs w:val="21"/>
                <w:highlight w:val="none"/>
              </w:rPr>
              <w:t xml:space="preserve">     面</w:t>
            </w: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7" w:type="dxa"/>
            <w:vMerge w:val="restart"/>
            <w:tcBorders>
              <w:bottom w:val="nil"/>
            </w:tcBorders>
            <w:textDirection w:val="tbRlV"/>
            <w:vAlign w:val="top"/>
          </w:tcPr>
          <w:p>
            <w:pPr>
              <w:spacing w:before="291" w:line="212" w:lineRule="auto"/>
              <w:ind w:left="2002"/>
              <w:rPr>
                <w:rFonts w:hint="eastAsia" w:ascii="宋体" w:hAnsi="宋体" w:eastAsia="宋体" w:cs="宋体"/>
                <w:sz w:val="21"/>
                <w:szCs w:val="21"/>
                <w:highlight w:val="none"/>
              </w:rPr>
            </w:pPr>
            <w:r>
              <w:rPr>
                <w:rFonts w:hint="eastAsia" w:ascii="宋体" w:hAnsi="宋体" w:eastAsia="宋体" w:cs="宋体"/>
                <w:spacing w:val="58"/>
                <w:sz w:val="21"/>
                <w:szCs w:val="21"/>
                <w:highlight w:val="none"/>
              </w:rPr>
              <w:t>桥</w:t>
            </w:r>
            <w:r>
              <w:rPr>
                <w:rFonts w:hint="eastAsia" w:ascii="宋体" w:hAnsi="宋体" w:eastAsia="宋体" w:cs="宋体"/>
                <w:spacing w:val="54"/>
                <w:sz w:val="21"/>
                <w:szCs w:val="21"/>
                <w:highlight w:val="none"/>
              </w:rPr>
              <w:t xml:space="preserve"> 梁 涵 洞</w:t>
            </w: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 w:type="dxa"/>
            <w:vMerge w:val="continue"/>
            <w:tcBorders>
              <w:top w:val="nil"/>
              <w:bottom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27" w:type="dxa"/>
            <w:vMerge w:val="continue"/>
            <w:tcBorders>
              <w:top w:val="nil"/>
            </w:tcBorders>
            <w:textDirection w:val="tbRlV"/>
            <w:vAlign w:val="top"/>
          </w:tcPr>
          <w:p>
            <w:pPr>
              <w:rPr>
                <w:rFonts w:hint="eastAsia" w:ascii="宋体" w:hAnsi="宋体" w:eastAsia="宋体" w:cs="宋体"/>
                <w:sz w:val="21"/>
                <w:szCs w:val="21"/>
                <w:highlight w:val="none"/>
              </w:rPr>
            </w:pPr>
          </w:p>
        </w:tc>
        <w:tc>
          <w:tcPr>
            <w:tcW w:w="2045" w:type="dxa"/>
            <w:vAlign w:val="top"/>
          </w:tcPr>
          <w:p>
            <w:pPr>
              <w:rPr>
                <w:rFonts w:hint="eastAsia" w:ascii="宋体" w:hAnsi="宋体" w:eastAsia="宋体" w:cs="宋体"/>
                <w:sz w:val="21"/>
                <w:szCs w:val="21"/>
                <w:highlight w:val="none"/>
              </w:rPr>
            </w:pPr>
          </w:p>
        </w:tc>
        <w:tc>
          <w:tcPr>
            <w:tcW w:w="1485" w:type="dxa"/>
            <w:vAlign w:val="top"/>
          </w:tcPr>
          <w:p>
            <w:pPr>
              <w:rPr>
                <w:rFonts w:hint="eastAsia" w:ascii="宋体" w:hAnsi="宋体" w:eastAsia="宋体" w:cs="宋体"/>
                <w:sz w:val="21"/>
                <w:szCs w:val="21"/>
                <w:highlight w:val="none"/>
              </w:rPr>
            </w:pPr>
          </w:p>
        </w:tc>
        <w:tc>
          <w:tcPr>
            <w:tcW w:w="1802" w:type="dxa"/>
            <w:vAlign w:val="top"/>
          </w:tcPr>
          <w:p>
            <w:pPr>
              <w:rPr>
                <w:rFonts w:hint="eastAsia" w:ascii="宋体" w:hAnsi="宋体" w:eastAsia="宋体" w:cs="宋体"/>
                <w:sz w:val="21"/>
                <w:szCs w:val="21"/>
                <w:highlight w:val="none"/>
              </w:rPr>
            </w:pPr>
          </w:p>
        </w:tc>
        <w:tc>
          <w:tcPr>
            <w:tcW w:w="1062" w:type="dxa"/>
            <w:vAlign w:val="top"/>
          </w:tcPr>
          <w:p>
            <w:pPr>
              <w:rPr>
                <w:rFonts w:hint="eastAsia" w:ascii="宋体" w:hAnsi="宋体" w:eastAsia="宋体" w:cs="宋体"/>
                <w:sz w:val="21"/>
                <w:szCs w:val="21"/>
                <w:highlight w:val="none"/>
              </w:rPr>
            </w:pPr>
          </w:p>
        </w:tc>
        <w:tc>
          <w:tcPr>
            <w:tcW w:w="1823" w:type="dxa"/>
            <w:vAlign w:val="top"/>
          </w:tcPr>
          <w:p>
            <w:pPr>
              <w:rPr>
                <w:rFonts w:hint="eastAsia" w:ascii="宋体" w:hAnsi="宋体" w:eastAsia="宋体" w:cs="宋体"/>
                <w:sz w:val="21"/>
                <w:szCs w:val="21"/>
                <w:highlight w:val="none"/>
              </w:rPr>
            </w:pPr>
          </w:p>
        </w:tc>
      </w:tr>
    </w:tbl>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sectPr>
          <w:footerReference r:id="rId7" w:type="default"/>
          <w:pgSz w:w="11906" w:h="16839"/>
          <w:pgMar w:top="400" w:right="1495" w:bottom="655" w:left="1361" w:header="0" w:footer="447" w:gutter="0"/>
          <w:pgBorders>
            <w:top w:val="none" w:sz="0" w:space="0"/>
            <w:left w:val="none" w:sz="0" w:space="0"/>
            <w:bottom w:val="none" w:sz="0" w:space="0"/>
            <w:right w:val="none" w:sz="0" w:space="0"/>
          </w:pgBorders>
          <w:pgNumType w:fmt="decimal"/>
          <w:cols w:space="720" w:num="1"/>
        </w:sectPr>
      </w:pPr>
    </w:p>
    <w:p>
      <w:pPr>
        <w:spacing w:line="262" w:lineRule="auto"/>
        <w:rPr>
          <w:rFonts w:hint="eastAsia" w:ascii="宋体" w:hAnsi="宋体" w:eastAsia="宋体" w:cs="宋体"/>
          <w:sz w:val="21"/>
          <w:szCs w:val="21"/>
          <w:highlight w:val="none"/>
        </w:rPr>
      </w:pPr>
    </w:p>
    <w:p>
      <w:pPr>
        <w:spacing w:line="262" w:lineRule="auto"/>
        <w:rPr>
          <w:rFonts w:hint="eastAsia" w:ascii="宋体" w:hAnsi="宋体" w:eastAsia="宋体" w:cs="宋体"/>
          <w:sz w:val="21"/>
          <w:szCs w:val="21"/>
          <w:highlight w:val="none"/>
        </w:rPr>
      </w:pPr>
    </w:p>
    <w:p>
      <w:pPr>
        <w:spacing w:line="263" w:lineRule="auto"/>
        <w:rPr>
          <w:rFonts w:hint="eastAsia" w:ascii="宋体" w:hAnsi="宋体" w:eastAsia="宋体" w:cs="宋体"/>
          <w:sz w:val="21"/>
          <w:szCs w:val="21"/>
          <w:highlight w:val="none"/>
        </w:rPr>
      </w:pPr>
    </w:p>
    <w:p>
      <w:pPr>
        <w:spacing w:before="91" w:line="210" w:lineRule="auto"/>
        <w:ind w:left="845"/>
        <w:rPr>
          <w:rFonts w:hint="eastAsia" w:ascii="宋体" w:hAnsi="宋体" w:eastAsia="宋体" w:cs="宋体"/>
          <w:sz w:val="21"/>
          <w:szCs w:val="21"/>
          <w:highlight w:val="none"/>
        </w:rPr>
      </w:pPr>
      <w:r>
        <w:rPr>
          <w:rFonts w:hint="eastAsia" w:ascii="宋体" w:hAnsi="宋体" w:cs="宋体"/>
          <w:spacing w:val="-2"/>
          <w:sz w:val="21"/>
          <w:szCs w:val="21"/>
          <w:highlight w:val="none"/>
          <w:lang w:val="en-US" w:eastAsia="zh-CN"/>
          <w14:textOutline w14:w="5105" w14:cap="sq" w14:cmpd="sng">
            <w14:solidFill>
              <w14:srgbClr w14:val="000000"/>
            </w14:solidFill>
            <w14:prstDash w14:val="solid"/>
            <w14:bevel/>
          </w14:textOutline>
        </w:rPr>
        <w:t>6</w:t>
      </w:r>
      <w:r>
        <w:rPr>
          <w:rFonts w:hint="eastAsia" w:ascii="宋体" w:hAnsi="宋体" w:eastAsia="宋体" w:cs="宋体"/>
          <w:spacing w:val="-2"/>
          <w:sz w:val="21"/>
          <w:szCs w:val="21"/>
          <w:highlight w:val="none"/>
          <w14:textOutline w14:w="5105" w14:cap="sq" w14:cmpd="sng">
            <w14:solidFill>
              <w14:srgbClr w14:val="000000"/>
            </w14:solidFill>
            <w14:prstDash w14:val="solid"/>
            <w14:bevel/>
          </w14:textOutline>
        </w:rPr>
        <w:t>.4</w:t>
      </w:r>
      <w:r>
        <w:rPr>
          <w:rFonts w:hint="eastAsia" w:ascii="宋体" w:hAnsi="宋体" w:eastAsia="宋体" w:cs="宋体"/>
          <w:spacing w:val="-2"/>
          <w:sz w:val="21"/>
          <w:szCs w:val="21"/>
          <w:highlight w:val="none"/>
        </w:rPr>
        <w:t xml:space="preserve"> </w:t>
      </w:r>
      <w:r>
        <w:rPr>
          <w:rFonts w:hint="eastAsia" w:ascii="宋体" w:hAnsi="宋体" w:eastAsia="宋体" w:cs="宋体"/>
          <w:spacing w:val="-2"/>
          <w:sz w:val="21"/>
          <w:szCs w:val="21"/>
          <w:highlight w:val="none"/>
          <w14:textOutline w14:w="5105" w14:cap="sq" w14:cmpd="sng">
            <w14:solidFill>
              <w14:srgbClr w14:val="000000"/>
            </w14:solidFill>
            <w14:prstDash w14:val="solid"/>
            <w14:bevel/>
          </w14:textOutline>
        </w:rPr>
        <w:t>配备本合同工程主要的材料试验、测量、质检仪器设</w:t>
      </w:r>
      <w:r>
        <w:rPr>
          <w:rFonts w:hint="eastAsia" w:ascii="宋体" w:hAnsi="宋体" w:eastAsia="宋体" w:cs="宋体"/>
          <w:sz w:val="21"/>
          <w:szCs w:val="21"/>
          <w:highlight w:val="none"/>
          <w14:textOutline w14:w="5105" w14:cap="sq" w14:cmpd="sng">
            <w14:solidFill>
              <w14:srgbClr w14:val="000000"/>
            </w14:solidFill>
            <w14:prstDash w14:val="solid"/>
            <w14:bevel/>
          </w14:textOutline>
        </w:rPr>
        <w:t>备表</w:t>
      </w:r>
    </w:p>
    <w:tbl>
      <w:tblPr>
        <w:tblStyle w:val="82"/>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099"/>
        <w:gridCol w:w="1841"/>
        <w:gridCol w:w="1419"/>
        <w:gridCol w:w="1420"/>
        <w:gridCol w:w="1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42" w:type="dxa"/>
            <w:vAlign w:val="top"/>
          </w:tcPr>
          <w:p>
            <w:pPr>
              <w:spacing w:before="220" w:line="231" w:lineRule="auto"/>
              <w:ind w:left="14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序号</w:t>
            </w:r>
          </w:p>
        </w:tc>
        <w:tc>
          <w:tcPr>
            <w:tcW w:w="2099" w:type="dxa"/>
            <w:vAlign w:val="top"/>
          </w:tcPr>
          <w:p>
            <w:pPr>
              <w:spacing w:before="220" w:line="229" w:lineRule="auto"/>
              <w:ind w:left="34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仪</w:t>
            </w:r>
            <w:r>
              <w:rPr>
                <w:rFonts w:hint="eastAsia" w:ascii="宋体" w:hAnsi="宋体" w:eastAsia="宋体" w:cs="宋体"/>
                <w:spacing w:val="7"/>
                <w:sz w:val="21"/>
                <w:szCs w:val="21"/>
                <w:highlight w:val="none"/>
              </w:rPr>
              <w:t>器设备名称</w:t>
            </w:r>
          </w:p>
        </w:tc>
        <w:tc>
          <w:tcPr>
            <w:tcW w:w="1841" w:type="dxa"/>
            <w:vAlign w:val="top"/>
          </w:tcPr>
          <w:p>
            <w:pPr>
              <w:spacing w:before="220" w:line="231" w:lineRule="auto"/>
              <w:ind w:left="451"/>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规格型号</w:t>
            </w:r>
          </w:p>
        </w:tc>
        <w:tc>
          <w:tcPr>
            <w:tcW w:w="1419" w:type="dxa"/>
            <w:vAlign w:val="top"/>
          </w:tcPr>
          <w:p>
            <w:pPr>
              <w:spacing w:before="220" w:line="229" w:lineRule="auto"/>
              <w:ind w:left="48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单</w:t>
            </w:r>
            <w:r>
              <w:rPr>
                <w:rFonts w:hint="eastAsia" w:ascii="宋体" w:hAnsi="宋体" w:eastAsia="宋体" w:cs="宋体"/>
                <w:sz w:val="21"/>
                <w:szCs w:val="21"/>
                <w:highlight w:val="none"/>
              </w:rPr>
              <w:t>位</w:t>
            </w:r>
          </w:p>
        </w:tc>
        <w:tc>
          <w:tcPr>
            <w:tcW w:w="1420" w:type="dxa"/>
            <w:vAlign w:val="top"/>
          </w:tcPr>
          <w:p>
            <w:pPr>
              <w:spacing w:before="220" w:line="231" w:lineRule="auto"/>
              <w:ind w:left="48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数量</w:t>
            </w:r>
          </w:p>
        </w:tc>
        <w:tc>
          <w:tcPr>
            <w:tcW w:w="1663" w:type="dxa"/>
            <w:vAlign w:val="top"/>
          </w:tcPr>
          <w:p>
            <w:pPr>
              <w:spacing w:before="220" w:line="233" w:lineRule="auto"/>
              <w:ind w:left="60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42" w:type="dxa"/>
            <w:vAlign w:val="top"/>
          </w:tcPr>
          <w:p>
            <w:pPr>
              <w:rPr>
                <w:rFonts w:hint="eastAsia" w:ascii="宋体" w:hAnsi="宋体" w:eastAsia="宋体" w:cs="宋体"/>
                <w:sz w:val="21"/>
                <w:szCs w:val="21"/>
                <w:highlight w:val="none"/>
              </w:rPr>
            </w:pPr>
          </w:p>
        </w:tc>
        <w:tc>
          <w:tcPr>
            <w:tcW w:w="2099" w:type="dxa"/>
            <w:vAlign w:val="top"/>
          </w:tcPr>
          <w:p>
            <w:pPr>
              <w:rPr>
                <w:rFonts w:hint="eastAsia" w:ascii="宋体" w:hAnsi="宋体" w:eastAsia="宋体" w:cs="宋体"/>
                <w:sz w:val="21"/>
                <w:szCs w:val="21"/>
                <w:highlight w:val="none"/>
              </w:rPr>
            </w:pPr>
          </w:p>
        </w:tc>
        <w:tc>
          <w:tcPr>
            <w:tcW w:w="1841" w:type="dxa"/>
            <w:vAlign w:val="top"/>
          </w:tcPr>
          <w:p>
            <w:pPr>
              <w:rPr>
                <w:rFonts w:hint="eastAsia" w:ascii="宋体" w:hAnsi="宋体" w:eastAsia="宋体" w:cs="宋体"/>
                <w:sz w:val="21"/>
                <w:szCs w:val="21"/>
                <w:highlight w:val="none"/>
              </w:rPr>
            </w:pPr>
          </w:p>
        </w:tc>
        <w:tc>
          <w:tcPr>
            <w:tcW w:w="1419" w:type="dxa"/>
            <w:vAlign w:val="top"/>
          </w:tcPr>
          <w:p>
            <w:pPr>
              <w:rPr>
                <w:rFonts w:hint="eastAsia" w:ascii="宋体" w:hAnsi="宋体" w:eastAsia="宋体" w:cs="宋体"/>
                <w:sz w:val="21"/>
                <w:szCs w:val="21"/>
                <w:highlight w:val="none"/>
              </w:rPr>
            </w:pPr>
          </w:p>
        </w:tc>
        <w:tc>
          <w:tcPr>
            <w:tcW w:w="1420" w:type="dxa"/>
            <w:vAlign w:val="top"/>
          </w:tcPr>
          <w:p>
            <w:pPr>
              <w:rPr>
                <w:rFonts w:hint="eastAsia" w:ascii="宋体" w:hAnsi="宋体" w:eastAsia="宋体" w:cs="宋体"/>
                <w:sz w:val="21"/>
                <w:szCs w:val="21"/>
                <w:highlight w:val="none"/>
              </w:rPr>
            </w:pPr>
          </w:p>
        </w:tc>
        <w:tc>
          <w:tcPr>
            <w:tcW w:w="1663" w:type="dxa"/>
            <w:vAlign w:val="top"/>
          </w:tcPr>
          <w:p>
            <w:pPr>
              <w:rPr>
                <w:rFonts w:hint="eastAsia" w:ascii="宋体" w:hAnsi="宋体" w:eastAsia="宋体" w:cs="宋体"/>
                <w:sz w:val="21"/>
                <w:szCs w:val="21"/>
                <w:highlight w:val="none"/>
              </w:rPr>
            </w:pPr>
          </w:p>
        </w:tc>
      </w:tr>
    </w:tbl>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sectPr>
          <w:footerReference r:id="rId8" w:type="default"/>
          <w:pgSz w:w="11906" w:h="16839"/>
          <w:pgMar w:top="400" w:right="1355" w:bottom="655" w:left="1361" w:header="0" w:footer="447" w:gutter="0"/>
          <w:pgBorders>
            <w:top w:val="none" w:sz="0" w:space="0"/>
            <w:left w:val="none" w:sz="0" w:space="0"/>
            <w:bottom w:val="none" w:sz="0" w:space="0"/>
            <w:right w:val="none" w:sz="0" w:space="0"/>
          </w:pgBorders>
          <w:pgNumType w:fmt="decimal"/>
          <w:cols w:space="720" w:num="1"/>
        </w:sectPr>
      </w:pPr>
    </w:p>
    <w:p>
      <w:pPr>
        <w:spacing w:line="262" w:lineRule="auto"/>
        <w:rPr>
          <w:rFonts w:hint="eastAsia" w:ascii="宋体" w:hAnsi="宋体" w:eastAsia="宋体" w:cs="宋体"/>
          <w:sz w:val="21"/>
          <w:szCs w:val="21"/>
          <w:highlight w:val="none"/>
        </w:rPr>
      </w:pPr>
    </w:p>
    <w:p>
      <w:pPr>
        <w:spacing w:line="263" w:lineRule="auto"/>
        <w:rPr>
          <w:rFonts w:hint="eastAsia" w:ascii="宋体" w:hAnsi="宋体" w:eastAsia="宋体" w:cs="宋体"/>
          <w:sz w:val="21"/>
          <w:szCs w:val="21"/>
          <w:highlight w:val="none"/>
        </w:rPr>
      </w:pPr>
    </w:p>
    <w:p>
      <w:pPr>
        <w:spacing w:before="91" w:line="210" w:lineRule="auto"/>
        <w:ind w:left="1329"/>
        <w:rPr>
          <w:rFonts w:hint="eastAsia" w:ascii="宋体" w:hAnsi="宋体" w:eastAsia="宋体" w:cs="宋体"/>
          <w:sz w:val="21"/>
          <w:szCs w:val="21"/>
          <w:highlight w:val="none"/>
        </w:rPr>
      </w:pPr>
      <w:r>
        <w:rPr>
          <w:rFonts w:hint="default" w:ascii="宋体" w:hAnsi="宋体" w:eastAsia="宋体" w:cs="宋体"/>
          <w:spacing w:val="-4"/>
          <w:sz w:val="21"/>
          <w:szCs w:val="21"/>
          <w:highlight w:val="none"/>
          <w:lang w:val="en-US"/>
          <w14:textOutline w14:w="5105" w14:cap="sq" w14:cmpd="sng">
            <w14:solidFill>
              <w14:srgbClr w14:val="000000"/>
            </w14:solidFill>
            <w14:prstDash w14:val="solid"/>
            <w14:bevel/>
          </w14:textOutline>
        </w:rPr>
        <mc:AlternateContent>
          <mc:Choice Requires="wps">
            <w:drawing>
              <wp:anchor distT="0" distB="0" distL="114300" distR="114300" simplePos="0" relativeHeight="251661312" behindDoc="0" locked="0" layoutInCell="1" allowOverlap="1">
                <wp:simplePos x="0" y="0"/>
                <wp:positionH relativeFrom="column">
                  <wp:posOffset>923290</wp:posOffset>
                </wp:positionH>
                <wp:positionV relativeFrom="paragraph">
                  <wp:posOffset>173355</wp:posOffset>
                </wp:positionV>
                <wp:extent cx="1814195" cy="1022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14195" cy="102235"/>
                        </a:xfrm>
                        <a:prstGeom prst="rect">
                          <a:avLst/>
                        </a:prstGeom>
                        <a:noFill/>
                        <a:ln>
                          <a:noFill/>
                        </a:ln>
                      </wps:spPr>
                      <wps:txbx>
                        <w:txbxContent>
                          <w:p>
                            <w:pPr>
                              <w:spacing w:before="20" w:line="120" w:lineRule="exact"/>
                              <w:ind w:left="20"/>
                              <w:rPr>
                                <w:rFonts w:ascii="仿宋" w:hAnsi="仿宋" w:eastAsia="仿宋" w:cs="仿宋"/>
                                <w:sz w:val="28"/>
                                <w:szCs w:val="28"/>
                              </w:rPr>
                            </w:pPr>
                            <w:r>
                              <w:rPr>
                                <w:rFonts w:ascii="仿宋" w:hAnsi="仿宋" w:eastAsia="仿宋" w:cs="仿宋"/>
                                <w:spacing w:val="1"/>
                                <w:position w:val="3"/>
                                <w:sz w:val="28"/>
                                <w:szCs w:val="28"/>
                                <w14:textOutline w14:w="5105" w14:cap="sq" w14:cmpd="sng">
                                  <w14:solidFill>
                                    <w14:srgbClr w14:val="000000"/>
                                  </w14:solidFill>
                                  <w14:prstDash w14:val="solid"/>
                                  <w14:bevel/>
                                </w14:textOutline>
                              </w:rPr>
                              <w:t>.</w:t>
                            </w:r>
                            <w:r>
                              <w:rPr>
                                <w:rFonts w:ascii="仿宋" w:hAnsi="仿宋" w:eastAsia="仿宋" w:cs="仿宋"/>
                                <w:spacing w:val="1"/>
                                <w:position w:val="3"/>
                                <w:sz w:val="28"/>
                                <w:szCs w:val="28"/>
                              </w:rPr>
                              <w:t xml:space="preserve">               </w:t>
                            </w:r>
                            <w:r>
                              <w:rPr>
                                <w:rFonts w:ascii="仿宋" w:hAnsi="仿宋" w:eastAsia="仿宋" w:cs="仿宋"/>
                                <w:position w:val="3"/>
                                <w:sz w:val="28"/>
                                <w:szCs w:val="28"/>
                              </w:rPr>
                              <w:t xml:space="preserve">  </w:t>
                            </w:r>
                            <w:r>
                              <w:rPr>
                                <w:rFonts w:ascii="仿宋" w:hAnsi="仿宋" w:eastAsia="仿宋" w:cs="仿宋"/>
                                <w:position w:val="3"/>
                                <w:sz w:val="28"/>
                                <w:szCs w:val="28"/>
                                <w14:textOutline w14:w="5105" w14:cap="sq" w14:cmpd="sng">
                                  <w14:solidFill>
                                    <w14:srgbClr w14:val="000000"/>
                                  </w14:solidFill>
                                  <w14:prstDash w14:val="solid"/>
                                  <w14:bevel/>
                                </w14:textOutline>
                              </w:rPr>
                              <w:t>、</w:t>
                            </w:r>
                          </w:p>
                        </w:txbxContent>
                      </wps:txbx>
                      <wps:bodyPr lIns="0" tIns="0" rIns="0" bIns="0" upright="1"/>
                    </wps:wsp>
                  </a:graphicData>
                </a:graphic>
              </wp:anchor>
            </w:drawing>
          </mc:Choice>
          <mc:Fallback>
            <w:pict>
              <v:shape id="_x0000_s1026" o:spid="_x0000_s1026" o:spt="202" type="#_x0000_t202" style="position:absolute;left:0pt;margin-left:72.7pt;margin-top:13.65pt;height:8.05pt;width:142.85pt;z-index:251661312;mso-width-relative:page;mso-height-relative:page;" filled="f" stroked="f" coordsize="21600,21600" o:gfxdata="UEsDBAoAAAAAAIdO4kAAAAAAAAAAAAAAAAAEAAAAZHJzL1BLAwQUAAAACACHTuJAjR2cCtgAAAAJ&#10;AQAADwAAAGRycy9kb3ducmV2LnhtbE2PTU/DMAyG70j8h8hI3FjSrQwoTSeE4IQ00ZUDx7Tx2mqN&#10;U5rsg38/7wQ3v/Kj14/z1ckN4oBT6D1pSGYKBFLjbU+thq/q/e4RRIiGrBk8oYZfDLAqrq9yk1l/&#10;pBIPm9gKLqGQGQ1djGMmZWg6dCbM/IjEu62fnIkcp1bayRy53A1yrtRSOtMTX+jMiK8dNrvN3ml4&#10;+abyrf9Z15/ltuyr6knRx3Kn9e1Nop5BRDzFPxgu+qwOBTvVfk82iIFzep8yqmH+sADBQLpIEhD1&#10;ZUhBFrn8/0FxBlBLAwQUAAAACACHTuJAWfWzC7sBAAByAwAADgAAAGRycy9lMm9Eb2MueG1srVPB&#10;btswDL0P6D8Iui+2s3TojDgFiqDFgGEb0O0DFFmKBUiiICmx8wPbH+y0y+77rnzHKDlO1/bSQy8y&#10;RVKPfI/08nowmuyFDwpsQ6tZSYmwHFpltw39/u327RUlITLbMg1WNPQgAr1eXbxZ9q4Wc+hAt8IT&#10;BLGh7l1DuxhdXRSBd8KwMAMnLAYleMMiXv22aD3rEd3oYl6W74sefOs8cBECetdjkJ4Q/UsAQUrF&#10;xRr4zggbR1QvNItIKXTKBbrK3UopePwiZRCR6IYi05hPLIL2Jp3FasnqrWeuU/zUAntJC084GaYs&#10;Fj1DrVlkZOfVMyijuIcAMs44mGIkkhVBFlX5RJv7jjmRuaDUwZ1FD68Hyz/vv3qi2oYuKLHM4MCP&#10;v34ef/89/vlBFkme3oUas+4d5sXhBgZcmskf0JlYD9Kb9EU+BOMo7uEsrhgi4enRVbWoPlxSwjFW&#10;lfP5u8sEUzy8dj7EOwGGJKOhHoeXNWX7TyGOqVNKKmbhVmmdB6jtIwdiJk+RWh9bTFYcNsOJzwba&#10;A9LRHy1KmdZiMvxkbCZj57zadthOJp0hcRS579PapFn/f8+FH36V1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NHZwK2AAAAAkBAAAPAAAAAAAAAAEAIAAAACIAAABkcnMvZG93bnJldi54bWxQSwEC&#10;FAAUAAAACACHTuJAWfWzC7sBAAByAwAADgAAAAAAAAABACAAAAAnAQAAZHJzL2Uyb0RvYy54bWxQ&#10;SwUGAAAAAAYABgBZAQAAVAUAAAAA&#10;">
                <v:fill on="f" focussize="0,0"/>
                <v:stroke on="f"/>
                <v:imagedata o:title=""/>
                <o:lock v:ext="edit" aspectratio="f"/>
                <v:textbox inset="0mm,0mm,0mm,0mm">
                  <w:txbxContent>
                    <w:p>
                      <w:pPr>
                        <w:spacing w:before="20" w:line="120" w:lineRule="exact"/>
                        <w:ind w:left="20"/>
                        <w:rPr>
                          <w:rFonts w:ascii="仿宋" w:hAnsi="仿宋" w:eastAsia="仿宋" w:cs="仿宋"/>
                          <w:sz w:val="28"/>
                          <w:szCs w:val="28"/>
                        </w:rPr>
                      </w:pPr>
                      <w:r>
                        <w:rPr>
                          <w:rFonts w:ascii="仿宋" w:hAnsi="仿宋" w:eastAsia="仿宋" w:cs="仿宋"/>
                          <w:spacing w:val="1"/>
                          <w:position w:val="3"/>
                          <w:sz w:val="28"/>
                          <w:szCs w:val="28"/>
                          <w14:textOutline w14:w="5105" w14:cap="sq" w14:cmpd="sng">
                            <w14:solidFill>
                              <w14:srgbClr w14:val="000000"/>
                            </w14:solidFill>
                            <w14:prstDash w14:val="solid"/>
                            <w14:bevel/>
                          </w14:textOutline>
                        </w:rPr>
                        <w:t>.</w:t>
                      </w:r>
                      <w:r>
                        <w:rPr>
                          <w:rFonts w:ascii="仿宋" w:hAnsi="仿宋" w:eastAsia="仿宋" w:cs="仿宋"/>
                          <w:spacing w:val="1"/>
                          <w:position w:val="3"/>
                          <w:sz w:val="28"/>
                          <w:szCs w:val="28"/>
                        </w:rPr>
                        <w:t xml:space="preserve">               </w:t>
                      </w:r>
                      <w:r>
                        <w:rPr>
                          <w:rFonts w:ascii="仿宋" w:hAnsi="仿宋" w:eastAsia="仿宋" w:cs="仿宋"/>
                          <w:position w:val="3"/>
                          <w:sz w:val="28"/>
                          <w:szCs w:val="28"/>
                        </w:rPr>
                        <w:t xml:space="preserve">  </w:t>
                      </w:r>
                      <w:r>
                        <w:rPr>
                          <w:rFonts w:ascii="仿宋" w:hAnsi="仿宋" w:eastAsia="仿宋" w:cs="仿宋"/>
                          <w:position w:val="3"/>
                          <w:sz w:val="28"/>
                          <w:szCs w:val="28"/>
                          <w14:textOutline w14:w="5105" w14:cap="sq" w14:cmpd="sng">
                            <w14:solidFill>
                              <w14:srgbClr w14:val="000000"/>
                            </w14:solidFill>
                            <w14:prstDash w14:val="solid"/>
                            <w14:bevel/>
                          </w14:textOutline>
                        </w:rPr>
                        <w:t>、</w:t>
                      </w:r>
                    </w:p>
                  </w:txbxContent>
                </v:textbox>
              </v:shape>
            </w:pict>
          </mc:Fallback>
        </mc:AlternateContent>
      </w:r>
      <w:r>
        <w:rPr>
          <w:rFonts w:hint="eastAsia" w:ascii="宋体" w:hAnsi="宋体" w:eastAsia="宋体" w:cs="宋体"/>
          <w:spacing w:val="-4"/>
          <w:sz w:val="21"/>
          <w:szCs w:val="21"/>
          <w:highlight w:val="none"/>
          <w:lang w:val="en-US" w:eastAsia="zh-CN"/>
          <w14:textOutline w14:w="5105" w14:cap="sq" w14:cmpd="sng">
            <w14:solidFill>
              <w14:srgbClr w14:val="000000"/>
            </w14:solidFill>
            <w14:prstDash w14:val="solid"/>
            <w14:bevel/>
          </w14:textOutline>
        </w:rPr>
        <w:t>6</w:t>
      </w:r>
      <w:r>
        <w:rPr>
          <w:rFonts w:hint="eastAsia" w:ascii="宋体" w:hAnsi="宋体" w:eastAsia="宋体" w:cs="宋体"/>
          <w:spacing w:val="-4"/>
          <w:sz w:val="21"/>
          <w:szCs w:val="21"/>
          <w:highlight w:val="none"/>
          <w14:textOutline w14:w="5105" w14:cap="sq" w14:cmpd="sng">
            <w14:solidFill>
              <w14:srgbClr w14:val="000000"/>
            </w14:solidFill>
            <w14:prstDash w14:val="solid"/>
            <w14:bevel/>
          </w14:textOutline>
        </w:rPr>
        <w:t xml:space="preserve"> 5</w:t>
      </w:r>
      <w:r>
        <w:rPr>
          <w:rFonts w:hint="eastAsia" w:ascii="宋体" w:hAnsi="宋体" w:eastAsia="宋体" w:cs="宋体"/>
          <w:spacing w:val="-4"/>
          <w:sz w:val="21"/>
          <w:szCs w:val="21"/>
          <w:highlight w:val="none"/>
        </w:rPr>
        <w:t xml:space="preserve"> </w:t>
      </w:r>
      <w:r>
        <w:rPr>
          <w:rFonts w:hint="eastAsia" w:ascii="宋体" w:hAnsi="宋体" w:eastAsia="宋体" w:cs="宋体"/>
          <w:spacing w:val="-4"/>
          <w:sz w:val="21"/>
          <w:szCs w:val="21"/>
          <w:highlight w:val="none"/>
          <w14:textOutline w14:w="5105" w14:cap="sq" w14:cmpd="sng">
            <w14:solidFill>
              <w14:srgbClr w14:val="000000"/>
            </w14:solidFill>
            <w14:prstDash w14:val="solid"/>
            <w14:bevel/>
          </w14:textOutline>
        </w:rPr>
        <w:t>拟</w:t>
      </w:r>
      <w:r>
        <w:rPr>
          <w:rFonts w:hint="eastAsia" w:ascii="宋体" w:hAnsi="宋体" w:eastAsia="宋体" w:cs="宋体"/>
          <w:spacing w:val="-2"/>
          <w:sz w:val="21"/>
          <w:szCs w:val="21"/>
          <w:highlight w:val="none"/>
          <w14:textOutline w14:w="5105" w14:cap="sq" w14:cmpd="sng">
            <w14:solidFill>
              <w14:srgbClr w14:val="000000"/>
            </w14:solidFill>
            <w14:prstDash w14:val="solid"/>
            <w14:bevel/>
          </w14:textOutline>
        </w:rPr>
        <w:t>委任的项目经理</w:t>
      </w:r>
      <w:r>
        <w:rPr>
          <w:rFonts w:hint="eastAsia" w:ascii="宋体" w:hAnsi="宋体" w:eastAsia="宋体" w:cs="宋体"/>
          <w:spacing w:val="-2"/>
          <w:sz w:val="21"/>
          <w:szCs w:val="21"/>
          <w:highlight w:val="none"/>
        </w:rPr>
        <w:t xml:space="preserve">  </w:t>
      </w:r>
      <w:r>
        <w:rPr>
          <w:rFonts w:hint="eastAsia" w:ascii="宋体" w:hAnsi="宋体" w:eastAsia="宋体" w:cs="宋体"/>
          <w:spacing w:val="-2"/>
          <w:sz w:val="21"/>
          <w:szCs w:val="21"/>
          <w:highlight w:val="none"/>
          <w14:textOutline w14:w="5105" w14:cap="sq" w14:cmpd="sng">
            <w14:solidFill>
              <w14:srgbClr w14:val="000000"/>
            </w14:solidFill>
            <w14:prstDash w14:val="solid"/>
            <w14:bevel/>
          </w14:textOutline>
        </w:rPr>
        <w:t>项目总工及其他人员资历表</w:t>
      </w:r>
    </w:p>
    <w:tbl>
      <w:tblPr>
        <w:tblStyle w:val="82"/>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3"/>
        <w:gridCol w:w="923"/>
        <w:gridCol w:w="996"/>
        <w:gridCol w:w="523"/>
        <w:gridCol w:w="1020"/>
        <w:gridCol w:w="1263"/>
        <w:gridCol w:w="539"/>
        <w:gridCol w:w="21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503" w:type="dxa"/>
            <w:vAlign w:val="top"/>
          </w:tcPr>
          <w:p>
            <w:pPr>
              <w:spacing w:before="246" w:line="233" w:lineRule="auto"/>
              <w:ind w:left="60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姓名</w:t>
            </w:r>
          </w:p>
        </w:tc>
        <w:tc>
          <w:tcPr>
            <w:tcW w:w="923" w:type="dxa"/>
            <w:vAlign w:val="top"/>
          </w:tcPr>
          <w:p>
            <w:pPr>
              <w:rPr>
                <w:rFonts w:hint="eastAsia" w:ascii="宋体" w:hAnsi="宋体" w:eastAsia="宋体" w:cs="宋体"/>
                <w:sz w:val="21"/>
                <w:szCs w:val="21"/>
                <w:highlight w:val="none"/>
              </w:rPr>
            </w:pPr>
          </w:p>
        </w:tc>
        <w:tc>
          <w:tcPr>
            <w:tcW w:w="1519" w:type="dxa"/>
            <w:gridSpan w:val="2"/>
            <w:vAlign w:val="top"/>
          </w:tcPr>
          <w:p>
            <w:pPr>
              <w:spacing w:before="246" w:line="231" w:lineRule="auto"/>
              <w:ind w:left="61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年</w:t>
            </w:r>
            <w:r>
              <w:rPr>
                <w:rFonts w:hint="eastAsia" w:ascii="宋体" w:hAnsi="宋体" w:eastAsia="宋体" w:cs="宋体"/>
                <w:sz w:val="21"/>
                <w:szCs w:val="21"/>
                <w:highlight w:val="none"/>
              </w:rPr>
              <w:t>龄</w:t>
            </w:r>
          </w:p>
        </w:tc>
        <w:tc>
          <w:tcPr>
            <w:tcW w:w="1020" w:type="dxa"/>
            <w:vAlign w:val="top"/>
          </w:tcPr>
          <w:p>
            <w:pPr>
              <w:rPr>
                <w:rFonts w:hint="eastAsia" w:ascii="宋体" w:hAnsi="宋体" w:eastAsia="宋体" w:cs="宋体"/>
                <w:sz w:val="21"/>
                <w:szCs w:val="21"/>
                <w:highlight w:val="none"/>
              </w:rPr>
            </w:pPr>
          </w:p>
        </w:tc>
        <w:tc>
          <w:tcPr>
            <w:tcW w:w="1802" w:type="dxa"/>
            <w:gridSpan w:val="2"/>
            <w:vAlign w:val="top"/>
          </w:tcPr>
          <w:p>
            <w:pPr>
              <w:spacing w:before="93" w:line="232" w:lineRule="auto"/>
              <w:ind w:left="76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专</w:t>
            </w:r>
            <w:r>
              <w:rPr>
                <w:rFonts w:hint="eastAsia" w:ascii="宋体" w:hAnsi="宋体" w:eastAsia="宋体" w:cs="宋体"/>
                <w:sz w:val="21"/>
                <w:szCs w:val="21"/>
                <w:highlight w:val="none"/>
              </w:rPr>
              <w:t>业</w:t>
            </w:r>
          </w:p>
        </w:tc>
        <w:tc>
          <w:tcPr>
            <w:tcW w:w="2199"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503" w:type="dxa"/>
            <w:vAlign w:val="top"/>
          </w:tcPr>
          <w:p>
            <w:pPr>
              <w:spacing w:line="423" w:lineRule="auto"/>
              <w:rPr>
                <w:rFonts w:hint="eastAsia" w:ascii="宋体" w:hAnsi="宋体" w:eastAsia="宋体" w:cs="宋体"/>
                <w:sz w:val="21"/>
                <w:szCs w:val="21"/>
                <w:highlight w:val="none"/>
              </w:rPr>
            </w:pPr>
          </w:p>
          <w:p>
            <w:pPr>
              <w:spacing w:before="75" w:line="229" w:lineRule="auto"/>
              <w:ind w:left="36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职    称</w:t>
            </w:r>
          </w:p>
        </w:tc>
        <w:tc>
          <w:tcPr>
            <w:tcW w:w="923" w:type="dxa"/>
            <w:vAlign w:val="top"/>
          </w:tcPr>
          <w:p>
            <w:pPr>
              <w:rPr>
                <w:rFonts w:hint="eastAsia" w:ascii="宋体" w:hAnsi="宋体" w:eastAsia="宋体" w:cs="宋体"/>
                <w:sz w:val="21"/>
                <w:szCs w:val="21"/>
                <w:highlight w:val="none"/>
              </w:rPr>
            </w:pPr>
          </w:p>
        </w:tc>
        <w:tc>
          <w:tcPr>
            <w:tcW w:w="1519" w:type="dxa"/>
            <w:gridSpan w:val="2"/>
            <w:vAlign w:val="top"/>
          </w:tcPr>
          <w:p>
            <w:pPr>
              <w:spacing w:line="423" w:lineRule="auto"/>
              <w:rPr>
                <w:rFonts w:hint="eastAsia" w:ascii="宋体" w:hAnsi="宋体" w:eastAsia="宋体" w:cs="宋体"/>
                <w:sz w:val="21"/>
                <w:szCs w:val="21"/>
                <w:highlight w:val="none"/>
              </w:rPr>
            </w:pPr>
          </w:p>
          <w:p>
            <w:pPr>
              <w:spacing w:before="75" w:line="229" w:lineRule="auto"/>
              <w:ind w:left="5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公</w:t>
            </w:r>
            <w:r>
              <w:rPr>
                <w:rFonts w:hint="eastAsia" w:ascii="宋体" w:hAnsi="宋体" w:eastAsia="宋体" w:cs="宋体"/>
                <w:spacing w:val="6"/>
                <w:sz w:val="21"/>
                <w:szCs w:val="21"/>
                <w:highlight w:val="none"/>
              </w:rPr>
              <w:t>司单位职务</w:t>
            </w:r>
          </w:p>
        </w:tc>
        <w:tc>
          <w:tcPr>
            <w:tcW w:w="1020" w:type="dxa"/>
            <w:vAlign w:val="top"/>
          </w:tcPr>
          <w:p>
            <w:pPr>
              <w:rPr>
                <w:rFonts w:hint="eastAsia" w:ascii="宋体" w:hAnsi="宋体" w:eastAsia="宋体" w:cs="宋体"/>
                <w:sz w:val="21"/>
                <w:szCs w:val="21"/>
                <w:highlight w:val="none"/>
              </w:rPr>
            </w:pPr>
          </w:p>
        </w:tc>
        <w:tc>
          <w:tcPr>
            <w:tcW w:w="1802" w:type="dxa"/>
            <w:gridSpan w:val="2"/>
            <w:vAlign w:val="top"/>
          </w:tcPr>
          <w:p>
            <w:pPr>
              <w:spacing w:before="89" w:line="331" w:lineRule="auto"/>
              <w:ind w:left="284" w:right="93" w:firstLine="11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拟在本标</w:t>
            </w:r>
            <w:r>
              <w:rPr>
                <w:rFonts w:hint="eastAsia" w:ascii="宋体" w:hAnsi="宋体" w:eastAsia="宋体" w:cs="宋体"/>
                <w:spacing w:val="6"/>
                <w:sz w:val="21"/>
                <w:szCs w:val="21"/>
                <w:highlight w:val="none"/>
              </w:rPr>
              <w:t>段</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工</w:t>
            </w:r>
            <w:r>
              <w:rPr>
                <w:rFonts w:hint="eastAsia" w:ascii="宋体" w:hAnsi="宋体" w:eastAsia="宋体" w:cs="宋体"/>
                <w:spacing w:val="6"/>
                <w:sz w:val="21"/>
                <w:szCs w:val="21"/>
                <w:highlight w:val="none"/>
              </w:rPr>
              <w:t>程担任职务</w:t>
            </w:r>
          </w:p>
        </w:tc>
        <w:tc>
          <w:tcPr>
            <w:tcW w:w="2199" w:type="dxa"/>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3" w:type="dxa"/>
            <w:vAlign w:val="top"/>
          </w:tcPr>
          <w:p>
            <w:pPr>
              <w:spacing w:before="290" w:line="209" w:lineRule="auto"/>
              <w:ind w:left="1288" w:hanging="917"/>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毕业学校</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业</w:t>
            </w:r>
          </w:p>
        </w:tc>
        <w:tc>
          <w:tcPr>
            <w:tcW w:w="7463" w:type="dxa"/>
            <w:gridSpan w:val="7"/>
            <w:vAlign w:val="top"/>
          </w:tcPr>
          <w:p>
            <w:pPr>
              <w:spacing w:before="92" w:line="277" w:lineRule="auto"/>
              <w:ind w:left="109" w:right="27" w:hanging="107"/>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_____</w:t>
            </w:r>
            <w:r>
              <w:rPr>
                <w:rFonts w:hint="eastAsia" w:ascii="宋体" w:hAnsi="宋体" w:eastAsia="宋体" w:cs="宋体"/>
                <w:spacing w:val="13"/>
                <w:sz w:val="21"/>
                <w:szCs w:val="21"/>
                <w:highlight w:val="none"/>
              </w:rPr>
              <w:t>_</w:t>
            </w:r>
            <w:r>
              <w:rPr>
                <w:rFonts w:hint="eastAsia" w:ascii="宋体" w:hAnsi="宋体" w:eastAsia="宋体" w:cs="宋体"/>
                <w:spacing w:val="7"/>
                <w:sz w:val="21"/>
                <w:szCs w:val="21"/>
                <w:highlight w:val="none"/>
              </w:rPr>
              <w:t>__年___月毕业于___________________学校_______________专</w:t>
            </w:r>
            <w:r>
              <w:rPr>
                <w:rFonts w:hint="eastAsia" w:ascii="宋体" w:hAnsi="宋体" w:eastAsia="宋体" w:cs="宋体"/>
                <w:sz w:val="21"/>
                <w:szCs w:val="21"/>
                <w:highlight w:val="none"/>
              </w:rPr>
              <w:t xml:space="preserve"> </w:t>
            </w:r>
            <w:r>
              <w:rPr>
                <w:rFonts w:hint="eastAsia" w:ascii="宋体" w:hAnsi="宋体" w:eastAsia="宋体" w:cs="宋体"/>
                <w:spacing w:val="5"/>
                <w:sz w:val="21"/>
                <w:szCs w:val="21"/>
                <w:highlight w:val="none"/>
              </w:rPr>
              <w:t>，学制__________</w:t>
            </w:r>
            <w:r>
              <w:rPr>
                <w:rFonts w:hint="eastAsia" w:ascii="宋体" w:hAnsi="宋体" w:eastAsia="宋体" w:cs="宋体"/>
                <w:spacing w:val="2"/>
                <w:sz w:val="21"/>
                <w:szCs w:val="21"/>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966" w:type="dxa"/>
            <w:gridSpan w:val="8"/>
            <w:vAlign w:val="top"/>
          </w:tcPr>
          <w:p>
            <w:pPr>
              <w:spacing w:before="197" w:line="233" w:lineRule="auto"/>
              <w:ind w:left="379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经</w:t>
            </w:r>
            <w:r>
              <w:rPr>
                <w:rFonts w:hint="eastAsia" w:ascii="宋体" w:hAnsi="宋体" w:eastAsia="宋体" w:cs="宋体"/>
                <w:spacing w:val="5"/>
                <w:sz w:val="21"/>
                <w:szCs w:val="21"/>
                <w:highlight w:val="none"/>
              </w:rPr>
              <w:t xml:space="preserve">         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503" w:type="dxa"/>
            <w:vAlign w:val="top"/>
          </w:tcPr>
          <w:p>
            <w:pPr>
              <w:spacing w:before="301" w:line="330" w:lineRule="auto"/>
              <w:ind w:left="329" w:right="126" w:hanging="3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_</w:t>
            </w:r>
            <w:r>
              <w:rPr>
                <w:rFonts w:hint="eastAsia" w:ascii="宋体" w:hAnsi="宋体" w:eastAsia="宋体" w:cs="宋体"/>
                <w:spacing w:val="6"/>
                <w:sz w:val="21"/>
                <w:szCs w:val="21"/>
                <w:highlight w:val="none"/>
              </w:rPr>
              <w:t>____年至</w:t>
            </w:r>
            <w:r>
              <w:rPr>
                <w:rFonts w:hint="eastAsia" w:ascii="宋体" w:hAnsi="宋体" w:eastAsia="宋体" w:cs="宋体"/>
                <w:sz w:val="21"/>
                <w:szCs w:val="21"/>
                <w:highlight w:val="none"/>
              </w:rPr>
              <w:t xml:space="preserve"> </w:t>
            </w:r>
            <w:r>
              <w:rPr>
                <w:rFonts w:hint="eastAsia" w:ascii="宋体" w:hAnsi="宋体" w:eastAsia="宋体" w:cs="宋体"/>
                <w:spacing w:val="10"/>
                <w:sz w:val="21"/>
                <w:szCs w:val="21"/>
                <w:highlight w:val="none"/>
              </w:rPr>
              <w:t>_</w:t>
            </w:r>
            <w:r>
              <w:rPr>
                <w:rFonts w:hint="eastAsia" w:ascii="宋体" w:hAnsi="宋体" w:eastAsia="宋体" w:cs="宋体"/>
                <w:spacing w:val="7"/>
                <w:sz w:val="21"/>
                <w:szCs w:val="21"/>
                <w:highlight w:val="none"/>
              </w:rPr>
              <w:t>____年</w:t>
            </w:r>
          </w:p>
        </w:tc>
        <w:tc>
          <w:tcPr>
            <w:tcW w:w="2442" w:type="dxa"/>
            <w:gridSpan w:val="3"/>
            <w:vAlign w:val="top"/>
          </w:tcPr>
          <w:p>
            <w:pPr>
              <w:spacing w:before="303" w:line="331" w:lineRule="auto"/>
              <w:ind w:left="1112" w:right="55" w:hanging="87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参加过的工程项目</w:t>
            </w:r>
            <w:r>
              <w:rPr>
                <w:rFonts w:hint="eastAsia" w:ascii="宋体" w:hAnsi="宋体" w:eastAsia="宋体" w:cs="宋体"/>
                <w:spacing w:val="6"/>
                <w:sz w:val="21"/>
                <w:szCs w:val="21"/>
                <w:highlight w:val="none"/>
              </w:rPr>
              <w:t>名</w:t>
            </w:r>
            <w:r>
              <w:rPr>
                <w:rFonts w:hint="eastAsia" w:ascii="宋体" w:hAnsi="宋体" w:eastAsia="宋体" w:cs="宋体"/>
                <w:sz w:val="21"/>
                <w:szCs w:val="21"/>
                <w:highlight w:val="none"/>
              </w:rPr>
              <w:t xml:space="preserve"> 称</w:t>
            </w:r>
          </w:p>
        </w:tc>
        <w:tc>
          <w:tcPr>
            <w:tcW w:w="2283" w:type="dxa"/>
            <w:gridSpan w:val="2"/>
            <w:vAlign w:val="top"/>
          </w:tcPr>
          <w:p>
            <w:pPr>
              <w:spacing w:line="423" w:lineRule="auto"/>
              <w:rPr>
                <w:rFonts w:hint="eastAsia" w:ascii="宋体" w:hAnsi="宋体" w:eastAsia="宋体" w:cs="宋体"/>
                <w:sz w:val="21"/>
                <w:szCs w:val="21"/>
                <w:highlight w:val="none"/>
              </w:rPr>
            </w:pPr>
          </w:p>
          <w:p>
            <w:pPr>
              <w:spacing w:before="75" w:line="231" w:lineRule="auto"/>
              <w:ind w:left="76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担</w:t>
            </w:r>
            <w:r>
              <w:rPr>
                <w:rFonts w:hint="eastAsia" w:ascii="宋体" w:hAnsi="宋体" w:eastAsia="宋体" w:cs="宋体"/>
                <w:spacing w:val="5"/>
                <w:sz w:val="21"/>
                <w:szCs w:val="21"/>
                <w:highlight w:val="none"/>
              </w:rPr>
              <w:t>任何职</w:t>
            </w:r>
          </w:p>
        </w:tc>
        <w:tc>
          <w:tcPr>
            <w:tcW w:w="2738" w:type="dxa"/>
            <w:gridSpan w:val="2"/>
            <w:vAlign w:val="top"/>
          </w:tcPr>
          <w:p>
            <w:pPr>
              <w:spacing w:line="423" w:lineRule="auto"/>
              <w:rPr>
                <w:rFonts w:hint="eastAsia" w:ascii="宋体" w:hAnsi="宋体" w:eastAsia="宋体" w:cs="宋体"/>
                <w:sz w:val="21"/>
                <w:szCs w:val="21"/>
                <w:highlight w:val="none"/>
              </w:rPr>
            </w:pPr>
          </w:p>
          <w:p>
            <w:pPr>
              <w:spacing w:before="75" w:line="231" w:lineRule="auto"/>
              <w:ind w:left="513"/>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发</w:t>
            </w:r>
            <w:r>
              <w:rPr>
                <w:rFonts w:hint="eastAsia" w:ascii="宋体" w:hAnsi="宋体" w:eastAsia="宋体" w:cs="宋体"/>
                <w:spacing w:val="7"/>
                <w:sz w:val="21"/>
                <w:szCs w:val="21"/>
                <w:highlight w:val="none"/>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03" w:type="dxa"/>
            <w:vAlign w:val="top"/>
          </w:tcPr>
          <w:p>
            <w:pPr>
              <w:rPr>
                <w:rFonts w:hint="eastAsia" w:ascii="宋体" w:hAnsi="宋体" w:eastAsia="宋体" w:cs="宋体"/>
                <w:sz w:val="21"/>
                <w:szCs w:val="21"/>
                <w:highlight w:val="none"/>
              </w:rPr>
            </w:pPr>
          </w:p>
        </w:tc>
        <w:tc>
          <w:tcPr>
            <w:tcW w:w="2442" w:type="dxa"/>
            <w:gridSpan w:val="3"/>
            <w:vAlign w:val="top"/>
          </w:tcPr>
          <w:p>
            <w:pPr>
              <w:rPr>
                <w:rFonts w:hint="eastAsia" w:ascii="宋体" w:hAnsi="宋体" w:eastAsia="宋体" w:cs="宋体"/>
                <w:sz w:val="21"/>
                <w:szCs w:val="21"/>
                <w:highlight w:val="none"/>
              </w:rPr>
            </w:pPr>
          </w:p>
        </w:tc>
        <w:tc>
          <w:tcPr>
            <w:tcW w:w="2283" w:type="dxa"/>
            <w:gridSpan w:val="2"/>
            <w:vAlign w:val="top"/>
          </w:tcPr>
          <w:p>
            <w:pPr>
              <w:rPr>
                <w:rFonts w:hint="eastAsia" w:ascii="宋体" w:hAnsi="宋体" w:eastAsia="宋体" w:cs="宋体"/>
                <w:sz w:val="21"/>
                <w:szCs w:val="21"/>
                <w:highlight w:val="none"/>
              </w:rPr>
            </w:pPr>
          </w:p>
        </w:tc>
        <w:tc>
          <w:tcPr>
            <w:tcW w:w="2738"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pPr>
              <w:rPr>
                <w:rFonts w:hint="eastAsia" w:ascii="宋体" w:hAnsi="宋体" w:eastAsia="宋体" w:cs="宋体"/>
                <w:sz w:val="21"/>
                <w:szCs w:val="21"/>
                <w:highlight w:val="none"/>
              </w:rPr>
            </w:pPr>
          </w:p>
        </w:tc>
        <w:tc>
          <w:tcPr>
            <w:tcW w:w="2442" w:type="dxa"/>
            <w:gridSpan w:val="3"/>
            <w:vAlign w:val="top"/>
          </w:tcPr>
          <w:p>
            <w:pPr>
              <w:rPr>
                <w:rFonts w:hint="eastAsia" w:ascii="宋体" w:hAnsi="宋体" w:eastAsia="宋体" w:cs="宋体"/>
                <w:sz w:val="21"/>
                <w:szCs w:val="21"/>
                <w:highlight w:val="none"/>
              </w:rPr>
            </w:pPr>
          </w:p>
        </w:tc>
        <w:tc>
          <w:tcPr>
            <w:tcW w:w="2283" w:type="dxa"/>
            <w:gridSpan w:val="2"/>
            <w:vAlign w:val="top"/>
          </w:tcPr>
          <w:p>
            <w:pPr>
              <w:rPr>
                <w:rFonts w:hint="eastAsia" w:ascii="宋体" w:hAnsi="宋体" w:eastAsia="宋体" w:cs="宋体"/>
                <w:sz w:val="21"/>
                <w:szCs w:val="21"/>
                <w:highlight w:val="none"/>
              </w:rPr>
            </w:pPr>
          </w:p>
        </w:tc>
        <w:tc>
          <w:tcPr>
            <w:tcW w:w="2738"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pPr>
              <w:rPr>
                <w:rFonts w:hint="eastAsia" w:ascii="宋体" w:hAnsi="宋体" w:eastAsia="宋体" w:cs="宋体"/>
                <w:sz w:val="21"/>
                <w:szCs w:val="21"/>
                <w:highlight w:val="none"/>
              </w:rPr>
            </w:pPr>
          </w:p>
        </w:tc>
        <w:tc>
          <w:tcPr>
            <w:tcW w:w="2442" w:type="dxa"/>
            <w:gridSpan w:val="3"/>
            <w:vAlign w:val="top"/>
          </w:tcPr>
          <w:p>
            <w:pPr>
              <w:rPr>
                <w:rFonts w:hint="eastAsia" w:ascii="宋体" w:hAnsi="宋体" w:eastAsia="宋体" w:cs="宋体"/>
                <w:sz w:val="21"/>
                <w:szCs w:val="21"/>
                <w:highlight w:val="none"/>
              </w:rPr>
            </w:pPr>
          </w:p>
        </w:tc>
        <w:tc>
          <w:tcPr>
            <w:tcW w:w="2283" w:type="dxa"/>
            <w:gridSpan w:val="2"/>
            <w:vAlign w:val="top"/>
          </w:tcPr>
          <w:p>
            <w:pPr>
              <w:rPr>
                <w:rFonts w:hint="eastAsia" w:ascii="宋体" w:hAnsi="宋体" w:eastAsia="宋体" w:cs="宋体"/>
                <w:sz w:val="21"/>
                <w:szCs w:val="21"/>
                <w:highlight w:val="none"/>
              </w:rPr>
            </w:pPr>
          </w:p>
        </w:tc>
        <w:tc>
          <w:tcPr>
            <w:tcW w:w="2738"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pPr>
              <w:rPr>
                <w:rFonts w:hint="eastAsia" w:ascii="宋体" w:hAnsi="宋体" w:eastAsia="宋体" w:cs="宋体"/>
                <w:sz w:val="21"/>
                <w:szCs w:val="21"/>
                <w:highlight w:val="none"/>
              </w:rPr>
            </w:pPr>
          </w:p>
        </w:tc>
        <w:tc>
          <w:tcPr>
            <w:tcW w:w="2442" w:type="dxa"/>
            <w:gridSpan w:val="3"/>
            <w:vAlign w:val="top"/>
          </w:tcPr>
          <w:p>
            <w:pPr>
              <w:rPr>
                <w:rFonts w:hint="eastAsia" w:ascii="宋体" w:hAnsi="宋体" w:eastAsia="宋体" w:cs="宋体"/>
                <w:sz w:val="21"/>
                <w:szCs w:val="21"/>
                <w:highlight w:val="none"/>
              </w:rPr>
            </w:pPr>
          </w:p>
        </w:tc>
        <w:tc>
          <w:tcPr>
            <w:tcW w:w="2283" w:type="dxa"/>
            <w:gridSpan w:val="2"/>
            <w:vAlign w:val="top"/>
          </w:tcPr>
          <w:p>
            <w:pPr>
              <w:rPr>
                <w:rFonts w:hint="eastAsia" w:ascii="宋体" w:hAnsi="宋体" w:eastAsia="宋体" w:cs="宋体"/>
                <w:sz w:val="21"/>
                <w:szCs w:val="21"/>
                <w:highlight w:val="none"/>
              </w:rPr>
            </w:pPr>
          </w:p>
        </w:tc>
        <w:tc>
          <w:tcPr>
            <w:tcW w:w="2738"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pPr>
              <w:rPr>
                <w:rFonts w:hint="eastAsia" w:ascii="宋体" w:hAnsi="宋体" w:eastAsia="宋体" w:cs="宋体"/>
                <w:sz w:val="21"/>
                <w:szCs w:val="21"/>
                <w:highlight w:val="none"/>
              </w:rPr>
            </w:pPr>
          </w:p>
        </w:tc>
        <w:tc>
          <w:tcPr>
            <w:tcW w:w="2442" w:type="dxa"/>
            <w:gridSpan w:val="3"/>
            <w:vAlign w:val="top"/>
          </w:tcPr>
          <w:p>
            <w:pPr>
              <w:rPr>
                <w:rFonts w:hint="eastAsia" w:ascii="宋体" w:hAnsi="宋体" w:eastAsia="宋体" w:cs="宋体"/>
                <w:sz w:val="21"/>
                <w:szCs w:val="21"/>
                <w:highlight w:val="none"/>
              </w:rPr>
            </w:pPr>
          </w:p>
        </w:tc>
        <w:tc>
          <w:tcPr>
            <w:tcW w:w="2283" w:type="dxa"/>
            <w:gridSpan w:val="2"/>
            <w:vAlign w:val="top"/>
          </w:tcPr>
          <w:p>
            <w:pPr>
              <w:rPr>
                <w:rFonts w:hint="eastAsia" w:ascii="宋体" w:hAnsi="宋体" w:eastAsia="宋体" w:cs="宋体"/>
                <w:sz w:val="21"/>
                <w:szCs w:val="21"/>
                <w:highlight w:val="none"/>
              </w:rPr>
            </w:pPr>
          </w:p>
        </w:tc>
        <w:tc>
          <w:tcPr>
            <w:tcW w:w="2738" w:type="dxa"/>
            <w:gridSpan w:val="2"/>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3422" w:type="dxa"/>
            <w:gridSpan w:val="3"/>
            <w:vAlign w:val="top"/>
          </w:tcPr>
          <w:p>
            <w:pPr>
              <w:spacing w:before="194" w:line="231" w:lineRule="auto"/>
              <w:ind w:left="133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获奖情况</w:t>
            </w:r>
          </w:p>
        </w:tc>
        <w:tc>
          <w:tcPr>
            <w:tcW w:w="5544" w:type="dxa"/>
            <w:gridSpan w:val="5"/>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Merge w:val="restart"/>
            <w:tcBorders>
              <w:bottom w:val="nil"/>
            </w:tcBorders>
            <w:vAlign w:val="top"/>
          </w:tcPr>
          <w:p>
            <w:pPr>
              <w:spacing w:line="453" w:lineRule="auto"/>
              <w:rPr>
                <w:rFonts w:hint="eastAsia" w:ascii="宋体" w:hAnsi="宋体" w:eastAsia="宋体" w:cs="宋体"/>
                <w:sz w:val="21"/>
                <w:szCs w:val="21"/>
                <w:highlight w:val="none"/>
              </w:rPr>
            </w:pPr>
          </w:p>
          <w:p>
            <w:pPr>
              <w:spacing w:before="75" w:line="333" w:lineRule="auto"/>
              <w:ind w:left="447" w:right="66" w:hanging="15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目前任职</w:t>
            </w:r>
            <w:r>
              <w:rPr>
                <w:rFonts w:hint="eastAsia" w:ascii="宋体" w:hAnsi="宋体" w:eastAsia="宋体" w:cs="宋体"/>
                <w:spacing w:val="-1"/>
                <w:sz w:val="21"/>
                <w:szCs w:val="21"/>
                <w:highlight w:val="none"/>
              </w:rPr>
              <w:t>项</w:t>
            </w:r>
            <w:r>
              <w:rPr>
                <w:rFonts w:hint="eastAsia" w:ascii="宋体" w:hAnsi="宋体" w:eastAsia="宋体" w:cs="宋体"/>
                <w:sz w:val="21"/>
                <w:szCs w:val="21"/>
                <w:highlight w:val="none"/>
              </w:rPr>
              <w:t xml:space="preserve"> </w:t>
            </w:r>
            <w:r>
              <w:rPr>
                <w:rFonts w:hint="eastAsia" w:ascii="宋体" w:hAnsi="宋体" w:eastAsia="宋体" w:cs="宋体"/>
                <w:spacing w:val="-11"/>
                <w:sz w:val="21"/>
                <w:szCs w:val="21"/>
                <w:highlight w:val="none"/>
              </w:rPr>
              <w:t>目</w:t>
            </w:r>
            <w:r>
              <w:rPr>
                <w:rFonts w:hint="eastAsia" w:ascii="宋体" w:hAnsi="宋体" w:eastAsia="宋体" w:cs="宋体"/>
                <w:spacing w:val="-9"/>
                <w:sz w:val="21"/>
                <w:szCs w:val="21"/>
                <w:highlight w:val="none"/>
              </w:rPr>
              <w:t>状况</w:t>
            </w:r>
          </w:p>
        </w:tc>
        <w:tc>
          <w:tcPr>
            <w:tcW w:w="1919" w:type="dxa"/>
            <w:gridSpan w:val="2"/>
            <w:vAlign w:val="top"/>
          </w:tcPr>
          <w:p>
            <w:pPr>
              <w:spacing w:before="93" w:line="229" w:lineRule="auto"/>
              <w:ind w:left="576"/>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项目名</w:t>
            </w:r>
            <w:r>
              <w:rPr>
                <w:rFonts w:hint="eastAsia" w:ascii="宋体" w:hAnsi="宋体" w:eastAsia="宋体" w:cs="宋体"/>
                <w:spacing w:val="5"/>
                <w:sz w:val="21"/>
                <w:szCs w:val="21"/>
                <w:highlight w:val="none"/>
              </w:rPr>
              <w:t>称</w:t>
            </w:r>
          </w:p>
        </w:tc>
        <w:tc>
          <w:tcPr>
            <w:tcW w:w="5544" w:type="dxa"/>
            <w:gridSpan w:val="5"/>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03" w:type="dxa"/>
            <w:vMerge w:val="continue"/>
            <w:tcBorders>
              <w:top w:val="nil"/>
              <w:bottom w:val="nil"/>
            </w:tcBorders>
            <w:vAlign w:val="top"/>
          </w:tcPr>
          <w:p>
            <w:pPr>
              <w:rPr>
                <w:rFonts w:hint="eastAsia" w:ascii="宋体" w:hAnsi="宋体" w:eastAsia="宋体" w:cs="宋体"/>
                <w:sz w:val="21"/>
                <w:szCs w:val="21"/>
                <w:highlight w:val="none"/>
              </w:rPr>
            </w:pPr>
          </w:p>
        </w:tc>
        <w:tc>
          <w:tcPr>
            <w:tcW w:w="1919" w:type="dxa"/>
            <w:gridSpan w:val="2"/>
            <w:vAlign w:val="top"/>
          </w:tcPr>
          <w:p>
            <w:pPr>
              <w:spacing w:before="92" w:line="230" w:lineRule="auto"/>
              <w:ind w:left="577"/>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担</w:t>
            </w:r>
            <w:r>
              <w:rPr>
                <w:rFonts w:hint="eastAsia" w:ascii="宋体" w:hAnsi="宋体" w:eastAsia="宋体" w:cs="宋体"/>
                <w:spacing w:val="5"/>
                <w:sz w:val="21"/>
                <w:szCs w:val="21"/>
                <w:highlight w:val="none"/>
              </w:rPr>
              <w:t>任职位</w:t>
            </w:r>
          </w:p>
        </w:tc>
        <w:tc>
          <w:tcPr>
            <w:tcW w:w="5544" w:type="dxa"/>
            <w:gridSpan w:val="5"/>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03" w:type="dxa"/>
            <w:vMerge w:val="continue"/>
            <w:tcBorders>
              <w:top w:val="nil"/>
            </w:tcBorders>
            <w:vAlign w:val="top"/>
          </w:tcPr>
          <w:p>
            <w:pPr>
              <w:rPr>
                <w:rFonts w:hint="eastAsia" w:ascii="宋体" w:hAnsi="宋体" w:eastAsia="宋体" w:cs="宋体"/>
                <w:sz w:val="21"/>
                <w:szCs w:val="21"/>
                <w:highlight w:val="none"/>
              </w:rPr>
            </w:pPr>
          </w:p>
        </w:tc>
        <w:tc>
          <w:tcPr>
            <w:tcW w:w="1919" w:type="dxa"/>
            <w:gridSpan w:val="2"/>
            <w:vAlign w:val="top"/>
          </w:tcPr>
          <w:p>
            <w:pPr>
              <w:spacing w:before="94" w:line="231" w:lineRule="auto"/>
              <w:ind w:left="339"/>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可</w:t>
            </w:r>
            <w:r>
              <w:rPr>
                <w:rFonts w:hint="eastAsia" w:ascii="宋体" w:hAnsi="宋体" w:eastAsia="宋体" w:cs="宋体"/>
                <w:spacing w:val="6"/>
                <w:sz w:val="21"/>
                <w:szCs w:val="21"/>
                <w:highlight w:val="none"/>
              </w:rPr>
              <w:t>以调离日期</w:t>
            </w:r>
          </w:p>
        </w:tc>
        <w:tc>
          <w:tcPr>
            <w:tcW w:w="5544" w:type="dxa"/>
            <w:gridSpan w:val="5"/>
            <w:vAlign w:val="top"/>
          </w:tcPr>
          <w:p>
            <w:pP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1503" w:type="dxa"/>
            <w:vAlign w:val="top"/>
          </w:tcPr>
          <w:p>
            <w:pPr>
              <w:spacing w:line="277" w:lineRule="auto"/>
              <w:rPr>
                <w:rFonts w:hint="eastAsia" w:ascii="宋体" w:hAnsi="宋体" w:eastAsia="宋体" w:cs="宋体"/>
                <w:sz w:val="21"/>
                <w:szCs w:val="21"/>
                <w:highlight w:val="none"/>
              </w:rPr>
            </w:pPr>
          </w:p>
          <w:p>
            <w:pPr>
              <w:spacing w:line="277" w:lineRule="auto"/>
              <w:rPr>
                <w:rFonts w:hint="eastAsia" w:ascii="宋体" w:hAnsi="宋体" w:eastAsia="宋体" w:cs="宋体"/>
                <w:sz w:val="21"/>
                <w:szCs w:val="21"/>
                <w:highlight w:val="none"/>
              </w:rPr>
            </w:pPr>
          </w:p>
          <w:p>
            <w:pPr>
              <w:spacing w:before="74" w:line="233" w:lineRule="auto"/>
              <w:ind w:left="30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备</w:t>
            </w:r>
            <w:r>
              <w:rPr>
                <w:rFonts w:hint="eastAsia" w:ascii="宋体" w:hAnsi="宋体" w:eastAsia="宋体" w:cs="宋体"/>
                <w:spacing w:val="5"/>
                <w:sz w:val="21"/>
                <w:szCs w:val="21"/>
                <w:highlight w:val="none"/>
              </w:rPr>
              <w:t xml:space="preserve">     注</w:t>
            </w:r>
          </w:p>
        </w:tc>
        <w:tc>
          <w:tcPr>
            <w:tcW w:w="7463" w:type="dxa"/>
            <w:gridSpan w:val="7"/>
            <w:vAlign w:val="top"/>
          </w:tcPr>
          <w:p>
            <w:pPr>
              <w:rPr>
                <w:rFonts w:hint="eastAsia" w:ascii="宋体" w:hAnsi="宋体" w:eastAsia="宋体" w:cs="宋体"/>
                <w:sz w:val="21"/>
                <w:szCs w:val="21"/>
                <w:highlight w:val="none"/>
              </w:rPr>
            </w:pPr>
          </w:p>
        </w:tc>
      </w:tr>
    </w:tbl>
    <w:p>
      <w:pPr>
        <w:spacing w:before="109" w:line="238" w:lineRule="auto"/>
        <w:ind w:left="54"/>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注</w:t>
      </w:r>
      <w:r>
        <w:rPr>
          <w:rFonts w:hint="eastAsia" w:ascii="宋体" w:hAnsi="宋体" w:eastAsia="宋体" w:cs="宋体"/>
          <w:spacing w:val="14"/>
          <w:sz w:val="21"/>
          <w:szCs w:val="21"/>
          <w:highlight w:val="none"/>
        </w:rPr>
        <w:t>：</w:t>
      </w:r>
      <w:r>
        <w:rPr>
          <w:rFonts w:hint="eastAsia" w:ascii="宋体" w:hAnsi="宋体" w:eastAsia="宋体" w:cs="宋体"/>
          <w:spacing w:val="9"/>
          <w:sz w:val="21"/>
          <w:szCs w:val="21"/>
          <w:highlight w:val="none"/>
        </w:rPr>
        <w:t>本表后应附项目经理、项目总工及其他人员的身份证、职称资格证书以及资格审</w:t>
      </w:r>
    </w:p>
    <w:p>
      <w:pPr>
        <w:spacing w:before="95" w:line="320" w:lineRule="auto"/>
        <w:ind w:left="539" w:right="59" w:hanging="9"/>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查</w:t>
      </w:r>
      <w:r>
        <w:rPr>
          <w:rFonts w:hint="eastAsia" w:ascii="宋体" w:hAnsi="宋体" w:eastAsia="宋体" w:cs="宋体"/>
          <w:spacing w:val="9"/>
          <w:sz w:val="21"/>
          <w:szCs w:val="21"/>
          <w:highlight w:val="none"/>
        </w:rPr>
        <w:t>条件所要求的其他相关证书(如建造师注册证书、安全生产考核合格证书等)的</w:t>
      </w:r>
      <w:r>
        <w:rPr>
          <w:rFonts w:hint="eastAsia" w:ascii="宋体" w:hAnsi="宋体" w:eastAsia="宋体" w:cs="宋体"/>
          <w:spacing w:val="16"/>
          <w:sz w:val="21"/>
          <w:szCs w:val="21"/>
          <w:highlight w:val="none"/>
        </w:rPr>
        <w:t>复</w:t>
      </w:r>
      <w:r>
        <w:rPr>
          <w:rFonts w:hint="eastAsia" w:ascii="宋体" w:hAnsi="宋体" w:eastAsia="宋体" w:cs="宋体"/>
          <w:spacing w:val="9"/>
          <w:sz w:val="21"/>
          <w:szCs w:val="21"/>
          <w:highlight w:val="none"/>
        </w:rPr>
        <w:t>印件，并应提供其担任类似项目的项目经理和项目总工的相关业绩证明材料复</w:t>
      </w:r>
      <w:r>
        <w:rPr>
          <w:rFonts w:hint="eastAsia" w:ascii="宋体" w:hAnsi="宋体" w:eastAsia="宋体" w:cs="宋体"/>
          <w:spacing w:val="16"/>
          <w:sz w:val="21"/>
          <w:szCs w:val="21"/>
          <w:highlight w:val="none"/>
        </w:rPr>
        <w:t>印</w:t>
      </w:r>
      <w:r>
        <w:rPr>
          <w:rFonts w:hint="eastAsia" w:ascii="宋体" w:hAnsi="宋体" w:eastAsia="宋体" w:cs="宋体"/>
          <w:spacing w:val="9"/>
          <w:sz w:val="21"/>
          <w:szCs w:val="21"/>
          <w:highlight w:val="none"/>
        </w:rPr>
        <w:t>件。提供人员业绩时，证明材料复印件应附在对应人员资历表后。在最后一张</w:t>
      </w:r>
      <w:r>
        <w:rPr>
          <w:rFonts w:hint="eastAsia" w:ascii="宋体" w:hAnsi="宋体" w:eastAsia="宋体" w:cs="宋体"/>
          <w:sz w:val="21"/>
          <w:szCs w:val="21"/>
          <w:highlight w:val="none"/>
        </w:rPr>
        <w:t xml:space="preserve"> </w:t>
      </w:r>
      <w:r>
        <w:rPr>
          <w:rFonts w:hint="eastAsia" w:ascii="宋体" w:hAnsi="宋体" w:eastAsia="宋体" w:cs="宋体"/>
          <w:spacing w:val="16"/>
          <w:sz w:val="21"/>
          <w:szCs w:val="21"/>
          <w:highlight w:val="none"/>
        </w:rPr>
        <w:t>资</w:t>
      </w:r>
      <w:r>
        <w:rPr>
          <w:rFonts w:hint="eastAsia" w:ascii="宋体" w:hAnsi="宋体" w:eastAsia="宋体" w:cs="宋体"/>
          <w:spacing w:val="8"/>
          <w:sz w:val="21"/>
          <w:szCs w:val="21"/>
          <w:highlight w:val="none"/>
        </w:rPr>
        <w:t>历表后，应附拟投入本项目所有人员的社保证明。</w:t>
      </w:r>
    </w:p>
    <w:p>
      <w:pPr>
        <w:rPr>
          <w:rFonts w:hint="eastAsia" w:ascii="宋体" w:hAnsi="宋体" w:eastAsia="宋体" w:cs="宋体"/>
          <w:sz w:val="21"/>
          <w:szCs w:val="21"/>
          <w:highlight w:val="none"/>
        </w:rPr>
        <w:sectPr>
          <w:footerReference r:id="rId9" w:type="default"/>
          <w:pgSz w:w="11906" w:h="16839"/>
          <w:pgMar w:top="400" w:right="1493" w:bottom="655" w:left="1441" w:header="0" w:footer="447" w:gutter="0"/>
          <w:pgBorders>
            <w:top w:val="none" w:sz="0" w:space="0"/>
            <w:left w:val="none" w:sz="0" w:space="0"/>
            <w:bottom w:val="none" w:sz="0" w:space="0"/>
            <w:right w:val="none" w:sz="0" w:space="0"/>
          </w:pgBorders>
          <w:pgNumType w:fmt="decimal"/>
          <w:cols w:space="720" w:num="1"/>
        </w:sectPr>
      </w:pPr>
    </w:p>
    <w:p>
      <w:pPr>
        <w:spacing w:line="252" w:lineRule="auto"/>
        <w:rPr>
          <w:rFonts w:hint="eastAsia" w:ascii="宋体" w:hAnsi="宋体" w:eastAsia="宋体" w:cs="宋体"/>
          <w:sz w:val="21"/>
          <w:szCs w:val="21"/>
          <w:highlight w:val="none"/>
        </w:rPr>
      </w:pPr>
    </w:p>
    <w:p>
      <w:pPr>
        <w:spacing w:line="252" w:lineRule="auto"/>
        <w:rPr>
          <w:rFonts w:hint="eastAsia" w:ascii="宋体" w:hAnsi="宋体" w:eastAsia="宋体" w:cs="宋体"/>
          <w:sz w:val="21"/>
          <w:szCs w:val="21"/>
          <w:highlight w:val="none"/>
        </w:rPr>
      </w:pPr>
    </w:p>
    <w:p>
      <w:pPr>
        <w:spacing w:line="252" w:lineRule="auto"/>
        <w:rPr>
          <w:rFonts w:hint="eastAsia" w:ascii="宋体" w:hAnsi="宋体" w:eastAsia="宋体" w:cs="宋体"/>
          <w:sz w:val="21"/>
          <w:szCs w:val="21"/>
          <w:highlight w:val="none"/>
        </w:rPr>
      </w:pPr>
    </w:p>
    <w:p>
      <w:pPr>
        <w:pStyle w:val="59"/>
        <w:outlineLvl w:val="1"/>
        <w:rPr>
          <w:rFonts w:hint="eastAsia" w:ascii="宋体" w:hAnsi="宋体" w:eastAsia="宋体" w:cs="宋体"/>
          <w:color w:val="auto"/>
          <w:sz w:val="21"/>
          <w:szCs w:val="21"/>
          <w:highlight w:val="none"/>
          <w:lang w:val="en-US" w:eastAsia="zh-CN"/>
        </w:rPr>
      </w:pPr>
      <w:bookmarkStart w:id="64" w:name="_Toc256000051"/>
    </w:p>
    <w:p>
      <w:pPr>
        <w:pStyle w:val="59"/>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、其他资格证明文件</w:t>
      </w:r>
      <w:bookmarkEnd w:id="64"/>
    </w:p>
    <w:p>
      <w:pPr>
        <w:pStyle w:val="59"/>
        <w:outlineLvl w:val="1"/>
        <w:rPr>
          <w:rFonts w:hint="eastAsia" w:ascii="宋体" w:hAnsi="宋体" w:eastAsia="宋体" w:cs="宋体"/>
          <w:color w:val="auto"/>
          <w:sz w:val="21"/>
          <w:szCs w:val="21"/>
          <w:highlight w:val="none"/>
        </w:rPr>
      </w:pPr>
    </w:p>
    <w:p>
      <w:pPr>
        <w:pStyle w:val="59"/>
        <w:spacing w:line="360" w:lineRule="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1、必须是中华人民共和国境内注册并取得营业执照独立核算的法人。</w:t>
      </w:r>
    </w:p>
    <w:p>
      <w:pPr>
        <w:pStyle w:val="59"/>
        <w:spacing w:line="360" w:lineRule="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2、投标人需具备市政公用工程施工总承包资质叁级（含叁级）以上；具有合格有效的施工企业安全生产许可证；</w:t>
      </w:r>
    </w:p>
    <w:p>
      <w:pPr>
        <w:pStyle w:val="59"/>
        <w:spacing w:line="360" w:lineRule="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3、负责人须具有市政公用工程专业二级及以上（含二级）注册建造师执业资格；具备有效的安全生产考核合格证书（B类），且未担任其他在施建设工程项目的项目经理。</w:t>
      </w:r>
    </w:p>
    <w:p>
      <w:pPr>
        <w:pStyle w:val="59"/>
        <w:spacing w:line="360" w:lineRule="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4、本项目不接受联合体投标  </w:t>
      </w:r>
    </w:p>
    <w:p>
      <w:pPr>
        <w:pStyle w:val="59"/>
        <w:spacing w:line="360" w:lineRule="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5、必须提供近期“信用中国”、“中国政府采购网”以上2个网站查询截图并加盖公章；被列入失信被执行人、重大税收违法案件当事人名单以及政府采购严重违法失信行为记录名单的投标单位，将拒绝其参加本次政府采购活动。</w:t>
      </w:r>
    </w:p>
    <w:p>
      <w:pPr>
        <w:pStyle w:val="60"/>
        <w:spacing w:line="360" w:lineRule="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6、投标保证金缴纳凭证（提供复印件或扫描件）及基本户开户许可证；</w:t>
      </w:r>
    </w:p>
    <w:p>
      <w:pPr>
        <w:pStyle w:val="60"/>
        <w:spacing w:line="360" w:lineRule="auto"/>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7、供应商认为需要提供的其他相关文件</w:t>
      </w:r>
    </w:p>
    <w:p>
      <w:pPr>
        <w:pStyle w:val="60"/>
        <w:spacing w:line="360" w:lineRule="auto"/>
        <w:rPr>
          <w:rFonts w:hint="eastAsia" w:ascii="宋体" w:hAnsi="宋体" w:eastAsia="宋体" w:cs="宋体"/>
          <w:b w:val="0"/>
          <w:color w:val="auto"/>
          <w:kern w:val="2"/>
          <w:sz w:val="21"/>
          <w:szCs w:val="21"/>
          <w:highlight w:val="none"/>
          <w:lang w:val="en-US" w:eastAsia="zh-CN" w:bidi="ar-SA"/>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30"/>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宋体" w:hAnsi="宋体" w:eastAsia="宋体" w:cs="宋体"/>
          <w:color w:val="auto"/>
          <w:sz w:val="21"/>
          <w:szCs w:val="21"/>
          <w:highlight w:val="none"/>
        </w:rPr>
      </w:pPr>
    </w:p>
    <w:p>
      <w:pPr>
        <w:pStyle w:val="59"/>
        <w:numPr>
          <w:ilvl w:val="0"/>
          <w:numId w:val="0"/>
        </w:numPr>
        <w:spacing w:line="360" w:lineRule="auto"/>
        <w:outlineLvl w:val="1"/>
        <w:rPr>
          <w:rFonts w:hint="eastAsia" w:ascii="宋体" w:hAnsi="宋体" w:eastAsia="宋体" w:cs="宋体"/>
          <w:b/>
          <w:color w:val="auto"/>
          <w:sz w:val="21"/>
          <w:szCs w:val="21"/>
          <w:highlight w:val="none"/>
          <w:lang w:val="en-US" w:eastAsia="zh-CN" w:bidi="ar-SA"/>
        </w:rPr>
      </w:pPr>
      <w:bookmarkStart w:id="65" w:name="_Toc256000054"/>
      <w:r>
        <w:rPr>
          <w:rFonts w:hint="eastAsia" w:ascii="宋体" w:hAnsi="宋体" w:eastAsia="宋体" w:cs="宋体"/>
          <w:b/>
          <w:color w:val="auto"/>
          <w:sz w:val="21"/>
          <w:szCs w:val="21"/>
          <w:highlight w:val="none"/>
          <w:lang w:val="en-US" w:eastAsia="zh-CN" w:bidi="ar-SA"/>
        </w:rPr>
        <w:t>八、不参与围标串标承诺书</w:t>
      </w:r>
      <w:bookmarkEnd w:id="65"/>
    </w:p>
    <w:p>
      <w:pPr>
        <w:pStyle w:val="60"/>
        <w:spacing w:line="640" w:lineRule="exact"/>
        <w:jc w:val="left"/>
        <w:rPr>
          <w:rFonts w:hint="eastAsia" w:ascii="宋体" w:hAnsi="宋体" w:eastAsia="宋体" w:cs="宋体"/>
          <w:color w:val="auto"/>
          <w:sz w:val="21"/>
          <w:szCs w:val="21"/>
          <w:highlight w:val="none"/>
        </w:rPr>
      </w:pPr>
    </w:p>
    <w:p>
      <w:pPr>
        <w:pStyle w:val="59"/>
        <w:numPr>
          <w:ilvl w:val="0"/>
          <w:numId w:val="0"/>
        </w:numPr>
        <w:spacing w:line="360" w:lineRule="auto"/>
        <w:jc w:val="center"/>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bidi="ar-SA"/>
        </w:rPr>
        <w:t>不参与围标串标承诺书</w:t>
      </w:r>
    </w:p>
    <w:p>
      <w:pPr>
        <w:pStyle w:val="60"/>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本人作为</w:t>
      </w:r>
      <w:r>
        <w:rPr>
          <w:rFonts w:hint="eastAsia" w:ascii="宋体" w:hAnsi="宋体" w:eastAsia="宋体" w:cs="宋体"/>
          <w:color w:val="auto"/>
          <w:sz w:val="21"/>
          <w:szCs w:val="21"/>
          <w:highlight w:val="none"/>
          <w:u w:val="single"/>
        </w:rPr>
        <w:t xml:space="preserve">（单位名称）                    </w:t>
      </w:r>
      <w:r>
        <w:rPr>
          <w:rFonts w:hint="eastAsia" w:ascii="宋体" w:hAnsi="宋体" w:eastAsia="宋体" w:cs="宋体"/>
          <w:color w:val="auto"/>
          <w:sz w:val="21"/>
          <w:szCs w:val="21"/>
          <w:highlight w:val="none"/>
        </w:rPr>
        <w:t>的法人，清楚知晓我公司本项目投标活动，对以下事项作出承诺：</w:t>
      </w:r>
    </w:p>
    <w:p>
      <w:pPr>
        <w:pStyle w:val="60"/>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一、我单位遵循公开、公平、公正、诚实守信的原则，依法依规参与本项目竞标。</w:t>
      </w:r>
    </w:p>
    <w:p>
      <w:pPr>
        <w:pStyle w:val="60"/>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二、我单位在本项目招标投标活动中，未参与围标串标。</w:t>
      </w:r>
    </w:p>
    <w:p>
      <w:pPr>
        <w:pStyle w:val="60"/>
        <w:spacing w:line="6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0"/>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pStyle w:val="60"/>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项目编号：    </w:t>
      </w:r>
    </w:p>
    <w:p>
      <w:pPr>
        <w:pStyle w:val="60"/>
        <w:spacing w:line="64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供应商单位名称（签章）：</w:t>
      </w:r>
    </w:p>
    <w:p>
      <w:pPr>
        <w:pStyle w:val="60"/>
        <w:spacing w:line="64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供应商法人（签章）：</w:t>
      </w:r>
    </w:p>
    <w:p>
      <w:pPr>
        <w:pStyle w:val="60"/>
        <w:spacing w:line="64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年   月  日                                 </w:t>
      </w:r>
    </w:p>
    <w:p>
      <w:pPr>
        <w:pStyle w:val="60"/>
        <w:spacing w:line="640" w:lineRule="exact"/>
        <w:jc w:val="left"/>
        <w:rPr>
          <w:rFonts w:hint="eastAsia" w:ascii="宋体" w:hAnsi="宋体" w:eastAsia="宋体" w:cs="宋体"/>
          <w:color w:val="auto"/>
          <w:sz w:val="21"/>
          <w:szCs w:val="21"/>
          <w:highlight w:val="none"/>
        </w:rPr>
      </w:pPr>
    </w:p>
    <w:p>
      <w:pPr>
        <w:pStyle w:val="60"/>
        <w:spacing w:line="640" w:lineRule="exact"/>
        <w:ind w:firstLine="3570" w:firstLineChars="1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61"/>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66" w:name="_Toc256000055"/>
    </w:p>
    <w:bookmarkEnd w:id="66"/>
    <w:p>
      <w:pPr>
        <w:pStyle w:val="66"/>
        <w:outlineLvl w:val="1"/>
        <w:rPr>
          <w:rFonts w:hint="eastAsia" w:ascii="宋体" w:hAnsi="宋体" w:eastAsia="宋体" w:cs="宋体"/>
          <w:color w:val="auto"/>
          <w:sz w:val="21"/>
          <w:szCs w:val="21"/>
          <w:highlight w:val="none"/>
        </w:rPr>
      </w:pPr>
      <w:bookmarkStart w:id="67" w:name="_Toc256000060"/>
    </w:p>
    <w:p>
      <w:pPr>
        <w:pStyle w:val="66"/>
        <w:outlineLvl w:val="1"/>
        <w:rPr>
          <w:rFonts w:hint="eastAsia" w:ascii="宋体" w:hAnsi="宋体" w:eastAsia="宋体" w:cs="宋体"/>
          <w:color w:val="auto"/>
          <w:sz w:val="21"/>
          <w:szCs w:val="21"/>
          <w:highlight w:val="none"/>
        </w:rPr>
      </w:pPr>
    </w:p>
    <w:p>
      <w:pPr>
        <w:pStyle w:val="66"/>
        <w:outlineLvl w:val="1"/>
        <w:rPr>
          <w:rFonts w:hint="eastAsia" w:ascii="宋体" w:hAnsi="宋体" w:eastAsia="宋体" w:cs="宋体"/>
          <w:color w:val="auto"/>
          <w:sz w:val="21"/>
          <w:szCs w:val="21"/>
          <w:highlight w:val="none"/>
        </w:rPr>
      </w:pPr>
    </w:p>
    <w:p>
      <w:pPr>
        <w:pStyle w:val="66"/>
        <w:outlineLvl w:val="1"/>
        <w:rPr>
          <w:rFonts w:hint="eastAsia" w:ascii="宋体" w:hAnsi="宋体" w:eastAsia="宋体" w:cs="宋体"/>
          <w:color w:val="auto"/>
          <w:sz w:val="21"/>
          <w:szCs w:val="21"/>
          <w:highlight w:val="none"/>
        </w:rPr>
      </w:pPr>
    </w:p>
    <w:p>
      <w:pPr>
        <w:pStyle w:val="66"/>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、联合体协议书格式（如有）</w:t>
      </w:r>
      <w:bookmarkEnd w:id="67"/>
    </w:p>
    <w:p>
      <w:pPr>
        <w:pStyle w:val="67"/>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联合体协议</w:t>
      </w:r>
      <w:r>
        <w:rPr>
          <w:rFonts w:hint="eastAsia" w:ascii="宋体" w:hAnsi="宋体" w:eastAsia="宋体" w:cs="宋体"/>
          <w:b/>
          <w:bCs/>
          <w:color w:val="auto"/>
          <w:sz w:val="21"/>
          <w:szCs w:val="21"/>
          <w:highlight w:val="none"/>
        </w:rPr>
        <w:t xml:space="preserve"> </w:t>
      </w:r>
    </w:p>
    <w:p>
      <w:pPr>
        <w:pStyle w:val="67"/>
        <w:adjustRightInd w:val="0"/>
        <w:snapToGrid w:val="0"/>
        <w:spacing w:before="156" w:before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经研究，我们决定自愿组成联合体共同申请参加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（项目名称、项目编号）项目的磋商。现就联合体事宜订立如下协议：</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一、联合体基本信息：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（各方公司名称、地址、注册资金、营业执照、法定代表人姓名）。</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（某成员单位名称）为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（联合体名称）牵头人。</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四、联合体将严格按照磋商文件的各项要求，递交响应文件，参加磋商，履行成交义务和成交后的合同，并向采购人承担连带责任。</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五、联合体各成员单位内部的职责分工如下：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。按照本条上述分工，联合体成员单位各自所承担的合同工作量比例如下：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六、本协议书自签署之日起生效，合同履行完毕后自动失效。</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份，联合体成员和采购人各执一份。</w:t>
      </w:r>
    </w:p>
    <w:p>
      <w:pPr>
        <w:pStyle w:val="67"/>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p>
    <w:p>
      <w:pPr>
        <w:pStyle w:val="67"/>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牵头人名称（签章）：</w:t>
      </w:r>
    </w:p>
    <w:p>
      <w:pPr>
        <w:pStyle w:val="67"/>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r>
        <w:rPr>
          <w:rFonts w:hint="eastAsia" w:ascii="宋体" w:hAnsi="宋体" w:eastAsia="宋体" w:cs="宋体"/>
          <w:color w:val="auto"/>
          <w:sz w:val="21"/>
          <w:szCs w:val="21"/>
          <w:highlight w:val="none"/>
          <w:u w:val="single"/>
        </w:rPr>
        <w:t xml:space="preserve">                     </w:t>
      </w:r>
    </w:p>
    <w:p>
      <w:pPr>
        <w:pStyle w:val="67"/>
        <w:adjustRightInd w:val="0"/>
        <w:snapToGrid w:val="0"/>
        <w:spacing w:line="360" w:lineRule="auto"/>
        <w:ind w:firstLine="1785" w:firstLineChars="850"/>
        <w:rPr>
          <w:rFonts w:hint="eastAsia" w:ascii="宋体" w:hAnsi="宋体" w:eastAsia="宋体" w:cs="宋体"/>
          <w:color w:val="auto"/>
          <w:sz w:val="21"/>
          <w:szCs w:val="21"/>
          <w:highlight w:val="none"/>
        </w:rPr>
      </w:pPr>
    </w:p>
    <w:p>
      <w:pPr>
        <w:pStyle w:val="67"/>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成员二名称（签章）：</w:t>
      </w:r>
    </w:p>
    <w:p>
      <w:pPr>
        <w:pStyle w:val="67"/>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r>
        <w:rPr>
          <w:rFonts w:hint="eastAsia" w:ascii="宋体" w:hAnsi="宋体" w:eastAsia="宋体" w:cs="宋体"/>
          <w:color w:val="auto"/>
          <w:sz w:val="21"/>
          <w:szCs w:val="21"/>
          <w:highlight w:val="none"/>
          <w:u w:val="single"/>
        </w:rPr>
        <w:t xml:space="preserve">                      </w:t>
      </w:r>
    </w:p>
    <w:p>
      <w:pPr>
        <w:pStyle w:val="6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pStyle w:val="6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备注：本协议书由授权代表签字的，应附法定代表人签字的授权委托书。</w:t>
      </w:r>
    </w:p>
    <w:p>
      <w:pPr>
        <w:pStyle w:val="6"/>
        <w:spacing w:line="400" w:lineRule="exact"/>
        <w:ind w:left="0" w:leftChars="0" w:firstLine="0" w:firstLineChars="0"/>
        <w:rPr>
          <w:rFonts w:hint="eastAsia" w:ascii="宋体" w:hAnsi="宋体" w:eastAsia="宋体" w:cs="宋体"/>
          <w:b/>
          <w:bCs/>
          <w:color w:val="auto"/>
          <w:sz w:val="21"/>
          <w:szCs w:val="21"/>
          <w:highlight w:val="none"/>
          <w:lang w:val="en-US" w:eastAsia="zh-CN"/>
        </w:rPr>
      </w:pPr>
      <w:bookmarkStart w:id="68" w:name="_Toc256000062"/>
    </w:p>
    <w:p>
      <w:pPr>
        <w:pStyle w:val="6"/>
        <w:spacing w:line="400" w:lineRule="exact"/>
        <w:ind w:left="0" w:leftChars="0" w:firstLine="0" w:firstLineChars="0"/>
        <w:rPr>
          <w:rFonts w:hint="eastAsia" w:ascii="宋体" w:hAnsi="宋体" w:eastAsia="宋体" w:cs="宋体"/>
          <w:b/>
          <w:bCs/>
          <w:color w:val="auto"/>
          <w:sz w:val="21"/>
          <w:szCs w:val="21"/>
          <w:highlight w:val="none"/>
          <w:lang w:val="en-US" w:eastAsia="zh-CN"/>
        </w:rPr>
      </w:pPr>
    </w:p>
    <w:p>
      <w:pPr>
        <w:pStyle w:val="6"/>
        <w:spacing w:line="400" w:lineRule="exact"/>
        <w:ind w:left="0" w:leftChars="0" w:firstLine="0" w:firstLineChars="0"/>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13"/>
        <w:rPr>
          <w:rFonts w:hint="eastAsia" w:ascii="宋体" w:hAnsi="宋体" w:eastAsia="宋体" w:cs="宋体"/>
          <w:b/>
          <w:bCs/>
          <w:color w:val="auto"/>
          <w:sz w:val="21"/>
          <w:szCs w:val="21"/>
          <w:highlight w:val="none"/>
          <w:lang w:val="en-US" w:eastAsia="zh-CN"/>
        </w:rPr>
      </w:pPr>
    </w:p>
    <w:p>
      <w:pPr>
        <w:pStyle w:val="14"/>
        <w:rPr>
          <w:rFonts w:hint="eastAsia" w:ascii="宋体" w:hAnsi="宋体" w:eastAsia="宋体" w:cs="宋体"/>
          <w:b/>
          <w:bCs/>
          <w:color w:val="auto"/>
          <w:sz w:val="21"/>
          <w:szCs w:val="21"/>
          <w:highlight w:val="none"/>
          <w:lang w:val="en-US" w:eastAsia="zh-CN"/>
        </w:rPr>
      </w:pPr>
    </w:p>
    <w:p>
      <w:pPr>
        <w:pStyle w:val="14"/>
        <w:rPr>
          <w:rFonts w:hint="eastAsia" w:ascii="宋体" w:hAnsi="宋体" w:eastAsia="宋体" w:cs="宋体"/>
          <w:b/>
          <w:bCs/>
          <w:color w:val="auto"/>
          <w:sz w:val="21"/>
          <w:szCs w:val="21"/>
          <w:highlight w:val="none"/>
          <w:lang w:val="en-US" w:eastAsia="zh-CN"/>
        </w:rPr>
      </w:pPr>
    </w:p>
    <w:p>
      <w:pPr>
        <w:pStyle w:val="14"/>
        <w:rPr>
          <w:rFonts w:hint="eastAsia" w:ascii="宋体" w:hAnsi="宋体" w:eastAsia="宋体" w:cs="宋体"/>
          <w:b/>
          <w:bCs/>
          <w:color w:val="auto"/>
          <w:sz w:val="21"/>
          <w:szCs w:val="21"/>
          <w:highlight w:val="none"/>
          <w:lang w:val="en-US" w:eastAsia="zh-CN"/>
        </w:rPr>
      </w:pPr>
    </w:p>
    <w:p>
      <w:pPr>
        <w:pStyle w:val="14"/>
        <w:rPr>
          <w:rFonts w:hint="eastAsia" w:ascii="宋体" w:hAnsi="宋体" w:eastAsia="宋体" w:cs="宋体"/>
          <w:b/>
          <w:bCs/>
          <w:color w:val="auto"/>
          <w:sz w:val="21"/>
          <w:szCs w:val="21"/>
          <w:highlight w:val="none"/>
          <w:lang w:val="en-US" w:eastAsia="zh-CN"/>
        </w:rPr>
      </w:pPr>
    </w:p>
    <w:p>
      <w:pPr>
        <w:pStyle w:val="14"/>
        <w:rPr>
          <w:rFonts w:hint="eastAsia" w:ascii="宋体" w:hAnsi="宋体" w:eastAsia="宋体" w:cs="宋体"/>
          <w:b/>
          <w:bCs/>
          <w:color w:val="auto"/>
          <w:sz w:val="21"/>
          <w:szCs w:val="21"/>
          <w:highlight w:val="none"/>
          <w:lang w:val="en-US" w:eastAsia="zh-CN"/>
        </w:rPr>
      </w:pPr>
    </w:p>
    <w:p>
      <w:pPr>
        <w:pStyle w:val="14"/>
        <w:rPr>
          <w:rFonts w:hint="eastAsia" w:ascii="宋体" w:hAnsi="宋体" w:eastAsia="宋体" w:cs="宋体"/>
          <w:b/>
          <w:bCs/>
          <w:color w:val="auto"/>
          <w:sz w:val="21"/>
          <w:szCs w:val="21"/>
          <w:highlight w:val="none"/>
          <w:lang w:val="en-US" w:eastAsia="zh-CN"/>
        </w:rPr>
      </w:pPr>
    </w:p>
    <w:p>
      <w:pPr>
        <w:pStyle w:val="6"/>
        <w:spacing w:line="400" w:lineRule="exact"/>
        <w:ind w:left="0" w:leftChars="0" w:firstLine="0" w:firstLineChars="0"/>
        <w:rPr>
          <w:rFonts w:hint="eastAsia" w:ascii="宋体" w:hAnsi="宋体" w:eastAsia="宋体" w:cs="宋体"/>
          <w:b/>
          <w:bCs/>
          <w:color w:val="auto"/>
          <w:sz w:val="21"/>
          <w:szCs w:val="21"/>
          <w:highlight w:val="none"/>
          <w:lang w:val="en-US" w:eastAsia="zh-CN"/>
        </w:rPr>
      </w:pPr>
    </w:p>
    <w:p>
      <w:pPr>
        <w:pStyle w:val="6"/>
        <w:spacing w:line="400" w:lineRule="exact"/>
        <w:ind w:left="0" w:leftChars="0" w:firstLine="0" w:firstLineChars="0"/>
        <w:rPr>
          <w:rFonts w:hint="eastAsia" w:ascii="宋体" w:hAnsi="宋体" w:eastAsia="宋体" w:cs="宋体"/>
          <w:b/>
          <w:bCs/>
          <w:color w:val="auto"/>
          <w:sz w:val="21"/>
          <w:szCs w:val="21"/>
          <w:highlight w:val="none"/>
          <w:lang w:val="en-US" w:eastAsia="zh-CN"/>
        </w:rPr>
      </w:pPr>
    </w:p>
    <w:p>
      <w:pPr>
        <w:pStyle w:val="6"/>
        <w:spacing w:line="400" w:lineRule="exact"/>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color w:val="auto"/>
          <w:sz w:val="21"/>
          <w:szCs w:val="21"/>
          <w:highlight w:val="none"/>
          <w:lang w:val="en-US" w:eastAsia="zh-CN" w:bidi="ar-SA"/>
        </w:rPr>
        <w:t>中、小微企业声明函（非中、小微企业可不提供）；</w:t>
      </w:r>
    </w:p>
    <w:p>
      <w:pPr>
        <w:pStyle w:val="44"/>
        <w:spacing w:line="400" w:lineRule="exact"/>
        <w:ind w:right="-97"/>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中小企业声明函</w:t>
      </w:r>
    </w:p>
    <w:p>
      <w:pPr>
        <w:pStyle w:val="68"/>
        <w:spacing w:line="480" w:lineRule="auto"/>
        <w:ind w:left="0" w:leftChars="0"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p>
    <w:p>
      <w:pPr>
        <w:snapToGrid w:val="0"/>
        <w:spacing w:line="480" w:lineRule="auto"/>
        <w:ind w:firstLine="630" w:firstLineChars="3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auto"/>
          <w:kern w:val="2"/>
          <w:sz w:val="21"/>
          <w:szCs w:val="21"/>
          <w:highlight w:val="none"/>
          <w:u w:val="single"/>
          <w:lang w:val="en-US" w:eastAsia="zh-CN" w:bidi="ar-SA"/>
        </w:rPr>
        <w:t>（单位名称）</w:t>
      </w:r>
      <w:r>
        <w:rPr>
          <w:rFonts w:hint="eastAsia" w:ascii="宋体" w:hAnsi="宋体" w:eastAsia="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u w:val="single"/>
          <w:lang w:val="en-US" w:eastAsia="zh-CN" w:bidi="ar-SA"/>
        </w:rPr>
        <w:t>（项目名称）</w:t>
      </w:r>
      <w:r>
        <w:rPr>
          <w:rFonts w:hint="eastAsia" w:ascii="宋体" w:hAnsi="宋体" w:eastAsia="宋体" w:cs="宋体"/>
          <w:color w:val="auto"/>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480" w:lineRule="auto"/>
        <w:ind w:firstLine="420" w:firstLineChars="20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w:t>
      </w:r>
      <w:r>
        <w:rPr>
          <w:rFonts w:hint="eastAsia" w:ascii="宋体" w:hAnsi="宋体" w:eastAsia="宋体" w:cs="宋体"/>
          <w:i w:val="0"/>
          <w:iCs w:val="0"/>
          <w:sz w:val="21"/>
          <w:szCs w:val="21"/>
          <w:highlight w:val="none"/>
          <w:u w:val="single"/>
        </w:rPr>
        <w:t>（标的名称）</w:t>
      </w:r>
      <w:r>
        <w:rPr>
          <w:rFonts w:hint="eastAsia" w:ascii="宋体" w:hAnsi="宋体" w:eastAsia="宋体" w:cs="宋体"/>
          <w:i w:val="0"/>
          <w:iCs w:val="0"/>
          <w:sz w:val="21"/>
          <w:szCs w:val="21"/>
          <w:highlight w:val="none"/>
        </w:rPr>
        <w:t>，属于</w:t>
      </w:r>
      <w:r>
        <w:rPr>
          <w:rFonts w:hint="eastAsia" w:ascii="宋体" w:hAnsi="宋体" w:eastAsia="宋体" w:cs="宋体"/>
          <w:i w:val="0"/>
          <w:iCs w:val="0"/>
          <w:sz w:val="21"/>
          <w:szCs w:val="21"/>
          <w:highlight w:val="none"/>
          <w:u w:val="single"/>
        </w:rPr>
        <w:t>（采购文件中明确的所属行业）</w:t>
      </w:r>
      <w:r>
        <w:rPr>
          <w:rFonts w:hint="eastAsia" w:ascii="宋体" w:hAnsi="宋体" w:eastAsia="宋体" w:cs="宋体"/>
          <w:i w:val="0"/>
          <w:iCs w:val="0"/>
          <w:sz w:val="21"/>
          <w:szCs w:val="21"/>
          <w:highlight w:val="none"/>
        </w:rPr>
        <w:t>；承建（承接）企业为</w:t>
      </w:r>
      <w:r>
        <w:rPr>
          <w:rFonts w:hint="eastAsia" w:ascii="宋体" w:hAnsi="宋体" w:eastAsia="宋体" w:cs="宋体"/>
          <w:i w:val="0"/>
          <w:iCs w:val="0"/>
          <w:sz w:val="21"/>
          <w:szCs w:val="21"/>
          <w:highlight w:val="none"/>
          <w:u w:val="single"/>
        </w:rPr>
        <w:t>（企业名称）</w:t>
      </w:r>
      <w:r>
        <w:rPr>
          <w:rFonts w:hint="eastAsia" w:ascii="宋体" w:hAnsi="宋体" w:eastAsia="宋体" w:cs="宋体"/>
          <w:i w:val="0"/>
          <w:iCs w:val="0"/>
          <w:sz w:val="21"/>
          <w:szCs w:val="21"/>
          <w:highlight w:val="none"/>
        </w:rPr>
        <w:t>，从业人员</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sz w:val="21"/>
          <w:szCs w:val="21"/>
          <w:highlight w:val="none"/>
        </w:rPr>
        <w:t>人，营业收入为</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rPr>
        <w:t>万元，资产总额为</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rPr>
        <w:t>万元</w:t>
      </w:r>
      <w:r>
        <w:rPr>
          <w:rStyle w:val="27"/>
          <w:rFonts w:hint="eastAsia" w:ascii="宋体" w:hAnsi="宋体" w:eastAsia="宋体" w:cs="宋体"/>
          <w:i w:val="0"/>
          <w:iCs w:val="0"/>
          <w:sz w:val="21"/>
          <w:szCs w:val="21"/>
          <w:highlight w:val="none"/>
        </w:rPr>
        <w:footnoteReference w:id="0"/>
      </w:r>
      <w:r>
        <w:rPr>
          <w:rFonts w:hint="eastAsia" w:ascii="宋体" w:hAnsi="宋体" w:eastAsia="宋体" w:cs="宋体"/>
          <w:i w:val="0"/>
          <w:iCs w:val="0"/>
          <w:sz w:val="21"/>
          <w:szCs w:val="21"/>
          <w:highlight w:val="none"/>
        </w:rPr>
        <w:t>，属于</w:t>
      </w:r>
      <w:r>
        <w:rPr>
          <w:rFonts w:hint="eastAsia" w:ascii="宋体" w:hAnsi="宋体" w:eastAsia="宋体" w:cs="宋体"/>
          <w:i w:val="0"/>
          <w:iCs w:val="0"/>
          <w:sz w:val="21"/>
          <w:szCs w:val="21"/>
          <w:highlight w:val="none"/>
          <w:u w:val="single"/>
        </w:rPr>
        <w:t>（中型企业、小型企业、微型企业）</w:t>
      </w:r>
      <w:r>
        <w:rPr>
          <w:rFonts w:hint="eastAsia" w:ascii="宋体" w:hAnsi="宋体" w:eastAsia="宋体" w:cs="宋体"/>
          <w:i w:val="0"/>
          <w:iCs w:val="0"/>
          <w:sz w:val="21"/>
          <w:szCs w:val="21"/>
          <w:highlight w:val="none"/>
        </w:rPr>
        <w:t>；</w:t>
      </w:r>
    </w:p>
    <w:p>
      <w:pPr>
        <w:snapToGrid w:val="0"/>
        <w:spacing w:line="480" w:lineRule="auto"/>
        <w:ind w:firstLine="420" w:firstLineChars="20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 xml:space="preserve">2. </w:t>
      </w:r>
      <w:r>
        <w:rPr>
          <w:rFonts w:hint="eastAsia" w:ascii="宋体" w:hAnsi="宋体" w:eastAsia="宋体" w:cs="宋体"/>
          <w:i w:val="0"/>
          <w:iCs w:val="0"/>
          <w:sz w:val="21"/>
          <w:szCs w:val="21"/>
          <w:highlight w:val="none"/>
          <w:u w:val="single"/>
        </w:rPr>
        <w:t>（标的名称）</w:t>
      </w:r>
      <w:r>
        <w:rPr>
          <w:rFonts w:hint="eastAsia" w:ascii="宋体" w:hAnsi="宋体" w:eastAsia="宋体" w:cs="宋体"/>
          <w:i w:val="0"/>
          <w:iCs w:val="0"/>
          <w:sz w:val="21"/>
          <w:szCs w:val="21"/>
          <w:highlight w:val="none"/>
        </w:rPr>
        <w:t>，属于</w:t>
      </w:r>
      <w:r>
        <w:rPr>
          <w:rFonts w:hint="eastAsia" w:ascii="宋体" w:hAnsi="宋体" w:eastAsia="宋体" w:cs="宋体"/>
          <w:i w:val="0"/>
          <w:iCs w:val="0"/>
          <w:sz w:val="21"/>
          <w:szCs w:val="21"/>
          <w:highlight w:val="none"/>
          <w:u w:val="single"/>
        </w:rPr>
        <w:t>（采购文件中明确的所属行业）</w:t>
      </w:r>
      <w:r>
        <w:rPr>
          <w:rFonts w:hint="eastAsia" w:ascii="宋体" w:hAnsi="宋体" w:eastAsia="宋体" w:cs="宋体"/>
          <w:i w:val="0"/>
          <w:iCs w:val="0"/>
          <w:sz w:val="21"/>
          <w:szCs w:val="21"/>
          <w:highlight w:val="none"/>
        </w:rPr>
        <w:t>；承建（承接）企业为</w:t>
      </w:r>
      <w:r>
        <w:rPr>
          <w:rFonts w:hint="eastAsia" w:ascii="宋体" w:hAnsi="宋体" w:eastAsia="宋体" w:cs="宋体"/>
          <w:i w:val="0"/>
          <w:iCs w:val="0"/>
          <w:sz w:val="21"/>
          <w:szCs w:val="21"/>
          <w:highlight w:val="none"/>
          <w:u w:val="single"/>
        </w:rPr>
        <w:t>（企业名称）</w:t>
      </w:r>
      <w:r>
        <w:rPr>
          <w:rFonts w:hint="eastAsia" w:ascii="宋体" w:hAnsi="宋体" w:eastAsia="宋体" w:cs="宋体"/>
          <w:i w:val="0"/>
          <w:iCs w:val="0"/>
          <w:sz w:val="21"/>
          <w:szCs w:val="21"/>
          <w:highlight w:val="none"/>
        </w:rPr>
        <w:t>，从业人员</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rPr>
        <w:t>人，营业收入为</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rPr>
        <w:t>万元，资产总额为</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rPr>
        <w:t>万元，属于</w:t>
      </w:r>
      <w:r>
        <w:rPr>
          <w:rFonts w:hint="eastAsia" w:ascii="宋体" w:hAnsi="宋体" w:eastAsia="宋体" w:cs="宋体"/>
          <w:i w:val="0"/>
          <w:iCs w:val="0"/>
          <w:sz w:val="21"/>
          <w:szCs w:val="21"/>
          <w:highlight w:val="none"/>
          <w:u w:val="single"/>
        </w:rPr>
        <w:t>（中型企业、小型企业、微型企业）</w:t>
      </w:r>
      <w:r>
        <w:rPr>
          <w:rFonts w:hint="eastAsia" w:ascii="宋体" w:hAnsi="宋体" w:eastAsia="宋体" w:cs="宋体"/>
          <w:i w:val="0"/>
          <w:iCs w:val="0"/>
          <w:sz w:val="21"/>
          <w:szCs w:val="21"/>
          <w:highlight w:val="none"/>
        </w:rPr>
        <w:t>；</w:t>
      </w:r>
    </w:p>
    <w:p>
      <w:pPr>
        <w:snapToGrid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pPr>
        <w:snapToGrid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pPr>
        <w:snapToGrid w:val="0"/>
        <w:spacing w:line="480" w:lineRule="auto"/>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本企业对上述声明内容的真实性负责。如有虚假，将依法承担相应责任。</w:t>
      </w:r>
    </w:p>
    <w:p>
      <w:pPr>
        <w:snapToGrid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企业名称（盖章）：</w:t>
      </w:r>
    </w:p>
    <w:p>
      <w:pPr>
        <w:snapToGrid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日期：</w:t>
      </w: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p>
    <w:p>
      <w:pPr>
        <w:pStyle w:val="78"/>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、施工组织设计</w:t>
      </w:r>
      <w:bookmarkEnd w:id="68"/>
    </w:p>
    <w:p>
      <w:pPr>
        <w:pStyle w:val="78"/>
        <w:outlineLvl w:val="1"/>
        <w:rPr>
          <w:rFonts w:hint="eastAsia" w:ascii="宋体" w:hAnsi="宋体" w:eastAsia="宋体" w:cs="宋体"/>
          <w:color w:val="auto"/>
          <w:sz w:val="21"/>
          <w:szCs w:val="21"/>
          <w:highlight w:val="none"/>
          <w:lang w:eastAsia="zh-CN"/>
        </w:rPr>
      </w:pPr>
    </w:p>
    <w:p>
      <w:pPr>
        <w:pStyle w:val="11"/>
        <w:spacing w:line="360" w:lineRule="auto"/>
        <w:rPr>
          <w:rFonts w:hint="eastAsia" w:ascii="宋体" w:hAnsi="宋体" w:eastAsia="宋体" w:cs="宋体"/>
          <w:color w:val="auto"/>
          <w:spacing w:val="6"/>
          <w:kern w:val="2"/>
          <w:sz w:val="21"/>
          <w:szCs w:val="21"/>
          <w:highlight w:val="none"/>
          <w:lang w:val="en-US" w:eastAsia="zh-CN" w:bidi="ar-SA"/>
        </w:rPr>
      </w:pPr>
    </w:p>
    <w:p>
      <w:pPr>
        <w:pStyle w:val="11"/>
        <w:spacing w:line="360" w:lineRule="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一、投标人应根据招标工程的具体情况，编制相应的施工组织设计。</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二、施工组织设计包括下列内容：</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1、工程概况及特点</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2、施工准备计划</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3、施工方案与技术措施</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4、施工进度计划及工期保证措施和体系</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5、安全管理体系与措施</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rPr>
        <w:t>环境保护管理体系与措施</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7、现场文明施工措施</w:t>
      </w:r>
    </w:p>
    <w:p>
      <w:pPr>
        <w:spacing w:line="360" w:lineRule="auto"/>
        <w:ind w:firstLine="63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8、劳动力、材料、机械设备需要量计划</w:t>
      </w:r>
    </w:p>
    <w:p>
      <w:pPr>
        <w:pStyle w:val="13"/>
        <w:spacing w:line="360" w:lineRule="auto"/>
        <w:ind w:left="852" w:leftChars="300" w:hanging="222" w:hangingChars="100"/>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9、质量保证措施和体系</w:t>
      </w:r>
    </w:p>
    <w:p>
      <w:pPr>
        <w:pStyle w:val="14"/>
        <w:spacing w:line="360" w:lineRule="auto"/>
        <w:rPr>
          <w:rFonts w:hint="eastAsia"/>
          <w:lang w:val="en-US" w:eastAsia="zh-CN"/>
        </w:rPr>
      </w:pPr>
      <w:r>
        <w:rPr>
          <w:rFonts w:hint="eastAsia" w:hAnsi="宋体" w:cs="宋体"/>
          <w:color w:val="auto"/>
          <w:spacing w:val="6"/>
          <w:kern w:val="2"/>
          <w:sz w:val="21"/>
          <w:szCs w:val="21"/>
          <w:highlight w:val="none"/>
          <w:lang w:val="en-US" w:eastAsia="zh-CN" w:bidi="ar-SA"/>
        </w:rPr>
        <w:t xml:space="preserve">     10、</w:t>
      </w:r>
      <w:r>
        <w:rPr>
          <w:rFonts w:hint="eastAsia" w:ascii="宋体" w:hAnsi="宋体" w:eastAsia="宋体" w:cs="宋体"/>
          <w:color w:val="auto"/>
          <w:kern w:val="0"/>
          <w:sz w:val="21"/>
          <w:szCs w:val="21"/>
          <w:highlight w:val="none"/>
          <w:lang w:val="en-US" w:eastAsia="zh-CN"/>
        </w:rPr>
        <w:t>人力资源配备及服务方式</w:t>
      </w:r>
    </w:p>
    <w:p>
      <w:pPr>
        <w:rPr>
          <w:rFonts w:hint="eastAsia" w:ascii="宋体" w:hAnsi="宋体" w:eastAsia="宋体" w:cs="宋体"/>
          <w:highlight w:val="none"/>
        </w:rPr>
        <w:sectPr>
          <w:headerReference r:id="rId10" w:type="default"/>
          <w:footerReference r:id="rId11" w:type="default"/>
          <w:pgSz w:w="11893" w:h="16840"/>
          <w:pgMar w:top="960" w:right="1417" w:bottom="655" w:left="1560" w:header="945" w:footer="447" w:gutter="0"/>
          <w:pgBorders>
            <w:top w:val="none" w:sz="0" w:space="0"/>
            <w:left w:val="none" w:sz="0" w:space="0"/>
            <w:bottom w:val="none" w:sz="0" w:space="0"/>
            <w:right w:val="none" w:sz="0" w:space="0"/>
          </w:pgBorders>
          <w:pgNumType w:fmt="decimal"/>
          <w:cols w:space="720" w:num="1"/>
        </w:sectPr>
      </w:pPr>
    </w:p>
    <w:p>
      <w:pPr>
        <w:spacing w:before="101" w:line="228" w:lineRule="auto"/>
        <w:rPr>
          <w:rFonts w:hint="eastAsia" w:ascii="宋体" w:hAnsi="宋体" w:eastAsia="宋体" w:cs="宋体"/>
          <w:highlight w:val="none"/>
        </w:rPr>
        <w:sectPr>
          <w:headerReference r:id="rId12" w:type="default"/>
          <w:footerReference r:id="rId13" w:type="default"/>
          <w:pgSz w:w="11893" w:h="16840"/>
          <w:pgMar w:top="400" w:right="1783" w:bottom="655" w:left="1783" w:header="0" w:footer="44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color w:val="auto"/>
          <w:kern w:val="0"/>
          <w:sz w:val="21"/>
          <w:szCs w:val="21"/>
          <w:highlight w:val="none"/>
          <w:lang w:val="en-US" w:eastAsia="zh-CN" w:bidi="ar-SA"/>
        </w:rPr>
        <w:t>十</w:t>
      </w:r>
      <w:r>
        <w:rPr>
          <w:rFonts w:hint="eastAsia" w:ascii="宋体" w:hAnsi="宋体" w:cs="宋体"/>
          <w:b/>
          <w:color w:val="auto"/>
          <w:kern w:val="0"/>
          <w:sz w:val="21"/>
          <w:szCs w:val="21"/>
          <w:highlight w:val="none"/>
          <w:lang w:val="en-US" w:eastAsia="zh-CN" w:bidi="ar-SA"/>
        </w:rPr>
        <w:t>二</w:t>
      </w:r>
      <w:r>
        <w:rPr>
          <w:rFonts w:hint="eastAsia" w:ascii="宋体" w:hAnsi="宋体" w:eastAsia="宋体" w:cs="宋体"/>
          <w:b/>
          <w:color w:val="auto"/>
          <w:kern w:val="0"/>
          <w:sz w:val="21"/>
          <w:szCs w:val="21"/>
          <w:highlight w:val="none"/>
          <w:lang w:val="en-US" w:eastAsia="zh-CN" w:bidi="ar-SA"/>
        </w:rPr>
        <w:t>、近年完成的类似项目情况一览表 (格式自拟）</w:t>
      </w:r>
    </w:p>
    <w:p>
      <w:pPr>
        <w:pStyle w:val="78"/>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十三、投标保证金及开户银行许可证</w:t>
      </w:r>
    </w:p>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14"/>
      <w:rPr>
        <w:rFonts w:ascii="宋体" w:hAnsi="宋体" w:eastAsia="宋体" w:cs="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445"/>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75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445"/>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76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445"/>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77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65"/>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78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239"/>
      <w:rPr>
        <w:rFonts w:ascii="宋体" w:hAnsi="宋体" w:eastAsia="宋体" w:cs="宋体"/>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宋体" w:hAnsi="宋体" w:eastAsia="宋体" w:cs="宋体"/>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990600</wp:posOffset>
              </wp:positionH>
              <wp:positionV relativeFrom="page">
                <wp:posOffset>600710</wp:posOffset>
              </wp:positionV>
              <wp:extent cx="5661025" cy="9525"/>
              <wp:effectExtent l="0" t="0" r="0" b="0"/>
              <wp:wrapNone/>
              <wp:docPr id="5" name="矩形 5"/>
              <wp:cNvGraphicFramePr/>
              <a:graphic xmlns:a="http://schemas.openxmlformats.org/drawingml/2006/main">
                <a:graphicData uri="http://schemas.microsoft.com/office/word/2010/wordprocessingShape">
                  <wps:wsp>
                    <wps:cNvSpPr/>
                    <wps:spPr>
                      <a:xfrm>
                        <a:off x="0" y="0"/>
                        <a:ext cx="56610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8pt;margin-top:47.3pt;height:0.75pt;width:445.75pt;mso-position-horizontal-relative:page;mso-position-vertical-relative:page;z-index:251662336;mso-width-relative:page;mso-height-relative:page;" fillcolor="#000000" filled="t" stroked="f" coordsize="21600,21600" o:allowincell="f" o:gfxdata="UEsDBAoAAAAAAIdO4kAAAAAAAAAAAAAAAAAEAAAAZHJzL1BLAwQUAAAACACHTuJAjLwwGtkAAAAK&#10;AQAADwAAAGRycy9kb3ducmV2LnhtbE2PzU7DMBCE70i8g7VI3KidKgltiFOpSByRaMuB3pxkSaLG&#10;62C7P/D0bE9wnNnR7Dfl6mJHcUIfBkcakpkCgdS4dqBOw/vu5WEBIkRDrRkdoYZvDLCqbm9KU7Tu&#10;TBs8bWMnuIRCYTT0MU6FlKHp0ZowcxMS3z6dtyay9J1svTlzuR3lXKlcWjMQf+jNhM89Noft0WpY&#10;Lxfrr7eUXn829R73H/Uhm3ul9f1dop5ARLzEvzBc8RkdKmaq3ZHaIEbWWc5booZlmoO4BlT6mIGo&#10;2ckTkFUp/0+ofgFQSwMEFAAAAAgAh07iQIJbCtisAQAAXQMAAA4AAABkcnMvZTJvRG9jLnhtbK1T&#10;zY7TMBC+I/EOlu80aaVWEDXdw1bLBcFKCw/gOnZiyX+acZv2aZC48RA8DuI1GDuhC8tlD5uDM3/+&#10;Zr5vku3N2Vl2UoAm+JYvFzVnysvQGd+3/MvnuzdvOcMkfCds8KrlF4X8Zvf61XaMjVqFIdhOASMQ&#10;j80YWz6kFJuqQjkoJ3ARovKU1AGcSORCX3UgRkJ3tlrV9aYaA3QRglSIFN1PST4jwnMAg9ZGqn2Q&#10;R6d8mlBBWZGIEg4mIt+VabVWMn3SGlVituXENJWTmpB9yGe124qmBxEHI+cRxHNGeMLJCeOp6RVq&#10;L5JgRzD/QTkjIWDQaSGDqyYiRRFisayfaPMwiKgKF5Ia41V0fDlY+fF0D8x0LV9z5oWjhf/6+v3n&#10;j29snbUZIzZU8hDvYfaQzEz0rMHlN1Fg56Ln5aqnOicmKbjebJb1ioAl5d6tySKQ6vFuBEzvVXAs&#10;Gy0H2lYRUZw+YJpK/5TkVhis6e6MtcWB/nBrgZ1E3mx5ZvR/yqzPxT7kaxNijlSZ18QkW4fQXUiF&#10;YwTTDzTIsiDlDKleJp6/kLzWv/2C9PhX7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LwwGtkA&#10;AAAKAQAADwAAAAAAAAABACAAAAAiAAAAZHJzL2Rvd25yZXYueG1sUEsBAhQAFAAAAAgAh07iQIJb&#10;CtisAQAAXQMAAA4AAAAAAAAAAQAgAAAAKAEAAGRycy9lMm9Eb2MueG1sUEsFBgAAAAAGAAYAWQEA&#10;AEYFA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58735"/>
    <w:multiLevelType w:val="singleLevel"/>
    <w:tmpl w:val="A0558735"/>
    <w:lvl w:ilvl="0" w:tentative="0">
      <w:start w:val="2"/>
      <w:numFmt w:val="decimal"/>
      <w:suff w:val="nothing"/>
      <w:lvlText w:val="%1、"/>
      <w:lvlJc w:val="left"/>
    </w:lvl>
  </w:abstractNum>
  <w:abstractNum w:abstractNumId="1">
    <w:nsid w:val="AEA6EA3A"/>
    <w:multiLevelType w:val="singleLevel"/>
    <w:tmpl w:val="AEA6EA3A"/>
    <w:lvl w:ilvl="0" w:tentative="0">
      <w:start w:val="1"/>
      <w:numFmt w:val="decimal"/>
      <w:suff w:val="nothing"/>
      <w:lvlText w:val="（%1）"/>
      <w:lvlJc w:val="left"/>
    </w:lvl>
  </w:abstractNum>
  <w:abstractNum w:abstractNumId="2">
    <w:nsid w:val="C0EA7CF4"/>
    <w:multiLevelType w:val="singleLevel"/>
    <w:tmpl w:val="C0EA7CF4"/>
    <w:lvl w:ilvl="0" w:tentative="0">
      <w:start w:val="1"/>
      <w:numFmt w:val="decimal"/>
      <w:suff w:val="nothing"/>
      <w:lvlText w:val="%1、"/>
      <w:lvlJc w:val="left"/>
    </w:lvl>
  </w:abstractNum>
  <w:abstractNum w:abstractNumId="3">
    <w:nsid w:val="00000002"/>
    <w:multiLevelType w:val="multilevel"/>
    <w:tmpl w:val="00000002"/>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0000000E"/>
    <w:multiLevelType w:val="multilevel"/>
    <w:tmpl w:val="0000000E"/>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8">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37BE02"/>
    <w:multiLevelType w:val="singleLevel"/>
    <w:tmpl w:val="4837BE02"/>
    <w:lvl w:ilvl="0" w:tentative="0">
      <w:start w:val="1"/>
      <w:numFmt w:val="decimal"/>
      <w:suff w:val="nothing"/>
      <w:lvlText w:val="（%1）"/>
      <w:lvlJc w:val="left"/>
    </w:lvl>
  </w:abstractNum>
  <w:abstractNum w:abstractNumId="11">
    <w:nsid w:val="49063F04"/>
    <w:multiLevelType w:val="multilevel"/>
    <w:tmpl w:val="49063F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ED5730"/>
    <w:multiLevelType w:val="singleLevel"/>
    <w:tmpl w:val="52ED5730"/>
    <w:lvl w:ilvl="0" w:tentative="0">
      <w:start w:val="1"/>
      <w:numFmt w:val="decimal"/>
      <w:suff w:val="nothing"/>
      <w:lvlText w:val="（%1）"/>
      <w:lvlJc w:val="left"/>
    </w:lvl>
  </w:abstractNum>
  <w:abstractNum w:abstractNumId="13">
    <w:nsid w:val="5F7835F1"/>
    <w:multiLevelType w:val="singleLevel"/>
    <w:tmpl w:val="5F7835F1"/>
    <w:lvl w:ilvl="0" w:tentative="0">
      <w:start w:val="6"/>
      <w:numFmt w:val="chineseCounting"/>
      <w:suff w:val="space"/>
      <w:lvlText w:val="第%1章"/>
      <w:lvlJc w:val="left"/>
      <w:rPr>
        <w:rFonts w:hint="eastAsia"/>
      </w:rPr>
    </w:lvl>
  </w:abstractNum>
  <w:abstractNum w:abstractNumId="14">
    <w:nsid w:val="78A1CB4F"/>
    <w:multiLevelType w:val="singleLevel"/>
    <w:tmpl w:val="78A1CB4F"/>
    <w:lvl w:ilvl="0" w:tentative="0">
      <w:start w:val="6"/>
      <w:numFmt w:val="chineseCounting"/>
      <w:suff w:val="nothing"/>
      <w:lvlText w:val="%1、"/>
      <w:lvlJc w:val="left"/>
      <w:pPr>
        <w:ind w:left="0"/>
      </w:pPr>
      <w:rPr>
        <w:rFonts w:hint="eastAsia"/>
        <w:b/>
        <w:bCs/>
      </w:rPr>
    </w:lvl>
  </w:abstractNum>
  <w:abstractNum w:abstractNumId="15">
    <w:nsid w:val="78F810B4"/>
    <w:multiLevelType w:val="multilevel"/>
    <w:tmpl w:val="78F810B4"/>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1002" w:hanging="576"/>
      </w:pPr>
      <w:rPr>
        <w:rFonts w:hint="eastAsia"/>
      </w:rPr>
    </w:lvl>
    <w:lvl w:ilvl="2" w:tentative="0">
      <w:start w:val="1"/>
      <w:numFmt w:val="decimal"/>
      <w:isLgl/>
      <w:lvlText w:val="%1.%2.%3"/>
      <w:lvlJc w:val="left"/>
      <w:pPr>
        <w:ind w:left="3556"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4.%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6">
    <w:nsid w:val="7BE7C7C9"/>
    <w:multiLevelType w:val="singleLevel"/>
    <w:tmpl w:val="7BE7C7C9"/>
    <w:lvl w:ilvl="0" w:tentative="0">
      <w:start w:val="1"/>
      <w:numFmt w:val="chineseCounting"/>
      <w:suff w:val="space"/>
      <w:lvlText w:val="第%1章"/>
      <w:lvlJc w:val="left"/>
      <w:pPr>
        <w:ind w:left="2905" w:leftChars="0" w:firstLine="0" w:firstLineChars="0"/>
      </w:pPr>
      <w:rPr>
        <w:rFonts w:hint="eastAsia"/>
      </w:rPr>
    </w:lvl>
  </w:abstractNum>
  <w:num w:numId="1">
    <w:abstractNumId w:val="15"/>
  </w:num>
  <w:num w:numId="2">
    <w:abstractNumId w:val="3"/>
  </w:num>
  <w:num w:numId="3">
    <w:abstractNumId w:val="16"/>
  </w:num>
  <w:num w:numId="4">
    <w:abstractNumId w:val="14"/>
  </w:num>
  <w:num w:numId="5">
    <w:abstractNumId w:val="2"/>
  </w:num>
  <w:num w:numId="6">
    <w:abstractNumId w:val="0"/>
  </w:num>
  <w:num w:numId="7">
    <w:abstractNumId w:val="11"/>
  </w:num>
  <w:num w:numId="8">
    <w:abstractNumId w:val="8"/>
  </w:num>
  <w:num w:numId="9">
    <w:abstractNumId w:val="6"/>
  </w:num>
  <w:num w:numId="10">
    <w:abstractNumId w:val="5"/>
  </w:num>
  <w:num w:numId="11">
    <w:abstractNumId w:val="7"/>
    <w:lvlOverride w:ilvl="1">
      <w:startOverride w:val="1"/>
    </w:lvlOverride>
  </w:num>
  <w:num w:numId="12">
    <w:abstractNumId w:val="9"/>
  </w:num>
  <w:num w:numId="13">
    <w:abstractNumId w:val="1"/>
  </w:num>
  <w:num w:numId="14">
    <w:abstractNumId w:val="12"/>
  </w:num>
  <w:num w:numId="15">
    <w:abstractNumId w:val="1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ODdiYjA5YjM0NDhkYjk5N2Q3MTZlM2NmMTE0OTEifQ=="/>
    <w:docVar w:name="KSO_WPS_MARK_KEY" w:val="8d207b1f-a659-4600-b641-efc8446b7893"/>
  </w:docVars>
  <w:rsids>
    <w:rsidRoot w:val="694A7391"/>
    <w:rsid w:val="04090D29"/>
    <w:rsid w:val="05C3315A"/>
    <w:rsid w:val="062C6F51"/>
    <w:rsid w:val="06CF77A9"/>
    <w:rsid w:val="06F77C6F"/>
    <w:rsid w:val="075E38C0"/>
    <w:rsid w:val="079C1648"/>
    <w:rsid w:val="084C38DA"/>
    <w:rsid w:val="0A921E49"/>
    <w:rsid w:val="0C1F363C"/>
    <w:rsid w:val="0CDC256F"/>
    <w:rsid w:val="0F2B3D05"/>
    <w:rsid w:val="10641211"/>
    <w:rsid w:val="10E741A0"/>
    <w:rsid w:val="118539B9"/>
    <w:rsid w:val="122A7A65"/>
    <w:rsid w:val="12A407C5"/>
    <w:rsid w:val="12C3110E"/>
    <w:rsid w:val="138C7281"/>
    <w:rsid w:val="14AE1D9C"/>
    <w:rsid w:val="16BF1B00"/>
    <w:rsid w:val="180E4708"/>
    <w:rsid w:val="1AEE4E22"/>
    <w:rsid w:val="1B024FE9"/>
    <w:rsid w:val="1BAA299A"/>
    <w:rsid w:val="1BD25A4D"/>
    <w:rsid w:val="1EEE5571"/>
    <w:rsid w:val="200A7EAB"/>
    <w:rsid w:val="20164539"/>
    <w:rsid w:val="222A6907"/>
    <w:rsid w:val="22997F1A"/>
    <w:rsid w:val="23140943"/>
    <w:rsid w:val="234C67A9"/>
    <w:rsid w:val="239C52BE"/>
    <w:rsid w:val="255365AC"/>
    <w:rsid w:val="263B0931"/>
    <w:rsid w:val="268169ED"/>
    <w:rsid w:val="279D5CFA"/>
    <w:rsid w:val="294F2DD3"/>
    <w:rsid w:val="295B3464"/>
    <w:rsid w:val="298E7457"/>
    <w:rsid w:val="2AEB031E"/>
    <w:rsid w:val="2AF358BF"/>
    <w:rsid w:val="2CCB6C14"/>
    <w:rsid w:val="2DC23B73"/>
    <w:rsid w:val="31200EC9"/>
    <w:rsid w:val="328F1079"/>
    <w:rsid w:val="329B03A1"/>
    <w:rsid w:val="343F797A"/>
    <w:rsid w:val="348A4CBF"/>
    <w:rsid w:val="35A82E8E"/>
    <w:rsid w:val="362F1FC2"/>
    <w:rsid w:val="380E02AA"/>
    <w:rsid w:val="39BF540B"/>
    <w:rsid w:val="3A971EE4"/>
    <w:rsid w:val="3ACD55BD"/>
    <w:rsid w:val="3B1803BC"/>
    <w:rsid w:val="3D7E738B"/>
    <w:rsid w:val="3DF338D5"/>
    <w:rsid w:val="3E6B1082"/>
    <w:rsid w:val="3FA0183A"/>
    <w:rsid w:val="42507E0F"/>
    <w:rsid w:val="43695AF4"/>
    <w:rsid w:val="43CF65CD"/>
    <w:rsid w:val="44051BDD"/>
    <w:rsid w:val="441B3709"/>
    <w:rsid w:val="44A1408B"/>
    <w:rsid w:val="4A007AA5"/>
    <w:rsid w:val="4B2874E0"/>
    <w:rsid w:val="4C9141EC"/>
    <w:rsid w:val="4D8B296D"/>
    <w:rsid w:val="4F6F19C7"/>
    <w:rsid w:val="4F717CEE"/>
    <w:rsid w:val="4F7A20A8"/>
    <w:rsid w:val="4FAF29A8"/>
    <w:rsid w:val="502B26DA"/>
    <w:rsid w:val="50EE73A9"/>
    <w:rsid w:val="565A053D"/>
    <w:rsid w:val="56C67108"/>
    <w:rsid w:val="58190D2C"/>
    <w:rsid w:val="596F60AE"/>
    <w:rsid w:val="5A911C7B"/>
    <w:rsid w:val="5AA36B2A"/>
    <w:rsid w:val="5B0B0058"/>
    <w:rsid w:val="5B436666"/>
    <w:rsid w:val="5CEB6ECE"/>
    <w:rsid w:val="5E1B7D5B"/>
    <w:rsid w:val="5F381638"/>
    <w:rsid w:val="5F5741F8"/>
    <w:rsid w:val="606B762E"/>
    <w:rsid w:val="607E12CC"/>
    <w:rsid w:val="62F85366"/>
    <w:rsid w:val="64760C38"/>
    <w:rsid w:val="659B15ED"/>
    <w:rsid w:val="689A2208"/>
    <w:rsid w:val="694A7391"/>
    <w:rsid w:val="694B7AB0"/>
    <w:rsid w:val="6A1929BA"/>
    <w:rsid w:val="6ADD057C"/>
    <w:rsid w:val="6B81118F"/>
    <w:rsid w:val="6C561345"/>
    <w:rsid w:val="6C6608C4"/>
    <w:rsid w:val="6DE95BB0"/>
    <w:rsid w:val="6E3B25AB"/>
    <w:rsid w:val="6F6347F5"/>
    <w:rsid w:val="70250506"/>
    <w:rsid w:val="707F0C60"/>
    <w:rsid w:val="713F52B8"/>
    <w:rsid w:val="71B66B18"/>
    <w:rsid w:val="72780225"/>
    <w:rsid w:val="736A119F"/>
    <w:rsid w:val="74631310"/>
    <w:rsid w:val="74673E70"/>
    <w:rsid w:val="74E334EB"/>
    <w:rsid w:val="75DE772A"/>
    <w:rsid w:val="76C41554"/>
    <w:rsid w:val="78154BDF"/>
    <w:rsid w:val="781727E9"/>
    <w:rsid w:val="797B7DBC"/>
    <w:rsid w:val="79BA28AB"/>
    <w:rsid w:val="79C96913"/>
    <w:rsid w:val="7A47723D"/>
    <w:rsid w:val="7A48677B"/>
    <w:rsid w:val="7B3C40D0"/>
    <w:rsid w:val="7C12239B"/>
    <w:rsid w:val="7D4D6E5B"/>
    <w:rsid w:val="7ED21DA0"/>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autoRedefine/>
    <w:qFormat/>
    <w:uiPriority w:val="0"/>
    <w:pPr>
      <w:keepNext/>
      <w:jc w:val="center"/>
      <w:outlineLvl w:val="0"/>
    </w:pPr>
    <w:rPr>
      <w:rFonts w:ascii="Times New Roman" w:hAnsi="Times New Roman"/>
      <w:b/>
      <w:bCs/>
      <w:kern w:val="0"/>
      <w:sz w:val="24"/>
      <w:szCs w:val="20"/>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qFormat/>
    <w:uiPriority w:val="0"/>
    <w:pPr>
      <w:keepNext/>
      <w:keepLines/>
      <w:widowControl w:val="0"/>
      <w:numPr>
        <w:ilvl w:val="3"/>
        <w:numId w:val="1"/>
      </w:numPr>
      <w:adjustRightInd/>
      <w:snapToGrid/>
      <w:spacing w:before="280" w:after="290" w:line="376" w:lineRule="auto"/>
      <w:jc w:val="both"/>
      <w:outlineLvl w:val="3"/>
    </w:pPr>
    <w:rPr>
      <w:rFonts w:ascii="Calibri Light" w:hAnsi="Calibri Light" w:cs="Times New Roman"/>
      <w:b/>
      <w:bCs/>
      <w:kern w:val="2"/>
      <w:sz w:val="24"/>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unhideWhenUsed/>
    <w:qFormat/>
    <w:uiPriority w:val="99"/>
    <w:pPr>
      <w:ind w:firstLine="420" w:firstLineChars="200"/>
    </w:pPr>
  </w:style>
  <w:style w:type="paragraph" w:styleId="7">
    <w:name w:val="toa heading"/>
    <w:basedOn w:val="1"/>
    <w:next w:val="1"/>
    <w:autoRedefine/>
    <w:qFormat/>
    <w:uiPriority w:val="0"/>
    <w:pPr>
      <w:spacing w:before="120"/>
    </w:pPr>
    <w:rPr>
      <w:rFonts w:ascii="Arial" w:hAnsi="Arial"/>
      <w:sz w:val="24"/>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numPr>
        <w:ilvl w:val="0"/>
        <w:numId w:val="2"/>
      </w:numPr>
      <w:tabs>
        <w:tab w:val="clear" w:pos="780"/>
      </w:tabs>
      <w:ind w:left="0" w:firstLine="0"/>
    </w:pPr>
    <w:rPr>
      <w:rFonts w:ascii="黑体" w:hAnsi="Times New Roman" w:eastAsia="黑体" w:cs="Times New Roman"/>
      <w:sz w:val="22"/>
    </w:rPr>
  </w:style>
  <w:style w:type="paragraph" w:styleId="10">
    <w:name w:val="Body Text First Indent"/>
    <w:basedOn w:val="9"/>
    <w:autoRedefine/>
    <w:unhideWhenUsed/>
    <w:qFormat/>
    <w:uiPriority w:val="99"/>
    <w:pPr>
      <w:tabs>
        <w:tab w:val="left" w:pos="780"/>
      </w:tabs>
      <w:ind w:firstLine="420" w:firstLineChars="100"/>
    </w:pPr>
  </w:style>
  <w:style w:type="paragraph" w:styleId="11">
    <w:name w:val="Body Text Indent"/>
    <w:basedOn w:val="1"/>
    <w:next w:val="12"/>
    <w:autoRedefine/>
    <w:qFormat/>
    <w:uiPriority w:val="0"/>
    <w:pPr>
      <w:ind w:firstLine="700" w:firstLineChars="250"/>
    </w:pPr>
    <w:rPr>
      <w:rFonts w:ascii="楷体_GB2312" w:hAnsi="宋体" w:eastAsia="楷体_GB2312"/>
      <w:sz w:val="28"/>
    </w:rPr>
  </w:style>
  <w:style w:type="paragraph" w:styleId="12">
    <w:name w:val="Body Text First Indent 2"/>
    <w:basedOn w:val="11"/>
    <w:next w:val="10"/>
    <w:autoRedefine/>
    <w:qFormat/>
    <w:uiPriority w:val="99"/>
    <w:pPr>
      <w:tabs>
        <w:tab w:val="left" w:pos="0"/>
        <w:tab w:val="left" w:pos="993"/>
        <w:tab w:val="left" w:pos="1134"/>
      </w:tabs>
      <w:ind w:firstLine="420" w:firstLineChars="200"/>
    </w:pPr>
  </w:style>
  <w:style w:type="paragraph" w:styleId="13">
    <w:name w:val="List 2"/>
    <w:basedOn w:val="1"/>
    <w:next w:val="14"/>
    <w:autoRedefine/>
    <w:qFormat/>
    <w:uiPriority w:val="0"/>
    <w:pPr>
      <w:ind w:left="100" w:leftChars="200" w:hanging="200" w:hangingChars="200"/>
    </w:pPr>
  </w:style>
  <w:style w:type="paragraph" w:styleId="14">
    <w:name w:val="Plain Text"/>
    <w:basedOn w:val="1"/>
    <w:autoRedefine/>
    <w:qFormat/>
    <w:uiPriority w:val="0"/>
    <w:rPr>
      <w:rFonts w:ascii="宋体" w:hAnsi="Courier New" w:cs="Courier New"/>
      <w:szCs w:val="21"/>
    </w:rPr>
  </w:style>
  <w:style w:type="paragraph" w:styleId="15">
    <w:name w:val="Body Text Indent 2"/>
    <w:basedOn w:val="1"/>
    <w:autoRedefine/>
    <w:qFormat/>
    <w:uiPriority w:val="0"/>
    <w:pPr>
      <w:ind w:firstLine="480"/>
    </w:pPr>
    <w:rPr>
      <w:rFonts w:ascii="宋体" w:hAnsi="宋体"/>
      <w:sz w:val="30"/>
      <w:szCs w:val="24"/>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8">
    <w:name w:val="toc 1"/>
    <w:basedOn w:val="1"/>
    <w:next w:val="1"/>
    <w:autoRedefine/>
    <w:qFormat/>
    <w:uiPriority w:val="39"/>
    <w:pPr>
      <w:spacing w:before="156" w:beforeLines="50"/>
    </w:pPr>
    <w:rPr>
      <w:rFonts w:ascii="仿宋_GB2312" w:eastAsia="仿宋_GB2312"/>
      <w:sz w:val="24"/>
    </w:rPr>
  </w:style>
  <w:style w:type="paragraph" w:styleId="19">
    <w:name w:val="List"/>
    <w:basedOn w:val="1"/>
    <w:autoRedefine/>
    <w:semiHidden/>
    <w:qFormat/>
    <w:uiPriority w:val="0"/>
    <w:pPr>
      <w:ind w:left="200" w:hanging="200" w:hangingChars="200"/>
    </w:pPr>
  </w:style>
  <w:style w:type="paragraph" w:styleId="20">
    <w:name w:val="footnote text"/>
    <w:basedOn w:val="1"/>
    <w:autoRedefine/>
    <w:qFormat/>
    <w:uiPriority w:val="0"/>
    <w:pPr>
      <w:snapToGrid w:val="0"/>
      <w:jc w:val="left"/>
    </w:pPr>
    <w:rPr>
      <w:sz w:val="18"/>
    </w:rPr>
  </w:style>
  <w:style w:type="paragraph" w:styleId="21">
    <w:name w:val="toc 2"/>
    <w:basedOn w:val="1"/>
    <w:next w:val="1"/>
    <w:autoRedefine/>
    <w:qFormat/>
    <w:uiPriority w:val="0"/>
    <w:pPr>
      <w:ind w:left="420" w:leftChars="200"/>
    </w:pPr>
  </w:style>
  <w:style w:type="paragraph" w:styleId="22">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szCs w:val="24"/>
    </w:rPr>
  </w:style>
  <w:style w:type="character" w:styleId="25">
    <w:name w:val="page number"/>
    <w:basedOn w:val="24"/>
    <w:autoRedefine/>
    <w:qFormat/>
    <w:uiPriority w:val="0"/>
    <w:rPr>
      <w:rFonts w:ascii="Times New Roman" w:hAnsi="Times New Roman" w:eastAsia="宋体" w:cs="Times New Roman"/>
    </w:rPr>
  </w:style>
  <w:style w:type="character" w:styleId="26">
    <w:name w:val="Hyperlink"/>
    <w:basedOn w:val="24"/>
    <w:autoRedefine/>
    <w:qFormat/>
    <w:uiPriority w:val="99"/>
    <w:rPr>
      <w:color w:val="136EC2"/>
      <w:u w:val="single"/>
    </w:rPr>
  </w:style>
  <w:style w:type="character" w:styleId="27">
    <w:name w:val="footnote reference"/>
    <w:basedOn w:val="24"/>
    <w:autoRedefine/>
    <w:unhideWhenUsed/>
    <w:qFormat/>
    <w:uiPriority w:val="99"/>
    <w:rPr>
      <w:vertAlign w:val="superscript"/>
    </w:rPr>
  </w:style>
  <w:style w:type="paragraph" w:customStyle="1" w:styleId="28">
    <w:name w:val="Default"/>
    <w:autoRedefine/>
    <w:qFormat/>
    <w:uiPriority w:val="99"/>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29">
    <w:name w:val="段"/>
    <w:next w:val="1"/>
    <w:autoRedefine/>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30">
    <w:name w:val="缺省文本"/>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
    <w:name w:val="标题 2_0"/>
    <w:basedOn w:val="33"/>
    <w:next w:val="34"/>
    <w:link w:val="36"/>
    <w:autoRedefine/>
    <w:qFormat/>
    <w:uiPriority w:val="0"/>
    <w:pPr>
      <w:spacing w:line="360" w:lineRule="auto"/>
      <w:outlineLvl w:val="1"/>
    </w:pPr>
    <w:rPr>
      <w:rFonts w:ascii="Arial" w:hAnsi="Arial"/>
      <w:b w:val="0"/>
      <w:bCs w:val="0"/>
      <w:kern w:val="0"/>
      <w:sz w:val="24"/>
      <w:szCs w:val="20"/>
    </w:rPr>
  </w:style>
  <w:style w:type="paragraph" w:customStyle="1" w:styleId="33">
    <w:name w:val="标题 3_0"/>
    <w:basedOn w:val="34"/>
    <w:next w:val="34"/>
    <w:autoRedefine/>
    <w:unhideWhenUsed/>
    <w:qFormat/>
    <w:uiPriority w:val="9"/>
    <w:pPr>
      <w:keepNext/>
      <w:keepLines/>
      <w:spacing w:before="260" w:after="260" w:line="416" w:lineRule="auto"/>
      <w:outlineLvl w:val="2"/>
    </w:pPr>
    <w:rPr>
      <w:b/>
      <w:bCs/>
      <w:sz w:val="32"/>
      <w:szCs w:val="32"/>
    </w:rPr>
  </w:style>
  <w:style w:type="paragraph" w:customStyle="1" w:styleId="3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_2"/>
    <w:basedOn w:val="34"/>
    <w:autoRedefine/>
    <w:qFormat/>
    <w:uiPriority w:val="0"/>
    <w:rPr>
      <w:rFonts w:ascii="Calibri" w:hAnsi="Calibri" w:cs="宋体"/>
      <w:szCs w:val="21"/>
    </w:rPr>
  </w:style>
  <w:style w:type="character" w:customStyle="1" w:styleId="36">
    <w:name w:val="标题 2 Char_0"/>
    <w:link w:val="32"/>
    <w:autoRedefine/>
    <w:qFormat/>
    <w:uiPriority w:val="0"/>
    <w:rPr>
      <w:rFonts w:ascii="Arial" w:hAnsi="Arial"/>
      <w:kern w:val="0"/>
      <w:sz w:val="24"/>
      <w:szCs w:val="20"/>
    </w:rPr>
  </w:style>
  <w:style w:type="paragraph" w:customStyle="1" w:styleId="37">
    <w:name w:val="正文1"/>
    <w:basedOn w:val="1"/>
    <w:autoRedefine/>
    <w:qFormat/>
    <w:uiPriority w:val="0"/>
    <w:pPr>
      <w:widowControl w:val="0"/>
      <w:adjustRightInd/>
      <w:snapToGrid/>
      <w:spacing w:beforeLines="50" w:afterLines="50" w:line="360" w:lineRule="auto"/>
      <w:ind w:firstLine="200" w:firstLineChars="200"/>
    </w:pPr>
    <w:rPr>
      <w:rFonts w:ascii="Arial" w:hAnsi="Arial" w:cs="Arial"/>
      <w:sz w:val="28"/>
      <w:szCs w:val="21"/>
    </w:rPr>
  </w:style>
  <w:style w:type="paragraph" w:customStyle="1" w:styleId="38">
    <w:name w:val="纯文本_0"/>
    <w:basedOn w:val="34"/>
    <w:autoRedefine/>
    <w:qFormat/>
    <w:uiPriority w:val="0"/>
    <w:rPr>
      <w:rFonts w:ascii="宋体" w:hAnsi="Courier New" w:eastAsia="宋体" w:cs="Courier New"/>
      <w:szCs w:val="21"/>
    </w:rPr>
  </w:style>
  <w:style w:type="character" w:customStyle="1" w:styleId="39">
    <w:name w:val="标题 1 Char"/>
    <w:link w:val="2"/>
    <w:autoRedefine/>
    <w:qFormat/>
    <w:uiPriority w:val="0"/>
    <w:rPr>
      <w:rFonts w:ascii="Times New Roman" w:hAnsi="Times New Roman"/>
      <w:b/>
      <w:bCs/>
      <w:kern w:val="0"/>
      <w:sz w:val="24"/>
      <w:szCs w:val="20"/>
    </w:rPr>
  </w:style>
  <w:style w:type="paragraph" w:styleId="40">
    <w:name w:val="List Paragraph"/>
    <w:basedOn w:val="1"/>
    <w:autoRedefine/>
    <w:qFormat/>
    <w:uiPriority w:val="34"/>
    <w:pPr>
      <w:ind w:firstLine="420" w:firstLineChars="200"/>
    </w:pPr>
  </w:style>
  <w:style w:type="paragraph" w:customStyle="1" w:styleId="41">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Normal"/>
    <w:autoRedefine/>
    <w:qFormat/>
    <w:uiPriority w:val="0"/>
    <w:rPr>
      <w:rFonts w:ascii="Times New Roman" w:hAnsi="Times New Roman" w:eastAsia="Times New Roman" w:cs="Times New Roman"/>
      <w:sz w:val="24"/>
      <w:szCs w:val="24"/>
      <w:lang w:val="en-US" w:eastAsia="zh-CN" w:bidi="ar-SA"/>
    </w:rPr>
  </w:style>
  <w:style w:type="paragraph" w:customStyle="1" w:styleId="43">
    <w:name w:val="正文_1_1"/>
    <w:basedOn w:val="44"/>
    <w:autoRedefine/>
    <w:qFormat/>
    <w:uiPriority w:val="0"/>
    <w:rPr>
      <w:rFonts w:ascii="Calibri" w:hAnsi="Calibri" w:cs="宋体"/>
      <w:szCs w:val="21"/>
    </w:rPr>
  </w:style>
  <w:style w:type="paragraph" w:customStyle="1" w:styleId="4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文字缩进"/>
    <w:basedOn w:val="1"/>
    <w:next w:val="1"/>
    <w:autoRedefine/>
    <w:qFormat/>
    <w:uiPriority w:val="0"/>
    <w:pPr>
      <w:spacing w:line="400" w:lineRule="atLeast"/>
      <w:ind w:left="210" w:firstLine="210"/>
      <w:jc w:val="both"/>
    </w:pPr>
    <w:rPr>
      <w:rFonts w:ascii="宋体" w:hAnsi="Times New Roman" w:eastAsia="宋体" w:cs="Times New Roman"/>
      <w:color w:val="000000"/>
      <w:sz w:val="21"/>
    </w:rPr>
  </w:style>
  <w:style w:type="paragraph" w:customStyle="1" w:styleId="4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0"/>
    <w:autoRedefine/>
    <w:qFormat/>
    <w:uiPriority w:val="0"/>
    <w:rPr>
      <w:rFonts w:ascii="黑体" w:hAnsi="黑体" w:eastAsia="黑体" w:cs="Times New Roman"/>
      <w:b/>
      <w:sz w:val="32"/>
      <w:szCs w:val="24"/>
      <w:lang w:val="en-US" w:eastAsia="zh-CN" w:bidi="ar-SA"/>
    </w:rPr>
  </w:style>
  <w:style w:type="paragraph" w:customStyle="1" w:styleId="48">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1_0"/>
    <w:autoRedefine/>
    <w:qFormat/>
    <w:uiPriority w:val="0"/>
    <w:rPr>
      <w:rFonts w:ascii="黑体" w:hAnsi="黑体" w:eastAsia="黑体" w:cs="Times New Roman"/>
      <w:b/>
      <w:sz w:val="32"/>
      <w:szCs w:val="24"/>
      <w:lang w:val="en-US" w:eastAsia="zh-CN" w:bidi="ar-SA"/>
    </w:rPr>
  </w:style>
  <w:style w:type="paragraph" w:customStyle="1" w:styleId="5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日期_0"/>
    <w:basedOn w:val="48"/>
    <w:next w:val="52"/>
    <w:autoRedefine/>
    <w:qFormat/>
    <w:uiPriority w:val="0"/>
    <w:pPr>
      <w:adjustRightInd w:val="0"/>
      <w:spacing w:line="360" w:lineRule="atLeast"/>
    </w:pPr>
    <w:rPr>
      <w:rFonts w:ascii="宋体"/>
      <w:kern w:val="0"/>
      <w:sz w:val="24"/>
      <w:szCs w:val="20"/>
    </w:rPr>
  </w:style>
  <w:style w:type="paragraph" w:customStyle="1" w:styleId="5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0_0_1"/>
    <w:autoRedefine/>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54">
    <w:name w:val="Normal_2"/>
    <w:autoRedefine/>
    <w:qFormat/>
    <w:uiPriority w:val="0"/>
    <w:rPr>
      <w:rFonts w:ascii="黑体" w:hAnsi="黑体" w:eastAsia="黑体" w:cs="Times New Roman"/>
      <w:b/>
      <w:sz w:val="32"/>
      <w:szCs w:val="24"/>
      <w:lang w:val="en-US" w:eastAsia="zh-CN" w:bidi="ar-SA"/>
    </w:rPr>
  </w:style>
  <w:style w:type="paragraph" w:customStyle="1" w:styleId="55">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0_0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7">
    <w:name w:val="纯文本_1"/>
    <w:basedOn w:val="55"/>
    <w:autoRedefine/>
    <w:unhideWhenUsed/>
    <w:qFormat/>
    <w:uiPriority w:val="0"/>
    <w:rPr>
      <w:rFonts w:ascii="宋体" w:hAnsi="Courier New" w:eastAsia="宋体" w:cs="Courier New"/>
      <w:szCs w:val="21"/>
    </w:rPr>
  </w:style>
  <w:style w:type="paragraph" w:customStyle="1" w:styleId="58">
    <w:name w:val="Normal_3"/>
    <w:autoRedefine/>
    <w:qFormat/>
    <w:uiPriority w:val="0"/>
    <w:rPr>
      <w:rFonts w:ascii="黑体" w:hAnsi="黑体" w:eastAsia="黑体" w:cs="Times New Roman"/>
      <w:b/>
      <w:sz w:val="32"/>
      <w:szCs w:val="24"/>
      <w:lang w:val="en-US" w:eastAsia="zh-CN" w:bidi="ar-SA"/>
    </w:rPr>
  </w:style>
  <w:style w:type="paragraph" w:customStyle="1" w:styleId="59">
    <w:name w:val="Normal_4"/>
    <w:autoRedefine/>
    <w:qFormat/>
    <w:uiPriority w:val="0"/>
    <w:rPr>
      <w:rFonts w:ascii="黑体" w:hAnsi="黑体" w:eastAsia="黑体" w:cs="Times New Roman"/>
      <w:b/>
      <w:sz w:val="32"/>
      <w:szCs w:val="24"/>
      <w:lang w:val="en-US" w:eastAsia="zh-CN" w:bidi="ar-SA"/>
    </w:rPr>
  </w:style>
  <w:style w:type="paragraph" w:customStyle="1" w:styleId="60">
    <w:name w:val="Normal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Normal_8"/>
    <w:autoRedefine/>
    <w:qFormat/>
    <w:uiPriority w:val="0"/>
    <w:rPr>
      <w:rFonts w:ascii="黑体" w:hAnsi="黑体" w:eastAsia="黑体" w:cs="Times New Roman"/>
      <w:b/>
      <w:sz w:val="32"/>
      <w:szCs w:val="24"/>
      <w:lang w:val="en-US" w:eastAsia="zh-CN" w:bidi="ar-SA"/>
    </w:rPr>
  </w:style>
  <w:style w:type="paragraph" w:customStyle="1" w:styleId="62">
    <w:name w:val="标题 3_2_0"/>
    <w:basedOn w:val="63"/>
    <w:next w:val="63"/>
    <w:autoRedefine/>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63">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Normal_9"/>
    <w:autoRedefine/>
    <w:qFormat/>
    <w:uiPriority w:val="0"/>
    <w:rPr>
      <w:rFonts w:ascii="黑体" w:hAnsi="黑体" w:eastAsia="黑体" w:cs="Times New Roman"/>
      <w:b/>
      <w:sz w:val="32"/>
      <w:szCs w:val="24"/>
      <w:lang w:val="en-US" w:eastAsia="zh-CN" w:bidi="ar-SA"/>
    </w:rPr>
  </w:style>
  <w:style w:type="paragraph" w:customStyle="1" w:styleId="6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Normal_10"/>
    <w:autoRedefine/>
    <w:qFormat/>
    <w:uiPriority w:val="0"/>
    <w:rPr>
      <w:rFonts w:ascii="黑体" w:hAnsi="黑体" w:eastAsia="黑体" w:cs="Times New Roman"/>
      <w:b/>
      <w:sz w:val="32"/>
      <w:szCs w:val="24"/>
      <w:lang w:val="en-US" w:eastAsia="zh-CN" w:bidi="ar-SA"/>
    </w:rPr>
  </w:style>
  <w:style w:type="paragraph" w:customStyle="1" w:styleId="67">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文本缩进_0"/>
    <w:basedOn w:val="69"/>
    <w:autoRedefine/>
    <w:qFormat/>
    <w:uiPriority w:val="0"/>
    <w:pPr>
      <w:spacing w:before="100" w:beforeAutospacing="1" w:after="120"/>
      <w:ind w:left="420" w:leftChars="200"/>
    </w:pPr>
    <w:rPr>
      <w:rFonts w:ascii="Calibri" w:hAnsi="Calibri" w:cs="宋体"/>
    </w:rPr>
  </w:style>
  <w:style w:type="paragraph" w:customStyle="1" w:styleId="69">
    <w:name w:val="正文_1_0"/>
    <w:basedOn w:val="34"/>
    <w:next w:val="70"/>
    <w:autoRedefine/>
    <w:qFormat/>
    <w:uiPriority w:val="0"/>
    <w:rPr>
      <w:rFonts w:ascii="Calibri" w:hAnsi="Calibri"/>
      <w:szCs w:val="21"/>
    </w:rPr>
  </w:style>
  <w:style w:type="paragraph" w:customStyle="1" w:styleId="70">
    <w:name w:val="正文首行缩进1"/>
    <w:basedOn w:val="71"/>
    <w:autoRedefine/>
    <w:unhideWhenUsed/>
    <w:qFormat/>
    <w:uiPriority w:val="99"/>
    <w:pPr>
      <w:ind w:firstLine="420" w:firstLineChars="100"/>
    </w:pPr>
    <w:rPr>
      <w:szCs w:val="22"/>
    </w:rPr>
  </w:style>
  <w:style w:type="paragraph" w:customStyle="1" w:styleId="71">
    <w:name w:val="正文文本_0_0"/>
    <w:basedOn w:val="72"/>
    <w:autoRedefine/>
    <w:qFormat/>
    <w:uiPriority w:val="0"/>
    <w:pPr>
      <w:spacing w:after="120"/>
    </w:pPr>
    <w:rPr>
      <w:rFonts w:ascii="Calibri" w:hAnsi="Calibri"/>
      <w:kern w:val="0"/>
      <w:sz w:val="20"/>
    </w:rPr>
  </w:style>
  <w:style w:type="paragraph" w:customStyle="1" w:styleId="72">
    <w:name w:val="正文_1_0_0_0"/>
    <w:basedOn w:val="73"/>
    <w:autoRedefine/>
    <w:qFormat/>
    <w:uiPriority w:val="0"/>
    <w:pPr>
      <w:widowControl w:val="0"/>
      <w:jc w:val="both"/>
    </w:pPr>
    <w:rPr>
      <w:rFonts w:ascii="Calibri" w:hAnsi="Calibri"/>
      <w:kern w:val="2"/>
      <w:sz w:val="28"/>
      <w:szCs w:val="22"/>
      <w:lang w:val="en-US" w:eastAsia="zh-CN" w:bidi="ar-SA"/>
    </w:rPr>
  </w:style>
  <w:style w:type="paragraph" w:customStyle="1" w:styleId="73">
    <w:name w:val="正文_2_0_0_0"/>
    <w:basedOn w:val="74"/>
    <w:next w:val="75"/>
    <w:autoRedefine/>
    <w:qFormat/>
    <w:uiPriority w:val="0"/>
    <w:rPr>
      <w:rFonts w:ascii="Times New Roman" w:hAnsi="Times New Roman" w:cs="Times New Roman"/>
    </w:rPr>
  </w:style>
  <w:style w:type="paragraph" w:customStyle="1" w:styleId="74">
    <w:name w:val="正文_2_0_0"/>
    <w:basedOn w:val="48"/>
    <w:autoRedefine/>
    <w:qFormat/>
    <w:uiPriority w:val="0"/>
    <w:rPr>
      <w:rFonts w:ascii="Calibri" w:hAnsi="Calibri" w:cs="宋体"/>
      <w:szCs w:val="21"/>
    </w:rPr>
  </w:style>
  <w:style w:type="paragraph" w:customStyle="1" w:styleId="75">
    <w:name w:val="引文目录标题_0_0_0"/>
    <w:basedOn w:val="76"/>
    <w:next w:val="76"/>
    <w:autoRedefine/>
    <w:qFormat/>
    <w:uiPriority w:val="0"/>
    <w:pPr>
      <w:widowControl w:val="0"/>
      <w:adjustRightInd/>
      <w:snapToGrid/>
      <w:spacing w:before="120" w:after="0"/>
      <w:jc w:val="both"/>
    </w:pPr>
    <w:rPr>
      <w:rFonts w:ascii="Cambria" w:hAnsi="Cambria"/>
      <w:sz w:val="28"/>
    </w:rPr>
  </w:style>
  <w:style w:type="paragraph" w:customStyle="1" w:styleId="76">
    <w:name w:val="正文_4_0"/>
    <w:next w:val="7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文本_2_0"/>
    <w:basedOn w:val="76"/>
    <w:autoRedefine/>
    <w:unhideWhenUsed/>
    <w:qFormat/>
    <w:uiPriority w:val="0"/>
    <w:pPr>
      <w:spacing w:after="120"/>
    </w:pPr>
  </w:style>
  <w:style w:type="paragraph" w:customStyle="1" w:styleId="78">
    <w:name w:val="Normal_13"/>
    <w:autoRedefine/>
    <w:qFormat/>
    <w:uiPriority w:val="0"/>
    <w:rPr>
      <w:rFonts w:ascii="黑体" w:hAnsi="黑体" w:eastAsia="黑体" w:cs="Times New Roman"/>
      <w:b/>
      <w:sz w:val="32"/>
      <w:szCs w:val="24"/>
      <w:lang w:val="en-US" w:eastAsia="zh-CN" w:bidi="ar-SA"/>
    </w:rPr>
  </w:style>
  <w:style w:type="paragraph" w:customStyle="1" w:styleId="79">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2"/>
    <w:next w:val="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文本_1"/>
    <w:basedOn w:val="69"/>
    <w:autoRedefine/>
    <w:unhideWhenUsed/>
    <w:qFormat/>
    <w:uiPriority w:val="0"/>
    <w:pPr>
      <w:spacing w:after="120"/>
    </w:pPr>
    <w:rPr>
      <w:rFonts w:ascii="Calibri" w:hAnsi="Calibri" w:eastAsia="宋体" w:cs="Times New Roman"/>
    </w:rPr>
  </w:style>
  <w:style w:type="table" w:customStyle="1" w:styleId="82">
    <w:name w:val="Table Normal"/>
    <w:autoRedefine/>
    <w:semiHidden/>
    <w:unhideWhenUsed/>
    <w:qFormat/>
    <w:uiPriority w:val="0"/>
    <w:tblPr>
      <w:tblCellMar>
        <w:top w:w="0" w:type="dxa"/>
        <w:left w:w="0" w:type="dxa"/>
        <w:bottom w:w="0" w:type="dxa"/>
        <w:right w:w="0" w:type="dxa"/>
      </w:tblCellMar>
    </w:tblPr>
  </w:style>
  <w:style w:type="character" w:customStyle="1" w:styleId="83">
    <w:name w:val="font41"/>
    <w:basedOn w:val="24"/>
    <w:autoRedefine/>
    <w:qFormat/>
    <w:uiPriority w:val="0"/>
    <w:rPr>
      <w:rFonts w:hint="eastAsia" w:ascii="宋体" w:hAnsi="宋体" w:eastAsia="宋体" w:cs="宋体"/>
      <w:color w:val="000000"/>
      <w:sz w:val="21"/>
      <w:szCs w:val="21"/>
      <w:u w:val="none"/>
    </w:rPr>
  </w:style>
  <w:style w:type="character" w:customStyle="1" w:styleId="84">
    <w:name w:val="font51"/>
    <w:basedOn w:val="24"/>
    <w:autoRedefine/>
    <w:qFormat/>
    <w:uiPriority w:val="0"/>
    <w:rPr>
      <w:rFonts w:hint="eastAsia" w:ascii="宋体" w:hAnsi="宋体" w:eastAsia="宋体" w:cs="宋体"/>
      <w:color w:val="000000"/>
      <w:sz w:val="24"/>
      <w:szCs w:val="24"/>
      <w:u w:val="single"/>
    </w:rPr>
  </w:style>
  <w:style w:type="paragraph" w:customStyle="1" w:styleId="85">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47164</Words>
  <Characters>50889</Characters>
  <Lines>0</Lines>
  <Paragraphs>0</Paragraphs>
  <TotalTime>10</TotalTime>
  <ScaleCrop>false</ScaleCrop>
  <LinksUpToDate>false</LinksUpToDate>
  <CharactersWithSpaces>55316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2023-03-17T12:01:00Z</dcterms:created>
  <dc:creator>A乐不思蜀❄️</dc:creator>
  <cp:lastModifiedBy>A乐不思蜀❄️</cp:lastModifiedBy>
  <cp:lastPrinted>2024-03-19T10:07:00Z</cp:lastPrinted>
  <dcterms:modified xsi:type="dcterms:W3CDTF">2024-04-01T03:50:57Z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0570320AD95441CFB3C8CBB9B0C4451C</vt:lpwstr>
  </property>
</Properties>
</file>