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color w:val="auto"/>
          <w:sz w:val="28"/>
          <w:lang w:val="en-US" w:eastAsia="zh-CN"/>
        </w:rPr>
      </w:pPr>
      <w:r>
        <w:rPr>
          <w:rFonts w:hint="eastAsia" w:ascii="宋体" w:hAnsi="宋体"/>
          <w:b/>
          <w:color w:val="auto"/>
          <w:sz w:val="28"/>
          <w:lang w:val="en-US" w:eastAsia="zh-CN"/>
        </w:rPr>
        <w:t>额敏县玉什喀拉苏镇农村排污管网及配套设施以工代赈项目</w:t>
      </w:r>
    </w:p>
    <w:p>
      <w:pPr>
        <w:spacing w:line="360" w:lineRule="auto"/>
        <w:jc w:val="center"/>
        <w:rPr>
          <w:rFonts w:ascii="宋体"/>
          <w:b/>
          <w:color w:val="auto"/>
          <w:sz w:val="24"/>
        </w:rPr>
      </w:pPr>
      <w:r>
        <w:rPr>
          <w:rFonts w:hint="eastAsia" w:ascii="宋体" w:hAnsi="宋体"/>
          <w:b/>
          <w:color w:val="auto"/>
          <w:sz w:val="28"/>
        </w:rPr>
        <w:t>编制说明</w:t>
      </w:r>
    </w:p>
    <w:p>
      <w:pPr>
        <w:keepNext w:val="0"/>
        <w:keepLines w:val="0"/>
        <w:pageBreakBefore w:val="0"/>
        <w:kinsoku/>
        <w:wordWrap/>
        <w:overflowPunct/>
        <w:topLinePunct w:val="0"/>
        <w:autoSpaceDE/>
        <w:autoSpaceDN/>
        <w:bidi w:val="0"/>
        <w:adjustRightInd/>
        <w:snapToGrid/>
        <w:spacing w:line="520" w:lineRule="exact"/>
        <w:ind w:firstLine="422" w:firstLineChars="200"/>
        <w:textAlignment w:val="auto"/>
        <w:rPr>
          <w:rFonts w:hint="eastAsia" w:ascii="宋体" w:hAnsi="宋体"/>
          <w:b/>
          <w:bCs/>
          <w:color w:val="auto"/>
          <w:szCs w:val="21"/>
        </w:rPr>
      </w:pPr>
    </w:p>
    <w:p>
      <w:pPr>
        <w:keepNext w:val="0"/>
        <w:keepLines w:val="0"/>
        <w:pageBreakBefore w:val="0"/>
        <w:kinsoku/>
        <w:wordWrap/>
        <w:overflowPunct/>
        <w:topLinePunct w:val="0"/>
        <w:autoSpaceDE/>
        <w:autoSpaceDN/>
        <w:bidi w:val="0"/>
        <w:adjustRightInd/>
        <w:snapToGrid/>
        <w:spacing w:line="520" w:lineRule="exact"/>
        <w:ind w:firstLine="422" w:firstLineChars="200"/>
        <w:textAlignment w:val="auto"/>
        <w:rPr>
          <w:rFonts w:ascii="宋体"/>
          <w:b/>
          <w:bCs/>
          <w:color w:val="auto"/>
          <w:szCs w:val="21"/>
          <w:highlight w:val="none"/>
        </w:rPr>
      </w:pPr>
      <w:r>
        <w:rPr>
          <w:rFonts w:hint="eastAsia" w:ascii="宋体" w:hAnsi="宋体"/>
          <w:b/>
          <w:bCs/>
          <w:color w:val="auto"/>
          <w:szCs w:val="21"/>
          <w:highlight w:val="none"/>
        </w:rPr>
        <w:t>一、工程概况</w:t>
      </w:r>
    </w:p>
    <w:p>
      <w:pPr>
        <w:keepNext w:val="0"/>
        <w:keepLines w:val="0"/>
        <w:pageBreakBefore w:val="0"/>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color w:val="auto"/>
          <w:szCs w:val="21"/>
          <w:highlight w:val="none"/>
          <w:lang w:val="en-US" w:eastAsia="zh-CN"/>
        </w:rPr>
      </w:pPr>
      <w:r>
        <w:rPr>
          <w:rFonts w:hint="eastAsia" w:ascii="宋体" w:hAnsi="宋体"/>
          <w:color w:val="auto"/>
          <w:szCs w:val="21"/>
          <w:highlight w:val="none"/>
        </w:rPr>
        <w:t>本工程位于</w:t>
      </w:r>
      <w:r>
        <w:rPr>
          <w:rFonts w:hint="eastAsia" w:ascii="宋体" w:hAnsi="宋体"/>
          <w:color w:val="auto"/>
          <w:szCs w:val="21"/>
          <w:highlight w:val="none"/>
          <w:lang w:val="en-US" w:eastAsia="zh-CN"/>
        </w:rPr>
        <w:t>额敏县</w:t>
      </w:r>
      <w:r>
        <w:rPr>
          <w:rFonts w:hint="eastAsia" w:ascii="宋体" w:hAnsi="宋体"/>
          <w:szCs w:val="21"/>
          <w:highlight w:val="none"/>
          <w:lang w:val="en-US" w:eastAsia="zh-CN"/>
        </w:rPr>
        <w:t>玉什喀拉苏镇萨尔吾楞村</w:t>
      </w:r>
      <w:r>
        <w:rPr>
          <w:rFonts w:hint="eastAsia" w:ascii="宋体" w:hAnsi="宋体"/>
          <w:color w:val="auto"/>
          <w:szCs w:val="21"/>
          <w:highlight w:val="none"/>
          <w:lang w:val="en-US" w:eastAsia="zh-CN"/>
        </w:rPr>
        <w:t>，建设规模及内容：安装排污支管（PE200波纹管）10公里及检查井、阀门等配套设施。</w:t>
      </w:r>
    </w:p>
    <w:p>
      <w:pPr>
        <w:keepNext w:val="0"/>
        <w:keepLines w:val="0"/>
        <w:pageBreakBefore w:val="0"/>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color w:val="auto"/>
          <w:szCs w:val="21"/>
          <w:highlight w:val="none"/>
          <w:lang w:val="en-US" w:eastAsia="zh-CN"/>
        </w:rPr>
      </w:pPr>
      <w:r>
        <w:rPr>
          <w:rFonts w:hint="eastAsia" w:ascii="宋体" w:hAnsi="宋体"/>
          <w:color w:val="auto"/>
          <w:szCs w:val="21"/>
          <w:highlight w:val="none"/>
        </w:rPr>
        <w:t>项目</w:t>
      </w:r>
      <w:r>
        <w:rPr>
          <w:rFonts w:hint="eastAsia" w:ascii="宋体" w:hAnsi="宋体"/>
          <w:color w:val="auto"/>
          <w:szCs w:val="21"/>
          <w:highlight w:val="none"/>
          <w:lang w:eastAsia="zh-CN"/>
        </w:rPr>
        <w:t>总投资</w:t>
      </w:r>
      <w:r>
        <w:rPr>
          <w:rFonts w:hint="eastAsia" w:ascii="宋体" w:hAnsi="宋体"/>
          <w:color w:val="auto"/>
          <w:szCs w:val="21"/>
          <w:highlight w:val="none"/>
        </w:rPr>
        <w:t>：</w:t>
      </w:r>
      <w:r>
        <w:rPr>
          <w:rFonts w:hint="eastAsia" w:ascii="宋体" w:hAnsi="宋体"/>
          <w:color w:val="auto"/>
          <w:szCs w:val="21"/>
          <w:highlight w:val="none"/>
          <w:lang w:val="en-US" w:eastAsia="zh-CN"/>
        </w:rPr>
        <w:t>390万元。</w:t>
      </w:r>
    </w:p>
    <w:p>
      <w:pPr>
        <w:keepNext w:val="0"/>
        <w:keepLines w:val="0"/>
        <w:pageBreakBefore w:val="0"/>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b/>
          <w:bCs/>
          <w:color w:val="auto"/>
          <w:szCs w:val="21"/>
          <w:highlight w:val="none"/>
        </w:rPr>
      </w:pPr>
      <w:r>
        <w:rPr>
          <w:rFonts w:hint="eastAsia" w:ascii="宋体" w:hAnsi="宋体"/>
          <w:color w:val="auto"/>
          <w:szCs w:val="21"/>
          <w:highlight w:val="none"/>
          <w:lang w:eastAsia="zh-CN"/>
        </w:rPr>
        <w:t>资金来源：</w:t>
      </w:r>
      <w:r>
        <w:rPr>
          <w:rFonts w:hint="eastAsia" w:ascii="宋体" w:hAnsi="宋体"/>
          <w:color w:val="auto"/>
          <w:szCs w:val="21"/>
          <w:highlight w:val="none"/>
          <w:lang w:val="en-US" w:eastAsia="zh-CN"/>
        </w:rPr>
        <w:t>中央财政以工代赈资金390万元</w:t>
      </w:r>
      <w:r>
        <w:rPr>
          <w:rFonts w:hint="eastAsia" w:ascii="宋体" w:hAnsi="宋体"/>
          <w:color w:val="auto"/>
          <w:szCs w:val="21"/>
          <w:highlight w:val="none"/>
          <w:lang w:val="en-US" w:eastAsia="zh-CN"/>
        </w:rPr>
        <w:t>。</w:t>
      </w:r>
    </w:p>
    <w:p>
      <w:pPr>
        <w:keepNext w:val="0"/>
        <w:keepLines w:val="0"/>
        <w:pageBreakBefore w:val="0"/>
        <w:kinsoku/>
        <w:wordWrap/>
        <w:overflowPunct/>
        <w:topLinePunct w:val="0"/>
        <w:autoSpaceDE/>
        <w:autoSpaceDN/>
        <w:bidi w:val="0"/>
        <w:adjustRightInd/>
        <w:snapToGrid/>
        <w:spacing w:line="520" w:lineRule="exact"/>
        <w:ind w:firstLine="422" w:firstLineChars="200"/>
        <w:jc w:val="left"/>
        <w:textAlignment w:val="auto"/>
        <w:rPr>
          <w:rFonts w:hint="eastAsia" w:ascii="宋体" w:hAnsi="宋体"/>
          <w:b/>
          <w:bCs/>
          <w:color w:val="auto"/>
          <w:szCs w:val="21"/>
        </w:rPr>
      </w:pPr>
      <w:r>
        <w:rPr>
          <w:rFonts w:hint="eastAsia" w:ascii="宋体" w:hAnsi="宋体"/>
          <w:b/>
          <w:bCs/>
          <w:color w:val="auto"/>
          <w:szCs w:val="21"/>
        </w:rPr>
        <w:t>二、编制范围</w:t>
      </w:r>
    </w:p>
    <w:p>
      <w:pPr>
        <w:keepNext w:val="0"/>
        <w:keepLines w:val="0"/>
        <w:pageBreakBefore w:val="0"/>
        <w:widowControl/>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b/>
          <w:bCs/>
          <w:color w:val="auto"/>
          <w:szCs w:val="21"/>
          <w:lang w:val="en-US" w:eastAsia="zh-CN"/>
        </w:rPr>
      </w:pPr>
      <w:r>
        <w:rPr>
          <w:rFonts w:hint="eastAsia" w:ascii="宋体" w:hAnsi="宋体"/>
          <w:szCs w:val="21"/>
        </w:rPr>
        <w:t>本报告编制范围为</w:t>
      </w:r>
      <w:r>
        <w:rPr>
          <w:rFonts w:hint="eastAsia" w:ascii="宋体" w:hAnsi="宋体"/>
          <w:szCs w:val="21"/>
          <w:lang w:val="en-US" w:eastAsia="zh-CN"/>
        </w:rPr>
        <w:t>新疆有色冶金设计研究院有限公司设计的“额敏县玉什喀拉苏镇农村排污管网及配套设施以工代赈项目”施工图中全部内容</w:t>
      </w:r>
      <w:r>
        <w:rPr>
          <w:rFonts w:hint="eastAsia" w:ascii="宋体" w:hAnsi="宋体"/>
          <w:color w:val="auto"/>
          <w:szCs w:val="21"/>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22" w:firstLineChars="200"/>
        <w:jc w:val="left"/>
        <w:textAlignment w:val="auto"/>
        <w:rPr>
          <w:rFonts w:hint="eastAsia" w:ascii="宋体" w:hAnsi="宋体"/>
          <w:b/>
          <w:bCs/>
          <w:color w:val="auto"/>
          <w:szCs w:val="21"/>
        </w:rPr>
      </w:pPr>
      <w:r>
        <w:rPr>
          <w:rFonts w:hint="eastAsia" w:ascii="宋体" w:hAnsi="宋体"/>
          <w:b/>
          <w:bCs/>
          <w:color w:val="auto"/>
          <w:szCs w:val="21"/>
          <w:lang w:val="en-US" w:eastAsia="zh-CN"/>
        </w:rPr>
        <w:t>三、</w:t>
      </w:r>
      <w:r>
        <w:rPr>
          <w:rFonts w:hint="eastAsia" w:ascii="宋体" w:hAnsi="宋体"/>
          <w:b/>
          <w:bCs/>
          <w:color w:val="auto"/>
          <w:szCs w:val="21"/>
        </w:rPr>
        <w:t>编制依据</w:t>
      </w:r>
    </w:p>
    <w:p>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szCs w:val="21"/>
        </w:rPr>
      </w:pPr>
      <w:r>
        <w:rPr>
          <w:rFonts w:ascii="宋体" w:hAnsi="宋体" w:cs="宋体"/>
          <w:kern w:val="0"/>
          <w:szCs w:val="21"/>
        </w:rPr>
        <w:t>1</w:t>
      </w:r>
      <w:r>
        <w:rPr>
          <w:rFonts w:hint="eastAsia" w:ascii="宋体" w:hAnsi="宋体" w:cs="宋体"/>
          <w:kern w:val="0"/>
          <w:szCs w:val="21"/>
        </w:rPr>
        <w:t>、《建设工程工程量清单计价规范》（</w:t>
      </w:r>
      <w:r>
        <w:rPr>
          <w:rFonts w:ascii="宋体" w:hAnsi="宋体" w:cs="宋体"/>
          <w:kern w:val="0"/>
          <w:szCs w:val="21"/>
        </w:rPr>
        <w:t>GB50500-2013</w:t>
      </w:r>
      <w:r>
        <w:rPr>
          <w:rFonts w:hint="eastAsia" w:ascii="宋体" w:hAnsi="宋体" w:cs="宋体"/>
          <w:kern w:val="0"/>
          <w:szCs w:val="21"/>
        </w:rPr>
        <w:t>）；《房屋建筑与装饰工程工程量计算规范》（</w:t>
      </w:r>
      <w:r>
        <w:rPr>
          <w:rFonts w:ascii="宋体" w:hAnsi="宋体" w:cs="宋体"/>
          <w:kern w:val="0"/>
          <w:szCs w:val="21"/>
        </w:rPr>
        <w:t>GB50854-2013</w:t>
      </w:r>
      <w:r>
        <w:rPr>
          <w:rFonts w:hint="eastAsia" w:ascii="宋体" w:hAnsi="宋体" w:cs="宋体"/>
          <w:kern w:val="0"/>
          <w:szCs w:val="21"/>
        </w:rPr>
        <w:t>）《通用安装工程工程量计算规范</w:t>
      </w:r>
      <w:r>
        <w:rPr>
          <w:rFonts w:hint="eastAsia" w:ascii="宋体" w:hAnsi="宋体" w:cs="宋体"/>
          <w:kern w:val="0"/>
          <w:szCs w:val="21"/>
          <w:lang w:val="en-US" w:eastAsia="zh-CN"/>
        </w:rPr>
        <w:t xml:space="preserve"> </w:t>
      </w:r>
      <w:r>
        <w:rPr>
          <w:rFonts w:hint="eastAsia" w:ascii="宋体" w:hAnsi="宋体" w:cs="宋体"/>
          <w:kern w:val="0"/>
          <w:szCs w:val="21"/>
        </w:rPr>
        <w:t>》（</w:t>
      </w:r>
      <w:r>
        <w:rPr>
          <w:rFonts w:ascii="宋体" w:hAnsi="宋体" w:cs="宋体"/>
          <w:kern w:val="0"/>
          <w:szCs w:val="21"/>
        </w:rPr>
        <w:t>GB50856-2013</w:t>
      </w:r>
      <w:r>
        <w:rPr>
          <w:rFonts w:hint="eastAsia" w:ascii="宋体" w:hAnsi="宋体" w:cs="宋体"/>
          <w:kern w:val="0"/>
          <w:szCs w:val="21"/>
        </w:rPr>
        <w:t>）；《市政工程工程量计算规范》（</w:t>
      </w:r>
      <w:r>
        <w:rPr>
          <w:rFonts w:ascii="宋体" w:hAnsi="宋体" w:cs="宋体"/>
          <w:kern w:val="0"/>
          <w:szCs w:val="21"/>
        </w:rPr>
        <w:t>GB50857-2013</w:t>
      </w:r>
      <w:r>
        <w:rPr>
          <w:rFonts w:hint="eastAsia" w:ascii="宋体" w:hAnsi="宋体" w:cs="宋体"/>
          <w:kern w:val="0"/>
          <w:szCs w:val="21"/>
        </w:rPr>
        <w:t>）</w:t>
      </w:r>
      <w:r>
        <w:rPr>
          <w:rFonts w:hint="eastAsia" w:ascii="宋体" w:hAnsi="宋体" w:cs="宋体"/>
          <w:kern w:val="0"/>
          <w:szCs w:val="21"/>
          <w:lang w:eastAsia="zh-CN"/>
        </w:rPr>
        <w:t>；</w:t>
      </w:r>
      <w:r>
        <w:rPr>
          <w:rFonts w:hint="eastAsia" w:ascii="宋体" w:hAnsi="宋体" w:cs="宋体"/>
          <w:kern w:val="0"/>
          <w:szCs w:val="21"/>
        </w:rPr>
        <w:t>《园林绿化工程工程量计算规范》（</w:t>
      </w:r>
      <w:r>
        <w:rPr>
          <w:rFonts w:ascii="宋体" w:hAnsi="宋体" w:cs="宋体"/>
          <w:kern w:val="0"/>
          <w:szCs w:val="21"/>
        </w:rPr>
        <w:t>GB50858-2013</w:t>
      </w:r>
      <w:r>
        <w:rPr>
          <w:rFonts w:hint="eastAsia" w:ascii="宋体" w:hAnsi="宋体" w:cs="宋体"/>
          <w:kern w:val="0"/>
          <w:szCs w:val="21"/>
        </w:rPr>
        <w:t>）</w:t>
      </w:r>
      <w:r>
        <w:rPr>
          <w:rFonts w:hint="eastAsia" w:ascii="宋体" w:hAnsi="宋体"/>
          <w:szCs w:val="21"/>
        </w:rPr>
        <w:t>及所附工程量计算规则和相关解释。</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ascii="宋体" w:hAnsi="宋体"/>
          <w:szCs w:val="21"/>
        </w:rPr>
        <w:t>2</w:t>
      </w:r>
      <w:r>
        <w:rPr>
          <w:rFonts w:hint="eastAsia" w:ascii="宋体" w:hAnsi="宋体"/>
          <w:szCs w:val="21"/>
        </w:rPr>
        <w:t>、国家或省级、行业建设主管部门颁发的计价定额和计价办法。</w:t>
      </w:r>
    </w:p>
    <w:p>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szCs w:val="21"/>
        </w:rPr>
      </w:pPr>
      <w:r>
        <w:rPr>
          <w:rFonts w:ascii="宋体" w:hAnsi="宋体"/>
          <w:szCs w:val="21"/>
        </w:rPr>
        <w:t>3</w:t>
      </w:r>
      <w:r>
        <w:rPr>
          <w:rFonts w:hint="eastAsia" w:ascii="宋体" w:hAnsi="宋体"/>
          <w:szCs w:val="21"/>
        </w:rPr>
        <w:t>、业主提供的</w:t>
      </w:r>
      <w:r>
        <w:rPr>
          <w:rFonts w:hint="eastAsia" w:ascii="宋体" w:hAnsi="宋体"/>
          <w:szCs w:val="21"/>
          <w:lang w:val="en-US" w:eastAsia="zh-CN"/>
        </w:rPr>
        <w:t>由新疆有色冶金设计研究院有限公司设计的“额敏县玉什喀拉苏镇农村排污管网及配套设施以工代赈项目”</w:t>
      </w:r>
      <w:r>
        <w:rPr>
          <w:rFonts w:hint="eastAsia" w:ascii="宋体" w:hAnsi="宋体"/>
          <w:szCs w:val="21"/>
        </w:rPr>
        <w:t>施工图设计文件和图纸答疑。</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ascii="宋体" w:hAnsi="宋体"/>
          <w:szCs w:val="21"/>
        </w:rPr>
        <w:t>4</w:t>
      </w:r>
      <w:r>
        <w:rPr>
          <w:rFonts w:hint="eastAsia" w:ascii="宋体" w:hAnsi="宋体"/>
          <w:szCs w:val="21"/>
        </w:rPr>
        <w:t>、拟定的拟建工程量清单及有关计价的要求。</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ascii="宋体" w:hAnsi="宋体"/>
          <w:szCs w:val="21"/>
        </w:rPr>
        <w:t>5</w:t>
      </w:r>
      <w:r>
        <w:rPr>
          <w:rFonts w:hint="eastAsia" w:ascii="宋体" w:hAnsi="宋体"/>
          <w:szCs w:val="21"/>
        </w:rPr>
        <w:t>、与本工程有关的标准（包括标准图集）、规范、技术资料。</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ascii="宋体" w:hAnsi="宋体"/>
          <w:szCs w:val="21"/>
        </w:rPr>
        <w:t>6</w:t>
      </w:r>
      <w:r>
        <w:rPr>
          <w:rFonts w:hint="eastAsia" w:ascii="宋体" w:hAnsi="宋体"/>
          <w:szCs w:val="21"/>
        </w:rPr>
        <w:t>、施工现场情况、工程特点及常规施工方案。</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b/>
          <w:bCs/>
          <w:szCs w:val="21"/>
          <w:lang w:val="en-US" w:eastAsia="zh-CN"/>
        </w:rPr>
      </w:pPr>
      <w:r>
        <w:rPr>
          <w:rFonts w:ascii="宋体" w:hAnsi="宋体"/>
          <w:szCs w:val="21"/>
        </w:rPr>
        <w:t>7</w:t>
      </w:r>
      <w:r>
        <w:rPr>
          <w:rFonts w:hint="eastAsia" w:ascii="宋体" w:hAnsi="宋体"/>
          <w:szCs w:val="21"/>
        </w:rPr>
        <w:t>、其他有关文件、资料。</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ascii="宋体" w:hAnsi="宋体"/>
          <w:sz w:val="24"/>
        </w:rPr>
      </w:pPr>
      <w:r>
        <w:rPr>
          <w:rFonts w:hint="eastAsia" w:ascii="宋体" w:hAnsi="宋体"/>
          <w:b/>
          <w:bCs/>
          <w:color w:val="auto"/>
          <w:szCs w:val="21"/>
        </w:rPr>
        <w:t>四、编制依据</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rPr>
        <w:t>1、定额依据：《新疆维吾尔自治区市政工程消耗量定额20</w:t>
      </w:r>
      <w:r>
        <w:rPr>
          <w:rFonts w:hint="eastAsia" w:ascii="宋体" w:hAnsi="宋体"/>
          <w:szCs w:val="21"/>
          <w:lang w:val="en-US" w:eastAsia="zh-CN"/>
        </w:rPr>
        <w:t>22</w:t>
      </w:r>
      <w:r>
        <w:rPr>
          <w:rFonts w:hint="eastAsia" w:ascii="宋体" w:hAnsi="宋体"/>
          <w:szCs w:val="21"/>
        </w:rPr>
        <w:t>年</w:t>
      </w:r>
      <w:r>
        <w:rPr>
          <w:rFonts w:hint="eastAsia" w:ascii="宋体" w:hAnsi="宋体"/>
          <w:szCs w:val="21"/>
          <w:lang w:val="en-US" w:eastAsia="zh-CN"/>
        </w:rPr>
        <w:t>塔城地区单位估价表</w:t>
      </w:r>
      <w:r>
        <w:rPr>
          <w:rFonts w:hint="eastAsia" w:ascii="宋体" w:hAnsi="宋体"/>
          <w:szCs w:val="21"/>
        </w:rPr>
        <w:t>》及所附工程量计算规则和相关解释。</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rPr>
        <w:t>2、</w:t>
      </w:r>
      <w:bookmarkStart w:id="0" w:name="OLE_LINK5"/>
      <w:bookmarkStart w:id="1" w:name="OLE_LINK4"/>
      <w:r>
        <w:rPr>
          <w:rFonts w:hint="eastAsia" w:ascii="宋体" w:hAnsi="宋体"/>
          <w:szCs w:val="21"/>
        </w:rPr>
        <w:t>税金按塔城地区住房和城乡建设局发布（塔地住建发[2019]71号）《关于调整我区建设工程计价依据增值税税率的通知》采用一般计税方法的建设工程，增值税税率由10%调整为9%，工程造价计算公式为：工程造价=税前工程造价×（1+9%），其他规定仍按《关于实施建筑业增值税新税率调整建设工程计价依据的通知》（塔地住建发[2018]70号）执行。</w:t>
      </w:r>
    </w:p>
    <w:bookmarkEnd w:id="0"/>
    <w:bookmarkEnd w:id="1"/>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宋体" w:hAnsi="宋体"/>
          <w:szCs w:val="21"/>
          <w:lang w:val="en-US" w:eastAsia="zh-CN"/>
        </w:rPr>
      </w:pPr>
      <w:r>
        <w:rPr>
          <w:rFonts w:hint="eastAsia" w:ascii="宋体" w:hAnsi="宋体"/>
          <w:szCs w:val="21"/>
          <w:lang w:val="en-US" w:eastAsia="zh-CN"/>
        </w:rPr>
        <w:t>3、建筑工程智慧工地基础配置费用依据塔城地区住房和城乡建设局转发的《新疆关于建设工程智慧工地基础配置费读取事项（试行）的通知》新建标函[2021]17号执行、本工程智慧工地基础配置费未计取。</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4、</w:t>
      </w:r>
      <w:r>
        <w:rPr>
          <w:rFonts w:hint="eastAsia" w:ascii="宋体" w:hAnsi="宋体"/>
          <w:szCs w:val="21"/>
        </w:rPr>
        <w:t>材料费调差：</w:t>
      </w:r>
      <w:r>
        <w:rPr>
          <w:rFonts w:hint="eastAsia" w:ascii="宋体" w:hAnsi="宋体"/>
          <w:szCs w:val="21"/>
          <w:lang w:val="en-US" w:eastAsia="zh-CN"/>
        </w:rPr>
        <w:t>额敏县</w:t>
      </w:r>
      <w:r>
        <w:rPr>
          <w:rFonts w:hint="eastAsia" w:ascii="宋体" w:hAnsi="宋体"/>
          <w:szCs w:val="21"/>
        </w:rPr>
        <w:t>住房和城乡建设局发布(塔地住建发《关于发布额敏县20</w:t>
      </w:r>
      <w:r>
        <w:rPr>
          <w:rFonts w:hint="eastAsia" w:ascii="宋体" w:hAnsi="宋体"/>
          <w:szCs w:val="21"/>
          <w:lang w:val="en-US" w:eastAsia="zh-CN"/>
        </w:rPr>
        <w:t>24</w:t>
      </w:r>
      <w:r>
        <w:rPr>
          <w:rFonts w:hint="eastAsia" w:ascii="宋体" w:hAnsi="宋体"/>
          <w:szCs w:val="21"/>
        </w:rPr>
        <w:t>年</w:t>
      </w:r>
      <w:r>
        <w:rPr>
          <w:rFonts w:hint="eastAsia" w:ascii="宋体" w:hAnsi="宋体"/>
          <w:szCs w:val="21"/>
          <w:lang w:val="en-US" w:eastAsia="zh-CN"/>
        </w:rPr>
        <w:t>1</w:t>
      </w:r>
      <w:r>
        <w:rPr>
          <w:rFonts w:hint="eastAsia" w:ascii="宋体" w:hAnsi="宋体"/>
          <w:szCs w:val="21"/>
        </w:rPr>
        <w:t>月份建设工程综合价格信息的通知》及附件二调整(材料价格为除税综合信息价)未发布信息价的材料价格按市场价计入。</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5</w:t>
      </w:r>
      <w:r>
        <w:rPr>
          <w:rFonts w:hint="eastAsia" w:ascii="宋体" w:hAnsi="宋体"/>
          <w:szCs w:val="21"/>
        </w:rPr>
        <w:t>、人工工资单价的调整:</w:t>
      </w:r>
      <w:r>
        <w:rPr>
          <w:rFonts w:hint="eastAsia" w:ascii="宋体" w:hAnsi="宋体"/>
          <w:szCs w:val="21"/>
          <w:lang w:val="en-US" w:eastAsia="zh-CN"/>
        </w:rPr>
        <w:t>新疆市政工程消耗量定额2022年塔城地区单位估价表</w:t>
      </w:r>
      <w:r>
        <w:rPr>
          <w:rFonts w:hint="eastAsia" w:ascii="宋体" w:hAnsi="宋体"/>
          <w:szCs w:val="21"/>
        </w:rPr>
        <w:t>，</w:t>
      </w:r>
      <w:r>
        <w:rPr>
          <w:rFonts w:hint="eastAsia" w:ascii="宋体" w:hAnsi="宋体"/>
          <w:szCs w:val="21"/>
          <w:lang w:val="en-US" w:eastAsia="zh-CN"/>
        </w:rPr>
        <w:t>一类人</w:t>
      </w:r>
      <w:r>
        <w:rPr>
          <w:rFonts w:hint="eastAsia" w:ascii="宋体" w:hAnsi="宋体"/>
          <w:szCs w:val="21"/>
        </w:rPr>
        <w:t>工</w:t>
      </w:r>
      <w:r>
        <w:rPr>
          <w:rFonts w:hint="eastAsia" w:ascii="宋体" w:hAnsi="宋体"/>
          <w:szCs w:val="21"/>
          <w:lang w:val="en-US" w:eastAsia="zh-CN"/>
        </w:rPr>
        <w:t>104</w:t>
      </w:r>
      <w:r>
        <w:rPr>
          <w:rFonts w:hint="eastAsia" w:ascii="宋体" w:hAnsi="宋体"/>
          <w:szCs w:val="21"/>
        </w:rPr>
        <w:t>元/工日，</w:t>
      </w:r>
      <w:r>
        <w:rPr>
          <w:rFonts w:hint="eastAsia" w:ascii="宋体" w:hAnsi="宋体"/>
          <w:szCs w:val="21"/>
          <w:lang w:val="en-US" w:eastAsia="zh-CN"/>
        </w:rPr>
        <w:t>二类</w:t>
      </w:r>
      <w:r>
        <w:rPr>
          <w:rFonts w:hint="eastAsia" w:ascii="宋体" w:hAnsi="宋体"/>
          <w:szCs w:val="21"/>
        </w:rPr>
        <w:t>人工</w:t>
      </w:r>
      <w:r>
        <w:rPr>
          <w:rFonts w:hint="eastAsia" w:ascii="宋体" w:hAnsi="宋体"/>
          <w:szCs w:val="21"/>
          <w:lang w:val="en-US" w:eastAsia="zh-CN"/>
        </w:rPr>
        <w:t>132</w:t>
      </w:r>
      <w:r>
        <w:rPr>
          <w:rFonts w:hint="eastAsia" w:ascii="宋体" w:hAnsi="宋体"/>
          <w:szCs w:val="21"/>
        </w:rPr>
        <w:t>元/工日，</w:t>
      </w:r>
      <w:r>
        <w:rPr>
          <w:rFonts w:hint="eastAsia" w:ascii="宋体" w:hAnsi="宋体"/>
          <w:szCs w:val="21"/>
          <w:lang w:val="en-US" w:eastAsia="zh-CN"/>
        </w:rPr>
        <w:t>机上</w:t>
      </w:r>
      <w:r>
        <w:rPr>
          <w:rFonts w:hint="eastAsia" w:ascii="宋体" w:hAnsi="宋体"/>
          <w:szCs w:val="21"/>
        </w:rPr>
        <w:t>人工</w:t>
      </w:r>
      <w:r>
        <w:rPr>
          <w:rFonts w:hint="eastAsia" w:ascii="宋体" w:hAnsi="宋体"/>
          <w:szCs w:val="21"/>
          <w:lang w:val="en-US" w:eastAsia="zh-CN"/>
        </w:rPr>
        <w:t>132</w:t>
      </w:r>
      <w:r>
        <w:rPr>
          <w:rFonts w:hint="eastAsia" w:ascii="宋体" w:hAnsi="宋体"/>
          <w:szCs w:val="21"/>
        </w:rPr>
        <w:t>元/工日</w:t>
      </w:r>
      <w:r>
        <w:rPr>
          <w:rFonts w:hint="eastAsia" w:ascii="宋体" w:hAnsi="宋体"/>
          <w:szCs w:val="21"/>
          <w:lang w:eastAsia="zh-CN"/>
        </w:rPr>
        <w:t>，</w:t>
      </w:r>
      <w:r>
        <w:rPr>
          <w:rFonts w:hint="eastAsia" w:ascii="宋体" w:hAnsi="宋体"/>
          <w:szCs w:val="21"/>
          <w:lang w:val="en-US" w:eastAsia="zh-CN"/>
        </w:rPr>
        <w:t>三类人工150元/工日</w:t>
      </w:r>
      <w:r>
        <w:rPr>
          <w:rFonts w:hint="eastAsia" w:ascii="宋体" w:hAnsi="宋体"/>
          <w:szCs w:val="21"/>
        </w:rPr>
        <w:t>。  </w:t>
      </w:r>
      <w:r>
        <w:rPr>
          <w:rFonts w:hint="eastAsia" w:ascii="宋体" w:hAnsi="宋体"/>
          <w:szCs w:val="21"/>
        </w:rPr>
        <w:br w:type="textWrapping"/>
      </w:r>
      <w:r>
        <w:rPr>
          <w:rFonts w:hint="eastAsia" w:ascii="宋体" w:hAnsi="宋体"/>
          <w:szCs w:val="21"/>
        </w:rPr>
        <w:t xml:space="preserve">    </w:t>
      </w:r>
      <w:r>
        <w:rPr>
          <w:rFonts w:hint="eastAsia" w:ascii="宋体" w:hAnsi="宋体"/>
          <w:szCs w:val="21"/>
          <w:lang w:val="en-US" w:eastAsia="zh-CN"/>
        </w:rPr>
        <w:t>6</w:t>
      </w:r>
      <w:r>
        <w:rPr>
          <w:rFonts w:hint="eastAsia" w:ascii="宋体" w:hAnsi="宋体"/>
          <w:szCs w:val="21"/>
        </w:rPr>
        <w:t>、税金调整执行塔地住建发[2019]71号，税率为9%。</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default" w:ascii="宋体" w:hAnsi="宋体"/>
          <w:b/>
          <w:bCs/>
          <w:color w:val="auto"/>
          <w:lang w:val="en-US" w:eastAsia="zh-CN"/>
        </w:rPr>
      </w:pPr>
      <w:r>
        <w:rPr>
          <w:rFonts w:hint="eastAsia" w:ascii="宋体" w:hAnsi="宋体"/>
          <w:szCs w:val="21"/>
          <w:lang w:val="en-US" w:eastAsia="zh-CN"/>
        </w:rPr>
        <w:t>7</w:t>
      </w:r>
      <w:r>
        <w:rPr>
          <w:rFonts w:hint="eastAsia" w:ascii="宋体" w:hAnsi="宋体"/>
          <w:szCs w:val="21"/>
        </w:rPr>
        <w:t>、本工程材料风险未计取，文件依据《关于建筑材料价格风险费用计取的指导意见》（新建标[2018]4号）。</w:t>
      </w:r>
    </w:p>
    <w:p>
      <w:pPr>
        <w:keepNext w:val="0"/>
        <w:keepLines w:val="0"/>
        <w:pageBreakBefore w:val="0"/>
        <w:kinsoku/>
        <w:wordWrap/>
        <w:overflowPunct/>
        <w:topLinePunct w:val="0"/>
        <w:autoSpaceDE/>
        <w:autoSpaceDN/>
        <w:bidi w:val="0"/>
        <w:adjustRightInd/>
        <w:snapToGrid/>
        <w:spacing w:line="520" w:lineRule="exact"/>
        <w:ind w:firstLine="422" w:firstLineChars="200"/>
        <w:textAlignment w:val="auto"/>
        <w:rPr>
          <w:rFonts w:hint="eastAsia" w:ascii="宋体" w:hAnsi="宋体"/>
          <w:b/>
          <w:bCs/>
          <w:color w:val="auto"/>
          <w:szCs w:val="21"/>
        </w:rPr>
      </w:pPr>
      <w:r>
        <w:rPr>
          <w:rFonts w:hint="eastAsia" w:ascii="宋体" w:hAnsi="宋体"/>
          <w:b/>
          <w:bCs/>
          <w:color w:val="auto"/>
          <w:lang w:val="en-US" w:eastAsia="zh-CN"/>
        </w:rPr>
        <w:t>四</w:t>
      </w:r>
      <w:r>
        <w:rPr>
          <w:rFonts w:hint="eastAsia" w:ascii="宋体" w:hAnsi="宋体"/>
          <w:b/>
          <w:bCs/>
          <w:color w:val="auto"/>
          <w:szCs w:val="21"/>
          <w:lang w:eastAsia="zh-CN"/>
        </w:rPr>
        <w:t>、</w:t>
      </w:r>
      <w:r>
        <w:rPr>
          <w:rFonts w:hint="eastAsia" w:ascii="宋体" w:hAnsi="宋体"/>
          <w:b/>
          <w:bCs/>
          <w:color w:val="auto"/>
          <w:szCs w:val="21"/>
        </w:rPr>
        <w:t xml:space="preserve">其他 </w:t>
      </w:r>
    </w:p>
    <w:p>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auto"/>
          <w:sz w:val="24"/>
          <w:szCs w:val="24"/>
          <w:lang w:eastAsia="zh-CN"/>
        </w:rPr>
      </w:pPr>
      <w:r>
        <w:rPr>
          <w:rFonts w:hint="eastAsia" w:ascii="宋体" w:hAnsi="宋体"/>
          <w:szCs w:val="21"/>
          <w:lang w:val="en-US" w:eastAsia="zh-CN"/>
        </w:rPr>
        <w:t>1、本项目招标控制价为3894376.5元（大写：叁佰捌拾玖万肆仟叁佰柒拾陆元伍角）</w:t>
      </w:r>
    </w:p>
    <w:p>
      <w:pPr>
        <w:keepNext w:val="0"/>
        <w:keepLines w:val="0"/>
        <w:pageBreakBefore w:val="0"/>
        <w:kinsoku/>
        <w:wordWrap/>
        <w:overflowPunct/>
        <w:topLinePunct w:val="0"/>
        <w:autoSpaceDE/>
        <w:autoSpaceDN/>
        <w:bidi w:val="0"/>
        <w:adjustRightInd/>
        <w:snapToGrid/>
        <w:spacing w:line="520" w:lineRule="exact"/>
        <w:jc w:val="both"/>
        <w:textAlignment w:val="auto"/>
        <w:rPr>
          <w:rFonts w:hint="eastAsia" w:ascii="宋体" w:hAnsi="宋体"/>
          <w:color w:val="auto"/>
          <w:sz w:val="24"/>
          <w:szCs w:val="24"/>
          <w:lang w:eastAsia="zh-CN"/>
        </w:rPr>
      </w:pPr>
    </w:p>
    <w:p>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宋体" w:hAnsi="宋体"/>
          <w:color w:val="auto"/>
          <w:sz w:val="24"/>
          <w:szCs w:val="24"/>
          <w:lang w:eastAsia="zh-CN"/>
        </w:rPr>
      </w:pPr>
    </w:p>
    <w:p>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宋体" w:hAnsi="宋体"/>
          <w:color w:val="auto"/>
          <w:sz w:val="24"/>
          <w:szCs w:val="24"/>
          <w:lang w:eastAsia="zh-CN"/>
        </w:rPr>
      </w:pPr>
    </w:p>
    <w:p>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宋体" w:hAnsi="宋体"/>
          <w:color w:val="auto"/>
          <w:sz w:val="24"/>
          <w:szCs w:val="24"/>
          <w:lang w:eastAsia="zh-CN"/>
        </w:rPr>
      </w:pPr>
    </w:p>
    <w:p>
      <w:pPr>
        <w:keepNext w:val="0"/>
        <w:keepLines w:val="0"/>
        <w:pageBreakBefore w:val="0"/>
        <w:kinsoku/>
        <w:wordWrap/>
        <w:overflowPunct/>
        <w:topLinePunct w:val="0"/>
        <w:autoSpaceDE/>
        <w:autoSpaceDN/>
        <w:bidi w:val="0"/>
        <w:adjustRightInd/>
        <w:snapToGrid/>
        <w:spacing w:line="520" w:lineRule="exact"/>
        <w:jc w:val="both"/>
        <w:textAlignment w:val="auto"/>
        <w:rPr>
          <w:rFonts w:hint="eastAsia" w:ascii="宋体" w:hAnsi="宋体"/>
          <w:color w:val="auto"/>
          <w:sz w:val="24"/>
          <w:szCs w:val="24"/>
          <w:lang w:eastAsia="zh-CN"/>
        </w:rPr>
      </w:pPr>
      <w:bookmarkStart w:id="2" w:name="_GoBack"/>
      <w:bookmarkEnd w:id="2"/>
    </w:p>
    <w:p>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宋体" w:hAnsi="宋体"/>
          <w:color w:val="auto"/>
          <w:sz w:val="24"/>
          <w:szCs w:val="24"/>
          <w:lang w:eastAsia="zh-CN"/>
        </w:rPr>
      </w:pPr>
    </w:p>
    <w:p>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宋体" w:hAnsi="宋体"/>
          <w:color w:val="auto"/>
          <w:sz w:val="24"/>
          <w:szCs w:val="24"/>
          <w:lang w:eastAsia="zh-CN"/>
        </w:rPr>
      </w:pPr>
    </w:p>
    <w:p>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宋体" w:hAnsi="宋体"/>
          <w:color w:val="auto"/>
          <w:sz w:val="24"/>
          <w:szCs w:val="24"/>
          <w:lang w:eastAsia="zh-CN"/>
        </w:rPr>
      </w:pPr>
    </w:p>
    <w:p>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宋体" w:hAnsi="宋体"/>
          <w:color w:val="auto"/>
          <w:sz w:val="24"/>
          <w:szCs w:val="24"/>
          <w:lang w:val="en-US" w:eastAsia="zh-CN"/>
        </w:rPr>
      </w:pPr>
      <w:r>
        <w:rPr>
          <w:rFonts w:hint="eastAsia" w:ascii="宋体" w:hAnsi="宋体"/>
          <w:color w:val="auto"/>
          <w:sz w:val="24"/>
          <w:szCs w:val="24"/>
          <w:lang w:eastAsia="zh-CN"/>
        </w:rPr>
        <w:t>新疆</w:t>
      </w:r>
      <w:r>
        <w:rPr>
          <w:rFonts w:hint="eastAsia" w:ascii="宋体" w:hAnsi="宋体"/>
          <w:color w:val="auto"/>
          <w:sz w:val="24"/>
          <w:szCs w:val="24"/>
          <w:lang w:val="en-US" w:eastAsia="zh-CN"/>
        </w:rPr>
        <w:t>民盛</w:t>
      </w:r>
      <w:r>
        <w:rPr>
          <w:rFonts w:hint="eastAsia" w:ascii="宋体" w:hAnsi="宋体"/>
          <w:color w:val="auto"/>
          <w:sz w:val="24"/>
          <w:szCs w:val="24"/>
          <w:lang w:eastAsia="zh-CN"/>
        </w:rPr>
        <w:t>工程管理</w:t>
      </w:r>
      <w:r>
        <w:rPr>
          <w:rFonts w:hint="eastAsia" w:ascii="宋体" w:hAnsi="宋体"/>
          <w:color w:val="auto"/>
          <w:sz w:val="24"/>
          <w:szCs w:val="24"/>
          <w:lang w:val="en-US" w:eastAsia="zh-CN"/>
        </w:rPr>
        <w:t>服务</w:t>
      </w:r>
      <w:r>
        <w:rPr>
          <w:rFonts w:hint="eastAsia" w:ascii="宋体" w:hAnsi="宋体"/>
          <w:color w:val="auto"/>
          <w:sz w:val="24"/>
          <w:szCs w:val="24"/>
          <w:lang w:eastAsia="zh-CN"/>
        </w:rPr>
        <w:t>有限责任公司</w:t>
      </w:r>
      <w:r>
        <w:rPr>
          <w:rFonts w:hint="eastAsia" w:ascii="宋体" w:hAnsi="宋体"/>
          <w:color w:val="auto"/>
          <w:sz w:val="24"/>
          <w:szCs w:val="24"/>
          <w:lang w:val="en-US" w:eastAsia="zh-CN"/>
        </w:rPr>
        <w:t xml:space="preserve">                     </w:t>
      </w:r>
    </w:p>
    <w:p>
      <w:pPr>
        <w:keepNext w:val="0"/>
        <w:keepLines w:val="0"/>
        <w:pageBreakBefore w:val="0"/>
        <w:kinsoku/>
        <w:wordWrap w:val="0"/>
        <w:overflowPunct/>
        <w:topLinePunct w:val="0"/>
        <w:autoSpaceDE/>
        <w:autoSpaceDN/>
        <w:bidi w:val="0"/>
        <w:adjustRightInd/>
        <w:snapToGrid/>
        <w:spacing w:line="520" w:lineRule="exact"/>
        <w:jc w:val="right"/>
        <w:textAlignment w:val="auto"/>
        <w:rPr>
          <w:rFonts w:hint="default" w:ascii="宋体" w:hAnsi="宋体"/>
          <w:color w:val="auto"/>
          <w:sz w:val="24"/>
          <w:szCs w:val="24"/>
          <w:lang w:val="en-US" w:eastAsia="zh-CN"/>
        </w:rPr>
      </w:pPr>
      <w:r>
        <w:rPr>
          <w:rFonts w:hint="eastAsia" w:ascii="宋体" w:hAnsi="宋体"/>
          <w:color w:val="auto"/>
          <w:sz w:val="24"/>
          <w:szCs w:val="24"/>
          <w:lang w:val="en-US" w:eastAsia="zh-CN"/>
        </w:rPr>
        <w:t xml:space="preserve">2024年3月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2YTQ0MTdiNzIzOWY4ZjA3ODA1NjY2NjNlODFlZTMifQ=="/>
  </w:docVars>
  <w:rsids>
    <w:rsidRoot w:val="003A0A7D"/>
    <w:rsid w:val="000064B0"/>
    <w:rsid w:val="00030A5C"/>
    <w:rsid w:val="00053DDC"/>
    <w:rsid w:val="00072467"/>
    <w:rsid w:val="000E2823"/>
    <w:rsid w:val="000F7F19"/>
    <w:rsid w:val="0010170E"/>
    <w:rsid w:val="001078F9"/>
    <w:rsid w:val="00136F87"/>
    <w:rsid w:val="00146615"/>
    <w:rsid w:val="0015023D"/>
    <w:rsid w:val="00173C26"/>
    <w:rsid w:val="00192709"/>
    <w:rsid w:val="001A3810"/>
    <w:rsid w:val="001C470A"/>
    <w:rsid w:val="001C52A0"/>
    <w:rsid w:val="001E1D49"/>
    <w:rsid w:val="001E616C"/>
    <w:rsid w:val="002476C1"/>
    <w:rsid w:val="0026359C"/>
    <w:rsid w:val="00294678"/>
    <w:rsid w:val="00305DE5"/>
    <w:rsid w:val="00330775"/>
    <w:rsid w:val="00332CF3"/>
    <w:rsid w:val="0033750C"/>
    <w:rsid w:val="003616A9"/>
    <w:rsid w:val="00362751"/>
    <w:rsid w:val="00385582"/>
    <w:rsid w:val="003A0A7D"/>
    <w:rsid w:val="003A54D3"/>
    <w:rsid w:val="003C5537"/>
    <w:rsid w:val="003C57FF"/>
    <w:rsid w:val="003D3F4A"/>
    <w:rsid w:val="003D5A8C"/>
    <w:rsid w:val="003E29CE"/>
    <w:rsid w:val="003E622D"/>
    <w:rsid w:val="003E74B1"/>
    <w:rsid w:val="003F1C1C"/>
    <w:rsid w:val="00421887"/>
    <w:rsid w:val="00423442"/>
    <w:rsid w:val="0044471B"/>
    <w:rsid w:val="0045518D"/>
    <w:rsid w:val="0045690A"/>
    <w:rsid w:val="00464D45"/>
    <w:rsid w:val="004850D1"/>
    <w:rsid w:val="004A39BD"/>
    <w:rsid w:val="004D760F"/>
    <w:rsid w:val="004E3DC4"/>
    <w:rsid w:val="004E5F39"/>
    <w:rsid w:val="00504170"/>
    <w:rsid w:val="00541BEE"/>
    <w:rsid w:val="00543B40"/>
    <w:rsid w:val="0054754C"/>
    <w:rsid w:val="00547685"/>
    <w:rsid w:val="00556398"/>
    <w:rsid w:val="005622BF"/>
    <w:rsid w:val="0056345C"/>
    <w:rsid w:val="00581B9A"/>
    <w:rsid w:val="005873D4"/>
    <w:rsid w:val="00591900"/>
    <w:rsid w:val="00595D75"/>
    <w:rsid w:val="005B2671"/>
    <w:rsid w:val="005C3CE1"/>
    <w:rsid w:val="005D203A"/>
    <w:rsid w:val="005E28AB"/>
    <w:rsid w:val="005F04B7"/>
    <w:rsid w:val="00611F7E"/>
    <w:rsid w:val="006211BB"/>
    <w:rsid w:val="00623AD8"/>
    <w:rsid w:val="006323AF"/>
    <w:rsid w:val="00646C47"/>
    <w:rsid w:val="00654471"/>
    <w:rsid w:val="006549A0"/>
    <w:rsid w:val="00685B89"/>
    <w:rsid w:val="006875F6"/>
    <w:rsid w:val="00691FBB"/>
    <w:rsid w:val="006C69FC"/>
    <w:rsid w:val="006E7D10"/>
    <w:rsid w:val="0070604A"/>
    <w:rsid w:val="007069CE"/>
    <w:rsid w:val="00726171"/>
    <w:rsid w:val="00760CC4"/>
    <w:rsid w:val="0077746F"/>
    <w:rsid w:val="007A277B"/>
    <w:rsid w:val="007B49A1"/>
    <w:rsid w:val="007C1B28"/>
    <w:rsid w:val="007C45DF"/>
    <w:rsid w:val="007C6A6A"/>
    <w:rsid w:val="007F393E"/>
    <w:rsid w:val="00802B65"/>
    <w:rsid w:val="0081382E"/>
    <w:rsid w:val="008308ED"/>
    <w:rsid w:val="008562AB"/>
    <w:rsid w:val="00865009"/>
    <w:rsid w:val="008A0545"/>
    <w:rsid w:val="008D4808"/>
    <w:rsid w:val="008E7EEB"/>
    <w:rsid w:val="00931984"/>
    <w:rsid w:val="00931FA5"/>
    <w:rsid w:val="00947CB0"/>
    <w:rsid w:val="00960471"/>
    <w:rsid w:val="00971031"/>
    <w:rsid w:val="0097120D"/>
    <w:rsid w:val="00971D27"/>
    <w:rsid w:val="0097475A"/>
    <w:rsid w:val="009A5026"/>
    <w:rsid w:val="009A5B3A"/>
    <w:rsid w:val="009B3F23"/>
    <w:rsid w:val="009B40A4"/>
    <w:rsid w:val="009C3451"/>
    <w:rsid w:val="009D0605"/>
    <w:rsid w:val="009D3534"/>
    <w:rsid w:val="009E5992"/>
    <w:rsid w:val="009F0F26"/>
    <w:rsid w:val="00A13201"/>
    <w:rsid w:val="00A42837"/>
    <w:rsid w:val="00A573C3"/>
    <w:rsid w:val="00A8747D"/>
    <w:rsid w:val="00A94801"/>
    <w:rsid w:val="00A97E1D"/>
    <w:rsid w:val="00B05702"/>
    <w:rsid w:val="00B4734C"/>
    <w:rsid w:val="00B5557C"/>
    <w:rsid w:val="00B64711"/>
    <w:rsid w:val="00BA3CC1"/>
    <w:rsid w:val="00BC3A47"/>
    <w:rsid w:val="00BC7F77"/>
    <w:rsid w:val="00BD05C9"/>
    <w:rsid w:val="00BF7639"/>
    <w:rsid w:val="00BF79B8"/>
    <w:rsid w:val="00C21B5F"/>
    <w:rsid w:val="00C311BC"/>
    <w:rsid w:val="00C84D64"/>
    <w:rsid w:val="00C918C9"/>
    <w:rsid w:val="00C93F6D"/>
    <w:rsid w:val="00CA5D44"/>
    <w:rsid w:val="00CB6944"/>
    <w:rsid w:val="00CD2CAE"/>
    <w:rsid w:val="00CE0288"/>
    <w:rsid w:val="00D002F5"/>
    <w:rsid w:val="00D51D10"/>
    <w:rsid w:val="00D6448A"/>
    <w:rsid w:val="00D6675D"/>
    <w:rsid w:val="00D67ACF"/>
    <w:rsid w:val="00D713C7"/>
    <w:rsid w:val="00D734AA"/>
    <w:rsid w:val="00D90F3F"/>
    <w:rsid w:val="00DB33C1"/>
    <w:rsid w:val="00DD70AB"/>
    <w:rsid w:val="00E11994"/>
    <w:rsid w:val="00E20230"/>
    <w:rsid w:val="00E2399A"/>
    <w:rsid w:val="00E3748A"/>
    <w:rsid w:val="00E51CB9"/>
    <w:rsid w:val="00E656C1"/>
    <w:rsid w:val="00E81C07"/>
    <w:rsid w:val="00EA10A5"/>
    <w:rsid w:val="00EA65EF"/>
    <w:rsid w:val="00EC2956"/>
    <w:rsid w:val="00ED157C"/>
    <w:rsid w:val="00EF079A"/>
    <w:rsid w:val="00F147AB"/>
    <w:rsid w:val="00F26E0B"/>
    <w:rsid w:val="00F434BF"/>
    <w:rsid w:val="00F9487E"/>
    <w:rsid w:val="00FB77E5"/>
    <w:rsid w:val="00FF3D0F"/>
    <w:rsid w:val="015E5754"/>
    <w:rsid w:val="01BF6747"/>
    <w:rsid w:val="01D90FF3"/>
    <w:rsid w:val="02DE5AC5"/>
    <w:rsid w:val="03517A50"/>
    <w:rsid w:val="040F7385"/>
    <w:rsid w:val="0485020D"/>
    <w:rsid w:val="04F326B9"/>
    <w:rsid w:val="050B4CE8"/>
    <w:rsid w:val="05AF540B"/>
    <w:rsid w:val="075A0C72"/>
    <w:rsid w:val="08160049"/>
    <w:rsid w:val="084018A2"/>
    <w:rsid w:val="08BE6FB3"/>
    <w:rsid w:val="09C15448"/>
    <w:rsid w:val="0A963E9C"/>
    <w:rsid w:val="0BFC55EF"/>
    <w:rsid w:val="0C4A5053"/>
    <w:rsid w:val="0DC113DE"/>
    <w:rsid w:val="0DCB64A0"/>
    <w:rsid w:val="0F284664"/>
    <w:rsid w:val="0FC44D9A"/>
    <w:rsid w:val="0FEE72E8"/>
    <w:rsid w:val="109E6287"/>
    <w:rsid w:val="125E28C0"/>
    <w:rsid w:val="126E2E7A"/>
    <w:rsid w:val="12742637"/>
    <w:rsid w:val="12F67EEA"/>
    <w:rsid w:val="14C80E2F"/>
    <w:rsid w:val="153D27CA"/>
    <w:rsid w:val="16016D6B"/>
    <w:rsid w:val="161E0125"/>
    <w:rsid w:val="1688382D"/>
    <w:rsid w:val="18814EDA"/>
    <w:rsid w:val="19AF7F98"/>
    <w:rsid w:val="19BC2D93"/>
    <w:rsid w:val="19E66A7E"/>
    <w:rsid w:val="19FE36CC"/>
    <w:rsid w:val="1A837F8E"/>
    <w:rsid w:val="1BAF69CC"/>
    <w:rsid w:val="1C2A76E9"/>
    <w:rsid w:val="1C567F64"/>
    <w:rsid w:val="1D00042F"/>
    <w:rsid w:val="1D6653E4"/>
    <w:rsid w:val="1DD2202A"/>
    <w:rsid w:val="1EB97897"/>
    <w:rsid w:val="1F6B1A10"/>
    <w:rsid w:val="1FD00694"/>
    <w:rsid w:val="2023059E"/>
    <w:rsid w:val="20564E91"/>
    <w:rsid w:val="2105158D"/>
    <w:rsid w:val="212B3353"/>
    <w:rsid w:val="22555A6D"/>
    <w:rsid w:val="22CB727F"/>
    <w:rsid w:val="2368694F"/>
    <w:rsid w:val="2373298F"/>
    <w:rsid w:val="243B2A42"/>
    <w:rsid w:val="255F4B51"/>
    <w:rsid w:val="258862E1"/>
    <w:rsid w:val="25F438FA"/>
    <w:rsid w:val="25F940E3"/>
    <w:rsid w:val="2614042C"/>
    <w:rsid w:val="26915F9D"/>
    <w:rsid w:val="26F2197A"/>
    <w:rsid w:val="26F460F1"/>
    <w:rsid w:val="28430BE5"/>
    <w:rsid w:val="29740D18"/>
    <w:rsid w:val="29ED731C"/>
    <w:rsid w:val="2B1E787C"/>
    <w:rsid w:val="2C035114"/>
    <w:rsid w:val="2CA97195"/>
    <w:rsid w:val="2D4A6342"/>
    <w:rsid w:val="2E9164A0"/>
    <w:rsid w:val="2F544DAB"/>
    <w:rsid w:val="301B005F"/>
    <w:rsid w:val="30F03EC6"/>
    <w:rsid w:val="31CA2CB1"/>
    <w:rsid w:val="32B220E5"/>
    <w:rsid w:val="32F163A0"/>
    <w:rsid w:val="33AD1B0D"/>
    <w:rsid w:val="35357D2D"/>
    <w:rsid w:val="362A7130"/>
    <w:rsid w:val="37BF0817"/>
    <w:rsid w:val="3951224F"/>
    <w:rsid w:val="39DE7719"/>
    <w:rsid w:val="3B157C3A"/>
    <w:rsid w:val="3B164BD3"/>
    <w:rsid w:val="3B2E52E4"/>
    <w:rsid w:val="3C2D3E3E"/>
    <w:rsid w:val="3C480EBB"/>
    <w:rsid w:val="3D4B11F6"/>
    <w:rsid w:val="3DC85A81"/>
    <w:rsid w:val="3FE44304"/>
    <w:rsid w:val="4024701D"/>
    <w:rsid w:val="43631912"/>
    <w:rsid w:val="439D2C94"/>
    <w:rsid w:val="43B835F7"/>
    <w:rsid w:val="44FF2E19"/>
    <w:rsid w:val="45B32C6F"/>
    <w:rsid w:val="48C22171"/>
    <w:rsid w:val="49567AC4"/>
    <w:rsid w:val="4A8C56EF"/>
    <w:rsid w:val="4C30799A"/>
    <w:rsid w:val="4DB92865"/>
    <w:rsid w:val="4E3B3736"/>
    <w:rsid w:val="4FBA3709"/>
    <w:rsid w:val="505D08B0"/>
    <w:rsid w:val="506D265B"/>
    <w:rsid w:val="50DE75DE"/>
    <w:rsid w:val="52734B96"/>
    <w:rsid w:val="52E56EC7"/>
    <w:rsid w:val="53E43008"/>
    <w:rsid w:val="54495B99"/>
    <w:rsid w:val="54B908A2"/>
    <w:rsid w:val="553B20C4"/>
    <w:rsid w:val="55990883"/>
    <w:rsid w:val="55A27CD6"/>
    <w:rsid w:val="57D416BE"/>
    <w:rsid w:val="5AC22A4B"/>
    <w:rsid w:val="5C542807"/>
    <w:rsid w:val="5D916F3A"/>
    <w:rsid w:val="5DA03097"/>
    <w:rsid w:val="5DA1280B"/>
    <w:rsid w:val="5E7B6ABD"/>
    <w:rsid w:val="5F726FC0"/>
    <w:rsid w:val="5FA374D1"/>
    <w:rsid w:val="618F1FCE"/>
    <w:rsid w:val="626C253F"/>
    <w:rsid w:val="6271362C"/>
    <w:rsid w:val="662B6FB5"/>
    <w:rsid w:val="69BA2075"/>
    <w:rsid w:val="69E03AB5"/>
    <w:rsid w:val="6A7266C2"/>
    <w:rsid w:val="6AAF721D"/>
    <w:rsid w:val="6B445CF6"/>
    <w:rsid w:val="6C486057"/>
    <w:rsid w:val="6C772D9A"/>
    <w:rsid w:val="6C8A02CC"/>
    <w:rsid w:val="6D185F40"/>
    <w:rsid w:val="6E7335BA"/>
    <w:rsid w:val="6F490CF7"/>
    <w:rsid w:val="6F71228E"/>
    <w:rsid w:val="70804370"/>
    <w:rsid w:val="71E6122A"/>
    <w:rsid w:val="724B6623"/>
    <w:rsid w:val="735243C3"/>
    <w:rsid w:val="749D6A35"/>
    <w:rsid w:val="74FE794D"/>
    <w:rsid w:val="758E160B"/>
    <w:rsid w:val="767361D9"/>
    <w:rsid w:val="77170575"/>
    <w:rsid w:val="786654A6"/>
    <w:rsid w:val="78EC6564"/>
    <w:rsid w:val="79336CA0"/>
    <w:rsid w:val="7A915F79"/>
    <w:rsid w:val="7B972B66"/>
    <w:rsid w:val="7CBF0A7A"/>
    <w:rsid w:val="7DC67088"/>
    <w:rsid w:val="7EB42711"/>
    <w:rsid w:val="7F5759C7"/>
    <w:rsid w:val="7F805FF3"/>
    <w:rsid w:val="7F90393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link w:val="9"/>
    <w:autoRedefine/>
    <w:semiHidden/>
    <w:qFormat/>
    <w:uiPriority w:val="99"/>
    <w:pPr>
      <w:tabs>
        <w:tab w:val="center" w:pos="4153"/>
        <w:tab w:val="right" w:pos="8306"/>
      </w:tabs>
      <w:snapToGrid w:val="0"/>
      <w:jc w:val="left"/>
    </w:pPr>
    <w:rPr>
      <w:sz w:val="18"/>
      <w:szCs w:val="18"/>
    </w:rPr>
  </w:style>
  <w:style w:type="paragraph" w:styleId="4">
    <w:name w:val="header"/>
    <w:basedOn w:val="1"/>
    <w:link w:val="8"/>
    <w:autoRedefine/>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spacing w:beforeAutospacing="1" w:afterAutospacing="1"/>
      <w:jc w:val="left"/>
    </w:pPr>
    <w:rPr>
      <w:kern w:val="0"/>
      <w:sz w:val="24"/>
    </w:rPr>
  </w:style>
  <w:style w:type="character" w:customStyle="1" w:styleId="8">
    <w:name w:val="页眉 Char"/>
    <w:link w:val="4"/>
    <w:autoRedefine/>
    <w:semiHidden/>
    <w:qFormat/>
    <w:locked/>
    <w:uiPriority w:val="99"/>
    <w:rPr>
      <w:rFonts w:cs="Times New Roman"/>
      <w:kern w:val="2"/>
      <w:sz w:val="18"/>
      <w:szCs w:val="18"/>
    </w:rPr>
  </w:style>
  <w:style w:type="character" w:customStyle="1" w:styleId="9">
    <w:name w:val="页脚 Char"/>
    <w:link w:val="3"/>
    <w:autoRedefine/>
    <w:semiHidden/>
    <w:qFormat/>
    <w:locked/>
    <w:uiPriority w:val="99"/>
    <w:rPr>
      <w:rFonts w:cs="Times New Roman"/>
      <w:kern w:val="2"/>
      <w:sz w:val="18"/>
      <w:szCs w:val="18"/>
    </w:rPr>
  </w:style>
  <w:style w:type="character" w:customStyle="1" w:styleId="10">
    <w:name w:val="批注框文本 Char"/>
    <w:link w:val="2"/>
    <w:autoRedefine/>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0</Company>
  <Pages>1</Pages>
  <Words>538</Words>
  <Characters>615</Characters>
  <Lines>9</Lines>
  <Paragraphs>2</Paragraphs>
  <TotalTime>10</TotalTime>
  <ScaleCrop>false</ScaleCrop>
  <LinksUpToDate>false</LinksUpToDate>
  <CharactersWithSpaces>637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2016-06-18T04:57:00Z</dcterms:created>
  <dc:creator>admin</dc:creator>
  <cp:lastModifiedBy>~、《       】</cp:lastModifiedBy>
  <cp:lastPrinted>2022-03-11T11:34:00Z</cp:lastPrinted>
  <dcterms:modified xsi:type="dcterms:W3CDTF">2024-03-29T10:43:12Z</dcterms:modified>
  <dc:title>xxx工程招标控制价编制说明</dc:title>
  <cp:revision>289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7B10327DD64144B1905EF2C600FDAC9C_13</vt:lpwstr>
  </property>
</Properties>
</file>