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numPr>
          <w:ilvl w:val="0"/>
          <w:numId w:val="0"/>
        </w:numPr>
        <w:spacing w:line="480" w:lineRule="auto"/>
        <w:jc w:val="center"/>
        <w:outlineLvl w:val="0"/>
        <w:rPr>
          <w:rStyle w:val="13"/>
          <w:rFonts w:hint="eastAsia" w:asciiTheme="majorEastAsia" w:hAnsiTheme="majorEastAsia" w:eastAsiaTheme="majorEastAsia" w:cstheme="majorEastAsia"/>
          <w:b/>
          <w:bCs/>
          <w:color w:val="auto"/>
          <w:kern w:val="2"/>
          <w:sz w:val="30"/>
          <w:szCs w:val="30"/>
        </w:rPr>
      </w:pPr>
      <w:bookmarkStart w:id="2" w:name="_GoBack"/>
      <w:bookmarkEnd w:id="2"/>
      <w:bookmarkStart w:id="0" w:name="_Toc340225294"/>
      <w:bookmarkStart w:id="1" w:name="_Toc267320052"/>
      <w:r>
        <w:rPr>
          <w:rFonts w:hint="eastAsia" w:asciiTheme="majorEastAsia" w:hAnsiTheme="majorEastAsia" w:eastAsiaTheme="majorEastAsia" w:cstheme="majorEastAsia"/>
          <w:b/>
          <w:bCs/>
          <w:color w:val="auto"/>
          <w:sz w:val="30"/>
          <w:szCs w:val="30"/>
          <w:u w:val="none"/>
          <w:lang w:eastAsia="zh-CN"/>
        </w:rPr>
        <w:t>阿图什市老城区至新城区（园区）道路连接线建设项目（克州阿图什市新城东路改扩建项目）审计服务项目</w:t>
      </w:r>
      <w:r>
        <w:rPr>
          <w:rStyle w:val="13"/>
          <w:rFonts w:hint="eastAsia" w:asciiTheme="majorEastAsia" w:hAnsiTheme="majorEastAsia" w:eastAsiaTheme="majorEastAsia" w:cstheme="majorEastAsia"/>
          <w:b/>
          <w:bCs/>
          <w:color w:val="auto"/>
          <w:kern w:val="2"/>
          <w:sz w:val="30"/>
          <w:szCs w:val="30"/>
        </w:rPr>
        <w:t>服务标准及要求</w:t>
      </w:r>
    </w:p>
    <w:p>
      <w:pPr>
        <w:jc w:val="center"/>
        <w:outlineLvl w:val="0"/>
        <w:rPr>
          <w:rFonts w:hint="eastAsia" w:ascii="仿宋" w:hAnsi="仿宋" w:eastAsia="仿宋" w:cs="仿宋"/>
          <w:b w:val="0"/>
          <w:bCs w:val="0"/>
          <w:sz w:val="28"/>
          <w:szCs w:val="28"/>
          <w:u w:val="none"/>
        </w:rPr>
      </w:pPr>
    </w:p>
    <w:p>
      <w:pPr>
        <w:pStyle w:val="11"/>
        <w:spacing w:line="380" w:lineRule="exact"/>
        <w:ind w:firstLine="480"/>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position w:val="0"/>
          <w:sz w:val="24"/>
          <w:szCs w:val="24"/>
          <w:highlight w:val="none"/>
          <w:shd w:val="clear" w:color="auto" w:fill="auto"/>
          <w:lang w:val="en-US" w:eastAsia="en-US" w:bidi="en-US"/>
          <w14:textFill>
            <w14:solidFill>
              <w14:schemeClr w14:val="tx1"/>
            </w14:solidFill>
          </w14:textFill>
        </w:rPr>
        <w:t>一、采购服务需求：</w:t>
      </w:r>
      <w:r>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t>项目阶段性跟踪审核服务，包括：确定阶段性跟踪审核计划、执行阶段性跟踪审核程序、获取阶段性跟踪审核证据、得出阶段性跟踪审核结论，包含工程结算审查、全过程造价审核（包括施工过程中进度款审核、过程签证、变更审核）、工程决算审核等并出具审核报告（项目结束后出具整体跟踪审核报告）。</w:t>
      </w:r>
    </w:p>
    <w:p>
      <w:pPr>
        <w:pStyle w:val="11"/>
        <w:spacing w:line="380" w:lineRule="exact"/>
        <w:ind w:firstLine="480"/>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pPr>
    </w:p>
    <w:p>
      <w:pPr>
        <w:pStyle w:val="11"/>
        <w:spacing w:line="380" w:lineRule="exact"/>
        <w:ind w:firstLine="480"/>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position w:val="0"/>
          <w:sz w:val="24"/>
          <w:szCs w:val="24"/>
          <w:highlight w:val="none"/>
          <w:shd w:val="clear" w:color="auto" w:fill="auto"/>
          <w:lang w:val="en-US" w:eastAsia="en-US" w:bidi="en-US"/>
          <w14:textFill>
            <w14:solidFill>
              <w14:schemeClr w14:val="tx1"/>
            </w14:solidFill>
          </w14:textFill>
        </w:rPr>
        <w:t>二、服务技术要求：</w:t>
      </w:r>
      <w:r>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t>项目阶段性跟踪审核（服务均须执行中华人民共和国国家标准及住房和城乡建设部颁发的有关建筑工程、市政工程现行的规程、标准、规范、办法，以及住房和城乡建设部、新疆维吾尔自治区住房和城乡建设行政主管部门下发的有关建设工程方面的文件、规定。</w:t>
      </w:r>
    </w:p>
    <w:p>
      <w:pPr>
        <w:pStyle w:val="11"/>
        <w:spacing w:line="380" w:lineRule="exact"/>
        <w:ind w:firstLine="480"/>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t>确定的阶段性跟踪审核计划要科学合理、可行高效；执行阶段性跟踪审核程序要认真负责；获取阶段性跟踪审核证据要及时、实事求实、不得伪造捏造虚假证据；得出阶段性跟踪审核结论要准确全面、有据可依；对工程结算审查、施工过程中进度款审核、过程签证、变更审核等要依据合同协议书、中标通知书、投标文件及其附件、施工合同专用条款、施工合同通用条款、标准、规范及有关技术文件、图纸、工程量清单、工程报价单结合审核证据等依据据实审核；工程结算并出具的审核报告要符合相关法律、规范规定。</w:t>
      </w:r>
    </w:p>
    <w:p>
      <w:pPr>
        <w:pStyle w:val="11"/>
        <w:spacing w:line="380" w:lineRule="exact"/>
        <w:ind w:firstLine="480"/>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pPr>
    </w:p>
    <w:p>
      <w:pPr>
        <w:pStyle w:val="11"/>
        <w:spacing w:line="380" w:lineRule="exact"/>
        <w:ind w:firstLine="480"/>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t>三、</w:t>
      </w:r>
      <w:r>
        <w:rPr>
          <w:rFonts w:hint="eastAsia" w:asciiTheme="minorEastAsia" w:hAnsiTheme="minorEastAsia" w:eastAsiaTheme="minorEastAsia" w:cstheme="minorEastAsia"/>
          <w:b/>
          <w:bCs/>
          <w:color w:val="000000" w:themeColor="text1"/>
          <w:spacing w:val="0"/>
          <w:w w:val="100"/>
          <w:position w:val="0"/>
          <w:sz w:val="24"/>
          <w:szCs w:val="24"/>
          <w:highlight w:val="none"/>
          <w:shd w:val="clear" w:color="auto" w:fill="auto"/>
          <w:lang w:val="en-US" w:eastAsia="zh-CN" w:bidi="en-US"/>
          <w14:textFill>
            <w14:solidFill>
              <w14:schemeClr w14:val="tx1"/>
            </w14:solidFill>
          </w14:textFill>
        </w:rPr>
        <w:t>服务期限：</w:t>
      </w:r>
      <w:r>
        <w:rPr>
          <w:rFonts w:hint="eastAsia" w:ascii="宋体" w:hAnsi="宋体" w:cs="宋体"/>
          <w:sz w:val="24"/>
          <w:szCs w:val="24"/>
        </w:rPr>
        <w:t>自</w:t>
      </w:r>
      <w:r>
        <w:rPr>
          <w:rFonts w:hint="eastAsia" w:ascii="宋体" w:hAnsi="宋体" w:cs="宋体"/>
          <w:sz w:val="24"/>
          <w:szCs w:val="24"/>
          <w:lang w:val="en-US" w:eastAsia="zh-CN"/>
        </w:rPr>
        <w:t>签订合同之日</w:t>
      </w:r>
      <w:r>
        <w:rPr>
          <w:rFonts w:hint="eastAsia" w:ascii="宋体" w:hAnsi="宋体" w:cs="宋体"/>
          <w:sz w:val="24"/>
          <w:szCs w:val="24"/>
        </w:rPr>
        <w:t>开始实施，至</w:t>
      </w:r>
      <w:r>
        <w:rPr>
          <w:rFonts w:hint="eastAsia" w:ascii="宋体" w:hAnsi="宋体" w:cs="宋体"/>
          <w:sz w:val="24"/>
          <w:szCs w:val="24"/>
          <w:lang w:val="en-US" w:eastAsia="zh-CN"/>
        </w:rPr>
        <w:t>此</w:t>
      </w:r>
      <w:r>
        <w:rPr>
          <w:rFonts w:hint="eastAsia" w:ascii="宋体" w:hAnsi="宋体" w:cs="宋体"/>
          <w:sz w:val="24"/>
          <w:szCs w:val="24"/>
        </w:rPr>
        <w:t>项目实施完毕</w:t>
      </w:r>
      <w:r>
        <w:rPr>
          <w:rFonts w:hint="eastAsia" w:ascii="宋体" w:hAnsi="宋体" w:eastAsia="宋体" w:cs="宋体"/>
          <w:sz w:val="24"/>
          <w:szCs w:val="24"/>
          <w:lang w:val="en-US" w:eastAsia="zh-CN"/>
        </w:rPr>
        <w:t>出具完整的审计报告</w:t>
      </w:r>
      <w:r>
        <w:rPr>
          <w:rFonts w:hint="eastAsia" w:ascii="宋体" w:hAnsi="宋体" w:cs="宋体"/>
          <w:sz w:val="24"/>
          <w:szCs w:val="24"/>
        </w:rPr>
        <w:t>止。</w:t>
      </w:r>
    </w:p>
    <w:p>
      <w:pPr>
        <w:pStyle w:val="11"/>
        <w:spacing w:line="380" w:lineRule="exact"/>
        <w:ind w:firstLine="480"/>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pPr>
    </w:p>
    <w:p>
      <w:pPr>
        <w:pStyle w:val="11"/>
        <w:spacing w:line="380" w:lineRule="exact"/>
        <w:ind w:firstLine="480"/>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position w:val="0"/>
          <w:sz w:val="24"/>
          <w:szCs w:val="24"/>
          <w:highlight w:val="none"/>
          <w:shd w:val="clear" w:color="auto" w:fill="auto"/>
          <w:lang w:val="en-US" w:eastAsia="en-US" w:bidi="en-US"/>
          <w14:textFill>
            <w14:solidFill>
              <w14:schemeClr w14:val="tx1"/>
            </w14:solidFill>
          </w14:textFill>
        </w:rPr>
        <w:t>四、服务标准</w:t>
      </w:r>
    </w:p>
    <w:p>
      <w:pPr>
        <w:pStyle w:val="11"/>
        <w:spacing w:line="380" w:lineRule="exact"/>
        <w:ind w:firstLine="480"/>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t>1.供应商要严格遵守国家的法律、法规和有关规章制度，严格遵守行为准则和职业道德，按现行的审核项目操作规程及质量控制规定开展工作。</w:t>
      </w:r>
    </w:p>
    <w:p>
      <w:pPr>
        <w:pStyle w:val="11"/>
        <w:spacing w:line="380" w:lineRule="exact"/>
        <w:ind w:firstLine="480"/>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t>2.供应商对成果文件应实行内部“三级复核”制度。应依照相关依据发表专业意见出具成果文件，并对成果的真实性、完整性、准确性负责。</w:t>
      </w:r>
    </w:p>
    <w:p>
      <w:pPr>
        <w:pStyle w:val="11"/>
        <w:spacing w:line="380" w:lineRule="exact"/>
        <w:ind w:firstLine="480"/>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t>3.审核报告编制标准：审核内容完整、数据准确、依据充分；审核结论定性客观、定量准确、依据充分；核增核减原因定性准确、条理清晰，披露审核问题有理有据、分析透彻；提出审核建议措施具体、针对性强。</w:t>
      </w:r>
    </w:p>
    <w:p>
      <w:pPr>
        <w:pStyle w:val="11"/>
        <w:spacing w:line="380" w:lineRule="exact"/>
        <w:ind w:left="0" w:leftChars="0" w:firstLine="0" w:firstLineChars="0"/>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pPr>
    </w:p>
    <w:p>
      <w:pPr>
        <w:pStyle w:val="11"/>
        <w:spacing w:line="380" w:lineRule="exact"/>
        <w:ind w:firstLine="480"/>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position w:val="0"/>
          <w:sz w:val="24"/>
          <w:szCs w:val="24"/>
          <w:highlight w:val="none"/>
          <w:shd w:val="clear" w:color="auto" w:fill="auto"/>
          <w:lang w:val="en-US" w:eastAsia="en-US" w:bidi="en-US"/>
          <w14:textFill>
            <w14:solidFill>
              <w14:schemeClr w14:val="tx1"/>
            </w14:solidFill>
          </w14:textFill>
        </w:rPr>
        <w:t>五、人员要求：</w:t>
      </w:r>
      <w:r>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t>拟派本项目的项目负责人需具备一级注册造价工程师及中级以上（含中级）工程师职称</w:t>
      </w:r>
      <w:r>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zh-CN" w:bidi="en-US"/>
          <w14:textFill>
            <w14:solidFill>
              <w14:schemeClr w14:val="tx1"/>
            </w14:solidFill>
          </w14:textFill>
        </w:rPr>
        <w:t>，并配备相应的审计人员班子</w:t>
      </w:r>
      <w:r>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t>。</w:t>
      </w:r>
    </w:p>
    <w:bookmarkEnd w:id="0"/>
    <w:bookmarkEnd w:id="1"/>
    <w:p>
      <w:pPr>
        <w:keepNext w:val="0"/>
        <w:keepLines w:val="0"/>
        <w:pageBreakBefore w:val="0"/>
        <w:kinsoku/>
        <w:wordWrap/>
        <w:overflowPunct/>
        <w:topLinePunct w:val="0"/>
        <w:autoSpaceDE/>
        <w:autoSpaceDN/>
        <w:bidi w:val="0"/>
        <w:adjustRightInd/>
        <w:snapToGrid/>
        <w:spacing w:line="336" w:lineRule="auto"/>
        <w:jc w:val="left"/>
        <w:textAlignment w:val="auto"/>
        <w:rPr>
          <w:rFonts w:hint="eastAsia" w:asciiTheme="minorEastAsia" w:hAnsiTheme="minorEastAsia" w:eastAsiaTheme="minorEastAsia" w:cstheme="minorEastAsia"/>
          <w:sz w:val="24"/>
          <w:szCs w:val="24"/>
        </w:rPr>
      </w:pPr>
    </w:p>
    <w:p>
      <w:pPr>
        <w:shd w:val="clear" w:color="auto" w:fill="auto"/>
        <w:spacing w:line="440" w:lineRule="exact"/>
        <w:ind w:firstLine="482" w:firstLineChars="200"/>
        <w:jc w:val="left"/>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position w:val="0"/>
          <w:sz w:val="24"/>
          <w:szCs w:val="24"/>
          <w:highlight w:val="none"/>
          <w:shd w:val="clear" w:color="auto" w:fill="auto"/>
          <w:lang w:val="en-US" w:eastAsia="zh-CN" w:bidi="en-US"/>
          <w14:textFill>
            <w14:solidFill>
              <w14:schemeClr w14:val="tx1"/>
            </w14:solidFill>
          </w14:textFill>
        </w:rPr>
        <w:t>六、服务</w:t>
      </w:r>
      <w:r>
        <w:rPr>
          <w:rFonts w:hint="eastAsia" w:asciiTheme="minorEastAsia" w:hAnsiTheme="minorEastAsia" w:eastAsiaTheme="minorEastAsia" w:cstheme="minorEastAsia"/>
          <w:b/>
          <w:bCs/>
          <w:color w:val="000000" w:themeColor="text1"/>
          <w:spacing w:val="0"/>
          <w:w w:val="100"/>
          <w:position w:val="0"/>
          <w:sz w:val="24"/>
          <w:szCs w:val="24"/>
          <w:highlight w:val="none"/>
          <w:shd w:val="clear" w:color="auto" w:fill="auto"/>
          <w:lang w:val="en-US" w:eastAsia="en-US" w:bidi="en-US"/>
          <w14:textFill>
            <w14:solidFill>
              <w14:schemeClr w14:val="tx1"/>
            </w14:solidFill>
          </w14:textFill>
        </w:rPr>
        <w:t>地点</w:t>
      </w:r>
      <w:r>
        <w:rPr>
          <w:rFonts w:hint="eastAsia" w:asciiTheme="minorEastAsia" w:hAnsiTheme="minorEastAsia" w:eastAsiaTheme="minorEastAsia" w:cstheme="minorEastAsia"/>
          <w:b/>
          <w:bCs/>
          <w:color w:val="000000" w:themeColor="text1"/>
          <w:spacing w:val="0"/>
          <w:w w:val="100"/>
          <w:position w:val="0"/>
          <w:sz w:val="24"/>
          <w:szCs w:val="24"/>
          <w:highlight w:val="none"/>
          <w:shd w:val="clear" w:color="auto" w:fill="auto"/>
          <w:lang w:val="en-US" w:eastAsia="zh-CN" w:bidi="en-US"/>
          <w14:textFill>
            <w14:solidFill>
              <w14:schemeClr w14:val="tx1"/>
            </w14:solidFill>
          </w14:textFill>
        </w:rPr>
        <w:t>：</w:t>
      </w:r>
      <w:r>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zh-CN" w:bidi="en-US"/>
          <w14:textFill>
            <w14:solidFill>
              <w14:schemeClr w14:val="tx1"/>
            </w14:solidFill>
          </w14:textFill>
        </w:rPr>
        <w:t>甲方指定地点（具体以签订合同为准）</w:t>
      </w:r>
    </w:p>
    <w:p>
      <w:pPr>
        <w:shd w:val="clear" w:color="auto" w:fill="auto"/>
        <w:spacing w:line="440" w:lineRule="exact"/>
        <w:ind w:firstLine="240" w:firstLineChars="100"/>
        <w:jc w:val="left"/>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en-US" w:bidi="en-US"/>
          <w14:textFill>
            <w14:solidFill>
              <w14:schemeClr w14:val="tx1"/>
            </w14:solidFill>
          </w14:textFill>
        </w:rPr>
      </w:pPr>
    </w:p>
    <w:p>
      <w:pPr>
        <w:shd w:val="clear" w:color="auto" w:fill="auto"/>
        <w:spacing w:line="440" w:lineRule="exact"/>
        <w:ind w:firstLine="482" w:firstLineChars="200"/>
        <w:jc w:val="left"/>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Theme="minorEastAsia" w:hAnsiTheme="minorEastAsia" w:eastAsiaTheme="minorEastAsia" w:cstheme="minorEastAsia"/>
          <w:b/>
          <w:bCs/>
          <w:color w:val="000000" w:themeColor="text1"/>
          <w:spacing w:val="0"/>
          <w:w w:val="100"/>
          <w:position w:val="0"/>
          <w:sz w:val="24"/>
          <w:szCs w:val="24"/>
          <w:highlight w:val="none"/>
          <w:shd w:val="clear" w:color="auto" w:fill="auto"/>
          <w:lang w:val="en-US" w:eastAsia="zh-CN" w:bidi="en-US"/>
          <w14:textFill>
            <w14:solidFill>
              <w14:schemeClr w14:val="tx1"/>
            </w14:solidFill>
          </w14:textFill>
        </w:rPr>
        <w:t>七、</w:t>
      </w:r>
      <w:r>
        <w:rPr>
          <w:rFonts w:hint="eastAsia" w:asciiTheme="minorEastAsia" w:hAnsiTheme="minorEastAsia" w:eastAsiaTheme="minorEastAsia" w:cstheme="minorEastAsia"/>
          <w:b/>
          <w:bCs/>
          <w:color w:val="000000" w:themeColor="text1"/>
          <w:spacing w:val="0"/>
          <w:w w:val="100"/>
          <w:position w:val="0"/>
          <w:sz w:val="24"/>
          <w:szCs w:val="24"/>
          <w:highlight w:val="none"/>
          <w:shd w:val="clear" w:color="auto" w:fill="auto"/>
          <w:lang w:val="en-US" w:eastAsia="en-US" w:bidi="en-US"/>
          <w14:textFill>
            <w14:solidFill>
              <w14:schemeClr w14:val="tx1"/>
            </w14:solidFill>
          </w14:textFill>
        </w:rPr>
        <w:t>报价要求</w:t>
      </w:r>
      <w:r>
        <w:rPr>
          <w:rFonts w:hint="eastAsia" w:asciiTheme="minorEastAsia" w:hAnsiTheme="minorEastAsia" w:eastAsiaTheme="minorEastAsia" w:cstheme="minorEastAsia"/>
          <w:b/>
          <w:bCs/>
          <w:color w:val="000000" w:themeColor="text1"/>
          <w:spacing w:val="0"/>
          <w:w w:val="100"/>
          <w:position w:val="0"/>
          <w:sz w:val="24"/>
          <w:szCs w:val="24"/>
          <w:highlight w:val="none"/>
          <w:shd w:val="clear" w:color="auto" w:fill="auto"/>
          <w:lang w:val="en-US" w:eastAsia="zh-CN" w:bidi="en-US"/>
          <w14:textFill>
            <w14:solidFill>
              <w14:schemeClr w14:val="tx1"/>
            </w14:solidFill>
          </w14:textFill>
        </w:rPr>
        <w:t>：</w:t>
      </w:r>
      <w:r>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zh-CN" w:bidi="en-US"/>
          <w14:textFill>
            <w14:solidFill>
              <w14:schemeClr w14:val="tx1"/>
            </w14:solidFill>
          </w14:textFill>
        </w:rPr>
        <w:t>供应商应按</w:t>
      </w:r>
      <w:r>
        <w:rPr>
          <w:rFonts w:hint="eastAsia" w:asciiTheme="minorEastAsia" w:hAnsiTheme="minorEastAsia" w:eastAsiaTheme="minorEastAsia" w:cstheme="minorEastAsia"/>
          <w:b w:val="0"/>
          <w:bCs w:val="0"/>
          <w:i w:val="0"/>
          <w:color w:val="000000"/>
          <w:sz w:val="24"/>
          <w:szCs w:val="24"/>
          <w:u w:val="none"/>
          <w:lang w:eastAsia="zh-CN"/>
        </w:rPr>
        <w:t>招标</w:t>
      </w:r>
      <w:r>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zh-CN" w:bidi="en-US"/>
          <w14:textFill>
            <w14:solidFill>
              <w14:schemeClr w14:val="tx1"/>
            </w14:solidFill>
          </w14:textFill>
        </w:rPr>
        <w:t>文件规定的供货及服务要求、责任范围和合同条件，以人民币进行报价。</w:t>
      </w:r>
    </w:p>
    <w:p>
      <w:pPr>
        <w:shd w:val="clear" w:color="auto" w:fill="auto"/>
        <w:spacing w:line="440" w:lineRule="exact"/>
        <w:ind w:firstLine="480" w:firstLineChars="200"/>
        <w:jc w:val="left"/>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zh-CN" w:bidi="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highlight w:val="none"/>
          <w:shd w:val="clear" w:color="auto" w:fill="auto"/>
          <w:lang w:val="en-US" w:eastAsia="zh-CN" w:bidi="en-US"/>
          <w14:textFill>
            <w14:solidFill>
              <w14:schemeClr w14:val="tx1"/>
            </w14:solidFill>
          </w14:textFill>
        </w:rPr>
        <w:t>供应商必须按报价一览表和分项价格表的内容和格式要求填写各项服务的分项价格和总价。供应商在招标须知前附表规定的提交首次响应文件截止之日前修改报价一览表中的报价的，应同时修改其分项价格表中的报价。</w:t>
      </w: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2"/>
      <w:lvlText w:val="%1."/>
      <w:lvlJc w:val="left"/>
      <w:pPr>
        <w:tabs>
          <w:tab w:val="left" w:pos="752"/>
        </w:tabs>
        <w:ind w:left="752" w:hanging="468"/>
      </w:pPr>
    </w:lvl>
    <w:lvl w:ilvl="1" w:tentative="0">
      <w:start w:val="1"/>
      <w:numFmt w:val="decimal"/>
      <w:lvlText w:val="%2."/>
      <w:lvlJc w:val="left"/>
      <w:pPr>
        <w:tabs>
          <w:tab w:val="left" w:pos="1724"/>
        </w:tabs>
        <w:ind w:left="1724" w:hanging="360"/>
      </w:pPr>
    </w:lvl>
    <w:lvl w:ilvl="2" w:tentative="0">
      <w:start w:val="1"/>
      <w:numFmt w:val="decimal"/>
      <w:lvlText w:val="%3."/>
      <w:lvlJc w:val="left"/>
      <w:pPr>
        <w:tabs>
          <w:tab w:val="left" w:pos="644"/>
        </w:tabs>
        <w:ind w:left="644" w:hanging="360"/>
      </w:pPr>
    </w:lvl>
    <w:lvl w:ilvl="3" w:tentative="0">
      <w:start w:val="1"/>
      <w:numFmt w:val="decimal"/>
      <w:lvlText w:val="%4."/>
      <w:lvlJc w:val="left"/>
      <w:pPr>
        <w:tabs>
          <w:tab w:val="left" w:pos="3164"/>
        </w:tabs>
        <w:ind w:left="3164" w:hanging="360"/>
      </w:pPr>
    </w:lvl>
    <w:lvl w:ilvl="4" w:tentative="0">
      <w:start w:val="1"/>
      <w:numFmt w:val="decimal"/>
      <w:lvlText w:val="%5."/>
      <w:lvlJc w:val="left"/>
      <w:pPr>
        <w:tabs>
          <w:tab w:val="left" w:pos="3884"/>
        </w:tabs>
        <w:ind w:left="3884" w:hanging="360"/>
      </w:pPr>
    </w:lvl>
    <w:lvl w:ilvl="5" w:tentative="0">
      <w:start w:val="1"/>
      <w:numFmt w:val="decimal"/>
      <w:lvlText w:val="%6."/>
      <w:lvlJc w:val="left"/>
      <w:pPr>
        <w:tabs>
          <w:tab w:val="left" w:pos="4604"/>
        </w:tabs>
        <w:ind w:left="4604" w:hanging="360"/>
      </w:pPr>
    </w:lvl>
    <w:lvl w:ilvl="6" w:tentative="0">
      <w:start w:val="1"/>
      <w:numFmt w:val="decimal"/>
      <w:lvlText w:val="%7."/>
      <w:lvlJc w:val="left"/>
      <w:pPr>
        <w:tabs>
          <w:tab w:val="left" w:pos="5324"/>
        </w:tabs>
        <w:ind w:left="5324" w:hanging="360"/>
      </w:pPr>
    </w:lvl>
    <w:lvl w:ilvl="7" w:tentative="0">
      <w:start w:val="1"/>
      <w:numFmt w:val="decimal"/>
      <w:lvlText w:val="%8."/>
      <w:lvlJc w:val="left"/>
      <w:pPr>
        <w:tabs>
          <w:tab w:val="left" w:pos="6044"/>
        </w:tabs>
        <w:ind w:left="6044" w:hanging="360"/>
      </w:pPr>
    </w:lvl>
    <w:lvl w:ilvl="8" w:tentative="0">
      <w:start w:val="1"/>
      <w:numFmt w:val="decimal"/>
      <w:lvlText w:val="%9."/>
      <w:lvlJc w:val="left"/>
      <w:pPr>
        <w:tabs>
          <w:tab w:val="left" w:pos="6764"/>
        </w:tabs>
        <w:ind w:left="6764" w:hanging="360"/>
      </w:pPr>
    </w:lvl>
  </w:abstractNum>
  <w:abstractNum w:abstractNumId="1">
    <w:nsid w:val="0000000D"/>
    <w:multiLevelType w:val="multilevel"/>
    <w:tmpl w:val="0000000D"/>
    <w:lvl w:ilvl="0" w:tentative="0">
      <w:start w:val="1"/>
      <w:numFmt w:val="decimal"/>
      <w:pStyle w:val="4"/>
      <w:lvlText w:val="%1."/>
      <w:lvlJc w:val="left"/>
      <w:pPr>
        <w:tabs>
          <w:tab w:val="left" w:pos="780"/>
        </w:tabs>
        <w:ind w:left="1030" w:hanging="430"/>
      </w:pPr>
      <w:rPr>
        <w:rFonts w:hint="eastAsia"/>
      </w:rPr>
    </w:lvl>
    <w:lvl w:ilvl="1" w:tentative="0">
      <w:start w:val="1"/>
      <w:numFmt w:val="decimal"/>
      <w:lvlText w:val="%1.%2"/>
      <w:lvlJc w:val="left"/>
      <w:pPr>
        <w:tabs>
          <w:tab w:val="left" w:pos="880"/>
        </w:tabs>
        <w:ind w:left="1120" w:hanging="700"/>
      </w:pPr>
      <w:rPr>
        <w:rFonts w:ascii="宋体" w:hAnsi="宋体" w:eastAsia="宋体" w:cs="Times New Roman"/>
        <w:lang w:val="en-US"/>
      </w:rPr>
    </w:lvl>
    <w:lvl w:ilvl="2" w:tentative="0">
      <w:start w:val="1"/>
      <w:numFmt w:val="decimal"/>
      <w:lvlText w:val="%1.%2.%3"/>
      <w:lvlJc w:val="left"/>
      <w:pPr>
        <w:tabs>
          <w:tab w:val="left" w:pos="1360"/>
        </w:tabs>
        <w:ind w:left="1600" w:hanging="1000"/>
      </w:pPr>
      <w:rPr>
        <w:rFonts w:hint="eastAsia"/>
      </w:rPr>
    </w:lvl>
    <w:lvl w:ilvl="3" w:tentative="0">
      <w:start w:val="1"/>
      <w:numFmt w:val="decimal"/>
      <w:lvlText w:val="%1.%2.%3.%4"/>
      <w:lvlJc w:val="left"/>
      <w:pPr>
        <w:tabs>
          <w:tab w:val="left" w:pos="360"/>
        </w:tabs>
        <w:ind w:left="2584" w:hanging="1984"/>
      </w:pPr>
      <w:rPr>
        <w:rFonts w:hint="eastAsia"/>
      </w:rPr>
    </w:lvl>
    <w:lvl w:ilvl="4" w:tentative="0">
      <w:start w:val="1"/>
      <w:numFmt w:val="decimal"/>
      <w:lvlText w:val="%1.%2.%3.%4.%5"/>
      <w:lvlJc w:val="left"/>
      <w:pPr>
        <w:tabs>
          <w:tab w:val="left" w:pos="2911"/>
        </w:tabs>
        <w:ind w:left="3034" w:hanging="850"/>
      </w:pPr>
      <w:rPr>
        <w:rFonts w:hint="eastAsia"/>
      </w:rPr>
    </w:lvl>
    <w:lvl w:ilvl="5" w:tentative="0">
      <w:start w:val="1"/>
      <w:numFmt w:val="decimal"/>
      <w:lvlText w:val="%1.%2.%3.%4.%5.%6"/>
      <w:lvlJc w:val="left"/>
      <w:pPr>
        <w:tabs>
          <w:tab w:val="left" w:pos="3620"/>
        </w:tabs>
        <w:ind w:left="3860" w:hanging="1134"/>
      </w:pPr>
      <w:rPr>
        <w:rFonts w:hint="eastAsia"/>
      </w:rPr>
    </w:lvl>
    <w:lvl w:ilvl="6" w:tentative="0">
      <w:start w:val="1"/>
      <w:numFmt w:val="decimal"/>
      <w:lvlText w:val="%1.%2.%3.%4.%5.%6.%7"/>
      <w:lvlJc w:val="left"/>
      <w:pPr>
        <w:tabs>
          <w:tab w:val="left" w:pos="4187"/>
        </w:tabs>
        <w:ind w:left="4427" w:hanging="1276"/>
      </w:pPr>
      <w:rPr>
        <w:rFonts w:hint="eastAsia"/>
      </w:rPr>
    </w:lvl>
    <w:lvl w:ilvl="7" w:tentative="0">
      <w:start w:val="1"/>
      <w:numFmt w:val="decimal"/>
      <w:lvlText w:val="%1.%2.%3.%4.%5.%6.%7.%8"/>
      <w:lvlJc w:val="left"/>
      <w:pPr>
        <w:tabs>
          <w:tab w:val="left" w:pos="4754"/>
        </w:tabs>
        <w:ind w:left="4994" w:hanging="1418"/>
      </w:pPr>
      <w:rPr>
        <w:rFonts w:hint="eastAsia"/>
      </w:rPr>
    </w:lvl>
    <w:lvl w:ilvl="8" w:tentative="0">
      <w:start w:val="1"/>
      <w:numFmt w:val="decimal"/>
      <w:lvlText w:val="%1.%2.%3.%4.%5.%6.%7.%8.%9"/>
      <w:lvlJc w:val="left"/>
      <w:pPr>
        <w:tabs>
          <w:tab w:val="left" w:pos="5462"/>
        </w:tabs>
        <w:ind w:left="57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NTBlNzQyMjVmNGUwMzI3NWNlODYxYzUzZDAzYWMifQ=="/>
  </w:docVars>
  <w:rsids>
    <w:rsidRoot w:val="252D4B50"/>
    <w:rsid w:val="11C9307C"/>
    <w:rsid w:val="252D4B50"/>
    <w:rsid w:val="3D394CFE"/>
    <w:rsid w:val="413907D9"/>
    <w:rsid w:val="57D57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link w:val="13"/>
    <w:autoRedefine/>
    <w:qFormat/>
    <w:uiPriority w:val="0"/>
    <w:pPr>
      <w:keepNext/>
      <w:jc w:val="center"/>
      <w:outlineLvl w:val="0"/>
    </w:pPr>
    <w:rPr>
      <w:rFonts w:ascii="仿宋_GB2312" w:eastAsia="仿宋_GB2312"/>
      <w:kern w:val="0"/>
      <w:sz w:val="28"/>
    </w:rPr>
  </w:style>
  <w:style w:type="paragraph" w:styleId="2">
    <w:name w:val="heading 3"/>
    <w:basedOn w:val="1"/>
    <w:next w:val="1"/>
    <w:autoRedefine/>
    <w:qFormat/>
    <w:uiPriority w:val="0"/>
    <w:pPr>
      <w:keepNext/>
      <w:numPr>
        <w:ilvl w:val="0"/>
        <w:numId w:val="1"/>
      </w:numPr>
      <w:tabs>
        <w:tab w:val="left" w:pos="468"/>
      </w:tabs>
      <w:outlineLvl w:val="2"/>
    </w:pPr>
    <w:rPr>
      <w:b/>
      <w:bCs/>
      <w:sz w:val="28"/>
      <w:szCs w:val="2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qFormat/>
    <w:uiPriority w:val="99"/>
    <w:pPr>
      <w:numPr>
        <w:ilvl w:val="0"/>
        <w:numId w:val="2"/>
      </w:numPr>
      <w:tabs>
        <w:tab w:val="clear" w:pos="780"/>
      </w:tabs>
      <w:ind w:left="0" w:firstLine="0"/>
    </w:pPr>
    <w:rPr>
      <w:rFonts w:ascii="黑体" w:eastAsia="黑体"/>
      <w:sz w:val="22"/>
    </w:rPr>
  </w:style>
  <w:style w:type="paragraph" w:styleId="5">
    <w:name w:val="Body Text First Indent"/>
    <w:basedOn w:val="4"/>
    <w:next w:val="6"/>
    <w:autoRedefine/>
    <w:unhideWhenUsed/>
    <w:qFormat/>
    <w:uiPriority w:val="0"/>
    <w:pPr>
      <w:tabs>
        <w:tab w:val="left" w:pos="780"/>
      </w:tabs>
      <w:adjustRightInd/>
      <w:spacing w:after="120" w:line="240" w:lineRule="auto"/>
      <w:ind w:firstLine="420" w:firstLineChars="100"/>
      <w:jc w:val="both"/>
    </w:pPr>
    <w:rPr>
      <w:rFonts w:ascii="Times New Roman"/>
      <w:kern w:val="2"/>
      <w:sz w:val="21"/>
      <w:szCs w:val="24"/>
    </w:rPr>
  </w:style>
  <w:style w:type="paragraph" w:styleId="6">
    <w:name w:val="toc 6"/>
    <w:basedOn w:val="1"/>
    <w:next w:val="1"/>
    <w:autoRedefine/>
    <w:qFormat/>
    <w:uiPriority w:val="0"/>
    <w:pPr>
      <w:ind w:left="2100" w:leftChars="10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customStyle="1" w:styleId="11">
    <w:name w:val="List Paragraph_40b67d30-6b8b-4697-8f49-97c11e174001"/>
    <w:basedOn w:val="1"/>
    <w:autoRedefine/>
    <w:qFormat/>
    <w:uiPriority w:val="34"/>
    <w:pPr>
      <w:ind w:firstLine="420" w:firstLineChars="200"/>
    </w:pPr>
    <w:rPr>
      <w:rFonts w:ascii="Calibri" w:hAnsi="Calibri" w:cs="宋体"/>
      <w:szCs w:val="22"/>
    </w:rPr>
  </w:style>
  <w:style w:type="paragraph" w:customStyle="1" w:styleId="12">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3">
    <w:name w:val="标题 1 字符"/>
    <w:link w:val="3"/>
    <w:autoRedefine/>
    <w:qFormat/>
    <w:uiPriority w:val="0"/>
    <w:rPr>
      <w:rFonts w:ascii="仿宋_GB2312" w:eastAsia="仿宋_GB2312"/>
      <w:kern w:val="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2024-01-12T03:34:00Z</dcterms:created>
  <dc:creator>丛林先生</dc:creator>
  <cp:lastModifiedBy>丛林先生</cp:lastModifiedBy>
  <dcterms:modified xsi:type="dcterms:W3CDTF">2024-04-11T02:36:58Z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3CC74B8313AD463BA8545AA6F7613728_11</vt:lpwstr>
  </property>
</Properties>
</file>