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color w:val="auto"/>
          <w:sz w:val="28"/>
          <w:lang w:val="en-US" w:eastAsia="zh-CN"/>
        </w:rPr>
      </w:pPr>
      <w:r>
        <w:rPr>
          <w:rFonts w:hint="eastAsia" w:ascii="宋体" w:hAnsi="宋体"/>
          <w:b/>
          <w:color w:val="auto"/>
          <w:sz w:val="28"/>
          <w:lang w:val="en-US" w:eastAsia="zh-CN"/>
        </w:rPr>
        <w:t>额敏县郊区乡甘泉村生态基础设施建设项目（施工）</w:t>
      </w:r>
    </w:p>
    <w:p>
      <w:pPr>
        <w:spacing w:line="360" w:lineRule="auto"/>
        <w:jc w:val="center"/>
        <w:rPr>
          <w:rFonts w:ascii="宋体"/>
          <w:b/>
          <w:color w:val="auto"/>
          <w:sz w:val="24"/>
        </w:rPr>
      </w:pPr>
      <w:r>
        <w:rPr>
          <w:rFonts w:hint="eastAsia" w:ascii="宋体" w:hAnsi="宋体"/>
          <w:b/>
          <w:color w:val="auto"/>
          <w:sz w:val="28"/>
          <w:lang w:val="en-US" w:eastAsia="zh-CN"/>
        </w:rPr>
        <w:t>招标控制价</w:t>
      </w:r>
      <w:r>
        <w:rPr>
          <w:rFonts w:hint="eastAsia" w:ascii="宋体" w:hAnsi="宋体"/>
          <w:b/>
          <w:color w:val="auto"/>
          <w:sz w:val="28"/>
        </w:rPr>
        <w:t>编制说明</w:t>
      </w:r>
    </w:p>
    <w:p>
      <w:pPr>
        <w:keepNext w:val="0"/>
        <w:keepLines w:val="0"/>
        <w:pageBreakBefore w:val="0"/>
        <w:kinsoku/>
        <w:wordWrap/>
        <w:overflowPunct/>
        <w:topLinePunct w:val="0"/>
        <w:autoSpaceDE/>
        <w:autoSpaceDN/>
        <w:bidi w:val="0"/>
        <w:adjustRightInd/>
        <w:snapToGrid/>
        <w:spacing w:line="520" w:lineRule="exact"/>
        <w:ind w:firstLine="422" w:firstLineChars="200"/>
        <w:textAlignment w:val="auto"/>
        <w:rPr>
          <w:rFonts w:ascii="宋体"/>
          <w:b/>
          <w:bCs/>
          <w:color w:val="auto"/>
          <w:szCs w:val="21"/>
        </w:rPr>
      </w:pPr>
      <w:r>
        <w:rPr>
          <w:rFonts w:hint="eastAsia" w:ascii="宋体" w:hAnsi="宋体"/>
          <w:b/>
          <w:bCs/>
          <w:color w:val="auto"/>
          <w:szCs w:val="21"/>
        </w:rPr>
        <w:t>一、工程概况</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r>
        <w:rPr>
          <w:rFonts w:hint="eastAsia" w:ascii="宋体" w:hAnsi="宋体"/>
          <w:szCs w:val="21"/>
          <w:lang w:val="en-US" w:eastAsia="zh-CN"/>
        </w:rPr>
        <w:t>本工程位于额敏县郊区乡甘泉村，建设规模及内容：新建消防泵房 1 座，给排水管、消防管、喷淋管、电井、给排水井、消防井；室内电气设施、采暖、通风、供排水系统及附属配套设施。</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r>
        <w:rPr>
          <w:rFonts w:hint="eastAsia" w:ascii="宋体" w:hAnsi="宋体"/>
          <w:szCs w:val="21"/>
          <w:lang w:val="en-US" w:eastAsia="zh-CN"/>
        </w:rPr>
        <w:t>项目总投资：550万元（本标段390.1万元）；</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r>
        <w:rPr>
          <w:rFonts w:hint="eastAsia" w:ascii="宋体" w:hAnsi="宋体"/>
          <w:szCs w:val="21"/>
          <w:lang w:val="en-US" w:eastAsia="zh-CN"/>
        </w:rPr>
        <w:t>资金来源：额敏县2024年中央提前下达财政衔接推进乡村振兴补助资金。</w:t>
      </w:r>
    </w:p>
    <w:p>
      <w:pPr>
        <w:keepNext w:val="0"/>
        <w:keepLines w:val="0"/>
        <w:pageBreakBefore w:val="0"/>
        <w:kinsoku/>
        <w:wordWrap/>
        <w:overflowPunct/>
        <w:topLinePunct w:val="0"/>
        <w:autoSpaceDE/>
        <w:autoSpaceDN/>
        <w:bidi w:val="0"/>
        <w:adjustRightInd/>
        <w:snapToGrid/>
        <w:spacing w:line="520" w:lineRule="exact"/>
        <w:ind w:firstLine="422" w:firstLineChars="200"/>
        <w:jc w:val="left"/>
        <w:textAlignment w:val="auto"/>
        <w:rPr>
          <w:rFonts w:hint="eastAsia" w:ascii="宋体" w:hAnsi="宋体"/>
          <w:b/>
          <w:bCs/>
          <w:color w:val="auto"/>
          <w:szCs w:val="21"/>
        </w:rPr>
      </w:pPr>
      <w:r>
        <w:rPr>
          <w:rFonts w:hint="eastAsia" w:ascii="宋体" w:hAnsi="宋体"/>
          <w:b/>
          <w:bCs/>
          <w:color w:val="auto"/>
          <w:szCs w:val="21"/>
        </w:rPr>
        <w:t>二、编制范围</w:t>
      </w:r>
    </w:p>
    <w:p>
      <w:pPr>
        <w:pStyle w:val="5"/>
        <w:keepNext w:val="0"/>
        <w:keepLines w:val="0"/>
        <w:widowControl/>
        <w:suppressLineNumbers w:val="0"/>
        <w:spacing w:before="0" w:beforeAutospacing="0" w:after="0" w:afterAutospacing="0" w:line="360" w:lineRule="auto"/>
        <w:ind w:left="0" w:right="0"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本报告编制范围为</w:t>
      </w:r>
      <w:r>
        <w:rPr>
          <w:rFonts w:hint="eastAsia" w:ascii="宋体" w:hAnsi="宋体" w:cs="Times New Roman"/>
          <w:color w:val="auto"/>
          <w:kern w:val="2"/>
          <w:sz w:val="21"/>
          <w:szCs w:val="21"/>
          <w:highlight w:val="none"/>
          <w:lang w:val="en-US" w:eastAsia="zh-CN" w:bidi="ar-SA"/>
        </w:rPr>
        <w:t>中达建筑设计</w:t>
      </w:r>
      <w:r>
        <w:rPr>
          <w:rFonts w:hint="eastAsia" w:ascii="宋体" w:hAnsi="宋体" w:eastAsia="宋体" w:cs="Times New Roman"/>
          <w:color w:val="auto"/>
          <w:kern w:val="2"/>
          <w:sz w:val="21"/>
          <w:szCs w:val="21"/>
          <w:highlight w:val="none"/>
          <w:lang w:val="en-US" w:eastAsia="zh-CN" w:bidi="ar-SA"/>
        </w:rPr>
        <w:t>设计的“</w:t>
      </w:r>
      <w:r>
        <w:rPr>
          <w:rFonts w:hint="eastAsia" w:ascii="宋体" w:hAnsi="宋体" w:cs="Times New Roman"/>
          <w:color w:val="auto"/>
          <w:kern w:val="2"/>
          <w:sz w:val="21"/>
          <w:szCs w:val="21"/>
          <w:highlight w:val="none"/>
          <w:lang w:val="en-US" w:eastAsia="zh-CN" w:bidi="ar-SA"/>
        </w:rPr>
        <w:t>额敏县郊区乡甘泉村生态基础设施建设项目（施工）</w:t>
      </w:r>
      <w:r>
        <w:rPr>
          <w:rFonts w:hint="eastAsia" w:ascii="宋体" w:hAnsi="宋体" w:eastAsia="宋体" w:cs="Times New Roman"/>
          <w:color w:val="auto"/>
          <w:kern w:val="2"/>
          <w:sz w:val="21"/>
          <w:szCs w:val="21"/>
          <w:highlight w:val="none"/>
          <w:lang w:val="en-US" w:eastAsia="zh-CN" w:bidi="ar-SA"/>
        </w:rPr>
        <w:t>”施工图中内容及相关说明。</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22" w:firstLineChars="200"/>
        <w:jc w:val="left"/>
        <w:textAlignment w:val="auto"/>
        <w:rPr>
          <w:rFonts w:hint="eastAsia" w:ascii="宋体" w:hAnsi="宋体"/>
          <w:b/>
          <w:bCs/>
          <w:color w:val="auto"/>
          <w:szCs w:val="21"/>
        </w:rPr>
      </w:pPr>
      <w:r>
        <w:rPr>
          <w:rFonts w:hint="eastAsia" w:ascii="宋体" w:hAnsi="宋体"/>
          <w:b/>
          <w:bCs/>
          <w:color w:val="auto"/>
          <w:szCs w:val="21"/>
          <w:lang w:val="en-US" w:eastAsia="zh-CN"/>
        </w:rPr>
        <w:t>三、</w:t>
      </w:r>
      <w:r>
        <w:rPr>
          <w:rFonts w:hint="eastAsia" w:ascii="宋体" w:hAnsi="宋体"/>
          <w:b/>
          <w:bCs/>
          <w:color w:val="auto"/>
          <w:szCs w:val="21"/>
        </w:rPr>
        <w:t>编制依据</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szCs w:val="21"/>
        </w:rPr>
      </w:pPr>
      <w:r>
        <w:rPr>
          <w:rFonts w:ascii="宋体" w:hAnsi="宋体" w:cs="宋体"/>
          <w:kern w:val="0"/>
          <w:szCs w:val="21"/>
        </w:rPr>
        <w:t>1</w:t>
      </w:r>
      <w:r>
        <w:rPr>
          <w:rFonts w:hint="eastAsia" w:ascii="宋体" w:hAnsi="宋体" w:cs="宋体"/>
          <w:kern w:val="0"/>
          <w:szCs w:val="21"/>
        </w:rPr>
        <w:t>、《建设工程工程量清单计价规范》（</w:t>
      </w:r>
      <w:r>
        <w:rPr>
          <w:rFonts w:ascii="宋体" w:hAnsi="宋体" w:cs="宋体"/>
          <w:kern w:val="0"/>
          <w:szCs w:val="21"/>
        </w:rPr>
        <w:t>GB50500-2013</w:t>
      </w:r>
      <w:r>
        <w:rPr>
          <w:rFonts w:hint="eastAsia" w:ascii="宋体" w:hAnsi="宋体" w:cs="宋体"/>
          <w:kern w:val="0"/>
          <w:szCs w:val="21"/>
        </w:rPr>
        <w:t>）；《房屋建筑与装饰工程工程量计算规范》（</w:t>
      </w:r>
      <w:r>
        <w:rPr>
          <w:rFonts w:ascii="宋体" w:hAnsi="宋体" w:cs="宋体"/>
          <w:kern w:val="0"/>
          <w:szCs w:val="21"/>
        </w:rPr>
        <w:t>GB50854-2013</w:t>
      </w:r>
      <w:r>
        <w:rPr>
          <w:rFonts w:hint="eastAsia" w:ascii="宋体" w:hAnsi="宋体" w:cs="宋体"/>
          <w:kern w:val="0"/>
          <w:szCs w:val="21"/>
        </w:rPr>
        <w:t>）《通用安装工程工程量计算规范》（</w:t>
      </w:r>
      <w:r>
        <w:rPr>
          <w:rFonts w:ascii="宋体" w:hAnsi="宋体" w:cs="宋体"/>
          <w:kern w:val="0"/>
          <w:szCs w:val="21"/>
        </w:rPr>
        <w:t>GB50856-2013</w:t>
      </w:r>
      <w:r>
        <w:rPr>
          <w:rFonts w:hint="eastAsia" w:ascii="宋体" w:hAnsi="宋体" w:cs="宋体"/>
          <w:kern w:val="0"/>
          <w:szCs w:val="21"/>
        </w:rPr>
        <w:t>）；《市政工程工程量计算规范》（</w:t>
      </w:r>
      <w:r>
        <w:rPr>
          <w:rFonts w:ascii="宋体" w:hAnsi="宋体" w:cs="宋体"/>
          <w:kern w:val="0"/>
          <w:szCs w:val="21"/>
        </w:rPr>
        <w:t>GB50857-2013</w:t>
      </w:r>
      <w:r>
        <w:rPr>
          <w:rFonts w:hint="eastAsia" w:ascii="宋体" w:hAnsi="宋体" w:cs="宋体"/>
          <w:kern w:val="0"/>
          <w:szCs w:val="21"/>
        </w:rPr>
        <w:t>）</w:t>
      </w:r>
      <w:r>
        <w:rPr>
          <w:rFonts w:hint="eastAsia" w:ascii="宋体" w:hAnsi="宋体" w:cs="宋体"/>
          <w:kern w:val="0"/>
          <w:szCs w:val="21"/>
          <w:lang w:eastAsia="zh-CN"/>
        </w:rPr>
        <w:t>；</w:t>
      </w:r>
      <w:r>
        <w:rPr>
          <w:rFonts w:hint="eastAsia" w:ascii="宋体" w:hAnsi="宋体" w:cs="宋体"/>
          <w:color w:val="auto"/>
          <w:kern w:val="0"/>
          <w:szCs w:val="21"/>
        </w:rPr>
        <w:t>《园林绿化工程工程量计算规范》（</w:t>
      </w:r>
      <w:r>
        <w:rPr>
          <w:rFonts w:ascii="宋体" w:hAnsi="宋体" w:cs="宋体"/>
          <w:color w:val="auto"/>
          <w:kern w:val="0"/>
          <w:szCs w:val="21"/>
        </w:rPr>
        <w:t>GB50858-2013</w:t>
      </w:r>
      <w:r>
        <w:rPr>
          <w:rFonts w:hint="eastAsia" w:ascii="宋体" w:hAnsi="宋体" w:cs="宋体"/>
          <w:color w:val="auto"/>
          <w:kern w:val="0"/>
          <w:szCs w:val="21"/>
        </w:rPr>
        <w:t>）</w:t>
      </w:r>
      <w:r>
        <w:rPr>
          <w:rFonts w:hint="eastAsia" w:ascii="宋体" w:hAnsi="宋体"/>
          <w:szCs w:val="21"/>
        </w:rPr>
        <w:t>及所附工程量计算规则和相关解释。</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ascii="宋体" w:hAnsi="宋体"/>
          <w:szCs w:val="21"/>
        </w:rPr>
        <w:t>2</w:t>
      </w:r>
      <w:r>
        <w:rPr>
          <w:rFonts w:hint="eastAsia" w:ascii="宋体" w:hAnsi="宋体"/>
          <w:szCs w:val="21"/>
        </w:rPr>
        <w:t>、国家或省级、行业建设主管部门颁发的计价定额和计价办法。</w:t>
      </w:r>
    </w:p>
    <w:p>
      <w:pPr>
        <w:pStyle w:val="5"/>
        <w:keepNext w:val="0"/>
        <w:keepLines w:val="0"/>
        <w:widowControl/>
        <w:suppressLineNumbers w:val="0"/>
        <w:spacing w:before="0" w:beforeAutospacing="0" w:after="0" w:afterAutospacing="0" w:line="360" w:lineRule="auto"/>
        <w:ind w:left="0" w:right="0" w:firstLine="480" w:firstLineChars="200"/>
        <w:rPr>
          <w:rFonts w:hint="eastAsia" w:ascii="宋体" w:hAnsi="宋体"/>
          <w:szCs w:val="21"/>
          <w:highlight w:val="none"/>
        </w:rPr>
      </w:pPr>
      <w:r>
        <w:rPr>
          <w:rFonts w:ascii="宋体" w:hAnsi="宋体"/>
          <w:szCs w:val="21"/>
        </w:rPr>
        <w:t>3</w:t>
      </w:r>
      <w:r>
        <w:rPr>
          <w:rFonts w:hint="eastAsia" w:ascii="宋体" w:hAnsi="宋体"/>
          <w:szCs w:val="21"/>
        </w:rPr>
        <w:t>、</w:t>
      </w:r>
      <w:r>
        <w:rPr>
          <w:rFonts w:hint="eastAsia" w:ascii="宋体" w:hAnsi="宋体" w:eastAsia="宋体" w:cs="Times New Roman"/>
          <w:color w:val="auto"/>
          <w:kern w:val="2"/>
          <w:sz w:val="21"/>
          <w:szCs w:val="21"/>
          <w:highlight w:val="none"/>
          <w:lang w:val="en-US" w:eastAsia="zh-CN" w:bidi="ar-SA"/>
        </w:rPr>
        <w:t>本报告编制范围为</w:t>
      </w:r>
      <w:r>
        <w:rPr>
          <w:rFonts w:hint="eastAsia" w:ascii="宋体" w:hAnsi="宋体" w:cs="Times New Roman"/>
          <w:color w:val="auto"/>
          <w:kern w:val="2"/>
          <w:sz w:val="21"/>
          <w:szCs w:val="21"/>
          <w:highlight w:val="none"/>
          <w:lang w:val="en-US" w:eastAsia="zh-CN" w:bidi="ar-SA"/>
        </w:rPr>
        <w:t>中达建筑设计</w:t>
      </w:r>
      <w:r>
        <w:rPr>
          <w:rFonts w:hint="eastAsia" w:ascii="宋体" w:hAnsi="宋体" w:eastAsia="宋体" w:cs="Times New Roman"/>
          <w:color w:val="auto"/>
          <w:kern w:val="2"/>
          <w:sz w:val="21"/>
          <w:szCs w:val="21"/>
          <w:highlight w:val="none"/>
          <w:lang w:val="en-US" w:eastAsia="zh-CN" w:bidi="ar-SA"/>
        </w:rPr>
        <w:t>设计的“</w:t>
      </w:r>
      <w:r>
        <w:rPr>
          <w:rFonts w:hint="eastAsia" w:ascii="宋体" w:hAnsi="宋体" w:cs="Times New Roman"/>
          <w:color w:val="auto"/>
          <w:kern w:val="2"/>
          <w:sz w:val="21"/>
          <w:szCs w:val="21"/>
          <w:highlight w:val="none"/>
          <w:lang w:val="en-US" w:eastAsia="zh-CN" w:bidi="ar-SA"/>
        </w:rPr>
        <w:t>额敏县郊区乡甘泉村生态基础设施建设项目（施工）</w:t>
      </w:r>
      <w:r>
        <w:rPr>
          <w:rFonts w:hint="eastAsia" w:ascii="宋体" w:hAnsi="宋体" w:eastAsia="宋体" w:cs="Times New Roman"/>
          <w:color w:val="auto"/>
          <w:kern w:val="2"/>
          <w:sz w:val="21"/>
          <w:szCs w:val="21"/>
          <w:highlight w:val="none"/>
          <w:lang w:val="en-US" w:eastAsia="zh-CN" w:bidi="ar-SA"/>
        </w:rPr>
        <w:t>”施工图中内容及相关说明。</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ascii="宋体" w:hAnsi="宋体"/>
          <w:szCs w:val="21"/>
        </w:rPr>
        <w:t>4</w:t>
      </w:r>
      <w:r>
        <w:rPr>
          <w:rFonts w:hint="eastAsia" w:ascii="宋体" w:hAnsi="宋体"/>
          <w:szCs w:val="21"/>
        </w:rPr>
        <w:t>、拟定的</w:t>
      </w:r>
      <w:r>
        <w:rPr>
          <w:rFonts w:hint="eastAsia" w:ascii="宋体" w:hAnsi="宋体"/>
          <w:szCs w:val="21"/>
          <w:lang w:val="en-US" w:eastAsia="zh-CN"/>
        </w:rPr>
        <w:t>招标文件、</w:t>
      </w:r>
      <w:r>
        <w:rPr>
          <w:rFonts w:hint="eastAsia" w:ascii="宋体" w:hAnsi="宋体"/>
          <w:szCs w:val="21"/>
        </w:rPr>
        <w:t>工程量清单及有关计价的要求。</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ascii="宋体" w:hAnsi="宋体"/>
          <w:szCs w:val="21"/>
        </w:rPr>
        <w:t>5</w:t>
      </w:r>
      <w:r>
        <w:rPr>
          <w:rFonts w:hint="eastAsia" w:ascii="宋体" w:hAnsi="宋体"/>
          <w:szCs w:val="21"/>
        </w:rPr>
        <w:t>、与本工程有</w:t>
      </w:r>
      <w:r>
        <w:rPr>
          <w:rFonts w:hint="eastAsia" w:ascii="宋体" w:hAnsi="宋体" w:cs="Cambria"/>
          <w:szCs w:val="21"/>
          <w:lang w:val="en-US" w:eastAsia="zh-CN"/>
        </w:rPr>
        <w:t>关的标准（包括标准图集）、规范、技术资料。</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6、施工现场情况、工程特点及常规施工方案。</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7、其他有关文件、资料。</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22" w:firstLineChars="200"/>
        <w:jc w:val="left"/>
        <w:textAlignment w:val="auto"/>
        <w:rPr>
          <w:rFonts w:hint="default" w:ascii="宋体" w:hAnsi="宋体"/>
          <w:b/>
          <w:bCs/>
          <w:color w:val="auto"/>
          <w:szCs w:val="21"/>
          <w:lang w:val="en-US" w:eastAsia="zh-CN"/>
        </w:rPr>
      </w:pPr>
      <w:r>
        <w:rPr>
          <w:rFonts w:hint="eastAsia" w:ascii="宋体" w:hAnsi="宋体"/>
          <w:b/>
          <w:bCs/>
          <w:color w:val="auto"/>
          <w:szCs w:val="21"/>
          <w:lang w:val="en-US" w:eastAsia="zh-CN"/>
        </w:rPr>
        <w:t>四、计价依据</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 xml:space="preserve"> 1、定额依据：2022版《新疆维吾尔自治区房屋建筑与装饰工程消耗量定额》、2022版《通用安装工程消耗量定额》、2022版《新疆维吾尔自治区安装工程补充消耗量定额》、2022版《新疆市政工程消耗量定额》、</w:t>
      </w:r>
      <w:r>
        <w:rPr>
          <w:rFonts w:hint="eastAsia" w:ascii="宋体" w:hAnsi="宋体"/>
          <w:bCs/>
          <w:color w:val="auto"/>
          <w:szCs w:val="21"/>
        </w:rPr>
        <w:t>2015年《新疆维吾尔自治区</w:t>
      </w:r>
      <w:r>
        <w:rPr>
          <w:rFonts w:hint="eastAsia" w:ascii="宋体" w:hAnsi="宋体"/>
          <w:bCs/>
          <w:color w:val="auto"/>
          <w:szCs w:val="21"/>
          <w:lang w:eastAsia="zh-CN"/>
        </w:rPr>
        <w:t>园林绿化</w:t>
      </w:r>
      <w:r>
        <w:rPr>
          <w:rFonts w:hint="eastAsia" w:ascii="宋体" w:hAnsi="宋体"/>
          <w:bCs/>
          <w:color w:val="auto"/>
          <w:szCs w:val="21"/>
        </w:rPr>
        <w:t>消耗量定额》</w:t>
      </w:r>
      <w:r>
        <w:rPr>
          <w:rFonts w:hint="eastAsia" w:ascii="宋体" w:hAnsi="宋体" w:cs="Cambria"/>
          <w:szCs w:val="21"/>
          <w:lang w:val="en-US" w:eastAsia="zh-CN"/>
        </w:rPr>
        <w:t>及所附工程量计算规则和相关解释，单位估价表选用相应的消耗量定额塔城地区扣税单位估价汇总表。</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color w:val="auto"/>
          <w:szCs w:val="21"/>
        </w:rPr>
      </w:pPr>
      <w:r>
        <w:rPr>
          <w:rFonts w:hint="eastAsia" w:ascii="宋体" w:hAnsi="宋体" w:cs="Cambria"/>
          <w:szCs w:val="21"/>
          <w:lang w:val="en-US" w:eastAsia="zh-CN"/>
        </w:rPr>
        <w:t>2、费用定额依据：</w:t>
      </w:r>
      <w:bookmarkStart w:id="0" w:name="OLE_LINK5"/>
      <w:bookmarkStart w:id="1" w:name="OLE_LINK4"/>
      <w:r>
        <w:rPr>
          <w:rFonts w:hint="eastAsia" w:ascii="宋体" w:hAnsi="宋体" w:cs="Cambria"/>
          <w:szCs w:val="21"/>
          <w:lang w:val="en-US" w:eastAsia="zh-CN"/>
        </w:rPr>
        <w:t>塔城地区住房和城乡建设局发布（塔地住建发[2016]57号）《关于建筑业营业税改增值税调整塔城地区建设工程计价</w:t>
      </w:r>
      <w:r>
        <w:rPr>
          <w:rFonts w:hint="eastAsia" w:ascii="宋体" w:hAnsi="宋体" w:cs="Cambria"/>
          <w:color w:val="auto"/>
          <w:szCs w:val="21"/>
        </w:rPr>
        <w:t>依据的实施意见</w:t>
      </w:r>
      <w:r>
        <w:rPr>
          <w:rFonts w:hint="eastAsia" w:ascii="宋体" w:hAnsi="宋体" w:cs="Cambria"/>
          <w:b/>
          <w:color w:val="auto"/>
          <w:szCs w:val="21"/>
        </w:rPr>
        <w:t>》</w:t>
      </w:r>
      <w:r>
        <w:rPr>
          <w:rFonts w:hint="eastAsia" w:ascii="宋体" w:hAnsi="宋体" w:cs="Cambria"/>
          <w:b/>
          <w:color w:val="auto"/>
          <w:szCs w:val="21"/>
          <w:lang w:val="en-US" w:eastAsia="zh-CN"/>
        </w:rPr>
        <w:t xml:space="preserve"> </w:t>
      </w:r>
      <w:r>
        <w:rPr>
          <w:rFonts w:hint="eastAsia" w:ascii="宋体" w:hAnsi="宋体" w:cs="Cambria"/>
          <w:color w:val="auto"/>
          <w:szCs w:val="21"/>
        </w:rPr>
        <w:t>附件</w:t>
      </w:r>
      <w:r>
        <w:rPr>
          <w:rFonts w:ascii="宋体" w:hAnsi="宋体" w:cs="Cambria"/>
          <w:color w:val="auto"/>
          <w:szCs w:val="21"/>
        </w:rPr>
        <w:t>1</w:t>
      </w:r>
      <w:r>
        <w:rPr>
          <w:rFonts w:hint="eastAsia" w:ascii="宋体" w:hAnsi="宋体" w:cs="Cambria"/>
          <w:color w:val="auto"/>
          <w:szCs w:val="21"/>
        </w:rPr>
        <w:t>建设工程费用调整表。</w:t>
      </w:r>
    </w:p>
    <w:bookmarkEnd w:id="0"/>
    <w:bookmarkEnd w:id="1"/>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bCs/>
          <w:szCs w:val="21"/>
        </w:rPr>
      </w:pPr>
      <w:r>
        <w:rPr>
          <w:rFonts w:hint="eastAsia" w:ascii="宋体" w:hAnsi="宋体" w:cs="Cambria"/>
          <w:szCs w:val="21"/>
          <w:lang w:val="en-US" w:eastAsia="zh-CN"/>
        </w:rPr>
        <w:t>3、建筑工程扬尘污染防治等措施费用依据塔城地区建设局、发改委、财政局、环保局联合发布《关于对塔城地区建筑工程扬尘污染防治等措施增加费计取规定的通知</w:t>
      </w:r>
      <w:r>
        <w:rPr>
          <w:rFonts w:hint="eastAsia" w:ascii="宋体" w:hAnsi="宋体" w:cs="Cambria"/>
          <w:color w:val="auto"/>
          <w:szCs w:val="21"/>
          <w:lang w:val="en-US" w:eastAsia="zh-CN"/>
        </w:rPr>
        <w:t>（塔地住建发【2020】76号）》执行</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szCs w:val="21"/>
        </w:rPr>
      </w:pPr>
      <w:r>
        <w:rPr>
          <w:rFonts w:hint="eastAsia" w:ascii="宋体" w:hAnsi="宋体"/>
          <w:bCs/>
          <w:szCs w:val="21"/>
          <w:lang w:val="en-US" w:eastAsia="zh-CN"/>
        </w:rPr>
        <w:t>4</w:t>
      </w:r>
      <w:r>
        <w:rPr>
          <w:rFonts w:hint="eastAsia" w:ascii="宋体" w:hAnsi="宋体"/>
          <w:bCs/>
          <w:szCs w:val="21"/>
        </w:rPr>
        <w:t>、单</w:t>
      </w:r>
      <w:r>
        <w:rPr>
          <w:rFonts w:hint="eastAsia" w:ascii="宋体" w:hAnsi="宋体"/>
          <w:szCs w:val="21"/>
        </w:rPr>
        <w:t>位估价表依据：《新疆维吾尔自治区房屋建筑与装饰工程消耗量定额2022年塔城地区单位估价表》、《通用安装工程及新疆维吾尔自治区安装工程补充消耗量定额2022年塔城地区单位估价表》</w:t>
      </w:r>
      <w:r>
        <w:rPr>
          <w:rFonts w:hint="eastAsia" w:ascii="宋体" w:hAnsi="宋体"/>
          <w:szCs w:val="21"/>
          <w:lang w:eastAsia="zh-CN"/>
        </w:rPr>
        <w:t>、《</w:t>
      </w:r>
      <w:r>
        <w:rPr>
          <w:rFonts w:hint="eastAsia" w:ascii="宋体" w:hAnsi="宋体"/>
          <w:szCs w:val="21"/>
          <w:lang w:val="en-US" w:eastAsia="zh-CN"/>
        </w:rPr>
        <w:t>新疆市政工程消耗量定额2022年塔城地区单位估价表</w:t>
      </w:r>
      <w:r>
        <w:rPr>
          <w:rFonts w:hint="eastAsia" w:ascii="宋体" w:hAnsi="宋体"/>
          <w:szCs w:val="21"/>
          <w:lang w:eastAsia="zh-CN"/>
        </w:rPr>
        <w:t>》、</w:t>
      </w:r>
      <w:r>
        <w:rPr>
          <w:rFonts w:hint="eastAsia"/>
          <w:bCs/>
          <w:color w:val="auto"/>
          <w:szCs w:val="21"/>
        </w:rPr>
        <w:t>《新疆维吾尔自治区</w:t>
      </w:r>
      <w:r>
        <w:rPr>
          <w:rFonts w:hint="eastAsia"/>
          <w:bCs/>
          <w:color w:val="auto"/>
          <w:szCs w:val="21"/>
          <w:lang w:eastAsia="zh-CN"/>
        </w:rPr>
        <w:t>园林绿化</w:t>
      </w:r>
      <w:r>
        <w:rPr>
          <w:rFonts w:hint="eastAsia"/>
          <w:bCs/>
          <w:color w:val="auto"/>
          <w:szCs w:val="21"/>
        </w:rPr>
        <w:t>工程消耗量定额201</w:t>
      </w:r>
      <w:r>
        <w:rPr>
          <w:rFonts w:hint="eastAsia"/>
          <w:bCs/>
          <w:color w:val="auto"/>
          <w:szCs w:val="21"/>
          <w:lang w:val="en-US" w:eastAsia="zh-CN"/>
        </w:rPr>
        <w:t>5</w:t>
      </w:r>
      <w:r>
        <w:rPr>
          <w:rFonts w:hint="eastAsia"/>
          <w:bCs/>
          <w:color w:val="auto"/>
          <w:szCs w:val="21"/>
        </w:rPr>
        <w:t>年塔城地区扣税单位估价汇总表》</w:t>
      </w:r>
      <w:r>
        <w:rPr>
          <w:rFonts w:hint="eastAsia" w:ascii="宋体" w:hAnsi="宋体"/>
          <w:szCs w:val="21"/>
        </w:rPr>
        <w:t>。</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6</w:t>
      </w:r>
      <w:r>
        <w:rPr>
          <w:rFonts w:hint="eastAsia" w:ascii="宋体" w:hAnsi="宋体"/>
          <w:szCs w:val="21"/>
        </w:rPr>
        <w:t>、材料费调差：塔城地区住房和城乡建设局发布</w:t>
      </w:r>
      <w:r>
        <w:rPr>
          <w:rFonts w:hint="eastAsia" w:ascii="宋体" w:hAnsi="宋体"/>
          <w:szCs w:val="21"/>
          <w:lang w:eastAsia="zh-CN"/>
        </w:rPr>
        <w:t>的</w:t>
      </w:r>
      <w:r>
        <w:rPr>
          <w:rFonts w:hint="eastAsia" w:ascii="宋体" w:hAnsi="宋体"/>
          <w:szCs w:val="21"/>
        </w:rPr>
        <w:t>《关于发布额敏（县）</w:t>
      </w:r>
      <w:r>
        <w:rPr>
          <w:rFonts w:ascii="宋体" w:hAnsi="宋体"/>
          <w:szCs w:val="21"/>
        </w:rPr>
        <w:t>20</w:t>
      </w:r>
      <w:r>
        <w:rPr>
          <w:rFonts w:hint="eastAsia" w:ascii="宋体" w:hAnsi="宋体"/>
          <w:szCs w:val="21"/>
          <w:lang w:val="en-US" w:eastAsia="zh-CN"/>
        </w:rPr>
        <w:t>24</w:t>
      </w:r>
      <w:r>
        <w:rPr>
          <w:rFonts w:hint="eastAsia" w:ascii="宋体" w:hAnsi="宋体"/>
          <w:szCs w:val="21"/>
        </w:rPr>
        <w:t>年</w:t>
      </w:r>
      <w:r>
        <w:rPr>
          <w:rFonts w:hint="eastAsia" w:ascii="宋体" w:hAnsi="宋体"/>
          <w:szCs w:val="21"/>
          <w:lang w:val="en-US" w:eastAsia="zh-CN"/>
        </w:rPr>
        <w:t>3</w:t>
      </w:r>
      <w:r>
        <w:rPr>
          <w:rFonts w:hint="eastAsia" w:ascii="宋体" w:hAnsi="宋体"/>
          <w:szCs w:val="21"/>
        </w:rPr>
        <w:t>月份建设工程价格信息的通知》及附件二调整</w:t>
      </w:r>
      <w:r>
        <w:rPr>
          <w:rFonts w:ascii="宋体" w:hAnsi="宋体"/>
          <w:szCs w:val="21"/>
        </w:rPr>
        <w:t>(</w:t>
      </w:r>
      <w:r>
        <w:rPr>
          <w:rFonts w:hint="eastAsia" w:ascii="宋体" w:hAnsi="宋体"/>
          <w:szCs w:val="21"/>
        </w:rPr>
        <w:t>材料价格为综合信息价</w:t>
      </w:r>
      <w:r>
        <w:rPr>
          <w:rFonts w:ascii="宋体" w:hAnsi="宋体"/>
          <w:szCs w:val="21"/>
        </w:rPr>
        <w:t>)</w:t>
      </w:r>
      <w:r>
        <w:rPr>
          <w:rFonts w:hint="eastAsia" w:ascii="宋体" w:hAnsi="宋体"/>
          <w:szCs w:val="21"/>
        </w:rPr>
        <w:t>未发布信息价的材料价格按市场价计入。</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7</w:t>
      </w:r>
      <w:r>
        <w:rPr>
          <w:rFonts w:hint="eastAsia" w:ascii="宋体" w:hAnsi="宋体"/>
          <w:szCs w:val="21"/>
        </w:rPr>
        <w:t>、人工工资单价的调整:</w:t>
      </w:r>
      <w:r>
        <w:rPr>
          <w:rFonts w:hint="eastAsia" w:ascii="宋体" w:hAnsi="宋体"/>
          <w:szCs w:val="21"/>
          <w:lang w:val="en-US" w:eastAsia="zh-CN"/>
        </w:rPr>
        <w:t>新疆市政工程消耗量定额2022年塔城地区单位估价表</w:t>
      </w:r>
      <w:r>
        <w:rPr>
          <w:rFonts w:hint="eastAsia" w:ascii="宋体" w:hAnsi="宋体"/>
          <w:szCs w:val="21"/>
        </w:rPr>
        <w:t>，</w:t>
      </w:r>
      <w:r>
        <w:rPr>
          <w:rFonts w:hint="eastAsia" w:ascii="宋体" w:hAnsi="宋体"/>
          <w:szCs w:val="21"/>
          <w:lang w:val="en-US" w:eastAsia="zh-CN"/>
        </w:rPr>
        <w:t>一类人</w:t>
      </w:r>
      <w:r>
        <w:rPr>
          <w:rFonts w:hint="eastAsia" w:ascii="宋体" w:hAnsi="宋体"/>
          <w:szCs w:val="21"/>
        </w:rPr>
        <w:t>工</w:t>
      </w:r>
      <w:r>
        <w:rPr>
          <w:rFonts w:hint="eastAsia" w:ascii="宋体" w:hAnsi="宋体"/>
          <w:szCs w:val="21"/>
          <w:lang w:val="en-US" w:eastAsia="zh-CN"/>
        </w:rPr>
        <w:t>104</w:t>
      </w:r>
      <w:r>
        <w:rPr>
          <w:rFonts w:hint="eastAsia" w:ascii="宋体" w:hAnsi="宋体"/>
          <w:szCs w:val="21"/>
        </w:rPr>
        <w:t>元/工日，</w:t>
      </w:r>
      <w:r>
        <w:rPr>
          <w:rFonts w:hint="eastAsia" w:ascii="宋体" w:hAnsi="宋体"/>
          <w:szCs w:val="21"/>
          <w:lang w:val="en-US" w:eastAsia="zh-CN"/>
        </w:rPr>
        <w:t>二类</w:t>
      </w:r>
      <w:r>
        <w:rPr>
          <w:rFonts w:hint="eastAsia" w:ascii="宋体" w:hAnsi="宋体"/>
          <w:szCs w:val="21"/>
        </w:rPr>
        <w:t>人工</w:t>
      </w:r>
      <w:r>
        <w:rPr>
          <w:rFonts w:hint="eastAsia" w:ascii="宋体" w:hAnsi="宋体"/>
          <w:szCs w:val="21"/>
          <w:lang w:val="en-US" w:eastAsia="zh-CN"/>
        </w:rPr>
        <w:t>132</w:t>
      </w:r>
      <w:r>
        <w:rPr>
          <w:rFonts w:hint="eastAsia" w:ascii="宋体" w:hAnsi="宋体"/>
          <w:szCs w:val="21"/>
        </w:rPr>
        <w:t>元/工日，</w:t>
      </w:r>
      <w:r>
        <w:rPr>
          <w:rFonts w:hint="eastAsia" w:ascii="宋体" w:hAnsi="宋体"/>
          <w:szCs w:val="21"/>
          <w:lang w:val="en-US" w:eastAsia="zh-CN"/>
        </w:rPr>
        <w:t>机上</w:t>
      </w:r>
      <w:r>
        <w:rPr>
          <w:rFonts w:hint="eastAsia" w:ascii="宋体" w:hAnsi="宋体"/>
          <w:szCs w:val="21"/>
        </w:rPr>
        <w:t>人工</w:t>
      </w:r>
      <w:r>
        <w:rPr>
          <w:rFonts w:hint="eastAsia" w:ascii="宋体" w:hAnsi="宋体"/>
          <w:szCs w:val="21"/>
          <w:lang w:val="en-US" w:eastAsia="zh-CN"/>
        </w:rPr>
        <w:t>132</w:t>
      </w:r>
      <w:r>
        <w:rPr>
          <w:rFonts w:hint="eastAsia" w:ascii="宋体" w:hAnsi="宋体"/>
          <w:szCs w:val="21"/>
        </w:rPr>
        <w:t>元/工日</w:t>
      </w:r>
      <w:r>
        <w:rPr>
          <w:rFonts w:hint="eastAsia" w:ascii="宋体" w:hAnsi="宋体"/>
          <w:szCs w:val="21"/>
          <w:lang w:eastAsia="zh-CN"/>
        </w:rPr>
        <w:t>，</w:t>
      </w:r>
      <w:r>
        <w:rPr>
          <w:rFonts w:hint="eastAsia" w:ascii="宋体" w:hAnsi="宋体"/>
          <w:szCs w:val="21"/>
          <w:lang w:val="en-US" w:eastAsia="zh-CN"/>
        </w:rPr>
        <w:t>三类人工150元/工日</w:t>
      </w:r>
      <w:r>
        <w:rPr>
          <w:rFonts w:hint="eastAsia" w:ascii="宋体" w:hAnsi="宋体"/>
          <w:szCs w:val="21"/>
        </w:rPr>
        <w:t>。</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hint="eastAsia" w:ascii="宋体" w:hAnsi="宋体"/>
          <w:szCs w:val="21"/>
          <w:lang w:val="en-US" w:eastAsia="zh-CN"/>
        </w:rPr>
        <w:t>8</w:t>
      </w:r>
      <w:r>
        <w:rPr>
          <w:rFonts w:hint="eastAsia" w:ascii="宋体" w:hAnsi="宋体"/>
          <w:szCs w:val="21"/>
        </w:rPr>
        <w:t>、税金调整执行塔地住建发【</w:t>
      </w:r>
      <w:r>
        <w:rPr>
          <w:rFonts w:ascii="宋体" w:hAnsi="宋体"/>
          <w:szCs w:val="21"/>
        </w:rPr>
        <w:t>201</w:t>
      </w:r>
      <w:r>
        <w:rPr>
          <w:rFonts w:hint="eastAsia" w:ascii="宋体" w:hAnsi="宋体"/>
          <w:szCs w:val="21"/>
          <w:lang w:val="en-US" w:eastAsia="zh-CN"/>
        </w:rPr>
        <w:t>9</w:t>
      </w:r>
      <w:r>
        <w:rPr>
          <w:rFonts w:hint="eastAsia" w:ascii="宋体" w:hAnsi="宋体"/>
          <w:szCs w:val="21"/>
        </w:rPr>
        <w:t>】</w:t>
      </w:r>
      <w:r>
        <w:rPr>
          <w:rFonts w:hint="eastAsia" w:ascii="宋体" w:hAnsi="宋体"/>
          <w:szCs w:val="21"/>
          <w:lang w:val="en-US" w:eastAsia="zh-CN"/>
        </w:rPr>
        <w:t>71</w:t>
      </w:r>
      <w:r>
        <w:rPr>
          <w:rFonts w:hint="eastAsia" w:ascii="宋体" w:hAnsi="宋体"/>
          <w:szCs w:val="21"/>
        </w:rPr>
        <w:t>号，税率为</w:t>
      </w:r>
      <w:r>
        <w:rPr>
          <w:rFonts w:hint="eastAsia" w:ascii="宋体" w:hAnsi="宋体"/>
          <w:szCs w:val="21"/>
          <w:lang w:val="en-US" w:eastAsia="zh-CN"/>
        </w:rPr>
        <w:t>9</w:t>
      </w:r>
      <w:r>
        <w:rPr>
          <w:rFonts w:ascii="宋体" w:hAnsi="宋体"/>
          <w:szCs w:val="21"/>
        </w:rPr>
        <w:t>%</w:t>
      </w:r>
      <w:r>
        <w:rPr>
          <w:rFonts w:hint="eastAsia" w:ascii="宋体" w:hAnsi="宋体"/>
          <w:szCs w:val="21"/>
        </w:rPr>
        <w:t>。</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9</w:t>
      </w:r>
      <w:r>
        <w:rPr>
          <w:rFonts w:hint="eastAsia" w:ascii="宋体" w:hAnsi="宋体"/>
          <w:szCs w:val="21"/>
        </w:rPr>
        <w:t>、本工程材料风险</w:t>
      </w:r>
      <w:r>
        <w:rPr>
          <w:rFonts w:hint="eastAsia" w:ascii="宋体" w:hAnsi="宋体"/>
          <w:szCs w:val="21"/>
          <w:lang w:eastAsia="zh-CN"/>
        </w:rPr>
        <w:t>记取执行</w:t>
      </w:r>
      <w:r>
        <w:rPr>
          <w:rFonts w:hint="eastAsia" w:ascii="宋体" w:hAnsi="宋体"/>
          <w:szCs w:val="21"/>
        </w:rPr>
        <w:t>文件依据《关于建筑材料价格风险费用计取的指导意见》（新建标[2008]4号）。</w:t>
      </w:r>
    </w:p>
    <w:p>
      <w:pPr>
        <w:keepNext w:val="0"/>
        <w:keepLines w:val="0"/>
        <w:pageBreakBefore w:val="0"/>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szCs w:val="21"/>
        </w:rPr>
      </w:pPr>
      <w:r>
        <w:rPr>
          <w:rFonts w:hint="eastAsia" w:ascii="宋体" w:hAnsi="宋体"/>
          <w:szCs w:val="21"/>
          <w:lang w:val="en-US" w:eastAsia="zh-CN"/>
        </w:rPr>
        <w:t>10、</w:t>
      </w:r>
      <w:r>
        <w:rPr>
          <w:rFonts w:hint="eastAsia" w:ascii="宋体" w:hAnsi="宋体"/>
          <w:szCs w:val="21"/>
        </w:rPr>
        <w:t>本工程</w:t>
      </w:r>
      <w:r>
        <w:rPr>
          <w:rFonts w:hint="eastAsia" w:ascii="宋体" w:hAnsi="宋体"/>
          <w:szCs w:val="21"/>
          <w:lang w:val="en-US" w:eastAsia="zh-CN"/>
        </w:rPr>
        <w:t>共计</w:t>
      </w:r>
      <w:r>
        <w:rPr>
          <w:rFonts w:hint="eastAsia" w:ascii="宋体" w:hAnsi="宋体"/>
          <w:szCs w:val="21"/>
        </w:rPr>
        <w:t>入暂列金</w:t>
      </w:r>
      <w:r>
        <w:rPr>
          <w:rFonts w:hint="eastAsia" w:ascii="宋体" w:hAnsi="宋体"/>
          <w:szCs w:val="21"/>
          <w:lang w:val="en-US" w:eastAsia="zh-CN"/>
        </w:rPr>
        <w:t>78000元</w:t>
      </w:r>
      <w:r>
        <w:rPr>
          <w:rFonts w:hint="eastAsia" w:ascii="宋体" w:hAnsi="宋体"/>
          <w:szCs w:val="21"/>
        </w:rPr>
        <w:t>。</w:t>
      </w:r>
    </w:p>
    <w:p>
      <w:pPr>
        <w:keepNext w:val="0"/>
        <w:keepLines w:val="0"/>
        <w:pageBreakBefore w:val="0"/>
        <w:kinsoku/>
        <w:wordWrap/>
        <w:overflowPunct/>
        <w:topLinePunct w:val="0"/>
        <w:autoSpaceDE/>
        <w:autoSpaceDN/>
        <w:bidi w:val="0"/>
        <w:adjustRightInd/>
        <w:snapToGrid/>
        <w:spacing w:line="440" w:lineRule="exact"/>
        <w:ind w:left="0" w:leftChars="0" w:firstLine="420" w:firstLineChars="200"/>
        <w:textAlignment w:val="auto"/>
        <w:rPr>
          <w:rFonts w:hint="default" w:ascii="宋体" w:hAnsi="宋体" w:eastAsia="宋体"/>
          <w:szCs w:val="21"/>
          <w:lang w:val="en-US" w:eastAsia="zh-CN"/>
        </w:rPr>
      </w:pPr>
      <w:r>
        <w:rPr>
          <w:rFonts w:hint="eastAsia" w:ascii="宋体" w:hAnsi="宋体"/>
          <w:szCs w:val="21"/>
          <w:lang w:val="en-US" w:eastAsia="zh-CN"/>
        </w:rPr>
        <w:t>其中：1.电气设备安装工程39000元，消防工程39000元，合计78000元。</w:t>
      </w:r>
    </w:p>
    <w:p>
      <w:pPr>
        <w:pStyle w:val="5"/>
        <w:keepNext w:val="0"/>
        <w:keepLines w:val="0"/>
        <w:widowControl/>
        <w:suppressLineNumbers w:val="0"/>
        <w:spacing w:before="0" w:beforeAutospacing="0" w:after="0" w:afterAutospacing="0"/>
        <w:ind w:left="0" w:right="0" w:firstLine="420" w:firstLineChars="200"/>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11、本工程</w:t>
      </w:r>
      <w:r>
        <w:rPr>
          <w:rFonts w:hint="eastAsia" w:ascii="宋体" w:hAnsi="宋体" w:cs="Times New Roman"/>
          <w:kern w:val="2"/>
          <w:sz w:val="21"/>
          <w:szCs w:val="21"/>
          <w:lang w:val="en-US" w:eastAsia="zh-CN" w:bidi="ar-SA"/>
        </w:rPr>
        <w:t>未</w:t>
      </w:r>
      <w:r>
        <w:rPr>
          <w:rFonts w:hint="eastAsia" w:ascii="宋体" w:hAnsi="宋体" w:eastAsia="宋体" w:cs="Times New Roman"/>
          <w:kern w:val="2"/>
          <w:sz w:val="21"/>
          <w:szCs w:val="21"/>
          <w:lang w:val="en-US" w:eastAsia="zh-CN" w:bidi="ar-SA"/>
        </w:rPr>
        <w:t>计入专业工程暂估价。</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宋体" w:hAnsi="宋体"/>
          <w:szCs w:val="21"/>
          <w:lang w:val="en-US" w:eastAsia="zh-CN"/>
        </w:rPr>
      </w:pPr>
      <w:r>
        <w:rPr>
          <w:rFonts w:hint="eastAsia" w:ascii="宋体" w:hAnsi="宋体"/>
          <w:szCs w:val="21"/>
        </w:rPr>
        <w:t>1</w:t>
      </w:r>
      <w:r>
        <w:rPr>
          <w:rFonts w:hint="eastAsia" w:ascii="宋体" w:hAnsi="宋体"/>
          <w:szCs w:val="21"/>
          <w:lang w:val="en-US" w:eastAsia="zh-CN"/>
        </w:rPr>
        <w:t>2</w:t>
      </w:r>
      <w:r>
        <w:rPr>
          <w:rFonts w:hint="eastAsia" w:ascii="宋体" w:hAnsi="宋体"/>
          <w:szCs w:val="21"/>
        </w:rPr>
        <w:t>、本工程</w:t>
      </w:r>
      <w:r>
        <w:rPr>
          <w:rFonts w:hint="eastAsia" w:ascii="宋体" w:hAnsi="宋体"/>
          <w:szCs w:val="21"/>
          <w:lang w:eastAsia="zh-CN"/>
        </w:rPr>
        <w:t>未</w:t>
      </w:r>
      <w:r>
        <w:rPr>
          <w:rFonts w:hint="eastAsia" w:ascii="宋体" w:hAnsi="宋体"/>
          <w:szCs w:val="21"/>
        </w:rPr>
        <w:t>计入材料暂估价</w:t>
      </w:r>
      <w:r>
        <w:rPr>
          <w:rFonts w:hint="eastAsia" w:ascii="宋体" w:hAnsi="宋体"/>
          <w:szCs w:val="21"/>
          <w:lang w:val="en-US" w:eastAsia="zh-CN"/>
        </w:rPr>
        <w:t>。</w:t>
      </w:r>
    </w:p>
    <w:p>
      <w:pPr>
        <w:keepNext w:val="0"/>
        <w:keepLines w:val="0"/>
        <w:pageBreakBefore w:val="0"/>
        <w:kinsoku/>
        <w:wordWrap/>
        <w:overflowPunct/>
        <w:topLinePunct w:val="0"/>
        <w:autoSpaceDE/>
        <w:autoSpaceDN/>
        <w:bidi w:val="0"/>
        <w:adjustRightInd/>
        <w:snapToGrid/>
        <w:spacing w:line="520" w:lineRule="exact"/>
        <w:ind w:firstLine="422" w:firstLineChars="200"/>
        <w:textAlignment w:val="auto"/>
        <w:rPr>
          <w:rFonts w:hint="eastAsia" w:ascii="宋体" w:hAnsi="宋体"/>
          <w:b/>
          <w:bCs/>
          <w:color w:val="auto"/>
          <w:szCs w:val="21"/>
        </w:rPr>
      </w:pPr>
      <w:r>
        <w:rPr>
          <w:rFonts w:hint="eastAsia" w:ascii="宋体" w:hAnsi="宋体"/>
          <w:b/>
          <w:bCs/>
          <w:color w:val="auto"/>
          <w:lang w:val="en-US" w:eastAsia="zh-CN"/>
        </w:rPr>
        <w:t>五</w:t>
      </w:r>
      <w:r>
        <w:rPr>
          <w:rFonts w:hint="eastAsia" w:ascii="宋体" w:hAnsi="宋体"/>
          <w:b/>
          <w:bCs/>
          <w:color w:val="auto"/>
          <w:szCs w:val="21"/>
          <w:lang w:eastAsia="zh-CN"/>
        </w:rPr>
        <w:t>、</w:t>
      </w:r>
      <w:r>
        <w:rPr>
          <w:rFonts w:hint="eastAsia" w:ascii="宋体" w:hAnsi="宋体"/>
          <w:b/>
          <w:bCs/>
          <w:color w:val="auto"/>
          <w:szCs w:val="21"/>
        </w:rPr>
        <w:t xml:space="preserve">其他 </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r>
        <w:rPr>
          <w:rFonts w:hint="eastAsia" w:ascii="宋体" w:hAnsi="宋体"/>
          <w:szCs w:val="21"/>
          <w:lang w:val="en-US" w:eastAsia="zh-CN"/>
        </w:rPr>
        <w:t>1、本项目招标控制价为3900564.57元（大写：叁佰玖拾万零伍佰陆拾肆元伍角柒分）</w:t>
      </w:r>
    </w:p>
    <w:p>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宋体" w:hAnsi="宋体"/>
          <w:color w:val="auto"/>
          <w:sz w:val="24"/>
          <w:szCs w:val="24"/>
          <w:lang w:eastAsia="zh-CN"/>
        </w:rPr>
      </w:pPr>
      <w:bookmarkStart w:id="2" w:name="_GoBack"/>
      <w:bookmarkEnd w:id="2"/>
    </w:p>
    <w:p>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宋体" w:hAnsi="宋体"/>
          <w:color w:val="auto"/>
          <w:sz w:val="24"/>
          <w:szCs w:val="24"/>
          <w:lang w:val="en-US" w:eastAsia="zh-CN"/>
        </w:rPr>
      </w:pPr>
      <w:r>
        <w:rPr>
          <w:rFonts w:hint="eastAsia" w:ascii="宋体" w:hAnsi="宋体"/>
          <w:color w:val="auto"/>
          <w:sz w:val="24"/>
          <w:szCs w:val="24"/>
          <w:lang w:eastAsia="zh-CN"/>
        </w:rPr>
        <w:t>新疆</w:t>
      </w:r>
      <w:r>
        <w:rPr>
          <w:rFonts w:hint="eastAsia" w:ascii="宋体" w:hAnsi="宋体"/>
          <w:color w:val="auto"/>
          <w:sz w:val="24"/>
          <w:szCs w:val="24"/>
          <w:lang w:val="en-US" w:eastAsia="zh-CN"/>
        </w:rPr>
        <w:t>民盛</w:t>
      </w:r>
      <w:r>
        <w:rPr>
          <w:rFonts w:hint="eastAsia" w:ascii="宋体" w:hAnsi="宋体"/>
          <w:color w:val="auto"/>
          <w:sz w:val="24"/>
          <w:szCs w:val="24"/>
          <w:lang w:eastAsia="zh-CN"/>
        </w:rPr>
        <w:t>工程管理</w:t>
      </w:r>
      <w:r>
        <w:rPr>
          <w:rFonts w:hint="eastAsia" w:ascii="宋体" w:hAnsi="宋体"/>
          <w:color w:val="auto"/>
          <w:sz w:val="24"/>
          <w:szCs w:val="24"/>
          <w:lang w:val="en-US" w:eastAsia="zh-CN"/>
        </w:rPr>
        <w:t>服务</w:t>
      </w:r>
      <w:r>
        <w:rPr>
          <w:rFonts w:hint="eastAsia" w:ascii="宋体" w:hAnsi="宋体"/>
          <w:color w:val="auto"/>
          <w:sz w:val="24"/>
          <w:szCs w:val="24"/>
          <w:lang w:eastAsia="zh-CN"/>
        </w:rPr>
        <w:t>有限责任公司</w:t>
      </w:r>
      <w:r>
        <w:rPr>
          <w:rFonts w:hint="eastAsia" w:ascii="宋体" w:hAnsi="宋体"/>
          <w:color w:val="auto"/>
          <w:sz w:val="24"/>
          <w:szCs w:val="24"/>
          <w:lang w:val="en-US" w:eastAsia="zh-CN"/>
        </w:rPr>
        <w:t xml:space="preserve">                     </w:t>
      </w:r>
    </w:p>
    <w:p>
      <w:pPr>
        <w:keepNext w:val="0"/>
        <w:keepLines w:val="0"/>
        <w:pageBreakBefore w:val="0"/>
        <w:kinsoku/>
        <w:wordWrap w:val="0"/>
        <w:overflowPunct/>
        <w:topLinePunct w:val="0"/>
        <w:autoSpaceDE/>
        <w:autoSpaceDN/>
        <w:bidi w:val="0"/>
        <w:adjustRightInd/>
        <w:snapToGrid/>
        <w:spacing w:line="520" w:lineRule="exact"/>
        <w:jc w:val="right"/>
        <w:textAlignment w:val="auto"/>
        <w:rPr>
          <w:rFonts w:hint="default" w:ascii="宋体" w:hAnsi="宋体"/>
          <w:color w:val="auto"/>
          <w:sz w:val="24"/>
          <w:szCs w:val="24"/>
          <w:lang w:val="en-US" w:eastAsia="zh-CN"/>
        </w:rPr>
      </w:pPr>
      <w:r>
        <w:rPr>
          <w:rFonts w:hint="eastAsia" w:ascii="宋体" w:hAnsi="宋体"/>
          <w:color w:val="auto"/>
          <w:sz w:val="24"/>
          <w:szCs w:val="24"/>
          <w:lang w:val="en-US" w:eastAsia="zh-CN"/>
        </w:rPr>
        <w:t xml:space="preserve">2024年4月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kNjRhOTJhMzU0YmU2OGE0MThlMjgyYWJlZTYxNDAifQ=="/>
  </w:docVars>
  <w:rsids>
    <w:rsidRoot w:val="003A0A7D"/>
    <w:rsid w:val="000064B0"/>
    <w:rsid w:val="00030A5C"/>
    <w:rsid w:val="00053DDC"/>
    <w:rsid w:val="00072467"/>
    <w:rsid w:val="000E2823"/>
    <w:rsid w:val="000F7F19"/>
    <w:rsid w:val="0010170E"/>
    <w:rsid w:val="001078F9"/>
    <w:rsid w:val="00136F87"/>
    <w:rsid w:val="00146615"/>
    <w:rsid w:val="0015023D"/>
    <w:rsid w:val="00173C26"/>
    <w:rsid w:val="00192709"/>
    <w:rsid w:val="001A3810"/>
    <w:rsid w:val="001C470A"/>
    <w:rsid w:val="001C52A0"/>
    <w:rsid w:val="001E1D49"/>
    <w:rsid w:val="001E616C"/>
    <w:rsid w:val="002476C1"/>
    <w:rsid w:val="0026359C"/>
    <w:rsid w:val="00294678"/>
    <w:rsid w:val="00305DE5"/>
    <w:rsid w:val="00330775"/>
    <w:rsid w:val="00332CF3"/>
    <w:rsid w:val="0033750C"/>
    <w:rsid w:val="003616A9"/>
    <w:rsid w:val="00362751"/>
    <w:rsid w:val="00385582"/>
    <w:rsid w:val="003A0A7D"/>
    <w:rsid w:val="003A54D3"/>
    <w:rsid w:val="003C5537"/>
    <w:rsid w:val="003C57FF"/>
    <w:rsid w:val="003D3F4A"/>
    <w:rsid w:val="003D5A8C"/>
    <w:rsid w:val="003E29CE"/>
    <w:rsid w:val="003E622D"/>
    <w:rsid w:val="003E74B1"/>
    <w:rsid w:val="003F1C1C"/>
    <w:rsid w:val="00421887"/>
    <w:rsid w:val="00423442"/>
    <w:rsid w:val="0044471B"/>
    <w:rsid w:val="0045518D"/>
    <w:rsid w:val="0045690A"/>
    <w:rsid w:val="00464D45"/>
    <w:rsid w:val="004850D1"/>
    <w:rsid w:val="004A39BD"/>
    <w:rsid w:val="004D760F"/>
    <w:rsid w:val="004E3DC4"/>
    <w:rsid w:val="004E5F39"/>
    <w:rsid w:val="00504170"/>
    <w:rsid w:val="00541BEE"/>
    <w:rsid w:val="00543B40"/>
    <w:rsid w:val="0054754C"/>
    <w:rsid w:val="00547685"/>
    <w:rsid w:val="00556398"/>
    <w:rsid w:val="005622BF"/>
    <w:rsid w:val="0056345C"/>
    <w:rsid w:val="00581B9A"/>
    <w:rsid w:val="005873D4"/>
    <w:rsid w:val="00591900"/>
    <w:rsid w:val="00595D75"/>
    <w:rsid w:val="005B2671"/>
    <w:rsid w:val="005C3CE1"/>
    <w:rsid w:val="005D203A"/>
    <w:rsid w:val="005E28AB"/>
    <w:rsid w:val="005F04B7"/>
    <w:rsid w:val="00611F7E"/>
    <w:rsid w:val="006211BB"/>
    <w:rsid w:val="00623AD8"/>
    <w:rsid w:val="006323AF"/>
    <w:rsid w:val="00646C47"/>
    <w:rsid w:val="00654471"/>
    <w:rsid w:val="006549A0"/>
    <w:rsid w:val="00685B89"/>
    <w:rsid w:val="006875F6"/>
    <w:rsid w:val="00691FBB"/>
    <w:rsid w:val="006C69FC"/>
    <w:rsid w:val="006E7D10"/>
    <w:rsid w:val="0070604A"/>
    <w:rsid w:val="007069CE"/>
    <w:rsid w:val="00726171"/>
    <w:rsid w:val="00760CC4"/>
    <w:rsid w:val="0077746F"/>
    <w:rsid w:val="007A277B"/>
    <w:rsid w:val="007B49A1"/>
    <w:rsid w:val="007C1B28"/>
    <w:rsid w:val="007C45DF"/>
    <w:rsid w:val="007C6A6A"/>
    <w:rsid w:val="007F393E"/>
    <w:rsid w:val="00802B65"/>
    <w:rsid w:val="0081382E"/>
    <w:rsid w:val="008308ED"/>
    <w:rsid w:val="008562AB"/>
    <w:rsid w:val="00865009"/>
    <w:rsid w:val="008A0545"/>
    <w:rsid w:val="008D4808"/>
    <w:rsid w:val="008E7EEB"/>
    <w:rsid w:val="00931984"/>
    <w:rsid w:val="00931FA5"/>
    <w:rsid w:val="00947CB0"/>
    <w:rsid w:val="00960471"/>
    <w:rsid w:val="00971031"/>
    <w:rsid w:val="0097120D"/>
    <w:rsid w:val="00971D27"/>
    <w:rsid w:val="0097475A"/>
    <w:rsid w:val="009A5026"/>
    <w:rsid w:val="009A5B3A"/>
    <w:rsid w:val="009B3F23"/>
    <w:rsid w:val="009B40A4"/>
    <w:rsid w:val="009C3451"/>
    <w:rsid w:val="009D0605"/>
    <w:rsid w:val="009D3534"/>
    <w:rsid w:val="009E5992"/>
    <w:rsid w:val="009F0F26"/>
    <w:rsid w:val="00A13201"/>
    <w:rsid w:val="00A42837"/>
    <w:rsid w:val="00A573C3"/>
    <w:rsid w:val="00A8747D"/>
    <w:rsid w:val="00A94801"/>
    <w:rsid w:val="00A97E1D"/>
    <w:rsid w:val="00B05702"/>
    <w:rsid w:val="00B4734C"/>
    <w:rsid w:val="00B5557C"/>
    <w:rsid w:val="00B64711"/>
    <w:rsid w:val="00BA3CC1"/>
    <w:rsid w:val="00BC3A47"/>
    <w:rsid w:val="00BC7F77"/>
    <w:rsid w:val="00BD05C9"/>
    <w:rsid w:val="00BF7639"/>
    <w:rsid w:val="00BF79B8"/>
    <w:rsid w:val="00C21B5F"/>
    <w:rsid w:val="00C311BC"/>
    <w:rsid w:val="00C84D64"/>
    <w:rsid w:val="00C918C9"/>
    <w:rsid w:val="00C93F6D"/>
    <w:rsid w:val="00CA5D44"/>
    <w:rsid w:val="00CB6944"/>
    <w:rsid w:val="00CD2CAE"/>
    <w:rsid w:val="00CE0288"/>
    <w:rsid w:val="00D002F5"/>
    <w:rsid w:val="00D51D10"/>
    <w:rsid w:val="00D6448A"/>
    <w:rsid w:val="00D6675D"/>
    <w:rsid w:val="00D67ACF"/>
    <w:rsid w:val="00D713C7"/>
    <w:rsid w:val="00D734AA"/>
    <w:rsid w:val="00D90F3F"/>
    <w:rsid w:val="00DB33C1"/>
    <w:rsid w:val="00DD70AB"/>
    <w:rsid w:val="00E11994"/>
    <w:rsid w:val="00E20230"/>
    <w:rsid w:val="00E2399A"/>
    <w:rsid w:val="00E3748A"/>
    <w:rsid w:val="00E51CB9"/>
    <w:rsid w:val="00E656C1"/>
    <w:rsid w:val="00E81C07"/>
    <w:rsid w:val="00EA10A5"/>
    <w:rsid w:val="00EA65EF"/>
    <w:rsid w:val="00EC2956"/>
    <w:rsid w:val="00ED157C"/>
    <w:rsid w:val="00EF079A"/>
    <w:rsid w:val="00F147AB"/>
    <w:rsid w:val="00F26E0B"/>
    <w:rsid w:val="00F434BF"/>
    <w:rsid w:val="00F9487E"/>
    <w:rsid w:val="00FB77E5"/>
    <w:rsid w:val="00FF3D0F"/>
    <w:rsid w:val="015E5754"/>
    <w:rsid w:val="01BF6747"/>
    <w:rsid w:val="01D90FF3"/>
    <w:rsid w:val="02742D25"/>
    <w:rsid w:val="03517A50"/>
    <w:rsid w:val="03FC16A4"/>
    <w:rsid w:val="040F7385"/>
    <w:rsid w:val="0485020D"/>
    <w:rsid w:val="04F326B9"/>
    <w:rsid w:val="050B4CE8"/>
    <w:rsid w:val="05AF540B"/>
    <w:rsid w:val="075A0C72"/>
    <w:rsid w:val="08160049"/>
    <w:rsid w:val="084018A2"/>
    <w:rsid w:val="08BE6FB3"/>
    <w:rsid w:val="0957242D"/>
    <w:rsid w:val="09C15448"/>
    <w:rsid w:val="0A963E9C"/>
    <w:rsid w:val="0BFC55EF"/>
    <w:rsid w:val="0C596EFE"/>
    <w:rsid w:val="0DC113DE"/>
    <w:rsid w:val="0DCB64A0"/>
    <w:rsid w:val="0F284664"/>
    <w:rsid w:val="0FC44D9A"/>
    <w:rsid w:val="0FEE72E8"/>
    <w:rsid w:val="109E6287"/>
    <w:rsid w:val="125E28C0"/>
    <w:rsid w:val="126E2E7A"/>
    <w:rsid w:val="12742637"/>
    <w:rsid w:val="12F67EEA"/>
    <w:rsid w:val="14C80E2F"/>
    <w:rsid w:val="153D27CA"/>
    <w:rsid w:val="156D3315"/>
    <w:rsid w:val="16016D6B"/>
    <w:rsid w:val="161E0125"/>
    <w:rsid w:val="1688382D"/>
    <w:rsid w:val="17966E26"/>
    <w:rsid w:val="194F4FD8"/>
    <w:rsid w:val="19AF7F98"/>
    <w:rsid w:val="19BC2D93"/>
    <w:rsid w:val="19E66A7E"/>
    <w:rsid w:val="19FE36CC"/>
    <w:rsid w:val="1A837F8E"/>
    <w:rsid w:val="1AFA0A84"/>
    <w:rsid w:val="1C2A76E9"/>
    <w:rsid w:val="1C567F64"/>
    <w:rsid w:val="1D00042F"/>
    <w:rsid w:val="1D6653E4"/>
    <w:rsid w:val="1DD2202A"/>
    <w:rsid w:val="1EB97897"/>
    <w:rsid w:val="1F6B1A10"/>
    <w:rsid w:val="1FD00694"/>
    <w:rsid w:val="2023059E"/>
    <w:rsid w:val="20564E91"/>
    <w:rsid w:val="2105158D"/>
    <w:rsid w:val="22555A6D"/>
    <w:rsid w:val="22CB727F"/>
    <w:rsid w:val="2368694F"/>
    <w:rsid w:val="2373298F"/>
    <w:rsid w:val="243B2A42"/>
    <w:rsid w:val="255F4B51"/>
    <w:rsid w:val="258862E1"/>
    <w:rsid w:val="25F438FA"/>
    <w:rsid w:val="25F940E3"/>
    <w:rsid w:val="2614042C"/>
    <w:rsid w:val="26915F9D"/>
    <w:rsid w:val="26F2197A"/>
    <w:rsid w:val="26F460F1"/>
    <w:rsid w:val="28430BE5"/>
    <w:rsid w:val="29740D18"/>
    <w:rsid w:val="29E62526"/>
    <w:rsid w:val="2B1E787C"/>
    <w:rsid w:val="2C035114"/>
    <w:rsid w:val="2CA97195"/>
    <w:rsid w:val="2D4A6342"/>
    <w:rsid w:val="2E816999"/>
    <w:rsid w:val="2E9164A0"/>
    <w:rsid w:val="2F544DAB"/>
    <w:rsid w:val="301B005F"/>
    <w:rsid w:val="30F03EC6"/>
    <w:rsid w:val="31CA2CB1"/>
    <w:rsid w:val="32B220E5"/>
    <w:rsid w:val="32F163A0"/>
    <w:rsid w:val="33AD1B0D"/>
    <w:rsid w:val="35357D2D"/>
    <w:rsid w:val="362A7130"/>
    <w:rsid w:val="37BF0817"/>
    <w:rsid w:val="3951224F"/>
    <w:rsid w:val="39DE7719"/>
    <w:rsid w:val="3B164BD3"/>
    <w:rsid w:val="3B2E52E4"/>
    <w:rsid w:val="3C2D3E3E"/>
    <w:rsid w:val="3C480EBB"/>
    <w:rsid w:val="3D4B11F6"/>
    <w:rsid w:val="3DC85A81"/>
    <w:rsid w:val="3FE44304"/>
    <w:rsid w:val="4024701D"/>
    <w:rsid w:val="43631912"/>
    <w:rsid w:val="439D2C94"/>
    <w:rsid w:val="43B835F7"/>
    <w:rsid w:val="44FF2E19"/>
    <w:rsid w:val="47F51C8B"/>
    <w:rsid w:val="48942F22"/>
    <w:rsid w:val="48C22171"/>
    <w:rsid w:val="49567AC4"/>
    <w:rsid w:val="49ED63B9"/>
    <w:rsid w:val="4A8C56EF"/>
    <w:rsid w:val="4C30799A"/>
    <w:rsid w:val="4DB92865"/>
    <w:rsid w:val="4E3B3736"/>
    <w:rsid w:val="4E7749B4"/>
    <w:rsid w:val="4FBA3709"/>
    <w:rsid w:val="505D08B0"/>
    <w:rsid w:val="506D265B"/>
    <w:rsid w:val="50DE75DE"/>
    <w:rsid w:val="52734B96"/>
    <w:rsid w:val="52E56EC7"/>
    <w:rsid w:val="5323490A"/>
    <w:rsid w:val="53705506"/>
    <w:rsid w:val="53E43008"/>
    <w:rsid w:val="54B908A2"/>
    <w:rsid w:val="553B20C4"/>
    <w:rsid w:val="55990883"/>
    <w:rsid w:val="55A27CD6"/>
    <w:rsid w:val="57D416BE"/>
    <w:rsid w:val="57F054D5"/>
    <w:rsid w:val="5AC22A4B"/>
    <w:rsid w:val="5C1A1659"/>
    <w:rsid w:val="5C542807"/>
    <w:rsid w:val="5D916F3A"/>
    <w:rsid w:val="5DA03097"/>
    <w:rsid w:val="5DA1280B"/>
    <w:rsid w:val="5E7B6ABD"/>
    <w:rsid w:val="5F726FC0"/>
    <w:rsid w:val="60724A0C"/>
    <w:rsid w:val="618F1FCE"/>
    <w:rsid w:val="626C253F"/>
    <w:rsid w:val="6271362C"/>
    <w:rsid w:val="662B6FB5"/>
    <w:rsid w:val="67BB4C26"/>
    <w:rsid w:val="687765EE"/>
    <w:rsid w:val="69BA2075"/>
    <w:rsid w:val="69E03AB5"/>
    <w:rsid w:val="6AAF721D"/>
    <w:rsid w:val="6B445CF6"/>
    <w:rsid w:val="6C486057"/>
    <w:rsid w:val="6C772D9A"/>
    <w:rsid w:val="6C8A02CC"/>
    <w:rsid w:val="6D185F40"/>
    <w:rsid w:val="6E7335BA"/>
    <w:rsid w:val="6F490CF7"/>
    <w:rsid w:val="6F71228E"/>
    <w:rsid w:val="70804370"/>
    <w:rsid w:val="71E6122A"/>
    <w:rsid w:val="724B6623"/>
    <w:rsid w:val="735243C3"/>
    <w:rsid w:val="73AD0960"/>
    <w:rsid w:val="749D6A35"/>
    <w:rsid w:val="74FE794D"/>
    <w:rsid w:val="758E160B"/>
    <w:rsid w:val="767361D9"/>
    <w:rsid w:val="77170575"/>
    <w:rsid w:val="786654A6"/>
    <w:rsid w:val="78EC6564"/>
    <w:rsid w:val="79335B93"/>
    <w:rsid w:val="7A915F79"/>
    <w:rsid w:val="7B972B66"/>
    <w:rsid w:val="7CBF0A7A"/>
    <w:rsid w:val="7EB42711"/>
    <w:rsid w:val="7F5759C7"/>
    <w:rsid w:val="7F805FF3"/>
    <w:rsid w:val="7F90393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9"/>
    <w:autoRedefine/>
    <w:semiHidden/>
    <w:qFormat/>
    <w:uiPriority w:val="99"/>
    <w:pPr>
      <w:tabs>
        <w:tab w:val="center" w:pos="4153"/>
        <w:tab w:val="right" w:pos="8306"/>
      </w:tabs>
      <w:snapToGrid w:val="0"/>
      <w:jc w:val="left"/>
    </w:pPr>
    <w:rPr>
      <w:sz w:val="18"/>
      <w:szCs w:val="18"/>
    </w:rPr>
  </w:style>
  <w:style w:type="paragraph" w:styleId="4">
    <w:name w:val="header"/>
    <w:basedOn w:val="1"/>
    <w:link w:val="8"/>
    <w:autoRedefine/>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spacing w:beforeAutospacing="1" w:afterAutospacing="1"/>
      <w:jc w:val="left"/>
    </w:pPr>
    <w:rPr>
      <w:kern w:val="0"/>
      <w:sz w:val="24"/>
    </w:rPr>
  </w:style>
  <w:style w:type="character" w:customStyle="1" w:styleId="8">
    <w:name w:val="页眉 Char"/>
    <w:link w:val="4"/>
    <w:autoRedefine/>
    <w:semiHidden/>
    <w:qFormat/>
    <w:locked/>
    <w:uiPriority w:val="99"/>
    <w:rPr>
      <w:rFonts w:cs="Times New Roman"/>
      <w:kern w:val="2"/>
      <w:sz w:val="18"/>
      <w:szCs w:val="18"/>
    </w:rPr>
  </w:style>
  <w:style w:type="character" w:customStyle="1" w:styleId="9">
    <w:name w:val="页脚 Char"/>
    <w:link w:val="3"/>
    <w:autoRedefine/>
    <w:semiHidden/>
    <w:qFormat/>
    <w:locked/>
    <w:uiPriority w:val="99"/>
    <w:rPr>
      <w:rFonts w:cs="Times New Roman"/>
      <w:kern w:val="2"/>
      <w:sz w:val="18"/>
      <w:szCs w:val="18"/>
    </w:rPr>
  </w:style>
  <w:style w:type="character" w:customStyle="1" w:styleId="10">
    <w:name w:val="批注框文本 Char"/>
    <w:link w:val="2"/>
    <w:autoRedefine/>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0</Company>
  <Pages>2</Pages>
  <Words>1021</Words>
  <Characters>1120</Characters>
  <Lines>9</Lines>
  <Paragraphs>2</Paragraphs>
  <TotalTime>3</TotalTime>
  <ScaleCrop>false</ScaleCrop>
  <LinksUpToDate>false</LinksUpToDate>
  <CharactersWithSpaces>1145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2016-06-18T04:57:00Z</dcterms:created>
  <dc:creator>admin</dc:creator>
  <cp:lastModifiedBy>，，，</cp:lastModifiedBy>
  <cp:lastPrinted>2022-03-11T11:34:00Z</cp:lastPrinted>
  <dcterms:modified xsi:type="dcterms:W3CDTF">2024-04-28T10:52:31Z</dcterms:modified>
  <dc:title>xxx工程招标控制价编制说明</dc:title>
  <cp:revision>289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A042CD729154440798116F227968FE4B_13</vt:lpwstr>
  </property>
</Properties>
</file>