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D0E7">
      <w:pPr>
        <w:pageBreakBefore w:val="0"/>
        <w:kinsoku w:val="0"/>
        <w:wordWrap w:val="0"/>
        <w:overflowPunct/>
        <w:topLinePunct w:val="0"/>
        <w:autoSpaceDE/>
        <w:autoSpaceDN/>
        <w:bidi w:val="0"/>
        <w:spacing w:line="360" w:lineRule="auto"/>
        <w:jc w:val="center"/>
        <w:rPr>
          <w:rFonts w:hint="eastAsia" w:ascii="黑体" w:hAnsi="黑体" w:eastAsia="黑体" w:cs="黑体"/>
          <w:b/>
          <w:bCs/>
          <w:color w:val="auto"/>
          <w:sz w:val="36"/>
          <w:szCs w:val="36"/>
          <w:lang w:eastAsia="zh-CN"/>
        </w:rPr>
      </w:pPr>
      <w:bookmarkStart w:id="0" w:name="_Toc20437"/>
    </w:p>
    <w:p w14:paraId="22F5AAC7">
      <w:pPr>
        <w:pageBreakBefore w:val="0"/>
        <w:kinsoku w:val="0"/>
        <w:wordWrap w:val="0"/>
        <w:overflowPunct/>
        <w:topLinePunct w:val="0"/>
        <w:autoSpaceDE/>
        <w:autoSpaceDN/>
        <w:bidi w:val="0"/>
        <w:spacing w:line="360" w:lineRule="auto"/>
        <w:jc w:val="center"/>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lang w:eastAsia="zh-CN"/>
        </w:rPr>
        <w:t>巴楚县产业发展促进就业资助-特色产品推广和品牌营销项目</w:t>
      </w:r>
    </w:p>
    <w:p w14:paraId="1C1F863A">
      <w:pPr>
        <w:pageBreakBefore w:val="0"/>
        <w:kinsoku w:val="0"/>
        <w:wordWrap w:val="0"/>
        <w:overflowPunct/>
        <w:topLinePunct w:val="0"/>
        <w:autoSpaceDE/>
        <w:autoSpaceDN/>
        <w:bidi w:val="0"/>
        <w:spacing w:line="360" w:lineRule="auto"/>
        <w:jc w:val="center"/>
        <w:rPr>
          <w:rFonts w:hint="eastAsia" w:ascii="黑体" w:hAnsi="黑体" w:eastAsia="黑体" w:cs="黑体"/>
          <w:b/>
          <w:bCs/>
          <w:color w:val="auto"/>
          <w:spacing w:val="3"/>
          <w:sz w:val="36"/>
          <w:szCs w:val="36"/>
        </w:rPr>
      </w:pPr>
      <w:r>
        <w:rPr>
          <w:rFonts w:hint="eastAsia" w:ascii="黑体" w:hAnsi="黑体" w:eastAsia="黑体" w:cs="黑体"/>
          <w:b/>
          <w:bCs/>
          <w:color w:val="auto"/>
          <w:spacing w:val="3"/>
          <w:sz w:val="36"/>
          <w:szCs w:val="36"/>
        </w:rPr>
        <w:t>竞争性磋商文件</w:t>
      </w:r>
      <w:bookmarkEnd w:id="0"/>
    </w:p>
    <w:p w14:paraId="27DE8A63">
      <w:pPr>
        <w:pageBreakBefore w:val="0"/>
        <w:kinsoku w:val="0"/>
        <w:wordWrap w:val="0"/>
        <w:overflowPunct/>
        <w:topLinePunct w:val="0"/>
        <w:autoSpaceDE/>
        <w:autoSpaceDN/>
        <w:bidi w:val="0"/>
        <w:spacing w:before="137" w:line="219" w:lineRule="auto"/>
        <w:jc w:val="center"/>
        <w:rPr>
          <w:rFonts w:hint="eastAsia" w:ascii="黑体" w:hAnsi="黑体" w:eastAsia="黑体" w:cs="黑体"/>
          <w:b/>
          <w:bCs/>
          <w:color w:val="auto"/>
          <w:spacing w:val="-15"/>
          <w:sz w:val="32"/>
          <w:szCs w:val="32"/>
        </w:rPr>
      </w:pPr>
    </w:p>
    <w:p w14:paraId="66CDEB41">
      <w:pPr>
        <w:pageBreakBefore w:val="0"/>
        <w:kinsoku w:val="0"/>
        <w:wordWrap w:val="0"/>
        <w:overflowPunct/>
        <w:topLinePunct w:val="0"/>
        <w:autoSpaceDE/>
        <w:autoSpaceDN/>
        <w:bidi w:val="0"/>
        <w:spacing w:before="137" w:line="219" w:lineRule="auto"/>
        <w:jc w:val="center"/>
        <w:rPr>
          <w:rFonts w:hint="eastAsia" w:ascii="黑体" w:hAnsi="黑体" w:eastAsia="黑体" w:cs="黑体"/>
          <w:b/>
          <w:bCs/>
          <w:color w:val="auto"/>
          <w:spacing w:val="-15"/>
          <w:sz w:val="32"/>
          <w:szCs w:val="32"/>
        </w:rPr>
      </w:pPr>
    </w:p>
    <w:p w14:paraId="05827A6E">
      <w:pPr>
        <w:pageBreakBefore w:val="0"/>
        <w:kinsoku w:val="0"/>
        <w:wordWrap w:val="0"/>
        <w:overflowPunct/>
        <w:topLinePunct w:val="0"/>
        <w:autoSpaceDE/>
        <w:autoSpaceDN/>
        <w:bidi w:val="0"/>
        <w:spacing w:before="137" w:line="219" w:lineRule="auto"/>
        <w:jc w:val="center"/>
        <w:outlineLvl w:val="0"/>
        <w:rPr>
          <w:rFonts w:hint="eastAsia" w:ascii="黑体" w:hAnsi="黑体" w:eastAsia="黑体" w:cs="黑体"/>
          <w:b/>
          <w:bCs/>
          <w:color w:val="auto"/>
          <w:spacing w:val="-15"/>
          <w:sz w:val="32"/>
          <w:szCs w:val="32"/>
        </w:rPr>
      </w:pPr>
      <w:bookmarkStart w:id="1" w:name="_Toc20361"/>
    </w:p>
    <w:p w14:paraId="3396BF38">
      <w:pPr>
        <w:keepNext w:val="0"/>
        <w:keepLines w:val="0"/>
        <w:pageBreakBefore w:val="0"/>
        <w:widowControl w:val="0"/>
        <w:kinsoku w:val="0"/>
        <w:wordWrap w:val="0"/>
        <w:overflowPunct/>
        <w:topLinePunct w:val="0"/>
        <w:autoSpaceDE/>
        <w:autoSpaceDN/>
        <w:bidi w:val="0"/>
        <w:adjustRightInd w:val="0"/>
        <w:snapToGrid w:val="0"/>
        <w:spacing w:line="219" w:lineRule="auto"/>
        <w:jc w:val="center"/>
        <w:textAlignment w:val="baseline"/>
        <w:outlineLvl w:val="0"/>
        <w:rPr>
          <w:rFonts w:hint="eastAsia" w:ascii="黑体" w:hAnsi="黑体" w:eastAsia="黑体" w:cs="黑体"/>
          <w:color w:val="auto"/>
          <w:sz w:val="32"/>
          <w:szCs w:val="32"/>
          <w:lang w:val="en-US" w:eastAsia="zh-CN"/>
        </w:rPr>
      </w:pPr>
      <w:r>
        <w:rPr>
          <w:rFonts w:hint="eastAsia" w:ascii="黑体" w:hAnsi="黑体" w:eastAsia="黑体" w:cs="黑体"/>
          <w:b/>
          <w:bCs/>
          <w:color w:val="auto"/>
          <w:spacing w:val="-15"/>
          <w:sz w:val="32"/>
          <w:szCs w:val="32"/>
        </w:rPr>
        <w:t>项目编号：</w:t>
      </w:r>
      <w:bookmarkEnd w:id="1"/>
      <w:r>
        <w:rPr>
          <w:rFonts w:hint="eastAsia" w:ascii="黑体" w:hAnsi="黑体" w:eastAsia="黑体" w:cs="黑体"/>
          <w:b/>
          <w:bCs/>
          <w:color w:val="auto"/>
          <w:spacing w:val="-15"/>
          <w:sz w:val="32"/>
          <w:szCs w:val="32"/>
          <w:lang w:eastAsia="zh-CN"/>
        </w:rPr>
        <w:t>ZBGJBCX(CS)2024-04</w:t>
      </w:r>
    </w:p>
    <w:p w14:paraId="57FB6F83">
      <w:pPr>
        <w:pageBreakBefore w:val="0"/>
        <w:kinsoku w:val="0"/>
        <w:wordWrap w:val="0"/>
        <w:overflowPunct/>
        <w:topLinePunct w:val="0"/>
        <w:autoSpaceDE/>
        <w:autoSpaceDN/>
        <w:bidi w:val="0"/>
        <w:rPr>
          <w:rFonts w:hint="eastAsia" w:ascii="黑体" w:hAnsi="黑体" w:eastAsia="黑体" w:cs="黑体"/>
          <w:color w:val="auto"/>
          <w:sz w:val="21"/>
        </w:rPr>
      </w:pPr>
    </w:p>
    <w:p w14:paraId="5053987A">
      <w:pPr>
        <w:pageBreakBefore w:val="0"/>
        <w:kinsoku w:val="0"/>
        <w:wordWrap w:val="0"/>
        <w:overflowPunct/>
        <w:topLinePunct w:val="0"/>
        <w:autoSpaceDE/>
        <w:autoSpaceDN/>
        <w:bidi w:val="0"/>
        <w:rPr>
          <w:rFonts w:hint="eastAsia" w:ascii="黑体" w:hAnsi="黑体" w:eastAsia="黑体" w:cs="黑体"/>
          <w:color w:val="auto"/>
          <w:sz w:val="21"/>
        </w:rPr>
      </w:pPr>
    </w:p>
    <w:p w14:paraId="3E69F5AD">
      <w:pPr>
        <w:pageBreakBefore w:val="0"/>
        <w:kinsoku w:val="0"/>
        <w:wordWrap w:val="0"/>
        <w:overflowPunct/>
        <w:topLinePunct w:val="0"/>
        <w:autoSpaceDE/>
        <w:autoSpaceDN/>
        <w:bidi w:val="0"/>
        <w:rPr>
          <w:rFonts w:hint="eastAsia" w:ascii="黑体" w:hAnsi="黑体" w:eastAsia="黑体" w:cs="黑体"/>
          <w:color w:val="auto"/>
          <w:sz w:val="21"/>
        </w:rPr>
      </w:pPr>
    </w:p>
    <w:p w14:paraId="3CF19F08">
      <w:pPr>
        <w:pageBreakBefore w:val="0"/>
        <w:kinsoku w:val="0"/>
        <w:wordWrap w:val="0"/>
        <w:overflowPunct/>
        <w:topLinePunct w:val="0"/>
        <w:autoSpaceDE/>
        <w:autoSpaceDN/>
        <w:bidi w:val="0"/>
        <w:rPr>
          <w:rFonts w:hint="eastAsia" w:ascii="黑体" w:hAnsi="黑体" w:eastAsia="黑体" w:cs="黑体"/>
          <w:color w:val="auto"/>
          <w:sz w:val="21"/>
        </w:rPr>
      </w:pPr>
    </w:p>
    <w:p w14:paraId="7E0BEED5">
      <w:pPr>
        <w:pageBreakBefore w:val="0"/>
        <w:kinsoku w:val="0"/>
        <w:wordWrap w:val="0"/>
        <w:overflowPunct/>
        <w:topLinePunct w:val="0"/>
        <w:autoSpaceDE/>
        <w:autoSpaceDN/>
        <w:bidi w:val="0"/>
        <w:spacing w:line="241" w:lineRule="auto"/>
        <w:rPr>
          <w:rFonts w:hint="eastAsia" w:ascii="黑体" w:hAnsi="黑体" w:eastAsia="黑体" w:cs="黑体"/>
          <w:color w:val="auto"/>
          <w:sz w:val="21"/>
        </w:rPr>
      </w:pPr>
    </w:p>
    <w:p w14:paraId="0F08707D">
      <w:pPr>
        <w:pageBreakBefore w:val="0"/>
        <w:kinsoku w:val="0"/>
        <w:wordWrap w:val="0"/>
        <w:overflowPunct/>
        <w:topLinePunct w:val="0"/>
        <w:autoSpaceDE/>
        <w:autoSpaceDN/>
        <w:bidi w:val="0"/>
        <w:spacing w:line="241" w:lineRule="auto"/>
        <w:rPr>
          <w:rFonts w:hint="eastAsia" w:ascii="黑体" w:hAnsi="黑体" w:eastAsia="黑体" w:cs="黑体"/>
          <w:color w:val="auto"/>
          <w:sz w:val="21"/>
        </w:rPr>
      </w:pPr>
    </w:p>
    <w:p w14:paraId="2B60BE80">
      <w:pPr>
        <w:pageBreakBefore w:val="0"/>
        <w:kinsoku w:val="0"/>
        <w:wordWrap w:val="0"/>
        <w:overflowPunct/>
        <w:topLinePunct w:val="0"/>
        <w:autoSpaceDE/>
        <w:autoSpaceDN/>
        <w:bidi w:val="0"/>
        <w:spacing w:line="266" w:lineRule="auto"/>
        <w:rPr>
          <w:rFonts w:hint="eastAsia" w:ascii="黑体" w:hAnsi="黑体" w:eastAsia="黑体" w:cs="黑体"/>
          <w:color w:val="auto"/>
          <w:sz w:val="21"/>
        </w:rPr>
      </w:pPr>
    </w:p>
    <w:p w14:paraId="6815B432">
      <w:pPr>
        <w:pageBreakBefore w:val="0"/>
        <w:kinsoku w:val="0"/>
        <w:wordWrap w:val="0"/>
        <w:overflowPunct/>
        <w:topLinePunct w:val="0"/>
        <w:autoSpaceDE/>
        <w:autoSpaceDN/>
        <w:bidi w:val="0"/>
        <w:spacing w:line="266" w:lineRule="auto"/>
        <w:rPr>
          <w:rFonts w:hint="eastAsia" w:ascii="黑体" w:hAnsi="黑体" w:eastAsia="黑体" w:cs="黑体"/>
          <w:color w:val="auto"/>
          <w:sz w:val="21"/>
        </w:rPr>
      </w:pPr>
    </w:p>
    <w:p w14:paraId="08CB6F96">
      <w:pPr>
        <w:pageBreakBefore w:val="0"/>
        <w:kinsoku w:val="0"/>
        <w:wordWrap w:val="0"/>
        <w:overflowPunct/>
        <w:topLinePunct w:val="0"/>
        <w:autoSpaceDE/>
        <w:autoSpaceDN/>
        <w:bidi w:val="0"/>
        <w:spacing w:line="266" w:lineRule="auto"/>
        <w:rPr>
          <w:rFonts w:hint="eastAsia" w:ascii="黑体" w:hAnsi="黑体" w:eastAsia="黑体" w:cs="黑体"/>
          <w:color w:val="auto"/>
          <w:sz w:val="21"/>
        </w:rPr>
      </w:pPr>
    </w:p>
    <w:p w14:paraId="7AD7AECE">
      <w:pPr>
        <w:pageBreakBefore w:val="0"/>
        <w:kinsoku w:val="0"/>
        <w:wordWrap w:val="0"/>
        <w:overflowPunct/>
        <w:topLinePunct w:val="0"/>
        <w:autoSpaceDE/>
        <w:autoSpaceDN/>
        <w:bidi w:val="0"/>
        <w:spacing w:line="266" w:lineRule="auto"/>
        <w:rPr>
          <w:rFonts w:hint="eastAsia" w:ascii="黑体" w:hAnsi="黑体" w:eastAsia="黑体" w:cs="黑体"/>
          <w:color w:val="auto"/>
          <w:sz w:val="21"/>
        </w:rPr>
      </w:pPr>
    </w:p>
    <w:p w14:paraId="1A8FA2DA">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65" w:firstLineChars="450"/>
        <w:textAlignment w:val="baseline"/>
        <w:outlineLvl w:val="0"/>
        <w:rPr>
          <w:rFonts w:hint="eastAsia" w:ascii="黑体" w:hAnsi="黑体" w:eastAsia="黑体" w:cs="黑体"/>
          <w:b/>
          <w:bCs/>
          <w:color w:val="auto"/>
          <w:sz w:val="28"/>
          <w:szCs w:val="28"/>
          <w:lang w:eastAsia="zh-CN"/>
        </w:rPr>
      </w:pPr>
      <w:bookmarkStart w:id="2" w:name="_Toc8197"/>
      <w:r>
        <w:rPr>
          <w:rFonts w:hint="eastAsia" w:ascii="黑体" w:hAnsi="黑体" w:eastAsia="黑体" w:cs="黑体"/>
          <w:b/>
          <w:bCs/>
          <w:color w:val="auto"/>
          <w:sz w:val="28"/>
          <w:szCs w:val="28"/>
        </w:rPr>
        <w:t>招标人：</w:t>
      </w:r>
      <w:bookmarkEnd w:id="2"/>
      <w:r>
        <w:rPr>
          <w:rFonts w:hint="eastAsia" w:ascii="黑体" w:hAnsi="黑体" w:eastAsia="黑体" w:cs="黑体"/>
          <w:b/>
          <w:bCs/>
          <w:color w:val="auto"/>
          <w:sz w:val="28"/>
          <w:szCs w:val="28"/>
          <w:lang w:eastAsia="zh-CN"/>
        </w:rPr>
        <w:t>巴楚县商务和工业信息化局</w:t>
      </w:r>
    </w:p>
    <w:p w14:paraId="1F765D5F">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65" w:firstLineChars="450"/>
        <w:textAlignment w:val="baseline"/>
        <w:outlineLvl w:val="0"/>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rPr>
        <w:t>地址：</w:t>
      </w:r>
      <w:r>
        <w:rPr>
          <w:rFonts w:hint="eastAsia" w:ascii="黑体" w:hAnsi="黑体" w:eastAsia="黑体" w:cs="黑体"/>
          <w:b/>
          <w:bCs/>
          <w:color w:val="auto"/>
          <w:sz w:val="28"/>
          <w:szCs w:val="28"/>
          <w:lang w:eastAsia="zh-CN"/>
        </w:rPr>
        <w:t>巴楚县世纪大道4号</w:t>
      </w:r>
    </w:p>
    <w:p w14:paraId="7A69A456">
      <w:pPr>
        <w:pStyle w:val="7"/>
        <w:keepNext w:val="0"/>
        <w:keepLines w:val="0"/>
        <w:pageBreakBefore w:val="0"/>
        <w:widowControl/>
        <w:kinsoku w:val="0"/>
        <w:wordWrap w:val="0"/>
        <w:overflowPunct/>
        <w:topLinePunct w:val="0"/>
        <w:autoSpaceDE/>
        <w:autoSpaceDN/>
        <w:bidi w:val="0"/>
        <w:adjustRightInd w:val="0"/>
        <w:snapToGrid w:val="0"/>
        <w:spacing w:line="360" w:lineRule="auto"/>
        <w:ind w:firstLine="1300" w:firstLineChars="400"/>
        <w:textAlignment w:val="baseline"/>
        <w:rPr>
          <w:rFonts w:hint="eastAsia" w:ascii="黑体" w:hAnsi="黑体" w:eastAsia="黑体" w:cs="黑体"/>
          <w:b/>
          <w:bCs/>
          <w:color w:val="auto"/>
          <w:spacing w:val="22"/>
          <w:sz w:val="28"/>
          <w:szCs w:val="28"/>
          <w:lang w:eastAsia="zh-CN"/>
        </w:rPr>
      </w:pPr>
      <w:r>
        <w:rPr>
          <w:rFonts w:hint="eastAsia" w:ascii="黑体" w:hAnsi="黑体" w:eastAsia="黑体" w:cs="黑体"/>
          <w:b/>
          <w:bCs/>
          <w:color w:val="auto"/>
          <w:spacing w:val="22"/>
          <w:sz w:val="28"/>
          <w:szCs w:val="28"/>
        </w:rPr>
        <w:t>联系人：</w:t>
      </w:r>
      <w:r>
        <w:rPr>
          <w:rFonts w:hint="eastAsia" w:ascii="黑体" w:hAnsi="黑体" w:eastAsia="黑体" w:cs="黑体"/>
          <w:b/>
          <w:bCs/>
          <w:color w:val="auto"/>
          <w:spacing w:val="22"/>
          <w:sz w:val="28"/>
          <w:szCs w:val="28"/>
          <w:lang w:eastAsia="zh-CN"/>
        </w:rPr>
        <w:t>龚吴辉</w:t>
      </w:r>
    </w:p>
    <w:p w14:paraId="66848C5D">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83" w:firstLineChars="450"/>
        <w:textAlignment w:val="baseline"/>
        <w:rPr>
          <w:rFonts w:hint="eastAsia" w:ascii="黑体" w:hAnsi="黑体" w:eastAsia="黑体" w:cs="黑体"/>
          <w:color w:val="auto"/>
          <w:sz w:val="28"/>
          <w:szCs w:val="28"/>
          <w:lang w:eastAsia="zh-CN"/>
        </w:rPr>
      </w:pPr>
      <w:r>
        <w:rPr>
          <w:rFonts w:hint="eastAsia" w:ascii="黑体" w:hAnsi="黑体" w:eastAsia="黑体" w:cs="黑体"/>
          <w:b/>
          <w:bCs/>
          <w:color w:val="auto"/>
          <w:spacing w:val="2"/>
          <w:sz w:val="28"/>
          <w:szCs w:val="28"/>
        </w:rPr>
        <w:t>联系电话：</w:t>
      </w:r>
      <w:r>
        <w:rPr>
          <w:rFonts w:hint="eastAsia" w:ascii="黑体" w:hAnsi="黑体" w:eastAsia="黑体" w:cs="黑体"/>
          <w:b/>
          <w:bCs/>
          <w:color w:val="auto"/>
          <w:spacing w:val="2"/>
          <w:sz w:val="28"/>
          <w:szCs w:val="28"/>
          <w:lang w:eastAsia="zh-CN"/>
        </w:rPr>
        <w:t>1811931268</w:t>
      </w:r>
    </w:p>
    <w:p w14:paraId="39D932C4">
      <w:pPr>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945" w:firstLineChars="450"/>
        <w:textAlignment w:val="baseline"/>
        <w:rPr>
          <w:rFonts w:hint="eastAsia" w:ascii="黑体" w:hAnsi="黑体" w:eastAsia="黑体" w:cs="黑体"/>
          <w:color w:val="auto"/>
          <w:sz w:val="21"/>
        </w:rPr>
      </w:pPr>
    </w:p>
    <w:p w14:paraId="4FB42A02">
      <w:pPr>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945" w:firstLineChars="450"/>
        <w:textAlignment w:val="baseline"/>
        <w:rPr>
          <w:rFonts w:hint="eastAsia" w:ascii="黑体" w:hAnsi="黑体" w:eastAsia="黑体" w:cs="黑体"/>
          <w:color w:val="auto"/>
          <w:sz w:val="21"/>
        </w:rPr>
      </w:pPr>
    </w:p>
    <w:p w14:paraId="3BC8B5C3">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83" w:firstLineChars="450"/>
        <w:textAlignment w:val="baseline"/>
        <w:outlineLvl w:val="0"/>
        <w:rPr>
          <w:rFonts w:hint="eastAsia" w:ascii="黑体" w:hAnsi="黑体" w:eastAsia="黑体" w:cs="黑体"/>
          <w:color w:val="auto"/>
          <w:lang w:eastAsia="zh-CN"/>
        </w:rPr>
      </w:pPr>
      <w:bookmarkStart w:id="3" w:name="_Toc14137"/>
      <w:r>
        <w:rPr>
          <w:rFonts w:hint="eastAsia" w:ascii="黑体" w:hAnsi="黑体" w:eastAsia="黑体" w:cs="黑体"/>
          <w:b/>
          <w:bCs/>
          <w:color w:val="auto"/>
          <w:spacing w:val="7"/>
        </w:rPr>
        <w:t>代理机构：</w:t>
      </w:r>
      <w:r>
        <w:rPr>
          <w:rFonts w:hint="eastAsia" w:ascii="黑体" w:hAnsi="黑体" w:eastAsia="黑体" w:cs="黑体"/>
          <w:b/>
          <w:bCs/>
          <w:color w:val="auto"/>
          <w:spacing w:val="7"/>
          <w:lang w:eastAsia="zh-CN"/>
        </w:rPr>
        <w:t>智博国际工程咨询有限公司</w:t>
      </w:r>
      <w:bookmarkEnd w:id="3"/>
    </w:p>
    <w:p w14:paraId="7E6F53A6">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74" w:firstLineChars="450"/>
        <w:textAlignment w:val="baseline"/>
        <w:rPr>
          <w:rFonts w:hint="eastAsia" w:ascii="黑体" w:hAnsi="黑体" w:eastAsia="黑体" w:cs="黑体"/>
          <w:b/>
          <w:bCs/>
          <w:color w:val="auto"/>
          <w:spacing w:val="6"/>
          <w:position w:val="21"/>
          <w:lang w:eastAsia="zh-CN"/>
        </w:rPr>
      </w:pPr>
      <w:r>
        <w:rPr>
          <w:rFonts w:hint="eastAsia" w:ascii="黑体" w:hAnsi="黑体" w:eastAsia="黑体" w:cs="黑体"/>
          <w:b/>
          <w:bCs/>
          <w:color w:val="auto"/>
          <w:spacing w:val="6"/>
          <w:position w:val="21"/>
        </w:rPr>
        <w:t>地址：</w:t>
      </w:r>
      <w:r>
        <w:rPr>
          <w:rFonts w:hint="eastAsia" w:ascii="黑体" w:hAnsi="黑体" w:eastAsia="黑体" w:cs="黑体"/>
          <w:b/>
          <w:bCs/>
          <w:color w:val="auto"/>
          <w:spacing w:val="6"/>
          <w:position w:val="21"/>
          <w:lang w:eastAsia="zh-CN"/>
        </w:rPr>
        <w:t>喀什市东湖街道多来提巴格社区青年南路192号</w:t>
      </w:r>
    </w:p>
    <w:p w14:paraId="1DF86016">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74" w:firstLineChars="450"/>
        <w:textAlignment w:val="baseline"/>
        <w:rPr>
          <w:rFonts w:hint="eastAsia" w:ascii="黑体" w:hAnsi="黑体" w:eastAsia="黑体" w:cs="黑体"/>
          <w:b/>
          <w:bCs/>
          <w:color w:val="auto"/>
          <w:spacing w:val="6"/>
          <w:position w:val="21"/>
          <w:lang w:eastAsia="zh-CN"/>
        </w:rPr>
      </w:pPr>
      <w:r>
        <w:rPr>
          <w:rFonts w:hint="eastAsia" w:ascii="黑体" w:hAnsi="黑体" w:eastAsia="黑体" w:cs="黑体"/>
          <w:b/>
          <w:bCs/>
          <w:color w:val="auto"/>
          <w:spacing w:val="6"/>
          <w:position w:val="21"/>
        </w:rPr>
        <w:t>联系人：</w:t>
      </w:r>
      <w:r>
        <w:rPr>
          <w:rFonts w:hint="eastAsia" w:ascii="黑体" w:hAnsi="黑体" w:eastAsia="黑体" w:cs="黑体"/>
          <w:b/>
          <w:bCs/>
          <w:color w:val="auto"/>
          <w:spacing w:val="6"/>
          <w:position w:val="21"/>
          <w:lang w:eastAsia="zh-CN"/>
        </w:rPr>
        <w:t>龙怀军</w:t>
      </w:r>
    </w:p>
    <w:p w14:paraId="70065601">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1274" w:firstLineChars="450"/>
        <w:textAlignment w:val="baseline"/>
        <w:rPr>
          <w:rFonts w:hint="eastAsia" w:ascii="黑体" w:hAnsi="黑体" w:eastAsia="黑体" w:cs="黑体"/>
          <w:b/>
          <w:bCs/>
          <w:color w:val="auto"/>
          <w:spacing w:val="6"/>
          <w:position w:val="21"/>
          <w:lang w:eastAsia="zh-CN"/>
        </w:rPr>
      </w:pPr>
      <w:r>
        <w:rPr>
          <w:rFonts w:hint="eastAsia" w:ascii="黑体" w:hAnsi="黑体" w:eastAsia="黑体" w:cs="黑体"/>
          <w:b/>
          <w:bCs/>
          <w:color w:val="auto"/>
          <w:spacing w:val="6"/>
          <w:position w:val="21"/>
        </w:rPr>
        <w:t>联系电话:</w:t>
      </w:r>
      <w:r>
        <w:rPr>
          <w:rFonts w:hint="eastAsia" w:ascii="黑体" w:hAnsi="黑体" w:eastAsia="黑体" w:cs="黑体"/>
          <w:b/>
          <w:bCs/>
          <w:color w:val="auto"/>
          <w:spacing w:val="6"/>
          <w:position w:val="21"/>
          <w:lang w:eastAsia="zh-CN"/>
        </w:rPr>
        <w:t>18197668299</w:t>
      </w:r>
    </w:p>
    <w:p w14:paraId="2BF125B3">
      <w:pPr>
        <w:pageBreakBefore w:val="0"/>
        <w:kinsoku w:val="0"/>
        <w:wordWrap w:val="0"/>
        <w:overflowPunct/>
        <w:topLinePunct w:val="0"/>
        <w:autoSpaceDE/>
        <w:autoSpaceDN/>
        <w:bidi w:val="0"/>
        <w:spacing w:before="266" w:line="219" w:lineRule="auto"/>
        <w:jc w:val="center"/>
        <w:rPr>
          <w:rFonts w:hint="eastAsia" w:ascii="黑体" w:hAnsi="黑体" w:eastAsia="黑体" w:cs="黑体"/>
          <w:color w:val="auto"/>
          <w:sz w:val="27"/>
          <w:szCs w:val="27"/>
          <w:u w:val="none" w:color="auto"/>
          <w:lang w:eastAsia="zh-CN"/>
        </w:rPr>
      </w:pPr>
      <w:r>
        <w:rPr>
          <w:rFonts w:hint="eastAsia" w:ascii="黑体" w:hAnsi="黑体" w:eastAsia="黑体" w:cs="黑体"/>
          <w:b/>
          <w:bCs/>
          <w:color w:val="auto"/>
          <w:spacing w:val="1"/>
          <w:sz w:val="27"/>
          <w:szCs w:val="27"/>
          <w:u w:val="none" w:color="auto"/>
          <w:lang w:eastAsia="zh-CN"/>
        </w:rPr>
        <w:t>2024年08月</w:t>
      </w:r>
    </w:p>
    <w:p w14:paraId="175177A6">
      <w:pPr>
        <w:pageBreakBefore w:val="0"/>
        <w:kinsoku w:val="0"/>
        <w:wordWrap w:val="0"/>
        <w:overflowPunct/>
        <w:topLinePunct w:val="0"/>
        <w:autoSpaceDE/>
        <w:autoSpaceDN/>
        <w:bidi w:val="0"/>
        <w:spacing w:line="219" w:lineRule="auto"/>
        <w:rPr>
          <w:rFonts w:hint="eastAsia" w:ascii="黑体" w:hAnsi="黑体" w:eastAsia="黑体" w:cs="黑体"/>
          <w:color w:val="auto"/>
          <w:sz w:val="27"/>
          <w:szCs w:val="27"/>
        </w:rPr>
        <w:sectPr>
          <w:footerReference r:id="rId5" w:type="default"/>
          <w:pgSz w:w="11910" w:h="16840"/>
          <w:pgMar w:top="1428" w:right="1786" w:bottom="1433" w:left="1786" w:header="0" w:footer="1231" w:gutter="0"/>
          <w:cols w:space="720" w:num="1"/>
        </w:sectPr>
      </w:pPr>
    </w:p>
    <w:sdt>
      <w:sdtPr>
        <w:rPr>
          <w:rFonts w:hint="eastAsia" w:ascii="黑体" w:hAnsi="黑体" w:eastAsia="黑体" w:cs="黑体"/>
          <w:b/>
          <w:bCs/>
          <w:snapToGrid w:val="0"/>
          <w:color w:val="auto"/>
          <w:kern w:val="0"/>
          <w:sz w:val="28"/>
          <w:szCs w:val="28"/>
          <w:lang w:val="en-US" w:eastAsia="en-US" w:bidi="ar-SA"/>
        </w:rPr>
        <w:id w:val="147471796"/>
        <w15:color w:val="DBDBDB"/>
        <w:docPartObj>
          <w:docPartGallery w:val="Table of Contents"/>
          <w:docPartUnique/>
        </w:docPartObj>
      </w:sdtPr>
      <w:sdtEndPr>
        <w:rPr>
          <w:rFonts w:hint="eastAsia" w:ascii="黑体" w:hAnsi="黑体" w:eastAsia="黑体" w:cs="黑体"/>
          <w:b/>
          <w:bCs/>
          <w:snapToGrid w:val="0"/>
          <w:color w:val="auto"/>
          <w:spacing w:val="9"/>
          <w:kern w:val="0"/>
          <w:sz w:val="28"/>
          <w:szCs w:val="28"/>
          <w:lang w:val="en-US" w:eastAsia="en-US" w:bidi="ar-SA"/>
        </w:rPr>
      </w:sdtEndPr>
      <w:sdtContent>
        <w:p w14:paraId="5699A13B">
          <w:pPr>
            <w:pageBreakBefore w:val="0"/>
            <w:kinsoku w:val="0"/>
            <w:wordWrap w:val="0"/>
            <w:overflowPunct/>
            <w:topLinePunct w:val="0"/>
            <w:autoSpaceDE/>
            <w:autoSpaceDN/>
            <w:bidi w:val="0"/>
            <w:spacing w:before="0" w:beforeLines="0" w:after="0" w:afterLines="0" w:line="240" w:lineRule="auto"/>
            <w:ind w:left="0" w:leftChars="0" w:right="0" w:rightChars="0" w:firstLine="0" w:firstLineChars="0"/>
            <w:jc w:val="center"/>
            <w:rPr>
              <w:rFonts w:hint="eastAsia" w:ascii="黑体" w:hAnsi="黑体" w:eastAsia="黑体" w:cs="黑体"/>
              <w:b/>
              <w:bCs/>
              <w:color w:val="auto"/>
              <w:sz w:val="28"/>
              <w:szCs w:val="28"/>
            </w:rPr>
          </w:pPr>
          <w:r>
            <w:rPr>
              <w:rFonts w:hint="eastAsia" w:ascii="黑体" w:hAnsi="黑体" w:eastAsia="黑体" w:cs="黑体"/>
              <w:b/>
              <w:bCs/>
              <w:color w:val="auto"/>
              <w:sz w:val="28"/>
              <w:szCs w:val="28"/>
            </w:rPr>
            <w:t>目录</w:t>
          </w:r>
        </w:p>
        <w:p w14:paraId="2C52574B">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
              <w:bCs/>
              <w:color w:val="auto"/>
              <w:spacing w:val="9"/>
              <w:sz w:val="28"/>
              <w:szCs w:val="28"/>
            </w:rPr>
            <w:fldChar w:fldCharType="begin"/>
          </w:r>
          <w:r>
            <w:rPr>
              <w:rFonts w:hint="eastAsia" w:ascii="黑体" w:hAnsi="黑体" w:eastAsia="黑体" w:cs="黑体"/>
              <w:b/>
              <w:bCs/>
              <w:color w:val="auto"/>
              <w:spacing w:val="9"/>
              <w:sz w:val="28"/>
              <w:szCs w:val="28"/>
            </w:rPr>
            <w:instrText xml:space="preserve">TOC\o"1-1"\h\u</w:instrText>
          </w:r>
          <w:r>
            <w:rPr>
              <w:rFonts w:hint="eastAsia" w:ascii="黑体" w:hAnsi="黑体" w:eastAsia="黑体" w:cs="黑体"/>
              <w:b/>
              <w:bCs/>
              <w:color w:val="auto"/>
              <w:spacing w:val="9"/>
              <w:sz w:val="28"/>
              <w:szCs w:val="28"/>
            </w:rPr>
            <w:fldChar w:fldCharType="separate"/>
          </w:r>
        </w:p>
        <w:p w14:paraId="331D7C05">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HYPERLINK\l_Toc12622</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pacing w:val="9"/>
              <w:sz w:val="28"/>
              <w:szCs w:val="28"/>
            </w:rPr>
            <w:t>第一章供应商须知</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PAGEREF_Toc12622\h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1</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06552748">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HYPERLINK\l_Toc30875</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z w:val="28"/>
              <w:szCs w:val="28"/>
            </w:rPr>
            <w:t>第二章响应文件格式</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PAGEREF_Toc30875\h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21</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07A76676">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HYPERLINK\l_Toc18915</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pacing w:val="-1"/>
              <w:sz w:val="28"/>
              <w:szCs w:val="28"/>
            </w:rPr>
            <w:t>第三章投标公告</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PAGEREF_Toc18915\h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47</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55BB6398">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HYPERLINK\l_Toc17244</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pacing w:val="4"/>
              <w:sz w:val="28"/>
              <w:szCs w:val="28"/>
            </w:rPr>
            <w:t>第四章供应商须知资料表</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PAGEREF_Toc17244\h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49</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71E51F50">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HYPERLINK\l_Toc11123</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pacing w:val="3"/>
              <w:sz w:val="28"/>
              <w:szCs w:val="28"/>
            </w:rPr>
            <w:t>第五章项目服务内容及需求</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PAGEREF_Toc11123\h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53</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12454300">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HYPERLINK\l_Toc14748</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pacing w:val="3"/>
              <w:sz w:val="28"/>
              <w:szCs w:val="28"/>
              <w:lang w:eastAsia="zh-CN"/>
            </w:rPr>
            <w:t>第六章、</w:t>
          </w:r>
          <w:r>
            <w:rPr>
              <w:rFonts w:hint="eastAsia" w:ascii="黑体" w:hAnsi="黑体" w:eastAsia="黑体" w:cs="黑体"/>
              <w:bCs/>
              <w:color w:val="auto"/>
              <w:spacing w:val="3"/>
              <w:sz w:val="28"/>
              <w:szCs w:val="28"/>
            </w:rPr>
            <w:t>评标方法和标准</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PAGEREF_Toc14748\h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55</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3037F18A">
          <w:pPr>
            <w:pStyle w:val="26"/>
            <w:pageBreakBefore w:val="0"/>
            <w:tabs>
              <w:tab w:val="right" w:leader="dot" w:pos="8483"/>
            </w:tabs>
            <w:kinsoku w:val="0"/>
            <w:wordWrap w:val="0"/>
            <w:overflowPunct/>
            <w:topLinePunct w:val="0"/>
            <w:autoSpaceDE/>
            <w:autoSpaceDN/>
            <w:bidi w:val="0"/>
            <w:spacing w:line="480" w:lineRule="auto"/>
            <w:rPr>
              <w:rFonts w:hint="eastAsia" w:ascii="黑体" w:hAnsi="黑体" w:eastAsia="黑体" w:cs="黑体"/>
              <w:color w:val="auto"/>
              <w:sz w:val="28"/>
              <w:szCs w:val="28"/>
            </w:rPr>
          </w:pPr>
          <w:r>
            <w:rPr>
              <w:rFonts w:hint="eastAsia" w:ascii="黑体" w:hAnsi="黑体" w:eastAsia="黑体" w:cs="黑体"/>
              <w:bCs/>
              <w:color w:val="auto"/>
              <w:spacing w:val="9"/>
              <w:sz w:val="28"/>
              <w:szCs w:val="28"/>
            </w:rPr>
            <w:fldChar w:fldCharType="begin"/>
          </w:r>
          <w:r>
            <w:rPr>
              <w:rFonts w:hint="eastAsia" w:ascii="黑体" w:hAnsi="黑体" w:eastAsia="黑体" w:cs="黑体"/>
              <w:bCs/>
              <w:color w:val="auto"/>
              <w:spacing w:val="9"/>
              <w:sz w:val="28"/>
              <w:szCs w:val="28"/>
            </w:rPr>
            <w:instrText xml:space="preserve">HYPERLINK\l_Toc19865</w:instrText>
          </w:r>
          <w:r>
            <w:rPr>
              <w:rFonts w:hint="eastAsia" w:ascii="黑体" w:hAnsi="黑体" w:eastAsia="黑体" w:cs="黑体"/>
              <w:bCs/>
              <w:color w:val="auto"/>
              <w:spacing w:val="9"/>
              <w:sz w:val="28"/>
              <w:szCs w:val="28"/>
            </w:rPr>
            <w:fldChar w:fldCharType="separate"/>
          </w:r>
          <w:r>
            <w:rPr>
              <w:rFonts w:hint="eastAsia" w:ascii="黑体" w:hAnsi="黑体" w:eastAsia="黑体" w:cs="黑体"/>
              <w:bCs/>
              <w:color w:val="auto"/>
              <w:spacing w:val="-2"/>
              <w:sz w:val="28"/>
              <w:szCs w:val="28"/>
            </w:rPr>
            <w:t>第七章采购合同</w:t>
          </w:r>
          <w:r>
            <w:rPr>
              <w:rFonts w:hint="eastAsia" w:ascii="黑体" w:hAnsi="黑体" w:eastAsia="黑体" w:cs="黑体"/>
              <w:color w:val="auto"/>
              <w:sz w:val="28"/>
              <w:szCs w:val="28"/>
            </w:rPr>
            <w:tab/>
          </w:r>
          <w:r>
            <w:rPr>
              <w:rFonts w:hint="eastAsia" w:ascii="黑体" w:hAnsi="黑体" w:eastAsia="黑体" w:cs="黑体"/>
              <w:color w:val="auto"/>
              <w:sz w:val="28"/>
              <w:szCs w:val="28"/>
            </w:rPr>
            <w:fldChar w:fldCharType="begin"/>
          </w:r>
          <w:r>
            <w:rPr>
              <w:rFonts w:hint="eastAsia" w:ascii="黑体" w:hAnsi="黑体" w:eastAsia="黑体" w:cs="黑体"/>
              <w:color w:val="auto"/>
              <w:sz w:val="28"/>
              <w:szCs w:val="28"/>
            </w:rPr>
            <w:instrText xml:space="preserve">PAGEREF_Toc19865\h</w:instrText>
          </w:r>
          <w:r>
            <w:rPr>
              <w:rFonts w:hint="eastAsia" w:ascii="黑体" w:hAnsi="黑体" w:eastAsia="黑体" w:cs="黑体"/>
              <w:color w:val="auto"/>
              <w:sz w:val="28"/>
              <w:szCs w:val="28"/>
            </w:rPr>
            <w:fldChar w:fldCharType="separate"/>
          </w:r>
          <w:r>
            <w:rPr>
              <w:rFonts w:hint="eastAsia" w:ascii="黑体" w:hAnsi="黑体" w:eastAsia="黑体" w:cs="黑体"/>
              <w:color w:val="auto"/>
              <w:sz w:val="28"/>
              <w:szCs w:val="28"/>
            </w:rPr>
            <w:t>68</w:t>
          </w:r>
          <w:r>
            <w:rPr>
              <w:rFonts w:hint="eastAsia" w:ascii="黑体" w:hAnsi="黑体" w:eastAsia="黑体" w:cs="黑体"/>
              <w:color w:val="auto"/>
              <w:sz w:val="28"/>
              <w:szCs w:val="28"/>
            </w:rPr>
            <w:fldChar w:fldCharType="end"/>
          </w:r>
          <w:r>
            <w:rPr>
              <w:rFonts w:hint="eastAsia" w:ascii="黑体" w:hAnsi="黑体" w:eastAsia="黑体" w:cs="黑体"/>
              <w:bCs/>
              <w:color w:val="auto"/>
              <w:spacing w:val="9"/>
              <w:sz w:val="28"/>
              <w:szCs w:val="28"/>
            </w:rPr>
            <w:fldChar w:fldCharType="end"/>
          </w:r>
        </w:p>
        <w:p w14:paraId="7F3EACD9">
          <w:pPr>
            <w:pageBreakBefore w:val="0"/>
            <w:kinsoku w:val="0"/>
            <w:wordWrap w:val="0"/>
            <w:overflowPunct/>
            <w:topLinePunct w:val="0"/>
            <w:autoSpaceDE/>
            <w:autoSpaceDN/>
            <w:bidi w:val="0"/>
            <w:spacing w:before="61" w:line="480" w:lineRule="auto"/>
            <w:ind w:left="3445" w:leftChars="0"/>
            <w:rPr>
              <w:rFonts w:hint="eastAsia" w:ascii="黑体" w:hAnsi="黑体" w:eastAsia="黑体" w:cs="黑体"/>
              <w:b/>
              <w:bCs/>
              <w:color w:val="auto"/>
              <w:spacing w:val="9"/>
              <w:sz w:val="28"/>
              <w:szCs w:val="28"/>
            </w:rPr>
            <w:sectPr>
              <w:footerReference r:id="rId6" w:type="default"/>
              <w:pgSz w:w="11906" w:h="16840"/>
              <w:pgMar w:top="1137" w:right="1785" w:bottom="1128" w:left="1638" w:header="0" w:footer="914" w:gutter="0"/>
              <w:cols w:space="720" w:num="1"/>
            </w:sectPr>
          </w:pPr>
          <w:r>
            <w:rPr>
              <w:rFonts w:hint="eastAsia" w:ascii="黑体" w:hAnsi="黑体" w:eastAsia="黑体" w:cs="黑体"/>
              <w:bCs/>
              <w:color w:val="auto"/>
              <w:spacing w:val="9"/>
              <w:sz w:val="28"/>
              <w:szCs w:val="28"/>
            </w:rPr>
            <w:fldChar w:fldCharType="end"/>
          </w:r>
        </w:p>
      </w:sdtContent>
    </w:sdt>
    <w:p w14:paraId="5C7CA7A2">
      <w:pPr>
        <w:pageBreakBefore w:val="0"/>
        <w:kinsoku w:val="0"/>
        <w:wordWrap w:val="0"/>
        <w:overflowPunct/>
        <w:topLinePunct w:val="0"/>
        <w:autoSpaceDE/>
        <w:autoSpaceDN/>
        <w:bidi w:val="0"/>
        <w:spacing w:before="61" w:line="360" w:lineRule="auto"/>
        <w:jc w:val="center"/>
        <w:outlineLvl w:val="0"/>
        <w:rPr>
          <w:rFonts w:hint="eastAsia" w:ascii="黑体" w:hAnsi="黑体" w:eastAsia="黑体" w:cs="黑体"/>
          <w:color w:val="auto"/>
          <w:sz w:val="28"/>
          <w:szCs w:val="28"/>
        </w:rPr>
      </w:pPr>
      <w:bookmarkStart w:id="4" w:name="_Toc12622"/>
      <w:r>
        <w:rPr>
          <w:rFonts w:hint="eastAsia" w:ascii="黑体" w:hAnsi="黑体" w:eastAsia="黑体" w:cs="黑体"/>
          <w:b/>
          <w:bCs/>
          <w:color w:val="auto"/>
          <w:spacing w:val="9"/>
          <w:sz w:val="28"/>
          <w:szCs w:val="28"/>
        </w:rPr>
        <w:t>第一章供应商须知</w:t>
      </w:r>
      <w:bookmarkEnd w:id="4"/>
    </w:p>
    <w:p w14:paraId="25C0E051">
      <w:pPr>
        <w:pStyle w:val="7"/>
        <w:pageBreakBefore w:val="0"/>
        <w:kinsoku w:val="0"/>
        <w:wordWrap w:val="0"/>
        <w:overflowPunct/>
        <w:topLinePunct w:val="0"/>
        <w:autoSpaceDE/>
        <w:autoSpaceDN/>
        <w:bidi w:val="0"/>
        <w:spacing w:before="98" w:line="360" w:lineRule="auto"/>
        <w:jc w:val="center"/>
        <w:rPr>
          <w:rFonts w:hint="eastAsia" w:ascii="黑体" w:hAnsi="黑体" w:eastAsia="黑体" w:cs="黑体"/>
          <w:b/>
          <w:bCs/>
          <w:color w:val="auto"/>
          <w:spacing w:val="-23"/>
          <w:sz w:val="28"/>
          <w:szCs w:val="28"/>
        </w:rPr>
      </w:pPr>
      <w:r>
        <w:rPr>
          <w:rFonts w:hint="eastAsia" w:ascii="黑体" w:hAnsi="黑体" w:eastAsia="黑体" w:cs="黑体"/>
          <w:b/>
          <w:bCs/>
          <w:color w:val="auto"/>
          <w:spacing w:val="-23"/>
          <w:sz w:val="28"/>
          <w:szCs w:val="28"/>
        </w:rPr>
        <w:t>一总则</w:t>
      </w:r>
    </w:p>
    <w:p w14:paraId="5BE1D04D">
      <w:pPr>
        <w:pStyle w:val="7"/>
        <w:keepNext w:val="0"/>
        <w:keepLines w:val="0"/>
        <w:pageBreakBefore w:val="0"/>
        <w:numPr>
          <w:ilvl w:val="0"/>
          <w:numId w:val="1"/>
        </w:numPr>
        <w:kinsoku w:val="0"/>
        <w:wordWrap w:val="0"/>
        <w:overflowPunct/>
        <w:topLinePunct w:val="0"/>
        <w:autoSpaceDE/>
        <w:autoSpaceDN/>
        <w:bidi w:val="0"/>
        <w:adjustRightInd w:val="0"/>
        <w:snapToGrid w:val="0"/>
        <w:spacing w:line="360" w:lineRule="auto"/>
        <w:ind w:left="0" w:leftChars="0" w:firstLine="0" w:firstLineChars="0"/>
        <w:textAlignment w:val="baseline"/>
        <w:outlineLvl w:val="0"/>
        <w:rPr>
          <w:rFonts w:hint="eastAsia" w:ascii="黑体" w:hAnsi="黑体" w:eastAsia="黑体" w:cs="黑体"/>
          <w:b/>
          <w:bCs/>
          <w:color w:val="auto"/>
          <w:spacing w:val="-7"/>
          <w:sz w:val="24"/>
          <w:szCs w:val="24"/>
        </w:rPr>
      </w:pPr>
      <w:bookmarkStart w:id="5" w:name="_Toc14064"/>
      <w:r>
        <w:rPr>
          <w:rFonts w:hint="eastAsia" w:ascii="黑体" w:hAnsi="黑体" w:eastAsia="黑体" w:cs="黑体"/>
          <w:b/>
          <w:bCs/>
          <w:color w:val="auto"/>
          <w:spacing w:val="-7"/>
          <w:sz w:val="24"/>
          <w:szCs w:val="24"/>
        </w:rPr>
        <w:t>采购人、采购代理机构及供应商</w:t>
      </w:r>
      <w:bookmarkEnd w:id="5"/>
    </w:p>
    <w:p w14:paraId="06AD25D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9" w:firstLineChars="181"/>
        <w:textAlignment w:val="baseline"/>
        <w:outlineLvl w:val="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1.1采购人：是指依法开展政府采购活动的国家机关、事业单位、团体组织</w:t>
      </w:r>
      <w:r>
        <w:rPr>
          <w:rFonts w:hint="eastAsia" w:ascii="黑体" w:hAnsi="黑体" w:eastAsia="黑体" w:cs="黑体"/>
          <w:color w:val="auto"/>
          <w:spacing w:val="-2"/>
          <w:sz w:val="24"/>
          <w:szCs w:val="24"/>
        </w:rPr>
        <w:t>本项目</w:t>
      </w:r>
      <w:r>
        <w:rPr>
          <w:rFonts w:hint="eastAsia" w:ascii="黑体" w:hAnsi="黑体" w:eastAsia="黑体" w:cs="黑体"/>
          <w:color w:val="auto"/>
          <w:spacing w:val="-4"/>
          <w:sz w:val="24"/>
          <w:szCs w:val="24"/>
        </w:rPr>
        <w:t>的采购人见供应商须知资料表。</w:t>
      </w:r>
    </w:p>
    <w:p w14:paraId="2CC6FF6E">
      <w:pPr>
        <w:pStyle w:val="7"/>
        <w:keepNext w:val="0"/>
        <w:keepLines w:val="0"/>
        <w:pageBreakBefore w:val="0"/>
        <w:tabs>
          <w:tab w:val="left" w:pos="7770"/>
          <w:tab w:val="left" w:pos="8400"/>
        </w:tabs>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1.2采购代理机构：是指在集中采购机构或从事采购代理业务的社会中介机构。本项目的采购代理机构见供应商须知资料表。</w:t>
      </w:r>
    </w:p>
    <w:p w14:paraId="4249B77C">
      <w:pPr>
        <w:pStyle w:val="7"/>
        <w:keepNext w:val="0"/>
        <w:keepLines w:val="0"/>
        <w:pageBreakBefore w:val="0"/>
        <w:tabs>
          <w:tab w:val="left" w:pos="7770"/>
          <w:tab w:val="left" w:pos="8400"/>
        </w:tabs>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1.3供应商：是指向采购人提供货物、工程或者服务的法人、非法人组织或者自然人。本项目的供应商及其投标货物须满足以下条件：</w:t>
      </w:r>
    </w:p>
    <w:p w14:paraId="3F85DB39">
      <w:pPr>
        <w:pStyle w:val="7"/>
        <w:keepNext w:val="0"/>
        <w:keepLines w:val="0"/>
        <w:pageBreakBefore w:val="0"/>
        <w:tabs>
          <w:tab w:val="left" w:pos="7560"/>
        </w:tabs>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1.3.1在中华人民共和国境内注册，能够独立承担民事责任，有生产或供应能力的本国供应商。</w:t>
      </w:r>
    </w:p>
    <w:p w14:paraId="3AD811CC">
      <w:pPr>
        <w:pStyle w:val="7"/>
        <w:keepNext w:val="0"/>
        <w:keepLines w:val="0"/>
        <w:pageBreakBefore w:val="0"/>
        <w:tabs>
          <w:tab w:val="left" w:pos="7560"/>
        </w:tabs>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1.3.2具备《中华人民共和国政府采购法》第二十二条关于供应商条件的规定</w:t>
      </w:r>
      <w:r>
        <w:rPr>
          <w:rFonts w:hint="eastAsia" w:ascii="黑体" w:hAnsi="黑体" w:eastAsia="黑体" w:cs="黑体"/>
          <w:color w:val="auto"/>
          <w:spacing w:val="-4"/>
          <w:sz w:val="24"/>
          <w:szCs w:val="24"/>
          <w:lang w:val="en-US" w:eastAsia="zh-CN"/>
        </w:rPr>
        <w:t>,</w:t>
      </w:r>
      <w:r>
        <w:rPr>
          <w:rFonts w:hint="eastAsia" w:ascii="黑体" w:hAnsi="黑体" w:eastAsia="黑体" w:cs="黑体"/>
          <w:color w:val="auto"/>
          <w:spacing w:val="-4"/>
          <w:sz w:val="24"/>
          <w:szCs w:val="24"/>
        </w:rPr>
        <w:t>遵守本项目采购人本级和上级财政部门政府采购的有关规定。</w:t>
      </w:r>
    </w:p>
    <w:p w14:paraId="7645102F">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1.3.3以采购代理机构认可的方式获得了本项目的磋商文件。</w:t>
      </w:r>
    </w:p>
    <w:p w14:paraId="6F84DC57">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1.3.4符合供应商须知资料表中规定的其他要求。</w:t>
      </w:r>
    </w:p>
    <w:p w14:paraId="4659C1C1">
      <w:pPr>
        <w:pStyle w:val="7"/>
        <w:keepNext w:val="0"/>
        <w:keepLines w:val="0"/>
        <w:pageBreakBefore w:val="0"/>
        <w:tabs>
          <w:tab w:val="left" w:pos="7560"/>
        </w:tabs>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1.3.5若供应商须知资料表中写明允许采购进口产品，供应商应保证所投产品可履行合法报通关手续进入中国关境内。若供应商须知资料表中未写明允许采购进口产品，如供应商所投产品为进口产品</w:t>
      </w:r>
      <w:r>
        <w:rPr>
          <w:rFonts w:hint="eastAsia" w:ascii="黑体" w:hAnsi="黑体" w:eastAsia="黑体" w:cs="黑体"/>
          <w:color w:val="auto"/>
          <w:spacing w:val="-4"/>
          <w:sz w:val="24"/>
          <w:szCs w:val="24"/>
          <w:lang w:val="en-US" w:eastAsia="zh-CN"/>
        </w:rPr>
        <w:t>,</w:t>
      </w:r>
      <w:r>
        <w:rPr>
          <w:rFonts w:hint="eastAsia" w:ascii="黑体" w:hAnsi="黑体" w:eastAsia="黑体" w:cs="黑体"/>
          <w:color w:val="auto"/>
          <w:spacing w:val="-4"/>
          <w:sz w:val="24"/>
          <w:szCs w:val="24"/>
        </w:rPr>
        <w:t>其投标将被认定为投标无效。</w:t>
      </w:r>
    </w:p>
    <w:p w14:paraId="45170EDD">
      <w:pPr>
        <w:pStyle w:val="7"/>
        <w:keepNext w:val="0"/>
        <w:keepLines w:val="0"/>
        <w:pageBreakBefore w:val="0"/>
        <w:tabs>
          <w:tab w:val="left" w:pos="7560"/>
        </w:tabs>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1.3.6若供应商须知资料表中写明专门面向中小企业采购的，如供应商为非中小企业且所投产品为非中小企业产品，其投标将被认定为投标无效。</w:t>
      </w:r>
    </w:p>
    <w:p w14:paraId="52B9510A">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w:t>
      </w:r>
      <w:r>
        <w:rPr>
          <w:rFonts w:hint="eastAsia" w:ascii="黑体" w:hAnsi="黑体" w:eastAsia="黑体" w:cs="黑体"/>
          <w:color w:val="auto"/>
          <w:spacing w:val="-4"/>
          <w:sz w:val="24"/>
          <w:szCs w:val="24"/>
          <w:lang w:val="en-US" w:eastAsia="zh-CN"/>
        </w:rPr>
        <w:t>4</w:t>
      </w:r>
      <w:r>
        <w:rPr>
          <w:rFonts w:hint="eastAsia" w:ascii="黑体" w:hAnsi="黑体" w:eastAsia="黑体" w:cs="黑体"/>
          <w:color w:val="auto"/>
          <w:spacing w:val="-4"/>
          <w:sz w:val="24"/>
          <w:szCs w:val="24"/>
        </w:rPr>
        <w:t>单位负责人为同一人或者存在直接控股、管理关系的不同供应商，其相关投标将被认定为投标无效。</w:t>
      </w:r>
    </w:p>
    <w:p w14:paraId="1A7A1B7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w:t>
      </w:r>
      <w:r>
        <w:rPr>
          <w:rFonts w:hint="eastAsia" w:ascii="黑体" w:hAnsi="黑体" w:eastAsia="黑体" w:cs="黑体"/>
          <w:color w:val="auto"/>
          <w:spacing w:val="-4"/>
          <w:sz w:val="24"/>
          <w:szCs w:val="24"/>
          <w:lang w:val="en-US" w:eastAsia="zh-CN"/>
        </w:rPr>
        <w:t>5</w:t>
      </w:r>
      <w:r>
        <w:rPr>
          <w:rFonts w:hint="eastAsia" w:ascii="黑体" w:hAnsi="黑体" w:eastAsia="黑体" w:cs="黑体"/>
          <w:color w:val="auto"/>
          <w:spacing w:val="-4"/>
          <w:sz w:val="24"/>
          <w:szCs w:val="24"/>
        </w:rPr>
        <w:t>为本项目提供过整体设计、规范编制或者项目管理、监理、检测等服务的供应商，不得再参加本项目上述服务以外的其他采购活动。否则其投标将被认定为投标无效。</w:t>
      </w:r>
    </w:p>
    <w:p w14:paraId="39EA70AF">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419" w:firstLineChars="181"/>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w:t>
      </w:r>
      <w:r>
        <w:rPr>
          <w:rFonts w:hint="eastAsia" w:ascii="黑体" w:hAnsi="黑体" w:eastAsia="黑体" w:cs="黑体"/>
          <w:color w:val="auto"/>
          <w:spacing w:val="-4"/>
          <w:sz w:val="24"/>
          <w:szCs w:val="24"/>
          <w:lang w:val="en-US" w:eastAsia="zh-CN"/>
        </w:rPr>
        <w:t>6</w:t>
      </w:r>
      <w:r>
        <w:rPr>
          <w:rFonts w:hint="eastAsia" w:ascii="黑体" w:hAnsi="黑体" w:eastAsia="黑体" w:cs="黑体"/>
          <w:color w:val="auto"/>
          <w:spacing w:val="-4"/>
          <w:sz w:val="24"/>
          <w:szCs w:val="24"/>
        </w:rPr>
        <w:t>供应商在投标过程中不得向采购人提供、给予任何有价值的物品，影响其正常决策行为。一经发现，其将被认定为投标无效。</w:t>
      </w:r>
    </w:p>
    <w:p w14:paraId="7C77F31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0" w:firstLineChars="0"/>
        <w:textAlignment w:val="baseline"/>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2.资金来源</w:t>
      </w:r>
    </w:p>
    <w:p w14:paraId="4D21B17A">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81"/>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4"/>
          <w:sz w:val="24"/>
          <w:szCs w:val="24"/>
        </w:rPr>
        <w:t>2.1本项目的采购人已获得足以支付本次采购后所签订的合同项下的资金（包括财政</w:t>
      </w:r>
      <w:r>
        <w:rPr>
          <w:rFonts w:hint="eastAsia" w:ascii="黑体" w:hAnsi="黑体" w:eastAsia="黑体" w:cs="黑体"/>
          <w:color w:val="auto"/>
          <w:spacing w:val="-2"/>
          <w:sz w:val="24"/>
          <w:szCs w:val="24"/>
        </w:rPr>
        <w:t>性资金和本项目采购中无法与财政性资金分割的非财政性资金）。</w:t>
      </w:r>
    </w:p>
    <w:p w14:paraId="1AF8421E">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30" w:firstLineChars="181"/>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1"/>
          <w:sz w:val="24"/>
          <w:szCs w:val="24"/>
        </w:rPr>
        <w:t>2.2项目预算金额和分项或分包最高限价</w:t>
      </w:r>
      <w:r>
        <w:rPr>
          <w:rFonts w:hint="eastAsia" w:ascii="黑体" w:hAnsi="黑体" w:eastAsia="黑体" w:cs="黑体"/>
          <w:color w:val="auto"/>
          <w:spacing w:val="-1"/>
          <w:sz w:val="24"/>
          <w:szCs w:val="24"/>
          <w:u w:val="single" w:color="auto"/>
        </w:rPr>
        <w:t>见</w:t>
      </w:r>
      <w:r>
        <w:rPr>
          <w:rFonts w:hint="eastAsia" w:ascii="黑体" w:hAnsi="黑体" w:eastAsia="黑体" w:cs="黑体"/>
          <w:color w:val="auto"/>
          <w:spacing w:val="-2"/>
          <w:sz w:val="24"/>
          <w:szCs w:val="24"/>
          <w:u w:val="single" w:color="auto"/>
        </w:rPr>
        <w:t>供应商须知资料表</w:t>
      </w:r>
      <w:r>
        <w:rPr>
          <w:rFonts w:hint="eastAsia" w:ascii="黑体" w:hAnsi="黑体" w:eastAsia="黑体" w:cs="黑体"/>
          <w:color w:val="auto"/>
          <w:spacing w:val="-2"/>
          <w:sz w:val="24"/>
          <w:szCs w:val="24"/>
        </w:rPr>
        <w:t>。</w:t>
      </w:r>
    </w:p>
    <w:p w14:paraId="053952E6">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27" w:firstLineChars="181"/>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2.3供应商报价超过磋商文件规定的预算金额或者分项、分包最高限价的，其投标将被认定为</w:t>
      </w:r>
      <w:r>
        <w:rPr>
          <w:rFonts w:hint="eastAsia" w:ascii="黑体" w:hAnsi="黑体" w:eastAsia="黑体" w:cs="黑体"/>
          <w:b/>
          <w:bCs/>
          <w:color w:val="auto"/>
          <w:spacing w:val="-2"/>
          <w:sz w:val="24"/>
          <w:szCs w:val="24"/>
        </w:rPr>
        <w:t>投标无效</w:t>
      </w:r>
      <w:r>
        <w:rPr>
          <w:rFonts w:hint="eastAsia" w:ascii="黑体" w:hAnsi="黑体" w:eastAsia="黑体" w:cs="黑体"/>
          <w:color w:val="auto"/>
          <w:spacing w:val="-2"/>
          <w:sz w:val="24"/>
          <w:szCs w:val="24"/>
        </w:rPr>
        <w:t>。</w:t>
      </w:r>
    </w:p>
    <w:p w14:paraId="1E47AD3B">
      <w:pPr>
        <w:pStyle w:val="7"/>
        <w:keepNext w:val="0"/>
        <w:keepLines w:val="0"/>
        <w:pageBreakBefore w:val="0"/>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b/>
          <w:bCs/>
          <w:color w:val="auto"/>
          <w:spacing w:val="-8"/>
          <w:sz w:val="24"/>
          <w:szCs w:val="24"/>
        </w:rPr>
      </w:pPr>
      <w:r>
        <w:rPr>
          <w:rFonts w:hint="eastAsia" w:ascii="黑体" w:hAnsi="黑体" w:eastAsia="黑体" w:cs="黑体"/>
          <w:b/>
          <w:bCs/>
          <w:color w:val="auto"/>
          <w:spacing w:val="-8"/>
          <w:sz w:val="24"/>
          <w:szCs w:val="24"/>
        </w:rPr>
        <w:t>3.投标费用</w:t>
      </w:r>
    </w:p>
    <w:p w14:paraId="17CF9348">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不论投标的结果如何，供应商应承担所有与准备和参加投标有关的费用。</w:t>
      </w:r>
    </w:p>
    <w:p w14:paraId="22895613">
      <w:pPr>
        <w:pStyle w:val="7"/>
        <w:keepNext w:val="0"/>
        <w:keepLines w:val="0"/>
        <w:pageBreakBefore w:val="0"/>
        <w:numPr>
          <w:ilvl w:val="0"/>
          <w:numId w:val="2"/>
        </w:numPr>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6"/>
          <w:sz w:val="24"/>
          <w:szCs w:val="24"/>
        </w:rPr>
        <w:t>适用法律</w:t>
      </w:r>
    </w:p>
    <w:p w14:paraId="463A62BF">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9" w:firstLineChars="172"/>
        <w:textAlignment w:val="baseline"/>
        <w:rPr>
          <w:rFonts w:hint="eastAsia" w:ascii="黑体" w:hAnsi="黑体" w:eastAsia="黑体" w:cs="黑体"/>
          <w:color w:val="auto"/>
          <w:sz w:val="24"/>
          <w:szCs w:val="24"/>
        </w:rPr>
      </w:pPr>
      <w:r>
        <w:rPr>
          <w:rFonts w:hint="eastAsia" w:ascii="黑体" w:hAnsi="黑体" w:eastAsia="黑体" w:cs="黑体"/>
          <w:color w:val="auto"/>
          <w:spacing w:val="2"/>
          <w:sz w:val="24"/>
          <w:szCs w:val="24"/>
        </w:rPr>
        <w:t>本项目采购人、采购代理机构、供应商、评</w:t>
      </w:r>
      <w:r>
        <w:rPr>
          <w:rFonts w:hint="eastAsia" w:ascii="黑体" w:hAnsi="黑体" w:eastAsia="黑体" w:cs="黑体"/>
          <w:color w:val="auto"/>
          <w:spacing w:val="1"/>
          <w:sz w:val="24"/>
          <w:szCs w:val="24"/>
        </w:rPr>
        <w:t>标委员会的相关行为均受《中华人民共和国政府采购法》、《中华人民共和国政府采购法实施条例》、《政府采购竞争性磋商采购实施办法》及本项目本级和上级财政部门政府采购有关规定的约束，其权利受到上述法律</w:t>
      </w:r>
      <w:r>
        <w:rPr>
          <w:rFonts w:hint="eastAsia" w:ascii="黑体" w:hAnsi="黑体" w:eastAsia="黑体" w:cs="黑体"/>
          <w:color w:val="auto"/>
          <w:spacing w:val="-7"/>
          <w:sz w:val="24"/>
          <w:szCs w:val="24"/>
        </w:rPr>
        <w:t>法规的保护。</w:t>
      </w:r>
    </w:p>
    <w:p w14:paraId="6ECC933A">
      <w:pPr>
        <w:pStyle w:val="7"/>
        <w:keepNext w:val="0"/>
        <w:keepLines w:val="0"/>
        <w:pageBreakBefore w:val="0"/>
        <w:kinsoku w:val="0"/>
        <w:wordWrap w:val="0"/>
        <w:overflowPunct/>
        <w:topLinePunct w:val="0"/>
        <w:autoSpaceDE/>
        <w:autoSpaceDN/>
        <w:bidi w:val="0"/>
        <w:adjustRightInd w:val="0"/>
        <w:snapToGrid w:val="0"/>
        <w:spacing w:line="360" w:lineRule="auto"/>
        <w:jc w:val="center"/>
        <w:textAlignment w:val="baseline"/>
        <w:rPr>
          <w:rFonts w:hint="eastAsia" w:ascii="黑体" w:hAnsi="黑体" w:eastAsia="黑体" w:cs="黑体"/>
          <w:color w:val="auto"/>
          <w:sz w:val="28"/>
          <w:szCs w:val="28"/>
        </w:rPr>
      </w:pPr>
      <w:r>
        <w:rPr>
          <w:rFonts w:hint="eastAsia" w:ascii="黑体" w:hAnsi="黑体" w:eastAsia="黑体" w:cs="黑体"/>
          <w:b/>
          <w:bCs/>
          <w:color w:val="auto"/>
          <w:spacing w:val="-18"/>
          <w:sz w:val="28"/>
          <w:szCs w:val="28"/>
        </w:rPr>
        <w:t>二磋商文件</w:t>
      </w:r>
    </w:p>
    <w:p w14:paraId="492A798C">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0" w:firstLineChars="0"/>
        <w:textAlignment w:val="baseline"/>
        <w:outlineLvl w:val="0"/>
        <w:rPr>
          <w:rFonts w:hint="eastAsia" w:ascii="黑体" w:hAnsi="黑体" w:eastAsia="黑体" w:cs="黑体"/>
          <w:color w:val="auto"/>
          <w:sz w:val="24"/>
          <w:szCs w:val="24"/>
        </w:rPr>
      </w:pPr>
      <w:bookmarkStart w:id="6" w:name="_Toc29081"/>
      <w:r>
        <w:rPr>
          <w:rFonts w:hint="eastAsia" w:ascii="黑体" w:hAnsi="黑体" w:eastAsia="黑体" w:cs="黑体"/>
          <w:b/>
          <w:bCs/>
          <w:color w:val="auto"/>
          <w:spacing w:val="-7"/>
          <w:sz w:val="24"/>
          <w:szCs w:val="24"/>
        </w:rPr>
        <w:t>5.磋商文件构成</w:t>
      </w:r>
      <w:bookmarkEnd w:id="6"/>
    </w:p>
    <w:p w14:paraId="76117AD0">
      <w:pPr>
        <w:pStyle w:val="7"/>
        <w:keepNext w:val="0"/>
        <w:keepLines w:val="0"/>
        <w:pageBreakBefore w:val="0"/>
        <w:kinsoku w:val="0"/>
        <w:wordWrap w:val="0"/>
        <w:overflowPunct/>
        <w:topLinePunct w:val="0"/>
        <w:autoSpaceDE/>
        <w:autoSpaceDN/>
        <w:bidi w:val="0"/>
        <w:adjustRightInd w:val="0"/>
        <w:snapToGrid w:val="0"/>
        <w:spacing w:before="160" w:line="360" w:lineRule="auto"/>
        <w:ind w:left="0" w:leftChars="0" w:firstLine="419" w:firstLineChars="184"/>
        <w:textAlignment w:val="baseline"/>
        <w:rPr>
          <w:rFonts w:hint="eastAsia" w:ascii="黑体" w:hAnsi="黑体" w:eastAsia="黑体" w:cs="黑体"/>
          <w:color w:val="auto"/>
          <w:sz w:val="24"/>
          <w:szCs w:val="24"/>
        </w:rPr>
      </w:pPr>
      <w:r>
        <w:rPr>
          <w:rFonts w:hint="eastAsia" w:ascii="黑体" w:hAnsi="黑体" w:eastAsia="黑体" w:cs="黑体"/>
          <w:color w:val="auto"/>
          <w:spacing w:val="-6"/>
          <w:position w:val="18"/>
          <w:sz w:val="24"/>
          <w:szCs w:val="24"/>
        </w:rPr>
        <w:t>5.1磋商文件分为三册共7章，内容如下：</w:t>
      </w:r>
    </w:p>
    <w:p w14:paraId="53A46F9B">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第一册</w:t>
      </w:r>
    </w:p>
    <w:p w14:paraId="2755F4F7">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第1章供应商须知</w:t>
      </w:r>
    </w:p>
    <w:p w14:paraId="6CB8A743">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第2章响应文件格式</w:t>
      </w:r>
    </w:p>
    <w:p w14:paraId="0769126D">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第二册</w:t>
      </w:r>
      <w:r>
        <w:rPr>
          <w:rFonts w:hint="eastAsia" w:ascii="黑体" w:hAnsi="黑体" w:eastAsia="黑体" w:cs="黑体"/>
          <w:color w:val="auto"/>
          <w:spacing w:val="1"/>
          <w:sz w:val="24"/>
          <w:szCs w:val="24"/>
        </w:rPr>
        <w:tab/>
      </w:r>
    </w:p>
    <w:p w14:paraId="4FE48CD2">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第3章投标邀请</w:t>
      </w:r>
    </w:p>
    <w:p w14:paraId="7BAB55D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第4章供应商须知资料表</w:t>
      </w:r>
    </w:p>
    <w:p w14:paraId="400CAE86">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第5章采购内容及需求</w:t>
      </w:r>
    </w:p>
    <w:p w14:paraId="087B4A27">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第6章评标方法和标准</w:t>
      </w:r>
    </w:p>
    <w:p w14:paraId="2F58627A">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第三册</w:t>
      </w:r>
      <w:r>
        <w:rPr>
          <w:rFonts w:hint="eastAsia" w:ascii="黑体" w:hAnsi="黑体" w:eastAsia="黑体" w:cs="黑体"/>
          <w:color w:val="auto"/>
          <w:spacing w:val="1"/>
          <w:sz w:val="24"/>
          <w:szCs w:val="24"/>
        </w:rPr>
        <w:tab/>
      </w:r>
    </w:p>
    <w:p w14:paraId="752D8327">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第7章政府采购合同格式</w:t>
      </w:r>
    </w:p>
    <w:p w14:paraId="5B68B89C">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9"/>
        <w:textAlignment w:val="baseline"/>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5.2如本文件的前后内容不一致，以最后描述为准。</w:t>
      </w:r>
    </w:p>
    <w:p w14:paraId="41BE311E">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6" w:firstLineChars="179"/>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1"/>
          <w:sz w:val="24"/>
          <w:szCs w:val="24"/>
        </w:rPr>
        <w:t>5.3供应商应认真阅读磋商文件所有的事项、格式、条</w:t>
      </w:r>
      <w:r>
        <w:rPr>
          <w:rFonts w:hint="eastAsia" w:ascii="黑体" w:hAnsi="黑体" w:eastAsia="黑体" w:cs="黑体"/>
          <w:color w:val="auto"/>
          <w:spacing w:val="-2"/>
          <w:sz w:val="24"/>
          <w:szCs w:val="24"/>
        </w:rPr>
        <w:t>款和技术规范等。如供应商</w:t>
      </w:r>
      <w:r>
        <w:rPr>
          <w:rFonts w:hint="eastAsia" w:ascii="黑体" w:hAnsi="黑体" w:eastAsia="黑体" w:cs="黑体"/>
          <w:color w:val="auto"/>
          <w:spacing w:val="1"/>
          <w:sz w:val="24"/>
          <w:szCs w:val="24"/>
        </w:rPr>
        <w:t>没有按照磋商文件要求提交全部资料，或者响应文件没有对磋商文件在各方面都做出实质</w:t>
      </w:r>
      <w:r>
        <w:rPr>
          <w:rFonts w:hint="eastAsia" w:ascii="黑体" w:hAnsi="黑体" w:eastAsia="黑体" w:cs="黑体"/>
          <w:color w:val="auto"/>
          <w:spacing w:val="-4"/>
          <w:sz w:val="24"/>
          <w:szCs w:val="24"/>
        </w:rPr>
        <w:t>性响应，导致其投标将被认定为</w:t>
      </w:r>
      <w:r>
        <w:rPr>
          <w:rFonts w:hint="eastAsia" w:ascii="黑体" w:hAnsi="黑体" w:eastAsia="黑体" w:cs="黑体"/>
          <w:b/>
          <w:bCs/>
          <w:color w:val="auto"/>
          <w:spacing w:val="-4"/>
          <w:sz w:val="24"/>
          <w:szCs w:val="24"/>
        </w:rPr>
        <w:t>投标无效</w:t>
      </w:r>
      <w:r>
        <w:rPr>
          <w:rFonts w:hint="eastAsia" w:ascii="黑体" w:hAnsi="黑体" w:eastAsia="黑体" w:cs="黑体"/>
          <w:color w:val="auto"/>
          <w:spacing w:val="-4"/>
          <w:sz w:val="24"/>
          <w:szCs w:val="24"/>
        </w:rPr>
        <w:t>。</w:t>
      </w:r>
    </w:p>
    <w:p w14:paraId="21DB1F2F">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0" w:firstLineChars="0"/>
        <w:jc w:val="both"/>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6"/>
          <w:sz w:val="24"/>
          <w:szCs w:val="24"/>
        </w:rPr>
        <w:t>6.磋商文件的澄清与修改</w:t>
      </w:r>
    </w:p>
    <w:p w14:paraId="0CE513D2">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8" w:firstLineChars="176"/>
        <w:jc w:val="both"/>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1"/>
          <w:sz w:val="24"/>
          <w:szCs w:val="24"/>
        </w:rPr>
        <w:t>6.1提交首次响应文件截止之日前，采购人、采购代理机构或者磋商小组可以对己发出的磋商文件进行必要的澄清或者修改，澄清或</w:t>
      </w:r>
      <w:r>
        <w:rPr>
          <w:rFonts w:hint="eastAsia" w:ascii="黑体" w:hAnsi="黑体" w:eastAsia="黑体" w:cs="黑体"/>
          <w:color w:val="auto"/>
          <w:spacing w:val="-2"/>
          <w:sz w:val="24"/>
          <w:szCs w:val="24"/>
        </w:rPr>
        <w:t>者修改的内容作为磋商文件的组成部分。澄清</w:t>
      </w:r>
      <w:r>
        <w:rPr>
          <w:rFonts w:hint="eastAsia" w:ascii="黑体" w:hAnsi="黑体" w:eastAsia="黑体" w:cs="黑体"/>
          <w:color w:val="auto"/>
          <w:spacing w:val="-1"/>
          <w:sz w:val="24"/>
          <w:szCs w:val="24"/>
        </w:rPr>
        <w:t>或者修改的内容可能影响响应文件编制的，采购人、采购代理机构应当在提交首次响应文件截止时</w:t>
      </w:r>
      <w:r>
        <w:rPr>
          <w:rFonts w:hint="eastAsia" w:ascii="黑体" w:hAnsi="黑体" w:eastAsia="黑体" w:cs="黑体"/>
          <w:color w:val="auto"/>
          <w:spacing w:val="-1"/>
          <w:sz w:val="24"/>
          <w:szCs w:val="24"/>
          <w:lang w:val="en-US" w:eastAsia="zh-CN"/>
        </w:rPr>
        <w:t>间</w:t>
      </w:r>
      <w:r>
        <w:rPr>
          <w:rFonts w:hint="eastAsia" w:ascii="黑体" w:hAnsi="黑体" w:eastAsia="黑体" w:cs="黑体"/>
          <w:color w:val="auto"/>
          <w:spacing w:val="-1"/>
          <w:sz w:val="24"/>
          <w:szCs w:val="24"/>
        </w:rPr>
        <w:t>至少5日前，以发布澄清（更正）公告的方式通知所有获取磋商文件的供应商；不足5日的，采购人。采</w:t>
      </w:r>
      <w:r>
        <w:rPr>
          <w:rFonts w:hint="eastAsia" w:ascii="黑体" w:hAnsi="黑体" w:eastAsia="黑体" w:cs="黑体"/>
          <w:color w:val="auto"/>
          <w:spacing w:val="-2"/>
          <w:sz w:val="24"/>
          <w:szCs w:val="24"/>
        </w:rPr>
        <w:t>购代理机构应当顺延提交首次响应文件截止时间。</w:t>
      </w:r>
    </w:p>
    <w:p w14:paraId="7D1AAEEC">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2" w:firstLineChars="176"/>
        <w:textAlignment w:val="baseline"/>
        <w:rPr>
          <w:rFonts w:hint="eastAsia" w:ascii="黑体" w:hAnsi="黑体" w:eastAsia="黑体" w:cs="黑体"/>
          <w:color w:val="auto"/>
          <w:spacing w:val="-3"/>
          <w:sz w:val="24"/>
          <w:szCs w:val="24"/>
        </w:rPr>
      </w:pPr>
      <w:r>
        <w:rPr>
          <w:rFonts w:hint="eastAsia" w:ascii="黑体" w:hAnsi="黑体" w:eastAsia="黑体" w:cs="黑体"/>
          <w:color w:val="auto"/>
          <w:sz w:val="24"/>
          <w:szCs w:val="24"/>
        </w:rPr>
        <w:t>6.2采购人、采购代理机构可主动地或在解</w:t>
      </w:r>
      <w:r>
        <w:rPr>
          <w:rFonts w:hint="eastAsia" w:ascii="黑体" w:hAnsi="黑体" w:eastAsia="黑体" w:cs="黑体"/>
          <w:color w:val="auto"/>
          <w:spacing w:val="-1"/>
          <w:sz w:val="24"/>
          <w:szCs w:val="24"/>
        </w:rPr>
        <w:t>答供应商提出的澄清问题时对磋商文件进行澄清或修改。采购代理机构将以发布澄清（更正）公告的方式，澄清或修改磋商文件，澄清</w:t>
      </w:r>
      <w:r>
        <w:rPr>
          <w:rFonts w:hint="eastAsia" w:ascii="黑体" w:hAnsi="黑体" w:eastAsia="黑体" w:cs="黑体"/>
          <w:color w:val="auto"/>
          <w:spacing w:val="-3"/>
          <w:sz w:val="24"/>
          <w:szCs w:val="24"/>
        </w:rPr>
        <w:t>或修改内容作为磋商文件的组成部分。</w:t>
      </w:r>
    </w:p>
    <w:p w14:paraId="67B86B3A">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6.3澄清或者修改的内容可能影响响应文件编制的，采购代理机构将以</w:t>
      </w:r>
      <w:r>
        <w:rPr>
          <w:rFonts w:hint="eastAsia" w:ascii="黑体" w:hAnsi="黑体" w:eastAsia="黑体" w:cs="黑体"/>
          <w:color w:val="auto"/>
          <w:spacing w:val="-1"/>
          <w:sz w:val="24"/>
          <w:szCs w:val="24"/>
          <w:lang w:eastAsia="zh-CN"/>
        </w:rPr>
        <w:t>发布更正</w:t>
      </w:r>
      <w:r>
        <w:rPr>
          <w:rFonts w:hint="eastAsia" w:ascii="黑体" w:hAnsi="黑体" w:eastAsia="黑体" w:cs="黑体"/>
          <w:color w:val="auto"/>
          <w:spacing w:val="-1"/>
          <w:sz w:val="24"/>
          <w:szCs w:val="24"/>
        </w:rPr>
        <w:t>公告形式通知所有购买磋商文件的潜在供应商，并对其具有约束力。</w:t>
      </w:r>
    </w:p>
    <w:p w14:paraId="53647A21">
      <w:pPr>
        <w:pStyle w:val="7"/>
        <w:keepNext w:val="0"/>
        <w:keepLines w:val="0"/>
        <w:pageBreakBefore w:val="0"/>
        <w:kinsoku w:val="0"/>
        <w:wordWrap w:val="0"/>
        <w:overflowPunct/>
        <w:topLinePunct w:val="0"/>
        <w:autoSpaceDE/>
        <w:autoSpaceDN/>
        <w:bidi w:val="0"/>
        <w:adjustRightInd w:val="0"/>
        <w:snapToGrid w:val="0"/>
        <w:spacing w:line="360" w:lineRule="auto"/>
        <w:ind w:left="11"/>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6"/>
          <w:sz w:val="24"/>
          <w:szCs w:val="24"/>
        </w:rPr>
        <w:t>7.投标截止时间的顺延</w:t>
      </w:r>
    </w:p>
    <w:p w14:paraId="6B34FC67">
      <w:pPr>
        <w:pStyle w:val="7"/>
        <w:keepNext w:val="0"/>
        <w:keepLines w:val="0"/>
        <w:pageBreakBefore w:val="0"/>
        <w:kinsoku w:val="0"/>
        <w:wordWrap w:val="0"/>
        <w:overflowPunct/>
        <w:topLinePunct w:val="0"/>
        <w:autoSpaceDE/>
        <w:autoSpaceDN/>
        <w:bidi w:val="0"/>
        <w:adjustRightInd w:val="0"/>
        <w:snapToGrid w:val="0"/>
        <w:spacing w:line="360" w:lineRule="auto"/>
        <w:ind w:left="11" w:leftChars="0" w:firstLine="406" w:firstLineChars="171"/>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为使供应商准备投标时有足够的时间对磋商文件的澄清或者修改部分进行研究，采购人将依法决定是否顺延投标截止时间。</w:t>
      </w:r>
    </w:p>
    <w:p w14:paraId="5E8CD685">
      <w:pPr>
        <w:pStyle w:val="7"/>
        <w:keepNext w:val="0"/>
        <w:keepLines w:val="0"/>
        <w:pageBreakBefore w:val="0"/>
        <w:kinsoku w:val="0"/>
        <w:wordWrap w:val="0"/>
        <w:overflowPunct/>
        <w:topLinePunct w:val="0"/>
        <w:autoSpaceDE/>
        <w:autoSpaceDN/>
        <w:bidi w:val="0"/>
        <w:adjustRightInd w:val="0"/>
        <w:snapToGrid w:val="0"/>
        <w:spacing w:line="360" w:lineRule="auto"/>
        <w:ind w:left="0"/>
        <w:jc w:val="center"/>
        <w:textAlignment w:val="baseline"/>
        <w:rPr>
          <w:rFonts w:hint="eastAsia" w:ascii="黑体" w:hAnsi="黑体" w:eastAsia="黑体" w:cs="黑体"/>
          <w:color w:val="auto"/>
          <w:sz w:val="28"/>
          <w:szCs w:val="28"/>
        </w:rPr>
      </w:pPr>
      <w:r>
        <w:rPr>
          <w:rFonts w:hint="eastAsia" w:ascii="黑体" w:hAnsi="黑体" w:eastAsia="黑体" w:cs="黑体"/>
          <w:b/>
          <w:bCs/>
          <w:color w:val="auto"/>
          <w:spacing w:val="-16"/>
          <w:sz w:val="28"/>
          <w:szCs w:val="28"/>
        </w:rPr>
        <w:t>三响应文件的编制</w:t>
      </w:r>
    </w:p>
    <w:p w14:paraId="21710693">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0" w:firstLineChars="0"/>
        <w:textAlignment w:val="baseline"/>
        <w:rPr>
          <w:rFonts w:hint="eastAsia" w:ascii="黑体" w:hAnsi="黑体" w:eastAsia="黑体" w:cs="黑体"/>
          <w:color w:val="auto"/>
          <w:spacing w:val="1"/>
          <w:position w:val="18"/>
          <w:sz w:val="24"/>
          <w:szCs w:val="24"/>
        </w:rPr>
      </w:pPr>
      <w:r>
        <w:rPr>
          <w:rFonts w:hint="default" w:ascii="黑体" w:hAnsi="黑体" w:eastAsia="黑体" w:cs="黑体"/>
          <w:b/>
          <w:bCs/>
          <w:snapToGrid w:val="0"/>
          <w:color w:val="auto"/>
          <w:spacing w:val="1"/>
          <w:kern w:val="0"/>
          <w:position w:val="18"/>
          <w:sz w:val="24"/>
          <w:szCs w:val="24"/>
          <w:lang w:val="en-US" w:eastAsia="en-US" w:bidi="ar-SA"/>
        </w:rPr>
        <w:t>8.</w:t>
      </w:r>
      <w:r>
        <w:rPr>
          <w:rFonts w:hint="eastAsia" w:ascii="黑体" w:hAnsi="黑体" w:eastAsia="黑体" w:cs="黑体"/>
          <w:b/>
          <w:bCs/>
          <w:color w:val="auto"/>
          <w:spacing w:val="1"/>
          <w:position w:val="18"/>
          <w:sz w:val="24"/>
          <w:szCs w:val="24"/>
        </w:rPr>
        <w:t>投标范围及响应文件成交</w:t>
      </w:r>
      <w:r>
        <w:rPr>
          <w:rFonts w:hint="eastAsia" w:ascii="黑体" w:hAnsi="黑体" w:eastAsia="黑体" w:cs="黑体"/>
          <w:b/>
          <w:bCs/>
          <w:color w:val="auto"/>
          <w:spacing w:val="1"/>
          <w:position w:val="18"/>
          <w:sz w:val="24"/>
          <w:szCs w:val="24"/>
          <w:lang w:val="en-US" w:eastAsia="zh-CN"/>
        </w:rPr>
        <w:t>标</w:t>
      </w:r>
      <w:r>
        <w:rPr>
          <w:rFonts w:hint="eastAsia" w:ascii="黑体" w:hAnsi="黑体" w:eastAsia="黑体" w:cs="黑体"/>
          <w:b/>
          <w:bCs/>
          <w:color w:val="auto"/>
          <w:spacing w:val="1"/>
          <w:position w:val="18"/>
          <w:sz w:val="24"/>
          <w:szCs w:val="24"/>
        </w:rPr>
        <w:t>准和计量单位的使用</w:t>
      </w:r>
    </w:p>
    <w:p w14:paraId="60BD5103">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position w:val="18"/>
          <w:sz w:val="24"/>
          <w:szCs w:val="24"/>
        </w:rPr>
      </w:pPr>
      <w:r>
        <w:rPr>
          <w:rFonts w:hint="eastAsia" w:ascii="黑体" w:hAnsi="黑体" w:eastAsia="黑体" w:cs="黑体"/>
          <w:b w:val="0"/>
          <w:bCs w:val="0"/>
          <w:color w:val="auto"/>
          <w:spacing w:val="1"/>
          <w:position w:val="18"/>
          <w:sz w:val="24"/>
          <w:szCs w:val="24"/>
          <w:lang w:val="en-US" w:eastAsia="zh-CN"/>
        </w:rPr>
        <w:t>8.1</w:t>
      </w:r>
      <w:r>
        <w:rPr>
          <w:rFonts w:hint="eastAsia" w:ascii="黑体" w:hAnsi="黑体" w:eastAsia="黑体" w:cs="黑体"/>
          <w:color w:val="auto"/>
          <w:spacing w:val="1"/>
          <w:position w:val="18"/>
          <w:sz w:val="24"/>
          <w:szCs w:val="24"/>
        </w:rPr>
        <w:t>项目有分包的，供应商可对磋商文件其中某一个或几个分包货物进行投标</w:t>
      </w:r>
      <w:r>
        <w:rPr>
          <w:rFonts w:hint="eastAsia" w:ascii="黑体" w:hAnsi="黑体" w:eastAsia="黑体" w:cs="黑体"/>
          <w:color w:val="auto"/>
          <w:spacing w:val="1"/>
          <w:position w:val="18"/>
          <w:sz w:val="24"/>
          <w:szCs w:val="24"/>
          <w:lang w:eastAsia="zh-CN"/>
        </w:rPr>
        <w:t>，</w:t>
      </w:r>
      <w:r>
        <w:rPr>
          <w:rFonts w:hint="eastAsia" w:ascii="黑体" w:hAnsi="黑体" w:eastAsia="黑体" w:cs="黑体"/>
          <w:color w:val="auto"/>
          <w:spacing w:val="1"/>
          <w:position w:val="18"/>
          <w:sz w:val="24"/>
          <w:szCs w:val="24"/>
        </w:rPr>
        <w:t>除非在供应商须知资料表中另有规定。</w:t>
      </w:r>
    </w:p>
    <w:p w14:paraId="1323A0F5">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8.2供应商应当对所投分包磋商文件中“采购内容及要求”所列的所有内容进行投标，如仅响应某一包中的部分内容，其该包投标将被认定为投标无效。</w:t>
      </w:r>
    </w:p>
    <w:p w14:paraId="4E1A65E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8.3无论磋商文件第5章采购内容及要求中是否要求，供应商所提供的货物或服务均应符合国家强制性标准。</w:t>
      </w:r>
    </w:p>
    <w:p w14:paraId="553BD322">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8.4除磋商文件中有特殊要求外，响应文件中所使用的计量单位，应采用中华人民共和国法定计量单位。</w:t>
      </w:r>
    </w:p>
    <w:p w14:paraId="2F41DBB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0" w:firstLineChars="0"/>
        <w:textAlignment w:val="baseline"/>
        <w:rPr>
          <w:rFonts w:hint="eastAsia" w:ascii="黑体" w:hAnsi="黑体" w:eastAsia="黑体" w:cs="黑体"/>
          <w:color w:val="auto"/>
          <w:spacing w:val="1"/>
          <w:position w:val="18"/>
          <w:sz w:val="24"/>
          <w:szCs w:val="24"/>
        </w:rPr>
      </w:pPr>
      <w:r>
        <w:rPr>
          <w:rFonts w:hint="default" w:ascii="黑体" w:hAnsi="黑体" w:eastAsia="黑体" w:cs="黑体"/>
          <w:b/>
          <w:bCs/>
          <w:snapToGrid w:val="0"/>
          <w:color w:val="auto"/>
          <w:spacing w:val="1"/>
          <w:kern w:val="0"/>
          <w:position w:val="18"/>
          <w:sz w:val="24"/>
          <w:szCs w:val="24"/>
          <w:lang w:val="en-US" w:eastAsia="en-US" w:bidi="ar-SA"/>
        </w:rPr>
        <w:t>9.</w:t>
      </w:r>
      <w:r>
        <w:rPr>
          <w:rFonts w:hint="eastAsia" w:ascii="黑体" w:hAnsi="黑体" w:eastAsia="黑体" w:cs="黑体"/>
          <w:b/>
          <w:bCs/>
          <w:color w:val="auto"/>
          <w:spacing w:val="1"/>
          <w:position w:val="18"/>
          <w:sz w:val="24"/>
          <w:szCs w:val="24"/>
        </w:rPr>
        <w:t>响应文件构成</w:t>
      </w:r>
    </w:p>
    <w:p w14:paraId="144842F7">
      <w:pPr>
        <w:pStyle w:val="7"/>
        <w:keepNext w:val="0"/>
        <w:keepLines w:val="0"/>
        <w:pageBreakBefore w:val="0"/>
        <w:widowControl/>
        <w:numPr>
          <w:ilvl w:val="1"/>
          <w:numId w:val="0"/>
        </w:numPr>
        <w:kinsoku w:val="0"/>
        <w:wordWrap w:val="0"/>
        <w:overflowPunct/>
        <w:topLinePunct w:val="0"/>
        <w:autoSpaceDE/>
        <w:autoSpaceDN/>
        <w:bidi w:val="0"/>
        <w:adjustRightInd w:val="0"/>
        <w:snapToGrid w:val="0"/>
        <w:spacing w:line="360" w:lineRule="auto"/>
        <w:ind w:left="0" w:leftChars="0" w:firstLine="420" w:firstLineChars="173"/>
        <w:textAlignment w:val="baseline"/>
        <w:rPr>
          <w:rFonts w:hint="eastAsia" w:ascii="黑体" w:hAnsi="黑体" w:eastAsia="黑体" w:cs="黑体"/>
          <w:b/>
          <w:bCs/>
          <w:color w:val="auto"/>
          <w:spacing w:val="1"/>
          <w:position w:val="18"/>
          <w:sz w:val="24"/>
          <w:szCs w:val="24"/>
        </w:rPr>
      </w:pPr>
      <w:r>
        <w:rPr>
          <w:rFonts w:hint="default" w:ascii="黑体" w:hAnsi="黑体" w:eastAsia="黑体" w:cs="黑体"/>
          <w:b/>
          <w:bCs/>
          <w:snapToGrid w:val="0"/>
          <w:color w:val="auto"/>
          <w:spacing w:val="1"/>
          <w:kern w:val="0"/>
          <w:position w:val="18"/>
          <w:sz w:val="24"/>
          <w:szCs w:val="24"/>
          <w:lang w:val="en-US" w:eastAsia="en-US" w:bidi="ar-SA"/>
        </w:rPr>
        <w:t>9.1</w:t>
      </w:r>
      <w:r>
        <w:rPr>
          <w:rFonts w:hint="eastAsia" w:ascii="黑体" w:hAnsi="黑体" w:eastAsia="黑体" w:cs="黑体"/>
          <w:b/>
          <w:bCs/>
          <w:color w:val="auto"/>
          <w:spacing w:val="1"/>
          <w:position w:val="18"/>
          <w:sz w:val="24"/>
          <w:szCs w:val="24"/>
        </w:rPr>
        <w:t>供应商应完整地按磋商文件提供的响应文件格式及要求编写响应文件，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1693053F">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9.2上述文件应按照磋商文件规定的格式填写、签署和盖章。</w:t>
      </w:r>
    </w:p>
    <w:p w14:paraId="7587AE12">
      <w:pPr>
        <w:pStyle w:val="7"/>
        <w:keepNext w:val="0"/>
        <w:keepLines w:val="0"/>
        <w:pageBreakBefore w:val="0"/>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b/>
          <w:bCs/>
          <w:color w:val="auto"/>
          <w:spacing w:val="1"/>
          <w:position w:val="18"/>
          <w:sz w:val="24"/>
          <w:szCs w:val="24"/>
        </w:rPr>
      </w:pPr>
      <w:r>
        <w:rPr>
          <w:rFonts w:hint="eastAsia" w:ascii="黑体" w:hAnsi="黑体" w:eastAsia="黑体" w:cs="黑体"/>
          <w:b/>
          <w:bCs/>
          <w:color w:val="auto"/>
          <w:spacing w:val="1"/>
          <w:position w:val="18"/>
          <w:sz w:val="24"/>
          <w:szCs w:val="24"/>
        </w:rPr>
        <w:t>10.证明投标标的的合格性和符合磋商文件规定的技术文件</w:t>
      </w:r>
    </w:p>
    <w:p w14:paraId="27FF58C2">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lang w:eastAsia="zh-CN"/>
        </w:rPr>
      </w:pPr>
      <w:r>
        <w:rPr>
          <w:rFonts w:hint="eastAsia" w:ascii="黑体" w:hAnsi="黑体" w:eastAsia="黑体" w:cs="黑体"/>
          <w:color w:val="auto"/>
          <w:spacing w:val="-1"/>
          <w:position w:val="18"/>
          <w:sz w:val="24"/>
          <w:szCs w:val="24"/>
        </w:rPr>
        <w:t>10.1供应商应提交证明文件，证明其投标内容符合磋商文件规定。该证明文件是响应文件的一部分</w:t>
      </w:r>
      <w:r>
        <w:rPr>
          <w:rFonts w:hint="eastAsia" w:ascii="黑体" w:hAnsi="黑体" w:eastAsia="黑体" w:cs="黑体"/>
          <w:color w:val="auto"/>
          <w:spacing w:val="-1"/>
          <w:position w:val="18"/>
          <w:sz w:val="24"/>
          <w:szCs w:val="24"/>
          <w:lang w:eastAsia="zh-CN"/>
        </w:rPr>
        <w:t>。</w:t>
      </w:r>
    </w:p>
    <w:p w14:paraId="089C65A7">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10.2上款所述的证明文件，可以是文字资料、图纸和数据。</w:t>
      </w:r>
    </w:p>
    <w:p w14:paraId="7ECE52E7">
      <w:pPr>
        <w:pStyle w:val="7"/>
        <w:keepNext w:val="0"/>
        <w:keepLines w:val="0"/>
        <w:pageBreakBefore w:val="0"/>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b/>
          <w:bCs/>
          <w:color w:val="auto"/>
          <w:spacing w:val="-1"/>
          <w:position w:val="18"/>
          <w:sz w:val="24"/>
          <w:szCs w:val="24"/>
        </w:rPr>
      </w:pPr>
      <w:r>
        <w:rPr>
          <w:rFonts w:hint="eastAsia" w:ascii="黑体" w:hAnsi="黑体" w:eastAsia="黑体" w:cs="黑体"/>
          <w:b/>
          <w:bCs/>
          <w:color w:val="auto"/>
          <w:spacing w:val="-1"/>
          <w:position w:val="18"/>
          <w:sz w:val="24"/>
          <w:szCs w:val="24"/>
        </w:rPr>
        <w:t>11.投标报价</w:t>
      </w:r>
    </w:p>
    <w:p w14:paraId="1417497B">
      <w:pPr>
        <w:pStyle w:val="7"/>
        <w:keepNext w:val="0"/>
        <w:keepLines w:val="0"/>
        <w:pageBreakBefore w:val="0"/>
        <w:widowControl w:val="0"/>
        <w:kinsoku w:val="0"/>
        <w:wordWrap w:val="0"/>
        <w:overflowPunct/>
        <w:topLinePunct w:val="0"/>
        <w:autoSpaceDE/>
        <w:autoSpaceDN/>
        <w:bidi w:val="0"/>
        <w:adjustRightInd w:val="0"/>
        <w:snapToGrid w:val="0"/>
        <w:spacing w:line="360" w:lineRule="auto"/>
        <w:ind w:left="0" w:leftChars="0" w:firstLine="476" w:firstLineChars="200"/>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11.1所有投标均以人民币报价。供应商的投标报价应遵守《中华人民共和国价格法》。同时，根据《中华人民共和国政府采购法》第二条的规定，为保证公平竞争，如有货物主体部分的赠与行为，其投标将被认定为投标无效。</w:t>
      </w:r>
    </w:p>
    <w:p w14:paraId="67A5C738">
      <w:pPr>
        <w:pStyle w:val="7"/>
        <w:keepNext w:val="0"/>
        <w:keepLines w:val="0"/>
        <w:pageBreakBefore w:val="0"/>
        <w:widowControl w:val="0"/>
        <w:kinsoku w:val="0"/>
        <w:wordWrap w:val="0"/>
        <w:overflowPunct/>
        <w:topLinePunct w:val="0"/>
        <w:autoSpaceDE/>
        <w:autoSpaceDN/>
        <w:bidi w:val="0"/>
        <w:adjustRightInd w:val="0"/>
        <w:snapToGrid w:val="0"/>
        <w:spacing w:line="360" w:lineRule="auto"/>
        <w:ind w:left="0" w:leftChars="0" w:firstLine="476" w:firstLineChars="200"/>
        <w:jc w:val="both"/>
        <w:textAlignment w:val="baseline"/>
        <w:outlineLvl w:val="6"/>
        <w:rPr>
          <w:rFonts w:hint="eastAsia" w:ascii="黑体" w:hAnsi="黑体" w:eastAsia="黑体" w:cs="黑体"/>
          <w:color w:val="auto"/>
          <w:sz w:val="24"/>
          <w:szCs w:val="24"/>
        </w:rPr>
      </w:pPr>
      <w:r>
        <w:rPr>
          <w:rFonts w:hint="eastAsia" w:ascii="黑体" w:hAnsi="黑体" w:eastAsia="黑体" w:cs="黑体"/>
          <w:color w:val="auto"/>
          <w:spacing w:val="-1"/>
          <w:position w:val="18"/>
          <w:sz w:val="24"/>
          <w:szCs w:val="24"/>
        </w:rPr>
        <w:t>11.2供应商所报的各分项投标单价在合同履行过程中是固定不变的，不得以任何理由予以变更。任何包含价格调整要求的投标，其投标将被认定为投标无效。</w:t>
      </w:r>
    </w:p>
    <w:p w14:paraId="07F2F87F">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396" w:firstLineChars="176"/>
        <w:textAlignment w:val="baseline"/>
        <w:rPr>
          <w:rFonts w:hint="eastAsia" w:ascii="黑体" w:hAnsi="黑体" w:eastAsia="黑体" w:cs="黑体"/>
          <w:color w:val="auto"/>
          <w:sz w:val="24"/>
          <w:szCs w:val="24"/>
        </w:rPr>
      </w:pPr>
      <w:r>
        <w:rPr>
          <w:rFonts w:hint="eastAsia" w:ascii="黑体" w:hAnsi="黑体" w:eastAsia="黑体" w:cs="黑体"/>
          <w:b/>
          <w:bCs/>
          <w:color w:val="auto"/>
          <w:spacing w:val="-8"/>
          <w:sz w:val="24"/>
          <w:szCs w:val="24"/>
        </w:rPr>
        <w:t>11.3采购人不接受具有附加条件的报价。</w:t>
      </w:r>
    </w:p>
    <w:p w14:paraId="2B36667F">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396" w:firstLineChars="176"/>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8"/>
          <w:sz w:val="24"/>
          <w:szCs w:val="24"/>
        </w:rPr>
        <w:t>代理机构开启第二轮报价环节后，各供应商</w:t>
      </w:r>
      <w:r>
        <w:rPr>
          <w:rFonts w:hint="eastAsia" w:ascii="黑体" w:hAnsi="黑体" w:eastAsia="黑体" w:cs="黑体"/>
          <w:b/>
          <w:bCs/>
          <w:color w:val="auto"/>
          <w:spacing w:val="-9"/>
          <w:sz w:val="24"/>
          <w:szCs w:val="24"/>
        </w:rPr>
        <w:t>应尽快在政采云系统提交各自的二轮报价，</w:t>
      </w:r>
      <w:r>
        <w:rPr>
          <w:rFonts w:hint="eastAsia" w:ascii="黑体" w:hAnsi="黑体" w:eastAsia="黑体" w:cs="黑体"/>
          <w:b/>
          <w:bCs/>
          <w:color w:val="auto"/>
          <w:spacing w:val="-7"/>
          <w:sz w:val="24"/>
          <w:szCs w:val="24"/>
        </w:rPr>
        <w:t>超过30分钟（自代理机构开启第二轮报价环节起计算）未提交二轮报价的视为放弃投标。敬请注意</w:t>
      </w:r>
      <w:r>
        <w:rPr>
          <w:rFonts w:hint="eastAsia" w:ascii="黑体" w:hAnsi="黑体" w:eastAsia="黑体" w:cs="黑体"/>
          <w:b/>
          <w:bCs/>
          <w:color w:val="auto"/>
          <w:spacing w:val="6"/>
          <w:sz w:val="24"/>
          <w:szCs w:val="24"/>
        </w:rPr>
        <w:t>！！！</w:t>
      </w:r>
    </w:p>
    <w:p w14:paraId="38059296">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399" w:firstLineChars="176"/>
        <w:textAlignment w:val="baseline"/>
        <w:rPr>
          <w:rFonts w:hint="eastAsia" w:ascii="黑体" w:hAnsi="黑体" w:eastAsia="黑体" w:cs="黑体"/>
          <w:color w:val="auto"/>
          <w:sz w:val="24"/>
          <w:szCs w:val="24"/>
        </w:rPr>
      </w:pPr>
      <w:r>
        <w:rPr>
          <w:rFonts w:hint="eastAsia" w:ascii="黑体" w:hAnsi="黑体" w:eastAsia="黑体" w:cs="黑体"/>
          <w:b/>
          <w:bCs/>
          <w:color w:val="auto"/>
          <w:spacing w:val="-7"/>
          <w:sz w:val="24"/>
          <w:szCs w:val="24"/>
        </w:rPr>
        <w:t>整个开标环节需要供应商在系统确认</w:t>
      </w:r>
      <w:r>
        <w:rPr>
          <w:rFonts w:hint="eastAsia" w:ascii="黑体" w:hAnsi="黑体" w:eastAsia="黑体" w:cs="黑体"/>
          <w:b/>
          <w:bCs/>
          <w:color w:val="auto"/>
          <w:spacing w:val="-8"/>
          <w:sz w:val="24"/>
          <w:szCs w:val="24"/>
        </w:rPr>
        <w:t>的报价等信息最长时限均为30分钟。</w:t>
      </w:r>
    </w:p>
    <w:p w14:paraId="744F3350">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403" w:firstLineChars="176"/>
        <w:textAlignment w:val="baseline"/>
        <w:rPr>
          <w:rFonts w:hint="eastAsia" w:ascii="黑体" w:hAnsi="黑体" w:eastAsia="黑体" w:cs="黑体"/>
          <w:b/>
          <w:bCs/>
          <w:color w:val="auto"/>
          <w:sz w:val="24"/>
          <w:szCs w:val="24"/>
        </w:rPr>
      </w:pPr>
      <w:r>
        <w:rPr>
          <w:rFonts w:hint="eastAsia" w:ascii="黑体" w:hAnsi="黑体" w:eastAsia="黑体" w:cs="黑体"/>
          <w:b/>
          <w:bCs/>
          <w:color w:val="auto"/>
          <w:spacing w:val="-6"/>
          <w:sz w:val="24"/>
          <w:szCs w:val="24"/>
        </w:rPr>
        <w:t>11.4竞争性磋商采用两次报价的方式。</w:t>
      </w:r>
    </w:p>
    <w:p w14:paraId="219F806B">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right="0" w:firstLine="413" w:firstLineChars="176"/>
        <w:textAlignment w:val="baseline"/>
        <w:rPr>
          <w:rFonts w:hint="eastAsia" w:ascii="黑体" w:hAnsi="黑体" w:eastAsia="黑体" w:cs="黑体"/>
          <w:color w:val="auto"/>
          <w:sz w:val="24"/>
          <w:szCs w:val="24"/>
        </w:rPr>
      </w:pPr>
      <w:r>
        <w:rPr>
          <w:rFonts w:hint="eastAsia" w:ascii="黑体" w:hAnsi="黑体" w:eastAsia="黑体" w:cs="黑体"/>
          <w:b/>
          <w:bCs/>
          <w:color w:val="auto"/>
          <w:spacing w:val="-3"/>
          <w:sz w:val="24"/>
          <w:szCs w:val="24"/>
        </w:rPr>
        <w:t>二次报价为最终报价，磋商小组所有成员集中与单一供应商分</w:t>
      </w:r>
      <w:r>
        <w:rPr>
          <w:rFonts w:hint="eastAsia" w:ascii="黑体" w:hAnsi="黑体" w:eastAsia="黑体" w:cs="黑体"/>
          <w:b/>
          <w:bCs/>
          <w:color w:val="auto"/>
          <w:spacing w:val="-4"/>
          <w:sz w:val="24"/>
          <w:szCs w:val="24"/>
        </w:rPr>
        <w:t>别或对本项目存在的共</w:t>
      </w:r>
      <w:r>
        <w:rPr>
          <w:rFonts w:hint="eastAsia" w:ascii="黑体" w:hAnsi="黑体" w:eastAsia="黑体" w:cs="黑体"/>
          <w:b/>
          <w:bCs/>
          <w:color w:val="auto"/>
          <w:spacing w:val="-3"/>
          <w:sz w:val="24"/>
          <w:szCs w:val="24"/>
        </w:rPr>
        <w:t>性问题共同进行磋商，并给予所有参加磋商的供应商平等的磋商机会，磋</w:t>
      </w:r>
      <w:r>
        <w:rPr>
          <w:rFonts w:hint="eastAsia" w:ascii="黑体" w:hAnsi="黑体" w:eastAsia="黑体" w:cs="黑体"/>
          <w:b/>
          <w:bCs/>
          <w:color w:val="auto"/>
          <w:spacing w:val="-4"/>
          <w:sz w:val="24"/>
          <w:szCs w:val="24"/>
        </w:rPr>
        <w:t>商小组要求所有</w:t>
      </w:r>
      <w:r>
        <w:rPr>
          <w:rFonts w:hint="eastAsia" w:ascii="黑体" w:hAnsi="黑体" w:eastAsia="黑体" w:cs="黑体"/>
          <w:b/>
          <w:bCs/>
          <w:color w:val="auto"/>
          <w:spacing w:val="-3"/>
          <w:sz w:val="24"/>
          <w:szCs w:val="24"/>
        </w:rPr>
        <w:t>实质性响应的供应商在规定时间内提交最后报价，最后报价是供应商响应</w:t>
      </w:r>
      <w:r>
        <w:rPr>
          <w:rFonts w:hint="eastAsia" w:ascii="黑体" w:hAnsi="黑体" w:eastAsia="黑体" w:cs="黑体"/>
          <w:b/>
          <w:bCs/>
          <w:color w:val="auto"/>
          <w:spacing w:val="-4"/>
          <w:sz w:val="24"/>
          <w:szCs w:val="24"/>
        </w:rPr>
        <w:t>文件的有效组成</w:t>
      </w:r>
      <w:r>
        <w:rPr>
          <w:rFonts w:hint="eastAsia" w:ascii="黑体" w:hAnsi="黑体" w:eastAsia="黑体" w:cs="黑体"/>
          <w:b/>
          <w:bCs/>
          <w:color w:val="auto"/>
          <w:spacing w:val="-5"/>
          <w:sz w:val="24"/>
          <w:szCs w:val="24"/>
        </w:rPr>
        <w:t>部分，经磋商确定最终采购需求和提交最后报价的供应商后，由磋商小</w:t>
      </w:r>
      <w:r>
        <w:rPr>
          <w:rFonts w:hint="eastAsia" w:ascii="黑体" w:hAnsi="黑体" w:eastAsia="黑体" w:cs="黑体"/>
          <w:b/>
          <w:bCs/>
          <w:color w:val="auto"/>
          <w:spacing w:val="-6"/>
          <w:sz w:val="24"/>
          <w:szCs w:val="24"/>
        </w:rPr>
        <w:t>组采用综合评分法</w:t>
      </w:r>
      <w:r>
        <w:rPr>
          <w:rFonts w:hint="eastAsia" w:ascii="黑体" w:hAnsi="黑体" w:eastAsia="黑体" w:cs="黑体"/>
          <w:b/>
          <w:bCs/>
          <w:color w:val="auto"/>
          <w:spacing w:val="-3"/>
          <w:sz w:val="24"/>
          <w:szCs w:val="24"/>
        </w:rPr>
        <w:t>对提交最后报价的供应商的响应文件和最后报价进行综合评分。磋商小组</w:t>
      </w:r>
      <w:r>
        <w:rPr>
          <w:rFonts w:hint="eastAsia" w:ascii="黑体" w:hAnsi="黑体" w:eastAsia="黑体" w:cs="黑体"/>
          <w:b/>
          <w:bCs/>
          <w:color w:val="auto"/>
          <w:spacing w:val="-4"/>
          <w:sz w:val="24"/>
          <w:szCs w:val="24"/>
        </w:rPr>
        <w:t>应当从服务质量</w:t>
      </w:r>
      <w:r>
        <w:rPr>
          <w:rFonts w:hint="eastAsia" w:ascii="黑体" w:hAnsi="黑体" w:eastAsia="黑体" w:cs="黑体"/>
          <w:b/>
          <w:bCs/>
          <w:color w:val="auto"/>
          <w:spacing w:val="-3"/>
          <w:sz w:val="24"/>
          <w:szCs w:val="24"/>
        </w:rPr>
        <w:t>和合同履约能力均能满足采购文件实质性响应要求的供应商中，按照综合</w:t>
      </w:r>
      <w:r>
        <w:rPr>
          <w:rFonts w:hint="eastAsia" w:ascii="黑体" w:hAnsi="黑体" w:eastAsia="黑体" w:cs="黑体"/>
          <w:b/>
          <w:bCs/>
          <w:color w:val="auto"/>
          <w:spacing w:val="-4"/>
          <w:sz w:val="24"/>
          <w:szCs w:val="24"/>
        </w:rPr>
        <w:t>评分由高到低的</w:t>
      </w:r>
      <w:r>
        <w:rPr>
          <w:rFonts w:hint="eastAsia" w:ascii="黑体" w:hAnsi="黑体" w:eastAsia="黑体" w:cs="黑体"/>
          <w:b/>
          <w:bCs/>
          <w:color w:val="auto"/>
          <w:spacing w:val="-3"/>
          <w:sz w:val="24"/>
          <w:szCs w:val="24"/>
        </w:rPr>
        <w:t>顺序推荐前三名为成交候选人，并编写评审报告，将结果通知所有参加磋商的未成交的供</w:t>
      </w:r>
      <w:r>
        <w:rPr>
          <w:rFonts w:hint="eastAsia" w:ascii="黑体" w:hAnsi="黑体" w:eastAsia="黑体" w:cs="黑体"/>
          <w:b/>
          <w:bCs/>
          <w:color w:val="auto"/>
          <w:spacing w:val="-11"/>
          <w:sz w:val="24"/>
          <w:szCs w:val="24"/>
        </w:rPr>
        <w:t>应商；</w:t>
      </w:r>
    </w:p>
    <w:p w14:paraId="64E40799">
      <w:pPr>
        <w:pStyle w:val="7"/>
        <w:keepNext w:val="0"/>
        <w:keepLines w:val="0"/>
        <w:pageBreakBefore w:val="0"/>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color w:val="auto"/>
          <w:sz w:val="24"/>
          <w:szCs w:val="24"/>
        </w:rPr>
      </w:pPr>
      <w:r>
        <w:rPr>
          <w:rFonts w:hint="eastAsia" w:ascii="黑体" w:hAnsi="黑体" w:eastAsia="黑体" w:cs="黑体"/>
          <w:b/>
          <w:bCs/>
          <w:color w:val="auto"/>
          <w:spacing w:val="-12"/>
          <w:sz w:val="24"/>
          <w:szCs w:val="24"/>
        </w:rPr>
        <w:t>12.磋商保证金</w:t>
      </w:r>
    </w:p>
    <w:p w14:paraId="378503D6">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12.1供应商应提交供应商须知资料表中规定的磋商保证金，并作为其投标的一部分。</w:t>
      </w:r>
    </w:p>
    <w:p w14:paraId="097D5589">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12.2供应商存在下列情形的，磋商保证金不予退还：</w:t>
      </w:r>
    </w:p>
    <w:p w14:paraId="5C32900A">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（1）在投标有效期内，撤销投标的；</w:t>
      </w:r>
    </w:p>
    <w:p w14:paraId="10887F03">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（2）成交后不按本须知第30条的规定与采购人签订合同的；</w:t>
      </w:r>
    </w:p>
    <w:p w14:paraId="571ABBBF">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（3）成交后不按本须知第31条的规定提交履约保证金的；</w:t>
      </w:r>
    </w:p>
    <w:p w14:paraId="366F1F93">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（4）成交后不按本须知第32条的规定缴纳成交服务费的；</w:t>
      </w:r>
    </w:p>
    <w:p w14:paraId="475D77FB">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（5）存在其他违法违规行为的。</w:t>
      </w:r>
    </w:p>
    <w:p w14:paraId="2CAF5218">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12.3政府采购信用担保试点范围内的项目，接受符合财政部门规定的政府采购投标担保函</w:t>
      </w:r>
      <w:r>
        <w:rPr>
          <w:rFonts w:hint="eastAsia" w:ascii="黑体" w:hAnsi="黑体" w:eastAsia="黑体" w:cs="黑体"/>
          <w:color w:val="auto"/>
          <w:spacing w:val="-1"/>
          <w:position w:val="18"/>
          <w:sz w:val="24"/>
          <w:szCs w:val="24"/>
          <w:lang w:eastAsia="zh-CN"/>
        </w:rPr>
        <w:t>扫描</w:t>
      </w:r>
      <w:r>
        <w:rPr>
          <w:rFonts w:hint="eastAsia" w:ascii="黑体" w:hAnsi="黑体" w:eastAsia="黑体" w:cs="黑体"/>
          <w:color w:val="auto"/>
          <w:spacing w:val="-1"/>
          <w:position w:val="18"/>
          <w:sz w:val="24"/>
          <w:szCs w:val="24"/>
        </w:rPr>
        <w:t>件。</w:t>
      </w:r>
    </w:p>
    <w:p w14:paraId="7E1162D6">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12.4供应商未按本须知第12.1和12.3条规定提交磋商保证金的，其投标将被认定为投标无效。</w:t>
      </w:r>
    </w:p>
    <w:p w14:paraId="1DEC27F1">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12.4.1采用电汇形式的，一般可以实时入账。</w:t>
      </w:r>
    </w:p>
    <w:p w14:paraId="0D85CE7F">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12.4.2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7D276D9D">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12.5联合体投标的，可以由联合体中的一方或者共同提交磋商保证金。以一方名义提交磋商保证金的，对联合体各方均具有约束力。</w:t>
      </w:r>
    </w:p>
    <w:p w14:paraId="000B12AA">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1</w:t>
      </w:r>
      <w:r>
        <w:rPr>
          <w:rFonts w:hint="eastAsia" w:ascii="黑体" w:hAnsi="黑体" w:eastAsia="黑体" w:cs="黑体"/>
          <w:color w:val="auto"/>
          <w:spacing w:val="-2"/>
          <w:sz w:val="24"/>
          <w:szCs w:val="24"/>
        </w:rPr>
        <w:t>2.6磋商保证金的退还</w:t>
      </w:r>
    </w:p>
    <w:p w14:paraId="3E6FD567">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12.6.1成交人应在与采购人签订合同之日起5个工作日内，及时联系保证金收受机构办理磋商保证金无息退还手续。</w:t>
      </w:r>
    </w:p>
    <w:p w14:paraId="7C5AFDFB">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12.6.2未成交供应商的磋商保证金将在成交通知书发出之日暨成交结果公告公布之日起5个工作日内无息退还。供应商应及时联系保证金收受机构办理退还磋商保证金手续。</w:t>
      </w:r>
    </w:p>
    <w:p w14:paraId="76D59D9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12.6.3政府采购投标担保函不予退回。</w:t>
      </w:r>
    </w:p>
    <w:p w14:paraId="4D599B23">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5" w:firstLineChars="176"/>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12.7因供应商自身原因导致无法及时退还的，采购人或采购代理机构将不承担相应责任。</w:t>
      </w:r>
    </w:p>
    <w:p w14:paraId="4BEF801A">
      <w:pPr>
        <w:pStyle w:val="7"/>
        <w:keepNext w:val="0"/>
        <w:keepLines w:val="0"/>
        <w:pageBreakBefore w:val="0"/>
        <w:numPr>
          <w:ilvl w:val="0"/>
          <w:numId w:val="3"/>
        </w:numPr>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b/>
          <w:bCs/>
          <w:color w:val="auto"/>
          <w:spacing w:val="-9"/>
          <w:sz w:val="24"/>
          <w:szCs w:val="24"/>
        </w:rPr>
      </w:pPr>
      <w:r>
        <w:rPr>
          <w:rFonts w:hint="eastAsia" w:ascii="黑体" w:hAnsi="黑体" w:eastAsia="黑体" w:cs="黑体"/>
          <w:b/>
          <w:bCs/>
          <w:color w:val="auto"/>
          <w:spacing w:val="-9"/>
          <w:sz w:val="24"/>
          <w:szCs w:val="24"/>
        </w:rPr>
        <w:t>投标有效期</w:t>
      </w:r>
    </w:p>
    <w:p w14:paraId="2CA41614">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13.1投标应在供应商须知资料表中规定时间内保持有效。投标有效期不满足要求的投标，其投标将被认定为投标无效。</w:t>
      </w:r>
    </w:p>
    <w:p w14:paraId="440C8C25">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13.2为保证有充分时间签订合同，采购人或采购代理机构可根据实际情况，在原投标有效期截止之前，要求供应商延长响应文件的有效期。接受该要求的供应商将不会被要求和允许修正其投标，且本须知中有关磋商保证金的要求须在延长的有效期内继续有效。供应商可以拒绝延长投标有效期的要求，其磋商保证金将及时无息退还。上述要求和答复都应以书面形式提交。</w:t>
      </w:r>
    </w:p>
    <w:p w14:paraId="24C84B63">
      <w:pPr>
        <w:pStyle w:val="7"/>
        <w:keepNext w:val="0"/>
        <w:keepLines w:val="0"/>
        <w:pageBreakBefore w:val="0"/>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color w:val="auto"/>
          <w:sz w:val="24"/>
          <w:szCs w:val="24"/>
        </w:rPr>
      </w:pPr>
      <w:r>
        <w:rPr>
          <w:rFonts w:hint="eastAsia" w:ascii="黑体" w:hAnsi="黑体" w:eastAsia="黑体" w:cs="黑体"/>
          <w:b/>
          <w:bCs/>
          <w:color w:val="auto"/>
          <w:spacing w:val="-5"/>
          <w:sz w:val="24"/>
          <w:szCs w:val="24"/>
        </w:rPr>
        <w:t>14.响应文件的签署及规定（电子投标以政</w:t>
      </w:r>
      <w:r>
        <w:rPr>
          <w:rFonts w:hint="eastAsia" w:ascii="黑体" w:hAnsi="黑体" w:eastAsia="黑体" w:cs="黑体"/>
          <w:b/>
          <w:bCs/>
          <w:color w:val="auto"/>
          <w:spacing w:val="-6"/>
          <w:sz w:val="24"/>
          <w:szCs w:val="24"/>
        </w:rPr>
        <w:t>采云系统生成格式为准）</w:t>
      </w:r>
    </w:p>
    <w:p w14:paraId="37C0BE7D">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9" w:firstLineChars="184"/>
        <w:textAlignment w:val="baseline"/>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14.1供应商应按</w:t>
      </w:r>
      <w:r>
        <w:rPr>
          <w:rFonts w:hint="eastAsia" w:ascii="黑体" w:hAnsi="黑体" w:eastAsia="黑体" w:cs="黑体"/>
          <w:color w:val="auto"/>
          <w:spacing w:val="-6"/>
          <w:sz w:val="24"/>
          <w:szCs w:val="24"/>
          <w:u w:val="single" w:color="auto"/>
        </w:rPr>
        <w:t>供应商须知资料表</w:t>
      </w:r>
      <w:r>
        <w:rPr>
          <w:rFonts w:hint="eastAsia" w:ascii="黑体" w:hAnsi="黑体" w:eastAsia="黑体" w:cs="黑体"/>
          <w:color w:val="auto"/>
          <w:spacing w:val="-6"/>
          <w:sz w:val="24"/>
          <w:szCs w:val="24"/>
        </w:rPr>
        <w:t>中的规定，准备和递交（加密上传）电子响应文件。</w:t>
      </w:r>
    </w:p>
    <w:p w14:paraId="665B35CD">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48" w:firstLineChars="184"/>
        <w:textAlignment w:val="baseline"/>
        <w:rPr>
          <w:rFonts w:hint="eastAsia" w:ascii="黑体" w:hAnsi="黑体" w:eastAsia="黑体" w:cs="黑体"/>
          <w:color w:val="auto"/>
          <w:spacing w:val="2"/>
          <w:sz w:val="24"/>
          <w:szCs w:val="24"/>
          <w:lang w:eastAsia="zh-CN"/>
        </w:rPr>
      </w:pPr>
      <w:r>
        <w:rPr>
          <w:rFonts w:hint="eastAsia" w:ascii="黑体" w:hAnsi="黑体" w:eastAsia="黑体" w:cs="黑体"/>
          <w:color w:val="auto"/>
          <w:spacing w:val="2"/>
          <w:sz w:val="24"/>
          <w:szCs w:val="24"/>
        </w:rPr>
        <w:t>14.2所有响应文件应按照磋商文件规定的格式填写、签署和盖章</w:t>
      </w:r>
      <w:r>
        <w:rPr>
          <w:rFonts w:hint="eastAsia" w:ascii="黑体" w:hAnsi="黑体" w:eastAsia="黑体" w:cs="黑体"/>
          <w:color w:val="auto"/>
          <w:spacing w:val="2"/>
          <w:sz w:val="24"/>
          <w:szCs w:val="24"/>
          <w:lang w:eastAsia="zh-CN"/>
        </w:rPr>
        <w:t>。</w:t>
      </w:r>
    </w:p>
    <w:p w14:paraId="654EDCB0">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48" w:firstLineChars="184"/>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14.3响应文件因字迹潦草、表达不清或未按照磋商文件规定的格式填写、签署和盖章所引起的后果由供应商负责。</w:t>
      </w:r>
    </w:p>
    <w:p w14:paraId="532A1114">
      <w:pPr>
        <w:pStyle w:val="7"/>
        <w:keepNext w:val="0"/>
        <w:keepLines w:val="0"/>
        <w:pageBreakBefore w:val="0"/>
        <w:kinsoku w:val="0"/>
        <w:wordWrap w:val="0"/>
        <w:overflowPunct/>
        <w:topLinePunct w:val="0"/>
        <w:autoSpaceDE/>
        <w:autoSpaceDN/>
        <w:bidi w:val="0"/>
        <w:adjustRightInd w:val="0"/>
        <w:snapToGrid w:val="0"/>
        <w:spacing w:line="360" w:lineRule="auto"/>
        <w:ind w:left="0"/>
        <w:jc w:val="center"/>
        <w:textAlignment w:val="baseline"/>
        <w:rPr>
          <w:rFonts w:hint="eastAsia" w:ascii="黑体" w:hAnsi="黑体" w:eastAsia="黑体" w:cs="黑体"/>
          <w:color w:val="auto"/>
          <w:sz w:val="28"/>
          <w:szCs w:val="28"/>
        </w:rPr>
      </w:pPr>
      <w:r>
        <w:rPr>
          <w:rFonts w:hint="eastAsia" w:ascii="黑体" w:hAnsi="黑体" w:eastAsia="黑体" w:cs="黑体"/>
          <w:b/>
          <w:bCs/>
          <w:color w:val="auto"/>
          <w:spacing w:val="-22"/>
          <w:sz w:val="28"/>
          <w:szCs w:val="28"/>
        </w:rPr>
        <w:t>四响应文件的递交</w:t>
      </w:r>
    </w:p>
    <w:p w14:paraId="18F3B67B">
      <w:pPr>
        <w:pStyle w:val="7"/>
        <w:keepNext w:val="0"/>
        <w:keepLines w:val="0"/>
        <w:pageBreakBefore w:val="0"/>
        <w:numPr>
          <w:ilvl w:val="0"/>
          <w:numId w:val="4"/>
        </w:numPr>
        <w:kinsoku w:val="0"/>
        <w:wordWrap w:val="0"/>
        <w:overflowPunct/>
        <w:topLinePunct w:val="0"/>
        <w:autoSpaceDE/>
        <w:autoSpaceDN/>
        <w:bidi w:val="0"/>
        <w:adjustRightInd w:val="0"/>
        <w:snapToGrid w:val="0"/>
        <w:spacing w:before="78" w:line="360" w:lineRule="auto"/>
        <w:ind w:left="20"/>
        <w:textAlignment w:val="baseline"/>
        <w:rPr>
          <w:rFonts w:hint="eastAsia" w:ascii="黑体" w:hAnsi="黑体" w:eastAsia="黑体" w:cs="黑体"/>
          <w:b/>
          <w:bCs/>
          <w:color w:val="auto"/>
          <w:spacing w:val="-4"/>
          <w:sz w:val="24"/>
          <w:szCs w:val="24"/>
        </w:rPr>
      </w:pPr>
      <w:r>
        <w:rPr>
          <w:rFonts w:hint="eastAsia" w:ascii="黑体" w:hAnsi="黑体" w:eastAsia="黑体" w:cs="黑体"/>
          <w:color w:val="auto"/>
          <w:spacing w:val="-4"/>
          <w:sz w:val="24"/>
          <w:szCs w:val="24"/>
        </w:rPr>
        <w:t>响应文件的密封和标记</w:t>
      </w:r>
      <w:r>
        <w:rPr>
          <w:rFonts w:hint="eastAsia" w:ascii="黑体" w:hAnsi="黑体" w:eastAsia="黑体" w:cs="黑体"/>
          <w:b/>
          <w:bCs/>
          <w:color w:val="auto"/>
          <w:spacing w:val="-4"/>
          <w:sz w:val="24"/>
          <w:szCs w:val="24"/>
        </w:rPr>
        <w:t>（电子投标以政采云系统生成格式为准）</w:t>
      </w:r>
    </w:p>
    <w:p w14:paraId="1454D62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9" w:firstLineChars="181"/>
        <w:textAlignment w:val="baseline"/>
        <w:rPr>
          <w:rFonts w:hint="eastAsia" w:ascii="黑体" w:hAnsi="黑体" w:eastAsia="黑体" w:cs="黑体"/>
          <w:b/>
          <w:bCs/>
          <w:color w:val="auto"/>
          <w:spacing w:val="-7"/>
          <w:sz w:val="24"/>
          <w:szCs w:val="24"/>
          <w:u w:val="single" w:color="auto"/>
        </w:rPr>
      </w:pPr>
      <w:r>
        <w:rPr>
          <w:rFonts w:hint="eastAsia" w:ascii="黑体" w:hAnsi="黑体" w:eastAsia="黑体" w:cs="黑体"/>
          <w:color w:val="auto"/>
          <w:spacing w:val="-4"/>
          <w:sz w:val="24"/>
          <w:szCs w:val="24"/>
        </w:rPr>
        <w:t>15.1</w:t>
      </w:r>
      <w:r>
        <w:rPr>
          <w:rFonts w:hint="eastAsia" w:ascii="黑体" w:hAnsi="黑体" w:eastAsia="黑体" w:cs="黑体"/>
          <w:b/>
          <w:bCs/>
          <w:color w:val="auto"/>
          <w:spacing w:val="-4"/>
          <w:sz w:val="24"/>
          <w:szCs w:val="24"/>
          <w:u w:val="single" w:color="auto"/>
        </w:rPr>
        <w:t>为方便评审及进行资格审查，供应商应完整地按磋商文件提供的响应文</w:t>
      </w:r>
      <w:r>
        <w:rPr>
          <w:rFonts w:hint="eastAsia" w:ascii="黑体" w:hAnsi="黑体" w:eastAsia="黑体" w:cs="黑体"/>
          <w:b/>
          <w:bCs/>
          <w:color w:val="auto"/>
          <w:spacing w:val="-5"/>
          <w:sz w:val="24"/>
          <w:szCs w:val="24"/>
          <w:u w:val="single" w:color="auto"/>
        </w:rPr>
        <w:t>件格式及</w:t>
      </w:r>
      <w:r>
        <w:rPr>
          <w:rFonts w:hint="eastAsia" w:ascii="黑体" w:hAnsi="黑体" w:eastAsia="黑体" w:cs="黑体"/>
          <w:b/>
          <w:bCs/>
          <w:color w:val="auto"/>
          <w:spacing w:val="-2"/>
          <w:sz w:val="24"/>
          <w:szCs w:val="24"/>
          <w:u w:val="single" w:color="auto"/>
        </w:rPr>
        <w:t>要求编写响应文件，供应商须在投标截止时间前完成在系统上递交电子响应文件。供应商</w:t>
      </w:r>
      <w:r>
        <w:rPr>
          <w:rFonts w:hint="eastAsia" w:ascii="黑体" w:hAnsi="黑体" w:eastAsia="黑体" w:cs="黑体"/>
          <w:b/>
          <w:bCs/>
          <w:color w:val="auto"/>
          <w:spacing w:val="-6"/>
          <w:sz w:val="24"/>
          <w:szCs w:val="24"/>
          <w:u w:val="single" w:color="auto"/>
        </w:rPr>
        <w:t>的电子响应文件是经过CA证书加密后上传提交的，任何单位或个人均无法在投标截止时间</w:t>
      </w:r>
      <w:r>
        <w:rPr>
          <w:rFonts w:hint="eastAsia" w:ascii="黑体" w:hAnsi="黑体" w:eastAsia="黑体" w:cs="黑体"/>
          <w:b/>
          <w:bCs/>
          <w:color w:val="auto"/>
          <w:spacing w:val="-3"/>
          <w:sz w:val="24"/>
          <w:szCs w:val="24"/>
          <w:u w:val="single" w:color="auto"/>
        </w:rPr>
        <w:t>(即开标时间)之前查看或篡改，不存在泄密风险。（严格按照政采云电子投标</w:t>
      </w:r>
      <w:r>
        <w:rPr>
          <w:rFonts w:hint="eastAsia" w:ascii="黑体" w:hAnsi="黑体" w:eastAsia="黑体" w:cs="黑体"/>
          <w:b/>
          <w:bCs/>
          <w:color w:val="auto"/>
          <w:spacing w:val="-4"/>
          <w:sz w:val="24"/>
          <w:szCs w:val="24"/>
          <w:u w:val="single" w:color="auto"/>
        </w:rPr>
        <w:t>流程制作并</w:t>
      </w:r>
      <w:r>
        <w:rPr>
          <w:rFonts w:hint="eastAsia" w:ascii="黑体" w:hAnsi="黑体" w:eastAsia="黑体" w:cs="黑体"/>
          <w:b/>
          <w:bCs/>
          <w:color w:val="auto"/>
          <w:spacing w:val="-7"/>
          <w:sz w:val="24"/>
          <w:szCs w:val="24"/>
          <w:u w:val="single" w:color="auto"/>
        </w:rPr>
        <w:t>上传电子响应文件）</w:t>
      </w:r>
    </w:p>
    <w:p w14:paraId="26F181E0">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b/>
          <w:bCs/>
          <w:color w:val="auto"/>
          <w:spacing w:val="-10"/>
          <w:sz w:val="24"/>
          <w:szCs w:val="24"/>
          <w:u w:val="none" w:color="auto"/>
        </w:rPr>
      </w:pPr>
      <w:r>
        <w:rPr>
          <w:rFonts w:hint="eastAsia" w:ascii="黑体" w:hAnsi="黑体" w:eastAsia="黑体" w:cs="黑体"/>
          <w:b/>
          <w:bCs/>
          <w:color w:val="auto"/>
          <w:spacing w:val="-7"/>
          <w:sz w:val="24"/>
          <w:szCs w:val="24"/>
          <w:u w:val="none" w:color="auto"/>
          <w:lang w:val="en-US" w:eastAsia="zh-CN"/>
        </w:rPr>
        <w:t>16.</w:t>
      </w:r>
      <w:r>
        <w:rPr>
          <w:rFonts w:hint="eastAsia" w:ascii="黑体" w:hAnsi="黑体" w:eastAsia="黑体" w:cs="黑体"/>
          <w:b/>
          <w:bCs/>
          <w:color w:val="auto"/>
          <w:spacing w:val="-10"/>
          <w:sz w:val="24"/>
          <w:szCs w:val="24"/>
          <w:u w:val="none" w:color="auto"/>
        </w:rPr>
        <w:t>投标截止</w:t>
      </w:r>
    </w:p>
    <w:p w14:paraId="07181972">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7" w:firstLineChars="177"/>
        <w:textAlignment w:val="baseline"/>
        <w:outlineLvl w:val="6"/>
        <w:rPr>
          <w:rFonts w:hint="eastAsia" w:ascii="黑体" w:hAnsi="黑体" w:eastAsia="黑体" w:cs="黑体"/>
          <w:color w:val="auto"/>
          <w:spacing w:val="-3"/>
          <w:sz w:val="24"/>
          <w:szCs w:val="24"/>
        </w:rPr>
      </w:pPr>
      <w:r>
        <w:rPr>
          <w:rFonts w:hint="eastAsia" w:ascii="黑体" w:hAnsi="黑体" w:eastAsia="黑体" w:cs="黑体"/>
          <w:color w:val="auto"/>
          <w:spacing w:val="-2"/>
          <w:sz w:val="24"/>
          <w:szCs w:val="24"/>
        </w:rPr>
        <w:t>16.1供应商应在磋商文件中规定的截止时间前，将电子响应文件上传到政</w:t>
      </w:r>
      <w:r>
        <w:rPr>
          <w:rFonts w:hint="eastAsia" w:ascii="黑体" w:hAnsi="黑体" w:eastAsia="黑体" w:cs="黑体"/>
          <w:color w:val="auto"/>
          <w:spacing w:val="-3"/>
          <w:sz w:val="24"/>
          <w:szCs w:val="24"/>
        </w:rPr>
        <w:t>采云平台。</w:t>
      </w:r>
    </w:p>
    <w:p w14:paraId="18EA1E71">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7" w:firstLineChars="177"/>
        <w:textAlignment w:val="baseline"/>
        <w:outlineLvl w:val="6"/>
        <w:rPr>
          <w:rFonts w:hint="eastAsia" w:ascii="黑体" w:hAnsi="黑体" w:eastAsia="黑体" w:cs="黑体"/>
          <w:color w:val="auto"/>
          <w:spacing w:val="-6"/>
          <w:sz w:val="24"/>
          <w:szCs w:val="24"/>
        </w:rPr>
      </w:pPr>
      <w:r>
        <w:rPr>
          <w:rFonts w:hint="eastAsia" w:ascii="黑体" w:hAnsi="黑体" w:eastAsia="黑体" w:cs="黑体"/>
          <w:color w:val="auto"/>
          <w:spacing w:val="-2"/>
          <w:sz w:val="24"/>
          <w:szCs w:val="24"/>
        </w:rPr>
        <w:t>16.2采购人和采购代理机构有权按本须知的规定，延迟投标截止时间。在此情况下，</w:t>
      </w:r>
      <w:r>
        <w:rPr>
          <w:rFonts w:hint="eastAsia" w:ascii="黑体" w:hAnsi="黑体" w:eastAsia="黑体" w:cs="黑体"/>
          <w:color w:val="auto"/>
          <w:spacing w:val="1"/>
          <w:sz w:val="24"/>
          <w:szCs w:val="24"/>
        </w:rPr>
        <w:t>采购人、采购代理机构和供应商受投标截止时间制约的所有权利和义务均应延长至新的截</w:t>
      </w:r>
      <w:r>
        <w:rPr>
          <w:rFonts w:hint="eastAsia" w:ascii="黑体" w:hAnsi="黑体" w:eastAsia="黑体" w:cs="黑体"/>
          <w:color w:val="auto"/>
          <w:spacing w:val="-6"/>
          <w:sz w:val="24"/>
          <w:szCs w:val="24"/>
        </w:rPr>
        <w:t>止时间。</w:t>
      </w:r>
    </w:p>
    <w:p w14:paraId="0C15AF88">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textAlignment w:val="baseline"/>
        <w:outlineLvl w:val="6"/>
        <w:rPr>
          <w:rFonts w:hint="eastAsia" w:ascii="黑体" w:hAnsi="黑体" w:eastAsia="黑体" w:cs="黑体"/>
          <w:color w:val="auto"/>
          <w:sz w:val="24"/>
          <w:szCs w:val="24"/>
        </w:rPr>
      </w:pPr>
      <w:r>
        <w:rPr>
          <w:rFonts w:hint="eastAsia" w:ascii="黑体" w:hAnsi="黑体" w:eastAsia="黑体" w:cs="黑体"/>
          <w:b/>
          <w:bCs/>
          <w:color w:val="auto"/>
          <w:spacing w:val="-6"/>
          <w:sz w:val="24"/>
          <w:szCs w:val="24"/>
        </w:rPr>
        <w:t>17.响应文件的接收、修改、撤回与解密</w:t>
      </w:r>
    </w:p>
    <w:p w14:paraId="38F54DF3">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8" w:firstLineChars="176"/>
        <w:jc w:val="both"/>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1"/>
          <w:sz w:val="24"/>
          <w:szCs w:val="24"/>
        </w:rPr>
        <w:t>17.1在响应文件提交截止时间前，供应商须将电</w:t>
      </w:r>
      <w:r>
        <w:rPr>
          <w:rFonts w:hint="eastAsia" w:ascii="黑体" w:hAnsi="黑体" w:eastAsia="黑体" w:cs="黑体"/>
          <w:color w:val="auto"/>
          <w:spacing w:val="-2"/>
          <w:sz w:val="24"/>
          <w:szCs w:val="24"/>
        </w:rPr>
        <w:t>子响应文件成功完整上传到政采云平</w:t>
      </w:r>
      <w:r>
        <w:rPr>
          <w:rFonts w:hint="eastAsia" w:ascii="黑体" w:hAnsi="黑体" w:eastAsia="黑体" w:cs="黑体"/>
          <w:color w:val="auto"/>
          <w:spacing w:val="1"/>
          <w:sz w:val="24"/>
          <w:szCs w:val="24"/>
        </w:rPr>
        <w:t>台项目采购系统。时间以政采云平台项目采购系统服务器从中国</w:t>
      </w:r>
      <w:r>
        <w:rPr>
          <w:rFonts w:hint="eastAsia" w:ascii="黑体" w:hAnsi="黑体" w:eastAsia="黑体" w:cs="黑体"/>
          <w:color w:val="auto"/>
          <w:sz w:val="24"/>
          <w:szCs w:val="24"/>
        </w:rPr>
        <w:t>科学院国家授时中心取得</w:t>
      </w:r>
      <w:r>
        <w:rPr>
          <w:rFonts w:hint="eastAsia" w:ascii="黑体" w:hAnsi="黑体" w:eastAsia="黑体" w:cs="黑体"/>
          <w:color w:val="auto"/>
          <w:spacing w:val="-2"/>
          <w:sz w:val="24"/>
          <w:szCs w:val="24"/>
        </w:rPr>
        <w:t>的北京时间为准，投标截止时间结束后，系统将不允许供应</w:t>
      </w:r>
      <w:r>
        <w:rPr>
          <w:rFonts w:hint="eastAsia" w:ascii="黑体" w:hAnsi="黑体" w:eastAsia="黑体" w:cs="黑体"/>
          <w:color w:val="auto"/>
          <w:spacing w:val="-3"/>
          <w:sz w:val="24"/>
          <w:szCs w:val="24"/>
        </w:rPr>
        <w:t>商上传响应文件，已上传响应</w:t>
      </w:r>
      <w:r>
        <w:rPr>
          <w:rFonts w:hint="eastAsia" w:ascii="黑体" w:hAnsi="黑体" w:eastAsia="黑体" w:cs="黑体"/>
          <w:color w:val="auto"/>
          <w:spacing w:val="-2"/>
          <w:sz w:val="24"/>
          <w:szCs w:val="24"/>
        </w:rPr>
        <w:t>文件但未完成传输的文件系统将拒绝接收。</w:t>
      </w:r>
    </w:p>
    <w:p w14:paraId="4EC88282">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1" w:firstLineChars="176"/>
        <w:jc w:val="both"/>
        <w:textAlignment w:val="baseline"/>
        <w:rPr>
          <w:rFonts w:hint="eastAsia" w:ascii="黑体" w:hAnsi="黑体" w:eastAsia="黑体" w:cs="黑体"/>
          <w:color w:val="auto"/>
          <w:sz w:val="24"/>
          <w:szCs w:val="24"/>
        </w:rPr>
      </w:pPr>
      <w:r>
        <w:rPr>
          <w:rFonts w:hint="eastAsia" w:ascii="黑体" w:hAnsi="黑体" w:eastAsia="黑体" w:cs="黑体"/>
          <w:color w:val="auto"/>
          <w:spacing w:val="-3"/>
          <w:sz w:val="24"/>
          <w:szCs w:val="24"/>
        </w:rPr>
        <w:t>17.2代理机构对因不可抗力事件造成的响应文件的损坏、丢失的，不承担责任。</w:t>
      </w:r>
    </w:p>
    <w:p w14:paraId="10566704">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394" w:firstLineChars="176"/>
        <w:textAlignment w:val="baseline"/>
        <w:rPr>
          <w:rFonts w:hint="eastAsia" w:ascii="黑体" w:hAnsi="黑体" w:eastAsia="黑体" w:cs="黑体"/>
          <w:color w:val="auto"/>
          <w:spacing w:val="-8"/>
          <w:sz w:val="24"/>
          <w:szCs w:val="24"/>
        </w:rPr>
      </w:pPr>
      <w:r>
        <w:rPr>
          <w:rFonts w:hint="eastAsia" w:ascii="黑体" w:hAnsi="黑体" w:eastAsia="黑体" w:cs="黑体"/>
          <w:color w:val="auto"/>
          <w:spacing w:val="-8"/>
          <w:sz w:val="24"/>
          <w:szCs w:val="24"/>
        </w:rPr>
        <w:t>17.3出现下述情形之一，属于未成功提交响应文件，按无效投标处理：</w:t>
      </w:r>
    </w:p>
    <w:p w14:paraId="7BA1432A">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394" w:firstLineChars="176"/>
        <w:textAlignment w:val="baseline"/>
        <w:rPr>
          <w:rFonts w:hint="eastAsia" w:ascii="黑体" w:hAnsi="黑体" w:eastAsia="黑体" w:cs="黑体"/>
          <w:color w:val="auto"/>
          <w:spacing w:val="-8"/>
          <w:sz w:val="24"/>
          <w:szCs w:val="24"/>
        </w:rPr>
      </w:pPr>
      <w:r>
        <w:rPr>
          <w:rFonts w:hint="eastAsia" w:ascii="黑体" w:hAnsi="黑体" w:eastAsia="黑体" w:cs="黑体"/>
          <w:color w:val="auto"/>
          <w:spacing w:val="-8"/>
          <w:sz w:val="24"/>
          <w:szCs w:val="24"/>
        </w:rPr>
        <w:t>（1）至提交响应文件截止时间，响应文件未完整上传的。</w:t>
      </w:r>
    </w:p>
    <w:p w14:paraId="310A706E">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rightChars="0" w:firstLine="394" w:firstLineChars="176"/>
        <w:textAlignment w:val="baseline"/>
        <w:rPr>
          <w:rFonts w:hint="eastAsia" w:ascii="黑体" w:hAnsi="黑体" w:eastAsia="黑体" w:cs="黑体"/>
          <w:color w:val="auto"/>
          <w:spacing w:val="-8"/>
          <w:sz w:val="24"/>
          <w:szCs w:val="24"/>
        </w:rPr>
      </w:pPr>
      <w:r>
        <w:rPr>
          <w:rFonts w:hint="eastAsia" w:ascii="黑体" w:hAnsi="黑体" w:eastAsia="黑体" w:cs="黑体"/>
          <w:color w:val="auto"/>
          <w:spacing w:val="-8"/>
          <w:sz w:val="24"/>
          <w:szCs w:val="24"/>
        </w:rPr>
        <w:t>（2）响应文件未按投标格式中注明需签字盖章的要求进行签名（含电子签名）和加盖电子印章，或签名（含电子签名）或电子印章不完整的。</w:t>
      </w:r>
    </w:p>
    <w:p w14:paraId="7C51AAB3">
      <w:pPr>
        <w:pStyle w:val="7"/>
        <w:keepNext w:val="0"/>
        <w:keepLines w:val="0"/>
        <w:pageBreakBefore w:val="0"/>
        <w:numPr>
          <w:ilvl w:val="0"/>
          <w:numId w:val="5"/>
        </w:numPr>
        <w:kinsoku w:val="0"/>
        <w:wordWrap w:val="0"/>
        <w:overflowPunct/>
        <w:topLinePunct w:val="0"/>
        <w:autoSpaceDE/>
        <w:autoSpaceDN/>
        <w:bidi w:val="0"/>
        <w:adjustRightInd w:val="0"/>
        <w:snapToGrid w:val="0"/>
        <w:spacing w:line="360" w:lineRule="auto"/>
        <w:ind w:left="0" w:leftChars="0" w:right="0" w:firstLine="394" w:firstLineChars="176"/>
        <w:textAlignment w:val="baseline"/>
        <w:rPr>
          <w:rFonts w:hint="eastAsia" w:ascii="黑体" w:hAnsi="黑体" w:eastAsia="黑体" w:cs="黑体"/>
          <w:color w:val="auto"/>
          <w:spacing w:val="-8"/>
          <w:sz w:val="24"/>
          <w:szCs w:val="24"/>
        </w:rPr>
      </w:pPr>
      <w:r>
        <w:rPr>
          <w:rFonts w:hint="eastAsia" w:ascii="黑体" w:hAnsi="黑体" w:eastAsia="黑体" w:cs="黑体"/>
          <w:color w:val="auto"/>
          <w:spacing w:val="-8"/>
          <w:sz w:val="24"/>
          <w:szCs w:val="24"/>
        </w:rPr>
        <w:t>响应文件损坏或格式不正确的。</w:t>
      </w:r>
    </w:p>
    <w:p w14:paraId="0D0AF341">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right="0" w:rightChars="0" w:firstLine="394" w:firstLineChars="176"/>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8"/>
          <w:sz w:val="24"/>
          <w:szCs w:val="24"/>
        </w:rPr>
        <w:t>17.4在提交响应文件截止时间前，供应商可以修改或撤回未</w:t>
      </w:r>
      <w:r>
        <w:rPr>
          <w:rFonts w:hint="eastAsia" w:ascii="黑体" w:hAnsi="黑体" w:eastAsia="黑体" w:cs="黑体"/>
          <w:color w:val="auto"/>
          <w:spacing w:val="-2"/>
          <w:sz w:val="24"/>
          <w:szCs w:val="24"/>
        </w:rPr>
        <w:t>解密的电子响应文件，并</w:t>
      </w:r>
      <w:r>
        <w:rPr>
          <w:rFonts w:hint="eastAsia" w:ascii="黑体" w:hAnsi="黑体" w:eastAsia="黑体" w:cs="黑体"/>
          <w:color w:val="auto"/>
          <w:sz w:val="24"/>
          <w:szCs w:val="24"/>
        </w:rPr>
        <w:t>于提交响应文件截止时间前将修改后重新生成的电子响应文件上传至政采云平台项目采购</w:t>
      </w:r>
      <w:r>
        <w:rPr>
          <w:rFonts w:hint="eastAsia" w:ascii="黑体" w:hAnsi="黑体" w:eastAsia="黑体" w:cs="黑体"/>
          <w:color w:val="auto"/>
          <w:spacing w:val="-2"/>
          <w:sz w:val="24"/>
          <w:szCs w:val="24"/>
        </w:rPr>
        <w:t>系统，到达响应文件提交截止时间后，将不允许修改或撤回。</w:t>
      </w:r>
    </w:p>
    <w:p w14:paraId="2699B9D2">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5" w:firstLineChars="176"/>
        <w:textAlignment w:val="baseline"/>
        <w:rPr>
          <w:rFonts w:hint="eastAsia" w:ascii="黑体" w:hAnsi="黑体" w:eastAsia="黑体" w:cs="黑体"/>
          <w:color w:val="auto"/>
          <w:spacing w:val="-3"/>
          <w:sz w:val="24"/>
          <w:szCs w:val="24"/>
        </w:rPr>
      </w:pPr>
      <w:r>
        <w:rPr>
          <w:rFonts w:hint="eastAsia" w:ascii="黑体" w:hAnsi="黑体" w:eastAsia="黑体" w:cs="黑体"/>
          <w:color w:val="auto"/>
          <w:spacing w:val="-2"/>
          <w:sz w:val="24"/>
          <w:szCs w:val="24"/>
        </w:rPr>
        <w:t>17.5在提交响应文件截止时间后，供应</w:t>
      </w:r>
      <w:r>
        <w:rPr>
          <w:rFonts w:hint="eastAsia" w:ascii="黑体" w:hAnsi="黑体" w:eastAsia="黑体" w:cs="黑体"/>
          <w:color w:val="auto"/>
          <w:spacing w:val="-3"/>
          <w:sz w:val="24"/>
          <w:szCs w:val="24"/>
        </w:rPr>
        <w:t>商不得补充、修改和更换响应文件。</w:t>
      </w:r>
    </w:p>
    <w:p w14:paraId="3029E9A9">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5" w:firstLineChars="176"/>
        <w:textAlignment w:val="baseline"/>
        <w:rPr>
          <w:rFonts w:hint="eastAsia" w:ascii="黑体" w:hAnsi="黑体" w:eastAsia="黑体" w:cs="黑体"/>
          <w:color w:val="auto"/>
          <w:sz w:val="21"/>
        </w:rPr>
      </w:pPr>
      <w:r>
        <w:rPr>
          <w:rFonts w:hint="eastAsia" w:ascii="黑体" w:hAnsi="黑体" w:eastAsia="黑体" w:cs="黑体"/>
          <w:color w:val="auto"/>
          <w:spacing w:val="-2"/>
          <w:sz w:val="24"/>
          <w:szCs w:val="24"/>
        </w:rPr>
        <w:t>17.6到达开标时间后，供应商需使用上传响应文件的同一数字证书解密，供应商须在</w:t>
      </w:r>
      <w:r>
        <w:rPr>
          <w:rFonts w:hint="eastAsia" w:ascii="黑体" w:hAnsi="黑体" w:eastAsia="黑体" w:cs="黑体"/>
          <w:color w:val="auto"/>
          <w:spacing w:val="1"/>
          <w:sz w:val="24"/>
          <w:szCs w:val="24"/>
        </w:rPr>
        <w:t>采购代理机构规定的时间内完成响应文件解</w:t>
      </w:r>
      <w:r>
        <w:rPr>
          <w:rFonts w:hint="eastAsia" w:ascii="黑体" w:hAnsi="黑体" w:eastAsia="黑体" w:cs="黑体"/>
          <w:color w:val="auto"/>
          <w:sz w:val="24"/>
          <w:szCs w:val="24"/>
        </w:rPr>
        <w:t>密，供应商因非系统原因导致的逾期未解密响</w:t>
      </w:r>
      <w:r>
        <w:rPr>
          <w:rFonts w:hint="eastAsia" w:ascii="黑体" w:hAnsi="黑体" w:eastAsia="黑体" w:cs="黑体"/>
          <w:color w:val="auto"/>
          <w:spacing w:val="-3"/>
          <w:sz w:val="24"/>
          <w:szCs w:val="24"/>
        </w:rPr>
        <w:t>应文件，将作无效投标处理。</w:t>
      </w:r>
    </w:p>
    <w:p w14:paraId="04EDBFE9">
      <w:pPr>
        <w:pStyle w:val="7"/>
        <w:keepNext w:val="0"/>
        <w:keepLines w:val="0"/>
        <w:pageBreakBefore w:val="0"/>
        <w:kinsoku w:val="0"/>
        <w:wordWrap w:val="0"/>
        <w:overflowPunct/>
        <w:topLinePunct w:val="0"/>
        <w:autoSpaceDE/>
        <w:autoSpaceDN/>
        <w:bidi w:val="0"/>
        <w:adjustRightInd w:val="0"/>
        <w:snapToGrid w:val="0"/>
        <w:spacing w:line="360" w:lineRule="auto"/>
        <w:ind w:left="0"/>
        <w:jc w:val="center"/>
        <w:textAlignment w:val="baseline"/>
        <w:rPr>
          <w:rFonts w:hint="eastAsia" w:ascii="黑体" w:hAnsi="黑体" w:eastAsia="黑体" w:cs="黑体"/>
          <w:color w:val="auto"/>
          <w:sz w:val="28"/>
          <w:szCs w:val="28"/>
        </w:rPr>
      </w:pPr>
      <w:r>
        <w:rPr>
          <w:rFonts w:hint="eastAsia" w:ascii="黑体" w:hAnsi="黑体" w:eastAsia="黑体" w:cs="黑体"/>
          <w:b/>
          <w:bCs/>
          <w:color w:val="auto"/>
          <w:spacing w:val="-15"/>
          <w:sz w:val="28"/>
          <w:szCs w:val="28"/>
        </w:rPr>
        <w:t>五磋商及评审</w:t>
      </w:r>
    </w:p>
    <w:p w14:paraId="5A35CEFF">
      <w:pPr>
        <w:pStyle w:val="7"/>
        <w:keepNext w:val="0"/>
        <w:keepLines w:val="0"/>
        <w:pageBreakBefore w:val="0"/>
        <w:numPr>
          <w:ilvl w:val="0"/>
          <w:numId w:val="6"/>
        </w:numPr>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b/>
          <w:bCs/>
          <w:color w:val="auto"/>
          <w:spacing w:val="-13"/>
          <w:sz w:val="24"/>
          <w:szCs w:val="24"/>
        </w:rPr>
      </w:pPr>
      <w:r>
        <w:rPr>
          <w:rFonts w:hint="eastAsia" w:ascii="黑体" w:hAnsi="黑体" w:eastAsia="黑体" w:cs="黑体"/>
          <w:b/>
          <w:bCs/>
          <w:color w:val="auto"/>
          <w:spacing w:val="-13"/>
          <w:sz w:val="24"/>
          <w:szCs w:val="24"/>
        </w:rPr>
        <w:t>开标</w:t>
      </w:r>
    </w:p>
    <w:p w14:paraId="63166E01">
      <w:pPr>
        <w:pStyle w:val="7"/>
        <w:keepNext w:val="0"/>
        <w:keepLines w:val="0"/>
        <w:pageBreakBefore w:val="0"/>
        <w:numPr>
          <w:ilvl w:val="0"/>
          <w:numId w:val="0"/>
        </w:numPr>
        <w:kinsoku w:val="0"/>
        <w:wordWrap w:val="0"/>
        <w:overflowPunct/>
        <w:topLinePunct w:val="0"/>
        <w:autoSpaceDE/>
        <w:autoSpaceDN/>
        <w:bidi w:val="0"/>
        <w:adjustRightInd w:val="0"/>
        <w:snapToGrid w:val="0"/>
        <w:spacing w:before="209" w:line="360" w:lineRule="auto"/>
        <w:ind w:left="0" w:leftChars="0" w:firstLine="417" w:firstLineChars="167"/>
        <w:textAlignment w:val="baseline"/>
        <w:outlineLvl w:val="6"/>
        <w:rPr>
          <w:rFonts w:hint="eastAsia" w:ascii="黑体" w:hAnsi="黑体" w:eastAsia="黑体" w:cs="黑体"/>
          <w:color w:val="auto"/>
          <w:sz w:val="24"/>
          <w:szCs w:val="24"/>
        </w:rPr>
      </w:pPr>
      <w:r>
        <w:rPr>
          <w:rFonts w:hint="eastAsia" w:ascii="黑体" w:hAnsi="黑体" w:eastAsia="黑体" w:cs="黑体"/>
          <w:color w:val="auto"/>
          <w:spacing w:val="5"/>
          <w:sz w:val="24"/>
          <w:szCs w:val="24"/>
        </w:rPr>
        <w:t>18.1采购人和采购代理机构将按</w:t>
      </w:r>
      <w:r>
        <w:rPr>
          <w:rFonts w:hint="eastAsia" w:ascii="黑体" w:hAnsi="黑体" w:eastAsia="黑体" w:cs="黑体"/>
          <w:color w:val="auto"/>
          <w:spacing w:val="5"/>
          <w:sz w:val="24"/>
          <w:szCs w:val="24"/>
          <w:u w:val="single" w:color="auto"/>
        </w:rPr>
        <w:t>供应商须知资料表</w:t>
      </w:r>
      <w:r>
        <w:rPr>
          <w:rFonts w:hint="eastAsia" w:ascii="黑体" w:hAnsi="黑体" w:eastAsia="黑体" w:cs="黑体"/>
          <w:color w:val="auto"/>
          <w:spacing w:val="5"/>
          <w:sz w:val="24"/>
          <w:szCs w:val="24"/>
        </w:rPr>
        <w:t>中规定的磋商时间和地点组织开</w:t>
      </w:r>
      <w:r>
        <w:rPr>
          <w:rFonts w:hint="eastAsia" w:ascii="黑体" w:hAnsi="黑体" w:eastAsia="黑体" w:cs="黑体"/>
          <w:color w:val="auto"/>
          <w:spacing w:val="-6"/>
          <w:sz w:val="24"/>
          <w:szCs w:val="24"/>
        </w:rPr>
        <w:t>标。供应商不足3家的，不得开标。</w:t>
      </w:r>
    </w:p>
    <w:p w14:paraId="7DA6EA02">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389" w:firstLineChars="167"/>
        <w:textAlignment w:val="baseline"/>
        <w:rPr>
          <w:rFonts w:hint="eastAsia" w:ascii="黑体" w:hAnsi="黑体" w:eastAsia="黑体" w:cs="黑体"/>
          <w:color w:val="auto"/>
          <w:sz w:val="24"/>
          <w:szCs w:val="24"/>
        </w:rPr>
      </w:pPr>
      <w:r>
        <w:rPr>
          <w:rFonts w:hint="eastAsia" w:ascii="黑体" w:hAnsi="黑体" w:eastAsia="黑体" w:cs="黑体"/>
          <w:b/>
          <w:bCs/>
          <w:color w:val="auto"/>
          <w:spacing w:val="-4"/>
          <w:sz w:val="24"/>
          <w:szCs w:val="24"/>
        </w:rPr>
        <w:t>18.2供应商应当按照本磋商文件载明的时间和模式等要求参加磋商。磋商时，供应商</w:t>
      </w:r>
      <w:r>
        <w:rPr>
          <w:rFonts w:hint="eastAsia" w:ascii="黑体" w:hAnsi="黑体" w:eastAsia="黑体" w:cs="黑体"/>
          <w:b/>
          <w:bCs/>
          <w:color w:val="auto"/>
          <w:spacing w:val="1"/>
          <w:sz w:val="24"/>
          <w:szCs w:val="24"/>
        </w:rPr>
        <w:t>应当使用上传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w:t>
      </w:r>
      <w:r>
        <w:rPr>
          <w:rFonts w:hint="eastAsia" w:ascii="黑体" w:hAnsi="黑体" w:eastAsia="黑体" w:cs="黑体"/>
          <w:b/>
          <w:bCs/>
          <w:color w:val="auto"/>
          <w:spacing w:val="2"/>
          <w:sz w:val="24"/>
          <w:szCs w:val="24"/>
        </w:rPr>
        <w:t>未解密响应文件，将作无效投标处理。（采</w:t>
      </w:r>
      <w:r>
        <w:rPr>
          <w:rFonts w:hint="eastAsia" w:ascii="黑体" w:hAnsi="黑体" w:eastAsia="黑体" w:cs="黑体"/>
          <w:b/>
          <w:bCs/>
          <w:color w:val="auto"/>
          <w:spacing w:val="1"/>
          <w:sz w:val="24"/>
          <w:szCs w:val="24"/>
        </w:rPr>
        <w:t>用不见面电子开标，各供应商在参加磋商会议以前须自行对使用电脑的网络环境、驱动安装、客户端安装以及数字证书的有效性等进行</w:t>
      </w:r>
      <w:r>
        <w:rPr>
          <w:rFonts w:hint="eastAsia" w:ascii="黑体" w:hAnsi="黑体" w:eastAsia="黑体" w:cs="黑体"/>
          <w:b/>
          <w:bCs/>
          <w:color w:val="auto"/>
          <w:spacing w:val="-4"/>
          <w:sz w:val="24"/>
          <w:szCs w:val="24"/>
        </w:rPr>
        <w:t>检测，确保可以正常使用）</w:t>
      </w:r>
      <w:r>
        <w:rPr>
          <w:rFonts w:hint="eastAsia" w:ascii="黑体" w:hAnsi="黑体" w:eastAsia="黑体" w:cs="黑体"/>
          <w:b/>
          <w:bCs/>
          <w:color w:val="auto"/>
          <w:spacing w:val="-4"/>
          <w:sz w:val="24"/>
          <w:szCs w:val="24"/>
          <w:lang w:eastAsia="zh-CN"/>
        </w:rPr>
        <w:t>。</w:t>
      </w:r>
    </w:p>
    <w:p w14:paraId="3B8FC2E8">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390" w:firstLineChars="167"/>
        <w:jc w:val="both"/>
        <w:textAlignment w:val="baseline"/>
        <w:rPr>
          <w:rFonts w:hint="eastAsia" w:ascii="黑体" w:hAnsi="黑体" w:eastAsia="黑体" w:cs="黑体"/>
          <w:color w:val="auto"/>
          <w:spacing w:val="-3"/>
          <w:position w:val="18"/>
          <w:sz w:val="24"/>
          <w:szCs w:val="24"/>
        </w:rPr>
      </w:pPr>
      <w:r>
        <w:rPr>
          <w:rFonts w:hint="eastAsia" w:ascii="黑体" w:hAnsi="黑体" w:eastAsia="黑体" w:cs="黑体"/>
          <w:color w:val="auto"/>
          <w:spacing w:val="-3"/>
          <w:position w:val="18"/>
          <w:sz w:val="24"/>
          <w:szCs w:val="24"/>
        </w:rPr>
        <w:t>18.3采购人或采购代理机构将对磋商过程进行记录，由参加磋商的相关工作人员签字确认，并存档备查。</w:t>
      </w:r>
    </w:p>
    <w:p w14:paraId="768CD4E4">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390" w:firstLineChars="167"/>
        <w:jc w:val="both"/>
        <w:textAlignment w:val="baseline"/>
        <w:rPr>
          <w:rFonts w:hint="eastAsia" w:ascii="黑体" w:hAnsi="黑体" w:eastAsia="黑体" w:cs="黑体"/>
          <w:color w:val="auto"/>
          <w:spacing w:val="-3"/>
          <w:position w:val="18"/>
          <w:sz w:val="24"/>
          <w:szCs w:val="24"/>
        </w:rPr>
      </w:pPr>
      <w:r>
        <w:rPr>
          <w:rFonts w:hint="eastAsia" w:ascii="黑体" w:hAnsi="黑体" w:eastAsia="黑体" w:cs="黑体"/>
          <w:color w:val="auto"/>
          <w:spacing w:val="-3"/>
          <w:position w:val="18"/>
          <w:sz w:val="24"/>
          <w:szCs w:val="24"/>
        </w:rPr>
        <w:t>18.4供应商代表对磋商过程和磋商记录有疑义，以及认为采购人、采购代理机构相关工作人员有需要回避的情形的，应当场提出询问或者回避申请。</w:t>
      </w:r>
    </w:p>
    <w:p w14:paraId="46E5E205">
      <w:pPr>
        <w:pStyle w:val="7"/>
        <w:keepNext w:val="0"/>
        <w:keepLines w:val="0"/>
        <w:pageBreakBefore w:val="0"/>
        <w:kinsoku w:val="0"/>
        <w:wordWrap w:val="0"/>
        <w:overflowPunct/>
        <w:topLinePunct w:val="0"/>
        <w:autoSpaceDE/>
        <w:autoSpaceDN/>
        <w:bidi w:val="0"/>
        <w:adjustRightInd w:val="0"/>
        <w:snapToGrid w:val="0"/>
        <w:spacing w:line="360" w:lineRule="auto"/>
        <w:jc w:val="both"/>
        <w:textAlignment w:val="baseline"/>
        <w:rPr>
          <w:rFonts w:hint="eastAsia" w:ascii="黑体" w:hAnsi="黑体" w:eastAsia="黑体" w:cs="黑体"/>
          <w:b/>
          <w:bCs/>
          <w:color w:val="auto"/>
          <w:spacing w:val="-1"/>
          <w:position w:val="18"/>
          <w:sz w:val="24"/>
          <w:szCs w:val="24"/>
        </w:rPr>
      </w:pPr>
      <w:r>
        <w:rPr>
          <w:rFonts w:hint="eastAsia" w:ascii="黑体" w:hAnsi="黑体" w:eastAsia="黑体" w:cs="黑体"/>
          <w:b/>
          <w:bCs/>
          <w:color w:val="auto"/>
          <w:spacing w:val="-1"/>
          <w:position w:val="18"/>
          <w:sz w:val="24"/>
          <w:szCs w:val="24"/>
          <w:lang w:val="en-US" w:eastAsia="zh-CN"/>
        </w:rPr>
        <w:t>19.</w:t>
      </w:r>
      <w:r>
        <w:rPr>
          <w:rFonts w:hint="eastAsia" w:ascii="黑体" w:hAnsi="黑体" w:eastAsia="黑体" w:cs="黑体"/>
          <w:b/>
          <w:bCs/>
          <w:color w:val="auto"/>
          <w:spacing w:val="-1"/>
          <w:position w:val="18"/>
          <w:sz w:val="24"/>
          <w:szCs w:val="24"/>
        </w:rPr>
        <w:t>资格审查及组建评标委员会</w:t>
      </w:r>
    </w:p>
    <w:p w14:paraId="136DBCB2">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jc w:val="both"/>
        <w:textAlignment w:val="baseline"/>
        <w:rPr>
          <w:rFonts w:hint="eastAsia" w:ascii="黑体" w:hAnsi="黑体" w:eastAsia="黑体" w:cs="黑体"/>
          <w:color w:val="auto"/>
          <w:sz w:val="24"/>
          <w:szCs w:val="24"/>
        </w:rPr>
      </w:pPr>
      <w:r>
        <w:rPr>
          <w:rFonts w:hint="eastAsia" w:ascii="黑体" w:hAnsi="黑体" w:eastAsia="黑体" w:cs="黑体"/>
          <w:color w:val="auto"/>
          <w:spacing w:val="-1"/>
          <w:position w:val="18"/>
          <w:sz w:val="24"/>
          <w:szCs w:val="24"/>
        </w:rPr>
        <w:t>19.1采购人或采购代理机构依据法律法规和招标文件中规定的内容，对投标人的资格进行审查。未按要求提供资格审查资料的投标人或其中一项未通过的投标人，将视为资格审查不合格，未能通过资格审查的投标人不</w:t>
      </w:r>
      <w:r>
        <w:rPr>
          <w:rFonts w:hint="eastAsia" w:ascii="黑体" w:hAnsi="黑体" w:eastAsia="黑体" w:cs="黑体"/>
          <w:color w:val="auto"/>
          <w:spacing w:val="-1"/>
          <w:position w:val="18"/>
          <w:sz w:val="24"/>
          <w:szCs w:val="24"/>
          <w:lang w:val="en-US" w:eastAsia="zh-CN"/>
        </w:rPr>
        <w:t>能</w:t>
      </w:r>
      <w:r>
        <w:rPr>
          <w:rFonts w:hint="eastAsia" w:ascii="黑体" w:hAnsi="黑体" w:eastAsia="黑体" w:cs="黑体"/>
          <w:color w:val="auto"/>
          <w:spacing w:val="-1"/>
          <w:position w:val="18"/>
          <w:sz w:val="24"/>
          <w:szCs w:val="24"/>
        </w:rPr>
        <w:t>进入下一阶段的评审，将被认定为无效投标。通过资格审查的投标单位少于不足三家的，不得评标</w:t>
      </w:r>
      <w:r>
        <w:rPr>
          <w:rFonts w:hint="eastAsia" w:ascii="黑体" w:hAnsi="黑体" w:eastAsia="黑体" w:cs="黑体"/>
          <w:color w:val="auto"/>
          <w:spacing w:val="-1"/>
          <w:position w:val="18"/>
          <w:sz w:val="24"/>
          <w:szCs w:val="24"/>
          <w:lang w:eastAsia="zh-CN"/>
        </w:rPr>
        <w:t>。</w:t>
      </w:r>
      <w:r>
        <w:rPr>
          <w:rFonts w:hint="eastAsia" w:ascii="黑体" w:hAnsi="黑体" w:eastAsia="黑体" w:cs="黑体"/>
          <w:color w:val="auto"/>
          <w:spacing w:val="-2"/>
          <w:sz w:val="24"/>
          <w:szCs w:val="24"/>
        </w:rPr>
        <w:t>19.2供应商存在不良信用记录的，其投标将被认定为</w:t>
      </w:r>
      <w:r>
        <w:rPr>
          <w:rFonts w:hint="eastAsia" w:ascii="黑体" w:hAnsi="黑体" w:eastAsia="黑体" w:cs="黑体"/>
          <w:b/>
          <w:bCs/>
          <w:color w:val="auto"/>
          <w:spacing w:val="-3"/>
          <w:sz w:val="24"/>
          <w:szCs w:val="24"/>
        </w:rPr>
        <w:t>投标无效</w:t>
      </w:r>
      <w:r>
        <w:rPr>
          <w:rFonts w:hint="eastAsia" w:ascii="黑体" w:hAnsi="黑体" w:eastAsia="黑体" w:cs="黑体"/>
          <w:color w:val="auto"/>
          <w:spacing w:val="-3"/>
          <w:sz w:val="24"/>
          <w:szCs w:val="24"/>
        </w:rPr>
        <w:t>。</w:t>
      </w:r>
    </w:p>
    <w:p w14:paraId="115B10B0">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1" w:firstLineChars="176"/>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3"/>
          <w:sz w:val="24"/>
          <w:szCs w:val="24"/>
        </w:rPr>
        <w:t>19.2.1不良信用记录指：投标单位近三年内（</w:t>
      </w:r>
      <w:r>
        <w:rPr>
          <w:rFonts w:hint="eastAsia" w:ascii="黑体" w:hAnsi="黑体" w:eastAsia="黑体" w:cs="黑体"/>
          <w:color w:val="auto"/>
          <w:spacing w:val="-3"/>
          <w:sz w:val="24"/>
          <w:szCs w:val="24"/>
          <w:lang w:eastAsia="zh-CN"/>
        </w:rPr>
        <w:t>2021年08月至今</w:t>
      </w:r>
      <w:r>
        <w:rPr>
          <w:rFonts w:hint="eastAsia" w:ascii="黑体" w:hAnsi="黑体" w:eastAsia="黑体" w:cs="黑体"/>
          <w:color w:val="auto"/>
          <w:spacing w:val="-3"/>
          <w:sz w:val="24"/>
          <w:szCs w:val="24"/>
        </w:rPr>
        <w:t>）在“信用中国”（www.creditchina.gov.cn）和中国政府采购网（www.ccgp.gov.cn）网站上未列入重大税收违法失信主体、严重失信主体名单查询，中国政府采购网严重违法失信行为记录名单；</w:t>
      </w:r>
      <w:r>
        <w:rPr>
          <w:rFonts w:hint="eastAsia" w:ascii="黑体" w:hAnsi="黑体" w:eastAsia="黑体" w:cs="黑体"/>
          <w:color w:val="auto"/>
          <w:spacing w:val="1"/>
          <w:sz w:val="24"/>
          <w:szCs w:val="24"/>
        </w:rPr>
        <w:t>以及存在《中华人民共和国政府采购法实施条例》第十九</w:t>
      </w:r>
      <w:r>
        <w:rPr>
          <w:rFonts w:hint="eastAsia" w:ascii="黑体" w:hAnsi="黑体" w:eastAsia="黑体" w:cs="黑体"/>
          <w:color w:val="auto"/>
          <w:spacing w:val="-4"/>
          <w:sz w:val="24"/>
          <w:szCs w:val="24"/>
        </w:rPr>
        <w:t>条规定的行政处罚记录。</w:t>
      </w:r>
    </w:p>
    <w:p w14:paraId="61C039E8">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22" w:firstLineChars="176"/>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19.2.2查询及记录方式：采购人或采购代理机构经办人将查询网页打印并存档备查。供应商不良信用记录以采购人或采购代理机构查询结果为准。在本磋商文件规定的查询时间之后，网站信息发生的任何变更均不再作为评标依据。供应商自行提供的与网站信息不一致的其他证明材料亦不作为资格审查依据。</w:t>
      </w:r>
    </w:p>
    <w:p w14:paraId="4F321C1B">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22" w:firstLineChars="176"/>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19.3按照《中华人民共和国政府采购法》、《中华人民共和国政府采购法实施条例》、《政府采购竞争性磋商采购方式管理暂行办法》及本项目本级和上级财政部门的有关规定依法组建的评标委员会，负责评标工作。</w:t>
      </w:r>
    </w:p>
    <w:p w14:paraId="043C6140">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24" w:firstLineChars="176"/>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rPr>
        <w:t>本项目磋商小组会由3人组成（政采云专家库随机抽取3人）。</w:t>
      </w:r>
    </w:p>
    <w:p w14:paraId="21164211">
      <w:pPr>
        <w:pStyle w:val="7"/>
        <w:keepNext w:val="0"/>
        <w:keepLines w:val="0"/>
        <w:pageBreakBefore w:val="0"/>
        <w:kinsoku w:val="0"/>
        <w:wordWrap w:val="0"/>
        <w:overflowPunct/>
        <w:topLinePunct w:val="0"/>
        <w:autoSpaceDE/>
        <w:autoSpaceDN/>
        <w:bidi w:val="0"/>
        <w:adjustRightInd w:val="0"/>
        <w:snapToGrid w:val="0"/>
        <w:spacing w:before="49" w:line="360" w:lineRule="auto"/>
        <w:ind w:left="6"/>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rPr>
        <w:t>20.响应文件符合性审查与澄清</w:t>
      </w:r>
    </w:p>
    <w:p w14:paraId="3ED791FB">
      <w:pPr>
        <w:pStyle w:val="7"/>
        <w:keepNext w:val="0"/>
        <w:keepLines w:val="0"/>
        <w:pageBreakBefore w:val="0"/>
        <w:widowControl/>
        <w:kinsoku w:val="0"/>
        <w:wordWrap w:val="0"/>
        <w:overflowPunct/>
        <w:topLinePunct w:val="0"/>
        <w:autoSpaceDE/>
        <w:autoSpaceDN/>
        <w:bidi w:val="0"/>
        <w:adjustRightInd w:val="0"/>
        <w:snapToGrid w:val="0"/>
        <w:spacing w:before="49" w:line="360" w:lineRule="auto"/>
        <w:ind w:left="6" w:leftChars="0" w:firstLine="412" w:firstLineChars="172"/>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20.1符合性审查是指依据磋商文件的规定，从响应文件的有效性和完整性对磋商文件的响应程度进行审查，以确定是否对磋商文件的实质性要求做出响应</w:t>
      </w:r>
      <w:r>
        <w:rPr>
          <w:rFonts w:hint="eastAsia" w:ascii="黑体" w:hAnsi="黑体" w:eastAsia="黑体" w:cs="黑体"/>
          <w:color w:val="auto"/>
          <w:sz w:val="24"/>
          <w:szCs w:val="24"/>
          <w:lang w:val="en-US" w:eastAsia="zh-CN"/>
        </w:rPr>
        <w:t>。</w:t>
      </w:r>
    </w:p>
    <w:p w14:paraId="78E9795B">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0" w:firstLineChars="175"/>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20.2响应文件的澄清</w:t>
      </w:r>
    </w:p>
    <w:p w14:paraId="7FD901AB">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0" w:firstLineChars="175"/>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20.2.1在评标期间，评标委员会将以书面方式要求供应商对其响应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响应文件范围或者改变响应文件的实质性内容。</w:t>
      </w:r>
    </w:p>
    <w:p w14:paraId="63B5520D">
      <w:pPr>
        <w:pStyle w:val="7"/>
        <w:keepNext w:val="0"/>
        <w:keepLines w:val="0"/>
        <w:pageBreakBefore w:val="0"/>
        <w:kinsoku w:val="0"/>
        <w:wordWrap w:val="0"/>
        <w:overflowPunct/>
        <w:topLinePunct w:val="0"/>
        <w:autoSpaceDE/>
        <w:autoSpaceDN/>
        <w:bidi w:val="0"/>
        <w:adjustRightInd w:val="0"/>
        <w:snapToGrid w:val="0"/>
        <w:spacing w:before="49" w:line="360" w:lineRule="auto"/>
        <w:ind w:left="6" w:leftChars="0" w:firstLine="412" w:firstLineChars="172"/>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20.2.2供应商的澄清、说明或补正将作为响应文件的一部分。</w:t>
      </w:r>
    </w:p>
    <w:p w14:paraId="1507089E">
      <w:pPr>
        <w:pStyle w:val="7"/>
        <w:keepNext w:val="0"/>
        <w:keepLines w:val="0"/>
        <w:pageBreakBefore w:val="0"/>
        <w:kinsoku w:val="0"/>
        <w:wordWrap w:val="0"/>
        <w:overflowPunct/>
        <w:topLinePunct w:val="0"/>
        <w:autoSpaceDE/>
        <w:autoSpaceDN/>
        <w:bidi w:val="0"/>
        <w:adjustRightInd w:val="0"/>
        <w:snapToGrid w:val="0"/>
        <w:spacing w:line="360" w:lineRule="auto"/>
        <w:ind w:left="6" w:leftChars="0" w:firstLine="409" w:firstLineChars="172"/>
        <w:textAlignment w:val="baseline"/>
        <w:rPr>
          <w:rFonts w:hint="eastAsia" w:ascii="黑体" w:hAnsi="黑体" w:eastAsia="黑体" w:cs="黑体"/>
          <w:color w:val="auto"/>
          <w:sz w:val="24"/>
          <w:szCs w:val="24"/>
        </w:rPr>
      </w:pPr>
      <w:r>
        <w:rPr>
          <w:rFonts w:hint="eastAsia" w:ascii="黑体" w:hAnsi="黑体" w:eastAsia="黑体" w:cs="黑体"/>
          <w:color w:val="auto"/>
          <w:spacing w:val="-1"/>
          <w:sz w:val="24"/>
          <w:szCs w:val="24"/>
        </w:rPr>
        <w:t>20.3响应文件报价出现前后不一致的</w:t>
      </w:r>
      <w:r>
        <w:rPr>
          <w:rFonts w:hint="eastAsia" w:ascii="黑体" w:hAnsi="黑体" w:eastAsia="黑体" w:cs="黑体"/>
          <w:color w:val="auto"/>
          <w:spacing w:val="-2"/>
          <w:sz w:val="24"/>
          <w:szCs w:val="24"/>
        </w:rPr>
        <w:t>，按照下列规定修正：</w:t>
      </w:r>
    </w:p>
    <w:p w14:paraId="6E1A4EF2">
      <w:pPr>
        <w:pStyle w:val="7"/>
        <w:keepNext w:val="0"/>
        <w:keepLines w:val="0"/>
        <w:pageBreakBefore w:val="0"/>
        <w:kinsoku w:val="0"/>
        <w:wordWrap w:val="0"/>
        <w:overflowPunct/>
        <w:topLinePunct w:val="0"/>
        <w:autoSpaceDE/>
        <w:autoSpaceDN/>
        <w:bidi w:val="0"/>
        <w:adjustRightInd w:val="0"/>
        <w:snapToGrid w:val="0"/>
        <w:spacing w:line="360" w:lineRule="auto"/>
        <w:ind w:left="6" w:leftChars="0" w:firstLine="405" w:firstLineChars="172"/>
        <w:textAlignment w:val="baseline"/>
        <w:rPr>
          <w:rFonts w:hint="eastAsia" w:ascii="黑体" w:hAnsi="黑体" w:eastAsia="黑体" w:cs="黑体"/>
          <w:color w:val="auto"/>
          <w:spacing w:val="-2"/>
          <w:sz w:val="24"/>
          <w:szCs w:val="24"/>
          <w:lang w:eastAsia="zh-CN"/>
        </w:rPr>
      </w:pPr>
      <w:r>
        <w:rPr>
          <w:rFonts w:hint="eastAsia" w:ascii="黑体" w:hAnsi="黑体" w:eastAsia="黑体" w:cs="黑体"/>
          <w:color w:val="auto"/>
          <w:spacing w:val="-2"/>
          <w:sz w:val="24"/>
          <w:szCs w:val="24"/>
        </w:rPr>
        <w:t>（一）响应文件中磋商一览表（报价表）内容与响应文件中相应内容不一致的，以磋商一览表（报价表）为准</w:t>
      </w:r>
      <w:r>
        <w:rPr>
          <w:rFonts w:hint="eastAsia" w:ascii="黑体" w:hAnsi="黑体" w:eastAsia="黑体" w:cs="黑体"/>
          <w:color w:val="auto"/>
          <w:spacing w:val="-2"/>
          <w:sz w:val="24"/>
          <w:szCs w:val="24"/>
          <w:lang w:eastAsia="zh-CN"/>
        </w:rPr>
        <w:t>；</w:t>
      </w:r>
    </w:p>
    <w:p w14:paraId="28B242E8">
      <w:pPr>
        <w:pStyle w:val="7"/>
        <w:keepNext w:val="0"/>
        <w:keepLines w:val="0"/>
        <w:pageBreakBefore w:val="0"/>
        <w:kinsoku w:val="0"/>
        <w:wordWrap w:val="0"/>
        <w:overflowPunct/>
        <w:topLinePunct w:val="0"/>
        <w:autoSpaceDE/>
        <w:autoSpaceDN/>
        <w:bidi w:val="0"/>
        <w:adjustRightInd w:val="0"/>
        <w:snapToGrid w:val="0"/>
        <w:spacing w:line="360" w:lineRule="auto"/>
        <w:ind w:left="6" w:leftChars="0" w:firstLine="405" w:firstLineChars="172"/>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（二）大写金额和小写金额不一致的，以大写金额为准；</w:t>
      </w:r>
    </w:p>
    <w:p w14:paraId="4A08E282">
      <w:pPr>
        <w:pStyle w:val="7"/>
        <w:keepNext w:val="0"/>
        <w:keepLines w:val="0"/>
        <w:pageBreakBefore w:val="0"/>
        <w:kinsoku w:val="0"/>
        <w:wordWrap w:val="0"/>
        <w:overflowPunct/>
        <w:topLinePunct w:val="0"/>
        <w:autoSpaceDE/>
        <w:autoSpaceDN/>
        <w:bidi w:val="0"/>
        <w:adjustRightInd w:val="0"/>
        <w:snapToGrid w:val="0"/>
        <w:spacing w:line="360" w:lineRule="auto"/>
        <w:ind w:left="6" w:leftChars="0" w:firstLine="405" w:firstLineChars="172"/>
        <w:textAlignment w:val="baseline"/>
        <w:rPr>
          <w:rFonts w:hint="eastAsia" w:ascii="黑体" w:hAnsi="黑体" w:eastAsia="黑体" w:cs="黑体"/>
          <w:color w:val="auto"/>
          <w:spacing w:val="-2"/>
          <w:sz w:val="24"/>
          <w:szCs w:val="24"/>
          <w:lang w:eastAsia="zh-CN"/>
        </w:rPr>
      </w:pPr>
      <w:r>
        <w:rPr>
          <w:rFonts w:hint="eastAsia" w:ascii="黑体" w:hAnsi="黑体" w:eastAsia="黑体" w:cs="黑体"/>
          <w:color w:val="auto"/>
          <w:spacing w:val="-2"/>
          <w:sz w:val="24"/>
          <w:szCs w:val="24"/>
        </w:rPr>
        <w:t>（三）单价金额小数点或者百分比有明显错位的，以磋商一览表的总价为准</w:t>
      </w:r>
      <w:r>
        <w:rPr>
          <w:rFonts w:hint="eastAsia" w:ascii="黑体" w:hAnsi="黑体" w:eastAsia="黑体" w:cs="黑体"/>
          <w:color w:val="auto"/>
          <w:spacing w:val="-2"/>
          <w:sz w:val="24"/>
          <w:szCs w:val="24"/>
          <w:lang w:eastAsia="zh-CN"/>
        </w:rPr>
        <w:t>，</w:t>
      </w:r>
      <w:r>
        <w:rPr>
          <w:rFonts w:hint="eastAsia" w:ascii="黑体" w:hAnsi="黑体" w:eastAsia="黑体" w:cs="黑体"/>
          <w:color w:val="auto"/>
          <w:spacing w:val="-2"/>
          <w:sz w:val="24"/>
          <w:szCs w:val="24"/>
        </w:rPr>
        <w:t>并修改单价</w:t>
      </w:r>
      <w:r>
        <w:rPr>
          <w:rFonts w:hint="eastAsia" w:ascii="黑体" w:hAnsi="黑体" w:eastAsia="黑体" w:cs="黑体"/>
          <w:color w:val="auto"/>
          <w:spacing w:val="-2"/>
          <w:sz w:val="24"/>
          <w:szCs w:val="24"/>
          <w:lang w:eastAsia="zh-CN"/>
        </w:rPr>
        <w:t>；</w:t>
      </w:r>
    </w:p>
    <w:p w14:paraId="7552D06D">
      <w:pPr>
        <w:pStyle w:val="7"/>
        <w:keepNext w:val="0"/>
        <w:keepLines w:val="0"/>
        <w:pageBreakBefore w:val="0"/>
        <w:kinsoku w:val="0"/>
        <w:wordWrap w:val="0"/>
        <w:overflowPunct/>
        <w:topLinePunct w:val="0"/>
        <w:autoSpaceDE/>
        <w:autoSpaceDN/>
        <w:bidi w:val="0"/>
        <w:adjustRightInd w:val="0"/>
        <w:snapToGrid w:val="0"/>
        <w:spacing w:line="360" w:lineRule="auto"/>
        <w:ind w:left="6" w:leftChars="0" w:firstLine="405" w:firstLineChars="172"/>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（四）总价金额与按单价汇总金额不一致的，以单价金额计算结果为准。</w:t>
      </w:r>
    </w:p>
    <w:p w14:paraId="700EEA56">
      <w:pPr>
        <w:pStyle w:val="7"/>
        <w:keepNext w:val="0"/>
        <w:keepLines w:val="0"/>
        <w:pageBreakBefore w:val="0"/>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同时出现两种以上不一致的，按照前款规定的顺序修正。修正后的报价按照第20.</w:t>
      </w:r>
      <w:r>
        <w:rPr>
          <w:rFonts w:hint="eastAsia" w:ascii="黑体" w:hAnsi="黑体" w:eastAsia="黑体" w:cs="黑体"/>
          <w:color w:val="auto"/>
          <w:spacing w:val="-2"/>
          <w:sz w:val="24"/>
          <w:szCs w:val="24"/>
          <w:lang w:val="en-US" w:eastAsia="zh-CN"/>
        </w:rPr>
        <w:t>2</w:t>
      </w:r>
      <w:r>
        <w:rPr>
          <w:rFonts w:hint="eastAsia" w:ascii="黑体" w:hAnsi="黑体" w:eastAsia="黑体" w:cs="黑体"/>
          <w:color w:val="auto"/>
          <w:spacing w:val="-2"/>
          <w:sz w:val="24"/>
          <w:szCs w:val="24"/>
        </w:rPr>
        <w:t>条的规定经供应商确认后产生约束力，供应商不确认的，其投标将被认定为投标无效。对不同文字文本响应文件的解释发生异议的，以中文文本为准。</w:t>
      </w:r>
    </w:p>
    <w:p w14:paraId="0F6FD115">
      <w:pPr>
        <w:pStyle w:val="7"/>
        <w:keepNext w:val="0"/>
        <w:keepLines w:val="0"/>
        <w:pageBreakBefore w:val="0"/>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color w:val="auto"/>
          <w:sz w:val="24"/>
          <w:szCs w:val="24"/>
        </w:rPr>
      </w:pPr>
      <w:r>
        <w:rPr>
          <w:rFonts w:hint="eastAsia" w:ascii="黑体" w:hAnsi="黑体" w:eastAsia="黑体" w:cs="黑体"/>
          <w:b/>
          <w:bCs/>
          <w:color w:val="auto"/>
          <w:spacing w:val="-9"/>
          <w:sz w:val="24"/>
          <w:szCs w:val="24"/>
        </w:rPr>
        <w:t>21.投标偏离</w:t>
      </w:r>
    </w:p>
    <w:p w14:paraId="1A6F80B4">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77"/>
        <w:textAlignment w:val="baseline"/>
        <w:rPr>
          <w:rFonts w:hint="eastAsia" w:ascii="黑体" w:hAnsi="黑体" w:eastAsia="黑体" w:cs="黑体"/>
          <w:b/>
          <w:bCs/>
          <w:color w:val="auto"/>
          <w:spacing w:val="-2"/>
          <w:sz w:val="24"/>
          <w:szCs w:val="24"/>
          <w:u w:val="none" w:color="auto"/>
        </w:rPr>
      </w:pPr>
      <w:r>
        <w:rPr>
          <w:rFonts w:hint="eastAsia" w:ascii="黑体" w:hAnsi="黑体" w:eastAsia="黑体" w:cs="黑体"/>
          <w:b/>
          <w:bCs/>
          <w:color w:val="auto"/>
          <w:spacing w:val="-2"/>
          <w:sz w:val="24"/>
          <w:szCs w:val="24"/>
          <w:u w:val="none" w:color="auto"/>
        </w:rPr>
        <w:t>评标委员会可以接受响应文件中不构成实质性偏离的细微偏差。</w:t>
      </w:r>
    </w:p>
    <w:p w14:paraId="1566046F">
      <w:pPr>
        <w:pStyle w:val="7"/>
        <w:keepNext w:val="0"/>
        <w:keepLines w:val="0"/>
        <w:pageBreakBefore w:val="0"/>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b/>
          <w:bCs/>
          <w:color w:val="auto"/>
          <w:spacing w:val="-7"/>
          <w:sz w:val="24"/>
          <w:szCs w:val="24"/>
          <w:u w:val="none" w:color="auto"/>
        </w:rPr>
      </w:pPr>
      <w:r>
        <w:rPr>
          <w:rFonts w:hint="eastAsia" w:ascii="黑体" w:hAnsi="黑体" w:eastAsia="黑体" w:cs="黑体"/>
          <w:b/>
          <w:bCs/>
          <w:color w:val="auto"/>
          <w:spacing w:val="-2"/>
          <w:sz w:val="24"/>
          <w:szCs w:val="24"/>
          <w:u w:val="none" w:color="auto"/>
          <w:lang w:val="en-US" w:eastAsia="zh-CN"/>
        </w:rPr>
        <w:t>22.</w:t>
      </w:r>
      <w:r>
        <w:rPr>
          <w:rFonts w:hint="eastAsia" w:ascii="黑体" w:hAnsi="黑体" w:eastAsia="黑体" w:cs="黑体"/>
          <w:b/>
          <w:bCs/>
          <w:color w:val="auto"/>
          <w:spacing w:val="-7"/>
          <w:sz w:val="24"/>
          <w:szCs w:val="24"/>
          <w:u w:val="none" w:color="auto"/>
        </w:rPr>
        <w:t>投标无效</w:t>
      </w:r>
    </w:p>
    <w:p w14:paraId="094238D5">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22" w:firstLineChars="181"/>
        <w:textAlignment w:val="baseline"/>
        <w:outlineLvl w:val="6"/>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22.1在比较与评价之前，根据本须知的规定，评标委员会要审查每份响应文件是否实质上响应了磋商文件的要求。实质上响应的投标应该是与磋商文件要求的全部条款、条件和规格相符，没有重大偏离的投标。对关键条款的偏离，将被认定为投标无效。供应商不得通过修正或撤销不符合要求的偏离，从而使其投标成为实质上响应的投标。评标委员会决定投标的响应性只根据磋商文件要求、响应文件内容及财政主管部门指定相关信息发布媒体。</w:t>
      </w:r>
    </w:p>
    <w:p w14:paraId="17B558CB">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22" w:firstLineChars="181"/>
        <w:textAlignment w:val="baseline"/>
        <w:outlineLvl w:val="6"/>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lang w:val="en-US" w:eastAsia="zh-CN"/>
        </w:rPr>
        <w:t>2</w:t>
      </w:r>
      <w:r>
        <w:rPr>
          <w:rFonts w:hint="eastAsia" w:ascii="黑体" w:hAnsi="黑体" w:eastAsia="黑体" w:cs="黑体"/>
          <w:b/>
          <w:bCs/>
          <w:color w:val="auto"/>
          <w:spacing w:val="-4"/>
          <w:sz w:val="24"/>
          <w:szCs w:val="24"/>
        </w:rPr>
        <w:t>2.2如发现下列情况之一的，其投标将被认定为响应无效：（以下情形应当在磋商文件中规定，并以醒目的方式标明）</w:t>
      </w:r>
    </w:p>
    <w:p w14:paraId="228879C5">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22" w:firstLineChars="181"/>
        <w:textAlignment w:val="baseline"/>
        <w:outlineLvl w:val="6"/>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（1）未按磋商文件规定的形式和金额提交磋商保证金的；</w:t>
      </w:r>
    </w:p>
    <w:p w14:paraId="2A74BD41">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22" w:firstLineChars="181"/>
        <w:textAlignment w:val="baseline"/>
        <w:outlineLvl w:val="6"/>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（2）未按照磋商文件规定要求签署、盖章的；</w:t>
      </w:r>
    </w:p>
    <w:p w14:paraId="2D5904B9">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22" w:firstLineChars="181"/>
        <w:textAlignment w:val="baseline"/>
        <w:outlineLvl w:val="6"/>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（3）未满足磋商文件中技术条款的实质性要求；</w:t>
      </w:r>
    </w:p>
    <w:p w14:paraId="39DCB535">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22" w:firstLineChars="181"/>
        <w:textAlignment w:val="baseline"/>
        <w:outlineLvl w:val="6"/>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（4）与其他供应商串通投标，或者与采购人串通投标；</w:t>
      </w:r>
    </w:p>
    <w:p w14:paraId="4FBCFA6C">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9" w:firstLineChars="181"/>
        <w:textAlignment w:val="baseline"/>
        <w:rPr>
          <w:rFonts w:hint="eastAsia" w:ascii="黑体" w:hAnsi="黑体" w:eastAsia="黑体" w:cs="黑体"/>
          <w:b/>
          <w:bCs/>
          <w:color w:val="auto"/>
          <w:spacing w:val="-2"/>
          <w:sz w:val="24"/>
          <w:szCs w:val="24"/>
        </w:rPr>
      </w:pPr>
      <w:r>
        <w:rPr>
          <w:rFonts w:hint="eastAsia" w:ascii="黑体" w:hAnsi="黑体" w:eastAsia="黑体" w:cs="黑体"/>
          <w:b/>
          <w:bCs/>
          <w:color w:val="auto"/>
          <w:spacing w:val="-2"/>
          <w:sz w:val="24"/>
          <w:szCs w:val="24"/>
        </w:rPr>
        <w:t>（5）属于磋商文件规定的其他响应无效情形；</w:t>
      </w:r>
    </w:p>
    <w:p w14:paraId="05E334DA">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9" w:firstLineChars="181"/>
        <w:textAlignment w:val="baseline"/>
        <w:rPr>
          <w:rFonts w:hint="eastAsia" w:ascii="黑体" w:hAnsi="黑体" w:eastAsia="黑体" w:cs="黑体"/>
          <w:b/>
          <w:bCs/>
          <w:color w:val="auto"/>
          <w:spacing w:val="-2"/>
          <w:sz w:val="24"/>
          <w:szCs w:val="24"/>
        </w:rPr>
      </w:pPr>
      <w:r>
        <w:rPr>
          <w:rFonts w:hint="eastAsia" w:ascii="黑体" w:hAnsi="黑体" w:eastAsia="黑体" w:cs="黑体"/>
          <w:b/>
          <w:bCs/>
          <w:color w:val="auto"/>
          <w:spacing w:val="-2"/>
          <w:sz w:val="24"/>
          <w:szCs w:val="24"/>
        </w:rPr>
        <w:t>（6）评标委员会认为供应商的报价明显低于其他通过符合性检查供应商的报价</w:t>
      </w:r>
      <w:r>
        <w:rPr>
          <w:rFonts w:hint="eastAsia" w:ascii="黑体" w:hAnsi="黑体" w:eastAsia="黑体" w:cs="黑体"/>
          <w:b/>
          <w:bCs/>
          <w:color w:val="auto"/>
          <w:spacing w:val="-2"/>
          <w:sz w:val="24"/>
          <w:szCs w:val="24"/>
          <w:lang w:eastAsia="zh-CN"/>
        </w:rPr>
        <w:t>，</w:t>
      </w:r>
      <w:r>
        <w:rPr>
          <w:rFonts w:hint="eastAsia" w:ascii="黑体" w:hAnsi="黑体" w:eastAsia="黑体" w:cs="黑体"/>
          <w:b/>
          <w:bCs/>
          <w:color w:val="auto"/>
          <w:spacing w:val="-2"/>
          <w:sz w:val="24"/>
          <w:szCs w:val="24"/>
        </w:rPr>
        <w:t>有可能影响履约的，且供应商未按照规定证明其报价合理性的；</w:t>
      </w:r>
    </w:p>
    <w:p w14:paraId="34E6E102">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9" w:firstLineChars="181"/>
        <w:textAlignment w:val="baseline"/>
        <w:rPr>
          <w:rFonts w:hint="eastAsia" w:ascii="黑体" w:hAnsi="黑体" w:eastAsia="黑体" w:cs="黑体"/>
          <w:b/>
          <w:bCs/>
          <w:color w:val="auto"/>
          <w:spacing w:val="-2"/>
          <w:sz w:val="24"/>
          <w:szCs w:val="24"/>
        </w:rPr>
      </w:pPr>
      <w:r>
        <w:rPr>
          <w:rFonts w:hint="eastAsia" w:ascii="黑体" w:hAnsi="黑体" w:eastAsia="黑体" w:cs="黑体"/>
          <w:b/>
          <w:bCs/>
          <w:color w:val="auto"/>
          <w:spacing w:val="-2"/>
          <w:sz w:val="24"/>
          <w:szCs w:val="24"/>
        </w:rPr>
        <w:t>（7）响应文件含有采购人不能接受的附加条件的；</w:t>
      </w:r>
    </w:p>
    <w:p w14:paraId="43B02CA9">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9" w:firstLineChars="181"/>
        <w:textAlignment w:val="baseline"/>
        <w:rPr>
          <w:rFonts w:hint="eastAsia" w:ascii="黑体" w:hAnsi="黑体" w:eastAsia="黑体" w:cs="黑体"/>
          <w:b/>
          <w:bCs/>
          <w:color w:val="auto"/>
          <w:spacing w:val="-2"/>
          <w:sz w:val="24"/>
          <w:szCs w:val="24"/>
        </w:rPr>
      </w:pPr>
      <w:r>
        <w:rPr>
          <w:rFonts w:hint="eastAsia" w:ascii="黑体" w:hAnsi="黑体" w:eastAsia="黑体" w:cs="黑体"/>
          <w:b/>
          <w:bCs/>
          <w:color w:val="auto"/>
          <w:spacing w:val="-2"/>
          <w:sz w:val="24"/>
          <w:szCs w:val="24"/>
        </w:rPr>
        <w:t>（8）不符合法规和磋商文件中规定的其他实质性要求的。</w:t>
      </w:r>
    </w:p>
    <w:p w14:paraId="15927EAA">
      <w:pPr>
        <w:pStyle w:val="7"/>
        <w:keepNext w:val="0"/>
        <w:keepLines w:val="0"/>
        <w:pageBreakBefore w:val="0"/>
        <w:kinsoku w:val="0"/>
        <w:wordWrap w:val="0"/>
        <w:overflowPunct/>
        <w:topLinePunct w:val="0"/>
        <w:autoSpaceDE/>
        <w:autoSpaceDN/>
        <w:bidi w:val="0"/>
        <w:adjustRightInd w:val="0"/>
        <w:snapToGrid w:val="0"/>
        <w:spacing w:before="1" w:line="360" w:lineRule="auto"/>
        <w:textAlignment w:val="baseline"/>
        <w:rPr>
          <w:rFonts w:hint="eastAsia" w:ascii="黑体" w:hAnsi="黑体" w:eastAsia="黑体" w:cs="黑体"/>
          <w:b/>
          <w:bCs/>
          <w:color w:val="auto"/>
          <w:spacing w:val="-1"/>
          <w:position w:val="18"/>
          <w:sz w:val="24"/>
          <w:szCs w:val="24"/>
        </w:rPr>
      </w:pPr>
      <w:r>
        <w:rPr>
          <w:rFonts w:hint="eastAsia" w:ascii="黑体" w:hAnsi="黑体" w:eastAsia="黑体" w:cs="黑体"/>
          <w:b/>
          <w:bCs/>
          <w:color w:val="auto"/>
          <w:spacing w:val="-1"/>
          <w:position w:val="18"/>
          <w:sz w:val="24"/>
          <w:szCs w:val="24"/>
        </w:rPr>
        <w:t>23.比较与评价</w:t>
      </w:r>
    </w:p>
    <w:p w14:paraId="25BAF7D4">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8" w:firstLineChars="176"/>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23.1经符合性审查合格的响应文件，评标委员会将根据磋商文件确定的评标方法和标准，对其技术部分和商务部分作进一步的比较和评价。</w:t>
      </w:r>
    </w:p>
    <w:p w14:paraId="6BEF4262">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8" w:firstLineChars="176"/>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23.2评标严格按照磋商文件的要求和条件进行。根据实际情况，在供应商须知资料表中规定采用下列一种评标方法，详细评标标准见磋商文件第六章。</w:t>
      </w:r>
    </w:p>
    <w:p w14:paraId="444572DA">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8" w:firstLineChars="176"/>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（1）最低评标价法，是指响应文件满足磋商文件全部实质性要求，且投标报价最低的供应商为成交候选人的评标方法。</w:t>
      </w:r>
    </w:p>
    <w:p w14:paraId="66E2D47A">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8" w:firstLineChars="176"/>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（2）综合评分法，是指响应文件满足磋商文件全部实质性要求，且按照评审因素的量化指标评审得分最高的供应商为成交候选人的评标方法。</w:t>
      </w:r>
    </w:p>
    <w:p w14:paraId="16625983">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8" w:firstLineChars="176"/>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财政部关于政府采购竞争性磋商采购方式管理暂行办法有关问题的补充通知》规定的情形除外）成交候选供应商，评审得分且最后报价相同的，按照技术指标优劣顺序推荐。</w:t>
      </w:r>
    </w:p>
    <w:p w14:paraId="7C3A3BE3">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21" w:firstLineChars="176"/>
        <w:textAlignment w:val="baseline"/>
        <w:rPr>
          <w:rFonts w:hint="eastAsia" w:ascii="黑体" w:hAnsi="黑体" w:eastAsia="黑体" w:cs="黑体"/>
          <w:b/>
          <w:bCs/>
          <w:color w:val="auto"/>
          <w:spacing w:val="-1"/>
          <w:sz w:val="24"/>
          <w:szCs w:val="24"/>
        </w:rPr>
      </w:pPr>
      <w:r>
        <w:rPr>
          <w:rFonts w:hint="eastAsia" w:ascii="黑体" w:hAnsi="黑体" w:eastAsia="黑体" w:cs="黑体"/>
          <w:b/>
          <w:bCs/>
          <w:color w:val="auto"/>
          <w:spacing w:val="-1"/>
          <w:sz w:val="24"/>
          <w:szCs w:val="24"/>
        </w:rPr>
        <w:t>本项目采用采购方式：竞争性磋商，评分方法：综合评分法。</w:t>
      </w:r>
    </w:p>
    <w:p w14:paraId="5B872B0B">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6"/>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23.3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其报价扣除</w:t>
      </w:r>
      <w:r>
        <w:rPr>
          <w:rFonts w:hint="eastAsia" w:ascii="黑体" w:hAnsi="黑体" w:eastAsia="黑体" w:cs="黑体"/>
          <w:color w:val="auto"/>
          <w:spacing w:val="-1"/>
          <w:sz w:val="24"/>
          <w:szCs w:val="24"/>
          <w:u w:val="single"/>
        </w:rPr>
        <w:t>/</w:t>
      </w:r>
      <w:r>
        <w:rPr>
          <w:rFonts w:hint="eastAsia" w:ascii="黑体" w:hAnsi="黑体" w:eastAsia="黑体" w:cs="黑体"/>
          <w:color w:val="auto"/>
          <w:spacing w:val="-1"/>
          <w:sz w:val="24"/>
          <w:szCs w:val="24"/>
        </w:rPr>
        <w:t>%后参与评审。对于同时属于小微企业、监狱企业或残疾人福利性单位的，不重复进行投标报价扣除。本项目面向中小企业，投标报价不做价格扣除。具体办法详见磋商文件第6章。</w:t>
      </w:r>
    </w:p>
    <w:p w14:paraId="5589D507">
      <w:pPr>
        <w:pStyle w:val="7"/>
        <w:keepNext w:val="0"/>
        <w:keepLines w:val="0"/>
        <w:pageBreakBefore w:val="0"/>
        <w:numPr>
          <w:ilvl w:val="0"/>
          <w:numId w:val="7"/>
        </w:numPr>
        <w:kinsoku w:val="0"/>
        <w:wordWrap w:val="0"/>
        <w:overflowPunct/>
        <w:topLinePunct w:val="0"/>
        <w:autoSpaceDE/>
        <w:autoSpaceDN/>
        <w:bidi w:val="0"/>
        <w:adjustRightInd w:val="0"/>
        <w:snapToGrid w:val="0"/>
        <w:spacing w:line="360" w:lineRule="auto"/>
        <w:ind w:left="14"/>
        <w:textAlignment w:val="baseline"/>
        <w:rPr>
          <w:rFonts w:hint="eastAsia" w:ascii="黑体" w:hAnsi="黑体" w:eastAsia="黑体" w:cs="黑体"/>
          <w:b/>
          <w:bCs/>
          <w:color w:val="auto"/>
          <w:spacing w:val="-8"/>
          <w:sz w:val="24"/>
          <w:szCs w:val="24"/>
        </w:rPr>
      </w:pPr>
      <w:r>
        <w:rPr>
          <w:rFonts w:hint="eastAsia" w:ascii="黑体" w:hAnsi="黑体" w:eastAsia="黑体" w:cs="黑体"/>
          <w:b/>
          <w:bCs/>
          <w:color w:val="auto"/>
          <w:spacing w:val="-8"/>
          <w:sz w:val="24"/>
          <w:szCs w:val="24"/>
        </w:rPr>
        <w:t>废标</w:t>
      </w:r>
    </w:p>
    <w:p w14:paraId="043190B8">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line="360" w:lineRule="auto"/>
        <w:ind w:left="0" w:leftChars="0" w:firstLine="421" w:firstLineChars="189"/>
        <w:textAlignment w:val="baseline"/>
        <w:rPr>
          <w:rFonts w:hint="eastAsia" w:ascii="黑体" w:hAnsi="黑体" w:eastAsia="黑体" w:cs="黑体"/>
          <w:b/>
          <w:bCs/>
          <w:color w:val="auto"/>
          <w:spacing w:val="-9"/>
          <w:sz w:val="24"/>
          <w:szCs w:val="24"/>
        </w:rPr>
      </w:pPr>
      <w:r>
        <w:rPr>
          <w:rFonts w:hint="eastAsia" w:ascii="黑体" w:hAnsi="黑体" w:eastAsia="黑体" w:cs="黑体"/>
          <w:b/>
          <w:bCs/>
          <w:color w:val="auto"/>
          <w:spacing w:val="-9"/>
          <w:sz w:val="24"/>
          <w:szCs w:val="24"/>
        </w:rPr>
        <w:t>出现下列情形之一，将导致项目废标：</w:t>
      </w:r>
    </w:p>
    <w:p w14:paraId="17429C1B">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line="360" w:lineRule="auto"/>
        <w:ind w:left="0" w:leftChars="0" w:firstLine="421" w:firstLineChars="189"/>
        <w:textAlignment w:val="baseline"/>
        <w:rPr>
          <w:rFonts w:hint="eastAsia" w:ascii="黑体" w:hAnsi="黑体" w:eastAsia="黑体" w:cs="黑体"/>
          <w:b/>
          <w:bCs/>
          <w:color w:val="auto"/>
          <w:spacing w:val="-9"/>
          <w:sz w:val="24"/>
          <w:szCs w:val="24"/>
          <w:lang w:eastAsia="zh-CN"/>
        </w:rPr>
      </w:pPr>
      <w:r>
        <w:rPr>
          <w:rFonts w:hint="eastAsia" w:ascii="黑体" w:hAnsi="黑体" w:eastAsia="黑体" w:cs="黑体"/>
          <w:b/>
          <w:bCs/>
          <w:color w:val="auto"/>
          <w:spacing w:val="-9"/>
          <w:sz w:val="24"/>
          <w:szCs w:val="24"/>
        </w:rPr>
        <w:t>（1）符合专业条件的供应商或者对磋商文件做实质性响应的供应商不足三家</w:t>
      </w:r>
      <w:r>
        <w:rPr>
          <w:rFonts w:hint="eastAsia" w:ascii="黑体" w:hAnsi="黑体" w:eastAsia="黑体" w:cs="黑体"/>
          <w:b/>
          <w:bCs/>
          <w:color w:val="auto"/>
          <w:spacing w:val="-9"/>
          <w:sz w:val="24"/>
          <w:szCs w:val="24"/>
          <w:lang w:eastAsia="zh-CN"/>
        </w:rPr>
        <w:t>；</w:t>
      </w:r>
    </w:p>
    <w:p w14:paraId="3DB23A01">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line="360" w:lineRule="auto"/>
        <w:ind w:left="0" w:leftChars="0" w:firstLine="421" w:firstLineChars="189"/>
        <w:textAlignment w:val="baseline"/>
        <w:rPr>
          <w:rFonts w:hint="eastAsia" w:ascii="黑体" w:hAnsi="黑体" w:eastAsia="黑体" w:cs="黑体"/>
          <w:b/>
          <w:bCs/>
          <w:color w:val="auto"/>
          <w:spacing w:val="-9"/>
          <w:sz w:val="24"/>
          <w:szCs w:val="24"/>
        </w:rPr>
      </w:pPr>
      <w:r>
        <w:rPr>
          <w:rFonts w:hint="eastAsia" w:ascii="黑体" w:hAnsi="黑体" w:eastAsia="黑体" w:cs="黑体"/>
          <w:b/>
          <w:bCs/>
          <w:color w:val="auto"/>
          <w:spacing w:val="-9"/>
          <w:sz w:val="24"/>
          <w:szCs w:val="24"/>
        </w:rPr>
        <w:t>（2）出现影响采购公正的违法、违规行为的；</w:t>
      </w:r>
    </w:p>
    <w:p w14:paraId="2E7D2EE9">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line="360" w:lineRule="auto"/>
        <w:ind w:left="0" w:leftChars="0" w:firstLine="421" w:firstLineChars="189"/>
        <w:textAlignment w:val="baseline"/>
        <w:rPr>
          <w:rFonts w:hint="eastAsia" w:ascii="黑体" w:hAnsi="黑体" w:eastAsia="黑体" w:cs="黑体"/>
          <w:b/>
          <w:bCs/>
          <w:color w:val="auto"/>
          <w:spacing w:val="-9"/>
          <w:sz w:val="24"/>
          <w:szCs w:val="24"/>
        </w:rPr>
      </w:pPr>
      <w:r>
        <w:rPr>
          <w:rFonts w:hint="eastAsia" w:ascii="黑体" w:hAnsi="黑体" w:eastAsia="黑体" w:cs="黑体"/>
          <w:b/>
          <w:bCs/>
          <w:color w:val="auto"/>
          <w:spacing w:val="-9"/>
          <w:sz w:val="24"/>
          <w:szCs w:val="24"/>
        </w:rPr>
        <w:t>（3）供应商的报价均超过了采购预算，采购人不能支付的；</w:t>
      </w:r>
    </w:p>
    <w:p w14:paraId="1EEB9B3C">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line="360" w:lineRule="auto"/>
        <w:ind w:left="0" w:leftChars="0" w:firstLine="421" w:firstLineChars="189"/>
        <w:textAlignment w:val="baseline"/>
        <w:rPr>
          <w:rFonts w:hint="eastAsia" w:ascii="黑体" w:hAnsi="黑体" w:eastAsia="黑体" w:cs="黑体"/>
          <w:b/>
          <w:bCs/>
          <w:color w:val="auto"/>
          <w:spacing w:val="-9"/>
          <w:sz w:val="24"/>
          <w:szCs w:val="24"/>
        </w:rPr>
      </w:pPr>
      <w:r>
        <w:rPr>
          <w:rFonts w:hint="eastAsia" w:ascii="黑体" w:hAnsi="黑体" w:eastAsia="黑体" w:cs="黑体"/>
          <w:b/>
          <w:bCs/>
          <w:color w:val="auto"/>
          <w:spacing w:val="-9"/>
          <w:sz w:val="24"/>
          <w:szCs w:val="24"/>
        </w:rPr>
        <w:t>（4）因重大变故，采购任务取消的。</w:t>
      </w:r>
      <w:bookmarkStart w:id="7" w:name="_Toc10592"/>
    </w:p>
    <w:p w14:paraId="493BB229">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b/>
          <w:bCs/>
          <w:color w:val="auto"/>
          <w:spacing w:val="-7"/>
          <w:sz w:val="24"/>
          <w:szCs w:val="24"/>
        </w:rPr>
      </w:pPr>
      <w:r>
        <w:rPr>
          <w:rFonts w:hint="eastAsia" w:ascii="黑体" w:hAnsi="黑体" w:eastAsia="黑体" w:cs="黑体"/>
          <w:b/>
          <w:bCs/>
          <w:color w:val="auto"/>
          <w:spacing w:val="-7"/>
          <w:sz w:val="24"/>
          <w:szCs w:val="24"/>
        </w:rPr>
        <w:t>25.保密原则</w:t>
      </w:r>
      <w:bookmarkEnd w:id="7"/>
      <w:bookmarkStart w:id="8" w:name="_Toc11128"/>
    </w:p>
    <w:p w14:paraId="52906804">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81"/>
        <w:textAlignment w:val="baseline"/>
        <w:outlineLvl w:val="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25.1磋商将在严格保密的情况下进行。</w:t>
      </w:r>
      <w:bookmarkEnd w:id="8"/>
    </w:p>
    <w:p w14:paraId="032EBB24">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81"/>
        <w:textAlignment w:val="baseline"/>
        <w:outlineLvl w:val="0"/>
        <w:rPr>
          <w:rFonts w:hint="eastAsia" w:ascii="黑体" w:hAnsi="黑体" w:eastAsia="黑体" w:cs="黑体"/>
          <w:color w:val="auto"/>
          <w:spacing w:val="-4"/>
          <w:sz w:val="24"/>
          <w:szCs w:val="24"/>
        </w:rPr>
      </w:pPr>
      <w:bookmarkStart w:id="9" w:name="_Toc18133"/>
      <w:r>
        <w:rPr>
          <w:rFonts w:hint="eastAsia" w:ascii="黑体" w:hAnsi="黑体" w:eastAsia="黑体" w:cs="黑体"/>
          <w:color w:val="auto"/>
          <w:spacing w:val="-4"/>
          <w:sz w:val="24"/>
          <w:szCs w:val="24"/>
        </w:rPr>
        <w:t>25.2政府采购评审专家应当遵守评审工作纪律，不得泄露评审文件、评审情况和评审中获悉的商业秘密。</w:t>
      </w:r>
      <w:bookmarkEnd w:id="9"/>
    </w:p>
    <w:p w14:paraId="60D91495">
      <w:pPr>
        <w:pStyle w:val="7"/>
        <w:keepNext w:val="0"/>
        <w:keepLines w:val="0"/>
        <w:pageBreakBefore w:val="0"/>
        <w:kinsoku w:val="0"/>
        <w:wordWrap w:val="0"/>
        <w:overflowPunct/>
        <w:topLinePunct w:val="0"/>
        <w:autoSpaceDE/>
        <w:autoSpaceDN/>
        <w:bidi w:val="0"/>
        <w:adjustRightInd w:val="0"/>
        <w:snapToGrid w:val="0"/>
        <w:spacing w:line="360" w:lineRule="auto"/>
        <w:ind w:left="0"/>
        <w:jc w:val="center"/>
        <w:textAlignment w:val="baseline"/>
        <w:rPr>
          <w:rFonts w:hint="eastAsia" w:ascii="黑体" w:hAnsi="黑体" w:eastAsia="黑体" w:cs="黑体"/>
          <w:color w:val="auto"/>
          <w:sz w:val="30"/>
          <w:szCs w:val="30"/>
        </w:rPr>
      </w:pPr>
      <w:r>
        <w:rPr>
          <w:rFonts w:hint="eastAsia" w:ascii="黑体" w:hAnsi="黑体" w:eastAsia="黑体" w:cs="黑体"/>
          <w:b/>
          <w:bCs/>
          <w:color w:val="auto"/>
          <w:spacing w:val="-17"/>
          <w:sz w:val="28"/>
          <w:szCs w:val="28"/>
        </w:rPr>
        <w:t>六确定成交</w:t>
      </w:r>
    </w:p>
    <w:p w14:paraId="677EBEF4">
      <w:pPr>
        <w:pStyle w:val="7"/>
        <w:keepNext w:val="0"/>
        <w:keepLines w:val="0"/>
        <w:pageBreakBefore w:val="0"/>
        <w:numPr>
          <w:ilvl w:val="0"/>
          <w:numId w:val="0"/>
        </w:numPr>
        <w:kinsoku w:val="0"/>
        <w:wordWrap w:val="0"/>
        <w:overflowPunct/>
        <w:topLinePunct w:val="0"/>
        <w:autoSpaceDE/>
        <w:autoSpaceDN/>
        <w:bidi w:val="0"/>
        <w:adjustRightInd w:val="0"/>
        <w:snapToGrid w:val="0"/>
        <w:spacing w:before="206" w:line="360" w:lineRule="auto"/>
        <w:ind w:left="14" w:leftChars="0"/>
        <w:textAlignment w:val="baseline"/>
        <w:outlineLvl w:val="0"/>
        <w:rPr>
          <w:rFonts w:hint="eastAsia" w:ascii="黑体" w:hAnsi="黑体" w:eastAsia="黑体" w:cs="黑体"/>
          <w:b/>
          <w:bCs/>
          <w:color w:val="auto"/>
          <w:spacing w:val="-6"/>
          <w:sz w:val="24"/>
          <w:szCs w:val="24"/>
        </w:rPr>
      </w:pPr>
      <w:bookmarkStart w:id="10" w:name="_Toc30211"/>
      <w:r>
        <w:rPr>
          <w:rFonts w:hint="eastAsia" w:ascii="黑体" w:hAnsi="黑体" w:eastAsia="黑体" w:cs="黑体"/>
          <w:b/>
          <w:bCs/>
          <w:color w:val="auto"/>
          <w:spacing w:val="-6"/>
          <w:sz w:val="24"/>
          <w:szCs w:val="24"/>
          <w:lang w:val="en-US" w:eastAsia="zh-CN"/>
        </w:rPr>
        <w:t>26.</w:t>
      </w:r>
      <w:r>
        <w:rPr>
          <w:rFonts w:hint="eastAsia" w:ascii="黑体" w:hAnsi="黑体" w:eastAsia="黑体" w:cs="黑体"/>
          <w:b/>
          <w:bCs/>
          <w:color w:val="auto"/>
          <w:spacing w:val="-6"/>
          <w:sz w:val="24"/>
          <w:szCs w:val="24"/>
        </w:rPr>
        <w:t>成交候选人的确定原则及标准</w:t>
      </w:r>
      <w:bookmarkEnd w:id="10"/>
    </w:p>
    <w:p w14:paraId="5AE4FA8D">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textAlignment w:val="baseline"/>
        <w:outlineLvl w:val="0"/>
        <w:rPr>
          <w:rFonts w:hint="eastAsia" w:ascii="黑体" w:hAnsi="黑体" w:eastAsia="黑体" w:cs="黑体"/>
          <w:color w:val="auto"/>
          <w:spacing w:val="-9"/>
          <w:sz w:val="24"/>
          <w:szCs w:val="24"/>
        </w:rPr>
      </w:pPr>
      <w:bookmarkStart w:id="11" w:name="_Toc29211"/>
      <w:r>
        <w:rPr>
          <w:rFonts w:hint="eastAsia" w:ascii="黑体" w:hAnsi="黑体" w:eastAsia="黑体" w:cs="黑体"/>
          <w:color w:val="auto"/>
          <w:spacing w:val="-4"/>
          <w:sz w:val="24"/>
          <w:szCs w:val="24"/>
        </w:rPr>
        <w:t>除第28条规定外，对实质上响应磋商文件的供应商按下列方法进行排序，确定投标候</w:t>
      </w:r>
      <w:r>
        <w:rPr>
          <w:rFonts w:hint="eastAsia" w:ascii="黑体" w:hAnsi="黑体" w:eastAsia="黑体" w:cs="黑体"/>
          <w:color w:val="auto"/>
          <w:spacing w:val="-9"/>
          <w:sz w:val="24"/>
          <w:szCs w:val="24"/>
        </w:rPr>
        <w:t>选人：</w:t>
      </w:r>
      <w:bookmarkEnd w:id="11"/>
    </w:p>
    <w:p w14:paraId="0953D319">
      <w:pPr>
        <w:pStyle w:val="7"/>
        <w:keepNext w:val="0"/>
        <w:keepLines w:val="0"/>
        <w:pageBreakBefore w:val="0"/>
        <w:numPr>
          <w:ilvl w:val="0"/>
          <w:numId w:val="8"/>
        </w:numPr>
        <w:kinsoku w:val="0"/>
        <w:wordWrap w:val="0"/>
        <w:overflowPunct/>
        <w:topLinePunct w:val="0"/>
        <w:autoSpaceDE/>
        <w:autoSpaceDN/>
        <w:bidi w:val="0"/>
        <w:adjustRightInd w:val="0"/>
        <w:snapToGrid w:val="0"/>
        <w:spacing w:before="48" w:line="360" w:lineRule="auto"/>
        <w:ind w:left="-69" w:leftChars="-33" w:right="17" w:firstLine="488" w:firstLineChars="202"/>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1"/>
          <w:sz w:val="24"/>
          <w:szCs w:val="24"/>
        </w:rPr>
        <w:t>采用最低评标价法的，除了算术修正和落实政府采购政策需进行的价格扣除外，不对供应商的投标价格进行任何调整。评标结果按修正和扣除后的投标报价由低到高顺序</w:t>
      </w:r>
      <w:r>
        <w:rPr>
          <w:rFonts w:hint="eastAsia" w:ascii="黑体" w:hAnsi="黑体" w:eastAsia="黑体" w:cs="黑体"/>
          <w:color w:val="auto"/>
          <w:spacing w:val="-4"/>
          <w:sz w:val="24"/>
          <w:szCs w:val="24"/>
        </w:rPr>
        <w:t>排列。报价相同的处理方式详见磋商文件第6章。</w:t>
      </w:r>
    </w:p>
    <w:p w14:paraId="2FD23A23">
      <w:pPr>
        <w:pStyle w:val="7"/>
        <w:keepNext w:val="0"/>
        <w:keepLines w:val="0"/>
        <w:pageBreakBefore w:val="0"/>
        <w:numPr>
          <w:ilvl w:val="0"/>
          <w:numId w:val="9"/>
        </w:numPr>
        <w:kinsoku w:val="0"/>
        <w:wordWrap w:val="0"/>
        <w:overflowPunct/>
        <w:topLinePunct w:val="0"/>
        <w:autoSpaceDE/>
        <w:autoSpaceDN/>
        <w:bidi w:val="0"/>
        <w:adjustRightInd w:val="0"/>
        <w:snapToGrid w:val="0"/>
        <w:spacing w:before="48" w:line="360" w:lineRule="auto"/>
        <w:ind w:left="-69" w:leftChars="-33" w:right="17" w:rightChars="0" w:firstLine="476" w:firstLineChars="202"/>
        <w:textAlignment w:val="baseline"/>
        <w:rPr>
          <w:rFonts w:hint="eastAsia" w:ascii="黑体" w:hAnsi="黑体" w:eastAsia="黑体" w:cs="黑体"/>
          <w:color w:val="auto"/>
          <w:spacing w:val="-11"/>
          <w:sz w:val="24"/>
          <w:szCs w:val="24"/>
        </w:rPr>
      </w:pPr>
      <w:r>
        <w:rPr>
          <w:rFonts w:hint="eastAsia" w:ascii="黑体" w:hAnsi="黑体" w:eastAsia="黑体" w:cs="黑体"/>
          <w:color w:val="auto"/>
          <w:spacing w:val="-2"/>
          <w:sz w:val="24"/>
          <w:szCs w:val="24"/>
        </w:rPr>
        <w:t>采用综合评分法的，评标结果按评审后得分由高到低顺序排列。得分相同的，按</w:t>
      </w:r>
      <w:r>
        <w:rPr>
          <w:rFonts w:hint="eastAsia" w:ascii="黑体" w:hAnsi="黑体" w:eastAsia="黑体" w:cs="黑体"/>
          <w:color w:val="auto"/>
          <w:spacing w:val="1"/>
          <w:sz w:val="24"/>
          <w:szCs w:val="24"/>
        </w:rPr>
        <w:t>修正和扣除后的投标报价由低到高顺序排列。得分与投标报价均相同的处理方式详见磋商</w:t>
      </w:r>
      <w:r>
        <w:rPr>
          <w:rFonts w:hint="eastAsia" w:ascii="黑体" w:hAnsi="黑体" w:eastAsia="黑体" w:cs="黑体"/>
          <w:color w:val="auto"/>
          <w:spacing w:val="-11"/>
          <w:sz w:val="24"/>
          <w:szCs w:val="24"/>
        </w:rPr>
        <w:t>文件第6章。</w:t>
      </w:r>
    </w:p>
    <w:p w14:paraId="74168F3F">
      <w:pPr>
        <w:pStyle w:val="7"/>
        <w:keepNext w:val="0"/>
        <w:keepLines w:val="0"/>
        <w:pageBreakBefore w:val="0"/>
        <w:numPr>
          <w:ilvl w:val="0"/>
          <w:numId w:val="0"/>
        </w:numPr>
        <w:kinsoku w:val="0"/>
        <w:wordWrap w:val="0"/>
        <w:overflowPunct/>
        <w:topLinePunct w:val="0"/>
        <w:autoSpaceDE/>
        <w:autoSpaceDN/>
        <w:bidi w:val="0"/>
        <w:adjustRightInd w:val="0"/>
        <w:snapToGrid w:val="0"/>
        <w:spacing w:before="48" w:line="360" w:lineRule="auto"/>
        <w:ind w:left="-69" w:leftChars="-33" w:right="17" w:rightChars="0" w:firstLine="476" w:firstLineChars="202"/>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2"/>
          <w:sz w:val="24"/>
          <w:szCs w:val="24"/>
        </w:rPr>
        <w:t>（3）采用竞争性磋商的，本次评定的标准和方法采用综合评分法。在满足磋商文件所</w:t>
      </w:r>
      <w:r>
        <w:rPr>
          <w:rFonts w:hint="eastAsia" w:ascii="黑体" w:hAnsi="黑体" w:eastAsia="黑体" w:cs="黑体"/>
          <w:color w:val="auto"/>
          <w:spacing w:val="-1"/>
          <w:sz w:val="24"/>
          <w:szCs w:val="24"/>
        </w:rPr>
        <w:t>要求的必要合格条件的前提下，经磋商确定最终磋商需求和提交最后报价的供应商后，由</w:t>
      </w:r>
      <w:r>
        <w:rPr>
          <w:rFonts w:hint="eastAsia" w:ascii="黑体" w:hAnsi="黑体" w:eastAsia="黑体" w:cs="黑体"/>
          <w:color w:val="auto"/>
          <w:spacing w:val="2"/>
          <w:sz w:val="24"/>
          <w:szCs w:val="24"/>
        </w:rPr>
        <w:t>磋商小组采用综合评分法对提交最后报价的供应</w:t>
      </w:r>
      <w:r>
        <w:rPr>
          <w:rFonts w:hint="eastAsia" w:ascii="黑体" w:hAnsi="黑体" w:eastAsia="黑体" w:cs="黑体"/>
          <w:color w:val="auto"/>
          <w:spacing w:val="1"/>
          <w:sz w:val="24"/>
          <w:szCs w:val="24"/>
        </w:rPr>
        <w:t>商的响应文件和最后报价进行综合评分，</w:t>
      </w:r>
      <w:r>
        <w:rPr>
          <w:rFonts w:hint="eastAsia" w:ascii="黑体" w:hAnsi="黑体" w:eastAsia="黑体" w:cs="黑体"/>
          <w:color w:val="auto"/>
          <w:sz w:val="24"/>
          <w:szCs w:val="24"/>
        </w:rPr>
        <w:t>按照评审得分由高到低顺序推荐3名（《财政部关于政府采购竞</w:t>
      </w:r>
      <w:r>
        <w:rPr>
          <w:rFonts w:hint="eastAsia" w:ascii="黑体" w:hAnsi="黑体" w:eastAsia="黑体" w:cs="黑体"/>
          <w:color w:val="auto"/>
          <w:spacing w:val="-1"/>
          <w:sz w:val="24"/>
          <w:szCs w:val="24"/>
        </w:rPr>
        <w:t>争性磋商采购方式管理暂</w:t>
      </w:r>
      <w:r>
        <w:rPr>
          <w:rFonts w:hint="eastAsia" w:ascii="黑体" w:hAnsi="黑体" w:eastAsia="黑体" w:cs="黑体"/>
          <w:color w:val="auto"/>
          <w:spacing w:val="1"/>
          <w:sz w:val="24"/>
          <w:szCs w:val="24"/>
        </w:rPr>
        <w:t>行办法有关问题的补充通知》规定的情形除外）成交候选供应商，评审得分且最后报价相</w:t>
      </w:r>
      <w:r>
        <w:rPr>
          <w:rFonts w:hint="eastAsia" w:ascii="黑体" w:hAnsi="黑体" w:eastAsia="黑体" w:cs="黑体"/>
          <w:color w:val="auto"/>
          <w:spacing w:val="-5"/>
          <w:sz w:val="24"/>
          <w:szCs w:val="24"/>
        </w:rPr>
        <w:t>同的，按照技术指标优劣顺序推荐处</w:t>
      </w:r>
      <w:r>
        <w:rPr>
          <w:rFonts w:hint="eastAsia" w:ascii="黑体" w:hAnsi="黑体" w:eastAsia="黑体" w:cs="黑体"/>
          <w:color w:val="auto"/>
          <w:spacing w:val="1"/>
          <w:sz w:val="24"/>
          <w:szCs w:val="24"/>
        </w:rPr>
        <w:t>理方式详见磋商文件第6章。</w:t>
      </w:r>
    </w:p>
    <w:p w14:paraId="76A81F25">
      <w:pPr>
        <w:pStyle w:val="7"/>
        <w:keepNext w:val="0"/>
        <w:keepLines w:val="0"/>
        <w:pageBreakBefore w:val="0"/>
        <w:kinsoku w:val="0"/>
        <w:wordWrap w:val="0"/>
        <w:overflowPunct/>
        <w:topLinePunct w:val="0"/>
        <w:autoSpaceDE/>
        <w:autoSpaceDN/>
        <w:bidi w:val="0"/>
        <w:adjustRightInd w:val="0"/>
        <w:snapToGrid w:val="0"/>
        <w:spacing w:before="1" w:line="360" w:lineRule="auto"/>
        <w:ind w:left="64"/>
        <w:textAlignment w:val="baseline"/>
        <w:rPr>
          <w:rFonts w:hint="eastAsia" w:ascii="黑体" w:hAnsi="黑体" w:eastAsia="黑体" w:cs="黑体"/>
          <w:b/>
          <w:bCs/>
          <w:color w:val="auto"/>
          <w:spacing w:val="1"/>
          <w:sz w:val="24"/>
          <w:szCs w:val="24"/>
        </w:rPr>
      </w:pPr>
      <w:r>
        <w:rPr>
          <w:rFonts w:hint="eastAsia" w:ascii="黑体" w:hAnsi="黑体" w:eastAsia="黑体" w:cs="黑体"/>
          <w:b/>
          <w:bCs/>
          <w:color w:val="auto"/>
          <w:spacing w:val="1"/>
          <w:sz w:val="24"/>
          <w:szCs w:val="24"/>
        </w:rPr>
        <w:t>本项目采用采购方式：竞争性磋商，评分方法：综合评分法。</w:t>
      </w:r>
    </w:p>
    <w:p w14:paraId="738B8FE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14" w:leftChars="0"/>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6"/>
          <w:sz w:val="24"/>
          <w:szCs w:val="24"/>
          <w:lang w:val="en-US" w:eastAsia="zh-CN"/>
        </w:rPr>
        <w:t>27</w:t>
      </w:r>
      <w:r>
        <w:rPr>
          <w:rFonts w:hint="eastAsia" w:ascii="黑体" w:hAnsi="黑体" w:eastAsia="黑体" w:cs="黑体"/>
          <w:b/>
          <w:bCs/>
          <w:color w:val="auto"/>
          <w:spacing w:val="-6"/>
          <w:sz w:val="24"/>
          <w:szCs w:val="24"/>
        </w:rPr>
        <w:t>确定成交候选人和成交人</w:t>
      </w:r>
    </w:p>
    <w:p w14:paraId="5CB0E5A1">
      <w:pPr>
        <w:pStyle w:val="7"/>
        <w:keepNext w:val="0"/>
        <w:keepLines w:val="0"/>
        <w:pageBreakBefore w:val="0"/>
        <w:widowControl/>
        <w:numPr>
          <w:ilvl w:val="0"/>
          <w:numId w:val="0"/>
        </w:numPr>
        <w:kinsoku w:val="0"/>
        <w:wordWrap w:val="0"/>
        <w:overflowPunct/>
        <w:topLinePunct w:val="0"/>
        <w:autoSpaceDE/>
        <w:autoSpaceDN/>
        <w:bidi w:val="0"/>
        <w:adjustRightInd w:val="0"/>
        <w:snapToGrid w:val="0"/>
        <w:spacing w:line="360" w:lineRule="auto"/>
        <w:ind w:left="11" w:leftChars="0" w:firstLine="409" w:firstLineChars="0"/>
        <w:textAlignment w:val="baseline"/>
        <w:rPr>
          <w:rFonts w:hint="eastAsia" w:ascii="黑体" w:hAnsi="黑体" w:eastAsia="黑体" w:cs="黑体"/>
          <w:color w:val="auto"/>
          <w:spacing w:val="-2"/>
          <w:sz w:val="24"/>
          <w:szCs w:val="24"/>
          <w:lang w:eastAsia="zh-CN"/>
        </w:rPr>
      </w:pPr>
      <w:r>
        <w:rPr>
          <w:rFonts w:hint="eastAsia" w:ascii="黑体" w:hAnsi="黑体" w:eastAsia="黑体" w:cs="黑体"/>
          <w:color w:val="auto"/>
          <w:spacing w:val="-2"/>
          <w:sz w:val="24"/>
          <w:szCs w:val="24"/>
        </w:rPr>
        <w:t>评标委员会将根据评标标准，按</w:t>
      </w:r>
      <w:r>
        <w:rPr>
          <w:rFonts w:hint="eastAsia" w:ascii="黑体" w:hAnsi="黑体" w:eastAsia="黑体" w:cs="黑体"/>
          <w:color w:val="auto"/>
          <w:spacing w:val="-2"/>
          <w:sz w:val="24"/>
          <w:szCs w:val="24"/>
          <w:u w:val="single" w:color="auto"/>
        </w:rPr>
        <w:t>供应商须知资料表中</w:t>
      </w:r>
      <w:r>
        <w:rPr>
          <w:rFonts w:hint="eastAsia" w:ascii="黑体" w:hAnsi="黑体" w:eastAsia="黑体" w:cs="黑体"/>
          <w:color w:val="auto"/>
          <w:spacing w:val="-2"/>
          <w:sz w:val="24"/>
          <w:szCs w:val="24"/>
        </w:rPr>
        <w:t>规定数量推荐成交候选人</w:t>
      </w:r>
      <w:r>
        <w:rPr>
          <w:rFonts w:hint="eastAsia" w:ascii="黑体" w:hAnsi="黑体" w:eastAsia="黑体" w:cs="黑体"/>
          <w:color w:val="auto"/>
          <w:spacing w:val="-2"/>
          <w:sz w:val="24"/>
          <w:szCs w:val="24"/>
          <w:lang w:eastAsia="zh-CN"/>
        </w:rPr>
        <w:t>。</w:t>
      </w:r>
    </w:p>
    <w:p w14:paraId="679C76B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2"/>
          <w:sz w:val="24"/>
          <w:szCs w:val="24"/>
          <w:lang w:val="en-US" w:eastAsia="zh-CN"/>
        </w:rPr>
        <w:t>28.</w:t>
      </w:r>
      <w:r>
        <w:rPr>
          <w:rFonts w:hint="eastAsia" w:ascii="黑体" w:hAnsi="黑体" w:eastAsia="黑体" w:cs="黑体"/>
          <w:b/>
          <w:bCs/>
          <w:color w:val="auto"/>
          <w:spacing w:val="-6"/>
          <w:sz w:val="24"/>
          <w:szCs w:val="24"/>
        </w:rPr>
        <w:t>采购任务取消</w:t>
      </w:r>
    </w:p>
    <w:p w14:paraId="3667750F">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14" w:leftChars="0" w:firstLine="405" w:firstLineChars="172"/>
        <w:textAlignment w:val="baseline"/>
        <w:rPr>
          <w:rFonts w:hint="eastAsia" w:ascii="黑体" w:hAnsi="黑体" w:eastAsia="黑体" w:cs="黑体"/>
          <w:color w:val="auto"/>
          <w:sz w:val="24"/>
          <w:szCs w:val="24"/>
        </w:rPr>
      </w:pPr>
      <w:r>
        <w:rPr>
          <w:rFonts w:hint="eastAsia" w:ascii="黑体" w:hAnsi="黑体" w:eastAsia="黑体" w:cs="黑体"/>
          <w:color w:val="auto"/>
          <w:spacing w:val="-2"/>
          <w:sz w:val="24"/>
          <w:szCs w:val="24"/>
        </w:rPr>
        <w:t>因重大变故采购任务取消时，采购人有权拒绝任何供应商成交，且对受影响的供应商</w:t>
      </w:r>
      <w:r>
        <w:rPr>
          <w:rFonts w:hint="eastAsia" w:ascii="黑体" w:hAnsi="黑体" w:eastAsia="黑体" w:cs="黑体"/>
          <w:color w:val="auto"/>
          <w:spacing w:val="-6"/>
          <w:sz w:val="24"/>
          <w:szCs w:val="24"/>
        </w:rPr>
        <w:t>不承担任何责任。</w:t>
      </w:r>
    </w:p>
    <w:p w14:paraId="17EB5FB6">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Chars="0"/>
        <w:textAlignment w:val="baseline"/>
        <w:outlineLvl w:val="6"/>
        <w:rPr>
          <w:rFonts w:hint="eastAsia" w:ascii="黑体" w:hAnsi="黑体" w:eastAsia="黑体" w:cs="黑体"/>
          <w:color w:val="auto"/>
          <w:spacing w:val="-2"/>
          <w:sz w:val="24"/>
          <w:szCs w:val="24"/>
        </w:rPr>
      </w:pPr>
      <w:r>
        <w:rPr>
          <w:rFonts w:hint="eastAsia" w:ascii="黑体" w:hAnsi="黑体" w:eastAsia="黑体" w:cs="黑体"/>
          <w:b/>
          <w:bCs/>
          <w:color w:val="auto"/>
          <w:spacing w:val="-6"/>
          <w:sz w:val="24"/>
          <w:szCs w:val="24"/>
          <w:lang w:val="en-US" w:eastAsia="zh-CN"/>
        </w:rPr>
        <w:t>29.</w:t>
      </w:r>
      <w:r>
        <w:rPr>
          <w:rFonts w:hint="eastAsia" w:ascii="黑体" w:hAnsi="黑体" w:eastAsia="黑体" w:cs="黑体"/>
          <w:b/>
          <w:bCs/>
          <w:color w:val="auto"/>
          <w:spacing w:val="-6"/>
          <w:sz w:val="24"/>
          <w:szCs w:val="24"/>
        </w:rPr>
        <w:t>成交通知书和招标结果通知书</w:t>
      </w:r>
    </w:p>
    <w:p w14:paraId="11C62DFC">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7" w:firstLineChars="177"/>
        <w:textAlignment w:val="baseline"/>
        <w:outlineLvl w:val="6"/>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29.1在投标有效期内，成交人确定后，采购人或者采购代理机构发布成交公告，同时以书面形式向成交人发出成交通知书。</w:t>
      </w:r>
    </w:p>
    <w:p w14:paraId="06363DAE">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7" w:firstLineChars="177"/>
        <w:textAlignment w:val="baseline"/>
        <w:outlineLvl w:val="6"/>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29.2成交通知书是合同的组成部分。</w:t>
      </w:r>
    </w:p>
    <w:p w14:paraId="521282AE">
      <w:pPr>
        <w:pStyle w:val="7"/>
        <w:keepNext w:val="0"/>
        <w:keepLines w:val="0"/>
        <w:pageBreakBefore w:val="0"/>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b/>
          <w:bCs/>
          <w:color w:val="auto"/>
          <w:spacing w:val="-7"/>
          <w:sz w:val="24"/>
          <w:szCs w:val="24"/>
        </w:rPr>
      </w:pPr>
      <w:r>
        <w:rPr>
          <w:rFonts w:hint="eastAsia" w:ascii="黑体" w:hAnsi="黑体" w:eastAsia="黑体" w:cs="黑体"/>
          <w:b/>
          <w:bCs/>
          <w:color w:val="auto"/>
          <w:spacing w:val="-7"/>
          <w:sz w:val="24"/>
          <w:szCs w:val="24"/>
        </w:rPr>
        <w:t>30.签订合同</w:t>
      </w:r>
    </w:p>
    <w:p w14:paraId="0743DEB3">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84"/>
        <w:textAlignment w:val="baseline"/>
        <w:outlineLvl w:val="6"/>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30.1成交人应当自发出成交通知书之日起30日内，与采购人签订合同。</w:t>
      </w:r>
    </w:p>
    <w:p w14:paraId="62A34E60">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34" w:firstLineChars="184"/>
        <w:textAlignment w:val="baseline"/>
        <w:outlineLvl w:val="6"/>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30.2磋商文件、成交人的响应文件及其澄清文件等，均为签订合同的依据。</w:t>
      </w:r>
    </w:p>
    <w:p w14:paraId="5D9C20AC">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48" w:firstLineChars="184"/>
        <w:textAlignment w:val="baseline"/>
        <w:outlineLvl w:val="6"/>
        <w:rPr>
          <w:rFonts w:hint="eastAsia" w:ascii="黑体" w:hAnsi="黑体" w:eastAsia="黑体" w:cs="黑体"/>
          <w:color w:val="auto"/>
          <w:spacing w:val="1"/>
          <w:sz w:val="24"/>
          <w:szCs w:val="24"/>
          <w:lang w:eastAsia="zh-CN"/>
        </w:rPr>
      </w:pPr>
      <w:r>
        <w:rPr>
          <w:rFonts w:hint="eastAsia" w:ascii="黑体" w:hAnsi="黑体" w:eastAsia="黑体" w:cs="黑体"/>
          <w:color w:val="auto"/>
          <w:spacing w:val="2"/>
          <w:sz w:val="24"/>
          <w:szCs w:val="24"/>
        </w:rPr>
        <w:t>30.3成交人拒绝与采购人签订合同的</w:t>
      </w:r>
      <w:r>
        <w:rPr>
          <w:rFonts w:hint="eastAsia" w:ascii="黑体" w:hAnsi="黑体" w:eastAsia="黑体" w:cs="黑体"/>
          <w:color w:val="auto"/>
          <w:spacing w:val="1"/>
          <w:sz w:val="24"/>
          <w:szCs w:val="24"/>
        </w:rPr>
        <w:t>，采购人可以按照评审报告推荐的成交候选人名单排序，确定下一成交候选人为成交人，也可以重新开展政府采购活动</w:t>
      </w:r>
      <w:r>
        <w:rPr>
          <w:rFonts w:hint="eastAsia" w:ascii="黑体" w:hAnsi="黑体" w:eastAsia="黑体" w:cs="黑体"/>
          <w:color w:val="auto"/>
          <w:spacing w:val="1"/>
          <w:sz w:val="24"/>
          <w:szCs w:val="24"/>
          <w:lang w:eastAsia="zh-CN"/>
        </w:rPr>
        <w:t>。</w:t>
      </w:r>
    </w:p>
    <w:p w14:paraId="3158957A">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45" w:firstLineChars="184"/>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30.4当出现法规规定的成交无效或成交结果无效情形时，采购人可与排名下一位的成交候选人另行签订合同，或依法重新开展采购活动。</w:t>
      </w:r>
    </w:p>
    <w:p w14:paraId="41430CCA">
      <w:pPr>
        <w:pStyle w:val="7"/>
        <w:keepNext w:val="0"/>
        <w:keepLines w:val="0"/>
        <w:pageBreakBefore w:val="0"/>
        <w:kinsoku w:val="0"/>
        <w:wordWrap w:val="0"/>
        <w:overflowPunct/>
        <w:topLinePunct w:val="0"/>
        <w:autoSpaceDE/>
        <w:autoSpaceDN/>
        <w:bidi w:val="0"/>
        <w:adjustRightInd w:val="0"/>
        <w:snapToGrid w:val="0"/>
        <w:spacing w:line="360" w:lineRule="auto"/>
        <w:ind w:left="0"/>
        <w:textAlignment w:val="baseline"/>
        <w:outlineLvl w:val="6"/>
        <w:rPr>
          <w:rFonts w:hint="eastAsia" w:ascii="黑体" w:hAnsi="黑体" w:eastAsia="黑体" w:cs="黑体"/>
          <w:color w:val="auto"/>
          <w:sz w:val="24"/>
          <w:szCs w:val="24"/>
        </w:rPr>
      </w:pPr>
      <w:r>
        <w:rPr>
          <w:rFonts w:hint="eastAsia" w:ascii="黑体" w:hAnsi="黑体" w:eastAsia="黑体" w:cs="黑体"/>
          <w:b/>
          <w:bCs/>
          <w:color w:val="auto"/>
          <w:spacing w:val="-7"/>
          <w:sz w:val="24"/>
          <w:szCs w:val="24"/>
        </w:rPr>
        <w:t>31.履约保证金</w:t>
      </w:r>
    </w:p>
    <w:p w14:paraId="58CC2CD3">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84"/>
        <w:jc w:val="left"/>
        <w:textAlignment w:val="baseline"/>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31.1成交人应按照供应商须知资料表规定向采购人缴纳履约保证金（如采用保函形式，格式见本章附件1）。</w:t>
      </w:r>
    </w:p>
    <w:p w14:paraId="47E3EA8F">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9" w:firstLineChars="184"/>
        <w:jc w:val="left"/>
        <w:textAlignment w:val="baseline"/>
        <w:rPr>
          <w:rFonts w:hint="eastAsia" w:ascii="黑体" w:hAnsi="黑体" w:eastAsia="黑体" w:cs="黑体"/>
          <w:color w:val="auto"/>
          <w:spacing w:val="-6"/>
          <w:sz w:val="24"/>
          <w:szCs w:val="24"/>
          <w:lang w:eastAsia="zh-CN"/>
        </w:rPr>
      </w:pPr>
      <w:r>
        <w:rPr>
          <w:rFonts w:hint="eastAsia" w:ascii="黑体" w:hAnsi="黑体" w:eastAsia="黑体" w:cs="黑体"/>
          <w:color w:val="auto"/>
          <w:spacing w:val="-6"/>
          <w:sz w:val="24"/>
          <w:szCs w:val="24"/>
        </w:rPr>
        <w:t>31.2政府采购利用担保试点范围内的项目，除31.1规定的情形外，成交人也可以按照财政部门的规定，向采购人提供合格的履约担保函（格式见本章附件2）</w:t>
      </w:r>
      <w:r>
        <w:rPr>
          <w:rFonts w:hint="eastAsia" w:ascii="黑体" w:hAnsi="黑体" w:eastAsia="黑体" w:cs="黑体"/>
          <w:color w:val="auto"/>
          <w:spacing w:val="-6"/>
          <w:sz w:val="24"/>
          <w:szCs w:val="24"/>
          <w:lang w:eastAsia="zh-CN"/>
        </w:rPr>
        <w:t>。</w:t>
      </w:r>
    </w:p>
    <w:p w14:paraId="07F0BEB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37" w:firstLineChars="184"/>
        <w:jc w:val="both"/>
        <w:textAlignment w:val="baseline"/>
        <w:rPr>
          <w:rFonts w:hint="eastAsia" w:ascii="黑体" w:hAnsi="黑体" w:eastAsia="黑体" w:cs="黑体"/>
          <w:color w:val="auto"/>
          <w:spacing w:val="-5"/>
          <w:sz w:val="24"/>
          <w:szCs w:val="24"/>
        </w:rPr>
      </w:pPr>
      <w:r>
        <w:rPr>
          <w:rFonts w:hint="eastAsia" w:ascii="黑体" w:hAnsi="黑体" w:eastAsia="黑体" w:cs="黑体"/>
          <w:color w:val="auto"/>
          <w:spacing w:val="-1"/>
          <w:sz w:val="24"/>
          <w:szCs w:val="24"/>
        </w:rPr>
        <w:t>31.3如果成交人没有按照上述履约保证金的规定</w:t>
      </w:r>
      <w:r>
        <w:rPr>
          <w:rFonts w:hint="eastAsia" w:ascii="黑体" w:hAnsi="黑体" w:eastAsia="黑体" w:cs="黑体"/>
          <w:color w:val="auto"/>
          <w:spacing w:val="-2"/>
          <w:sz w:val="24"/>
          <w:szCs w:val="24"/>
        </w:rPr>
        <w:t>执行，将视为放弃成交资格</w:t>
      </w:r>
      <w:r>
        <w:rPr>
          <w:rFonts w:hint="eastAsia" w:ascii="黑体" w:hAnsi="黑体" w:eastAsia="黑体" w:cs="黑体"/>
          <w:color w:val="auto"/>
          <w:spacing w:val="-2"/>
          <w:sz w:val="24"/>
          <w:szCs w:val="24"/>
          <w:lang w:eastAsia="zh-CN"/>
        </w:rPr>
        <w:t>，</w:t>
      </w:r>
      <w:r>
        <w:rPr>
          <w:rFonts w:hint="eastAsia" w:ascii="黑体" w:hAnsi="黑体" w:eastAsia="黑体" w:cs="黑体"/>
          <w:color w:val="auto"/>
          <w:spacing w:val="-2"/>
          <w:sz w:val="24"/>
          <w:szCs w:val="24"/>
        </w:rPr>
        <w:t>成交人</w:t>
      </w:r>
      <w:r>
        <w:rPr>
          <w:rFonts w:hint="eastAsia" w:ascii="黑体" w:hAnsi="黑体" w:eastAsia="黑体" w:cs="黑体"/>
          <w:color w:val="auto"/>
          <w:spacing w:val="1"/>
          <w:sz w:val="24"/>
          <w:szCs w:val="24"/>
        </w:rPr>
        <w:t>的磋商保证金将不予退还。在此情况下，采购人可确定下一</w:t>
      </w:r>
      <w:r>
        <w:rPr>
          <w:rFonts w:hint="eastAsia" w:ascii="黑体" w:hAnsi="黑体" w:eastAsia="黑体" w:cs="黑体"/>
          <w:color w:val="auto"/>
          <w:sz w:val="24"/>
          <w:szCs w:val="24"/>
        </w:rPr>
        <w:t>候选人为成交人，也可以重新</w:t>
      </w:r>
      <w:r>
        <w:rPr>
          <w:rFonts w:hint="eastAsia" w:ascii="黑体" w:hAnsi="黑体" w:eastAsia="黑体" w:cs="黑体"/>
          <w:color w:val="auto"/>
          <w:spacing w:val="-5"/>
          <w:sz w:val="24"/>
          <w:szCs w:val="24"/>
        </w:rPr>
        <w:t>开展采购活动。</w:t>
      </w:r>
    </w:p>
    <w:p w14:paraId="7C1A1E6C">
      <w:pPr>
        <w:pStyle w:val="7"/>
        <w:keepNext w:val="0"/>
        <w:keepLines w:val="0"/>
        <w:pageBreakBefore w:val="0"/>
        <w:kinsoku w:val="0"/>
        <w:wordWrap w:val="0"/>
        <w:overflowPunct/>
        <w:topLinePunct w:val="0"/>
        <w:autoSpaceDE/>
        <w:autoSpaceDN/>
        <w:bidi w:val="0"/>
        <w:adjustRightInd w:val="0"/>
        <w:snapToGrid w:val="0"/>
        <w:spacing w:before="48" w:line="360" w:lineRule="auto"/>
        <w:ind w:right="2"/>
        <w:jc w:val="both"/>
        <w:textAlignment w:val="baseline"/>
        <w:rPr>
          <w:rFonts w:hint="eastAsia" w:ascii="黑体" w:hAnsi="黑体" w:eastAsia="黑体" w:cs="黑体"/>
          <w:b/>
          <w:bCs/>
          <w:color w:val="auto"/>
          <w:spacing w:val="-7"/>
          <w:sz w:val="24"/>
          <w:szCs w:val="24"/>
        </w:rPr>
      </w:pPr>
      <w:r>
        <w:rPr>
          <w:rFonts w:hint="eastAsia" w:ascii="黑体" w:hAnsi="黑体" w:eastAsia="黑体" w:cs="黑体"/>
          <w:b/>
          <w:bCs/>
          <w:color w:val="auto"/>
          <w:spacing w:val="-7"/>
          <w:sz w:val="24"/>
          <w:szCs w:val="24"/>
        </w:rPr>
        <w:t>32.成交服务费按照代理费收费标准协商确定，代理费由成交单位支付。</w:t>
      </w:r>
    </w:p>
    <w:p w14:paraId="023FB11D">
      <w:pPr>
        <w:pStyle w:val="7"/>
        <w:keepNext w:val="0"/>
        <w:keepLines w:val="0"/>
        <w:pageBreakBefore w:val="0"/>
        <w:kinsoku w:val="0"/>
        <w:wordWrap w:val="0"/>
        <w:overflowPunct/>
        <w:topLinePunct w:val="0"/>
        <w:autoSpaceDE/>
        <w:autoSpaceDN/>
        <w:bidi w:val="0"/>
        <w:adjustRightInd w:val="0"/>
        <w:snapToGrid w:val="0"/>
        <w:spacing w:before="1" w:line="360" w:lineRule="auto"/>
        <w:textAlignment w:val="baseline"/>
        <w:rPr>
          <w:rFonts w:hint="eastAsia" w:ascii="黑体" w:hAnsi="黑体" w:eastAsia="黑体" w:cs="黑体"/>
          <w:b/>
          <w:bCs/>
          <w:color w:val="auto"/>
          <w:spacing w:val="-6"/>
          <w:sz w:val="24"/>
          <w:szCs w:val="24"/>
        </w:rPr>
      </w:pPr>
      <w:r>
        <w:rPr>
          <w:rFonts w:hint="eastAsia" w:ascii="黑体" w:hAnsi="黑体" w:eastAsia="黑体" w:cs="黑体"/>
          <w:b/>
          <w:bCs/>
          <w:color w:val="auto"/>
          <w:spacing w:val="-6"/>
          <w:sz w:val="24"/>
          <w:szCs w:val="24"/>
        </w:rPr>
        <w:t>33.政府采购信用担保</w:t>
      </w:r>
    </w:p>
    <w:p w14:paraId="71A812D1">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33.1本项目是否属于信用担保试点范围见供应商须知资料表。</w:t>
      </w:r>
    </w:p>
    <w:p w14:paraId="0179E81B">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33.2如属于政府采购信用担保试点范围内，中小型企业供应商可以自由按照财政部门的规定，采用投标担保、履约担保和融资担保。</w:t>
      </w:r>
    </w:p>
    <w:p w14:paraId="0EA6AB6C">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33.2.1供应商递交的投标担保函和履约担保函应符合本磋商文件的规定。</w:t>
      </w:r>
    </w:p>
    <w:p w14:paraId="040EB1EA">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33.2.2成交人可以采取融资担保的形式为政府采购项目履约进行融资。</w:t>
      </w:r>
    </w:p>
    <w:p w14:paraId="6435B47B">
      <w:pPr>
        <w:pStyle w:val="7"/>
        <w:keepNext w:val="0"/>
        <w:keepLines w:val="0"/>
        <w:pageBreakBefore w:val="0"/>
        <w:kinsoku w:val="0"/>
        <w:wordWrap w:val="0"/>
        <w:overflowPunct/>
        <w:topLinePunct w:val="0"/>
        <w:autoSpaceDE/>
        <w:autoSpaceDN/>
        <w:bidi w:val="0"/>
        <w:adjustRightInd w:val="0"/>
        <w:snapToGrid w:val="0"/>
        <w:spacing w:before="1" w:line="360" w:lineRule="auto"/>
        <w:textAlignment w:val="baseline"/>
        <w:rPr>
          <w:rFonts w:hint="eastAsia" w:ascii="黑体" w:hAnsi="黑体" w:eastAsia="黑体" w:cs="黑体"/>
          <w:b/>
          <w:bCs/>
          <w:color w:val="auto"/>
          <w:spacing w:val="-7"/>
          <w:sz w:val="24"/>
          <w:szCs w:val="24"/>
        </w:rPr>
      </w:pPr>
      <w:r>
        <w:rPr>
          <w:rFonts w:hint="eastAsia" w:ascii="黑体" w:hAnsi="黑体" w:eastAsia="黑体" w:cs="黑体"/>
          <w:b/>
          <w:bCs/>
          <w:color w:val="auto"/>
          <w:spacing w:val="-7"/>
          <w:sz w:val="24"/>
          <w:szCs w:val="24"/>
        </w:rPr>
        <w:t>34.廉洁自律规定</w:t>
      </w:r>
    </w:p>
    <w:p w14:paraId="39218A05">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34.1采购代理机构工作人员不得以不正当手段获取政府采购代理业务，不得与采购人、供应商恶意串通操纵政府采购活动。</w:t>
      </w:r>
    </w:p>
    <w:p w14:paraId="1CE3CEC8">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34.2采购代理机构工作人员不得接受采购人或者供应商组织的宴请、旅游、娱乐</w:t>
      </w:r>
      <w:r>
        <w:rPr>
          <w:rFonts w:hint="eastAsia" w:ascii="黑体" w:hAnsi="黑体" w:eastAsia="黑体" w:cs="黑体"/>
          <w:color w:val="auto"/>
          <w:spacing w:val="-2"/>
          <w:sz w:val="24"/>
          <w:szCs w:val="24"/>
          <w:lang w:eastAsia="zh-CN"/>
        </w:rPr>
        <w:t>，</w:t>
      </w:r>
      <w:r>
        <w:rPr>
          <w:rFonts w:hint="eastAsia" w:ascii="黑体" w:hAnsi="黑体" w:eastAsia="黑体" w:cs="黑体"/>
          <w:color w:val="auto"/>
          <w:spacing w:val="-2"/>
          <w:sz w:val="24"/>
          <w:szCs w:val="24"/>
        </w:rPr>
        <w:t>不得收受礼品、现金、有价证券等，不得向采购人或者供应商报销应当由个人承担的费用。</w:t>
      </w:r>
    </w:p>
    <w:p w14:paraId="388D40DE">
      <w:pPr>
        <w:pStyle w:val="7"/>
        <w:keepNext w:val="0"/>
        <w:keepLines w:val="0"/>
        <w:pageBreakBefore w:val="0"/>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34.3为强化采购代理机构内部监督机制，供应商可按供应商须知资料表中的监督电话和邮箱，反映采购代理机构的廉洁自律等问题。</w:t>
      </w:r>
    </w:p>
    <w:p w14:paraId="5D19B448">
      <w:pPr>
        <w:pStyle w:val="7"/>
        <w:keepNext w:val="0"/>
        <w:keepLines w:val="0"/>
        <w:pageBreakBefore w:val="0"/>
        <w:numPr>
          <w:ilvl w:val="0"/>
          <w:numId w:val="10"/>
        </w:numPr>
        <w:kinsoku w:val="0"/>
        <w:wordWrap w:val="0"/>
        <w:overflowPunct/>
        <w:topLinePunct w:val="0"/>
        <w:autoSpaceDE/>
        <w:autoSpaceDN/>
        <w:bidi w:val="0"/>
        <w:adjustRightInd w:val="0"/>
        <w:snapToGrid w:val="0"/>
        <w:spacing w:line="360" w:lineRule="auto"/>
        <w:textAlignment w:val="baseline"/>
        <w:rPr>
          <w:rFonts w:hint="eastAsia" w:ascii="黑体" w:hAnsi="黑体" w:eastAsia="黑体" w:cs="黑体"/>
          <w:color w:val="auto"/>
          <w:spacing w:val="-2"/>
          <w:sz w:val="24"/>
          <w:szCs w:val="24"/>
        </w:rPr>
      </w:pPr>
      <w:r>
        <w:rPr>
          <w:rFonts w:hint="eastAsia" w:ascii="黑体" w:hAnsi="黑体" w:eastAsia="黑体" w:cs="黑体"/>
          <w:b/>
          <w:bCs/>
          <w:color w:val="auto"/>
          <w:spacing w:val="-7"/>
          <w:sz w:val="24"/>
          <w:szCs w:val="24"/>
        </w:rPr>
        <w:t>人员回避</w:t>
      </w:r>
    </w:p>
    <w:p w14:paraId="42EAC5AF">
      <w:pPr>
        <w:pStyle w:val="7"/>
        <w:keepNext w:val="0"/>
        <w:keepLines w:val="0"/>
        <w:pageBreakBefore w:val="0"/>
        <w:numPr>
          <w:ilvl w:val="0"/>
          <w:numId w:val="0"/>
        </w:numPr>
        <w:kinsoku w:val="0"/>
        <w:wordWrap w:val="0"/>
        <w:overflowPunct/>
        <w:topLinePunct w:val="0"/>
        <w:autoSpaceDE/>
        <w:autoSpaceDN/>
        <w:bidi w:val="0"/>
        <w:adjustRightInd w:val="0"/>
        <w:snapToGrid w:val="0"/>
        <w:spacing w:before="1" w:line="360" w:lineRule="auto"/>
        <w:ind w:left="0" w:leftChars="0" w:firstLine="417" w:firstLineChars="177"/>
        <w:textAlignment w:val="baseline"/>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供应商认为采购人员及其相关人员有法律法规所列与其他供应商有利害关系的，可以向采购人或采购代理机构书面提出回避申请，并说明理由。</w:t>
      </w:r>
    </w:p>
    <w:p w14:paraId="5FFD8075">
      <w:pPr>
        <w:pStyle w:val="7"/>
        <w:keepNext w:val="0"/>
        <w:keepLines w:val="0"/>
        <w:pageBreakBefore w:val="0"/>
        <w:numPr>
          <w:ilvl w:val="0"/>
          <w:numId w:val="10"/>
        </w:numPr>
        <w:kinsoku w:val="0"/>
        <w:wordWrap w:val="0"/>
        <w:overflowPunct/>
        <w:topLinePunct w:val="0"/>
        <w:autoSpaceDE/>
        <w:autoSpaceDN/>
        <w:bidi w:val="0"/>
        <w:adjustRightInd w:val="0"/>
        <w:snapToGrid w:val="0"/>
        <w:spacing w:line="360" w:lineRule="auto"/>
        <w:ind w:left="0" w:leftChars="0" w:firstLine="0" w:firstLineChars="0"/>
        <w:textAlignment w:val="baseline"/>
        <w:outlineLvl w:val="6"/>
        <w:rPr>
          <w:rFonts w:hint="eastAsia" w:ascii="黑体" w:hAnsi="黑体" w:eastAsia="黑体" w:cs="黑体"/>
          <w:color w:val="auto"/>
          <w:spacing w:val="1"/>
          <w:sz w:val="24"/>
          <w:szCs w:val="24"/>
        </w:rPr>
      </w:pPr>
      <w:r>
        <w:rPr>
          <w:rFonts w:hint="eastAsia" w:ascii="黑体" w:hAnsi="黑体" w:eastAsia="黑体" w:cs="黑体"/>
          <w:b/>
          <w:bCs/>
          <w:color w:val="auto"/>
          <w:spacing w:val="-7"/>
          <w:sz w:val="24"/>
          <w:szCs w:val="24"/>
        </w:rPr>
        <w:t>质疑与接收</w:t>
      </w:r>
    </w:p>
    <w:p w14:paraId="1C053BF8">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6"/>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36.1供应商认为磋商文件、磋商过程和成交结果使自己的权益受到损害的，可以根据</w:t>
      </w:r>
      <w:r>
        <w:rPr>
          <w:rFonts w:hint="eastAsia" w:ascii="黑体" w:hAnsi="黑体" w:eastAsia="黑体" w:cs="黑体"/>
          <w:color w:val="auto"/>
          <w:spacing w:val="1"/>
          <w:sz w:val="24"/>
          <w:szCs w:val="24"/>
        </w:rPr>
        <w:t>《中华人民共和国政府采购法》、《中华人民共和国政府采购法实施条例》和《政府采购</w:t>
      </w:r>
      <w:r>
        <w:rPr>
          <w:rFonts w:hint="eastAsia" w:ascii="黑体" w:hAnsi="黑体" w:eastAsia="黑体" w:cs="黑体"/>
          <w:color w:val="auto"/>
          <w:spacing w:val="-2"/>
          <w:sz w:val="24"/>
          <w:szCs w:val="24"/>
        </w:rPr>
        <w:t>质</w:t>
      </w:r>
      <w:r>
        <w:rPr>
          <w:rFonts w:hint="eastAsia" w:ascii="黑体" w:hAnsi="黑体" w:eastAsia="黑体" w:cs="黑体"/>
          <w:color w:val="auto"/>
          <w:spacing w:val="1"/>
          <w:sz w:val="24"/>
          <w:szCs w:val="24"/>
        </w:rPr>
        <w:t>疑和投诉办法》的有关规定，依法向采购人或其委托的采购代理机构提出质疑。质疑供应商应按照财政部制定的《政府采购质疑函范本》格式（可从财政部官方网站下载）和《政府采购质疑和投诉办法》的要求</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6B1CD6A2">
      <w:pPr>
        <w:pStyle w:val="7"/>
        <w:keepNext w:val="0"/>
        <w:keepLines w:val="0"/>
        <w:pageBreakBefore w:val="0"/>
        <w:kinsoku w:val="0"/>
        <w:wordWrap w:val="0"/>
        <w:overflowPunct/>
        <w:topLinePunct w:val="0"/>
        <w:autoSpaceDE/>
        <w:autoSpaceDN/>
        <w:bidi w:val="0"/>
        <w:adjustRightInd w:val="0"/>
        <w:snapToGrid w:val="0"/>
        <w:spacing w:before="49" w:line="360" w:lineRule="auto"/>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采购代理机构质疑函接收部门、联系电话和通讯地址,见</w:t>
      </w:r>
      <w:r>
        <w:rPr>
          <w:rFonts w:hint="eastAsia" w:ascii="黑体" w:hAnsi="黑体" w:eastAsia="黑体" w:cs="黑体"/>
          <w:color w:val="auto"/>
          <w:spacing w:val="1"/>
          <w:sz w:val="24"/>
          <w:szCs w:val="24"/>
          <w:u w:val="single"/>
        </w:rPr>
        <w:t>供应商须知资料表</w:t>
      </w:r>
      <w:r>
        <w:rPr>
          <w:rFonts w:hint="eastAsia" w:ascii="黑体" w:hAnsi="黑体" w:eastAsia="黑体" w:cs="黑体"/>
          <w:color w:val="auto"/>
          <w:spacing w:val="1"/>
          <w:sz w:val="24"/>
          <w:szCs w:val="24"/>
        </w:rPr>
        <w:t>。</w:t>
      </w:r>
    </w:p>
    <w:p w14:paraId="005951BB">
      <w:pPr>
        <w:pStyle w:val="7"/>
        <w:keepNext w:val="0"/>
        <w:keepLines w:val="0"/>
        <w:pageBreakBefore w:val="0"/>
        <w:numPr>
          <w:ilvl w:val="0"/>
          <w:numId w:val="10"/>
        </w:numPr>
        <w:kinsoku w:val="0"/>
        <w:wordWrap w:val="0"/>
        <w:overflowPunct/>
        <w:topLinePunct w:val="0"/>
        <w:autoSpaceDE/>
        <w:autoSpaceDN/>
        <w:bidi w:val="0"/>
        <w:adjustRightInd w:val="0"/>
        <w:snapToGrid w:val="0"/>
        <w:spacing w:line="360" w:lineRule="auto"/>
        <w:ind w:left="0" w:leftChars="0" w:firstLine="0" w:firstLineChars="0"/>
        <w:textAlignment w:val="baseline"/>
        <w:outlineLvl w:val="6"/>
        <w:rPr>
          <w:rFonts w:hint="eastAsia" w:ascii="黑体" w:hAnsi="黑体" w:eastAsia="黑体" w:cs="黑体"/>
          <w:color w:val="auto"/>
          <w:spacing w:val="1"/>
          <w:sz w:val="24"/>
          <w:szCs w:val="24"/>
        </w:rPr>
      </w:pPr>
      <w:r>
        <w:rPr>
          <w:rFonts w:hint="eastAsia" w:ascii="黑体" w:hAnsi="黑体" w:eastAsia="黑体" w:cs="黑体"/>
          <w:b/>
          <w:bCs/>
          <w:color w:val="auto"/>
          <w:spacing w:val="-7"/>
          <w:sz w:val="24"/>
          <w:szCs w:val="24"/>
        </w:rPr>
        <w:t>质疑的提出</w:t>
      </w:r>
    </w:p>
    <w:p w14:paraId="6ECD4C38">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37.1本采购文件中所称质疑及答复，是指参加本次采购活动的投标人对政府采购活动中的采购文件、采购过程和成交结果向采购方提出质疑，采购方答复质疑的行为。</w:t>
      </w:r>
    </w:p>
    <w:p w14:paraId="58F05E71">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37.2投标人认为采购文件、采购过程和成交结果使自己的权益受到损害的，可以在知道或者应知其权益受到损害之日起7个工作日内，以书面形式向采购方提出质疑。投标人应知其权益受到损害之日，是指：</w:t>
      </w:r>
    </w:p>
    <w:p w14:paraId="4868CD94">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（一）对可以质疑的采购文件提出质疑的，为收到采购文件之日或者采购文件公告期限届满之日；</w:t>
      </w:r>
    </w:p>
    <w:p w14:paraId="24A9CB2E">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（二）对采购过程提出质疑的，为各采购程序环节结束之日；</w:t>
      </w:r>
    </w:p>
    <w:p w14:paraId="361AD8E3">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（三）对成交结果提出质疑的，为成交结果公告期限届满之日。</w:t>
      </w:r>
    </w:p>
    <w:p w14:paraId="1C67273C">
      <w:pPr>
        <w:pStyle w:val="7"/>
        <w:keepNext w:val="0"/>
        <w:keepLines w:val="0"/>
        <w:pageBreakBefore w:val="0"/>
        <w:widowControl/>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37.3对可以质疑的采购文件提出质疑的，质疑人为参与本项目的报价方或潜在报价方。可质疑的文件为采购公告以及采购文件（包括属于其组成部分的澄清、修改、补充文件和评审标准、合同文本等）。</w:t>
      </w:r>
    </w:p>
    <w:p w14:paraId="156E1B80">
      <w:pPr>
        <w:pStyle w:val="7"/>
        <w:keepNext w:val="0"/>
        <w:keepLines w:val="0"/>
        <w:pageBreakBefore w:val="0"/>
        <w:widowControl/>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37.4对采购过程和成交结果提出质疑的，质疑人为直接参与本项目的报价方</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采购过程,即从采购项目信息公告发布起到成交结果公告止，包括采购文件的发出、提交投标文件、投标文件开启、评审等各个采购程序环节。</w:t>
      </w:r>
    </w:p>
    <w:p w14:paraId="73F02FA1">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37.5提出质疑应当符合下列条件：</w:t>
      </w:r>
    </w:p>
    <w:p w14:paraId="45400A8A">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（一）质疑主体应当符合有关规定；</w:t>
      </w:r>
    </w:p>
    <w:p w14:paraId="3F25FA88">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（二）在质疑法定期限内提出；</w:t>
      </w:r>
    </w:p>
    <w:p w14:paraId="715ED922">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lang w:eastAsia="zh-CN"/>
        </w:rPr>
      </w:pPr>
      <w:r>
        <w:rPr>
          <w:rFonts w:hint="eastAsia" w:ascii="黑体" w:hAnsi="黑体" w:eastAsia="黑体" w:cs="黑体"/>
          <w:color w:val="auto"/>
          <w:spacing w:val="1"/>
          <w:sz w:val="24"/>
          <w:szCs w:val="24"/>
        </w:rPr>
        <w:t>（三）属于可以提出质疑的政府采购事项受理范围和本项目采购人的管辖权范围</w:t>
      </w:r>
      <w:r>
        <w:rPr>
          <w:rFonts w:hint="eastAsia" w:ascii="黑体" w:hAnsi="黑体" w:eastAsia="黑体" w:cs="黑体"/>
          <w:color w:val="auto"/>
          <w:spacing w:val="1"/>
          <w:sz w:val="24"/>
          <w:szCs w:val="24"/>
          <w:lang w:eastAsia="zh-CN"/>
        </w:rPr>
        <w:t>；</w:t>
      </w:r>
    </w:p>
    <w:p w14:paraId="7375C777">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（四）政府采购法律、法规、规章规定的其他条件。</w:t>
      </w:r>
    </w:p>
    <w:p w14:paraId="5C451876">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lang w:eastAsia="zh-CN"/>
        </w:rPr>
      </w:pPr>
      <w:r>
        <w:rPr>
          <w:rFonts w:hint="eastAsia" w:ascii="黑体" w:hAnsi="黑体" w:eastAsia="黑体" w:cs="黑体"/>
          <w:color w:val="auto"/>
          <w:spacing w:val="1"/>
          <w:sz w:val="24"/>
          <w:szCs w:val="24"/>
        </w:rPr>
        <w:t>37.6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r>
        <w:rPr>
          <w:rFonts w:hint="eastAsia" w:ascii="黑体" w:hAnsi="黑体" w:eastAsia="黑体" w:cs="黑体"/>
          <w:color w:val="auto"/>
          <w:spacing w:val="1"/>
          <w:sz w:val="24"/>
          <w:szCs w:val="24"/>
          <w:lang w:eastAsia="zh-CN"/>
        </w:rPr>
        <w:t>。</w:t>
      </w:r>
    </w:p>
    <w:p w14:paraId="3FC38E3E">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37.7质疑人所提供的证明材料应当具有真实性、合法性以及与质疑事项的关联性和证明力，否则不能作为认定该质疑事项成立的依据。</w:t>
      </w:r>
    </w:p>
    <w:p w14:paraId="3E1372ED">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37.8质疑人提出质疑时应当提交质疑函。质疑函包括下列内容：</w:t>
      </w:r>
    </w:p>
    <w:p w14:paraId="70BC0113">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（一）提出质疑的质疑人的名称、地址、邮编、联系人及联系电话等；</w:t>
      </w:r>
    </w:p>
    <w:p w14:paraId="72500E30">
      <w:pPr>
        <w:pStyle w:val="7"/>
        <w:keepNext w:val="0"/>
        <w:keepLines w:val="0"/>
        <w:pageBreakBefore w:val="0"/>
        <w:kinsoku w:val="0"/>
        <w:wordWrap w:val="0"/>
        <w:overflowPunct/>
        <w:topLinePunct w:val="0"/>
        <w:autoSpaceDE/>
        <w:autoSpaceDN/>
        <w:bidi w:val="0"/>
        <w:adjustRightInd w:val="0"/>
        <w:snapToGrid w:val="0"/>
        <w:spacing w:before="49"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（二）质疑项目的名称、编号；</w:t>
      </w:r>
    </w:p>
    <w:p w14:paraId="747F578B">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outlineLvl w:val="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（三）质疑事项；</w:t>
      </w:r>
    </w:p>
    <w:p w14:paraId="6144F00F">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（四）事实依据和证明材料；</w:t>
      </w:r>
    </w:p>
    <w:p w14:paraId="6B625542">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394" w:firstLineChars="173"/>
        <w:textAlignment w:val="baseline"/>
        <w:rPr>
          <w:rFonts w:hint="eastAsia" w:ascii="黑体" w:hAnsi="黑体" w:eastAsia="黑体" w:cs="黑体"/>
          <w:color w:val="auto"/>
          <w:sz w:val="24"/>
          <w:szCs w:val="24"/>
        </w:rPr>
      </w:pPr>
      <w:r>
        <w:rPr>
          <w:rFonts w:hint="eastAsia" w:ascii="黑体" w:hAnsi="黑体" w:eastAsia="黑体" w:cs="黑体"/>
          <w:color w:val="auto"/>
          <w:spacing w:val="-6"/>
          <w:sz w:val="24"/>
          <w:szCs w:val="24"/>
        </w:rPr>
        <w:t>（五）法律依据；</w:t>
      </w:r>
    </w:p>
    <w:p w14:paraId="30CFB1C7">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01" w:firstLineChars="173"/>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（六）提出质疑的日期。</w:t>
      </w:r>
    </w:p>
    <w:p w14:paraId="7131E18D">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质疑函采用实名制。质疑人为自然人的应当由本人签字，并附有效身份证明文件</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质疑人为法人或者非法人组织的应当由法定代表人或者负责人签字并加盖公章，并附有效身份证明文件。</w:t>
      </w:r>
    </w:p>
    <w:p w14:paraId="28C398B4">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37.9质疑人可以委托代理人进行质疑。代理人应当提交授权委托书。授权委托书应当载明委托代理的具体权限、期限和相关事项。</w:t>
      </w:r>
    </w:p>
    <w:p w14:paraId="723D5A1B">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37.10质疑的审查和受理</w:t>
      </w:r>
    </w:p>
    <w:p w14:paraId="20A274AF">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采购方在收到质疑函后应当及时审查是否符合质疑受理条件，对符合质疑受理条件的，及时予以受理。</w:t>
      </w:r>
    </w:p>
    <w:p w14:paraId="629FE305">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37.11对不符合质疑受理条件的，分别按照下列不同情形予以处理：</w:t>
      </w:r>
    </w:p>
    <w:p w14:paraId="186E693F">
      <w:pPr>
        <w:pStyle w:val="7"/>
        <w:keepNext w:val="0"/>
        <w:keepLines w:val="0"/>
        <w:pageBreakBefore w:val="0"/>
        <w:numPr>
          <w:ilvl w:val="0"/>
          <w:numId w:val="11"/>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质疑函内容不符合规定的，告知质疑人进行修改并重新提出质疑。修改后质疑事项仍不具体、不明确或者最终递交质疑函的时间超过质疑法定期限的</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不予受理；</w:t>
      </w:r>
    </w:p>
    <w:p w14:paraId="318C4875">
      <w:pPr>
        <w:pStyle w:val="7"/>
        <w:keepNext w:val="0"/>
        <w:keepLines w:val="0"/>
        <w:pageBreakBefore w:val="0"/>
        <w:numPr>
          <w:ilvl w:val="0"/>
          <w:numId w:val="11"/>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质疑主体不符合有关规定的，告知质疑人不予受理；</w:t>
      </w:r>
    </w:p>
    <w:p w14:paraId="2E9E63CB">
      <w:pPr>
        <w:pStyle w:val="7"/>
        <w:keepNext w:val="0"/>
        <w:keepLines w:val="0"/>
        <w:pageBreakBefore w:val="0"/>
        <w:numPr>
          <w:ilvl w:val="0"/>
          <w:numId w:val="11"/>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超过质疑法定期限提出质疑的，告知质疑人不予受理；</w:t>
      </w:r>
    </w:p>
    <w:p w14:paraId="5EA9D774">
      <w:pPr>
        <w:pStyle w:val="7"/>
        <w:keepNext w:val="0"/>
        <w:keepLines w:val="0"/>
        <w:pageBreakBefore w:val="0"/>
        <w:numPr>
          <w:ilvl w:val="0"/>
          <w:numId w:val="11"/>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对不属于可以提出质疑的政府采购事项提出质疑的，告知质疑人不予受理；</w:t>
      </w:r>
    </w:p>
    <w:p w14:paraId="153D486D">
      <w:pPr>
        <w:pStyle w:val="7"/>
        <w:keepNext w:val="0"/>
        <w:keepLines w:val="0"/>
        <w:pageBreakBefore w:val="0"/>
        <w:numPr>
          <w:ilvl w:val="0"/>
          <w:numId w:val="11"/>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质疑不属于本项目采购方管辖的，告知质疑人向有管辖权的采购人提出质疑；</w:t>
      </w:r>
    </w:p>
    <w:p w14:paraId="167DC017">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firstLine="418" w:firstLineChars="173"/>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（六）质疑不符合其他条件的，告知质疑人不予受理。</w:t>
      </w:r>
    </w:p>
    <w:p w14:paraId="710ADD21">
      <w:pPr>
        <w:pStyle w:val="7"/>
        <w:keepNext w:val="0"/>
        <w:keepLines w:val="0"/>
        <w:pageBreakBefore w:val="0"/>
        <w:kinsoku w:val="0"/>
        <w:wordWrap w:val="0"/>
        <w:overflowPunct/>
        <w:topLinePunct w:val="0"/>
        <w:autoSpaceDE/>
        <w:autoSpaceDN/>
        <w:bidi w:val="0"/>
        <w:adjustRightInd w:val="0"/>
        <w:snapToGrid w:val="0"/>
        <w:spacing w:line="360" w:lineRule="auto"/>
        <w:ind w:left="0" w:leftChars="0" w:firstLine="0" w:firstLineChars="0"/>
        <w:textAlignment w:val="baseline"/>
        <w:rPr>
          <w:rFonts w:hint="eastAsia" w:ascii="黑体" w:hAnsi="黑体" w:eastAsia="黑体" w:cs="黑体"/>
          <w:b/>
          <w:bCs/>
          <w:color w:val="auto"/>
          <w:spacing w:val="1"/>
          <w:sz w:val="24"/>
          <w:szCs w:val="24"/>
        </w:rPr>
      </w:pPr>
      <w:r>
        <w:rPr>
          <w:rFonts w:hint="eastAsia" w:ascii="黑体" w:hAnsi="黑体" w:eastAsia="黑体" w:cs="黑体"/>
          <w:b/>
          <w:bCs/>
          <w:color w:val="auto"/>
          <w:spacing w:val="1"/>
          <w:sz w:val="24"/>
          <w:szCs w:val="24"/>
        </w:rPr>
        <w:t>38.质疑的处理和答复</w:t>
      </w:r>
    </w:p>
    <w:p w14:paraId="438564FC">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8" w:firstLineChars="176"/>
        <w:jc w:val="left"/>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38.1采购方受理质疑后，将及时把质疑函发送给被质疑人，并要求其在一定限期</w:t>
      </w:r>
      <w:r>
        <w:rPr>
          <w:rFonts w:hint="eastAsia" w:ascii="黑体" w:hAnsi="黑体" w:eastAsia="黑体" w:cs="黑体"/>
          <w:color w:val="auto"/>
          <w:spacing w:val="-1"/>
          <w:position w:val="18"/>
          <w:sz w:val="24"/>
          <w:szCs w:val="24"/>
          <w:lang w:val="en-US" w:eastAsia="zh-CN"/>
        </w:rPr>
        <w:t>内</w:t>
      </w:r>
      <w:r>
        <w:rPr>
          <w:rFonts w:hint="eastAsia" w:ascii="黑体" w:hAnsi="黑体" w:eastAsia="黑体" w:cs="黑体"/>
          <w:color w:val="auto"/>
          <w:spacing w:val="-1"/>
          <w:position w:val="18"/>
          <w:sz w:val="24"/>
          <w:szCs w:val="24"/>
        </w:rPr>
        <w:t>提交书面答复，同时提供有关证据、依据和相关材料。</w:t>
      </w:r>
    </w:p>
    <w:p w14:paraId="2190A3B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8" w:firstLineChars="176"/>
        <w:jc w:val="left"/>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38.2对于质疑事项中涉及的问题较多、情况比较复杂的，为了全面查清事实</w:t>
      </w:r>
      <w:r>
        <w:rPr>
          <w:rFonts w:hint="eastAsia" w:ascii="黑体" w:hAnsi="黑体" w:eastAsia="黑体" w:cs="黑体"/>
          <w:color w:val="auto"/>
          <w:spacing w:val="-1"/>
          <w:position w:val="18"/>
          <w:sz w:val="24"/>
          <w:szCs w:val="24"/>
          <w:lang w:eastAsia="zh-CN"/>
        </w:rPr>
        <w:t>、</w:t>
      </w:r>
      <w:r>
        <w:rPr>
          <w:rFonts w:hint="eastAsia" w:ascii="黑体" w:hAnsi="黑体" w:eastAsia="黑体" w:cs="黑体"/>
          <w:color w:val="auto"/>
          <w:spacing w:val="-1"/>
          <w:position w:val="18"/>
          <w:sz w:val="24"/>
          <w:szCs w:val="24"/>
        </w:rPr>
        <w:t>取得充分的证据，采购方认为有必要时，可以进行调查取证或者组织质证。</w:t>
      </w:r>
    </w:p>
    <w:p w14:paraId="33D9AB9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8" w:firstLineChars="176"/>
        <w:jc w:val="left"/>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38.3对评审过程、成交结果提出质疑的，采购方可以组织原评审委员会协助答复质疑。</w:t>
      </w:r>
    </w:p>
    <w:p w14:paraId="0ADA46D7">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8" w:firstLineChars="176"/>
        <w:jc w:val="left"/>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38.4质疑处理过程中，质疑人书面申请撤回质疑的，将终止质疑处理程序。</w:t>
      </w:r>
    </w:p>
    <w:p w14:paraId="5C145216">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25" w:firstLineChars="176"/>
        <w:jc w:val="left"/>
        <w:textAlignment w:val="baseline"/>
        <w:rPr>
          <w:rFonts w:hint="eastAsia" w:ascii="黑体" w:hAnsi="黑体" w:eastAsia="黑体" w:cs="黑体"/>
          <w:color w:val="auto"/>
          <w:spacing w:val="1"/>
          <w:position w:val="18"/>
          <w:sz w:val="24"/>
          <w:szCs w:val="24"/>
        </w:rPr>
      </w:pPr>
      <w:r>
        <w:rPr>
          <w:rFonts w:hint="eastAsia" w:ascii="黑体" w:hAnsi="黑体" w:eastAsia="黑体" w:cs="黑体"/>
          <w:color w:val="auto"/>
          <w:spacing w:val="1"/>
          <w:position w:val="18"/>
          <w:sz w:val="24"/>
          <w:szCs w:val="24"/>
        </w:rPr>
        <w:t>38.5质疑人拒绝配合采购方依法对质疑进行调查处理的，采购方将按质疑人自动撤回质疑处理；被质疑人拒绝配合采购方依法对质疑进行调查处理的，采购方将视同其认可质疑事项。</w:t>
      </w:r>
    </w:p>
    <w:p w14:paraId="3AF63C59">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rPr>
        <w:t>38.6采购方将在正式受理质疑后7个工作日内作出答复。</w:t>
      </w:r>
    </w:p>
    <w:p w14:paraId="03F494FB">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rPr>
        <w:t>38.7采购方将书面答复质疑，质疑答复包括下列内容：</w:t>
      </w:r>
    </w:p>
    <w:p w14:paraId="611D29FD">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right="0" w:rightChars="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lang w:eastAsia="zh-CN"/>
        </w:rPr>
        <w:t>（一）</w:t>
      </w:r>
      <w:r>
        <w:rPr>
          <w:rFonts w:hint="eastAsia" w:ascii="黑体" w:hAnsi="黑体" w:eastAsia="黑体" w:cs="黑体"/>
          <w:color w:val="auto"/>
          <w:spacing w:val="-5"/>
          <w:position w:val="18"/>
          <w:sz w:val="24"/>
          <w:szCs w:val="24"/>
        </w:rPr>
        <w:t>质疑人名称；</w:t>
      </w:r>
    </w:p>
    <w:p w14:paraId="65E9D419">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right="0" w:rightChars="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lang w:eastAsia="zh-CN"/>
        </w:rPr>
        <w:t>（二）</w:t>
      </w:r>
      <w:r>
        <w:rPr>
          <w:rFonts w:hint="eastAsia" w:ascii="黑体" w:hAnsi="黑体" w:eastAsia="黑体" w:cs="黑体"/>
          <w:color w:val="auto"/>
          <w:spacing w:val="-5"/>
          <w:position w:val="18"/>
          <w:sz w:val="24"/>
          <w:szCs w:val="24"/>
        </w:rPr>
        <w:t>收到质疑函的日期、质疑项目名称及编号;</w:t>
      </w:r>
    </w:p>
    <w:p w14:paraId="6E768A46">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lang w:eastAsia="zh-CN"/>
        </w:rPr>
        <w:t>（三）</w:t>
      </w:r>
      <w:r>
        <w:rPr>
          <w:rFonts w:hint="eastAsia" w:ascii="黑体" w:hAnsi="黑体" w:eastAsia="黑体" w:cs="黑体"/>
          <w:color w:val="auto"/>
          <w:spacing w:val="-5"/>
          <w:position w:val="18"/>
          <w:sz w:val="24"/>
          <w:szCs w:val="24"/>
        </w:rPr>
        <w:t>质疑事项、质疑答复的具体内容、事实依据和法律依据；</w:t>
      </w:r>
    </w:p>
    <w:p w14:paraId="573D6644">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lang w:eastAsia="zh-CN"/>
        </w:rPr>
        <w:t>（四）</w:t>
      </w:r>
      <w:r>
        <w:rPr>
          <w:rFonts w:hint="eastAsia" w:ascii="黑体" w:hAnsi="黑体" w:eastAsia="黑体" w:cs="黑体"/>
          <w:color w:val="auto"/>
          <w:spacing w:val="-5"/>
          <w:position w:val="18"/>
          <w:sz w:val="24"/>
          <w:szCs w:val="24"/>
        </w:rPr>
        <w:t>告知质疑人依法投诉的权利；</w:t>
      </w:r>
    </w:p>
    <w:p w14:paraId="38C2C998">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04" w:firstLineChars="176"/>
        <w:jc w:val="left"/>
        <w:textAlignment w:val="baseline"/>
        <w:rPr>
          <w:rFonts w:hint="eastAsia" w:ascii="黑体" w:hAnsi="黑体" w:eastAsia="黑体" w:cs="黑体"/>
          <w:color w:val="auto"/>
          <w:spacing w:val="-5"/>
          <w:position w:val="18"/>
          <w:sz w:val="24"/>
          <w:szCs w:val="24"/>
        </w:rPr>
      </w:pPr>
      <w:r>
        <w:rPr>
          <w:rFonts w:hint="eastAsia" w:ascii="黑体" w:hAnsi="黑体" w:eastAsia="黑体" w:cs="黑体"/>
          <w:color w:val="auto"/>
          <w:spacing w:val="-5"/>
          <w:position w:val="18"/>
          <w:sz w:val="24"/>
          <w:szCs w:val="24"/>
          <w:lang w:eastAsia="zh-CN"/>
        </w:rPr>
        <w:t>（五）</w:t>
      </w:r>
      <w:r>
        <w:rPr>
          <w:rFonts w:hint="eastAsia" w:ascii="黑体" w:hAnsi="黑体" w:eastAsia="黑体" w:cs="黑体"/>
          <w:color w:val="auto"/>
          <w:spacing w:val="-5"/>
          <w:position w:val="18"/>
          <w:sz w:val="24"/>
          <w:szCs w:val="24"/>
        </w:rPr>
        <w:t>质疑答复日期。</w:t>
      </w:r>
    </w:p>
    <w:p w14:paraId="7ED6C4B0">
      <w:pPr>
        <w:pStyle w:val="7"/>
        <w:keepNext w:val="0"/>
        <w:keepLines w:val="0"/>
        <w:pageBreakBefore w:val="0"/>
        <w:kinsoku w:val="0"/>
        <w:wordWrap w:val="0"/>
        <w:overflowPunct/>
        <w:topLinePunct w:val="0"/>
        <w:autoSpaceDE/>
        <w:autoSpaceDN/>
        <w:bidi w:val="0"/>
        <w:adjustRightInd w:val="0"/>
        <w:snapToGrid w:val="0"/>
        <w:spacing w:line="360" w:lineRule="auto"/>
        <w:ind w:left="0" w:leftChars="0" w:right="0" w:firstLine="415" w:firstLineChars="176"/>
        <w:jc w:val="left"/>
        <w:textAlignment w:val="baseline"/>
        <w:rPr>
          <w:rFonts w:hint="eastAsia" w:ascii="黑体" w:hAnsi="黑体" w:eastAsia="黑体" w:cs="黑体"/>
          <w:color w:val="auto"/>
          <w:spacing w:val="-3"/>
          <w:position w:val="18"/>
          <w:sz w:val="24"/>
          <w:szCs w:val="24"/>
          <w:lang w:eastAsia="zh-CN"/>
        </w:rPr>
      </w:pPr>
      <w:r>
        <w:rPr>
          <w:rFonts w:hint="eastAsia" w:ascii="黑体" w:hAnsi="黑体" w:eastAsia="黑体" w:cs="黑体"/>
          <w:color w:val="auto"/>
          <w:spacing w:val="-2"/>
          <w:position w:val="18"/>
          <w:sz w:val="24"/>
          <w:szCs w:val="24"/>
        </w:rPr>
        <w:t>38.8</w:t>
      </w:r>
      <w:r>
        <w:rPr>
          <w:rFonts w:hint="eastAsia" w:ascii="黑体" w:hAnsi="黑体" w:eastAsia="黑体" w:cs="黑体"/>
          <w:color w:val="auto"/>
          <w:spacing w:val="-3"/>
          <w:position w:val="18"/>
          <w:sz w:val="24"/>
          <w:szCs w:val="24"/>
        </w:rPr>
        <w:t>质疑人有下列行为之一的，属于虚假、恶意质疑，将由采购方建议财政部门将其列入不良行为记录名单，禁止其1至3年内参加政府采购活动</w:t>
      </w:r>
      <w:r>
        <w:rPr>
          <w:rFonts w:hint="eastAsia" w:ascii="黑体" w:hAnsi="黑体" w:eastAsia="黑体" w:cs="黑体"/>
          <w:color w:val="auto"/>
          <w:spacing w:val="-3"/>
          <w:position w:val="18"/>
          <w:sz w:val="24"/>
          <w:szCs w:val="24"/>
          <w:lang w:eastAsia="zh-CN"/>
        </w:rPr>
        <w:t>；</w:t>
      </w:r>
    </w:p>
    <w:p w14:paraId="1A3087A4">
      <w:pPr>
        <w:pStyle w:val="7"/>
        <w:keepNext w:val="0"/>
        <w:keepLines w:val="0"/>
        <w:pageBreakBefore w:val="0"/>
        <w:numPr>
          <w:ilvl w:val="0"/>
          <w:numId w:val="12"/>
        </w:numPr>
        <w:kinsoku w:val="0"/>
        <w:wordWrap w:val="0"/>
        <w:overflowPunct/>
        <w:topLinePunct w:val="0"/>
        <w:autoSpaceDE/>
        <w:autoSpaceDN/>
        <w:bidi w:val="0"/>
        <w:adjustRightInd w:val="0"/>
        <w:snapToGrid w:val="0"/>
        <w:spacing w:line="360" w:lineRule="auto"/>
        <w:ind w:left="0" w:leftChars="0" w:right="0" w:firstLine="411" w:firstLineChars="176"/>
        <w:jc w:val="left"/>
        <w:textAlignment w:val="baseline"/>
        <w:rPr>
          <w:rFonts w:hint="eastAsia" w:ascii="黑体" w:hAnsi="黑体" w:eastAsia="黑体" w:cs="黑体"/>
          <w:color w:val="auto"/>
          <w:spacing w:val="-3"/>
          <w:position w:val="18"/>
          <w:sz w:val="24"/>
          <w:szCs w:val="24"/>
        </w:rPr>
      </w:pPr>
      <w:r>
        <w:rPr>
          <w:rFonts w:hint="eastAsia" w:ascii="黑体" w:hAnsi="黑体" w:eastAsia="黑体" w:cs="黑体"/>
          <w:color w:val="auto"/>
          <w:spacing w:val="-3"/>
          <w:position w:val="18"/>
          <w:sz w:val="24"/>
          <w:szCs w:val="24"/>
        </w:rPr>
        <w:t>捏造事实；</w:t>
      </w:r>
    </w:p>
    <w:p w14:paraId="794CBE9C">
      <w:pPr>
        <w:pStyle w:val="7"/>
        <w:keepNext w:val="0"/>
        <w:keepLines w:val="0"/>
        <w:pageBreakBefore w:val="0"/>
        <w:numPr>
          <w:ilvl w:val="0"/>
          <w:numId w:val="12"/>
        </w:numPr>
        <w:kinsoku w:val="0"/>
        <w:wordWrap w:val="0"/>
        <w:overflowPunct/>
        <w:topLinePunct w:val="0"/>
        <w:autoSpaceDE/>
        <w:autoSpaceDN/>
        <w:bidi w:val="0"/>
        <w:adjustRightInd w:val="0"/>
        <w:snapToGrid w:val="0"/>
        <w:spacing w:line="360" w:lineRule="auto"/>
        <w:ind w:left="0" w:leftChars="0" w:right="0" w:rightChars="0" w:firstLine="411" w:firstLineChars="176"/>
        <w:jc w:val="left"/>
        <w:textAlignment w:val="baseline"/>
        <w:rPr>
          <w:rFonts w:hint="eastAsia" w:ascii="黑体" w:hAnsi="黑体" w:eastAsia="黑体" w:cs="黑体"/>
          <w:color w:val="auto"/>
          <w:spacing w:val="-3"/>
          <w:position w:val="18"/>
          <w:sz w:val="24"/>
          <w:szCs w:val="24"/>
        </w:rPr>
      </w:pPr>
      <w:r>
        <w:rPr>
          <w:rFonts w:hint="eastAsia" w:ascii="黑体" w:hAnsi="黑体" w:eastAsia="黑体" w:cs="黑体"/>
          <w:color w:val="auto"/>
          <w:spacing w:val="-3"/>
          <w:position w:val="18"/>
          <w:sz w:val="24"/>
          <w:szCs w:val="24"/>
        </w:rPr>
        <w:t>提供虚假材料；</w:t>
      </w:r>
    </w:p>
    <w:p w14:paraId="04E3C47F">
      <w:pPr>
        <w:pStyle w:val="7"/>
        <w:keepNext w:val="0"/>
        <w:keepLines w:val="0"/>
        <w:pageBreakBefore w:val="0"/>
        <w:numPr>
          <w:ilvl w:val="0"/>
          <w:numId w:val="12"/>
        </w:numPr>
        <w:kinsoku w:val="0"/>
        <w:wordWrap w:val="0"/>
        <w:overflowPunct/>
        <w:topLinePunct w:val="0"/>
        <w:autoSpaceDE/>
        <w:autoSpaceDN/>
        <w:bidi w:val="0"/>
        <w:adjustRightInd w:val="0"/>
        <w:snapToGrid w:val="0"/>
        <w:spacing w:line="360" w:lineRule="auto"/>
        <w:ind w:left="0" w:leftChars="0" w:right="0" w:rightChars="0" w:firstLine="411" w:firstLineChars="176"/>
        <w:jc w:val="left"/>
        <w:textAlignment w:val="baseline"/>
        <w:rPr>
          <w:rFonts w:hint="eastAsia" w:ascii="黑体" w:hAnsi="黑体" w:eastAsia="黑体" w:cs="黑体"/>
          <w:color w:val="auto"/>
          <w:spacing w:val="-3"/>
          <w:position w:val="18"/>
          <w:sz w:val="24"/>
          <w:szCs w:val="24"/>
        </w:rPr>
      </w:pPr>
      <w:r>
        <w:rPr>
          <w:rFonts w:hint="eastAsia" w:ascii="黑体" w:hAnsi="黑体" w:eastAsia="黑体" w:cs="黑体"/>
          <w:color w:val="auto"/>
          <w:spacing w:val="-3"/>
          <w:position w:val="18"/>
          <w:sz w:val="24"/>
          <w:szCs w:val="24"/>
        </w:rPr>
        <w:t>以非法手段取得证明材料或者无法提供证据的合法来源；</w:t>
      </w:r>
    </w:p>
    <w:p w14:paraId="05201D19">
      <w:pPr>
        <w:pStyle w:val="7"/>
        <w:keepNext w:val="0"/>
        <w:keepLines w:val="0"/>
        <w:pageBreakBefore w:val="0"/>
        <w:numPr>
          <w:ilvl w:val="0"/>
          <w:numId w:val="0"/>
        </w:numPr>
        <w:kinsoku w:val="0"/>
        <w:wordWrap w:val="0"/>
        <w:overflowPunct/>
        <w:topLinePunct w:val="0"/>
        <w:autoSpaceDE/>
        <w:autoSpaceDN/>
        <w:bidi w:val="0"/>
        <w:adjustRightInd w:val="0"/>
        <w:snapToGrid w:val="0"/>
        <w:spacing w:line="360" w:lineRule="auto"/>
        <w:ind w:left="0" w:leftChars="0" w:right="0" w:rightChars="0" w:firstLine="411" w:firstLineChars="176"/>
        <w:jc w:val="left"/>
        <w:textAlignment w:val="baseline"/>
        <w:rPr>
          <w:rFonts w:hint="eastAsia" w:ascii="黑体" w:hAnsi="黑体" w:eastAsia="黑体" w:cs="黑体"/>
          <w:color w:val="auto"/>
          <w:spacing w:val="-3"/>
          <w:position w:val="18"/>
          <w:sz w:val="24"/>
          <w:szCs w:val="24"/>
          <w:lang w:eastAsia="zh-CN"/>
        </w:rPr>
        <w:sectPr>
          <w:footerReference r:id="rId7" w:type="default"/>
          <w:pgSz w:w="11906" w:h="16840"/>
          <w:pgMar w:top="1137" w:right="1868" w:bottom="1128" w:left="1638" w:header="0" w:footer="914" w:gutter="0"/>
          <w:pgNumType w:fmt="decimal" w:start="1"/>
          <w:cols w:space="720" w:num="1"/>
        </w:sectPr>
      </w:pPr>
      <w:r>
        <w:rPr>
          <w:rFonts w:hint="eastAsia" w:ascii="黑体" w:hAnsi="黑体" w:eastAsia="黑体" w:cs="黑体"/>
          <w:color w:val="auto"/>
          <w:spacing w:val="-3"/>
          <w:position w:val="18"/>
          <w:sz w:val="24"/>
          <w:szCs w:val="24"/>
        </w:rPr>
        <w:t>（四）法律法规规定的其他违法情形</w:t>
      </w:r>
      <w:r>
        <w:rPr>
          <w:rFonts w:hint="eastAsia" w:ascii="黑体" w:hAnsi="黑体" w:eastAsia="黑体" w:cs="黑体"/>
          <w:color w:val="auto"/>
          <w:spacing w:val="-3"/>
          <w:position w:val="18"/>
          <w:sz w:val="24"/>
          <w:szCs w:val="24"/>
          <w:lang w:eastAsia="zh-CN"/>
        </w:rPr>
        <w:t>。</w:t>
      </w:r>
    </w:p>
    <w:p w14:paraId="7DD09E3B">
      <w:pPr>
        <w:pageBreakBefore w:val="0"/>
        <w:kinsoku w:val="0"/>
        <w:wordWrap w:val="0"/>
        <w:overflowPunct/>
        <w:topLinePunct w:val="0"/>
        <w:autoSpaceDE/>
        <w:autoSpaceDN/>
        <w:bidi w:val="0"/>
        <w:spacing w:before="122" w:line="219" w:lineRule="auto"/>
        <w:ind w:left="34"/>
        <w:jc w:val="center"/>
        <w:rPr>
          <w:rFonts w:hint="eastAsia" w:ascii="黑体" w:hAnsi="黑体" w:eastAsia="黑体" w:cs="黑体"/>
          <w:color w:val="auto"/>
          <w:sz w:val="24"/>
          <w:szCs w:val="24"/>
        </w:rPr>
      </w:pPr>
      <w:r>
        <w:rPr>
          <w:rFonts w:hint="eastAsia" w:ascii="黑体" w:hAnsi="黑体" w:eastAsia="黑体" w:cs="黑体"/>
          <w:b/>
          <w:bCs/>
          <w:color w:val="auto"/>
          <w:spacing w:val="-7"/>
          <w:sz w:val="24"/>
          <w:szCs w:val="24"/>
        </w:rPr>
        <w:t>质疑函范本</w:t>
      </w:r>
    </w:p>
    <w:p w14:paraId="2603A72E">
      <w:pPr>
        <w:pStyle w:val="7"/>
        <w:pageBreakBefore w:val="0"/>
        <w:kinsoku w:val="0"/>
        <w:wordWrap w:val="0"/>
        <w:overflowPunct/>
        <w:topLinePunct w:val="0"/>
        <w:autoSpaceDE/>
        <w:autoSpaceDN/>
        <w:bidi w:val="0"/>
        <w:spacing w:before="94" w:line="222" w:lineRule="auto"/>
        <w:ind w:left="46" w:leftChars="0" w:hanging="46" w:hangingChars="20"/>
        <w:rPr>
          <w:rFonts w:hint="eastAsia" w:ascii="黑体" w:hAnsi="黑体" w:eastAsia="黑体" w:cs="黑体"/>
          <w:color w:val="auto"/>
          <w:sz w:val="24"/>
          <w:szCs w:val="24"/>
        </w:rPr>
      </w:pPr>
      <w:r>
        <w:rPr>
          <w:rFonts w:hint="eastAsia" w:ascii="黑体" w:hAnsi="黑体" w:eastAsia="黑体" w:cs="黑体"/>
          <w:color w:val="auto"/>
          <w:spacing w:val="-4"/>
          <w:sz w:val="24"/>
          <w:szCs w:val="24"/>
        </w:rPr>
        <w:t>一、质疑供应商基本信息</w:t>
      </w:r>
    </w:p>
    <w:p w14:paraId="5E56C16D">
      <w:pPr>
        <w:pStyle w:val="7"/>
        <w:pageBreakBefore w:val="0"/>
        <w:kinsoku w:val="0"/>
        <w:wordWrap w:val="0"/>
        <w:overflowPunct/>
        <w:topLinePunct w:val="0"/>
        <w:autoSpaceDE/>
        <w:autoSpaceDN/>
        <w:bidi w:val="0"/>
        <w:spacing w:before="111" w:line="273" w:lineRule="auto"/>
        <w:ind w:left="44" w:leftChars="0" w:right="323" w:hanging="44" w:hangingChars="20"/>
        <w:rPr>
          <w:rFonts w:hint="default" w:ascii="黑体" w:hAnsi="黑体" w:eastAsia="黑体" w:cs="黑体"/>
          <w:color w:val="auto"/>
          <w:spacing w:val="-6"/>
          <w:sz w:val="24"/>
          <w:szCs w:val="24"/>
          <w:lang w:val="en-US"/>
        </w:rPr>
      </w:pPr>
      <w:r>
        <w:rPr>
          <w:rFonts w:hint="eastAsia" w:ascii="黑体" w:hAnsi="黑体" w:eastAsia="黑体" w:cs="黑体"/>
          <w:color w:val="auto"/>
          <w:spacing w:val="-8"/>
          <w:sz w:val="24"/>
          <w:szCs w:val="24"/>
        </w:rPr>
        <w:t>质疑供应商：</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pacing w:val="-6"/>
          <w:sz w:val="24"/>
          <w:szCs w:val="24"/>
        </w:rPr>
        <w:t>地址：</w:t>
      </w:r>
      <w:r>
        <w:rPr>
          <w:rFonts w:hint="eastAsia" w:ascii="黑体" w:hAnsi="黑体" w:eastAsia="黑体" w:cs="黑体"/>
          <w:color w:val="auto"/>
          <w:spacing w:val="-8"/>
          <w:sz w:val="24"/>
          <w:szCs w:val="24"/>
          <w:u w:val="single"/>
          <w:lang w:val="en-US" w:eastAsia="zh-CN"/>
        </w:rPr>
        <w:t xml:space="preserve">                           </w:t>
      </w:r>
    </w:p>
    <w:p w14:paraId="220696C1">
      <w:pPr>
        <w:pStyle w:val="7"/>
        <w:pageBreakBefore w:val="0"/>
        <w:kinsoku w:val="0"/>
        <w:wordWrap w:val="0"/>
        <w:overflowPunct/>
        <w:topLinePunct w:val="0"/>
        <w:autoSpaceDE/>
        <w:autoSpaceDN/>
        <w:bidi w:val="0"/>
        <w:spacing w:before="111" w:line="273" w:lineRule="auto"/>
        <w:ind w:left="45" w:leftChars="0" w:right="323" w:hanging="45" w:hangingChars="20"/>
        <w:rPr>
          <w:rFonts w:hint="eastAsia" w:ascii="黑体" w:hAnsi="黑体" w:eastAsia="黑体" w:cs="黑体"/>
          <w:color w:val="auto"/>
          <w:spacing w:val="-2"/>
          <w:sz w:val="24"/>
          <w:szCs w:val="24"/>
        </w:rPr>
      </w:pPr>
      <w:r>
        <w:rPr>
          <w:rFonts w:hint="eastAsia" w:ascii="黑体" w:hAnsi="黑体" w:eastAsia="黑体" w:cs="黑体"/>
          <w:color w:val="auto"/>
          <w:spacing w:val="-7"/>
          <w:sz w:val="24"/>
          <w:szCs w:val="24"/>
        </w:rPr>
        <w:t>邮编：</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pacing w:val="-2"/>
          <w:sz w:val="24"/>
          <w:szCs w:val="24"/>
        </w:rPr>
        <w:t>联系人：</w:t>
      </w:r>
      <w:r>
        <w:rPr>
          <w:rFonts w:hint="eastAsia" w:ascii="黑体" w:hAnsi="黑体" w:eastAsia="黑体" w:cs="黑体"/>
          <w:color w:val="auto"/>
          <w:spacing w:val="-8"/>
          <w:sz w:val="24"/>
          <w:szCs w:val="24"/>
          <w:u w:val="single"/>
          <w:lang w:val="en-US" w:eastAsia="zh-CN"/>
        </w:rPr>
        <w:t xml:space="preserve">                         </w:t>
      </w:r>
    </w:p>
    <w:p w14:paraId="0C896CA6">
      <w:pPr>
        <w:pStyle w:val="7"/>
        <w:pageBreakBefore w:val="0"/>
        <w:kinsoku w:val="0"/>
        <w:wordWrap w:val="0"/>
        <w:overflowPunct/>
        <w:topLinePunct w:val="0"/>
        <w:autoSpaceDE/>
        <w:autoSpaceDN/>
        <w:bidi w:val="0"/>
        <w:spacing w:before="111" w:line="273" w:lineRule="auto"/>
        <w:ind w:left="47" w:leftChars="0" w:right="323" w:hanging="47" w:hangingChars="2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联系电话：</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pacing w:val="-2"/>
          <w:sz w:val="24"/>
          <w:szCs w:val="24"/>
        </w:rPr>
        <w:t>授权代表：</w:t>
      </w:r>
      <w:r>
        <w:rPr>
          <w:rFonts w:hint="eastAsia" w:ascii="黑体" w:hAnsi="黑体" w:eastAsia="黑体" w:cs="黑体"/>
          <w:color w:val="auto"/>
          <w:spacing w:val="-8"/>
          <w:sz w:val="24"/>
          <w:szCs w:val="24"/>
          <w:u w:val="single"/>
          <w:lang w:val="en-US" w:eastAsia="zh-CN"/>
        </w:rPr>
        <w:t xml:space="preserve">                      </w:t>
      </w:r>
    </w:p>
    <w:p w14:paraId="461DCC37">
      <w:pPr>
        <w:pStyle w:val="7"/>
        <w:pageBreakBefore w:val="0"/>
        <w:kinsoku w:val="0"/>
        <w:wordWrap w:val="0"/>
        <w:overflowPunct/>
        <w:topLinePunct w:val="0"/>
        <w:autoSpaceDE/>
        <w:autoSpaceDN/>
        <w:bidi w:val="0"/>
        <w:spacing w:before="111" w:line="273" w:lineRule="auto"/>
        <w:ind w:left="47" w:leftChars="0" w:right="323" w:hanging="47" w:hangingChars="20"/>
        <w:rPr>
          <w:rFonts w:hint="default" w:ascii="黑体" w:hAnsi="黑体" w:eastAsia="黑体" w:cs="黑体"/>
          <w:color w:val="auto"/>
          <w:spacing w:val="-6"/>
          <w:sz w:val="24"/>
          <w:szCs w:val="24"/>
          <w:lang w:val="en-US"/>
        </w:rPr>
      </w:pPr>
      <w:r>
        <w:rPr>
          <w:rFonts w:hint="eastAsia" w:ascii="黑体" w:hAnsi="黑体" w:eastAsia="黑体" w:cs="黑体"/>
          <w:color w:val="auto"/>
          <w:spacing w:val="-2"/>
          <w:sz w:val="24"/>
          <w:szCs w:val="24"/>
        </w:rPr>
        <w:t>联系电话：</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pacing w:val="-6"/>
          <w:sz w:val="24"/>
          <w:szCs w:val="24"/>
        </w:rPr>
        <w:t>地址：</w:t>
      </w:r>
      <w:r>
        <w:rPr>
          <w:rFonts w:hint="eastAsia" w:ascii="黑体" w:hAnsi="黑体" w:eastAsia="黑体" w:cs="黑体"/>
          <w:color w:val="auto"/>
          <w:spacing w:val="-8"/>
          <w:sz w:val="24"/>
          <w:szCs w:val="24"/>
          <w:u w:val="single"/>
          <w:lang w:val="en-US" w:eastAsia="zh-CN"/>
        </w:rPr>
        <w:t xml:space="preserve">                           </w:t>
      </w:r>
    </w:p>
    <w:p w14:paraId="7AF4DB74">
      <w:pPr>
        <w:pStyle w:val="7"/>
        <w:pageBreakBefore w:val="0"/>
        <w:kinsoku w:val="0"/>
        <w:wordWrap w:val="0"/>
        <w:overflowPunct/>
        <w:topLinePunct w:val="0"/>
        <w:autoSpaceDE/>
        <w:autoSpaceDN/>
        <w:bidi w:val="0"/>
        <w:spacing w:before="111" w:line="273" w:lineRule="auto"/>
        <w:ind w:left="45" w:leftChars="0" w:right="323" w:hanging="45" w:hangingChars="2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邮编：</w:t>
      </w:r>
    </w:p>
    <w:p w14:paraId="3196306D">
      <w:pPr>
        <w:pStyle w:val="7"/>
        <w:pageBreakBefore w:val="0"/>
        <w:numPr>
          <w:ilvl w:val="0"/>
          <w:numId w:val="0"/>
        </w:numPr>
        <w:kinsoku w:val="0"/>
        <w:wordWrap w:val="0"/>
        <w:overflowPunct/>
        <w:topLinePunct w:val="0"/>
        <w:autoSpaceDE/>
        <w:autoSpaceDN/>
        <w:bidi w:val="0"/>
        <w:spacing w:before="111" w:line="273" w:lineRule="auto"/>
        <w:ind w:left="46" w:leftChars="0" w:right="323" w:rightChars="0" w:hanging="46" w:hangingChars="20"/>
        <w:rPr>
          <w:rFonts w:hint="eastAsia" w:ascii="黑体" w:hAnsi="黑体" w:eastAsia="黑体" w:cs="黑体"/>
          <w:color w:val="auto"/>
          <w:spacing w:val="-4"/>
          <w:sz w:val="24"/>
          <w:szCs w:val="24"/>
        </w:rPr>
      </w:pPr>
      <w:r>
        <w:rPr>
          <w:rFonts w:hint="eastAsia" w:ascii="黑体" w:hAnsi="黑体" w:eastAsia="黑体" w:cs="黑体"/>
          <w:snapToGrid w:val="0"/>
          <w:color w:val="auto"/>
          <w:spacing w:val="-4"/>
          <w:kern w:val="0"/>
          <w:sz w:val="24"/>
          <w:szCs w:val="24"/>
          <w:lang w:val="en-US" w:eastAsia="en-US" w:bidi="ar-SA"/>
        </w:rPr>
        <w:t>二、</w:t>
      </w:r>
      <w:r>
        <w:rPr>
          <w:rFonts w:hint="eastAsia" w:ascii="黑体" w:hAnsi="黑体" w:eastAsia="黑体" w:cs="黑体"/>
          <w:color w:val="auto"/>
          <w:spacing w:val="-4"/>
          <w:sz w:val="24"/>
          <w:szCs w:val="24"/>
        </w:rPr>
        <w:t>质疑项目基本情况</w:t>
      </w:r>
    </w:p>
    <w:p w14:paraId="4187F060">
      <w:pPr>
        <w:pStyle w:val="7"/>
        <w:pageBreakBefore w:val="0"/>
        <w:numPr>
          <w:ilvl w:val="0"/>
          <w:numId w:val="0"/>
        </w:numPr>
        <w:kinsoku w:val="0"/>
        <w:wordWrap w:val="0"/>
        <w:overflowPunct/>
        <w:topLinePunct w:val="0"/>
        <w:autoSpaceDE/>
        <w:autoSpaceDN/>
        <w:bidi w:val="0"/>
        <w:spacing w:before="111" w:line="273" w:lineRule="auto"/>
        <w:ind w:leftChars="-20" w:right="323" w:rightChars="0"/>
        <w:rPr>
          <w:rFonts w:hint="eastAsia" w:ascii="黑体" w:hAnsi="黑体" w:eastAsia="黑体" w:cs="黑体"/>
          <w:color w:val="auto"/>
          <w:sz w:val="24"/>
          <w:szCs w:val="24"/>
          <w:u w:val="none" w:color="auto"/>
          <w:lang w:val="en-US" w:eastAsia="zh-CN"/>
        </w:rPr>
      </w:pPr>
      <w:r>
        <w:rPr>
          <w:rFonts w:hint="eastAsia" w:ascii="黑体" w:hAnsi="黑体" w:eastAsia="黑体" w:cs="黑体"/>
          <w:color w:val="auto"/>
          <w:spacing w:val="-6"/>
          <w:sz w:val="24"/>
          <w:szCs w:val="24"/>
        </w:rPr>
        <w:t>质疑项目的名称：</w:t>
      </w:r>
      <w:r>
        <w:rPr>
          <w:rFonts w:hint="eastAsia" w:ascii="黑体" w:hAnsi="黑体" w:eastAsia="黑体" w:cs="黑体"/>
          <w:color w:val="auto"/>
          <w:sz w:val="24"/>
          <w:szCs w:val="24"/>
          <w:u w:val="none" w:color="auto"/>
        </w:rPr>
        <w:tab/>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z w:val="24"/>
          <w:szCs w:val="24"/>
          <w:u w:val="none" w:color="auto"/>
          <w:lang w:val="en-US" w:eastAsia="zh-CN"/>
        </w:rPr>
        <w:t xml:space="preserve"> </w:t>
      </w:r>
    </w:p>
    <w:p w14:paraId="4FCC33EB">
      <w:pPr>
        <w:pStyle w:val="7"/>
        <w:pageBreakBefore w:val="0"/>
        <w:numPr>
          <w:ilvl w:val="0"/>
          <w:numId w:val="0"/>
        </w:numPr>
        <w:kinsoku w:val="0"/>
        <w:wordWrap w:val="0"/>
        <w:overflowPunct/>
        <w:topLinePunct w:val="0"/>
        <w:autoSpaceDE/>
        <w:autoSpaceDN/>
        <w:bidi w:val="0"/>
        <w:spacing w:before="111" w:line="273" w:lineRule="auto"/>
        <w:ind w:leftChars="-20" w:right="323" w:rightChars="0"/>
        <w:rPr>
          <w:rFonts w:hint="eastAsia" w:ascii="黑体" w:hAnsi="黑体" w:eastAsia="黑体" w:cs="黑体"/>
          <w:color w:val="auto"/>
          <w:spacing w:val="-8"/>
          <w:sz w:val="24"/>
          <w:szCs w:val="24"/>
          <w:u w:val="single"/>
          <w:lang w:val="en-US" w:eastAsia="zh-CN"/>
        </w:rPr>
      </w:pPr>
      <w:r>
        <w:rPr>
          <w:rFonts w:hint="eastAsia" w:ascii="黑体" w:hAnsi="黑体" w:eastAsia="黑体" w:cs="黑体"/>
          <w:color w:val="auto"/>
          <w:spacing w:val="-4"/>
          <w:sz w:val="24"/>
          <w:szCs w:val="24"/>
        </w:rPr>
        <w:t>质疑项目的编号：</w:t>
      </w:r>
      <w:r>
        <w:rPr>
          <w:rFonts w:hint="eastAsia" w:ascii="黑体" w:hAnsi="黑体" w:eastAsia="黑体" w:cs="黑体"/>
          <w:color w:val="auto"/>
          <w:spacing w:val="-8"/>
          <w:sz w:val="24"/>
          <w:szCs w:val="24"/>
          <w:u w:val="single"/>
          <w:lang w:val="en-US" w:eastAsia="zh-CN"/>
        </w:rPr>
        <w:t xml:space="preserve">                 </w:t>
      </w:r>
    </w:p>
    <w:p w14:paraId="4545D607">
      <w:pPr>
        <w:pStyle w:val="7"/>
        <w:pageBreakBefore w:val="0"/>
        <w:numPr>
          <w:ilvl w:val="0"/>
          <w:numId w:val="0"/>
        </w:numPr>
        <w:kinsoku w:val="0"/>
        <w:wordWrap w:val="0"/>
        <w:overflowPunct/>
        <w:topLinePunct w:val="0"/>
        <w:autoSpaceDE/>
        <w:autoSpaceDN/>
        <w:bidi w:val="0"/>
        <w:spacing w:before="111" w:line="273" w:lineRule="auto"/>
        <w:ind w:leftChars="-20" w:right="323" w:rightChars="0"/>
        <w:rPr>
          <w:rFonts w:hint="eastAsia" w:ascii="黑体" w:hAnsi="黑体" w:eastAsia="黑体" w:cs="黑体"/>
          <w:color w:val="auto"/>
          <w:spacing w:val="-8"/>
          <w:sz w:val="24"/>
          <w:szCs w:val="24"/>
          <w:u w:val="single"/>
          <w:lang w:val="en-US" w:eastAsia="zh-CN"/>
        </w:rPr>
      </w:pPr>
      <w:r>
        <w:rPr>
          <w:rFonts w:hint="eastAsia" w:ascii="黑体" w:hAnsi="黑体" w:eastAsia="黑体" w:cs="黑体"/>
          <w:color w:val="auto"/>
          <w:spacing w:val="-4"/>
          <w:sz w:val="24"/>
          <w:szCs w:val="24"/>
        </w:rPr>
        <w:t>包号：</w:t>
      </w:r>
      <w:r>
        <w:rPr>
          <w:rFonts w:hint="eastAsia" w:ascii="黑体" w:hAnsi="黑体" w:eastAsia="黑体" w:cs="黑体"/>
          <w:color w:val="auto"/>
          <w:spacing w:val="-8"/>
          <w:sz w:val="24"/>
          <w:szCs w:val="24"/>
          <w:u w:val="single"/>
          <w:lang w:val="en-US" w:eastAsia="zh-CN"/>
        </w:rPr>
        <w:t xml:space="preserve">                           </w:t>
      </w:r>
    </w:p>
    <w:p w14:paraId="52CC35EE">
      <w:pPr>
        <w:pStyle w:val="7"/>
        <w:pageBreakBefore w:val="0"/>
        <w:numPr>
          <w:ilvl w:val="0"/>
          <w:numId w:val="0"/>
        </w:numPr>
        <w:kinsoku w:val="0"/>
        <w:wordWrap w:val="0"/>
        <w:overflowPunct/>
        <w:topLinePunct w:val="0"/>
        <w:autoSpaceDE/>
        <w:autoSpaceDN/>
        <w:bidi w:val="0"/>
        <w:spacing w:before="111" w:line="273" w:lineRule="auto"/>
        <w:ind w:leftChars="-20" w:right="323" w:rightChars="0"/>
        <w:rPr>
          <w:rFonts w:hint="eastAsia" w:ascii="黑体" w:hAnsi="黑体" w:eastAsia="黑体" w:cs="黑体"/>
          <w:color w:val="auto"/>
          <w:sz w:val="24"/>
          <w:szCs w:val="24"/>
          <w:u w:val="none" w:color="auto"/>
          <w:lang w:val="en-US" w:eastAsia="zh-CN"/>
        </w:rPr>
      </w:pPr>
      <w:r>
        <w:rPr>
          <w:rFonts w:hint="eastAsia" w:ascii="黑体" w:hAnsi="黑体" w:eastAsia="黑体" w:cs="黑体"/>
          <w:color w:val="auto"/>
          <w:spacing w:val="-7"/>
          <w:sz w:val="24"/>
          <w:szCs w:val="24"/>
        </w:rPr>
        <w:t>采购人名称：</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z w:val="24"/>
          <w:szCs w:val="24"/>
          <w:u w:val="none" w:color="auto"/>
        </w:rPr>
        <w:tab/>
      </w:r>
      <w:r>
        <w:rPr>
          <w:rFonts w:hint="eastAsia" w:ascii="黑体" w:hAnsi="黑体" w:eastAsia="黑体" w:cs="黑体"/>
          <w:color w:val="auto"/>
          <w:sz w:val="24"/>
          <w:szCs w:val="24"/>
          <w:u w:val="none" w:color="auto"/>
          <w:lang w:val="en-US" w:eastAsia="zh-CN"/>
        </w:rPr>
        <w:t xml:space="preserve"> </w:t>
      </w:r>
    </w:p>
    <w:p w14:paraId="76DEE026">
      <w:pPr>
        <w:pStyle w:val="7"/>
        <w:pageBreakBefore w:val="0"/>
        <w:numPr>
          <w:ilvl w:val="0"/>
          <w:numId w:val="0"/>
        </w:numPr>
        <w:kinsoku w:val="0"/>
        <w:wordWrap w:val="0"/>
        <w:overflowPunct/>
        <w:topLinePunct w:val="0"/>
        <w:autoSpaceDE/>
        <w:autoSpaceDN/>
        <w:bidi w:val="0"/>
        <w:spacing w:before="111" w:line="273" w:lineRule="auto"/>
        <w:ind w:leftChars="-20" w:right="323" w:rightChars="0"/>
        <w:rPr>
          <w:rFonts w:hint="eastAsia" w:ascii="黑体" w:hAnsi="黑体" w:eastAsia="黑体" w:cs="黑体"/>
          <w:color w:val="auto"/>
          <w:sz w:val="24"/>
          <w:szCs w:val="24"/>
          <w:u w:val="single" w:color="auto"/>
          <w:lang w:val="en-US" w:eastAsia="zh-CN"/>
        </w:rPr>
      </w:pPr>
      <w:r>
        <w:rPr>
          <w:rFonts w:hint="eastAsia" w:ascii="黑体" w:hAnsi="黑体" w:eastAsia="黑体" w:cs="黑体"/>
          <w:color w:val="auto"/>
          <w:spacing w:val="-5"/>
          <w:sz w:val="24"/>
          <w:szCs w:val="24"/>
        </w:rPr>
        <w:t>采购文件获取日期：</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13F82F8F">
      <w:pPr>
        <w:pStyle w:val="7"/>
        <w:pageBreakBefore w:val="0"/>
        <w:numPr>
          <w:ilvl w:val="0"/>
          <w:numId w:val="0"/>
        </w:numPr>
        <w:kinsoku w:val="0"/>
        <w:wordWrap w:val="0"/>
        <w:overflowPunct/>
        <w:topLinePunct w:val="0"/>
        <w:autoSpaceDE/>
        <w:autoSpaceDN/>
        <w:bidi w:val="0"/>
        <w:spacing w:before="111" w:line="273" w:lineRule="auto"/>
        <w:ind w:leftChars="-20" w:right="323" w:right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三、质疑事项具体内容</w:t>
      </w:r>
    </w:p>
    <w:p w14:paraId="7428DEDD">
      <w:pPr>
        <w:pStyle w:val="7"/>
        <w:pageBreakBefore w:val="0"/>
        <w:kinsoku w:val="0"/>
        <w:wordWrap w:val="0"/>
        <w:overflowPunct/>
        <w:topLinePunct w:val="0"/>
        <w:autoSpaceDE/>
        <w:autoSpaceDN/>
        <w:bidi w:val="0"/>
        <w:spacing w:line="240" w:lineRule="auto"/>
        <w:ind w:left="43" w:leftChars="0" w:right="0" w:hanging="43" w:hangingChars="20"/>
        <w:rPr>
          <w:rFonts w:hint="eastAsia" w:ascii="黑体" w:hAnsi="黑体" w:eastAsia="黑体" w:cs="黑体"/>
          <w:color w:val="auto"/>
          <w:spacing w:val="1"/>
          <w:sz w:val="24"/>
          <w:szCs w:val="24"/>
        </w:rPr>
      </w:pPr>
      <w:r>
        <w:rPr>
          <w:rFonts w:hint="eastAsia" w:ascii="黑体" w:hAnsi="黑体" w:eastAsia="黑体" w:cs="黑体"/>
          <w:color w:val="auto"/>
          <w:spacing w:val="-12"/>
          <w:sz w:val="24"/>
          <w:szCs w:val="24"/>
        </w:rPr>
        <w:t>质疑事项1：</w:t>
      </w:r>
    </w:p>
    <w:p w14:paraId="5EB25C58">
      <w:pPr>
        <w:pStyle w:val="7"/>
        <w:pageBreakBefore w:val="0"/>
        <w:kinsoku w:val="0"/>
        <w:wordWrap w:val="0"/>
        <w:overflowPunct/>
        <w:topLinePunct w:val="0"/>
        <w:autoSpaceDE/>
        <w:autoSpaceDN/>
        <w:bidi w:val="0"/>
        <w:spacing w:line="240" w:lineRule="auto"/>
        <w:ind w:left="45" w:leftChars="0" w:right="0" w:hanging="45" w:hangingChars="20"/>
        <w:rPr>
          <w:rFonts w:hint="eastAsia" w:ascii="黑体" w:hAnsi="黑体" w:eastAsia="黑体" w:cs="黑体"/>
          <w:color w:val="auto"/>
          <w:sz w:val="24"/>
          <w:szCs w:val="24"/>
        </w:rPr>
      </w:pPr>
      <w:r>
        <w:rPr>
          <w:rFonts w:hint="eastAsia" w:ascii="黑体" w:hAnsi="黑体" w:eastAsia="黑体" w:cs="黑体"/>
          <w:color w:val="auto"/>
          <w:spacing w:val="-6"/>
          <w:sz w:val="24"/>
          <w:szCs w:val="24"/>
        </w:rPr>
        <w:t>事实依据：</w:t>
      </w:r>
    </w:p>
    <w:p w14:paraId="33E6C16F">
      <w:pPr>
        <w:pStyle w:val="7"/>
        <w:pageBreakBefore w:val="0"/>
        <w:kinsoku w:val="0"/>
        <w:wordWrap w:val="0"/>
        <w:overflowPunct/>
        <w:topLinePunct w:val="0"/>
        <w:autoSpaceDE/>
        <w:autoSpaceDN/>
        <w:bidi w:val="0"/>
        <w:spacing w:before="97" w:line="222" w:lineRule="auto"/>
        <w:ind w:left="44" w:leftChars="0" w:hanging="44" w:hangingChars="20"/>
        <w:rPr>
          <w:rFonts w:hint="eastAsia" w:ascii="黑体" w:hAnsi="黑体" w:eastAsia="黑体" w:cs="黑体"/>
          <w:color w:val="auto"/>
          <w:sz w:val="24"/>
          <w:szCs w:val="24"/>
        </w:rPr>
      </w:pPr>
      <w:r>
        <w:rPr>
          <w:rFonts w:hint="eastAsia" w:ascii="黑体" w:hAnsi="黑体" w:eastAsia="黑体" w:cs="黑体"/>
          <w:color w:val="auto"/>
          <w:spacing w:val="-10"/>
          <w:sz w:val="24"/>
          <w:szCs w:val="24"/>
        </w:rPr>
        <w:t>法律依据：</w:t>
      </w:r>
    </w:p>
    <w:p w14:paraId="3CB88D14">
      <w:pPr>
        <w:pStyle w:val="7"/>
        <w:pageBreakBefore w:val="0"/>
        <w:kinsoku w:val="0"/>
        <w:wordWrap w:val="0"/>
        <w:overflowPunct/>
        <w:topLinePunct w:val="0"/>
        <w:autoSpaceDE/>
        <w:autoSpaceDN/>
        <w:bidi w:val="0"/>
        <w:spacing w:before="89" w:line="223" w:lineRule="auto"/>
        <w:ind w:left="44" w:leftChars="0" w:hanging="44" w:hangingChars="20"/>
        <w:rPr>
          <w:rFonts w:hint="eastAsia" w:ascii="黑体" w:hAnsi="黑体" w:eastAsia="黑体" w:cs="黑体"/>
          <w:color w:val="auto"/>
          <w:sz w:val="24"/>
          <w:szCs w:val="24"/>
        </w:rPr>
      </w:pPr>
      <w:r>
        <w:rPr>
          <w:rFonts w:hint="eastAsia" w:ascii="黑体" w:hAnsi="黑体" w:eastAsia="黑体" w:cs="黑体"/>
          <w:color w:val="auto"/>
          <w:spacing w:val="-8"/>
          <w:sz w:val="24"/>
          <w:szCs w:val="24"/>
        </w:rPr>
        <w:t>质疑事项2</w:t>
      </w:r>
    </w:p>
    <w:p w14:paraId="3D78B835">
      <w:pPr>
        <w:pStyle w:val="7"/>
        <w:pageBreakBefore w:val="0"/>
        <w:kinsoku w:val="0"/>
        <w:wordWrap w:val="0"/>
        <w:overflowPunct/>
        <w:topLinePunct w:val="0"/>
        <w:autoSpaceDE/>
        <w:autoSpaceDN/>
        <w:bidi w:val="0"/>
        <w:spacing w:before="152" w:line="326" w:lineRule="exact"/>
        <w:ind w:left="42" w:leftChars="0" w:hanging="42" w:hangingChars="20"/>
        <w:rPr>
          <w:rFonts w:hint="eastAsia" w:ascii="黑体" w:hAnsi="黑体" w:eastAsia="黑体" w:cs="黑体"/>
          <w:color w:val="auto"/>
          <w:sz w:val="24"/>
          <w:szCs w:val="24"/>
        </w:rPr>
      </w:pPr>
      <w:r>
        <w:rPr>
          <w:rFonts w:hint="eastAsia" w:ascii="黑体" w:hAnsi="黑体" w:eastAsia="黑体" w:cs="黑体"/>
          <w:color w:val="auto"/>
          <w:spacing w:val="-13"/>
          <w:position w:val="1"/>
          <w:sz w:val="24"/>
          <w:szCs w:val="24"/>
        </w:rPr>
        <w:t>……</w:t>
      </w:r>
    </w:p>
    <w:p w14:paraId="42BF6D67">
      <w:pPr>
        <w:pStyle w:val="7"/>
        <w:pageBreakBefore w:val="0"/>
        <w:kinsoku w:val="0"/>
        <w:wordWrap w:val="0"/>
        <w:overflowPunct/>
        <w:topLinePunct w:val="0"/>
        <w:autoSpaceDE/>
        <w:autoSpaceDN/>
        <w:bidi w:val="0"/>
        <w:spacing w:line="220" w:lineRule="auto"/>
        <w:ind w:left="45" w:leftChars="0" w:hanging="45" w:hangingChars="20"/>
        <w:rPr>
          <w:rFonts w:hint="eastAsia" w:ascii="黑体" w:hAnsi="黑体" w:eastAsia="黑体" w:cs="黑体"/>
          <w:color w:val="auto"/>
          <w:sz w:val="24"/>
          <w:szCs w:val="24"/>
        </w:rPr>
      </w:pPr>
      <w:r>
        <w:rPr>
          <w:rFonts w:hint="eastAsia" w:ascii="黑体" w:hAnsi="黑体" w:eastAsia="黑体" w:cs="黑体"/>
          <w:color w:val="auto"/>
          <w:spacing w:val="-7"/>
          <w:sz w:val="24"/>
          <w:szCs w:val="24"/>
        </w:rPr>
        <w:t>四、与质疑事项相关的质疑请求</w:t>
      </w:r>
    </w:p>
    <w:p w14:paraId="0448DFD9">
      <w:pPr>
        <w:pStyle w:val="7"/>
        <w:pageBreakBefore w:val="0"/>
        <w:kinsoku w:val="0"/>
        <w:wordWrap w:val="0"/>
        <w:overflowPunct/>
        <w:topLinePunct w:val="0"/>
        <w:autoSpaceDE/>
        <w:autoSpaceDN/>
        <w:bidi w:val="0"/>
        <w:spacing w:before="114" w:line="239" w:lineRule="auto"/>
        <w:ind w:left="45" w:leftChars="0" w:right="321" w:hanging="45" w:hangingChars="20"/>
        <w:rPr>
          <w:rFonts w:hint="eastAsia" w:ascii="黑体" w:hAnsi="黑体" w:eastAsia="黑体" w:cs="黑体"/>
          <w:color w:val="auto"/>
          <w:spacing w:val="1"/>
          <w:sz w:val="24"/>
          <w:szCs w:val="24"/>
        </w:rPr>
      </w:pPr>
      <w:r>
        <w:rPr>
          <w:rFonts w:hint="eastAsia" w:ascii="黑体" w:hAnsi="黑体" w:eastAsia="黑体" w:cs="黑体"/>
          <w:color w:val="auto"/>
          <w:spacing w:val="-7"/>
          <w:sz w:val="24"/>
          <w:szCs w:val="24"/>
        </w:rPr>
        <w:t>请求：</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z w:val="24"/>
          <w:szCs w:val="24"/>
          <w:u w:val="none" w:color="auto"/>
          <w:lang w:val="en-US" w:eastAsia="zh-CN"/>
        </w:rPr>
        <w:t xml:space="preserve"> </w:t>
      </w:r>
      <w:r>
        <w:rPr>
          <w:rFonts w:hint="eastAsia" w:ascii="黑体" w:hAnsi="黑体" w:eastAsia="黑体" w:cs="黑体"/>
          <w:color w:val="auto"/>
          <w:spacing w:val="-7"/>
          <w:sz w:val="24"/>
          <w:szCs w:val="24"/>
        </w:rPr>
        <w:t>签字(签/章)：</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z w:val="24"/>
          <w:szCs w:val="24"/>
          <w:u w:val="none" w:color="auto"/>
          <w:lang w:val="en-US" w:eastAsia="zh-CN"/>
        </w:rPr>
        <w:t xml:space="preserve"> </w:t>
      </w:r>
    </w:p>
    <w:p w14:paraId="114E0656">
      <w:pPr>
        <w:pStyle w:val="7"/>
        <w:pageBreakBefore w:val="0"/>
        <w:kinsoku w:val="0"/>
        <w:wordWrap w:val="0"/>
        <w:overflowPunct/>
        <w:topLinePunct w:val="0"/>
        <w:autoSpaceDE/>
        <w:autoSpaceDN/>
        <w:bidi w:val="0"/>
        <w:spacing w:before="114" w:line="239" w:lineRule="auto"/>
        <w:ind w:left="45" w:leftChars="0" w:right="321" w:hanging="45" w:hangingChars="20"/>
        <w:rPr>
          <w:rFonts w:hint="eastAsia" w:ascii="黑体" w:hAnsi="黑体" w:eastAsia="黑体" w:cs="黑体"/>
          <w:color w:val="auto"/>
          <w:sz w:val="24"/>
          <w:szCs w:val="24"/>
        </w:rPr>
      </w:pPr>
      <w:r>
        <w:rPr>
          <w:rFonts w:hint="eastAsia" w:ascii="黑体" w:hAnsi="黑体" w:eastAsia="黑体" w:cs="黑体"/>
          <w:color w:val="auto"/>
          <w:spacing w:val="-7"/>
          <w:sz w:val="24"/>
          <w:szCs w:val="24"/>
          <w:lang w:eastAsia="zh-CN"/>
        </w:rPr>
        <w:t>加盖</w:t>
      </w:r>
      <w:r>
        <w:rPr>
          <w:rFonts w:hint="eastAsia" w:ascii="黑体" w:hAnsi="黑体" w:eastAsia="黑体" w:cs="黑体"/>
          <w:color w:val="auto"/>
          <w:spacing w:val="-7"/>
          <w:sz w:val="24"/>
          <w:szCs w:val="24"/>
        </w:rPr>
        <w:t>公章：</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z w:val="24"/>
          <w:szCs w:val="24"/>
          <w:u w:val="none" w:color="auto"/>
          <w:lang w:val="en-US" w:eastAsia="zh-CN"/>
        </w:rPr>
        <w:t xml:space="preserve"> </w:t>
      </w:r>
    </w:p>
    <w:p w14:paraId="14C82E47">
      <w:pPr>
        <w:pStyle w:val="7"/>
        <w:pageBreakBefore w:val="0"/>
        <w:kinsoku w:val="0"/>
        <w:wordWrap w:val="0"/>
        <w:overflowPunct/>
        <w:topLinePunct w:val="0"/>
        <w:autoSpaceDE/>
        <w:autoSpaceDN/>
        <w:bidi w:val="0"/>
        <w:spacing w:before="121" w:line="223" w:lineRule="auto"/>
        <w:ind w:left="35" w:leftChars="0" w:hanging="35" w:hangingChars="20"/>
        <w:rPr>
          <w:rFonts w:hint="eastAsia" w:ascii="黑体" w:hAnsi="黑体" w:eastAsia="黑体" w:cs="黑体"/>
          <w:color w:val="auto"/>
          <w:sz w:val="21"/>
        </w:rPr>
      </w:pPr>
      <w:r>
        <w:rPr>
          <w:rFonts w:hint="eastAsia" w:ascii="黑体" w:hAnsi="黑体" w:eastAsia="黑体" w:cs="黑体"/>
          <w:color w:val="auto"/>
          <w:spacing w:val="-31"/>
          <w:sz w:val="24"/>
          <w:szCs w:val="24"/>
        </w:rPr>
        <w:t>日期：</w:t>
      </w:r>
      <w:r>
        <w:rPr>
          <w:rFonts w:hint="eastAsia" w:ascii="黑体" w:hAnsi="黑体" w:eastAsia="黑体" w:cs="黑体"/>
          <w:color w:val="auto"/>
          <w:spacing w:val="-8"/>
          <w:sz w:val="24"/>
          <w:szCs w:val="24"/>
          <w:u w:val="single"/>
          <w:lang w:val="en-US" w:eastAsia="zh-CN"/>
        </w:rPr>
        <w:t xml:space="preserve">               </w:t>
      </w:r>
      <w:r>
        <w:rPr>
          <w:rFonts w:hint="eastAsia" w:ascii="黑体" w:hAnsi="黑体" w:eastAsia="黑体" w:cs="黑体"/>
          <w:color w:val="auto"/>
          <w:sz w:val="24"/>
          <w:szCs w:val="24"/>
          <w:u w:val="none" w:color="auto"/>
          <w:lang w:val="en-US" w:eastAsia="zh-CN"/>
        </w:rPr>
        <w:t xml:space="preserve"> </w:t>
      </w:r>
    </w:p>
    <w:p w14:paraId="53E90BDD">
      <w:pPr>
        <w:pStyle w:val="7"/>
        <w:pageBreakBefore w:val="0"/>
        <w:kinsoku w:val="0"/>
        <w:wordWrap w:val="0"/>
        <w:overflowPunct/>
        <w:topLinePunct w:val="0"/>
        <w:autoSpaceDE/>
        <w:autoSpaceDN/>
        <w:bidi w:val="0"/>
        <w:spacing w:before="79" w:line="220" w:lineRule="auto"/>
        <w:ind w:left="54"/>
        <w:rPr>
          <w:rFonts w:hint="eastAsia" w:ascii="黑体" w:hAnsi="黑体" w:eastAsia="黑体" w:cs="黑体"/>
          <w:color w:val="auto"/>
          <w:sz w:val="24"/>
          <w:szCs w:val="24"/>
        </w:rPr>
      </w:pPr>
      <w:r>
        <w:rPr>
          <w:rFonts w:hint="eastAsia" w:ascii="黑体" w:hAnsi="黑体" w:eastAsia="黑体" w:cs="黑体"/>
          <w:b/>
          <w:bCs/>
          <w:color w:val="auto"/>
          <w:spacing w:val="-9"/>
          <w:sz w:val="24"/>
          <w:szCs w:val="24"/>
        </w:rPr>
        <w:t>质疑函制作说明：</w:t>
      </w:r>
    </w:p>
    <w:p w14:paraId="32BE247D">
      <w:pPr>
        <w:pStyle w:val="7"/>
        <w:pageBreakBefore w:val="0"/>
        <w:kinsoku w:val="0"/>
        <w:wordWrap w:val="0"/>
        <w:overflowPunct/>
        <w:topLinePunct w:val="0"/>
        <w:autoSpaceDE/>
        <w:autoSpaceDN/>
        <w:bidi w:val="0"/>
        <w:spacing w:before="39" w:line="360" w:lineRule="auto"/>
        <w:ind w:left="0" w:leftChars="0" w:firstLine="0" w:firstLineChars="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供应商提出质疑时，应提交质疑函和必要的证明材料。2.质疑供应商若委托代理人进行质疑的，质疑函应按要求列明“授权代表”的有关内容，并在附件中提交由质疑供应商签署的授权委托书。授权委托书应载明代理人的姓名或者名称、代理事项、具体权限、期限和相关事项。3.质疑供应商若对项目的某一分包进行质疑，质疑函中应列明具体分包号。4.质疑函的质疑事项应具体、明确，并有必要的事实依据和法律依据。5.质疑函的质疑请求应与质疑事项相关。6.质疑供应商为自然人的，质疑函应由本人签字；质疑供应商为法人或者其他组织的，质疑函应由法定代表人、主要负责人，或者其授权代表签字或者盖章，并加盖公章。</w:t>
      </w:r>
    </w:p>
    <w:p w14:paraId="3D39313D">
      <w:pPr>
        <w:pStyle w:val="7"/>
        <w:pageBreakBefore w:val="0"/>
        <w:kinsoku w:val="0"/>
        <w:wordWrap w:val="0"/>
        <w:overflowPunct/>
        <w:topLinePunct w:val="0"/>
        <w:autoSpaceDE/>
        <w:autoSpaceDN/>
        <w:bidi w:val="0"/>
        <w:spacing w:before="39" w:line="360" w:lineRule="auto"/>
        <w:ind w:left="0" w:leftChars="0" w:firstLine="0" w:firstLineChars="0"/>
        <w:rPr>
          <w:rFonts w:hint="eastAsia" w:ascii="黑体" w:hAnsi="黑体" w:eastAsia="黑体" w:cs="黑体"/>
          <w:color w:val="auto"/>
          <w:spacing w:val="4"/>
          <w:sz w:val="24"/>
          <w:szCs w:val="24"/>
        </w:rPr>
        <w:sectPr>
          <w:footerReference r:id="rId8" w:type="default"/>
          <w:pgSz w:w="11906" w:h="16840"/>
          <w:pgMar w:top="1431" w:right="1480" w:bottom="1128" w:left="1785" w:header="0" w:footer="914" w:gutter="0"/>
          <w:pgNumType w:fmt="decimal"/>
          <w:cols w:space="720" w:num="1"/>
        </w:sectPr>
      </w:pPr>
    </w:p>
    <w:p w14:paraId="1E006903">
      <w:pPr>
        <w:pStyle w:val="7"/>
        <w:pageBreakBefore w:val="0"/>
        <w:kinsoku w:val="0"/>
        <w:wordWrap w:val="0"/>
        <w:overflowPunct/>
        <w:topLinePunct w:val="0"/>
        <w:autoSpaceDE/>
        <w:autoSpaceDN/>
        <w:bidi w:val="0"/>
        <w:spacing w:before="190" w:line="221" w:lineRule="auto"/>
        <w:ind w:left="2249"/>
        <w:rPr>
          <w:rFonts w:hint="eastAsia" w:ascii="黑体" w:hAnsi="黑体" w:eastAsia="黑体" w:cs="黑体"/>
          <w:color w:val="auto"/>
          <w:sz w:val="30"/>
          <w:szCs w:val="30"/>
        </w:rPr>
      </w:pPr>
      <w:r>
        <w:rPr>
          <w:rFonts w:hint="eastAsia" w:ascii="黑体" w:hAnsi="黑体" w:eastAsia="黑体" w:cs="黑体"/>
          <w:b/>
          <w:bCs/>
          <w:color w:val="auto"/>
          <w:spacing w:val="-13"/>
          <w:sz w:val="30"/>
          <w:szCs w:val="30"/>
        </w:rPr>
        <w:t>附件1：履约保证金保函（格式）</w:t>
      </w:r>
    </w:p>
    <w:p w14:paraId="3E77C276">
      <w:pPr>
        <w:pStyle w:val="7"/>
        <w:pageBreakBefore w:val="0"/>
        <w:kinsoku w:val="0"/>
        <w:wordWrap w:val="0"/>
        <w:overflowPunct/>
        <w:topLinePunct w:val="0"/>
        <w:autoSpaceDE/>
        <w:autoSpaceDN/>
        <w:bidi w:val="0"/>
        <w:spacing w:before="134" w:line="222" w:lineRule="auto"/>
        <w:ind w:left="3632"/>
        <w:rPr>
          <w:rFonts w:hint="eastAsia" w:ascii="黑体" w:hAnsi="黑体" w:eastAsia="黑体" w:cs="黑体"/>
          <w:color w:val="auto"/>
          <w:sz w:val="24"/>
          <w:szCs w:val="24"/>
        </w:rPr>
      </w:pPr>
      <w:r>
        <w:rPr>
          <w:rFonts w:hint="eastAsia" w:ascii="黑体" w:hAnsi="黑体" w:eastAsia="黑体" w:cs="黑体"/>
          <w:b/>
          <w:bCs/>
          <w:color w:val="auto"/>
          <w:spacing w:val="-9"/>
          <w:sz w:val="24"/>
          <w:szCs w:val="24"/>
        </w:rPr>
        <w:t>（成交后开具）</w:t>
      </w:r>
    </w:p>
    <w:p w14:paraId="393FB8C2">
      <w:pPr>
        <w:pageBreakBefore w:val="0"/>
        <w:kinsoku w:val="0"/>
        <w:wordWrap w:val="0"/>
        <w:overflowPunct/>
        <w:topLinePunct w:val="0"/>
        <w:autoSpaceDE/>
        <w:autoSpaceDN/>
        <w:bidi w:val="0"/>
        <w:spacing w:line="316" w:lineRule="auto"/>
        <w:rPr>
          <w:rFonts w:hint="eastAsia" w:ascii="黑体" w:hAnsi="黑体" w:eastAsia="黑体" w:cs="黑体"/>
          <w:color w:val="auto"/>
          <w:sz w:val="21"/>
        </w:rPr>
      </w:pPr>
    </w:p>
    <w:p w14:paraId="1B1847E9">
      <w:pPr>
        <w:pStyle w:val="7"/>
        <w:pageBreakBefore w:val="0"/>
        <w:kinsoku w:val="0"/>
        <w:wordWrap w:val="0"/>
        <w:overflowPunct/>
        <w:topLinePunct w:val="0"/>
        <w:autoSpaceDE/>
        <w:autoSpaceDN/>
        <w:bidi w:val="0"/>
        <w:spacing w:before="84" w:line="214" w:lineRule="auto"/>
        <w:ind w:left="49"/>
        <w:rPr>
          <w:rFonts w:hint="eastAsia" w:ascii="黑体" w:hAnsi="黑体" w:eastAsia="黑体" w:cs="黑体"/>
          <w:color w:val="auto"/>
          <w:sz w:val="24"/>
          <w:szCs w:val="24"/>
        </w:rPr>
      </w:pPr>
      <w:r>
        <w:rPr>
          <w:rFonts w:hint="eastAsia" w:ascii="黑体" w:hAnsi="黑体" w:eastAsia="黑体" w:cs="黑体"/>
          <w:color w:val="auto"/>
          <w:spacing w:val="-9"/>
          <w:sz w:val="24"/>
          <w:szCs w:val="24"/>
        </w:rPr>
        <w:t>致:(</w:t>
      </w:r>
      <w:r>
        <w:rPr>
          <w:rFonts w:hint="eastAsia" w:ascii="黑体" w:hAnsi="黑体" w:eastAsia="黑体" w:cs="黑体"/>
          <w:color w:val="auto"/>
          <w:spacing w:val="-7"/>
          <w:sz w:val="24"/>
          <w:szCs w:val="24"/>
        </w:rPr>
        <w:t>买方名称</w:t>
      </w:r>
      <w:r>
        <w:rPr>
          <w:rFonts w:hint="eastAsia" w:ascii="黑体" w:hAnsi="黑体" w:eastAsia="黑体" w:cs="黑体"/>
          <w:color w:val="auto"/>
          <w:spacing w:val="-9"/>
          <w:sz w:val="24"/>
          <w:szCs w:val="24"/>
        </w:rPr>
        <w:t>)</w:t>
      </w:r>
    </w:p>
    <w:p w14:paraId="3B0B3256">
      <w:pPr>
        <w:pStyle w:val="7"/>
        <w:pageBreakBefore w:val="0"/>
        <w:tabs>
          <w:tab w:val="left" w:pos="2111"/>
        </w:tabs>
        <w:kinsoku w:val="0"/>
        <w:wordWrap w:val="0"/>
        <w:overflowPunct/>
        <w:topLinePunct w:val="0"/>
        <w:autoSpaceDE/>
        <w:autoSpaceDN/>
        <w:bidi w:val="0"/>
        <w:spacing w:before="171" w:line="221" w:lineRule="auto"/>
        <w:ind w:left="554"/>
        <w:rPr>
          <w:rFonts w:hint="eastAsia" w:ascii="黑体" w:hAnsi="黑体" w:eastAsia="黑体" w:cs="黑体"/>
          <w:color w:val="auto"/>
          <w:sz w:val="24"/>
          <w:szCs w:val="24"/>
        </w:rPr>
      </w:pPr>
      <w:r>
        <w:rPr>
          <w:rFonts w:hint="eastAsia" w:ascii="黑体" w:hAnsi="黑体" w:eastAsia="黑体" w:cs="黑体"/>
          <w:color w:val="auto"/>
          <w:sz w:val="24"/>
          <w:szCs w:val="24"/>
          <w:u w:val="single" w:color="auto"/>
        </w:rPr>
        <w:tab/>
      </w:r>
      <w:r>
        <w:rPr>
          <w:rFonts w:hint="eastAsia" w:ascii="黑体" w:hAnsi="黑体" w:eastAsia="黑体" w:cs="黑体"/>
          <w:color w:val="auto"/>
          <w:spacing w:val="-6"/>
          <w:sz w:val="24"/>
          <w:szCs w:val="24"/>
        </w:rPr>
        <w:t>号合同履约保函</w:t>
      </w:r>
    </w:p>
    <w:p w14:paraId="6AC9AB37">
      <w:pPr>
        <w:pStyle w:val="7"/>
        <w:pageBreakBefore w:val="0"/>
        <w:kinsoku w:val="0"/>
        <w:wordWrap w:val="0"/>
        <w:overflowPunct/>
        <w:topLinePunct w:val="0"/>
        <w:autoSpaceDE/>
        <w:autoSpaceDN/>
        <w:bidi w:val="0"/>
        <w:spacing w:before="201" w:line="360" w:lineRule="auto"/>
        <w:ind w:left="44" w:right="129" w:firstLine="600"/>
        <w:rPr>
          <w:rFonts w:hint="eastAsia" w:ascii="黑体" w:hAnsi="黑体" w:eastAsia="黑体" w:cs="黑体"/>
          <w:color w:val="auto"/>
          <w:spacing w:val="-5"/>
          <w:sz w:val="24"/>
          <w:szCs w:val="24"/>
        </w:rPr>
      </w:pPr>
      <w:r>
        <w:rPr>
          <w:rFonts w:hint="eastAsia" w:ascii="黑体" w:hAnsi="黑体" w:eastAsia="黑体" w:cs="黑体"/>
          <w:color w:val="auto"/>
          <w:spacing w:val="-8"/>
          <w:sz w:val="24"/>
          <w:szCs w:val="24"/>
        </w:rPr>
        <w:t>本保函作为贵方与</w:t>
      </w:r>
      <w:r>
        <w:rPr>
          <w:rFonts w:hint="eastAsia" w:ascii="黑体" w:hAnsi="黑体" w:eastAsia="黑体" w:cs="黑体"/>
          <w:color w:val="auto"/>
          <w:spacing w:val="1"/>
          <w:sz w:val="24"/>
          <w:szCs w:val="24"/>
        </w:rPr>
        <w:t>(卖方名称)(以下简称卖方)于</w:t>
      </w:r>
      <w:r>
        <w:rPr>
          <w:rFonts w:hint="eastAsia" w:ascii="黑体" w:hAnsi="黑体" w:eastAsia="黑体" w:cs="黑体"/>
          <w:color w:val="auto"/>
          <w:spacing w:val="-8"/>
          <w:sz w:val="24"/>
          <w:szCs w:val="24"/>
        </w:rPr>
        <w:t>年月日</w:t>
      </w:r>
      <w:r>
        <w:rPr>
          <w:rFonts w:hint="eastAsia" w:ascii="黑体" w:hAnsi="黑体" w:eastAsia="黑体" w:cs="黑体"/>
          <w:color w:val="auto"/>
          <w:spacing w:val="-1"/>
          <w:sz w:val="24"/>
          <w:szCs w:val="24"/>
        </w:rPr>
        <w:t>就项目(以下简称项目)提供(服务</w:t>
      </w:r>
      <w:r>
        <w:rPr>
          <w:rFonts w:hint="eastAsia" w:ascii="黑体" w:hAnsi="黑体" w:eastAsia="黑体" w:cs="黑体"/>
          <w:color w:val="auto"/>
          <w:spacing w:val="1"/>
          <w:sz w:val="24"/>
          <w:szCs w:val="24"/>
        </w:rPr>
        <w:t>)签订的(合同号)号合同的履约保函。(出具保函的银行名称)(以下简称银行)无条件地、不可撤销地具结保证本行、其继承人和受让人无追索地向贵方以(货币名称)支付总额不超过(货币数量),合同价款的7%。,并以此约定如下</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1.只要贵方确定卖方未能忠实地履行所有合同文件的规定和双方此后一致</w:t>
      </w:r>
      <w:r>
        <w:rPr>
          <w:rFonts w:hint="eastAsia" w:ascii="黑体" w:hAnsi="黑体" w:eastAsia="黑体" w:cs="黑体"/>
          <w:color w:val="auto"/>
          <w:spacing w:val="-2"/>
          <w:sz w:val="24"/>
          <w:szCs w:val="24"/>
        </w:rPr>
        <w:t>同意的修改、补充和变动,包括更改和/或修补贵方认为有缺</w:t>
      </w:r>
      <w:r>
        <w:rPr>
          <w:rFonts w:hint="eastAsia" w:ascii="黑体" w:hAnsi="黑体" w:eastAsia="黑体" w:cs="黑体"/>
          <w:color w:val="auto"/>
          <w:spacing w:val="-3"/>
          <w:sz w:val="24"/>
          <w:szCs w:val="24"/>
        </w:rPr>
        <w:t>陷的货物(以下</w:t>
      </w:r>
      <w:r>
        <w:rPr>
          <w:rFonts w:hint="eastAsia" w:ascii="黑体" w:hAnsi="黑体" w:eastAsia="黑体" w:cs="黑体"/>
          <w:color w:val="auto"/>
          <w:spacing w:val="5"/>
          <w:sz w:val="24"/>
          <w:szCs w:val="24"/>
        </w:rPr>
        <w:t>简称违约),无论卖方有任何反对,本行将凭贵方关于卖方违约</w:t>
      </w:r>
      <w:r>
        <w:rPr>
          <w:rFonts w:hint="eastAsia" w:ascii="黑体" w:hAnsi="黑体" w:eastAsia="黑体" w:cs="黑体"/>
          <w:color w:val="auto"/>
          <w:spacing w:val="4"/>
          <w:sz w:val="24"/>
          <w:szCs w:val="24"/>
        </w:rPr>
        <w:t>说明的书面</w:t>
      </w:r>
      <w:r>
        <w:rPr>
          <w:rFonts w:hint="eastAsia" w:ascii="黑体" w:hAnsi="黑体" w:eastAsia="黑体" w:cs="黑体"/>
          <w:color w:val="auto"/>
          <w:spacing w:val="5"/>
          <w:sz w:val="24"/>
          <w:szCs w:val="24"/>
        </w:rPr>
        <w:t>通知,立即按贵方提出的累计总额不超过上述金额的款项和按贵方通</w:t>
      </w:r>
      <w:r>
        <w:rPr>
          <w:rFonts w:hint="eastAsia" w:ascii="黑体" w:hAnsi="黑体" w:eastAsia="黑体" w:cs="黑体"/>
          <w:color w:val="auto"/>
          <w:spacing w:val="4"/>
          <w:sz w:val="24"/>
          <w:szCs w:val="24"/>
        </w:rPr>
        <w:t>知规</w:t>
      </w:r>
      <w:r>
        <w:rPr>
          <w:rFonts w:hint="eastAsia" w:ascii="黑体" w:hAnsi="黑体" w:eastAsia="黑体" w:cs="黑体"/>
          <w:color w:val="auto"/>
          <w:spacing w:val="-5"/>
          <w:sz w:val="24"/>
          <w:szCs w:val="24"/>
        </w:rPr>
        <w:t>定的方式付给贵方。</w:t>
      </w:r>
    </w:p>
    <w:p w14:paraId="26D27C36">
      <w:pPr>
        <w:pStyle w:val="7"/>
        <w:pageBreakBefore w:val="0"/>
        <w:numPr>
          <w:ilvl w:val="0"/>
          <w:numId w:val="1"/>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3"/>
          <w:sz w:val="24"/>
          <w:szCs w:val="24"/>
        </w:rPr>
      </w:pPr>
      <w:r>
        <w:rPr>
          <w:rFonts w:hint="eastAsia" w:ascii="黑体" w:hAnsi="黑体" w:eastAsia="黑体" w:cs="黑体"/>
          <w:color w:val="auto"/>
          <w:spacing w:val="-4"/>
          <w:sz w:val="24"/>
          <w:szCs w:val="24"/>
        </w:rPr>
        <w:t>本保函项下的任何支付应为免税和净值。对于现有或将来的税收、关</w:t>
      </w:r>
      <w:r>
        <w:rPr>
          <w:rFonts w:hint="eastAsia" w:ascii="黑体" w:hAnsi="黑体" w:eastAsia="黑体" w:cs="黑体"/>
          <w:color w:val="auto"/>
          <w:spacing w:val="-5"/>
          <w:sz w:val="24"/>
          <w:szCs w:val="24"/>
        </w:rPr>
        <w:t>税、</w:t>
      </w:r>
      <w:r>
        <w:rPr>
          <w:rFonts w:hint="eastAsia" w:ascii="黑体" w:hAnsi="黑体" w:eastAsia="黑体" w:cs="黑体"/>
          <w:color w:val="auto"/>
          <w:spacing w:val="1"/>
          <w:sz w:val="24"/>
          <w:szCs w:val="24"/>
        </w:rPr>
        <w:t>收费、费用扣减或预提税款，不论这些款项是何种性质和</w:t>
      </w:r>
      <w:r>
        <w:rPr>
          <w:rFonts w:hint="eastAsia" w:ascii="黑体" w:hAnsi="黑体" w:eastAsia="黑体" w:cs="黑体"/>
          <w:color w:val="auto"/>
          <w:sz w:val="24"/>
          <w:szCs w:val="24"/>
        </w:rPr>
        <w:t>由谁征收，都不</w:t>
      </w:r>
      <w:r>
        <w:rPr>
          <w:rFonts w:hint="eastAsia" w:ascii="黑体" w:hAnsi="黑体" w:eastAsia="黑体" w:cs="黑体"/>
          <w:color w:val="auto"/>
          <w:spacing w:val="-3"/>
          <w:sz w:val="24"/>
          <w:szCs w:val="24"/>
        </w:rPr>
        <w:t>应从本保函项下的支付中扣除。</w:t>
      </w:r>
    </w:p>
    <w:p w14:paraId="2AF77826">
      <w:pPr>
        <w:pStyle w:val="7"/>
        <w:pageBreakBefore w:val="0"/>
        <w:numPr>
          <w:ilvl w:val="0"/>
          <w:numId w:val="1"/>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8"/>
          <w:sz w:val="24"/>
          <w:szCs w:val="24"/>
          <w:lang w:eastAsia="zh-CN"/>
        </w:rPr>
      </w:pPr>
      <w:r>
        <w:rPr>
          <w:rFonts w:hint="eastAsia" w:ascii="黑体" w:hAnsi="黑体" w:eastAsia="黑体" w:cs="黑体"/>
          <w:color w:val="auto"/>
          <w:spacing w:val="2"/>
          <w:sz w:val="24"/>
          <w:szCs w:val="24"/>
        </w:rPr>
        <w:t>本保函的条款构成本行无条件的、不可撤销的直接责任</w:t>
      </w:r>
      <w:r>
        <w:rPr>
          <w:rFonts w:hint="eastAsia" w:ascii="黑体" w:hAnsi="黑体" w:eastAsia="黑体" w:cs="黑体"/>
          <w:color w:val="auto"/>
          <w:spacing w:val="1"/>
          <w:sz w:val="24"/>
          <w:szCs w:val="24"/>
        </w:rPr>
        <w:t>。对即将履行的</w:t>
      </w:r>
      <w:r>
        <w:rPr>
          <w:rFonts w:hint="eastAsia" w:ascii="黑体" w:hAnsi="黑体" w:eastAsia="黑体" w:cs="黑体"/>
          <w:color w:val="auto"/>
          <w:spacing w:val="2"/>
          <w:sz w:val="24"/>
          <w:szCs w:val="24"/>
        </w:rPr>
        <w:t>合同条款的任何变更、贵方在时间上的宽限或由贵</w:t>
      </w:r>
      <w:r>
        <w:rPr>
          <w:rFonts w:hint="eastAsia" w:ascii="黑体" w:hAnsi="黑体" w:eastAsia="黑体" w:cs="黑体"/>
          <w:color w:val="auto"/>
          <w:spacing w:val="1"/>
          <w:sz w:val="24"/>
          <w:szCs w:val="24"/>
        </w:rPr>
        <w:t>方采取的如果没有本款可能免除本行责任的任何其它行为，均不能解除或免除本行在本保函项</w:t>
      </w:r>
      <w:r>
        <w:rPr>
          <w:rFonts w:hint="eastAsia" w:ascii="黑体" w:hAnsi="黑体" w:eastAsia="黑体" w:cs="黑体"/>
          <w:color w:val="auto"/>
          <w:spacing w:val="-8"/>
          <w:sz w:val="24"/>
          <w:szCs w:val="24"/>
        </w:rPr>
        <w:t>下的责任</w:t>
      </w:r>
      <w:r>
        <w:rPr>
          <w:rFonts w:hint="eastAsia" w:ascii="黑体" w:hAnsi="黑体" w:eastAsia="黑体" w:cs="黑体"/>
          <w:color w:val="auto"/>
          <w:spacing w:val="-8"/>
          <w:sz w:val="24"/>
          <w:szCs w:val="24"/>
          <w:lang w:eastAsia="zh-CN"/>
        </w:rPr>
        <w:t>。</w:t>
      </w:r>
    </w:p>
    <w:p w14:paraId="190BF297">
      <w:pPr>
        <w:pStyle w:val="7"/>
        <w:pageBreakBefore w:val="0"/>
        <w:numPr>
          <w:ilvl w:val="0"/>
          <w:numId w:val="0"/>
        </w:numPr>
        <w:kinsoku w:val="0"/>
        <w:wordWrap w:val="0"/>
        <w:overflowPunct/>
        <w:topLinePunct w:val="0"/>
        <w:autoSpaceDE/>
        <w:autoSpaceDN/>
        <w:bidi w:val="0"/>
        <w:spacing w:line="360" w:lineRule="auto"/>
        <w:ind w:leftChars="0"/>
        <w:rPr>
          <w:rFonts w:hint="eastAsia" w:ascii="黑体" w:hAnsi="黑体" w:eastAsia="黑体" w:cs="黑体"/>
          <w:color w:val="auto"/>
          <w:sz w:val="24"/>
          <w:szCs w:val="24"/>
        </w:rPr>
      </w:pPr>
      <w:r>
        <w:rPr>
          <w:rFonts w:hint="eastAsia" w:ascii="黑体" w:hAnsi="黑体" w:eastAsia="黑体" w:cs="黑体"/>
          <w:color w:val="auto"/>
          <w:spacing w:val="-2"/>
          <w:sz w:val="24"/>
          <w:szCs w:val="24"/>
        </w:rPr>
        <w:t>4.本保函在本合同规定的保证期期满前完全有效。</w:t>
      </w:r>
    </w:p>
    <w:p w14:paraId="11CB75D8">
      <w:pPr>
        <w:pStyle w:val="7"/>
        <w:pageBreakBefore w:val="0"/>
        <w:kinsoku w:val="0"/>
        <w:wordWrap w:val="0"/>
        <w:overflowPunct/>
        <w:topLinePunct w:val="0"/>
        <w:autoSpaceDE/>
        <w:autoSpaceDN/>
        <w:bidi w:val="0"/>
        <w:spacing w:before="78" w:line="224"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8"/>
          <w:sz w:val="24"/>
          <w:szCs w:val="24"/>
        </w:rPr>
        <w:t>谨启</w:t>
      </w:r>
    </w:p>
    <w:p w14:paraId="55DD435F">
      <w:pPr>
        <w:pStyle w:val="7"/>
        <w:pageBreakBefore w:val="0"/>
        <w:kinsoku w:val="0"/>
        <w:wordWrap w:val="0"/>
        <w:overflowPunct/>
        <w:topLinePunct w:val="0"/>
        <w:autoSpaceDE/>
        <w:autoSpaceDN/>
        <w:bidi w:val="0"/>
        <w:spacing w:before="191" w:line="347" w:lineRule="auto"/>
        <w:ind w:left="0" w:leftChars="0" w:firstLine="0" w:firstLineChars="0"/>
        <w:rPr>
          <w:rFonts w:hint="default" w:ascii="黑体" w:hAnsi="黑体" w:eastAsia="黑体" w:cs="黑体"/>
          <w:color w:val="auto"/>
          <w:sz w:val="24"/>
          <w:szCs w:val="24"/>
          <w:lang w:val="en-US" w:eastAsia="zh-CN"/>
        </w:rPr>
      </w:pPr>
      <w:r>
        <w:rPr>
          <w:rFonts w:hint="eastAsia" w:ascii="黑体" w:hAnsi="黑体" w:eastAsia="黑体" w:cs="黑体"/>
          <w:color w:val="auto"/>
          <w:spacing w:val="-10"/>
          <w:sz w:val="24"/>
          <w:szCs w:val="24"/>
        </w:rPr>
        <w:t>出具保函银行名称：</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0C383E00">
      <w:pPr>
        <w:pStyle w:val="7"/>
        <w:pageBreakBefore w:val="0"/>
        <w:kinsoku w:val="0"/>
        <w:wordWrap w:val="0"/>
        <w:overflowPunct/>
        <w:topLinePunct w:val="0"/>
        <w:autoSpaceDE/>
        <w:autoSpaceDN/>
        <w:bidi w:val="0"/>
        <w:spacing w:line="223"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签字人姓名和职务：</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5BD92191">
      <w:pPr>
        <w:pStyle w:val="7"/>
        <w:pageBreakBefore w:val="0"/>
        <w:kinsoku w:val="0"/>
        <w:wordWrap w:val="0"/>
        <w:overflowPunct/>
        <w:topLinePunct w:val="0"/>
        <w:autoSpaceDE/>
        <w:autoSpaceDN/>
        <w:bidi w:val="0"/>
        <w:spacing w:before="179" w:line="224"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8"/>
          <w:sz w:val="24"/>
          <w:szCs w:val="24"/>
        </w:rPr>
        <w:t>签字人签名：</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2998AEB5">
      <w:pPr>
        <w:pStyle w:val="7"/>
        <w:pageBreakBefore w:val="0"/>
        <w:kinsoku w:val="0"/>
        <w:wordWrap w:val="0"/>
        <w:overflowPunct/>
        <w:topLinePunct w:val="0"/>
        <w:autoSpaceDE/>
        <w:autoSpaceDN/>
        <w:bidi w:val="0"/>
        <w:spacing w:before="174" w:line="222"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15"/>
          <w:sz w:val="24"/>
          <w:szCs w:val="24"/>
          <w:lang w:val="en-US" w:eastAsia="zh-CN"/>
        </w:rPr>
        <w:t>加盖</w:t>
      </w:r>
      <w:r>
        <w:rPr>
          <w:rFonts w:hint="eastAsia" w:ascii="黑体" w:hAnsi="黑体" w:eastAsia="黑体" w:cs="黑体"/>
          <w:color w:val="auto"/>
          <w:spacing w:val="-15"/>
          <w:sz w:val="24"/>
          <w:szCs w:val="24"/>
        </w:rPr>
        <w:t>公章：</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36EEB690">
      <w:pPr>
        <w:pStyle w:val="7"/>
        <w:pageBreakBefore w:val="0"/>
        <w:kinsoku w:val="0"/>
        <w:wordWrap w:val="0"/>
        <w:overflowPunct/>
        <w:topLinePunct w:val="0"/>
        <w:autoSpaceDE/>
        <w:autoSpaceDN/>
        <w:bidi w:val="0"/>
        <w:spacing w:before="190" w:line="221" w:lineRule="auto"/>
        <w:ind w:left="2919"/>
        <w:rPr>
          <w:rFonts w:hint="eastAsia" w:ascii="黑体" w:hAnsi="黑体" w:eastAsia="黑体" w:cs="黑体"/>
          <w:b/>
          <w:bCs/>
          <w:color w:val="auto"/>
          <w:spacing w:val="-11"/>
          <w:sz w:val="30"/>
          <w:szCs w:val="30"/>
        </w:rPr>
      </w:pPr>
    </w:p>
    <w:p w14:paraId="6AD78E8B">
      <w:pPr>
        <w:pageBreakBefore w:val="0"/>
        <w:kinsoku w:val="0"/>
        <w:wordWrap w:val="0"/>
        <w:overflowPunct/>
        <w:topLinePunct w:val="0"/>
        <w:autoSpaceDE/>
        <w:autoSpaceDN/>
        <w:bidi w:val="0"/>
        <w:rPr>
          <w:rFonts w:hint="eastAsia" w:ascii="黑体" w:hAnsi="黑体" w:eastAsia="黑体" w:cs="黑体"/>
          <w:b/>
          <w:bCs/>
          <w:color w:val="auto"/>
          <w:spacing w:val="-11"/>
          <w:sz w:val="30"/>
          <w:szCs w:val="30"/>
        </w:rPr>
      </w:pPr>
      <w:r>
        <w:rPr>
          <w:rFonts w:hint="eastAsia" w:ascii="黑体" w:hAnsi="黑体" w:eastAsia="黑体" w:cs="黑体"/>
          <w:b/>
          <w:bCs/>
          <w:color w:val="auto"/>
          <w:spacing w:val="-11"/>
          <w:sz w:val="30"/>
          <w:szCs w:val="30"/>
        </w:rPr>
        <w:br w:type="page"/>
      </w:r>
    </w:p>
    <w:p w14:paraId="3067D304">
      <w:pPr>
        <w:pStyle w:val="7"/>
        <w:pageBreakBefore w:val="0"/>
        <w:kinsoku w:val="0"/>
        <w:wordWrap w:val="0"/>
        <w:overflowPunct/>
        <w:topLinePunct w:val="0"/>
        <w:autoSpaceDE/>
        <w:autoSpaceDN/>
        <w:bidi w:val="0"/>
        <w:spacing w:before="190" w:line="221" w:lineRule="auto"/>
        <w:ind w:left="2919"/>
        <w:rPr>
          <w:rFonts w:hint="eastAsia" w:ascii="黑体" w:hAnsi="黑体" w:eastAsia="黑体" w:cs="黑体"/>
          <w:color w:val="auto"/>
          <w:sz w:val="30"/>
          <w:szCs w:val="30"/>
        </w:rPr>
      </w:pPr>
      <w:r>
        <w:rPr>
          <w:rFonts w:hint="eastAsia" w:ascii="黑体" w:hAnsi="黑体" w:eastAsia="黑体" w:cs="黑体"/>
          <w:b/>
          <w:bCs/>
          <w:color w:val="auto"/>
          <w:spacing w:val="-11"/>
          <w:sz w:val="30"/>
          <w:szCs w:val="30"/>
        </w:rPr>
        <w:t>附件2：履约担保函格式</w:t>
      </w:r>
    </w:p>
    <w:p w14:paraId="79FC565B">
      <w:pPr>
        <w:pStyle w:val="7"/>
        <w:pageBreakBefore w:val="0"/>
        <w:kinsoku w:val="0"/>
        <w:wordWrap w:val="0"/>
        <w:overflowPunct/>
        <w:topLinePunct w:val="0"/>
        <w:autoSpaceDE/>
        <w:autoSpaceDN/>
        <w:bidi w:val="0"/>
        <w:spacing w:before="262" w:line="221" w:lineRule="auto"/>
        <w:ind w:left="1925"/>
        <w:rPr>
          <w:rFonts w:hint="eastAsia" w:ascii="黑体" w:hAnsi="黑体" w:eastAsia="黑体" w:cs="黑体"/>
          <w:color w:val="auto"/>
          <w:sz w:val="30"/>
          <w:szCs w:val="30"/>
        </w:rPr>
      </w:pPr>
      <w:r>
        <w:rPr>
          <w:rFonts w:hint="eastAsia" w:ascii="黑体" w:hAnsi="黑体" w:eastAsia="黑体" w:cs="黑体"/>
          <w:b/>
          <w:bCs/>
          <w:color w:val="auto"/>
          <w:spacing w:val="-8"/>
          <w:sz w:val="30"/>
          <w:szCs w:val="30"/>
        </w:rPr>
        <w:t>（采用政府采购信用担保形式时使用）</w:t>
      </w:r>
    </w:p>
    <w:p w14:paraId="7ABD1CE0">
      <w:pPr>
        <w:pageBreakBefore w:val="0"/>
        <w:kinsoku w:val="0"/>
        <w:wordWrap w:val="0"/>
        <w:overflowPunct/>
        <w:topLinePunct w:val="0"/>
        <w:autoSpaceDE/>
        <w:autoSpaceDN/>
        <w:bidi w:val="0"/>
        <w:spacing w:line="368" w:lineRule="auto"/>
        <w:rPr>
          <w:rFonts w:hint="eastAsia" w:ascii="黑体" w:hAnsi="黑体" w:eastAsia="黑体" w:cs="黑体"/>
          <w:color w:val="auto"/>
          <w:sz w:val="21"/>
        </w:rPr>
      </w:pPr>
    </w:p>
    <w:p w14:paraId="4F9C746F">
      <w:pPr>
        <w:pStyle w:val="7"/>
        <w:pageBreakBefore w:val="0"/>
        <w:tabs>
          <w:tab w:val="left" w:pos="2171"/>
        </w:tabs>
        <w:kinsoku w:val="0"/>
        <w:wordWrap w:val="0"/>
        <w:overflowPunct/>
        <w:topLinePunct w:val="0"/>
        <w:autoSpaceDE/>
        <w:autoSpaceDN/>
        <w:bidi w:val="0"/>
        <w:spacing w:before="78" w:line="240" w:lineRule="auto"/>
        <w:ind w:left="14"/>
        <w:rPr>
          <w:rFonts w:hint="eastAsia" w:ascii="黑体" w:hAnsi="黑体" w:eastAsia="黑体" w:cs="黑体"/>
          <w:color w:val="auto"/>
          <w:sz w:val="24"/>
          <w:szCs w:val="24"/>
        </w:rPr>
      </w:pP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rPr>
        <w:t>（采购人）：</w:t>
      </w:r>
    </w:p>
    <w:p w14:paraId="77E6F076">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3F1C2864">
      <w:pPr>
        <w:pStyle w:val="7"/>
        <w:pageBreakBefore w:val="0"/>
        <w:kinsoku w:val="0"/>
        <w:wordWrap w:val="0"/>
        <w:overflowPunct/>
        <w:topLinePunct w:val="0"/>
        <w:autoSpaceDE/>
        <w:autoSpaceDN/>
        <w:bidi w:val="0"/>
        <w:spacing w:before="78" w:line="360" w:lineRule="auto"/>
        <w:ind w:left="48" w:right="39" w:firstLine="481"/>
        <w:rPr>
          <w:rFonts w:hint="eastAsia" w:ascii="黑体" w:hAnsi="黑体" w:eastAsia="黑体" w:cs="黑体"/>
          <w:color w:val="auto"/>
          <w:sz w:val="24"/>
          <w:szCs w:val="24"/>
        </w:rPr>
      </w:pPr>
      <w:r>
        <w:rPr>
          <w:rFonts w:hint="eastAsia" w:ascii="黑体" w:hAnsi="黑体" w:eastAsia="黑体" w:cs="黑体"/>
          <w:color w:val="auto"/>
          <w:spacing w:val="-10"/>
          <w:sz w:val="24"/>
          <w:szCs w:val="24"/>
        </w:rPr>
        <w:t>鉴于你方与（以下简称供应商）于年月日签</w:t>
      </w:r>
      <w:r>
        <w:rPr>
          <w:rFonts w:hint="eastAsia" w:ascii="黑体" w:hAnsi="黑体" w:eastAsia="黑体" w:cs="黑体"/>
          <w:color w:val="auto"/>
          <w:spacing w:val="-10"/>
          <w:sz w:val="24"/>
          <w:szCs w:val="24"/>
          <w:lang w:val="en-US" w:eastAsia="zh-CN"/>
        </w:rPr>
        <w:t>订</w:t>
      </w:r>
      <w:r>
        <w:rPr>
          <w:rFonts w:hint="eastAsia" w:ascii="黑体" w:hAnsi="黑体" w:eastAsia="黑体" w:cs="黑体"/>
          <w:color w:val="auto"/>
          <w:spacing w:val="-6"/>
          <w:sz w:val="24"/>
          <w:szCs w:val="24"/>
        </w:rPr>
        <w:t>编号为的《政府采购合同》（以下简称主合同</w:t>
      </w:r>
      <w:r>
        <w:rPr>
          <w:rFonts w:hint="eastAsia" w:ascii="黑体" w:hAnsi="黑体" w:eastAsia="黑体" w:cs="黑体"/>
          <w:color w:val="auto"/>
          <w:spacing w:val="11"/>
          <w:sz w:val="24"/>
          <w:szCs w:val="24"/>
        </w:rPr>
        <w:t>），</w:t>
      </w:r>
      <w:r>
        <w:rPr>
          <w:rFonts w:hint="eastAsia" w:ascii="黑体" w:hAnsi="黑体" w:eastAsia="黑体" w:cs="黑体"/>
          <w:color w:val="auto"/>
          <w:spacing w:val="-6"/>
          <w:sz w:val="24"/>
          <w:szCs w:val="24"/>
        </w:rPr>
        <w:t>且依据该合</w:t>
      </w:r>
      <w:r>
        <w:rPr>
          <w:rFonts w:hint="eastAsia" w:ascii="黑体" w:hAnsi="黑体" w:eastAsia="黑体" w:cs="黑体"/>
          <w:color w:val="auto"/>
          <w:spacing w:val="-7"/>
          <w:sz w:val="24"/>
          <w:szCs w:val="24"/>
        </w:rPr>
        <w:t>同的约定，供应商应在年月日前向你方交纳履约保证金</w:t>
      </w:r>
      <w:r>
        <w:rPr>
          <w:rFonts w:hint="eastAsia" w:ascii="黑体" w:hAnsi="黑体" w:eastAsia="黑体" w:cs="黑体"/>
          <w:color w:val="auto"/>
          <w:spacing w:val="-7"/>
          <w:sz w:val="24"/>
          <w:szCs w:val="24"/>
          <w:lang w:eastAsia="zh-CN"/>
        </w:rPr>
        <w:t>，</w:t>
      </w:r>
      <w:r>
        <w:rPr>
          <w:rFonts w:hint="eastAsia" w:ascii="黑体" w:hAnsi="黑体" w:eastAsia="黑体" w:cs="黑体"/>
          <w:color w:val="auto"/>
          <w:spacing w:val="-7"/>
          <w:sz w:val="24"/>
          <w:szCs w:val="24"/>
        </w:rPr>
        <w:t>且可以履</w:t>
      </w:r>
      <w:r>
        <w:rPr>
          <w:rFonts w:hint="eastAsia" w:ascii="黑体" w:hAnsi="黑体" w:eastAsia="黑体" w:cs="黑体"/>
          <w:color w:val="auto"/>
          <w:spacing w:val="-4"/>
          <w:sz w:val="24"/>
          <w:szCs w:val="24"/>
        </w:rPr>
        <w:t>约担保函的形式交纳履约保证金。应供应商的申请，我方以保证的方式向你方提供如下履约保证金担保：</w:t>
      </w:r>
    </w:p>
    <w:p w14:paraId="5AD6091B">
      <w:pPr>
        <w:pStyle w:val="7"/>
        <w:pageBreakBefore w:val="0"/>
        <w:kinsoku w:val="0"/>
        <w:wordWrap w:val="0"/>
        <w:overflowPunct/>
        <w:topLinePunct w:val="0"/>
        <w:autoSpaceDE/>
        <w:autoSpaceDN/>
        <w:bidi w:val="0"/>
        <w:spacing w:before="78" w:line="360" w:lineRule="auto"/>
        <w:ind w:right="39"/>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一、保证责任的情形及保证金额</w:t>
      </w:r>
    </w:p>
    <w:p w14:paraId="6D19DEF9">
      <w:pPr>
        <w:pStyle w:val="7"/>
        <w:pageBreakBefore w:val="0"/>
        <w:kinsoku w:val="0"/>
        <w:wordWrap w:val="0"/>
        <w:overflowPunct/>
        <w:topLinePunct w:val="0"/>
        <w:autoSpaceDE/>
        <w:autoSpaceDN/>
        <w:bidi w:val="0"/>
        <w:spacing w:before="78" w:line="360" w:lineRule="auto"/>
        <w:ind w:left="0" w:leftChars="0" w:right="39" w:firstLine="0" w:firstLineChars="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lang w:eastAsia="zh-CN"/>
        </w:rPr>
        <w:t>（一）</w:t>
      </w:r>
      <w:r>
        <w:rPr>
          <w:rFonts w:hint="eastAsia" w:ascii="黑体" w:hAnsi="黑体" w:eastAsia="黑体" w:cs="黑体"/>
          <w:color w:val="auto"/>
          <w:spacing w:val="-4"/>
          <w:sz w:val="24"/>
          <w:szCs w:val="24"/>
        </w:rPr>
        <w:t>在供应商出现下列情形之一时，我方承担保证责任：</w:t>
      </w:r>
    </w:p>
    <w:p w14:paraId="31044EF5">
      <w:pPr>
        <w:pStyle w:val="7"/>
        <w:pageBreakBefore w:val="0"/>
        <w:kinsoku w:val="0"/>
        <w:wordWrap w:val="0"/>
        <w:overflowPunct/>
        <w:topLinePunct w:val="0"/>
        <w:autoSpaceDE/>
        <w:autoSpaceDN/>
        <w:bidi w:val="0"/>
        <w:spacing w:line="360" w:lineRule="auto"/>
        <w:ind w:left="0" w:leftChars="0" w:right="0" w:firstLine="0" w:firstLineChars="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lang w:val="en-US" w:eastAsia="zh-CN"/>
        </w:rPr>
        <w:t>1.</w:t>
      </w:r>
      <w:r>
        <w:rPr>
          <w:rFonts w:hint="eastAsia" w:ascii="黑体" w:hAnsi="黑体" w:eastAsia="黑体" w:cs="黑体"/>
          <w:color w:val="auto"/>
          <w:spacing w:val="-4"/>
          <w:sz w:val="24"/>
          <w:szCs w:val="24"/>
        </w:rPr>
        <w:t>将成交项目转让给他人，或者在响应文件中未说明，且未经采购招标机构同意，将成交项目分包给他人的；主合同约定的应当缴纳履约保证金的情形:</w:t>
      </w:r>
    </w:p>
    <w:p w14:paraId="1DEB10D8">
      <w:pPr>
        <w:pStyle w:val="7"/>
        <w:pageBreakBefore w:val="0"/>
        <w:numPr>
          <w:ilvl w:val="0"/>
          <w:numId w:val="0"/>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7"/>
          <w:sz w:val="24"/>
          <w:szCs w:val="24"/>
        </w:rPr>
        <w:t>（1）未按主合同约定的质量、数量和期限供应货物/提供服务/完成工</w:t>
      </w:r>
      <w:r>
        <w:rPr>
          <w:rFonts w:hint="eastAsia" w:ascii="黑体" w:hAnsi="黑体" w:eastAsia="黑体" w:cs="黑体"/>
          <w:color w:val="auto"/>
          <w:spacing w:val="-8"/>
          <w:sz w:val="24"/>
          <w:szCs w:val="24"/>
        </w:rPr>
        <w:t>程的；</w:t>
      </w:r>
    </w:p>
    <w:p w14:paraId="4C651582">
      <w:pPr>
        <w:pStyle w:val="7"/>
        <w:pageBreakBefore w:val="0"/>
        <w:kinsoku w:val="0"/>
        <w:wordWrap w:val="0"/>
        <w:overflowPunct/>
        <w:topLinePunct w:val="0"/>
        <w:autoSpaceDE/>
        <w:autoSpaceDN/>
        <w:bidi w:val="0"/>
        <w:spacing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26"/>
          <w:sz w:val="24"/>
          <w:szCs w:val="24"/>
        </w:rPr>
        <w:t>（2）。</w:t>
      </w:r>
    </w:p>
    <w:p w14:paraId="1070D995">
      <w:pPr>
        <w:pStyle w:val="7"/>
        <w:pageBreakBefore w:val="0"/>
        <w:numPr>
          <w:ilvl w:val="0"/>
          <w:numId w:val="0"/>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（二）我方的保证范围是主合同约定的合同价款总额的5%数额为元（大写）</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币种为</w:t>
      </w:r>
      <w:r>
        <w:rPr>
          <w:rFonts w:hint="eastAsia" w:ascii="黑体" w:hAnsi="黑体" w:eastAsia="黑体" w:cs="黑体"/>
          <w:color w:val="auto"/>
          <w:spacing w:val="-1"/>
          <w:sz w:val="24"/>
          <w:szCs w:val="24"/>
          <w:lang w:eastAsia="zh-CN"/>
        </w:rPr>
        <w:t>：</w:t>
      </w:r>
      <w:r>
        <w:rPr>
          <w:rFonts w:hint="eastAsia" w:ascii="黑体" w:hAnsi="黑体" w:eastAsia="黑体" w:cs="黑体"/>
          <w:color w:val="auto"/>
          <w:spacing w:val="-1"/>
          <w:sz w:val="24"/>
          <w:szCs w:val="24"/>
        </w:rPr>
        <w:t>。（即主合同履约保证金金额）</w:t>
      </w:r>
    </w:p>
    <w:p w14:paraId="0EA0B370">
      <w:pPr>
        <w:pStyle w:val="7"/>
        <w:pageBreakBefore w:val="0"/>
        <w:numPr>
          <w:ilvl w:val="0"/>
          <w:numId w:val="0"/>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二、保证的方式及保证期间</w:t>
      </w:r>
    </w:p>
    <w:p w14:paraId="01064041">
      <w:pPr>
        <w:pStyle w:val="7"/>
        <w:pageBreakBefore w:val="0"/>
        <w:numPr>
          <w:ilvl w:val="0"/>
          <w:numId w:val="0"/>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我方保证的方式为：连带责任保证。</w:t>
      </w:r>
    </w:p>
    <w:p w14:paraId="0362C6E3">
      <w:pPr>
        <w:pStyle w:val="7"/>
        <w:pageBreakBefore w:val="0"/>
        <w:numPr>
          <w:ilvl w:val="0"/>
          <w:numId w:val="0"/>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我方保证的期间为：自本合同生效之日起至供应商按照主合同约定的</w:t>
      </w:r>
      <w:r>
        <w:rPr>
          <w:rFonts w:hint="eastAsia" w:ascii="黑体" w:hAnsi="黑体" w:eastAsia="黑体" w:cs="黑体"/>
          <w:color w:val="auto"/>
          <w:spacing w:val="-1"/>
          <w:sz w:val="24"/>
          <w:szCs w:val="24"/>
          <w:lang w:eastAsia="zh-CN"/>
        </w:rPr>
        <w:t>服务</w:t>
      </w:r>
      <w:r>
        <w:rPr>
          <w:rFonts w:hint="eastAsia" w:ascii="黑体" w:hAnsi="黑体" w:eastAsia="黑体" w:cs="黑体"/>
          <w:color w:val="auto"/>
          <w:spacing w:val="-11"/>
          <w:sz w:val="24"/>
          <w:szCs w:val="24"/>
        </w:rPr>
        <w:t>完工期限届满后日</w:t>
      </w:r>
      <w:r>
        <w:rPr>
          <w:rFonts w:hint="eastAsia" w:ascii="黑体" w:hAnsi="黑体" w:eastAsia="黑体" w:cs="黑体"/>
          <w:color w:val="auto"/>
          <w:spacing w:val="-1"/>
          <w:sz w:val="24"/>
          <w:szCs w:val="24"/>
        </w:rPr>
        <w:t>内。如果供应商未按主合同约定向贵方提供服务的，由我方在保证金额内向你方支付上述款项。</w:t>
      </w:r>
    </w:p>
    <w:p w14:paraId="1A43163A">
      <w:pPr>
        <w:pStyle w:val="7"/>
        <w:pageBreakBefore w:val="0"/>
        <w:numPr>
          <w:ilvl w:val="0"/>
          <w:numId w:val="13"/>
        </w:numPr>
        <w:kinsoku w:val="0"/>
        <w:wordWrap w:val="0"/>
        <w:overflowPunct/>
        <w:topLinePunct w:val="0"/>
        <w:autoSpaceDE/>
        <w:autoSpaceDN/>
        <w:bidi w:val="0"/>
        <w:spacing w:line="360" w:lineRule="auto"/>
        <w:ind w:left="0" w:leftChars="0" w:firstLine="0" w:firstLineChars="0"/>
        <w:rPr>
          <w:rFonts w:hint="eastAsia" w:ascii="黑体" w:hAnsi="黑体" w:eastAsia="黑体" w:cs="黑体"/>
          <w:color w:val="auto"/>
          <w:spacing w:val="-5"/>
          <w:sz w:val="24"/>
          <w:szCs w:val="24"/>
        </w:rPr>
      </w:pPr>
      <w:r>
        <w:rPr>
          <w:rFonts w:hint="eastAsia" w:ascii="黑体" w:hAnsi="黑体" w:eastAsia="黑体" w:cs="黑体"/>
          <w:color w:val="auto"/>
          <w:spacing w:val="-5"/>
          <w:sz w:val="24"/>
          <w:szCs w:val="24"/>
        </w:rPr>
        <w:t>承担保证责任的程序</w:t>
      </w:r>
    </w:p>
    <w:p w14:paraId="25EA6683">
      <w:pPr>
        <w:pStyle w:val="7"/>
        <w:pageBreakBefore w:val="0"/>
        <w:numPr>
          <w:ilvl w:val="0"/>
          <w:numId w:val="0"/>
        </w:numPr>
        <w:kinsoku w:val="0"/>
        <w:wordWrap w:val="0"/>
        <w:overflowPunct/>
        <w:topLinePunct w:val="0"/>
        <w:autoSpaceDE/>
        <w:autoSpaceDN/>
        <w:bidi w:val="0"/>
        <w:spacing w:line="360" w:lineRule="auto"/>
        <w:ind w:left="0" w:leftChars="0" w:firstLine="418" w:firstLineChars="176"/>
        <w:rPr>
          <w:rFonts w:hint="eastAsia" w:ascii="黑体" w:hAnsi="黑体" w:eastAsia="黑体" w:cs="黑体"/>
          <w:color w:val="auto"/>
          <w:spacing w:val="-5"/>
          <w:sz w:val="24"/>
          <w:szCs w:val="24"/>
        </w:rPr>
      </w:pPr>
      <w:r>
        <w:rPr>
          <w:rFonts w:hint="eastAsia" w:ascii="黑体" w:hAnsi="黑体" w:eastAsia="黑体" w:cs="黑体"/>
          <w:color w:val="auto"/>
          <w:spacing w:val="-1"/>
          <w:sz w:val="24"/>
          <w:szCs w:val="24"/>
        </w:rPr>
        <w:t>1．你方要求我方承担保证责任的，应在本保函保证期间内向我方发出书面</w:t>
      </w:r>
      <w:r>
        <w:rPr>
          <w:rFonts w:hint="eastAsia" w:ascii="黑体" w:hAnsi="黑体" w:eastAsia="黑体" w:cs="黑体"/>
          <w:color w:val="auto"/>
          <w:spacing w:val="-5"/>
          <w:sz w:val="24"/>
          <w:szCs w:val="24"/>
        </w:rPr>
        <w:t>索赔通知。索赔通知应写明要求索赔的金额，支付款项应到达的</w:t>
      </w:r>
      <w:r>
        <w:rPr>
          <w:rFonts w:hint="eastAsia" w:ascii="黑体" w:hAnsi="黑体" w:eastAsia="黑体" w:cs="黑体"/>
          <w:color w:val="auto"/>
          <w:spacing w:val="-5"/>
          <w:sz w:val="24"/>
          <w:szCs w:val="24"/>
          <w:lang w:val="en-US" w:eastAsia="zh-CN"/>
        </w:rPr>
        <w:t>账号</w:t>
      </w:r>
      <w:r>
        <w:rPr>
          <w:rFonts w:hint="eastAsia" w:ascii="黑体" w:hAnsi="黑体" w:eastAsia="黑体" w:cs="黑体"/>
          <w:color w:val="auto"/>
          <w:spacing w:val="-5"/>
          <w:sz w:val="24"/>
          <w:szCs w:val="24"/>
        </w:rPr>
        <w:t>。并附有证明供应商违约事实的证明材料。</w:t>
      </w:r>
    </w:p>
    <w:p w14:paraId="11F5CDFD">
      <w:pPr>
        <w:pStyle w:val="7"/>
        <w:pageBreakBefore w:val="0"/>
        <w:kinsoku w:val="0"/>
        <w:wordWrap w:val="0"/>
        <w:overflowPunct/>
        <w:topLinePunct w:val="0"/>
        <w:autoSpaceDE/>
        <w:autoSpaceDN/>
        <w:bidi w:val="0"/>
        <w:spacing w:before="1" w:line="360" w:lineRule="auto"/>
        <w:ind w:left="0" w:leftChars="0" w:firstLine="404" w:firstLineChars="176"/>
        <w:rPr>
          <w:rFonts w:hint="eastAsia" w:ascii="黑体" w:hAnsi="黑体" w:eastAsia="黑体" w:cs="黑体"/>
          <w:color w:val="auto"/>
          <w:spacing w:val="-2"/>
          <w:sz w:val="24"/>
          <w:szCs w:val="24"/>
        </w:rPr>
      </w:pPr>
      <w:r>
        <w:rPr>
          <w:rFonts w:hint="eastAsia" w:ascii="黑体" w:hAnsi="黑体" w:eastAsia="黑体" w:cs="黑体"/>
          <w:color w:val="auto"/>
          <w:spacing w:val="-5"/>
          <w:sz w:val="24"/>
          <w:szCs w:val="24"/>
        </w:rPr>
        <w:t>如果你方与供应商因货物质量问题产生争议，你方还需同时提供部门出具的质量检测报告，或经诉讼（仲裁）程序裁决后的裁决书、调解书，本保</w:t>
      </w:r>
      <w:r>
        <w:rPr>
          <w:rFonts w:hint="eastAsia" w:ascii="黑体" w:hAnsi="黑体" w:eastAsia="黑体" w:cs="黑体"/>
          <w:color w:val="auto"/>
          <w:spacing w:val="-2"/>
          <w:sz w:val="24"/>
          <w:szCs w:val="24"/>
        </w:rPr>
        <w:t>证人即按照检测结果或裁决书、调解书决定是否承担保证责任。</w:t>
      </w:r>
    </w:p>
    <w:p w14:paraId="09324D86">
      <w:pPr>
        <w:pStyle w:val="7"/>
        <w:pageBreakBefore w:val="0"/>
        <w:numPr>
          <w:ilvl w:val="0"/>
          <w:numId w:val="0"/>
        </w:numPr>
        <w:kinsoku w:val="0"/>
        <w:wordWrap w:val="0"/>
        <w:overflowPunct/>
        <w:topLinePunct w:val="0"/>
        <w:autoSpaceDE/>
        <w:autoSpaceDN/>
        <w:bidi w:val="0"/>
        <w:spacing w:before="1" w:line="360" w:lineRule="auto"/>
        <w:ind w:left="0" w:leftChars="0" w:firstLine="408" w:firstLineChars="176"/>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我方收到你方的书面索赔通知及相应证明材料，在工作日内进行核定后按照本保函的承诺承担保证责任。</w:t>
      </w:r>
    </w:p>
    <w:p w14:paraId="67F37480">
      <w:pPr>
        <w:pStyle w:val="7"/>
        <w:pageBreakBefore w:val="0"/>
        <w:numPr>
          <w:ilvl w:val="0"/>
          <w:numId w:val="0"/>
        </w:numPr>
        <w:kinsoku w:val="0"/>
        <w:wordWrap w:val="0"/>
        <w:overflowPunct/>
        <w:topLinePunct w:val="0"/>
        <w:autoSpaceDE/>
        <w:autoSpaceDN/>
        <w:bidi w:val="0"/>
        <w:spacing w:before="1" w:line="360" w:lineRule="auto"/>
        <w:ind w:left="0" w:leftChars="0" w:firstLine="0" w:firstLineChars="0"/>
        <w:rPr>
          <w:rFonts w:hint="eastAsia" w:ascii="黑体" w:hAnsi="黑体" w:eastAsia="黑体" w:cs="黑体"/>
          <w:b/>
          <w:bCs/>
          <w:color w:val="auto"/>
          <w:spacing w:val="-4"/>
          <w:sz w:val="24"/>
          <w:szCs w:val="24"/>
        </w:rPr>
      </w:pPr>
      <w:r>
        <w:rPr>
          <w:rFonts w:hint="eastAsia" w:ascii="黑体" w:hAnsi="黑体" w:eastAsia="黑体" w:cs="黑体"/>
          <w:b/>
          <w:bCs/>
          <w:color w:val="auto"/>
          <w:spacing w:val="-4"/>
          <w:sz w:val="24"/>
          <w:szCs w:val="24"/>
        </w:rPr>
        <w:t>保证责任的终止</w:t>
      </w:r>
    </w:p>
    <w:p w14:paraId="2A502D0F">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1．保证期间届满你方未向我方书面主张保证责任的，自保证期间届满次日起</w:t>
      </w:r>
      <w:r>
        <w:rPr>
          <w:rFonts w:hint="eastAsia" w:ascii="黑体" w:hAnsi="黑体" w:eastAsia="黑体" w:cs="黑体"/>
          <w:color w:val="auto"/>
          <w:spacing w:val="-4"/>
          <w:sz w:val="24"/>
          <w:szCs w:val="24"/>
          <w:lang w:eastAsia="zh-CN"/>
        </w:rPr>
        <w:t>，</w:t>
      </w:r>
      <w:r>
        <w:rPr>
          <w:rFonts w:hint="eastAsia" w:ascii="黑体" w:hAnsi="黑体" w:eastAsia="黑体" w:cs="黑体"/>
          <w:color w:val="auto"/>
          <w:spacing w:val="-4"/>
          <w:sz w:val="24"/>
          <w:szCs w:val="24"/>
        </w:rPr>
        <w:t>我方保证责任自动终止。保证期间届满前，主合同约定的货物\工程\服务全部验收合格的，自验收合格日起，我方保证责任自动终止。</w:t>
      </w:r>
    </w:p>
    <w:p w14:paraId="11D677AE">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2．我方按照本保函向你方履行了保证责任后，自我方向你方支付款项（支付款项从我方账户划出）之日起，保证责任即终止。</w:t>
      </w:r>
    </w:p>
    <w:p w14:paraId="140BE8DF">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3．按照法律法规的规定或出现应终止我方保证责任的其它情形的，我方在本保函项下的保证责任亦终止。</w:t>
      </w:r>
    </w:p>
    <w:p w14:paraId="7F6CA035">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35CC83D">
      <w:pPr>
        <w:pStyle w:val="7"/>
        <w:pageBreakBefore w:val="0"/>
        <w:numPr>
          <w:ilvl w:val="0"/>
          <w:numId w:val="0"/>
        </w:numPr>
        <w:kinsoku w:val="0"/>
        <w:wordWrap w:val="0"/>
        <w:overflowPunct/>
        <w:topLinePunct w:val="0"/>
        <w:autoSpaceDE/>
        <w:autoSpaceDN/>
        <w:bidi w:val="0"/>
        <w:spacing w:before="1" w:line="360" w:lineRule="auto"/>
        <w:ind w:left="0" w:leftChars="0" w:firstLine="0" w:firstLineChars="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五、免责条款</w:t>
      </w:r>
    </w:p>
    <w:p w14:paraId="74488E75">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1．因你方违反主合同约定致使供应商不能履行义务的，我方不承担保证责任</w:t>
      </w:r>
      <w:r>
        <w:rPr>
          <w:rFonts w:hint="eastAsia" w:ascii="黑体" w:hAnsi="黑体" w:eastAsia="黑体" w:cs="黑体"/>
          <w:color w:val="auto"/>
          <w:spacing w:val="-4"/>
          <w:sz w:val="24"/>
          <w:szCs w:val="24"/>
          <w:lang w:eastAsia="zh-CN"/>
        </w:rPr>
        <w:t>。</w:t>
      </w:r>
    </w:p>
    <w:p w14:paraId="7DBB611B">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2．依照法律法规的规定或你方与供应商的另行约定，全部或者部分免除供应商应缴纳的保证金义务的，我方亦免除相应的保证责任。</w:t>
      </w:r>
    </w:p>
    <w:p w14:paraId="77065EFB">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3．因不可抗力造成供应商不能履行供货义务的，我方不承担保证责任。</w:t>
      </w:r>
    </w:p>
    <w:p w14:paraId="32CA8F65">
      <w:pPr>
        <w:pStyle w:val="7"/>
        <w:pageBreakBefore w:val="0"/>
        <w:numPr>
          <w:ilvl w:val="0"/>
          <w:numId w:val="0"/>
        </w:numPr>
        <w:kinsoku w:val="0"/>
        <w:wordWrap w:val="0"/>
        <w:overflowPunct/>
        <w:topLinePunct w:val="0"/>
        <w:autoSpaceDE/>
        <w:autoSpaceDN/>
        <w:bidi w:val="0"/>
        <w:spacing w:before="1" w:line="360" w:lineRule="auto"/>
        <w:ind w:left="0" w:leftChars="0" w:firstLine="0" w:firstLineChars="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六、争议的解决</w:t>
      </w:r>
    </w:p>
    <w:p w14:paraId="060FE284">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因本保函发生的纠纷，由你我双方协商解决，协商不成的，通过诉讼程序解</w:t>
      </w:r>
    </w:p>
    <w:p w14:paraId="653A56AC">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决，诉讼管辖地法院为法院。</w:t>
      </w:r>
    </w:p>
    <w:p w14:paraId="62D24946">
      <w:pPr>
        <w:pStyle w:val="7"/>
        <w:pageBreakBefore w:val="0"/>
        <w:numPr>
          <w:ilvl w:val="0"/>
          <w:numId w:val="0"/>
        </w:numPr>
        <w:kinsoku w:val="0"/>
        <w:wordWrap w:val="0"/>
        <w:overflowPunct/>
        <w:topLinePunct w:val="0"/>
        <w:autoSpaceDE/>
        <w:autoSpaceDN/>
        <w:bidi w:val="0"/>
        <w:spacing w:before="1" w:line="360" w:lineRule="auto"/>
        <w:ind w:left="0" w:leftChars="0" w:firstLine="0" w:firstLineChars="0"/>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七、保函的生效</w:t>
      </w:r>
    </w:p>
    <w:p w14:paraId="5FB0AF79">
      <w:pPr>
        <w:pStyle w:val="7"/>
        <w:pageBreakBefore w:val="0"/>
        <w:numPr>
          <w:ilvl w:val="0"/>
          <w:numId w:val="0"/>
        </w:numPr>
        <w:kinsoku w:val="0"/>
        <w:wordWrap w:val="0"/>
        <w:overflowPunct/>
        <w:topLinePunct w:val="0"/>
        <w:autoSpaceDE/>
        <w:autoSpaceDN/>
        <w:bidi w:val="0"/>
        <w:spacing w:before="1" w:line="360" w:lineRule="auto"/>
        <w:ind w:left="0" w:leftChars="0" w:firstLine="419" w:firstLineChars="181"/>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本保函自我方加盖公章之日起生效。</w:t>
      </w:r>
    </w:p>
    <w:p w14:paraId="12041B45">
      <w:pPr>
        <w:pStyle w:val="7"/>
        <w:pageBreakBefore w:val="0"/>
        <w:numPr>
          <w:ilvl w:val="0"/>
          <w:numId w:val="0"/>
        </w:numPr>
        <w:kinsoku w:val="0"/>
        <w:wordWrap w:val="0"/>
        <w:overflowPunct/>
        <w:topLinePunct w:val="0"/>
        <w:autoSpaceDE/>
        <w:autoSpaceDN/>
        <w:bidi w:val="0"/>
        <w:spacing w:before="1" w:line="360" w:lineRule="auto"/>
        <w:ind w:left="0" w:leftChars="0" w:firstLine="0" w:firstLineChars="0"/>
        <w:rPr>
          <w:rFonts w:hint="eastAsia" w:ascii="黑体" w:hAnsi="黑体" w:eastAsia="黑体" w:cs="黑体"/>
          <w:color w:val="auto"/>
          <w:spacing w:val="-4"/>
          <w:sz w:val="24"/>
          <w:szCs w:val="24"/>
        </w:rPr>
      </w:pPr>
    </w:p>
    <w:p w14:paraId="518BDB9B">
      <w:pPr>
        <w:pStyle w:val="7"/>
        <w:pageBreakBefore w:val="0"/>
        <w:numPr>
          <w:ilvl w:val="0"/>
          <w:numId w:val="0"/>
        </w:numPr>
        <w:kinsoku w:val="0"/>
        <w:wordWrap w:val="0"/>
        <w:overflowPunct/>
        <w:topLinePunct w:val="0"/>
        <w:autoSpaceDE/>
        <w:autoSpaceDN/>
        <w:bidi w:val="0"/>
        <w:spacing w:before="1" w:line="360" w:lineRule="auto"/>
        <w:ind w:left="0" w:leftChars="0" w:firstLine="5458" w:firstLineChars="2353"/>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保证人：（</w:t>
      </w:r>
      <w:r>
        <w:rPr>
          <w:rFonts w:hint="eastAsia" w:ascii="黑体" w:hAnsi="黑体" w:eastAsia="黑体" w:cs="黑体"/>
          <w:color w:val="auto"/>
          <w:spacing w:val="-4"/>
          <w:sz w:val="24"/>
          <w:szCs w:val="24"/>
          <w:lang w:eastAsia="zh-CN"/>
        </w:rPr>
        <w:t>加盖</w:t>
      </w:r>
      <w:r>
        <w:rPr>
          <w:rFonts w:hint="eastAsia" w:ascii="黑体" w:hAnsi="黑体" w:eastAsia="黑体" w:cs="黑体"/>
          <w:color w:val="auto"/>
          <w:spacing w:val="-4"/>
          <w:sz w:val="24"/>
          <w:szCs w:val="24"/>
        </w:rPr>
        <w:t>公章）</w:t>
      </w:r>
    </w:p>
    <w:p w14:paraId="31B82F49">
      <w:pPr>
        <w:pStyle w:val="7"/>
        <w:pageBreakBefore w:val="0"/>
        <w:numPr>
          <w:ilvl w:val="0"/>
          <w:numId w:val="0"/>
        </w:numPr>
        <w:kinsoku w:val="0"/>
        <w:wordWrap w:val="0"/>
        <w:overflowPunct/>
        <w:topLinePunct w:val="0"/>
        <w:autoSpaceDE/>
        <w:autoSpaceDN/>
        <w:bidi w:val="0"/>
        <w:spacing w:before="1" w:line="360" w:lineRule="auto"/>
        <w:ind w:left="0" w:leftChars="0" w:firstLine="5458" w:firstLineChars="2353"/>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u w:val="single"/>
          <w:lang w:val="en-US" w:eastAsia="zh-CN"/>
        </w:rPr>
        <w:t xml:space="preserve">     </w:t>
      </w:r>
      <w:r>
        <w:rPr>
          <w:rFonts w:hint="eastAsia" w:ascii="黑体" w:hAnsi="黑体" w:eastAsia="黑体" w:cs="黑体"/>
          <w:color w:val="auto"/>
          <w:spacing w:val="-4"/>
          <w:sz w:val="24"/>
          <w:szCs w:val="24"/>
        </w:rPr>
        <w:t>年</w:t>
      </w:r>
      <w:r>
        <w:rPr>
          <w:rFonts w:hint="eastAsia" w:ascii="黑体" w:hAnsi="黑体" w:eastAsia="黑体" w:cs="黑体"/>
          <w:color w:val="auto"/>
          <w:spacing w:val="-4"/>
          <w:sz w:val="24"/>
          <w:szCs w:val="24"/>
          <w:u w:val="single"/>
          <w:lang w:val="en-US" w:eastAsia="zh-CN"/>
        </w:rPr>
        <w:t xml:space="preserve">     </w:t>
      </w:r>
      <w:r>
        <w:rPr>
          <w:rFonts w:hint="eastAsia" w:ascii="黑体" w:hAnsi="黑体" w:eastAsia="黑体" w:cs="黑体"/>
          <w:color w:val="auto"/>
          <w:spacing w:val="-4"/>
          <w:sz w:val="24"/>
          <w:szCs w:val="24"/>
        </w:rPr>
        <w:t>月</w:t>
      </w:r>
      <w:r>
        <w:rPr>
          <w:rFonts w:hint="eastAsia" w:ascii="黑体" w:hAnsi="黑体" w:eastAsia="黑体" w:cs="黑体"/>
          <w:color w:val="auto"/>
          <w:spacing w:val="-4"/>
          <w:sz w:val="24"/>
          <w:szCs w:val="24"/>
          <w:u w:val="single"/>
          <w:lang w:val="en-US" w:eastAsia="zh-CN"/>
        </w:rPr>
        <w:t xml:space="preserve">     </w:t>
      </w:r>
      <w:r>
        <w:rPr>
          <w:rFonts w:hint="eastAsia" w:ascii="黑体" w:hAnsi="黑体" w:eastAsia="黑体" w:cs="黑体"/>
          <w:color w:val="auto"/>
          <w:spacing w:val="-4"/>
          <w:sz w:val="24"/>
          <w:szCs w:val="24"/>
        </w:rPr>
        <w:t>日</w:t>
      </w:r>
    </w:p>
    <w:p w14:paraId="21850E50">
      <w:pPr>
        <w:pStyle w:val="7"/>
        <w:pageBreakBefore w:val="0"/>
        <w:numPr>
          <w:ilvl w:val="0"/>
          <w:numId w:val="0"/>
        </w:numPr>
        <w:kinsoku w:val="0"/>
        <w:wordWrap w:val="0"/>
        <w:overflowPunct/>
        <w:topLinePunct w:val="0"/>
        <w:autoSpaceDE/>
        <w:autoSpaceDN/>
        <w:bidi w:val="0"/>
        <w:spacing w:before="1" w:line="360" w:lineRule="auto"/>
        <w:ind w:left="0" w:leftChars="0" w:firstLine="0" w:firstLineChars="0"/>
        <w:rPr>
          <w:rFonts w:hint="eastAsia" w:ascii="黑体" w:hAnsi="黑体" w:eastAsia="黑体" w:cs="黑体"/>
          <w:color w:val="auto"/>
          <w:spacing w:val="-4"/>
          <w:sz w:val="24"/>
          <w:szCs w:val="24"/>
        </w:rPr>
        <w:sectPr>
          <w:footerReference r:id="rId9" w:type="default"/>
          <w:pgSz w:w="11906" w:h="16840"/>
          <w:pgMar w:top="1431" w:right="1785" w:bottom="1128" w:left="1785" w:header="0" w:footer="914" w:gutter="0"/>
          <w:pgNumType w:fmt="decimal"/>
          <w:cols w:space="720" w:num="1"/>
        </w:sectPr>
      </w:pPr>
    </w:p>
    <w:p w14:paraId="52F735CE">
      <w:pPr>
        <w:pStyle w:val="7"/>
        <w:pageBreakBefore w:val="0"/>
        <w:kinsoku w:val="0"/>
        <w:wordWrap w:val="0"/>
        <w:overflowPunct/>
        <w:topLinePunct w:val="0"/>
        <w:autoSpaceDE/>
        <w:autoSpaceDN/>
        <w:bidi w:val="0"/>
        <w:spacing w:before="98" w:line="229" w:lineRule="auto"/>
        <w:ind w:left="2627"/>
        <w:outlineLvl w:val="0"/>
        <w:rPr>
          <w:rFonts w:hint="eastAsia" w:ascii="黑体" w:hAnsi="黑体" w:eastAsia="黑体" w:cs="黑体"/>
          <w:color w:val="auto"/>
          <w:sz w:val="28"/>
          <w:szCs w:val="28"/>
        </w:rPr>
      </w:pPr>
      <w:bookmarkStart w:id="12" w:name="_Toc30875"/>
      <w:r>
        <w:rPr>
          <w:rFonts w:hint="eastAsia" w:ascii="黑体" w:hAnsi="黑体" w:eastAsia="黑体" w:cs="黑体"/>
          <w:b/>
          <w:bCs/>
          <w:color w:val="auto"/>
          <w:sz w:val="28"/>
          <w:szCs w:val="28"/>
        </w:rPr>
        <w:t>第二章响应文件格式</w:t>
      </w:r>
      <w:bookmarkEnd w:id="12"/>
    </w:p>
    <w:p w14:paraId="1ECFE3DB">
      <w:pPr>
        <w:pStyle w:val="7"/>
        <w:pageBreakBefore w:val="0"/>
        <w:kinsoku w:val="0"/>
        <w:wordWrap w:val="0"/>
        <w:overflowPunct/>
        <w:topLinePunct w:val="0"/>
        <w:autoSpaceDE/>
        <w:autoSpaceDN/>
        <w:bidi w:val="0"/>
        <w:spacing w:before="97" w:line="222" w:lineRule="auto"/>
        <w:ind w:left="1745"/>
        <w:rPr>
          <w:rFonts w:hint="eastAsia" w:ascii="黑体" w:hAnsi="黑体" w:eastAsia="黑体" w:cs="黑体"/>
          <w:b/>
          <w:bCs/>
          <w:color w:val="auto"/>
          <w:spacing w:val="-8"/>
          <w:sz w:val="28"/>
          <w:szCs w:val="28"/>
        </w:rPr>
      </w:pPr>
      <w:r>
        <w:rPr>
          <w:rFonts w:hint="eastAsia" w:ascii="黑体" w:hAnsi="黑体" w:eastAsia="黑体" w:cs="黑体"/>
          <w:b/>
          <w:bCs/>
          <w:color w:val="auto"/>
          <w:spacing w:val="-8"/>
          <w:sz w:val="28"/>
          <w:szCs w:val="28"/>
        </w:rPr>
        <w:t>第一部分磋商一览表及资格证明文件</w:t>
      </w:r>
    </w:p>
    <w:p w14:paraId="7C6048E7">
      <w:pPr>
        <w:pageBreakBefore w:val="0"/>
        <w:kinsoku w:val="0"/>
        <w:wordWrap w:val="0"/>
        <w:overflowPunct/>
        <w:topLinePunct w:val="0"/>
        <w:autoSpaceDE/>
        <w:autoSpaceDN/>
        <w:bidi w:val="0"/>
        <w:rPr>
          <w:rFonts w:hint="eastAsia" w:ascii="黑体" w:hAnsi="黑体" w:eastAsia="黑体" w:cs="黑体"/>
          <w:color w:val="auto"/>
        </w:rPr>
      </w:pPr>
    </w:p>
    <w:p w14:paraId="36C1C9B3">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1、磋商一览表；</w:t>
      </w:r>
    </w:p>
    <w:p w14:paraId="1E374F7B">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2、有效的营业执照等证明文件；</w:t>
      </w:r>
    </w:p>
    <w:p w14:paraId="5A4E3E3B">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3、法定代表人身份证明或法定代表人授权委托书；</w:t>
      </w:r>
    </w:p>
    <w:p w14:paraId="6D2F307C">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4、</w:t>
      </w:r>
      <w:r>
        <w:rPr>
          <w:rFonts w:hint="eastAsia" w:ascii="黑体" w:hAnsi="黑体" w:eastAsia="黑体" w:cs="黑体"/>
          <w:color w:val="auto"/>
          <w:spacing w:val="-2"/>
          <w:sz w:val="24"/>
          <w:szCs w:val="24"/>
          <w:lang w:eastAsia="zh-CN"/>
        </w:rPr>
        <w:t>提供本单位缴纳的近六个月任意一个月社保缴纳证明</w:t>
      </w:r>
      <w:r>
        <w:rPr>
          <w:rFonts w:hint="eastAsia" w:ascii="黑体" w:hAnsi="黑体" w:eastAsia="黑体" w:cs="黑体"/>
          <w:color w:val="auto"/>
          <w:spacing w:val="-2"/>
          <w:sz w:val="24"/>
          <w:szCs w:val="24"/>
        </w:rPr>
        <w:t>；</w:t>
      </w:r>
    </w:p>
    <w:p w14:paraId="3EE8BEF2">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lang w:val="en-US" w:eastAsia="zh-CN"/>
        </w:rPr>
      </w:pPr>
      <w:r>
        <w:rPr>
          <w:rFonts w:hint="eastAsia" w:ascii="黑体" w:hAnsi="黑体" w:eastAsia="黑体" w:cs="黑体"/>
          <w:color w:val="auto"/>
          <w:spacing w:val="-2"/>
          <w:sz w:val="24"/>
          <w:szCs w:val="24"/>
          <w:lang w:val="en-US" w:eastAsia="zh-CN"/>
        </w:rPr>
        <w:t>5</w:t>
      </w:r>
      <w:r>
        <w:rPr>
          <w:rFonts w:hint="eastAsia" w:ascii="黑体" w:hAnsi="黑体" w:eastAsia="黑体" w:cs="黑体"/>
          <w:color w:val="auto"/>
          <w:spacing w:val="-2"/>
          <w:sz w:val="24"/>
          <w:szCs w:val="24"/>
        </w:rPr>
        <w:t>、</w:t>
      </w:r>
      <w:r>
        <w:rPr>
          <w:rFonts w:hint="eastAsia" w:ascii="黑体" w:hAnsi="黑体" w:eastAsia="黑体" w:cs="黑体"/>
          <w:color w:val="auto"/>
          <w:spacing w:val="-2"/>
          <w:sz w:val="24"/>
          <w:szCs w:val="24"/>
          <w:lang w:val="en-US" w:eastAsia="zh-CN"/>
        </w:rPr>
        <w:t>提供近六个月任意一个月税务局开具的完税证明；（完税证明或税务部门出具的其他证明，非社会保险类）；</w:t>
      </w:r>
    </w:p>
    <w:p w14:paraId="7666FA76">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6</w:t>
      </w:r>
      <w:r>
        <w:rPr>
          <w:rFonts w:hint="eastAsia" w:ascii="黑体" w:hAnsi="黑体" w:eastAsia="黑体" w:cs="黑体"/>
          <w:color w:val="auto"/>
          <w:spacing w:val="-2"/>
          <w:sz w:val="24"/>
          <w:szCs w:val="24"/>
        </w:rPr>
        <w:t>、</w:t>
      </w:r>
      <w:r>
        <w:rPr>
          <w:rFonts w:hint="eastAsia" w:ascii="黑体" w:hAnsi="黑体" w:eastAsia="黑体" w:cs="黑体"/>
          <w:color w:val="auto"/>
          <w:spacing w:val="-2"/>
          <w:sz w:val="24"/>
          <w:szCs w:val="24"/>
          <w:lang w:eastAsia="zh-CN"/>
        </w:rPr>
        <w:t>提供2023年度财务审计报告</w:t>
      </w:r>
      <w:r>
        <w:rPr>
          <w:rFonts w:hint="eastAsia" w:ascii="黑体" w:hAnsi="黑体" w:eastAsia="黑体" w:cs="黑体"/>
          <w:color w:val="auto"/>
          <w:spacing w:val="-2"/>
          <w:sz w:val="24"/>
          <w:szCs w:val="24"/>
        </w:rPr>
        <w:t>（</w:t>
      </w:r>
      <w:r>
        <w:rPr>
          <w:rFonts w:hint="eastAsia" w:ascii="黑体" w:hAnsi="黑体" w:eastAsia="黑体" w:cs="黑体"/>
          <w:color w:val="auto"/>
          <w:spacing w:val="-2"/>
          <w:sz w:val="24"/>
          <w:szCs w:val="24"/>
          <w:lang w:val="zh-CN" w:eastAsia="zh-CN"/>
        </w:rPr>
        <w:t>新成立未满一年的公司需提供有效的银行资信证明</w:t>
      </w:r>
      <w:r>
        <w:rPr>
          <w:rFonts w:hint="eastAsia" w:ascii="黑体" w:hAnsi="黑体" w:eastAsia="黑体" w:cs="黑体"/>
          <w:color w:val="auto"/>
          <w:spacing w:val="-2"/>
          <w:sz w:val="24"/>
          <w:szCs w:val="24"/>
        </w:rPr>
        <w:t>）；</w:t>
      </w:r>
    </w:p>
    <w:p w14:paraId="63F3024E">
      <w:pPr>
        <w:pStyle w:val="7"/>
        <w:pageBreakBefore w:val="0"/>
        <w:numPr>
          <w:ilvl w:val="0"/>
          <w:numId w:val="14"/>
        </w:numPr>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b w:val="0"/>
          <w:bCs w:val="0"/>
          <w:color w:val="auto"/>
          <w:kern w:val="0"/>
          <w:sz w:val="24"/>
          <w:szCs w:val="24"/>
          <w:u w:val="none"/>
          <w:lang w:val="en-US" w:eastAsia="zh-CN" w:bidi="ar-SA"/>
        </w:rPr>
      </w:pPr>
      <w:r>
        <w:rPr>
          <w:rFonts w:hint="eastAsia" w:ascii="黑体" w:hAnsi="黑体" w:eastAsia="黑体" w:cs="黑体"/>
          <w:b w:val="0"/>
          <w:bCs w:val="0"/>
          <w:color w:val="auto"/>
          <w:kern w:val="0"/>
          <w:sz w:val="24"/>
          <w:szCs w:val="24"/>
          <w:u w:val="none"/>
          <w:lang w:val="en-US" w:eastAsia="zh-CN" w:bidi="ar-SA"/>
        </w:rPr>
        <w:t>投标单位近三年内（2021年08月至今）在“信用中国”（www.creditchina.gov.cn）和中国政府采购网（www.ccgp.gov.cn）网站上未列入重大税收违法失信主体、严重失信主体名单查询，中国政府采购网严重违法失信行为记录名单；（以采购人或代理机构现场查询为准）</w:t>
      </w:r>
    </w:p>
    <w:p w14:paraId="2975001D">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8</w:t>
      </w:r>
      <w:r>
        <w:rPr>
          <w:rFonts w:hint="eastAsia" w:ascii="黑体" w:hAnsi="黑体" w:eastAsia="黑体" w:cs="黑体"/>
          <w:color w:val="auto"/>
          <w:spacing w:val="-2"/>
          <w:sz w:val="24"/>
          <w:szCs w:val="24"/>
        </w:rPr>
        <w:t>、供应商提供针对本次项目《反商业贿赂承诺书》；</w:t>
      </w:r>
    </w:p>
    <w:p w14:paraId="546D246B">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9</w:t>
      </w:r>
      <w:r>
        <w:rPr>
          <w:rFonts w:hint="eastAsia" w:ascii="黑体" w:hAnsi="黑体" w:eastAsia="黑体" w:cs="黑体"/>
          <w:color w:val="auto"/>
          <w:spacing w:val="-2"/>
          <w:sz w:val="24"/>
          <w:szCs w:val="24"/>
        </w:rPr>
        <w:t>、供应商参加政府采购活动</w:t>
      </w:r>
      <w:r>
        <w:rPr>
          <w:rFonts w:hint="eastAsia" w:ascii="黑体" w:hAnsi="黑体" w:eastAsia="黑体" w:cs="黑体"/>
          <w:color w:val="auto"/>
          <w:spacing w:val="-2"/>
          <w:sz w:val="24"/>
          <w:szCs w:val="24"/>
          <w:lang w:eastAsia="zh-CN"/>
        </w:rPr>
        <w:t>（</w:t>
      </w:r>
      <w:r>
        <w:rPr>
          <w:rFonts w:hint="eastAsia" w:ascii="黑体" w:hAnsi="黑体" w:eastAsia="黑体" w:cs="黑体"/>
          <w:color w:val="auto"/>
          <w:spacing w:val="-2"/>
          <w:sz w:val="24"/>
          <w:szCs w:val="24"/>
          <w:lang w:val="en-US" w:eastAsia="zh-CN"/>
        </w:rPr>
        <w:t>2021年08月至今</w:t>
      </w:r>
      <w:r>
        <w:rPr>
          <w:rFonts w:hint="eastAsia" w:ascii="黑体" w:hAnsi="黑体" w:eastAsia="黑体" w:cs="黑体"/>
          <w:color w:val="auto"/>
          <w:spacing w:val="-2"/>
          <w:sz w:val="24"/>
          <w:szCs w:val="24"/>
          <w:lang w:eastAsia="zh-CN"/>
        </w:rPr>
        <w:t>）</w:t>
      </w:r>
      <w:r>
        <w:rPr>
          <w:rFonts w:hint="eastAsia" w:ascii="黑体" w:hAnsi="黑体" w:eastAsia="黑体" w:cs="黑体"/>
          <w:color w:val="auto"/>
          <w:spacing w:val="-2"/>
          <w:sz w:val="24"/>
          <w:szCs w:val="24"/>
        </w:rPr>
        <w:t>在经营活动中没有重大违法违规记录的书面声明；</w:t>
      </w:r>
    </w:p>
    <w:p w14:paraId="20A5CEAE">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10</w:t>
      </w:r>
      <w:r>
        <w:rPr>
          <w:rFonts w:hint="eastAsia" w:ascii="黑体" w:hAnsi="黑体" w:eastAsia="黑体" w:cs="黑体"/>
          <w:color w:val="auto"/>
          <w:spacing w:val="-2"/>
          <w:sz w:val="24"/>
          <w:szCs w:val="24"/>
        </w:rPr>
        <w:t>、磋商保证金的有效缴纳凭证；</w:t>
      </w:r>
    </w:p>
    <w:p w14:paraId="3B55B694">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11</w:t>
      </w:r>
      <w:r>
        <w:rPr>
          <w:rFonts w:hint="eastAsia" w:ascii="黑体" w:hAnsi="黑体" w:eastAsia="黑体" w:cs="黑体"/>
          <w:color w:val="auto"/>
          <w:spacing w:val="-2"/>
          <w:sz w:val="24"/>
          <w:szCs w:val="24"/>
        </w:rPr>
        <w:t>、投标人须知资料表要求的其他资格证明文件；</w:t>
      </w:r>
    </w:p>
    <w:p w14:paraId="229CA29B">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lang w:val="en-US" w:eastAsia="zh-CN"/>
        </w:rPr>
      </w:pPr>
      <w:r>
        <w:rPr>
          <w:rFonts w:hint="eastAsia" w:ascii="黑体" w:hAnsi="黑体" w:eastAsia="黑体" w:cs="黑体"/>
          <w:color w:val="auto"/>
          <w:spacing w:val="-2"/>
          <w:sz w:val="24"/>
          <w:szCs w:val="24"/>
          <w:lang w:val="en-US" w:eastAsia="zh-CN"/>
        </w:rPr>
        <w:t>12</w:t>
      </w:r>
      <w:r>
        <w:rPr>
          <w:rFonts w:hint="eastAsia" w:ascii="黑体" w:hAnsi="黑体" w:eastAsia="黑体" w:cs="黑体"/>
          <w:color w:val="auto"/>
          <w:spacing w:val="-2"/>
          <w:sz w:val="24"/>
          <w:szCs w:val="24"/>
        </w:rPr>
        <w:t>、投标人关联单位的说明</w:t>
      </w:r>
      <w:r>
        <w:rPr>
          <w:rFonts w:hint="eastAsia" w:ascii="黑体" w:hAnsi="黑体" w:eastAsia="黑体" w:cs="黑体"/>
          <w:color w:val="auto"/>
          <w:spacing w:val="-2"/>
          <w:sz w:val="24"/>
          <w:szCs w:val="24"/>
          <w:lang w:eastAsia="zh-CN"/>
        </w:rPr>
        <w:t>。</w:t>
      </w:r>
    </w:p>
    <w:p w14:paraId="5C4AE916">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pPr>
    </w:p>
    <w:p w14:paraId="46B71565">
      <w:pPr>
        <w:pStyle w:val="7"/>
        <w:pageBreakBefore w:val="0"/>
        <w:kinsoku w:val="0"/>
        <w:wordWrap w:val="0"/>
        <w:overflowPunct/>
        <w:topLinePunct w:val="0"/>
        <w:autoSpaceDE/>
        <w:autoSpaceDN/>
        <w:bidi w:val="0"/>
        <w:spacing w:before="97" w:line="360" w:lineRule="auto"/>
        <w:ind w:left="0" w:leftChars="0" w:firstLine="0" w:firstLineChars="0"/>
        <w:rPr>
          <w:rFonts w:hint="eastAsia" w:ascii="黑体" w:hAnsi="黑体" w:eastAsia="黑体" w:cs="黑体"/>
          <w:color w:val="auto"/>
          <w:spacing w:val="-2"/>
          <w:sz w:val="24"/>
          <w:szCs w:val="24"/>
        </w:rPr>
        <w:sectPr>
          <w:footerReference r:id="rId10" w:type="default"/>
          <w:pgSz w:w="11906" w:h="16840"/>
          <w:pgMar w:top="1431" w:right="1785" w:bottom="1126" w:left="1785" w:header="0" w:footer="912" w:gutter="0"/>
          <w:pgNumType w:fmt="decimal"/>
          <w:cols w:space="720" w:num="1"/>
        </w:sectPr>
      </w:pPr>
    </w:p>
    <w:p w14:paraId="2132882D">
      <w:pPr>
        <w:pStyle w:val="7"/>
        <w:pageBreakBefore w:val="0"/>
        <w:kinsoku w:val="0"/>
        <w:wordWrap w:val="0"/>
        <w:overflowPunct/>
        <w:topLinePunct w:val="0"/>
        <w:autoSpaceDE/>
        <w:autoSpaceDN/>
        <w:bidi w:val="0"/>
        <w:spacing w:before="193" w:line="622" w:lineRule="exact"/>
        <w:ind w:left="2218"/>
        <w:rPr>
          <w:rFonts w:hint="eastAsia" w:ascii="黑体" w:hAnsi="黑体" w:eastAsia="黑体" w:cs="黑体"/>
          <w:color w:val="auto"/>
          <w:sz w:val="28"/>
          <w:szCs w:val="28"/>
        </w:rPr>
      </w:pPr>
      <w:r>
        <w:rPr>
          <w:rFonts w:hint="eastAsia" w:ascii="黑体" w:hAnsi="黑体" w:eastAsia="黑体" w:cs="黑体"/>
          <w:b/>
          <w:bCs/>
          <w:color w:val="auto"/>
          <w:spacing w:val="-8"/>
          <w:position w:val="24"/>
          <w:sz w:val="28"/>
          <w:szCs w:val="28"/>
        </w:rPr>
        <w:t>1</w:t>
      </w:r>
      <w:r>
        <w:rPr>
          <w:rFonts w:hint="eastAsia" w:ascii="黑体" w:hAnsi="黑体" w:eastAsia="黑体" w:cs="黑体"/>
          <w:b/>
          <w:bCs/>
          <w:color w:val="auto"/>
          <w:spacing w:val="-8"/>
          <w:position w:val="24"/>
          <w:sz w:val="28"/>
          <w:szCs w:val="28"/>
          <w:lang w:eastAsia="zh-CN"/>
        </w:rPr>
        <w:t>、</w:t>
      </w:r>
      <w:r>
        <w:rPr>
          <w:rFonts w:hint="eastAsia" w:ascii="黑体" w:hAnsi="黑体" w:eastAsia="黑体" w:cs="黑体"/>
          <w:b/>
          <w:bCs/>
          <w:color w:val="auto"/>
          <w:spacing w:val="-8"/>
          <w:position w:val="24"/>
          <w:sz w:val="28"/>
          <w:szCs w:val="28"/>
        </w:rPr>
        <w:t>磋商一览表（响应文件格式一）</w:t>
      </w:r>
    </w:p>
    <w:p w14:paraId="6F285217">
      <w:pPr>
        <w:pStyle w:val="7"/>
        <w:pageBreakBefore w:val="0"/>
        <w:kinsoku w:val="0"/>
        <w:wordWrap w:val="0"/>
        <w:overflowPunct/>
        <w:topLinePunct w:val="0"/>
        <w:autoSpaceDE/>
        <w:autoSpaceDN/>
        <w:bidi w:val="0"/>
        <w:spacing w:line="223" w:lineRule="auto"/>
        <w:ind w:left="3774"/>
        <w:rPr>
          <w:rFonts w:hint="eastAsia" w:ascii="黑体" w:hAnsi="黑体" w:eastAsia="黑体" w:cs="黑体"/>
          <w:color w:val="auto"/>
          <w:sz w:val="28"/>
          <w:szCs w:val="28"/>
        </w:rPr>
      </w:pPr>
      <w:r>
        <w:rPr>
          <w:rFonts w:hint="eastAsia" w:ascii="黑体" w:hAnsi="黑体" w:eastAsia="黑体" w:cs="黑体"/>
          <w:b/>
          <w:bCs/>
          <w:color w:val="auto"/>
          <w:spacing w:val="-10"/>
          <w:sz w:val="28"/>
          <w:szCs w:val="28"/>
        </w:rPr>
        <w:t>磋商一览表</w:t>
      </w:r>
    </w:p>
    <w:p w14:paraId="2FB5A352">
      <w:pPr>
        <w:pageBreakBefore w:val="0"/>
        <w:kinsoku w:val="0"/>
        <w:wordWrap w:val="0"/>
        <w:overflowPunct/>
        <w:topLinePunct w:val="0"/>
        <w:autoSpaceDE/>
        <w:autoSpaceDN/>
        <w:bidi w:val="0"/>
        <w:spacing w:line="265" w:lineRule="auto"/>
        <w:rPr>
          <w:rFonts w:hint="eastAsia" w:ascii="黑体" w:hAnsi="黑体" w:eastAsia="黑体" w:cs="黑体"/>
          <w:color w:val="auto"/>
          <w:sz w:val="21"/>
        </w:rPr>
      </w:pPr>
    </w:p>
    <w:p w14:paraId="50D879F1">
      <w:pPr>
        <w:pStyle w:val="7"/>
        <w:pageBreakBefore w:val="0"/>
        <w:kinsoku w:val="0"/>
        <w:wordWrap w:val="0"/>
        <w:overflowPunct/>
        <w:topLinePunct w:val="0"/>
        <w:autoSpaceDE/>
        <w:autoSpaceDN/>
        <w:bidi w:val="0"/>
        <w:spacing w:before="91" w:line="223" w:lineRule="auto"/>
        <w:ind w:left="104" w:leftChars="0" w:hanging="104" w:hangingChars="45"/>
        <w:rPr>
          <w:rFonts w:hint="eastAsia" w:ascii="黑体" w:hAnsi="黑体" w:eastAsia="黑体" w:cs="黑体"/>
          <w:color w:val="auto"/>
          <w:sz w:val="24"/>
          <w:szCs w:val="24"/>
        </w:rPr>
      </w:pPr>
      <w:r>
        <w:rPr>
          <w:rFonts w:hint="eastAsia" w:ascii="黑体" w:hAnsi="黑体" w:eastAsia="黑体" w:cs="黑体"/>
          <w:b w:val="0"/>
          <w:bCs w:val="0"/>
          <w:color w:val="auto"/>
          <w:spacing w:val="-4"/>
          <w:sz w:val="24"/>
          <w:szCs w:val="24"/>
        </w:rPr>
        <w:t>项目名称：</w:t>
      </w:r>
      <w:r>
        <w:rPr>
          <w:rFonts w:hint="eastAsia" w:ascii="黑体" w:hAnsi="黑体" w:eastAsia="黑体" w:cs="黑体"/>
          <w:b w:val="0"/>
          <w:bCs w:val="0"/>
          <w:color w:val="auto"/>
          <w:spacing w:val="-4"/>
          <w:sz w:val="24"/>
          <w:szCs w:val="24"/>
          <w:lang w:val="en-US" w:eastAsia="zh-CN"/>
        </w:rPr>
        <w:t xml:space="preserve">                                                 </w:t>
      </w:r>
      <w:r>
        <w:rPr>
          <w:rFonts w:hint="eastAsia" w:ascii="黑体" w:hAnsi="黑体" w:eastAsia="黑体" w:cs="黑体"/>
          <w:color w:val="auto"/>
          <w:spacing w:val="-4"/>
          <w:sz w:val="24"/>
          <w:szCs w:val="24"/>
        </w:rPr>
        <w:t>项目编号：</w:t>
      </w:r>
    </w:p>
    <w:p w14:paraId="7229BBA3">
      <w:pPr>
        <w:pStyle w:val="7"/>
        <w:pageBreakBefore w:val="0"/>
        <w:kinsoku w:val="0"/>
        <w:wordWrap w:val="0"/>
        <w:overflowPunct/>
        <w:topLinePunct w:val="0"/>
        <w:autoSpaceDE/>
        <w:autoSpaceDN/>
        <w:bidi w:val="0"/>
        <w:spacing w:before="244" w:line="222" w:lineRule="auto"/>
        <w:ind w:left="101"/>
        <w:rPr>
          <w:rFonts w:hint="eastAsia" w:ascii="黑体" w:hAnsi="黑体" w:eastAsia="黑体" w:cs="黑体"/>
          <w:color w:val="auto"/>
          <w:sz w:val="24"/>
          <w:szCs w:val="24"/>
        </w:rPr>
      </w:pPr>
      <w:r>
        <w:rPr>
          <w:rFonts w:hint="eastAsia" w:ascii="黑体" w:hAnsi="黑体" w:eastAsia="黑体" w:cs="黑体"/>
          <w:color w:val="auto"/>
          <w:sz w:val="24"/>
          <w:szCs w:val="24"/>
        </w:rPr>
        <w:t>报价单位：人民币</w:t>
      </w:r>
      <w:r>
        <w:rPr>
          <w:rFonts w:hint="eastAsia" w:ascii="黑体" w:hAnsi="黑体" w:eastAsia="黑体" w:cs="黑体"/>
          <w:b/>
          <w:bCs/>
          <w:color w:val="auto"/>
          <w:sz w:val="24"/>
          <w:szCs w:val="24"/>
        </w:rPr>
        <w:t>元</w:t>
      </w:r>
    </w:p>
    <w:p w14:paraId="2210E81E">
      <w:pPr>
        <w:pageBreakBefore w:val="0"/>
        <w:kinsoku w:val="0"/>
        <w:wordWrap w:val="0"/>
        <w:overflowPunct/>
        <w:topLinePunct w:val="0"/>
        <w:autoSpaceDE/>
        <w:autoSpaceDN/>
        <w:bidi w:val="0"/>
        <w:spacing w:line="135" w:lineRule="exact"/>
        <w:rPr>
          <w:rFonts w:hint="eastAsia" w:ascii="黑体" w:hAnsi="黑体" w:eastAsia="黑体" w:cs="黑体"/>
          <w:color w:val="auto"/>
          <w:sz w:val="24"/>
          <w:szCs w:val="24"/>
        </w:rPr>
      </w:pPr>
    </w:p>
    <w:tbl>
      <w:tblPr>
        <w:tblStyle w:val="22"/>
        <w:tblW w:w="9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3"/>
        <w:gridCol w:w="1639"/>
        <w:gridCol w:w="1839"/>
        <w:gridCol w:w="1786"/>
        <w:gridCol w:w="1816"/>
        <w:gridCol w:w="704"/>
      </w:tblGrid>
      <w:tr w14:paraId="17DA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jc w:val="center"/>
        </w:trPr>
        <w:tc>
          <w:tcPr>
            <w:tcW w:w="1433" w:type="dxa"/>
            <w:tcBorders>
              <w:right w:val="single" w:color="000000" w:sz="4" w:space="0"/>
            </w:tcBorders>
            <w:vAlign w:val="top"/>
          </w:tcPr>
          <w:p w14:paraId="690B918B">
            <w:pPr>
              <w:pStyle w:val="23"/>
              <w:pageBreakBefore w:val="0"/>
              <w:kinsoku w:val="0"/>
              <w:wordWrap w:val="0"/>
              <w:overflowPunct/>
              <w:topLinePunct w:val="0"/>
              <w:autoSpaceDE/>
              <w:autoSpaceDN/>
              <w:bidi w:val="0"/>
              <w:spacing w:before="218" w:line="222" w:lineRule="auto"/>
              <w:ind w:right="40"/>
              <w:jc w:val="center"/>
              <w:rPr>
                <w:rFonts w:hint="eastAsia" w:ascii="黑体" w:hAnsi="黑体" w:eastAsia="黑体" w:cs="黑体"/>
                <w:color w:val="auto"/>
                <w:sz w:val="24"/>
                <w:szCs w:val="24"/>
              </w:rPr>
            </w:pPr>
            <w:r>
              <w:rPr>
                <w:rFonts w:hint="eastAsia" w:ascii="黑体" w:hAnsi="黑体" w:eastAsia="黑体" w:cs="黑体"/>
                <w:color w:val="auto"/>
                <w:spacing w:val="-8"/>
                <w:sz w:val="24"/>
                <w:szCs w:val="24"/>
              </w:rPr>
              <w:t>项目名称</w:t>
            </w:r>
          </w:p>
        </w:tc>
        <w:tc>
          <w:tcPr>
            <w:tcW w:w="1639" w:type="dxa"/>
            <w:tcBorders>
              <w:left w:val="single" w:color="000000" w:sz="4" w:space="0"/>
            </w:tcBorders>
            <w:vAlign w:val="top"/>
          </w:tcPr>
          <w:p w14:paraId="0BAE7577">
            <w:pPr>
              <w:pStyle w:val="23"/>
              <w:pageBreakBefore w:val="0"/>
              <w:kinsoku w:val="0"/>
              <w:wordWrap w:val="0"/>
              <w:overflowPunct/>
              <w:topLinePunct w:val="0"/>
              <w:autoSpaceDE/>
              <w:autoSpaceDN/>
              <w:bidi w:val="0"/>
              <w:spacing w:before="221" w:line="223" w:lineRule="auto"/>
              <w:ind w:left="287"/>
              <w:rPr>
                <w:rFonts w:hint="eastAsia" w:ascii="黑体" w:hAnsi="黑体" w:eastAsia="黑体" w:cs="黑体"/>
                <w:color w:val="auto"/>
                <w:sz w:val="24"/>
                <w:szCs w:val="24"/>
              </w:rPr>
            </w:pPr>
            <w:r>
              <w:rPr>
                <w:rFonts w:hint="eastAsia" w:ascii="黑体" w:hAnsi="黑体" w:eastAsia="黑体" w:cs="黑体"/>
                <w:color w:val="auto"/>
                <w:spacing w:val="-7"/>
                <w:sz w:val="24"/>
                <w:szCs w:val="24"/>
              </w:rPr>
              <w:t>投标报价</w:t>
            </w:r>
          </w:p>
        </w:tc>
        <w:tc>
          <w:tcPr>
            <w:tcW w:w="1839" w:type="dxa"/>
            <w:tcBorders>
              <w:top w:val="single" w:color="000000" w:sz="4" w:space="0"/>
            </w:tcBorders>
            <w:vAlign w:val="top"/>
          </w:tcPr>
          <w:p w14:paraId="0593876C">
            <w:pPr>
              <w:pStyle w:val="23"/>
              <w:pageBreakBefore w:val="0"/>
              <w:kinsoku w:val="0"/>
              <w:wordWrap w:val="0"/>
              <w:overflowPunct/>
              <w:topLinePunct w:val="0"/>
              <w:autoSpaceDE/>
              <w:autoSpaceDN/>
              <w:bidi w:val="0"/>
              <w:spacing w:before="218" w:line="222" w:lineRule="auto"/>
              <w:ind w:left="246"/>
              <w:rPr>
                <w:rFonts w:hint="eastAsia" w:ascii="黑体" w:hAnsi="黑体" w:eastAsia="黑体" w:cs="黑体"/>
                <w:color w:val="auto"/>
                <w:sz w:val="24"/>
                <w:szCs w:val="24"/>
              </w:rPr>
            </w:pPr>
            <w:r>
              <w:rPr>
                <w:rFonts w:hint="eastAsia" w:ascii="黑体" w:hAnsi="黑体" w:eastAsia="黑体" w:cs="黑体"/>
                <w:color w:val="auto"/>
                <w:spacing w:val="-6"/>
                <w:sz w:val="24"/>
                <w:szCs w:val="24"/>
              </w:rPr>
              <w:t>磋商保证金</w:t>
            </w:r>
          </w:p>
        </w:tc>
        <w:tc>
          <w:tcPr>
            <w:tcW w:w="1786" w:type="dxa"/>
            <w:tcBorders>
              <w:top w:val="single" w:color="000000" w:sz="4" w:space="0"/>
            </w:tcBorders>
            <w:vAlign w:val="top"/>
          </w:tcPr>
          <w:p w14:paraId="2BA975C3">
            <w:pPr>
              <w:pStyle w:val="23"/>
              <w:pageBreakBefore w:val="0"/>
              <w:kinsoku w:val="0"/>
              <w:wordWrap w:val="0"/>
              <w:overflowPunct/>
              <w:topLinePunct w:val="0"/>
              <w:autoSpaceDE/>
              <w:autoSpaceDN/>
              <w:bidi w:val="0"/>
              <w:spacing w:before="221" w:line="223" w:lineRule="auto"/>
              <w:ind w:left="367"/>
              <w:rPr>
                <w:rFonts w:hint="eastAsia" w:ascii="黑体" w:hAnsi="黑体" w:eastAsia="黑体" w:cs="黑体"/>
                <w:color w:val="auto"/>
                <w:sz w:val="24"/>
                <w:szCs w:val="24"/>
              </w:rPr>
            </w:pPr>
            <w:r>
              <w:rPr>
                <w:rFonts w:hint="eastAsia" w:ascii="黑体" w:hAnsi="黑体" w:eastAsia="黑体" w:cs="黑体"/>
                <w:color w:val="auto"/>
                <w:spacing w:val="-7"/>
                <w:sz w:val="24"/>
                <w:szCs w:val="24"/>
              </w:rPr>
              <w:t>服务期限</w:t>
            </w:r>
          </w:p>
        </w:tc>
        <w:tc>
          <w:tcPr>
            <w:tcW w:w="1816" w:type="dxa"/>
            <w:tcBorders>
              <w:top w:val="single" w:color="000000" w:sz="4" w:space="0"/>
            </w:tcBorders>
            <w:vAlign w:val="top"/>
          </w:tcPr>
          <w:p w14:paraId="5B089B7C">
            <w:pPr>
              <w:pStyle w:val="23"/>
              <w:pageBreakBefore w:val="0"/>
              <w:kinsoku w:val="0"/>
              <w:wordWrap w:val="0"/>
              <w:overflowPunct/>
              <w:topLinePunct w:val="0"/>
              <w:autoSpaceDE/>
              <w:autoSpaceDN/>
              <w:bidi w:val="0"/>
              <w:spacing w:before="221" w:line="223" w:lineRule="auto"/>
              <w:ind w:left="385"/>
              <w:rPr>
                <w:rFonts w:hint="eastAsia" w:ascii="黑体" w:hAnsi="黑体" w:eastAsia="黑体" w:cs="黑体"/>
                <w:color w:val="auto"/>
                <w:sz w:val="24"/>
                <w:szCs w:val="24"/>
              </w:rPr>
            </w:pPr>
            <w:r>
              <w:rPr>
                <w:rFonts w:hint="eastAsia" w:ascii="黑体" w:hAnsi="黑体" w:eastAsia="黑体" w:cs="黑体"/>
                <w:color w:val="auto"/>
                <w:spacing w:val="-7"/>
                <w:sz w:val="24"/>
                <w:szCs w:val="24"/>
              </w:rPr>
              <w:t>服务地点</w:t>
            </w:r>
          </w:p>
        </w:tc>
        <w:tc>
          <w:tcPr>
            <w:tcW w:w="704" w:type="dxa"/>
            <w:tcBorders>
              <w:top w:val="single" w:color="000000" w:sz="4" w:space="0"/>
              <w:right w:val="single" w:color="000000" w:sz="4" w:space="0"/>
            </w:tcBorders>
            <w:vAlign w:val="top"/>
          </w:tcPr>
          <w:p w14:paraId="360A81F5">
            <w:pPr>
              <w:pStyle w:val="23"/>
              <w:pageBreakBefore w:val="0"/>
              <w:kinsoku w:val="0"/>
              <w:wordWrap w:val="0"/>
              <w:overflowPunct/>
              <w:topLinePunct w:val="0"/>
              <w:autoSpaceDE/>
              <w:autoSpaceDN/>
              <w:bidi w:val="0"/>
              <w:spacing w:before="223" w:line="225" w:lineRule="auto"/>
              <w:ind w:left="109"/>
              <w:rPr>
                <w:rFonts w:hint="eastAsia" w:ascii="黑体" w:hAnsi="黑体" w:eastAsia="黑体" w:cs="黑体"/>
                <w:color w:val="auto"/>
                <w:sz w:val="24"/>
                <w:szCs w:val="24"/>
              </w:rPr>
            </w:pPr>
            <w:r>
              <w:rPr>
                <w:rFonts w:hint="eastAsia" w:ascii="黑体" w:hAnsi="黑体" w:eastAsia="黑体" w:cs="黑体"/>
                <w:color w:val="auto"/>
                <w:spacing w:val="-10"/>
                <w:sz w:val="24"/>
                <w:szCs w:val="24"/>
              </w:rPr>
              <w:t>备注</w:t>
            </w:r>
          </w:p>
        </w:tc>
      </w:tr>
      <w:tr w14:paraId="445F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6" w:hRule="atLeast"/>
          <w:jc w:val="center"/>
        </w:trPr>
        <w:tc>
          <w:tcPr>
            <w:tcW w:w="1433" w:type="dxa"/>
            <w:vAlign w:val="top"/>
          </w:tcPr>
          <w:p w14:paraId="6D1493BB">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639" w:type="dxa"/>
            <w:vAlign w:val="top"/>
          </w:tcPr>
          <w:p w14:paraId="769A4EB3">
            <w:pPr>
              <w:pStyle w:val="23"/>
              <w:pageBreakBefore w:val="0"/>
              <w:kinsoku w:val="0"/>
              <w:wordWrap w:val="0"/>
              <w:overflowPunct/>
              <w:topLinePunct w:val="0"/>
              <w:autoSpaceDE/>
              <w:autoSpaceDN/>
              <w:bidi w:val="0"/>
              <w:spacing w:before="182" w:line="638" w:lineRule="exact"/>
              <w:ind w:left="41"/>
              <w:rPr>
                <w:rFonts w:hint="eastAsia" w:ascii="黑体" w:hAnsi="黑体" w:eastAsia="黑体" w:cs="黑体"/>
                <w:color w:val="auto"/>
                <w:sz w:val="24"/>
                <w:szCs w:val="24"/>
              </w:rPr>
            </w:pPr>
            <w:r>
              <w:rPr>
                <w:rFonts w:hint="eastAsia" w:ascii="黑体" w:hAnsi="黑体" w:eastAsia="黑体" w:cs="黑体"/>
                <w:color w:val="auto"/>
                <w:spacing w:val="-10"/>
                <w:position w:val="27"/>
                <w:sz w:val="24"/>
                <w:szCs w:val="24"/>
              </w:rPr>
              <w:t>大写：</w:t>
            </w:r>
          </w:p>
          <w:p w14:paraId="5FE28E1B">
            <w:pPr>
              <w:pStyle w:val="23"/>
              <w:pageBreakBefore w:val="0"/>
              <w:kinsoku w:val="0"/>
              <w:wordWrap w:val="0"/>
              <w:overflowPunct/>
              <w:topLinePunct w:val="0"/>
              <w:autoSpaceDE/>
              <w:autoSpaceDN/>
              <w:bidi w:val="0"/>
              <w:spacing w:line="225" w:lineRule="auto"/>
              <w:ind w:left="35"/>
              <w:rPr>
                <w:rFonts w:hint="eastAsia" w:ascii="黑体" w:hAnsi="黑体" w:eastAsia="黑体" w:cs="黑体"/>
                <w:color w:val="auto"/>
                <w:spacing w:val="-8"/>
                <w:sz w:val="24"/>
                <w:szCs w:val="24"/>
              </w:rPr>
            </w:pPr>
          </w:p>
          <w:p w14:paraId="74437031">
            <w:pPr>
              <w:pStyle w:val="23"/>
              <w:pageBreakBefore w:val="0"/>
              <w:kinsoku w:val="0"/>
              <w:wordWrap w:val="0"/>
              <w:overflowPunct/>
              <w:topLinePunct w:val="0"/>
              <w:autoSpaceDE/>
              <w:autoSpaceDN/>
              <w:bidi w:val="0"/>
              <w:spacing w:line="225" w:lineRule="auto"/>
              <w:ind w:left="35"/>
              <w:rPr>
                <w:rFonts w:hint="eastAsia" w:ascii="黑体" w:hAnsi="黑体" w:eastAsia="黑体" w:cs="黑体"/>
                <w:color w:val="auto"/>
                <w:spacing w:val="-8"/>
                <w:sz w:val="24"/>
                <w:szCs w:val="24"/>
              </w:rPr>
            </w:pPr>
          </w:p>
          <w:p w14:paraId="7C4E3901">
            <w:pPr>
              <w:pStyle w:val="23"/>
              <w:pageBreakBefore w:val="0"/>
              <w:kinsoku w:val="0"/>
              <w:wordWrap w:val="0"/>
              <w:overflowPunct/>
              <w:topLinePunct w:val="0"/>
              <w:autoSpaceDE/>
              <w:autoSpaceDN/>
              <w:bidi w:val="0"/>
              <w:spacing w:line="225" w:lineRule="auto"/>
              <w:ind w:left="35"/>
              <w:rPr>
                <w:rFonts w:hint="eastAsia" w:ascii="黑体" w:hAnsi="黑体" w:eastAsia="黑体" w:cs="黑体"/>
                <w:color w:val="auto"/>
                <w:spacing w:val="-8"/>
                <w:sz w:val="24"/>
                <w:szCs w:val="24"/>
              </w:rPr>
            </w:pPr>
          </w:p>
          <w:p w14:paraId="07FFB9B8">
            <w:pPr>
              <w:pStyle w:val="23"/>
              <w:pageBreakBefore w:val="0"/>
              <w:kinsoku w:val="0"/>
              <w:wordWrap w:val="0"/>
              <w:overflowPunct/>
              <w:topLinePunct w:val="0"/>
              <w:autoSpaceDE/>
              <w:autoSpaceDN/>
              <w:bidi w:val="0"/>
              <w:spacing w:line="225" w:lineRule="auto"/>
              <w:ind w:left="35"/>
              <w:rPr>
                <w:rFonts w:hint="eastAsia" w:ascii="黑体" w:hAnsi="黑体" w:eastAsia="黑体" w:cs="黑体"/>
                <w:color w:val="auto"/>
                <w:sz w:val="24"/>
                <w:szCs w:val="24"/>
              </w:rPr>
            </w:pPr>
            <w:r>
              <w:rPr>
                <w:rFonts w:hint="eastAsia" w:ascii="黑体" w:hAnsi="黑体" w:eastAsia="黑体" w:cs="黑体"/>
                <w:color w:val="auto"/>
                <w:spacing w:val="-8"/>
                <w:sz w:val="24"/>
                <w:szCs w:val="24"/>
              </w:rPr>
              <w:t>小写：</w:t>
            </w:r>
          </w:p>
        </w:tc>
        <w:tc>
          <w:tcPr>
            <w:tcW w:w="1839" w:type="dxa"/>
            <w:vAlign w:val="top"/>
          </w:tcPr>
          <w:p w14:paraId="4E3EC9C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786" w:type="dxa"/>
            <w:vAlign w:val="top"/>
          </w:tcPr>
          <w:p w14:paraId="1A36421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816" w:type="dxa"/>
            <w:vAlign w:val="top"/>
          </w:tcPr>
          <w:p w14:paraId="093EA0B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704" w:type="dxa"/>
            <w:vAlign w:val="top"/>
          </w:tcPr>
          <w:p w14:paraId="258D5604">
            <w:pPr>
              <w:pageBreakBefore w:val="0"/>
              <w:kinsoku w:val="0"/>
              <w:wordWrap w:val="0"/>
              <w:overflowPunct/>
              <w:topLinePunct w:val="0"/>
              <w:autoSpaceDE/>
              <w:autoSpaceDN/>
              <w:bidi w:val="0"/>
              <w:rPr>
                <w:rFonts w:hint="eastAsia" w:ascii="黑体" w:hAnsi="黑体" w:eastAsia="黑体" w:cs="黑体"/>
                <w:color w:val="auto"/>
                <w:sz w:val="24"/>
                <w:szCs w:val="24"/>
              </w:rPr>
            </w:pPr>
          </w:p>
        </w:tc>
      </w:tr>
    </w:tbl>
    <w:p w14:paraId="6521D3C6">
      <w:pPr>
        <w:pStyle w:val="7"/>
        <w:pageBreakBefore w:val="0"/>
        <w:kinsoku w:val="0"/>
        <w:wordWrap w:val="0"/>
        <w:overflowPunct/>
        <w:topLinePunct w:val="0"/>
        <w:autoSpaceDE/>
        <w:autoSpaceDN/>
        <w:bidi w:val="0"/>
        <w:spacing w:before="91" w:line="360" w:lineRule="auto"/>
        <w:ind w:left="5" w:leftChars="0" w:hanging="5"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供应商名称（</w:t>
      </w:r>
      <w:r>
        <w:rPr>
          <w:rFonts w:hint="eastAsia" w:ascii="黑体" w:hAnsi="黑体" w:eastAsia="黑体" w:cs="黑体"/>
          <w:color w:val="auto"/>
          <w:spacing w:val="-4"/>
          <w:sz w:val="24"/>
          <w:szCs w:val="24"/>
          <w:lang w:val="en-US" w:eastAsia="zh-CN"/>
        </w:rPr>
        <w:t>加盖</w:t>
      </w:r>
      <w:r>
        <w:rPr>
          <w:rFonts w:hint="eastAsia" w:ascii="黑体" w:hAnsi="黑体" w:eastAsia="黑体" w:cs="黑体"/>
          <w:color w:val="auto"/>
          <w:spacing w:val="-4"/>
          <w:sz w:val="24"/>
          <w:szCs w:val="24"/>
        </w:rPr>
        <w:t>公章</w:t>
      </w:r>
      <w:r>
        <w:rPr>
          <w:rFonts w:hint="eastAsia" w:ascii="黑体" w:hAnsi="黑体" w:eastAsia="黑体" w:cs="黑体"/>
          <w:color w:val="auto"/>
          <w:sz w:val="24"/>
          <w:szCs w:val="24"/>
        </w:rPr>
        <w:t>）：</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712FFB0D">
      <w:pPr>
        <w:pStyle w:val="7"/>
        <w:pageBreakBefore w:val="0"/>
        <w:kinsoku w:val="0"/>
        <w:wordWrap w:val="0"/>
        <w:overflowPunct/>
        <w:topLinePunct w:val="0"/>
        <w:autoSpaceDE/>
        <w:autoSpaceDN/>
        <w:bidi w:val="0"/>
        <w:spacing w:before="1" w:line="360" w:lineRule="auto"/>
        <w:ind w:left="5" w:leftChars="0" w:hanging="5" w:firstLineChars="0"/>
        <w:rPr>
          <w:rFonts w:hint="eastAsia" w:ascii="黑体" w:hAnsi="黑体" w:eastAsia="黑体" w:cs="黑体"/>
          <w:color w:val="auto"/>
          <w:sz w:val="24"/>
          <w:szCs w:val="24"/>
          <w:lang w:val="en-US" w:eastAsia="zh-CN"/>
        </w:rPr>
      </w:pPr>
      <w:r>
        <w:rPr>
          <w:rFonts w:hint="eastAsia" w:ascii="黑体" w:hAnsi="黑体" w:eastAsia="黑体" w:cs="黑体"/>
          <w:color w:val="auto"/>
          <w:spacing w:val="-4"/>
          <w:sz w:val="24"/>
          <w:szCs w:val="24"/>
        </w:rPr>
        <w:t>法定代表人或委托代理(签字或盖章):</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6F7BF08B">
      <w:pPr>
        <w:pStyle w:val="7"/>
        <w:pageBreakBefore w:val="0"/>
        <w:kinsoku w:val="0"/>
        <w:wordWrap w:val="0"/>
        <w:overflowPunct/>
        <w:topLinePunct w:val="0"/>
        <w:autoSpaceDE/>
        <w:autoSpaceDN/>
        <w:bidi w:val="0"/>
        <w:spacing w:before="78" w:line="360" w:lineRule="auto"/>
        <w:ind w:left="5" w:leftChars="0" w:hanging="5" w:firstLineChars="0"/>
        <w:rPr>
          <w:rFonts w:hint="eastAsia" w:ascii="黑体" w:hAnsi="黑体" w:eastAsia="黑体" w:cs="黑体"/>
          <w:color w:val="auto"/>
          <w:sz w:val="24"/>
          <w:szCs w:val="24"/>
        </w:rPr>
      </w:pPr>
      <w:r>
        <w:rPr>
          <w:rFonts w:hint="eastAsia" w:ascii="黑体" w:hAnsi="黑体" w:eastAsia="黑体" w:cs="黑体"/>
          <w:color w:val="auto"/>
          <w:spacing w:val="-3"/>
          <w:sz w:val="24"/>
          <w:szCs w:val="24"/>
        </w:rPr>
        <w:t>注:1、此表应按投标人须知的规定上传。</w:t>
      </w:r>
    </w:p>
    <w:p w14:paraId="629E3B8D">
      <w:pPr>
        <w:pStyle w:val="7"/>
        <w:pageBreakBefore w:val="0"/>
        <w:kinsoku w:val="0"/>
        <w:wordWrap w:val="0"/>
        <w:overflowPunct/>
        <w:topLinePunct w:val="0"/>
        <w:autoSpaceDE/>
        <w:autoSpaceDN/>
        <w:bidi w:val="0"/>
        <w:spacing w:before="35" w:line="360" w:lineRule="auto"/>
        <w:ind w:firstLine="236" w:firstLineChars="100"/>
        <w:rPr>
          <w:rFonts w:hint="eastAsia" w:ascii="黑体" w:hAnsi="黑体" w:eastAsia="黑体" w:cs="黑体"/>
          <w:color w:val="auto"/>
          <w:sz w:val="24"/>
          <w:szCs w:val="24"/>
        </w:rPr>
      </w:pPr>
      <w:r>
        <w:rPr>
          <w:rFonts w:hint="eastAsia" w:ascii="黑体" w:hAnsi="黑体" w:eastAsia="黑体" w:cs="黑体"/>
          <w:color w:val="auto"/>
          <w:spacing w:val="-2"/>
          <w:sz w:val="24"/>
          <w:szCs w:val="24"/>
        </w:rPr>
        <w:t>2、此表中，投标总价应和投标分项报价表的</w:t>
      </w:r>
      <w:r>
        <w:rPr>
          <w:rFonts w:hint="eastAsia" w:ascii="黑体" w:hAnsi="黑体" w:eastAsia="黑体" w:cs="黑体"/>
          <w:color w:val="auto"/>
          <w:spacing w:val="-3"/>
          <w:sz w:val="24"/>
          <w:szCs w:val="24"/>
        </w:rPr>
        <w:t>总价相一致。</w:t>
      </w:r>
    </w:p>
    <w:p w14:paraId="30EBC350">
      <w:pPr>
        <w:pageBreakBefore w:val="0"/>
        <w:kinsoku w:val="0"/>
        <w:wordWrap w:val="0"/>
        <w:overflowPunct/>
        <w:topLinePunct w:val="0"/>
        <w:autoSpaceDE/>
        <w:autoSpaceDN/>
        <w:bidi w:val="0"/>
        <w:spacing w:line="248" w:lineRule="auto"/>
        <w:ind w:left="5" w:leftChars="0" w:hanging="5" w:firstLineChars="0"/>
        <w:rPr>
          <w:rFonts w:hint="eastAsia" w:ascii="黑体" w:hAnsi="黑体" w:eastAsia="黑体" w:cs="黑体"/>
          <w:color w:val="auto"/>
          <w:sz w:val="21"/>
        </w:rPr>
      </w:pPr>
    </w:p>
    <w:p w14:paraId="09C5F069">
      <w:pPr>
        <w:pageBreakBefore w:val="0"/>
        <w:kinsoku w:val="0"/>
        <w:wordWrap w:val="0"/>
        <w:overflowPunct/>
        <w:topLinePunct w:val="0"/>
        <w:autoSpaceDE/>
        <w:autoSpaceDN/>
        <w:bidi w:val="0"/>
        <w:spacing w:line="248" w:lineRule="auto"/>
        <w:rPr>
          <w:rFonts w:hint="eastAsia" w:ascii="黑体" w:hAnsi="黑体" w:eastAsia="黑体" w:cs="黑体"/>
          <w:color w:val="auto"/>
          <w:sz w:val="21"/>
        </w:rPr>
      </w:pPr>
    </w:p>
    <w:p w14:paraId="17489EFA">
      <w:pPr>
        <w:pageBreakBefore w:val="0"/>
        <w:kinsoku w:val="0"/>
        <w:wordWrap w:val="0"/>
        <w:overflowPunct/>
        <w:topLinePunct w:val="0"/>
        <w:autoSpaceDE/>
        <w:autoSpaceDN/>
        <w:bidi w:val="0"/>
        <w:spacing w:line="248" w:lineRule="auto"/>
        <w:rPr>
          <w:rFonts w:hint="eastAsia" w:ascii="黑体" w:hAnsi="黑体" w:eastAsia="黑体" w:cs="黑体"/>
          <w:color w:val="auto"/>
          <w:sz w:val="21"/>
        </w:rPr>
      </w:pPr>
    </w:p>
    <w:p w14:paraId="40F6151E">
      <w:pPr>
        <w:pageBreakBefore w:val="0"/>
        <w:kinsoku w:val="0"/>
        <w:wordWrap w:val="0"/>
        <w:overflowPunct/>
        <w:topLinePunct w:val="0"/>
        <w:autoSpaceDE/>
        <w:autoSpaceDN/>
        <w:bidi w:val="0"/>
        <w:spacing w:line="249" w:lineRule="auto"/>
        <w:rPr>
          <w:rFonts w:hint="eastAsia" w:ascii="黑体" w:hAnsi="黑体" w:eastAsia="黑体" w:cs="黑体"/>
          <w:color w:val="auto"/>
          <w:sz w:val="21"/>
        </w:rPr>
      </w:pPr>
    </w:p>
    <w:p w14:paraId="4D93DD07">
      <w:pPr>
        <w:pageBreakBefore w:val="0"/>
        <w:kinsoku w:val="0"/>
        <w:wordWrap w:val="0"/>
        <w:overflowPunct/>
        <w:topLinePunct w:val="0"/>
        <w:autoSpaceDE/>
        <w:autoSpaceDN/>
        <w:bidi w:val="0"/>
        <w:spacing w:line="249" w:lineRule="auto"/>
        <w:rPr>
          <w:rFonts w:hint="eastAsia" w:ascii="黑体" w:hAnsi="黑体" w:eastAsia="黑体" w:cs="黑体"/>
          <w:color w:val="auto"/>
          <w:sz w:val="21"/>
        </w:rPr>
      </w:pPr>
    </w:p>
    <w:p w14:paraId="341613C5">
      <w:pPr>
        <w:pageBreakBefore w:val="0"/>
        <w:kinsoku w:val="0"/>
        <w:wordWrap w:val="0"/>
        <w:overflowPunct/>
        <w:topLinePunct w:val="0"/>
        <w:autoSpaceDE/>
        <w:autoSpaceDN/>
        <w:bidi w:val="0"/>
        <w:spacing w:line="249" w:lineRule="auto"/>
        <w:rPr>
          <w:rFonts w:hint="eastAsia" w:ascii="黑体" w:hAnsi="黑体" w:eastAsia="黑体" w:cs="黑体"/>
          <w:color w:val="auto"/>
          <w:sz w:val="21"/>
        </w:rPr>
      </w:pPr>
    </w:p>
    <w:p w14:paraId="64EE2B80">
      <w:pPr>
        <w:pageBreakBefore w:val="0"/>
        <w:kinsoku w:val="0"/>
        <w:wordWrap w:val="0"/>
        <w:overflowPunct/>
        <w:topLinePunct w:val="0"/>
        <w:autoSpaceDE/>
        <w:autoSpaceDN/>
        <w:bidi w:val="0"/>
        <w:spacing w:line="249" w:lineRule="auto"/>
        <w:rPr>
          <w:rFonts w:hint="eastAsia" w:ascii="黑体" w:hAnsi="黑体" w:eastAsia="黑体" w:cs="黑体"/>
          <w:color w:val="auto"/>
          <w:sz w:val="21"/>
        </w:rPr>
      </w:pPr>
    </w:p>
    <w:p w14:paraId="4FB43248">
      <w:pPr>
        <w:pageBreakBefore w:val="0"/>
        <w:kinsoku w:val="0"/>
        <w:wordWrap w:val="0"/>
        <w:overflowPunct/>
        <w:topLinePunct w:val="0"/>
        <w:autoSpaceDE/>
        <w:autoSpaceDN/>
        <w:bidi w:val="0"/>
        <w:spacing w:line="249" w:lineRule="auto"/>
        <w:rPr>
          <w:rFonts w:hint="eastAsia" w:ascii="黑体" w:hAnsi="黑体" w:eastAsia="黑体" w:cs="黑体"/>
          <w:color w:val="auto"/>
          <w:sz w:val="21"/>
        </w:rPr>
      </w:pPr>
    </w:p>
    <w:p w14:paraId="2A728699">
      <w:pPr>
        <w:pageBreakBefore w:val="0"/>
        <w:kinsoku w:val="0"/>
        <w:wordWrap w:val="0"/>
        <w:overflowPunct/>
        <w:topLinePunct w:val="0"/>
        <w:autoSpaceDE/>
        <w:autoSpaceDN/>
        <w:bidi w:val="0"/>
        <w:jc w:val="center"/>
        <w:rPr>
          <w:rFonts w:hint="eastAsia" w:ascii="黑体" w:hAnsi="黑体" w:eastAsia="黑体" w:cs="黑体"/>
          <w:color w:val="auto"/>
          <w:sz w:val="30"/>
          <w:szCs w:val="30"/>
        </w:rPr>
      </w:pPr>
      <w:r>
        <w:rPr>
          <w:rFonts w:hint="eastAsia" w:ascii="黑体" w:hAnsi="黑体" w:eastAsia="黑体" w:cs="黑体"/>
          <w:b/>
          <w:bCs/>
          <w:color w:val="auto"/>
          <w:spacing w:val="-7"/>
          <w:sz w:val="30"/>
          <w:szCs w:val="30"/>
        </w:rPr>
        <w:br w:type="page"/>
      </w:r>
      <w:r>
        <w:rPr>
          <w:rFonts w:hint="eastAsia" w:ascii="黑体" w:hAnsi="黑体" w:eastAsia="黑体" w:cs="黑体"/>
          <w:b/>
          <w:bCs/>
          <w:color w:val="auto"/>
          <w:spacing w:val="-7"/>
          <w:sz w:val="28"/>
          <w:szCs w:val="28"/>
        </w:rPr>
        <w:t>2</w:t>
      </w:r>
      <w:r>
        <w:rPr>
          <w:rFonts w:hint="eastAsia" w:ascii="黑体" w:hAnsi="黑体" w:eastAsia="黑体" w:cs="黑体"/>
          <w:b/>
          <w:bCs/>
          <w:color w:val="auto"/>
          <w:spacing w:val="-7"/>
          <w:sz w:val="28"/>
          <w:szCs w:val="28"/>
          <w:lang w:eastAsia="zh-CN"/>
        </w:rPr>
        <w:t>、</w:t>
      </w:r>
      <w:r>
        <w:rPr>
          <w:rFonts w:hint="eastAsia" w:ascii="黑体" w:hAnsi="黑体" w:eastAsia="黑体" w:cs="黑体"/>
          <w:b/>
          <w:bCs/>
          <w:color w:val="auto"/>
          <w:spacing w:val="-7"/>
          <w:sz w:val="28"/>
          <w:szCs w:val="28"/>
        </w:rPr>
        <w:t>有效的营业执照等证明文件</w:t>
      </w:r>
    </w:p>
    <w:p w14:paraId="15FC42C2">
      <w:pPr>
        <w:pageBreakBefore w:val="0"/>
        <w:kinsoku w:val="0"/>
        <w:wordWrap w:val="0"/>
        <w:overflowPunct/>
        <w:topLinePunct w:val="0"/>
        <w:autoSpaceDE/>
        <w:autoSpaceDN/>
        <w:bidi w:val="0"/>
        <w:spacing w:line="275" w:lineRule="auto"/>
        <w:rPr>
          <w:rFonts w:hint="eastAsia" w:ascii="黑体" w:hAnsi="黑体" w:eastAsia="黑体" w:cs="黑体"/>
          <w:color w:val="auto"/>
          <w:sz w:val="21"/>
        </w:rPr>
      </w:pPr>
    </w:p>
    <w:p w14:paraId="75B93D6B">
      <w:pPr>
        <w:pStyle w:val="7"/>
        <w:pageBreakBefore w:val="0"/>
        <w:kinsoku w:val="0"/>
        <w:wordWrap w:val="0"/>
        <w:overflowPunct/>
        <w:topLinePunct w:val="0"/>
        <w:autoSpaceDE/>
        <w:autoSpaceDN/>
        <w:bidi w:val="0"/>
        <w:spacing w:before="91" w:line="224" w:lineRule="auto"/>
        <w:ind w:left="18"/>
        <w:rPr>
          <w:rFonts w:hint="eastAsia" w:ascii="黑体" w:hAnsi="黑体" w:eastAsia="黑体" w:cs="黑体"/>
          <w:color w:val="auto"/>
          <w:sz w:val="24"/>
          <w:szCs w:val="24"/>
        </w:rPr>
      </w:pPr>
      <w:r>
        <w:rPr>
          <w:rFonts w:hint="eastAsia" w:ascii="黑体" w:hAnsi="黑体" w:eastAsia="黑体" w:cs="黑体"/>
          <w:color w:val="auto"/>
          <w:spacing w:val="-9"/>
          <w:sz w:val="24"/>
          <w:szCs w:val="24"/>
        </w:rPr>
        <w:t>说明：</w:t>
      </w:r>
      <w:r>
        <w:rPr>
          <w:rFonts w:hint="eastAsia" w:ascii="黑体" w:hAnsi="黑体" w:eastAsia="黑体" w:cs="黑体"/>
          <w:color w:val="auto"/>
          <w:spacing w:val="-3"/>
          <w:sz w:val="24"/>
          <w:szCs w:val="24"/>
        </w:rPr>
        <w:t>1、提供有效的营业执照等证明文件并加盖本单位公章。</w:t>
      </w:r>
    </w:p>
    <w:p w14:paraId="29FE8AAA">
      <w:pPr>
        <w:pageBreakBefore w:val="0"/>
        <w:kinsoku w:val="0"/>
        <w:wordWrap w:val="0"/>
        <w:overflowPunct/>
        <w:topLinePunct w:val="0"/>
        <w:autoSpaceDE/>
        <w:autoSpaceDN/>
        <w:bidi w:val="0"/>
        <w:spacing w:line="221" w:lineRule="auto"/>
        <w:rPr>
          <w:rFonts w:hint="eastAsia" w:ascii="黑体" w:hAnsi="黑体" w:eastAsia="黑体" w:cs="黑体"/>
          <w:color w:val="auto"/>
          <w:sz w:val="28"/>
          <w:szCs w:val="28"/>
        </w:rPr>
        <w:sectPr>
          <w:footerReference r:id="rId11" w:type="default"/>
          <w:pgSz w:w="11906" w:h="16840"/>
          <w:pgMar w:top="1431" w:right="1003" w:bottom="1126" w:left="1733" w:header="0" w:footer="912" w:gutter="0"/>
          <w:pgNumType w:fmt="decimal"/>
          <w:cols w:space="720" w:num="1"/>
        </w:sectPr>
      </w:pPr>
    </w:p>
    <w:p w14:paraId="5ADD049D">
      <w:pPr>
        <w:pStyle w:val="7"/>
        <w:pageBreakBefore w:val="0"/>
        <w:kinsoku w:val="0"/>
        <w:wordWrap w:val="0"/>
        <w:overflowPunct/>
        <w:topLinePunct w:val="0"/>
        <w:autoSpaceDE/>
        <w:autoSpaceDN/>
        <w:bidi w:val="0"/>
        <w:spacing w:before="194" w:line="222" w:lineRule="auto"/>
        <w:jc w:val="center"/>
        <w:rPr>
          <w:rFonts w:hint="eastAsia" w:ascii="黑体" w:hAnsi="黑体" w:eastAsia="黑体" w:cs="黑体"/>
          <w:b/>
          <w:bCs/>
          <w:color w:val="auto"/>
          <w:spacing w:val="-6"/>
          <w:sz w:val="28"/>
          <w:szCs w:val="28"/>
        </w:rPr>
      </w:pPr>
      <w:r>
        <w:rPr>
          <w:rFonts w:hint="eastAsia" w:ascii="黑体" w:hAnsi="黑体" w:eastAsia="黑体" w:cs="黑体"/>
          <w:b/>
          <w:bCs/>
          <w:color w:val="auto"/>
          <w:spacing w:val="-6"/>
          <w:sz w:val="28"/>
          <w:szCs w:val="28"/>
        </w:rPr>
        <w:t>3</w:t>
      </w:r>
      <w:r>
        <w:rPr>
          <w:rFonts w:hint="eastAsia" w:ascii="黑体" w:hAnsi="黑体" w:eastAsia="黑体" w:cs="黑体"/>
          <w:b/>
          <w:bCs/>
          <w:color w:val="auto"/>
          <w:spacing w:val="-6"/>
          <w:sz w:val="28"/>
          <w:szCs w:val="28"/>
          <w:lang w:val="en-US" w:eastAsia="zh-CN"/>
        </w:rPr>
        <w:t>、</w:t>
      </w:r>
      <w:r>
        <w:rPr>
          <w:rFonts w:hint="eastAsia" w:ascii="黑体" w:hAnsi="黑体" w:eastAsia="黑体" w:cs="黑体"/>
          <w:b/>
          <w:bCs/>
          <w:color w:val="auto"/>
          <w:spacing w:val="-6"/>
          <w:sz w:val="28"/>
          <w:szCs w:val="28"/>
        </w:rPr>
        <w:t>法定代表人身份证明或法定代表人授权委托书</w:t>
      </w:r>
    </w:p>
    <w:p w14:paraId="55BB0769">
      <w:pPr>
        <w:pStyle w:val="7"/>
        <w:pageBreakBefore w:val="0"/>
        <w:kinsoku w:val="0"/>
        <w:wordWrap w:val="0"/>
        <w:overflowPunct/>
        <w:topLinePunct w:val="0"/>
        <w:autoSpaceDE/>
        <w:autoSpaceDN/>
        <w:bidi w:val="0"/>
        <w:spacing w:before="194" w:line="222" w:lineRule="auto"/>
        <w:jc w:val="center"/>
        <w:rPr>
          <w:rFonts w:hint="eastAsia" w:ascii="黑体" w:hAnsi="黑体" w:eastAsia="黑体" w:cs="黑体"/>
          <w:color w:val="auto"/>
          <w:sz w:val="28"/>
          <w:szCs w:val="28"/>
        </w:rPr>
      </w:pPr>
      <w:r>
        <w:rPr>
          <w:rFonts w:hint="eastAsia" w:ascii="黑体" w:hAnsi="黑体" w:eastAsia="黑体" w:cs="黑体"/>
          <w:b/>
          <w:bCs/>
          <w:color w:val="auto"/>
          <w:spacing w:val="-12"/>
          <w:sz w:val="28"/>
          <w:szCs w:val="28"/>
        </w:rPr>
        <w:t>3.1</w:t>
      </w:r>
      <w:r>
        <w:rPr>
          <w:rFonts w:hint="eastAsia" w:ascii="黑体" w:hAnsi="黑体" w:eastAsia="黑体" w:cs="黑体"/>
          <w:color w:val="auto"/>
          <w:spacing w:val="-12"/>
          <w:sz w:val="28"/>
          <w:szCs w:val="28"/>
          <w:lang w:eastAsia="zh-CN"/>
        </w:rPr>
        <w:t>、</w:t>
      </w:r>
      <w:r>
        <w:rPr>
          <w:rFonts w:hint="eastAsia" w:ascii="黑体" w:hAnsi="黑体" w:eastAsia="黑体" w:cs="黑体"/>
          <w:b/>
          <w:bCs/>
          <w:color w:val="auto"/>
          <w:spacing w:val="-12"/>
          <w:sz w:val="28"/>
          <w:szCs w:val="28"/>
        </w:rPr>
        <w:t>法定代表人身份证明</w:t>
      </w:r>
    </w:p>
    <w:p w14:paraId="2924C082">
      <w:pPr>
        <w:pageBreakBefore w:val="0"/>
        <w:kinsoku w:val="0"/>
        <w:wordWrap w:val="0"/>
        <w:overflowPunct/>
        <w:topLinePunct w:val="0"/>
        <w:autoSpaceDE/>
        <w:autoSpaceDN/>
        <w:bidi w:val="0"/>
        <w:spacing w:line="242" w:lineRule="auto"/>
        <w:rPr>
          <w:rFonts w:hint="eastAsia" w:ascii="黑体" w:hAnsi="黑体" w:eastAsia="黑体" w:cs="黑体"/>
          <w:color w:val="auto"/>
          <w:sz w:val="21"/>
        </w:rPr>
      </w:pPr>
    </w:p>
    <w:p w14:paraId="24EAAA60">
      <w:pPr>
        <w:pageBreakBefore w:val="0"/>
        <w:kinsoku w:val="0"/>
        <w:wordWrap w:val="0"/>
        <w:overflowPunct/>
        <w:topLinePunct w:val="0"/>
        <w:autoSpaceDE/>
        <w:autoSpaceDN/>
        <w:bidi w:val="0"/>
        <w:spacing w:line="242" w:lineRule="auto"/>
        <w:rPr>
          <w:rFonts w:hint="eastAsia" w:ascii="黑体" w:hAnsi="黑体" w:eastAsia="黑体" w:cs="黑体"/>
          <w:color w:val="auto"/>
          <w:sz w:val="21"/>
        </w:rPr>
      </w:pPr>
    </w:p>
    <w:p w14:paraId="1AE1CB4F">
      <w:pPr>
        <w:pStyle w:val="7"/>
        <w:pageBreakBefore w:val="0"/>
        <w:kinsoku w:val="0"/>
        <w:wordWrap w:val="0"/>
        <w:overflowPunct/>
        <w:topLinePunct w:val="0"/>
        <w:autoSpaceDE/>
        <w:autoSpaceDN/>
        <w:bidi w:val="0"/>
        <w:spacing w:before="91" w:line="360" w:lineRule="auto"/>
        <w:ind w:left="48"/>
        <w:rPr>
          <w:rFonts w:hint="eastAsia" w:ascii="黑体" w:hAnsi="黑体" w:eastAsia="黑体" w:cs="黑体"/>
          <w:color w:val="auto"/>
          <w:spacing w:val="-4"/>
          <w:sz w:val="24"/>
          <w:szCs w:val="24"/>
          <w:u w:val="single"/>
          <w:lang w:val="en-US" w:eastAsia="zh-CN"/>
        </w:rPr>
      </w:pPr>
      <w:r>
        <w:rPr>
          <w:rFonts w:hint="eastAsia" w:ascii="黑体" w:hAnsi="黑体" w:eastAsia="黑体" w:cs="黑体"/>
          <w:color w:val="auto"/>
          <w:spacing w:val="-5"/>
          <w:sz w:val="24"/>
          <w:szCs w:val="24"/>
        </w:rPr>
        <w:t>投标单位名称：</w:t>
      </w:r>
      <w:r>
        <w:rPr>
          <w:rFonts w:hint="eastAsia" w:ascii="黑体" w:hAnsi="黑体" w:eastAsia="黑体" w:cs="黑体"/>
          <w:color w:val="auto"/>
          <w:spacing w:val="-4"/>
          <w:sz w:val="24"/>
          <w:szCs w:val="24"/>
          <w:u w:val="single"/>
          <w:lang w:val="en-US" w:eastAsia="zh-CN"/>
        </w:rPr>
        <w:t xml:space="preserve">                            </w:t>
      </w:r>
    </w:p>
    <w:p w14:paraId="6588B94D">
      <w:pPr>
        <w:pStyle w:val="7"/>
        <w:pageBreakBefore w:val="0"/>
        <w:kinsoku w:val="0"/>
        <w:wordWrap w:val="0"/>
        <w:overflowPunct/>
        <w:topLinePunct w:val="0"/>
        <w:autoSpaceDE/>
        <w:autoSpaceDN/>
        <w:bidi w:val="0"/>
        <w:spacing w:before="91" w:line="360" w:lineRule="auto"/>
        <w:ind w:left="48"/>
        <w:rPr>
          <w:rFonts w:hint="eastAsia" w:ascii="黑体" w:hAnsi="黑体" w:eastAsia="黑体" w:cs="黑体"/>
          <w:color w:val="auto"/>
          <w:spacing w:val="-5"/>
          <w:sz w:val="24"/>
          <w:szCs w:val="24"/>
        </w:rPr>
      </w:pPr>
      <w:r>
        <w:rPr>
          <w:rFonts w:hint="eastAsia" w:ascii="黑体" w:hAnsi="黑体" w:eastAsia="黑体" w:cs="黑体"/>
          <w:color w:val="auto"/>
          <w:spacing w:val="-5"/>
          <w:sz w:val="24"/>
          <w:szCs w:val="24"/>
        </w:rPr>
        <w:t>姓名：</w:t>
      </w:r>
      <w:r>
        <w:rPr>
          <w:rFonts w:hint="eastAsia" w:ascii="黑体" w:hAnsi="黑体" w:eastAsia="黑体" w:cs="黑体"/>
          <w:color w:val="auto"/>
          <w:spacing w:val="-4"/>
          <w:sz w:val="24"/>
          <w:szCs w:val="24"/>
          <w:u w:val="single"/>
          <w:lang w:val="en-US" w:eastAsia="zh-CN"/>
        </w:rPr>
        <w:t xml:space="preserve">      </w:t>
      </w:r>
      <w:r>
        <w:rPr>
          <w:rFonts w:hint="eastAsia" w:ascii="黑体" w:hAnsi="黑体" w:eastAsia="黑体" w:cs="黑体"/>
          <w:color w:val="auto"/>
          <w:spacing w:val="-5"/>
          <w:sz w:val="24"/>
          <w:szCs w:val="24"/>
        </w:rPr>
        <w:t>性别：</w:t>
      </w:r>
      <w:r>
        <w:rPr>
          <w:rFonts w:hint="eastAsia" w:ascii="黑体" w:hAnsi="黑体" w:eastAsia="黑体" w:cs="黑体"/>
          <w:color w:val="auto"/>
          <w:spacing w:val="-4"/>
          <w:sz w:val="24"/>
          <w:szCs w:val="24"/>
          <w:u w:val="single"/>
          <w:lang w:val="en-US" w:eastAsia="zh-CN"/>
        </w:rPr>
        <w:t xml:space="preserve">      </w:t>
      </w:r>
      <w:r>
        <w:rPr>
          <w:rFonts w:hint="eastAsia" w:ascii="黑体" w:hAnsi="黑体" w:eastAsia="黑体" w:cs="黑体"/>
          <w:color w:val="auto"/>
          <w:spacing w:val="-5"/>
          <w:sz w:val="24"/>
          <w:szCs w:val="24"/>
        </w:rPr>
        <w:t>年龄：</w:t>
      </w:r>
      <w:r>
        <w:rPr>
          <w:rFonts w:hint="eastAsia" w:ascii="黑体" w:hAnsi="黑体" w:eastAsia="黑体" w:cs="黑体"/>
          <w:color w:val="auto"/>
          <w:spacing w:val="-4"/>
          <w:sz w:val="24"/>
          <w:szCs w:val="24"/>
          <w:u w:val="single"/>
          <w:lang w:val="en-US" w:eastAsia="zh-CN"/>
        </w:rPr>
        <w:t xml:space="preserve">      </w:t>
      </w:r>
      <w:r>
        <w:rPr>
          <w:rFonts w:hint="eastAsia" w:ascii="黑体" w:hAnsi="黑体" w:eastAsia="黑体" w:cs="黑体"/>
          <w:color w:val="auto"/>
          <w:spacing w:val="-5"/>
          <w:sz w:val="24"/>
          <w:szCs w:val="24"/>
        </w:rPr>
        <w:t>职务：</w:t>
      </w:r>
      <w:r>
        <w:rPr>
          <w:rFonts w:hint="eastAsia" w:ascii="黑体" w:hAnsi="黑体" w:eastAsia="黑体" w:cs="黑体"/>
          <w:color w:val="auto"/>
          <w:spacing w:val="-4"/>
          <w:sz w:val="24"/>
          <w:szCs w:val="24"/>
          <w:u w:val="single"/>
          <w:lang w:val="en-US" w:eastAsia="zh-CN"/>
        </w:rPr>
        <w:t xml:space="preserve">     </w:t>
      </w:r>
    </w:p>
    <w:p w14:paraId="2E6EDB28">
      <w:pPr>
        <w:pStyle w:val="7"/>
        <w:pageBreakBefore w:val="0"/>
        <w:kinsoku w:val="0"/>
        <w:wordWrap w:val="0"/>
        <w:overflowPunct/>
        <w:topLinePunct w:val="0"/>
        <w:autoSpaceDE/>
        <w:autoSpaceDN/>
        <w:bidi w:val="0"/>
        <w:spacing w:before="91" w:line="360" w:lineRule="auto"/>
        <w:ind w:left="48"/>
        <w:rPr>
          <w:rFonts w:hint="eastAsia" w:ascii="黑体" w:hAnsi="黑体" w:eastAsia="黑体" w:cs="黑体"/>
          <w:color w:val="auto"/>
          <w:spacing w:val="-5"/>
          <w:sz w:val="24"/>
          <w:szCs w:val="24"/>
        </w:rPr>
      </w:pPr>
      <w:r>
        <w:rPr>
          <w:rFonts w:hint="eastAsia" w:ascii="黑体" w:hAnsi="黑体" w:eastAsia="黑体" w:cs="黑体"/>
          <w:color w:val="auto"/>
          <w:spacing w:val="-5"/>
          <w:sz w:val="24"/>
          <w:szCs w:val="24"/>
        </w:rPr>
        <w:t>系</w:t>
      </w:r>
      <w:r>
        <w:rPr>
          <w:rFonts w:hint="eastAsia" w:ascii="黑体" w:hAnsi="黑体" w:eastAsia="黑体" w:cs="黑体"/>
          <w:color w:val="auto"/>
          <w:spacing w:val="-5"/>
          <w:sz w:val="24"/>
          <w:szCs w:val="24"/>
          <w:u w:val="single"/>
        </w:rPr>
        <w:t>（投标单位名称）</w:t>
      </w:r>
      <w:r>
        <w:rPr>
          <w:rFonts w:hint="eastAsia" w:ascii="黑体" w:hAnsi="黑体" w:eastAsia="黑体" w:cs="黑体"/>
          <w:color w:val="auto"/>
          <w:spacing w:val="-5"/>
          <w:sz w:val="24"/>
          <w:szCs w:val="24"/>
        </w:rPr>
        <w:t>的法定代表人。</w:t>
      </w:r>
    </w:p>
    <w:p w14:paraId="2532502D">
      <w:pPr>
        <w:pStyle w:val="7"/>
        <w:pageBreakBefore w:val="0"/>
        <w:kinsoku w:val="0"/>
        <w:wordWrap w:val="0"/>
        <w:overflowPunct/>
        <w:topLinePunct w:val="0"/>
        <w:autoSpaceDE/>
        <w:autoSpaceDN/>
        <w:bidi w:val="0"/>
        <w:spacing w:line="360" w:lineRule="auto"/>
        <w:ind w:left="50"/>
        <w:rPr>
          <w:rFonts w:hint="eastAsia" w:ascii="黑体" w:hAnsi="黑体" w:eastAsia="黑体" w:cs="黑体"/>
          <w:color w:val="auto"/>
          <w:spacing w:val="-1"/>
          <w:position w:val="28"/>
          <w:sz w:val="24"/>
          <w:szCs w:val="24"/>
        </w:rPr>
      </w:pPr>
      <w:r>
        <w:rPr>
          <w:rFonts w:hint="eastAsia" w:ascii="黑体" w:hAnsi="黑体" w:eastAsia="黑体" w:cs="黑体"/>
          <w:color w:val="auto"/>
          <w:spacing w:val="-1"/>
          <w:position w:val="28"/>
          <w:sz w:val="24"/>
          <w:szCs w:val="24"/>
        </w:rPr>
        <w:t>特此证明。</w:t>
      </w:r>
    </w:p>
    <w:p w14:paraId="3033F32F">
      <w:pPr>
        <w:pStyle w:val="7"/>
        <w:pageBreakBefore w:val="0"/>
        <w:kinsoku w:val="0"/>
        <w:wordWrap w:val="0"/>
        <w:overflowPunct/>
        <w:topLinePunct w:val="0"/>
        <w:autoSpaceDE/>
        <w:autoSpaceDN/>
        <w:bidi w:val="0"/>
        <w:spacing w:line="360" w:lineRule="auto"/>
        <w:ind w:left="50"/>
        <w:rPr>
          <w:rFonts w:hint="eastAsia" w:ascii="黑体" w:hAnsi="黑体" w:eastAsia="黑体" w:cs="黑体"/>
          <w:color w:val="auto"/>
          <w:spacing w:val="-1"/>
          <w:position w:val="28"/>
          <w:sz w:val="24"/>
          <w:szCs w:val="24"/>
          <w:vertAlign w:val="baseline"/>
        </w:rPr>
      </w:pPr>
      <w:r>
        <w:rPr>
          <w:rFonts w:hint="eastAsia" w:ascii="黑体" w:hAnsi="黑体" w:eastAsia="黑体" w:cs="黑体"/>
          <w:color w:val="auto"/>
          <w:spacing w:val="-1"/>
          <w:position w:val="28"/>
          <w:sz w:val="24"/>
          <w:szCs w:val="24"/>
        </w:rPr>
        <w:t>说明：1、法定代表人为企业事业单位、国家机关、社会团体的主要行政负责人</w:t>
      </w:r>
      <w:r>
        <w:rPr>
          <w:rFonts w:hint="eastAsia" w:ascii="黑体" w:hAnsi="黑体" w:eastAsia="黑体" w:cs="黑体"/>
          <w:color w:val="auto"/>
          <w:spacing w:val="-1"/>
          <w:position w:val="28"/>
          <w:sz w:val="24"/>
          <w:szCs w:val="24"/>
          <w:lang w:eastAsia="zh-CN"/>
        </w:rPr>
        <w:t>。</w:t>
      </w:r>
      <w:r>
        <w:rPr>
          <w:rFonts w:hint="eastAsia" w:ascii="黑体" w:hAnsi="黑体" w:eastAsia="黑体" w:cs="黑体"/>
          <w:color w:val="auto"/>
          <w:spacing w:val="-1"/>
          <w:position w:val="28"/>
          <w:sz w:val="24"/>
          <w:szCs w:val="24"/>
        </w:rPr>
        <w:t>2、内容必须填写真实、清楚、涂改无效。</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250"/>
        <w:gridCol w:w="4250"/>
      </w:tblGrid>
      <w:tr w14:paraId="5AF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4250" w:type="dxa"/>
            <w:shd w:val="clear" w:color="auto" w:fill="FFFFFF"/>
          </w:tcPr>
          <w:p w14:paraId="454B04AE">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43158E1E">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2A165D8E">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386B526F">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20F7A53E">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身份证</w:t>
            </w:r>
            <w:r>
              <w:rPr>
                <w:rFonts w:hint="eastAsia" w:ascii="黑体" w:hAnsi="黑体" w:eastAsia="黑体" w:cs="黑体"/>
                <w:color w:val="auto"/>
                <w:sz w:val="24"/>
                <w:szCs w:val="24"/>
                <w:lang w:eastAsia="zh-CN"/>
              </w:rPr>
              <w:t>扫描件</w:t>
            </w:r>
          </w:p>
          <w:p w14:paraId="36108B3F">
            <w:pPr>
              <w:pStyle w:val="7"/>
              <w:pageBreakBefore w:val="0"/>
              <w:widowControl w:val="0"/>
              <w:kinsoku w:val="0"/>
              <w:wordWrap w:val="0"/>
              <w:overflowPunct/>
              <w:topLinePunct w:val="0"/>
              <w:autoSpaceDE/>
              <w:autoSpaceDN/>
              <w:bidi w:val="0"/>
              <w:spacing w:line="360" w:lineRule="auto"/>
              <w:rPr>
                <w:rFonts w:hint="eastAsia" w:ascii="黑体" w:hAnsi="黑体" w:eastAsia="黑体" w:cs="黑体"/>
                <w:color w:val="auto"/>
                <w:spacing w:val="-1"/>
                <w:position w:val="28"/>
                <w:sz w:val="24"/>
                <w:szCs w:val="24"/>
                <w:vertAlign w:val="baseline"/>
              </w:rPr>
            </w:pPr>
          </w:p>
        </w:tc>
        <w:tc>
          <w:tcPr>
            <w:tcW w:w="4250" w:type="dxa"/>
            <w:shd w:val="clear" w:color="auto" w:fill="FFFFFF"/>
          </w:tcPr>
          <w:p w14:paraId="39795DA4">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36F0CFF9">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177FADFE">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5D07F771">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4C310008">
            <w:pPr>
              <w:pageBreakBefore w:val="0"/>
              <w:widowControl w:val="0"/>
              <w:kinsoku w:val="0"/>
              <w:wordWrap w:val="0"/>
              <w:overflowPunct/>
              <w:topLinePunct w:val="0"/>
              <w:autoSpaceDE/>
              <w:autoSpaceDN/>
              <w:bidi w:val="0"/>
              <w:jc w:val="center"/>
              <w:rPr>
                <w:rFonts w:hint="eastAsia" w:ascii="黑体" w:hAnsi="黑体" w:eastAsia="黑体" w:cs="黑体"/>
                <w:color w:val="auto"/>
                <w:lang w:eastAsia="zh-CN"/>
              </w:rPr>
            </w:pPr>
            <w:r>
              <w:rPr>
                <w:rFonts w:hint="eastAsia" w:ascii="黑体" w:hAnsi="黑体" w:eastAsia="黑体" w:cs="黑体"/>
                <w:color w:val="auto"/>
                <w:sz w:val="24"/>
                <w:szCs w:val="24"/>
              </w:rPr>
              <w:t>身份证</w:t>
            </w:r>
            <w:r>
              <w:rPr>
                <w:rFonts w:hint="eastAsia" w:ascii="黑体" w:hAnsi="黑体" w:eastAsia="黑体" w:cs="黑体"/>
                <w:color w:val="auto"/>
                <w:sz w:val="24"/>
                <w:szCs w:val="24"/>
                <w:lang w:eastAsia="zh-CN"/>
              </w:rPr>
              <w:t>扫描件</w:t>
            </w:r>
          </w:p>
          <w:p w14:paraId="6017E50F">
            <w:pPr>
              <w:pStyle w:val="7"/>
              <w:pageBreakBefore w:val="0"/>
              <w:widowControl w:val="0"/>
              <w:kinsoku w:val="0"/>
              <w:wordWrap w:val="0"/>
              <w:overflowPunct/>
              <w:topLinePunct w:val="0"/>
              <w:autoSpaceDE/>
              <w:autoSpaceDN/>
              <w:bidi w:val="0"/>
              <w:spacing w:line="360" w:lineRule="auto"/>
              <w:rPr>
                <w:rFonts w:hint="eastAsia" w:ascii="黑体" w:hAnsi="黑体" w:eastAsia="黑体" w:cs="黑体"/>
                <w:color w:val="auto"/>
                <w:spacing w:val="-1"/>
                <w:position w:val="28"/>
                <w:sz w:val="24"/>
                <w:szCs w:val="24"/>
                <w:vertAlign w:val="baseline"/>
              </w:rPr>
            </w:pPr>
          </w:p>
        </w:tc>
      </w:tr>
    </w:tbl>
    <w:p w14:paraId="272E83B3">
      <w:pPr>
        <w:pStyle w:val="7"/>
        <w:pageBreakBefore w:val="0"/>
        <w:kinsoku w:val="0"/>
        <w:wordWrap w:val="0"/>
        <w:overflowPunct/>
        <w:topLinePunct w:val="0"/>
        <w:autoSpaceDE/>
        <w:autoSpaceDN/>
        <w:bidi w:val="0"/>
        <w:spacing w:before="91" w:line="396"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投标单位名称（盖单位公章</w:t>
      </w:r>
      <w:r>
        <w:rPr>
          <w:rFonts w:hint="eastAsia" w:ascii="黑体" w:hAnsi="黑体" w:eastAsia="黑体" w:cs="黑体"/>
          <w:color w:val="auto"/>
          <w:spacing w:val="4"/>
          <w:sz w:val="24"/>
          <w:szCs w:val="24"/>
        </w:rPr>
        <w:t>）：</w:t>
      </w:r>
      <w:r>
        <w:rPr>
          <w:rFonts w:hint="eastAsia" w:ascii="黑体" w:hAnsi="黑体" w:eastAsia="黑体" w:cs="黑体"/>
          <w:color w:val="auto"/>
          <w:spacing w:val="-4"/>
          <w:sz w:val="24"/>
          <w:szCs w:val="24"/>
          <w:u w:val="single"/>
          <w:lang w:val="en-US" w:eastAsia="zh-CN"/>
        </w:rPr>
        <w:t xml:space="preserve">                            </w:t>
      </w:r>
    </w:p>
    <w:p w14:paraId="28B14346">
      <w:pPr>
        <w:pStyle w:val="7"/>
        <w:pageBreakBefore w:val="0"/>
        <w:kinsoku w:val="0"/>
        <w:wordWrap w:val="0"/>
        <w:overflowPunct/>
        <w:topLinePunct w:val="0"/>
        <w:autoSpaceDE/>
        <w:autoSpaceDN/>
        <w:bidi w:val="0"/>
        <w:spacing w:before="1" w:line="222"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法定代表人(签字或盖章):</w:t>
      </w:r>
      <w:r>
        <w:rPr>
          <w:rFonts w:hint="eastAsia" w:ascii="黑体" w:hAnsi="黑体" w:eastAsia="黑体" w:cs="黑体"/>
          <w:color w:val="auto"/>
          <w:spacing w:val="-4"/>
          <w:sz w:val="24"/>
          <w:szCs w:val="24"/>
          <w:u w:val="single"/>
          <w:lang w:val="en-US" w:eastAsia="zh-CN"/>
        </w:rPr>
        <w:t xml:space="preserve">                                 </w:t>
      </w:r>
    </w:p>
    <w:p w14:paraId="72D83B6E">
      <w:pPr>
        <w:pStyle w:val="7"/>
        <w:pageBreakBefore w:val="0"/>
        <w:kinsoku w:val="0"/>
        <w:wordWrap w:val="0"/>
        <w:overflowPunct/>
        <w:topLinePunct w:val="0"/>
        <w:autoSpaceDE/>
        <w:autoSpaceDN/>
        <w:bidi w:val="0"/>
        <w:spacing w:before="286" w:line="224"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u w:val="none" w:color="auto"/>
          <w:lang w:eastAsia="zh-CN"/>
        </w:rPr>
        <w:t>日期：</w:t>
      </w:r>
      <w:r>
        <w:rPr>
          <w:rFonts w:hint="eastAsia" w:ascii="黑体" w:hAnsi="黑体" w:eastAsia="黑体" w:cs="黑体"/>
          <w:color w:val="auto"/>
          <w:spacing w:val="-4"/>
          <w:sz w:val="24"/>
          <w:szCs w:val="24"/>
          <w:u w:val="single"/>
          <w:lang w:val="en-US" w:eastAsia="zh-CN"/>
        </w:rPr>
        <w:t xml:space="preserve">                            </w:t>
      </w:r>
    </w:p>
    <w:p w14:paraId="539CE118">
      <w:pPr>
        <w:pageBreakBefore w:val="0"/>
        <w:kinsoku w:val="0"/>
        <w:wordWrap w:val="0"/>
        <w:overflowPunct/>
        <w:topLinePunct w:val="0"/>
        <w:autoSpaceDE/>
        <w:autoSpaceDN/>
        <w:bidi w:val="0"/>
        <w:spacing w:line="224" w:lineRule="auto"/>
        <w:ind w:left="0" w:leftChars="0" w:firstLine="0" w:firstLineChars="0"/>
        <w:rPr>
          <w:rFonts w:hint="eastAsia" w:ascii="黑体" w:hAnsi="黑体" w:eastAsia="黑体" w:cs="黑体"/>
          <w:color w:val="auto"/>
          <w:sz w:val="24"/>
          <w:szCs w:val="24"/>
        </w:rPr>
        <w:sectPr>
          <w:footerReference r:id="rId12" w:type="default"/>
          <w:pgSz w:w="11906" w:h="16840"/>
          <w:pgMar w:top="1431" w:right="1785" w:bottom="1126" w:left="1785" w:header="0" w:footer="912" w:gutter="0"/>
          <w:pgNumType w:fmt="decimal"/>
          <w:cols w:space="720" w:num="1"/>
        </w:sectPr>
      </w:pPr>
    </w:p>
    <w:p w14:paraId="1DE4B957">
      <w:pPr>
        <w:pStyle w:val="7"/>
        <w:pageBreakBefore w:val="0"/>
        <w:kinsoku w:val="0"/>
        <w:wordWrap w:val="0"/>
        <w:overflowPunct/>
        <w:topLinePunct w:val="0"/>
        <w:autoSpaceDE/>
        <w:autoSpaceDN/>
        <w:bidi w:val="0"/>
        <w:spacing w:before="194" w:line="222" w:lineRule="auto"/>
        <w:ind w:left="2189"/>
        <w:outlineLvl w:val="6"/>
        <w:rPr>
          <w:rFonts w:hint="eastAsia" w:ascii="黑体" w:hAnsi="黑体" w:eastAsia="黑体" w:cs="黑体"/>
          <w:color w:val="auto"/>
          <w:sz w:val="28"/>
          <w:szCs w:val="28"/>
        </w:rPr>
      </w:pPr>
      <w:r>
        <w:rPr>
          <w:rFonts w:hint="eastAsia" w:ascii="黑体" w:hAnsi="黑体" w:eastAsia="黑体" w:cs="黑体"/>
          <w:color w:val="auto"/>
          <w:sz w:val="28"/>
          <w:szCs w:val="28"/>
        </w:rPr>
        <w:pict>
          <v:shape id="_x0000_s1028" o:spid="_x0000_s1028" o:spt="202" type="#_x0000_t202" style="position:absolute;left:0pt;margin-left:324.1pt;margin-top:411.45pt;height:103.35pt;width:213.3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0EE8EC17">
                  <w:pPr>
                    <w:spacing w:line="20" w:lineRule="exact"/>
                  </w:pPr>
                </w:p>
                <w:p w14:paraId="741628C9">
                  <w:pPr>
                    <w:rPr>
                      <w:rFonts w:ascii="Arial"/>
                      <w:sz w:val="21"/>
                    </w:rPr>
                  </w:pPr>
                </w:p>
              </w:txbxContent>
            </v:textbox>
          </v:shape>
        </w:pict>
      </w:r>
      <w:r>
        <w:rPr>
          <w:rFonts w:hint="eastAsia" w:ascii="黑体" w:hAnsi="黑体" w:eastAsia="黑体" w:cs="黑体"/>
          <w:b/>
          <w:bCs/>
          <w:color w:val="auto"/>
          <w:spacing w:val="-11"/>
          <w:sz w:val="28"/>
          <w:szCs w:val="28"/>
        </w:rPr>
        <w:t>3.2</w:t>
      </w:r>
      <w:r>
        <w:rPr>
          <w:rFonts w:hint="eastAsia" w:ascii="黑体" w:hAnsi="黑体" w:eastAsia="黑体" w:cs="黑体"/>
          <w:color w:val="auto"/>
          <w:spacing w:val="65"/>
          <w:sz w:val="28"/>
          <w:szCs w:val="28"/>
          <w:lang w:eastAsia="zh-CN"/>
        </w:rPr>
        <w:t>、</w:t>
      </w:r>
      <w:r>
        <w:rPr>
          <w:rFonts w:hint="eastAsia" w:ascii="黑体" w:hAnsi="黑体" w:eastAsia="黑体" w:cs="黑体"/>
          <w:b/>
          <w:bCs/>
          <w:color w:val="auto"/>
          <w:spacing w:val="-11"/>
          <w:sz w:val="28"/>
          <w:szCs w:val="28"/>
        </w:rPr>
        <w:t>法定代表人授权委托书</w:t>
      </w:r>
    </w:p>
    <w:p w14:paraId="08B9F645">
      <w:pPr>
        <w:pageBreakBefore w:val="0"/>
        <w:kinsoku w:val="0"/>
        <w:wordWrap w:val="0"/>
        <w:overflowPunct/>
        <w:topLinePunct w:val="0"/>
        <w:autoSpaceDE/>
        <w:autoSpaceDN/>
        <w:bidi w:val="0"/>
        <w:spacing w:line="456" w:lineRule="auto"/>
        <w:rPr>
          <w:rFonts w:hint="eastAsia" w:ascii="黑体" w:hAnsi="黑体" w:eastAsia="黑体" w:cs="黑体"/>
          <w:color w:val="auto"/>
          <w:sz w:val="21"/>
        </w:rPr>
      </w:pPr>
    </w:p>
    <w:p w14:paraId="04557D8E">
      <w:pPr>
        <w:pStyle w:val="7"/>
        <w:keepNext w:val="0"/>
        <w:keepLines w:val="0"/>
        <w:pageBreakBefore w:val="0"/>
        <w:widowControl/>
        <w:kinsoku w:val="0"/>
        <w:wordWrap w:val="0"/>
        <w:overflowPunct/>
        <w:topLinePunct w:val="0"/>
        <w:autoSpaceDE/>
        <w:autoSpaceDN/>
        <w:bidi w:val="0"/>
        <w:adjustRightInd w:val="0"/>
        <w:snapToGrid w:val="0"/>
        <w:spacing w:before="78" w:line="360" w:lineRule="auto"/>
        <w:ind w:left="0" w:leftChars="0" w:right="690" w:firstLine="452" w:firstLineChars="200"/>
        <w:jc w:val="both"/>
        <w:textAlignment w:val="baseline"/>
        <w:rPr>
          <w:rFonts w:hint="eastAsia" w:ascii="黑体" w:hAnsi="黑体" w:eastAsia="黑体" w:cs="黑体"/>
          <w:color w:val="auto"/>
          <w:sz w:val="24"/>
          <w:szCs w:val="24"/>
        </w:rPr>
      </w:pPr>
      <w:r>
        <w:rPr>
          <w:rFonts w:hint="eastAsia" w:ascii="黑体" w:hAnsi="黑体" w:eastAsia="黑体" w:cs="黑体"/>
          <w:color w:val="auto"/>
          <w:spacing w:val="-7"/>
          <w:sz w:val="24"/>
          <w:szCs w:val="24"/>
        </w:rPr>
        <w:t>本授权书声明：注册于</w:t>
      </w:r>
      <w:r>
        <w:rPr>
          <w:rFonts w:hint="eastAsia" w:ascii="黑体" w:hAnsi="黑体" w:eastAsia="黑体" w:cs="黑体"/>
          <w:color w:val="auto"/>
          <w:spacing w:val="-7"/>
          <w:sz w:val="24"/>
          <w:szCs w:val="24"/>
          <w:u w:val="single" w:color="auto"/>
        </w:rPr>
        <w:t>（国家或地区的名称）</w:t>
      </w:r>
      <w:r>
        <w:rPr>
          <w:rFonts w:hint="eastAsia" w:ascii="黑体" w:hAnsi="黑体" w:eastAsia="黑体" w:cs="黑体"/>
          <w:color w:val="auto"/>
          <w:spacing w:val="-7"/>
          <w:sz w:val="24"/>
          <w:szCs w:val="24"/>
        </w:rPr>
        <w:t>的（</w:t>
      </w:r>
      <w:r>
        <w:rPr>
          <w:rFonts w:hint="eastAsia" w:ascii="黑体" w:hAnsi="黑体" w:eastAsia="黑体" w:cs="黑体"/>
          <w:color w:val="auto"/>
          <w:spacing w:val="-7"/>
          <w:sz w:val="24"/>
          <w:szCs w:val="24"/>
          <w:u w:val="single" w:color="auto"/>
        </w:rPr>
        <w:t>供应商</w:t>
      </w:r>
      <w:r>
        <w:rPr>
          <w:rFonts w:hint="eastAsia" w:ascii="黑体" w:hAnsi="黑体" w:eastAsia="黑体" w:cs="黑体"/>
          <w:color w:val="auto"/>
          <w:spacing w:val="-7"/>
          <w:sz w:val="24"/>
          <w:szCs w:val="24"/>
        </w:rPr>
        <w:t>）的在下面签字的（</w:t>
      </w:r>
      <w:r>
        <w:rPr>
          <w:rFonts w:hint="eastAsia" w:ascii="黑体" w:hAnsi="黑体" w:eastAsia="黑体" w:cs="黑体"/>
          <w:color w:val="auto"/>
          <w:spacing w:val="-7"/>
          <w:sz w:val="24"/>
          <w:szCs w:val="24"/>
          <w:u w:val="single" w:color="auto"/>
        </w:rPr>
        <w:t>法</w:t>
      </w:r>
      <w:r>
        <w:rPr>
          <w:rFonts w:hint="eastAsia" w:ascii="黑体" w:hAnsi="黑体" w:eastAsia="黑体" w:cs="黑体"/>
          <w:color w:val="auto"/>
          <w:spacing w:val="-3"/>
          <w:sz w:val="24"/>
          <w:szCs w:val="24"/>
          <w:u w:val="single" w:color="auto"/>
        </w:rPr>
        <w:t>人代表姓名、职务</w:t>
      </w:r>
      <w:r>
        <w:rPr>
          <w:rFonts w:hint="eastAsia" w:ascii="黑体" w:hAnsi="黑体" w:eastAsia="黑体" w:cs="黑体"/>
          <w:color w:val="auto"/>
          <w:spacing w:val="-3"/>
          <w:sz w:val="24"/>
          <w:szCs w:val="24"/>
        </w:rPr>
        <w:t>）代表我单位授权（</w:t>
      </w:r>
      <w:r>
        <w:rPr>
          <w:rFonts w:hint="eastAsia" w:ascii="黑体" w:hAnsi="黑体" w:eastAsia="黑体" w:cs="黑体"/>
          <w:color w:val="auto"/>
          <w:spacing w:val="-3"/>
          <w:sz w:val="24"/>
          <w:szCs w:val="24"/>
          <w:u w:val="single" w:color="auto"/>
        </w:rPr>
        <w:t>单位</w:t>
      </w:r>
      <w:r>
        <w:rPr>
          <w:rFonts w:hint="eastAsia" w:ascii="黑体" w:hAnsi="黑体" w:eastAsia="黑体" w:cs="黑体"/>
          <w:color w:val="auto"/>
          <w:spacing w:val="-4"/>
          <w:sz w:val="24"/>
          <w:szCs w:val="24"/>
          <w:u w:val="single" w:color="auto"/>
        </w:rPr>
        <w:t>名称</w:t>
      </w:r>
      <w:r>
        <w:rPr>
          <w:rFonts w:hint="eastAsia" w:ascii="黑体" w:hAnsi="黑体" w:eastAsia="黑体" w:cs="黑体"/>
          <w:color w:val="auto"/>
          <w:spacing w:val="-4"/>
          <w:sz w:val="24"/>
          <w:szCs w:val="24"/>
        </w:rPr>
        <w:t>）的在下面签字的（</w:t>
      </w:r>
      <w:r>
        <w:rPr>
          <w:rFonts w:hint="eastAsia" w:ascii="黑体" w:hAnsi="黑体" w:eastAsia="黑体" w:cs="黑体"/>
          <w:color w:val="auto"/>
          <w:spacing w:val="-4"/>
          <w:sz w:val="24"/>
          <w:szCs w:val="24"/>
          <w:u w:val="single" w:color="auto"/>
        </w:rPr>
        <w:t>被授权人的姓名、职务</w:t>
      </w:r>
      <w:r>
        <w:rPr>
          <w:rFonts w:hint="eastAsia" w:ascii="黑体" w:hAnsi="黑体" w:eastAsia="黑体" w:cs="黑体"/>
          <w:color w:val="auto"/>
          <w:spacing w:val="-4"/>
          <w:sz w:val="24"/>
          <w:szCs w:val="24"/>
        </w:rPr>
        <w:t>）为我单位的合法代理人，就</w:t>
      </w:r>
      <w:r>
        <w:rPr>
          <w:rFonts w:hint="eastAsia" w:ascii="黑体" w:hAnsi="黑体" w:eastAsia="黑体" w:cs="黑体"/>
          <w:color w:val="auto"/>
          <w:spacing w:val="-4"/>
          <w:sz w:val="24"/>
          <w:szCs w:val="24"/>
          <w:u w:val="single" w:color="auto"/>
        </w:rPr>
        <w:t>项目名称</w:t>
      </w:r>
      <w:r>
        <w:rPr>
          <w:rFonts w:hint="eastAsia" w:ascii="黑体" w:hAnsi="黑体" w:eastAsia="黑体" w:cs="黑体"/>
          <w:color w:val="auto"/>
          <w:spacing w:val="-5"/>
          <w:sz w:val="24"/>
          <w:szCs w:val="24"/>
        </w:rPr>
        <w:t>项目编号（</w:t>
      </w:r>
      <w:r>
        <w:rPr>
          <w:rFonts w:hint="eastAsia" w:ascii="黑体" w:hAnsi="黑体" w:eastAsia="黑体" w:cs="黑体"/>
          <w:color w:val="auto"/>
          <w:spacing w:val="-5"/>
          <w:sz w:val="24"/>
          <w:szCs w:val="24"/>
          <w:u w:val="single" w:color="auto"/>
        </w:rPr>
        <w:t>编号名称</w:t>
      </w:r>
      <w:r>
        <w:rPr>
          <w:rFonts w:hint="eastAsia" w:ascii="黑体" w:hAnsi="黑体" w:eastAsia="黑体" w:cs="黑体"/>
          <w:color w:val="auto"/>
          <w:spacing w:val="-5"/>
          <w:sz w:val="24"/>
          <w:szCs w:val="24"/>
        </w:rPr>
        <w:t>）</w:t>
      </w:r>
      <w:r>
        <w:rPr>
          <w:rFonts w:hint="eastAsia" w:ascii="黑体" w:hAnsi="黑体" w:eastAsia="黑体" w:cs="黑体"/>
          <w:color w:val="auto"/>
          <w:spacing w:val="-5"/>
          <w:sz w:val="24"/>
          <w:szCs w:val="24"/>
          <w:lang w:eastAsia="zh-CN"/>
        </w:rPr>
        <w:t>招标工作</w:t>
      </w:r>
      <w:r>
        <w:rPr>
          <w:rFonts w:hint="eastAsia" w:ascii="黑体" w:hAnsi="黑体" w:eastAsia="黑体" w:cs="黑体"/>
          <w:color w:val="auto"/>
          <w:spacing w:val="-2"/>
          <w:sz w:val="24"/>
          <w:szCs w:val="24"/>
        </w:rPr>
        <w:t>，以我单位名义处理一切与之有关的事务。</w:t>
      </w:r>
    </w:p>
    <w:p w14:paraId="57D55C83">
      <w:pPr>
        <w:pStyle w:val="7"/>
        <w:keepNext w:val="0"/>
        <w:keepLines w:val="0"/>
        <w:pageBreakBefore w:val="0"/>
        <w:widowControl/>
        <w:kinsoku w:val="0"/>
        <w:wordWrap w:val="0"/>
        <w:overflowPunct/>
        <w:topLinePunct w:val="0"/>
        <w:autoSpaceDE/>
        <w:autoSpaceDN/>
        <w:bidi w:val="0"/>
        <w:adjustRightInd w:val="0"/>
        <w:snapToGrid w:val="0"/>
        <w:spacing w:before="78" w:line="222" w:lineRule="auto"/>
        <w:ind w:left="0" w:leftChars="0" w:firstLine="452" w:firstLineChars="200"/>
        <w:textAlignment w:val="baseline"/>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本授权书于年月日签字生效,特此声明。</w:t>
      </w:r>
    </w:p>
    <w:p w14:paraId="06B75E27">
      <w:pPr>
        <w:pageBreakBefore w:val="0"/>
        <w:kinsoku w:val="0"/>
        <w:wordWrap w:val="0"/>
        <w:overflowPunct/>
        <w:topLinePunct w:val="0"/>
        <w:autoSpaceDE/>
        <w:autoSpaceDN/>
        <w:bidi w:val="0"/>
        <w:rPr>
          <w:rFonts w:hint="eastAsia" w:ascii="黑体" w:hAnsi="黑体" w:eastAsia="黑体" w:cs="黑体"/>
          <w:color w:val="auto"/>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240"/>
        <w:gridCol w:w="4240"/>
      </w:tblGrid>
      <w:tr w14:paraId="74D6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21" w:hRule="atLeast"/>
        </w:trPr>
        <w:tc>
          <w:tcPr>
            <w:tcW w:w="4240" w:type="dxa"/>
            <w:shd w:val="clear" w:color="auto" w:fill="FFFFFF"/>
          </w:tcPr>
          <w:p w14:paraId="65F79183">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40155BCF">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76748AD9">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731FF584">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06F3489F">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rPr>
              <w:t>身份证</w:t>
            </w:r>
            <w:r>
              <w:rPr>
                <w:rFonts w:hint="eastAsia" w:ascii="黑体" w:hAnsi="黑体" w:eastAsia="黑体" w:cs="黑体"/>
                <w:color w:val="auto"/>
                <w:sz w:val="24"/>
                <w:szCs w:val="24"/>
                <w:lang w:eastAsia="zh-CN"/>
              </w:rPr>
              <w:t>扫描件</w:t>
            </w:r>
          </w:p>
          <w:p w14:paraId="7A2A8A67">
            <w:pPr>
              <w:pStyle w:val="7"/>
              <w:pageBreakBefore w:val="0"/>
              <w:widowControl w:val="0"/>
              <w:kinsoku w:val="0"/>
              <w:wordWrap w:val="0"/>
              <w:overflowPunct/>
              <w:topLinePunct w:val="0"/>
              <w:autoSpaceDE/>
              <w:autoSpaceDN/>
              <w:bidi w:val="0"/>
              <w:spacing w:line="360" w:lineRule="auto"/>
              <w:rPr>
                <w:rFonts w:hint="eastAsia" w:ascii="黑体" w:hAnsi="黑体" w:eastAsia="黑体" w:cs="黑体"/>
                <w:color w:val="auto"/>
                <w:spacing w:val="-1"/>
                <w:position w:val="28"/>
                <w:sz w:val="24"/>
                <w:szCs w:val="24"/>
                <w:vertAlign w:val="baseline"/>
              </w:rPr>
            </w:pPr>
          </w:p>
        </w:tc>
        <w:tc>
          <w:tcPr>
            <w:tcW w:w="4240" w:type="dxa"/>
            <w:shd w:val="clear" w:color="auto" w:fill="FFFFFF"/>
          </w:tcPr>
          <w:p w14:paraId="1BC22865">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02A66068">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383C08AA">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5690E73A">
            <w:pPr>
              <w:pageBreakBefore w:val="0"/>
              <w:widowControl w:val="0"/>
              <w:kinsoku w:val="0"/>
              <w:wordWrap w:val="0"/>
              <w:overflowPunct/>
              <w:topLinePunct w:val="0"/>
              <w:autoSpaceDE/>
              <w:autoSpaceDN/>
              <w:bidi w:val="0"/>
              <w:jc w:val="center"/>
              <w:rPr>
                <w:rFonts w:hint="eastAsia" w:ascii="黑体" w:hAnsi="黑体" w:eastAsia="黑体" w:cs="黑体"/>
                <w:color w:val="auto"/>
                <w:sz w:val="24"/>
                <w:szCs w:val="24"/>
              </w:rPr>
            </w:pPr>
          </w:p>
          <w:p w14:paraId="3B28B05B">
            <w:pPr>
              <w:pageBreakBefore w:val="0"/>
              <w:widowControl w:val="0"/>
              <w:kinsoku w:val="0"/>
              <w:wordWrap w:val="0"/>
              <w:overflowPunct/>
              <w:topLinePunct w:val="0"/>
              <w:autoSpaceDE/>
              <w:autoSpaceDN/>
              <w:bidi w:val="0"/>
              <w:jc w:val="center"/>
              <w:rPr>
                <w:rFonts w:hint="eastAsia" w:ascii="黑体" w:hAnsi="黑体" w:eastAsia="黑体" w:cs="黑体"/>
                <w:color w:val="auto"/>
                <w:lang w:eastAsia="zh-CN"/>
              </w:rPr>
            </w:pPr>
            <w:r>
              <w:rPr>
                <w:rFonts w:hint="eastAsia" w:ascii="黑体" w:hAnsi="黑体" w:eastAsia="黑体" w:cs="黑体"/>
                <w:color w:val="auto"/>
                <w:sz w:val="24"/>
                <w:szCs w:val="24"/>
              </w:rPr>
              <w:t>身份证</w:t>
            </w:r>
            <w:r>
              <w:rPr>
                <w:rFonts w:hint="eastAsia" w:ascii="黑体" w:hAnsi="黑体" w:eastAsia="黑体" w:cs="黑体"/>
                <w:color w:val="auto"/>
                <w:sz w:val="24"/>
                <w:szCs w:val="24"/>
                <w:lang w:eastAsia="zh-CN"/>
              </w:rPr>
              <w:t>扫描件</w:t>
            </w:r>
          </w:p>
          <w:p w14:paraId="4E2C2318">
            <w:pPr>
              <w:pStyle w:val="7"/>
              <w:pageBreakBefore w:val="0"/>
              <w:widowControl w:val="0"/>
              <w:kinsoku w:val="0"/>
              <w:wordWrap w:val="0"/>
              <w:overflowPunct/>
              <w:topLinePunct w:val="0"/>
              <w:autoSpaceDE/>
              <w:autoSpaceDN/>
              <w:bidi w:val="0"/>
              <w:spacing w:line="360" w:lineRule="auto"/>
              <w:rPr>
                <w:rFonts w:hint="eastAsia" w:ascii="黑体" w:hAnsi="黑体" w:eastAsia="黑体" w:cs="黑体"/>
                <w:color w:val="auto"/>
                <w:spacing w:val="-1"/>
                <w:position w:val="28"/>
                <w:sz w:val="24"/>
                <w:szCs w:val="24"/>
                <w:vertAlign w:val="baseline"/>
              </w:rPr>
            </w:pPr>
            <w:r>
              <w:rPr>
                <w:rFonts w:hint="eastAsia" w:ascii="黑体" w:hAnsi="黑体" w:eastAsia="黑体" w:cs="黑体"/>
                <w:color w:val="auto"/>
              </w:rPr>
              <w:pict>
                <v:shape id="_x0000_s1027" o:spid="_x0000_s1027" o:spt="202" type="#_x0000_t202" style="position:absolute;left:0pt;margin-left:41.4pt;margin-top:82.8pt;height:58.95pt;width:6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59B15639">
                        <w:pPr>
                          <w:spacing w:line="20" w:lineRule="exact"/>
                        </w:pPr>
                      </w:p>
                    </w:txbxContent>
                  </v:textbox>
                </v:shape>
              </w:pict>
            </w:r>
          </w:p>
        </w:tc>
      </w:tr>
      <w:tr w14:paraId="556F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38" w:hRule="atLeast"/>
        </w:trPr>
        <w:tc>
          <w:tcPr>
            <w:tcW w:w="4240" w:type="dxa"/>
            <w:shd w:val="clear" w:color="auto" w:fill="FFFFFF"/>
          </w:tcPr>
          <w:p w14:paraId="5689EB4E">
            <w:pPr>
              <w:pStyle w:val="7"/>
              <w:pageBreakBefore w:val="0"/>
              <w:widowControl w:val="0"/>
              <w:kinsoku w:val="0"/>
              <w:wordWrap w:val="0"/>
              <w:overflowPunct/>
              <w:topLinePunct w:val="0"/>
              <w:autoSpaceDE/>
              <w:autoSpaceDN/>
              <w:bidi w:val="0"/>
              <w:spacing w:line="360" w:lineRule="auto"/>
              <w:jc w:val="center"/>
              <w:rPr>
                <w:rFonts w:hint="eastAsia" w:ascii="黑体" w:hAnsi="黑体" w:eastAsia="黑体" w:cs="黑体"/>
                <w:color w:val="auto"/>
                <w:sz w:val="24"/>
                <w:szCs w:val="24"/>
              </w:rPr>
            </w:pPr>
          </w:p>
          <w:p w14:paraId="07728F19">
            <w:pPr>
              <w:pStyle w:val="7"/>
              <w:pageBreakBefore w:val="0"/>
              <w:widowControl w:val="0"/>
              <w:kinsoku w:val="0"/>
              <w:wordWrap w:val="0"/>
              <w:overflowPunct/>
              <w:topLinePunct w:val="0"/>
              <w:autoSpaceDE/>
              <w:autoSpaceDN/>
              <w:bidi w:val="0"/>
              <w:spacing w:line="360" w:lineRule="auto"/>
              <w:jc w:val="center"/>
              <w:rPr>
                <w:rFonts w:hint="eastAsia" w:ascii="黑体" w:hAnsi="黑体" w:eastAsia="黑体" w:cs="黑体"/>
                <w:color w:val="auto"/>
                <w:sz w:val="24"/>
                <w:szCs w:val="24"/>
              </w:rPr>
            </w:pPr>
          </w:p>
          <w:p w14:paraId="431CE70D">
            <w:pPr>
              <w:pStyle w:val="7"/>
              <w:pageBreakBefore w:val="0"/>
              <w:widowControl w:val="0"/>
              <w:kinsoku w:val="0"/>
              <w:wordWrap w:val="0"/>
              <w:overflowPunct/>
              <w:topLinePunct w:val="0"/>
              <w:autoSpaceDE/>
              <w:autoSpaceDN/>
              <w:bidi w:val="0"/>
              <w:spacing w:line="360" w:lineRule="auto"/>
              <w:jc w:val="center"/>
              <w:rPr>
                <w:rFonts w:hint="eastAsia" w:ascii="黑体" w:hAnsi="黑体" w:eastAsia="黑体" w:cs="黑体"/>
                <w:color w:val="auto"/>
                <w:spacing w:val="-1"/>
                <w:position w:val="28"/>
                <w:sz w:val="24"/>
                <w:szCs w:val="24"/>
                <w:vertAlign w:val="baseline"/>
              </w:rPr>
            </w:pPr>
            <w:r>
              <w:rPr>
                <w:rFonts w:hint="eastAsia" w:ascii="黑体" w:hAnsi="黑体" w:eastAsia="黑体" w:cs="黑体"/>
                <w:color w:val="auto"/>
                <w:sz w:val="24"/>
                <w:szCs w:val="24"/>
              </w:rPr>
              <w:t>身份证</w:t>
            </w:r>
            <w:r>
              <w:rPr>
                <w:rFonts w:hint="eastAsia" w:ascii="黑体" w:hAnsi="黑体" w:eastAsia="黑体" w:cs="黑体"/>
                <w:color w:val="auto"/>
                <w:sz w:val="24"/>
                <w:szCs w:val="24"/>
                <w:lang w:eastAsia="zh-CN"/>
              </w:rPr>
              <w:t>扫描件</w:t>
            </w:r>
          </w:p>
        </w:tc>
        <w:tc>
          <w:tcPr>
            <w:tcW w:w="4240" w:type="dxa"/>
            <w:shd w:val="clear" w:color="auto" w:fill="FFFFFF"/>
          </w:tcPr>
          <w:p w14:paraId="4930BFB0">
            <w:pPr>
              <w:pStyle w:val="7"/>
              <w:pageBreakBefore w:val="0"/>
              <w:widowControl w:val="0"/>
              <w:kinsoku w:val="0"/>
              <w:wordWrap w:val="0"/>
              <w:overflowPunct/>
              <w:topLinePunct w:val="0"/>
              <w:autoSpaceDE/>
              <w:autoSpaceDN/>
              <w:bidi w:val="0"/>
              <w:spacing w:line="360" w:lineRule="auto"/>
              <w:jc w:val="center"/>
              <w:rPr>
                <w:rFonts w:hint="eastAsia" w:ascii="黑体" w:hAnsi="黑体" w:eastAsia="黑体" w:cs="黑体"/>
                <w:color w:val="auto"/>
                <w:sz w:val="24"/>
                <w:szCs w:val="24"/>
              </w:rPr>
            </w:pPr>
          </w:p>
          <w:p w14:paraId="7E000E1B">
            <w:pPr>
              <w:pStyle w:val="7"/>
              <w:pageBreakBefore w:val="0"/>
              <w:widowControl w:val="0"/>
              <w:kinsoku w:val="0"/>
              <w:wordWrap w:val="0"/>
              <w:overflowPunct/>
              <w:topLinePunct w:val="0"/>
              <w:autoSpaceDE/>
              <w:autoSpaceDN/>
              <w:bidi w:val="0"/>
              <w:spacing w:line="360" w:lineRule="auto"/>
              <w:jc w:val="center"/>
              <w:rPr>
                <w:rFonts w:hint="eastAsia" w:ascii="黑体" w:hAnsi="黑体" w:eastAsia="黑体" w:cs="黑体"/>
                <w:color w:val="auto"/>
                <w:sz w:val="24"/>
                <w:szCs w:val="24"/>
              </w:rPr>
            </w:pPr>
          </w:p>
          <w:p w14:paraId="07DFCE0F">
            <w:pPr>
              <w:pStyle w:val="7"/>
              <w:pageBreakBefore w:val="0"/>
              <w:widowControl w:val="0"/>
              <w:kinsoku w:val="0"/>
              <w:wordWrap w:val="0"/>
              <w:overflowPunct/>
              <w:topLinePunct w:val="0"/>
              <w:autoSpaceDE/>
              <w:autoSpaceDN/>
              <w:bidi w:val="0"/>
              <w:spacing w:line="360" w:lineRule="auto"/>
              <w:jc w:val="center"/>
              <w:rPr>
                <w:rFonts w:hint="eastAsia" w:ascii="黑体" w:hAnsi="黑体" w:eastAsia="黑体" w:cs="黑体"/>
                <w:color w:val="auto"/>
                <w:spacing w:val="-1"/>
                <w:position w:val="28"/>
                <w:sz w:val="24"/>
                <w:szCs w:val="24"/>
                <w:vertAlign w:val="baseline"/>
              </w:rPr>
            </w:pPr>
            <w:r>
              <w:rPr>
                <w:rFonts w:hint="eastAsia" w:ascii="黑体" w:hAnsi="黑体" w:eastAsia="黑体" w:cs="黑体"/>
                <w:color w:val="auto"/>
                <w:sz w:val="24"/>
                <w:szCs w:val="24"/>
              </w:rPr>
              <w:t>身份证</w:t>
            </w:r>
            <w:r>
              <w:rPr>
                <w:rFonts w:hint="eastAsia" w:ascii="黑体" w:hAnsi="黑体" w:eastAsia="黑体" w:cs="黑体"/>
                <w:color w:val="auto"/>
                <w:sz w:val="24"/>
                <w:szCs w:val="24"/>
                <w:lang w:eastAsia="zh-CN"/>
              </w:rPr>
              <w:t>扫描件</w:t>
            </w:r>
          </w:p>
        </w:tc>
      </w:tr>
    </w:tbl>
    <w:p w14:paraId="3E412830">
      <w:pPr>
        <w:pStyle w:val="7"/>
        <w:pageBreakBefore w:val="0"/>
        <w:kinsoku w:val="0"/>
        <w:wordWrap w:val="0"/>
        <w:overflowPunct/>
        <w:topLinePunct w:val="0"/>
        <w:autoSpaceDE/>
        <w:autoSpaceDN/>
        <w:bidi w:val="0"/>
        <w:spacing w:before="78" w:line="360" w:lineRule="auto"/>
        <w:ind w:left="0" w:leftChars="0" w:firstLine="0" w:firstLineChars="0"/>
        <w:jc w:val="both"/>
        <w:rPr>
          <w:rFonts w:hint="eastAsia" w:ascii="黑体" w:hAnsi="黑体" w:eastAsia="黑体" w:cs="黑体"/>
          <w:color w:val="auto"/>
          <w:sz w:val="24"/>
          <w:szCs w:val="24"/>
          <w:u w:val="single"/>
        </w:rPr>
      </w:pPr>
      <w:r>
        <w:rPr>
          <w:rFonts w:hint="eastAsia" w:ascii="黑体" w:hAnsi="黑体" w:eastAsia="黑体" w:cs="黑体"/>
          <w:color w:val="auto"/>
          <w:spacing w:val="-4"/>
          <w:sz w:val="24"/>
          <w:szCs w:val="24"/>
        </w:rPr>
        <w:t>供应商（盖单位公章）</w:t>
      </w:r>
      <w:r>
        <w:rPr>
          <w:rFonts w:hint="eastAsia" w:ascii="黑体" w:hAnsi="黑体" w:eastAsia="黑体" w:cs="黑体"/>
          <w:color w:val="auto"/>
          <w:spacing w:val="-4"/>
          <w:sz w:val="24"/>
          <w:szCs w:val="24"/>
          <w:lang w:eastAsia="zh-CN"/>
        </w:rPr>
        <w:t>：</w:t>
      </w:r>
      <w:r>
        <w:rPr>
          <w:rFonts w:hint="eastAsia" w:ascii="黑体" w:hAnsi="黑体" w:eastAsia="黑体" w:cs="黑体"/>
          <w:color w:val="auto"/>
          <w:spacing w:val="-4"/>
          <w:sz w:val="24"/>
          <w:szCs w:val="24"/>
          <w:u w:val="single"/>
          <w:lang w:val="en-US" w:eastAsia="zh-CN"/>
        </w:rPr>
        <w:t xml:space="preserve">                            </w:t>
      </w:r>
    </w:p>
    <w:p w14:paraId="484B17F7">
      <w:pPr>
        <w:pStyle w:val="7"/>
        <w:pageBreakBefore w:val="0"/>
        <w:kinsoku w:val="0"/>
        <w:wordWrap w:val="0"/>
        <w:overflowPunct/>
        <w:topLinePunct w:val="0"/>
        <w:autoSpaceDE/>
        <w:autoSpaceDN/>
        <w:bidi w:val="0"/>
        <w:spacing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5"/>
          <w:sz w:val="24"/>
          <w:szCs w:val="24"/>
        </w:rPr>
        <w:t>法定代表人（签字或签章</w:t>
      </w:r>
      <w:r>
        <w:rPr>
          <w:rFonts w:hint="eastAsia" w:ascii="黑体" w:hAnsi="黑体" w:eastAsia="黑体" w:cs="黑体"/>
          <w:color w:val="auto"/>
          <w:spacing w:val="3"/>
          <w:sz w:val="24"/>
          <w:szCs w:val="24"/>
        </w:rPr>
        <w:t>）：</w:t>
      </w:r>
      <w:r>
        <w:rPr>
          <w:rFonts w:hint="eastAsia" w:ascii="黑体" w:hAnsi="黑体" w:eastAsia="黑体" w:cs="黑体"/>
          <w:color w:val="auto"/>
          <w:spacing w:val="-4"/>
          <w:sz w:val="24"/>
          <w:szCs w:val="24"/>
          <w:u w:val="single"/>
          <w:lang w:val="en-US" w:eastAsia="zh-CN"/>
        </w:rPr>
        <w:t xml:space="preserve">                            </w:t>
      </w:r>
    </w:p>
    <w:p w14:paraId="504CA85B">
      <w:pPr>
        <w:pStyle w:val="7"/>
        <w:pageBreakBefore w:val="0"/>
        <w:kinsoku w:val="0"/>
        <w:wordWrap w:val="0"/>
        <w:overflowPunct/>
        <w:topLinePunct w:val="0"/>
        <w:autoSpaceDE/>
        <w:autoSpaceDN/>
        <w:bidi w:val="0"/>
        <w:spacing w:before="24" w:line="360" w:lineRule="auto"/>
        <w:ind w:left="0" w:leftChars="0" w:firstLine="0" w:firstLineChars="0"/>
        <w:jc w:val="both"/>
        <w:rPr>
          <w:rFonts w:hint="eastAsia" w:ascii="黑体" w:hAnsi="黑体" w:eastAsia="黑体" w:cs="黑体"/>
          <w:color w:val="auto"/>
          <w:spacing w:val="-4"/>
          <w:sz w:val="24"/>
          <w:szCs w:val="24"/>
          <w:u w:val="single"/>
          <w:lang w:val="en-US" w:eastAsia="zh-CN"/>
        </w:rPr>
      </w:pPr>
      <w:r>
        <w:rPr>
          <w:rFonts w:hint="eastAsia" w:ascii="黑体" w:hAnsi="黑体" w:eastAsia="黑体" w:cs="黑体"/>
          <w:color w:val="auto"/>
          <w:spacing w:val="-4"/>
          <w:sz w:val="24"/>
          <w:szCs w:val="24"/>
          <w:u w:val="single" w:color="EEECE1"/>
        </w:rPr>
        <w:t>身份证号码</w:t>
      </w:r>
      <w:r>
        <w:rPr>
          <w:rFonts w:hint="eastAsia" w:ascii="黑体" w:hAnsi="黑体" w:eastAsia="黑体" w:cs="黑体"/>
          <w:color w:val="auto"/>
          <w:spacing w:val="-4"/>
          <w:sz w:val="24"/>
          <w:szCs w:val="24"/>
        </w:rPr>
        <w:t>：</w:t>
      </w:r>
      <w:r>
        <w:rPr>
          <w:rFonts w:hint="eastAsia" w:ascii="黑体" w:hAnsi="黑体" w:eastAsia="黑体" w:cs="黑体"/>
          <w:color w:val="auto"/>
          <w:spacing w:val="-4"/>
          <w:sz w:val="24"/>
          <w:szCs w:val="24"/>
          <w:u w:val="single"/>
          <w:lang w:val="en-US" w:eastAsia="zh-CN"/>
        </w:rPr>
        <w:t xml:space="preserve">                            </w:t>
      </w:r>
    </w:p>
    <w:p w14:paraId="2E8166C0">
      <w:pPr>
        <w:pStyle w:val="7"/>
        <w:pageBreakBefore w:val="0"/>
        <w:kinsoku w:val="0"/>
        <w:wordWrap w:val="0"/>
        <w:overflowPunct/>
        <w:topLinePunct w:val="0"/>
        <w:autoSpaceDE/>
        <w:autoSpaceDN/>
        <w:bidi w:val="0"/>
        <w:spacing w:before="24"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8"/>
          <w:sz w:val="24"/>
          <w:szCs w:val="24"/>
        </w:rPr>
        <w:t>委托代理人：</w:t>
      </w:r>
      <w:r>
        <w:rPr>
          <w:rFonts w:hint="eastAsia" w:ascii="黑体" w:hAnsi="黑体" w:eastAsia="黑体" w:cs="黑体"/>
          <w:color w:val="auto"/>
          <w:spacing w:val="-4"/>
          <w:sz w:val="24"/>
          <w:szCs w:val="24"/>
          <w:u w:val="single"/>
          <w:lang w:val="en-US" w:eastAsia="zh-CN"/>
        </w:rPr>
        <w:t xml:space="preserve">                            </w:t>
      </w:r>
    </w:p>
    <w:p w14:paraId="67634FDF">
      <w:pPr>
        <w:pStyle w:val="7"/>
        <w:pageBreakBefore w:val="0"/>
        <w:kinsoku w:val="0"/>
        <w:wordWrap w:val="0"/>
        <w:overflowPunct/>
        <w:topLinePunct w:val="0"/>
        <w:autoSpaceDE/>
        <w:autoSpaceDN/>
        <w:bidi w:val="0"/>
        <w:spacing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4"/>
          <w:sz w:val="24"/>
          <w:szCs w:val="24"/>
        </w:rPr>
        <w:t>身份证号码：</w:t>
      </w:r>
      <w:r>
        <w:rPr>
          <w:rFonts w:hint="eastAsia" w:ascii="黑体" w:hAnsi="黑体" w:eastAsia="黑体" w:cs="黑体"/>
          <w:color w:val="auto"/>
          <w:spacing w:val="-4"/>
          <w:sz w:val="24"/>
          <w:szCs w:val="24"/>
          <w:u w:val="single"/>
          <w:lang w:val="en-US" w:eastAsia="zh-CN"/>
        </w:rPr>
        <w:t xml:space="preserve">                            </w:t>
      </w:r>
    </w:p>
    <w:p w14:paraId="3FD4FCD8">
      <w:pPr>
        <w:pStyle w:val="7"/>
        <w:pageBreakBefore w:val="0"/>
        <w:kinsoku w:val="0"/>
        <w:wordWrap w:val="0"/>
        <w:overflowPunct/>
        <w:topLinePunct w:val="0"/>
        <w:autoSpaceDE/>
        <w:autoSpaceDN/>
        <w:bidi w:val="0"/>
        <w:spacing w:before="21"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4"/>
          <w:sz w:val="24"/>
          <w:szCs w:val="24"/>
        </w:rPr>
        <w:t>详细通讯地址：</w:t>
      </w:r>
      <w:r>
        <w:rPr>
          <w:rFonts w:hint="eastAsia" w:ascii="黑体" w:hAnsi="黑体" w:eastAsia="黑体" w:cs="黑体"/>
          <w:color w:val="auto"/>
          <w:spacing w:val="-4"/>
          <w:sz w:val="24"/>
          <w:szCs w:val="24"/>
          <w:u w:val="single"/>
          <w:lang w:val="en-US" w:eastAsia="zh-CN"/>
        </w:rPr>
        <w:t xml:space="preserve">                            </w:t>
      </w:r>
    </w:p>
    <w:p w14:paraId="38C12165">
      <w:pPr>
        <w:pStyle w:val="7"/>
        <w:pageBreakBefore w:val="0"/>
        <w:kinsoku w:val="0"/>
        <w:wordWrap w:val="0"/>
        <w:overflowPunct/>
        <w:topLinePunct w:val="0"/>
        <w:autoSpaceDE/>
        <w:autoSpaceDN/>
        <w:bidi w:val="0"/>
        <w:spacing w:before="24"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22"/>
          <w:sz w:val="24"/>
          <w:szCs w:val="24"/>
        </w:rPr>
        <w:t>邮政编码：</w:t>
      </w:r>
      <w:r>
        <w:rPr>
          <w:rFonts w:hint="eastAsia" w:ascii="黑体" w:hAnsi="黑体" w:eastAsia="黑体" w:cs="黑体"/>
          <w:color w:val="auto"/>
          <w:spacing w:val="-4"/>
          <w:sz w:val="24"/>
          <w:szCs w:val="24"/>
          <w:u w:val="single"/>
          <w:lang w:val="en-US" w:eastAsia="zh-CN"/>
        </w:rPr>
        <w:t xml:space="preserve">                            </w:t>
      </w:r>
    </w:p>
    <w:p w14:paraId="2B18997A">
      <w:pPr>
        <w:pStyle w:val="7"/>
        <w:pageBreakBefore w:val="0"/>
        <w:kinsoku w:val="0"/>
        <w:wordWrap w:val="0"/>
        <w:overflowPunct/>
        <w:topLinePunct w:val="0"/>
        <w:autoSpaceDE/>
        <w:autoSpaceDN/>
        <w:bidi w:val="0"/>
        <w:spacing w:before="26"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25"/>
          <w:sz w:val="24"/>
          <w:szCs w:val="24"/>
        </w:rPr>
        <w:t>传真：</w:t>
      </w:r>
      <w:r>
        <w:rPr>
          <w:rFonts w:hint="eastAsia" w:ascii="黑体" w:hAnsi="黑体" w:eastAsia="黑体" w:cs="黑体"/>
          <w:color w:val="auto"/>
          <w:spacing w:val="-4"/>
          <w:sz w:val="24"/>
          <w:szCs w:val="24"/>
          <w:u w:val="single"/>
          <w:lang w:val="en-US" w:eastAsia="zh-CN"/>
        </w:rPr>
        <w:t xml:space="preserve">                            </w:t>
      </w:r>
    </w:p>
    <w:p w14:paraId="4B1F035C">
      <w:pPr>
        <w:pStyle w:val="7"/>
        <w:pageBreakBefore w:val="0"/>
        <w:kinsoku w:val="0"/>
        <w:wordWrap w:val="0"/>
        <w:overflowPunct/>
        <w:topLinePunct w:val="0"/>
        <w:autoSpaceDE/>
        <w:autoSpaceDN/>
        <w:bidi w:val="0"/>
        <w:spacing w:before="20"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27"/>
          <w:sz w:val="24"/>
          <w:szCs w:val="24"/>
        </w:rPr>
        <w:t>电话：</w:t>
      </w:r>
      <w:r>
        <w:rPr>
          <w:rFonts w:hint="eastAsia" w:ascii="黑体" w:hAnsi="黑体" w:eastAsia="黑体" w:cs="黑体"/>
          <w:color w:val="auto"/>
          <w:spacing w:val="-4"/>
          <w:sz w:val="24"/>
          <w:szCs w:val="24"/>
          <w:u w:val="single"/>
          <w:lang w:val="en-US" w:eastAsia="zh-CN"/>
        </w:rPr>
        <w:t xml:space="preserve">                            </w:t>
      </w:r>
    </w:p>
    <w:p w14:paraId="534961DF">
      <w:pPr>
        <w:pageBreakBefore w:val="0"/>
        <w:kinsoku w:val="0"/>
        <w:wordWrap w:val="0"/>
        <w:overflowPunct/>
        <w:topLinePunct w:val="0"/>
        <w:autoSpaceDE/>
        <w:autoSpaceDN/>
        <w:bidi w:val="0"/>
        <w:spacing w:line="360" w:lineRule="auto"/>
        <w:ind w:left="0" w:leftChars="0" w:firstLine="0" w:firstLineChars="0"/>
        <w:jc w:val="both"/>
        <w:rPr>
          <w:rFonts w:hint="eastAsia" w:ascii="黑体" w:hAnsi="黑体" w:eastAsia="黑体" w:cs="黑体"/>
          <w:color w:val="auto"/>
          <w:sz w:val="24"/>
          <w:szCs w:val="24"/>
        </w:rPr>
        <w:sectPr>
          <w:footerReference r:id="rId13" w:type="default"/>
          <w:pgSz w:w="11906" w:h="16840"/>
          <w:pgMar w:top="1431" w:right="1102" w:bottom="1126" w:left="1597" w:header="0" w:footer="912" w:gutter="0"/>
          <w:pgNumType w:fmt="decimal"/>
          <w:cols w:space="720" w:num="1"/>
        </w:sectPr>
      </w:pPr>
    </w:p>
    <w:p w14:paraId="079F7F09">
      <w:pPr>
        <w:pStyle w:val="7"/>
        <w:pageBreakBefore w:val="0"/>
        <w:kinsoku w:val="0"/>
        <w:wordWrap w:val="0"/>
        <w:overflowPunct/>
        <w:topLinePunct w:val="0"/>
        <w:autoSpaceDE/>
        <w:autoSpaceDN/>
        <w:bidi w:val="0"/>
        <w:spacing w:before="97" w:line="360" w:lineRule="auto"/>
        <w:ind w:left="0" w:leftChars="0" w:firstLine="0" w:firstLineChars="0"/>
        <w:jc w:val="center"/>
        <w:rPr>
          <w:rFonts w:hint="eastAsia" w:ascii="黑体" w:hAnsi="黑体" w:eastAsia="黑体" w:cs="黑体"/>
          <w:b/>
          <w:bCs/>
          <w:color w:val="auto"/>
          <w:spacing w:val="-2"/>
          <w:sz w:val="28"/>
          <w:szCs w:val="28"/>
        </w:rPr>
      </w:pPr>
      <w:r>
        <w:rPr>
          <w:rFonts w:hint="eastAsia" w:ascii="黑体" w:hAnsi="黑体" w:eastAsia="黑体" w:cs="黑体"/>
          <w:b/>
          <w:bCs/>
          <w:color w:val="auto"/>
          <w:spacing w:val="-2"/>
          <w:sz w:val="28"/>
          <w:szCs w:val="28"/>
        </w:rPr>
        <w:t>4、</w:t>
      </w:r>
      <w:r>
        <w:rPr>
          <w:rFonts w:hint="eastAsia" w:ascii="黑体" w:hAnsi="黑体" w:eastAsia="黑体" w:cs="黑体"/>
          <w:b/>
          <w:bCs/>
          <w:color w:val="auto"/>
          <w:spacing w:val="-2"/>
          <w:sz w:val="28"/>
          <w:szCs w:val="28"/>
          <w:lang w:eastAsia="zh-CN"/>
        </w:rPr>
        <w:t>提供本单位缴纳的近六个月任意一个月社保缴纳证明</w:t>
      </w:r>
      <w:r>
        <w:rPr>
          <w:rFonts w:hint="eastAsia" w:ascii="黑体" w:hAnsi="黑体" w:eastAsia="黑体" w:cs="黑体"/>
          <w:b/>
          <w:bCs/>
          <w:color w:val="auto"/>
          <w:spacing w:val="-2"/>
          <w:sz w:val="28"/>
          <w:szCs w:val="28"/>
        </w:rPr>
        <w:t>；</w:t>
      </w:r>
    </w:p>
    <w:p w14:paraId="76EAB509">
      <w:pPr>
        <w:pStyle w:val="7"/>
        <w:pageBreakBefore w:val="0"/>
        <w:kinsoku w:val="0"/>
        <w:wordWrap w:val="0"/>
        <w:overflowPunct/>
        <w:topLinePunct w:val="0"/>
        <w:autoSpaceDE/>
        <w:autoSpaceDN/>
        <w:bidi w:val="0"/>
        <w:spacing w:before="97" w:line="221" w:lineRule="auto"/>
        <w:jc w:val="right"/>
        <w:outlineLvl w:val="9"/>
        <w:rPr>
          <w:rFonts w:hint="eastAsia" w:ascii="黑体" w:hAnsi="黑体" w:eastAsia="黑体" w:cs="黑体"/>
          <w:b/>
          <w:bCs/>
          <w:color w:val="auto"/>
          <w:spacing w:val="-6"/>
          <w:sz w:val="30"/>
          <w:szCs w:val="30"/>
        </w:rPr>
      </w:pPr>
    </w:p>
    <w:p w14:paraId="4562FC7A">
      <w:pPr>
        <w:pStyle w:val="7"/>
        <w:pageBreakBefore w:val="0"/>
        <w:kinsoku w:val="0"/>
        <w:wordWrap w:val="0"/>
        <w:overflowPunct/>
        <w:topLinePunct w:val="0"/>
        <w:autoSpaceDE/>
        <w:autoSpaceDN/>
        <w:bidi w:val="0"/>
        <w:spacing w:before="97" w:line="221" w:lineRule="auto"/>
        <w:jc w:val="right"/>
        <w:outlineLvl w:val="9"/>
        <w:rPr>
          <w:rFonts w:hint="eastAsia" w:ascii="黑体" w:hAnsi="黑体" w:eastAsia="黑体" w:cs="黑体"/>
          <w:b/>
          <w:bCs/>
          <w:color w:val="auto"/>
          <w:spacing w:val="-6"/>
          <w:sz w:val="30"/>
          <w:szCs w:val="30"/>
        </w:rPr>
      </w:pPr>
    </w:p>
    <w:p w14:paraId="6221F14B">
      <w:pPr>
        <w:pStyle w:val="7"/>
        <w:pageBreakBefore w:val="0"/>
        <w:kinsoku w:val="0"/>
        <w:wordWrap w:val="0"/>
        <w:overflowPunct/>
        <w:topLinePunct w:val="0"/>
        <w:autoSpaceDE/>
        <w:autoSpaceDN/>
        <w:bidi w:val="0"/>
        <w:spacing w:before="97" w:line="221" w:lineRule="auto"/>
        <w:jc w:val="right"/>
        <w:outlineLvl w:val="9"/>
        <w:rPr>
          <w:rFonts w:hint="eastAsia" w:ascii="黑体" w:hAnsi="黑体" w:eastAsia="黑体" w:cs="黑体"/>
          <w:b/>
          <w:bCs/>
          <w:color w:val="auto"/>
          <w:spacing w:val="-6"/>
          <w:sz w:val="30"/>
          <w:szCs w:val="30"/>
        </w:rPr>
      </w:pPr>
    </w:p>
    <w:p w14:paraId="3BD407D3">
      <w:pPr>
        <w:pStyle w:val="7"/>
        <w:pageBreakBefore w:val="0"/>
        <w:kinsoku w:val="0"/>
        <w:wordWrap w:val="0"/>
        <w:overflowPunct/>
        <w:topLinePunct w:val="0"/>
        <w:autoSpaceDE/>
        <w:autoSpaceDN/>
        <w:bidi w:val="0"/>
        <w:spacing w:before="97" w:line="221" w:lineRule="auto"/>
        <w:jc w:val="right"/>
        <w:outlineLvl w:val="9"/>
        <w:rPr>
          <w:rFonts w:hint="eastAsia" w:ascii="黑体" w:hAnsi="黑体" w:eastAsia="黑体" w:cs="黑体"/>
          <w:b/>
          <w:bCs/>
          <w:color w:val="auto"/>
          <w:spacing w:val="-6"/>
          <w:sz w:val="30"/>
          <w:szCs w:val="30"/>
        </w:rPr>
      </w:pPr>
    </w:p>
    <w:p w14:paraId="3F7F70F8">
      <w:pPr>
        <w:pageBreakBefore w:val="0"/>
        <w:kinsoku w:val="0"/>
        <w:wordWrap w:val="0"/>
        <w:overflowPunct/>
        <w:topLinePunct w:val="0"/>
        <w:autoSpaceDE/>
        <w:autoSpaceDN/>
        <w:bidi w:val="0"/>
        <w:rPr>
          <w:rFonts w:hint="eastAsia" w:ascii="黑体" w:hAnsi="黑体" w:eastAsia="黑体" w:cs="黑体"/>
          <w:b/>
          <w:bCs/>
          <w:color w:val="auto"/>
          <w:spacing w:val="-6"/>
          <w:sz w:val="30"/>
          <w:szCs w:val="30"/>
        </w:rPr>
      </w:pPr>
    </w:p>
    <w:p w14:paraId="73D22C94">
      <w:pPr>
        <w:pStyle w:val="13"/>
        <w:pageBreakBefore w:val="0"/>
        <w:kinsoku w:val="0"/>
        <w:wordWrap w:val="0"/>
        <w:overflowPunct/>
        <w:topLinePunct w:val="0"/>
        <w:autoSpaceDE/>
        <w:autoSpaceDN/>
        <w:bidi w:val="0"/>
        <w:rPr>
          <w:rFonts w:hint="eastAsia" w:ascii="黑体" w:hAnsi="黑体" w:eastAsia="黑体" w:cs="黑体"/>
          <w:color w:val="auto"/>
        </w:rPr>
      </w:pPr>
    </w:p>
    <w:p w14:paraId="37F0603A">
      <w:pPr>
        <w:pStyle w:val="7"/>
        <w:pageBreakBefore w:val="0"/>
        <w:kinsoku w:val="0"/>
        <w:wordWrap w:val="0"/>
        <w:overflowPunct/>
        <w:topLinePunct w:val="0"/>
        <w:autoSpaceDE/>
        <w:autoSpaceDN/>
        <w:bidi w:val="0"/>
        <w:spacing w:before="97" w:line="221" w:lineRule="auto"/>
        <w:jc w:val="right"/>
        <w:outlineLvl w:val="9"/>
        <w:rPr>
          <w:rFonts w:hint="eastAsia" w:ascii="黑体" w:hAnsi="黑体" w:eastAsia="黑体" w:cs="黑体"/>
          <w:b/>
          <w:bCs/>
          <w:color w:val="auto"/>
          <w:spacing w:val="-6"/>
          <w:sz w:val="32"/>
          <w:szCs w:val="32"/>
        </w:rPr>
      </w:pPr>
    </w:p>
    <w:p w14:paraId="616D217D">
      <w:pPr>
        <w:pStyle w:val="7"/>
        <w:pageBreakBefore w:val="0"/>
        <w:numPr>
          <w:ilvl w:val="0"/>
          <w:numId w:val="15"/>
        </w:numPr>
        <w:kinsoku w:val="0"/>
        <w:wordWrap w:val="0"/>
        <w:overflowPunct/>
        <w:topLinePunct w:val="0"/>
        <w:autoSpaceDE/>
        <w:autoSpaceDN/>
        <w:bidi w:val="0"/>
        <w:spacing w:before="78" w:line="360" w:lineRule="auto"/>
        <w:ind w:left="16"/>
        <w:rPr>
          <w:rFonts w:hint="eastAsia" w:ascii="黑体" w:hAnsi="黑体" w:eastAsia="黑体" w:cs="黑体"/>
          <w:b/>
          <w:bCs/>
          <w:color w:val="auto"/>
          <w:spacing w:val="-2"/>
          <w:sz w:val="28"/>
          <w:szCs w:val="28"/>
          <w:lang w:val="en-US" w:eastAsia="zh-CN"/>
        </w:rPr>
      </w:pPr>
      <w:r>
        <w:rPr>
          <w:rFonts w:hint="eastAsia" w:ascii="黑体" w:hAnsi="黑体" w:eastAsia="黑体" w:cs="黑体"/>
          <w:b/>
          <w:bCs/>
          <w:color w:val="auto"/>
          <w:spacing w:val="-2"/>
          <w:sz w:val="28"/>
          <w:szCs w:val="28"/>
          <w:lang w:val="en-US" w:eastAsia="zh-CN"/>
        </w:rPr>
        <w:t>提供近六个月任意一个月税务局开具的完税证明；（完税证明或税务部门出具的其他证明，非社会保险类）；</w:t>
      </w:r>
    </w:p>
    <w:p w14:paraId="17AA9A66">
      <w:pPr>
        <w:pageBreakBefore w:val="0"/>
        <w:kinsoku w:val="0"/>
        <w:wordWrap w:val="0"/>
        <w:overflowPunct/>
        <w:topLinePunct w:val="0"/>
        <w:autoSpaceDE/>
        <w:autoSpaceDN/>
        <w:bidi w:val="0"/>
        <w:spacing w:line="273" w:lineRule="auto"/>
        <w:rPr>
          <w:rFonts w:hint="eastAsia" w:ascii="黑体" w:hAnsi="黑体" w:eastAsia="黑体" w:cs="黑体"/>
          <w:color w:val="auto"/>
          <w:sz w:val="21"/>
          <w:szCs w:val="21"/>
        </w:rPr>
      </w:pPr>
      <w:r>
        <w:rPr>
          <w:rFonts w:hint="eastAsia" w:ascii="黑体" w:hAnsi="黑体" w:eastAsia="黑体" w:cs="黑体"/>
          <w:color w:val="auto"/>
          <w:spacing w:val="-6"/>
          <w:sz w:val="24"/>
          <w:szCs w:val="24"/>
        </w:rPr>
        <w:t>说明：</w:t>
      </w:r>
      <w:r>
        <w:rPr>
          <w:rFonts w:hint="eastAsia" w:ascii="黑体" w:hAnsi="黑体" w:eastAsia="黑体" w:cs="黑体"/>
          <w:color w:val="auto"/>
          <w:spacing w:val="-1"/>
          <w:sz w:val="24"/>
          <w:szCs w:val="24"/>
        </w:rPr>
        <w:t>完税证明，非社</w:t>
      </w:r>
      <w:r>
        <w:rPr>
          <w:rFonts w:hint="eastAsia" w:ascii="黑体" w:hAnsi="黑体" w:eastAsia="黑体" w:cs="黑体"/>
          <w:color w:val="auto"/>
          <w:spacing w:val="-2"/>
          <w:sz w:val="24"/>
          <w:szCs w:val="24"/>
        </w:rPr>
        <w:t>会保险类扫描件，扫描件上应加盖单位公章。</w:t>
      </w:r>
    </w:p>
    <w:p w14:paraId="0494FF03">
      <w:pPr>
        <w:pageBreakBefore w:val="0"/>
        <w:kinsoku w:val="0"/>
        <w:wordWrap w:val="0"/>
        <w:overflowPunct/>
        <w:topLinePunct w:val="0"/>
        <w:autoSpaceDE/>
        <w:autoSpaceDN/>
        <w:bidi w:val="0"/>
        <w:spacing w:line="273" w:lineRule="auto"/>
        <w:rPr>
          <w:rFonts w:hint="eastAsia" w:ascii="黑体" w:hAnsi="黑体" w:eastAsia="黑体" w:cs="黑体"/>
          <w:color w:val="auto"/>
          <w:sz w:val="21"/>
        </w:rPr>
      </w:pPr>
    </w:p>
    <w:p w14:paraId="1286EE80">
      <w:pPr>
        <w:pageBreakBefore w:val="0"/>
        <w:kinsoku w:val="0"/>
        <w:wordWrap w:val="0"/>
        <w:overflowPunct/>
        <w:topLinePunct w:val="0"/>
        <w:autoSpaceDE/>
        <w:autoSpaceDN/>
        <w:bidi w:val="0"/>
        <w:spacing w:line="273" w:lineRule="auto"/>
        <w:rPr>
          <w:rFonts w:hint="eastAsia" w:ascii="黑体" w:hAnsi="黑体" w:eastAsia="黑体" w:cs="黑体"/>
          <w:color w:val="auto"/>
          <w:sz w:val="21"/>
        </w:rPr>
      </w:pPr>
    </w:p>
    <w:p w14:paraId="2CF7BF42">
      <w:pPr>
        <w:pageBreakBefore w:val="0"/>
        <w:kinsoku w:val="0"/>
        <w:wordWrap w:val="0"/>
        <w:overflowPunct/>
        <w:topLinePunct w:val="0"/>
        <w:autoSpaceDE/>
        <w:autoSpaceDN/>
        <w:bidi w:val="0"/>
        <w:spacing w:line="290" w:lineRule="auto"/>
        <w:rPr>
          <w:rFonts w:hint="eastAsia" w:ascii="黑体" w:hAnsi="黑体" w:eastAsia="黑体" w:cs="黑体"/>
          <w:b/>
          <w:bCs/>
          <w:color w:val="auto"/>
          <w:spacing w:val="-2"/>
          <w:sz w:val="30"/>
          <w:szCs w:val="30"/>
        </w:rPr>
      </w:pPr>
    </w:p>
    <w:p w14:paraId="24EB030E">
      <w:pPr>
        <w:pageBreakBefore w:val="0"/>
        <w:kinsoku w:val="0"/>
        <w:wordWrap w:val="0"/>
        <w:overflowPunct/>
        <w:topLinePunct w:val="0"/>
        <w:autoSpaceDE/>
        <w:autoSpaceDN/>
        <w:bidi w:val="0"/>
        <w:spacing w:line="290" w:lineRule="auto"/>
        <w:rPr>
          <w:rFonts w:hint="eastAsia" w:ascii="黑体" w:hAnsi="黑体" w:eastAsia="黑体" w:cs="黑体"/>
          <w:b/>
          <w:bCs/>
          <w:color w:val="auto"/>
          <w:spacing w:val="-2"/>
          <w:sz w:val="30"/>
          <w:szCs w:val="30"/>
        </w:rPr>
      </w:pPr>
    </w:p>
    <w:p w14:paraId="4575995F">
      <w:pPr>
        <w:pStyle w:val="13"/>
        <w:pageBreakBefore w:val="0"/>
        <w:kinsoku w:val="0"/>
        <w:wordWrap w:val="0"/>
        <w:overflowPunct/>
        <w:topLinePunct w:val="0"/>
        <w:autoSpaceDE/>
        <w:autoSpaceDN/>
        <w:bidi w:val="0"/>
        <w:rPr>
          <w:rFonts w:hint="eastAsia" w:ascii="黑体" w:hAnsi="黑体" w:eastAsia="黑体" w:cs="黑体"/>
          <w:b/>
          <w:bCs/>
          <w:color w:val="auto"/>
          <w:spacing w:val="-2"/>
          <w:sz w:val="30"/>
          <w:szCs w:val="30"/>
        </w:rPr>
      </w:pPr>
    </w:p>
    <w:p w14:paraId="68A2C6F0">
      <w:pPr>
        <w:pStyle w:val="7"/>
        <w:pageBreakBefore w:val="0"/>
        <w:kinsoku w:val="0"/>
        <w:wordWrap w:val="0"/>
        <w:overflowPunct/>
        <w:topLinePunct w:val="0"/>
        <w:autoSpaceDE/>
        <w:autoSpaceDN/>
        <w:bidi w:val="0"/>
        <w:rPr>
          <w:rFonts w:hint="eastAsia" w:ascii="黑体" w:hAnsi="黑体" w:eastAsia="黑体" w:cs="黑体"/>
          <w:color w:val="auto"/>
        </w:rPr>
      </w:pPr>
    </w:p>
    <w:p w14:paraId="6224A2B1">
      <w:pPr>
        <w:pageBreakBefore w:val="0"/>
        <w:kinsoku w:val="0"/>
        <w:wordWrap w:val="0"/>
        <w:overflowPunct/>
        <w:topLinePunct w:val="0"/>
        <w:autoSpaceDE/>
        <w:autoSpaceDN/>
        <w:bidi w:val="0"/>
        <w:spacing w:line="290" w:lineRule="auto"/>
        <w:rPr>
          <w:rFonts w:hint="eastAsia" w:ascii="黑体" w:hAnsi="黑体" w:eastAsia="黑体" w:cs="黑体"/>
          <w:b/>
          <w:bCs/>
          <w:color w:val="auto"/>
          <w:spacing w:val="-2"/>
          <w:sz w:val="28"/>
          <w:szCs w:val="28"/>
        </w:rPr>
      </w:pPr>
    </w:p>
    <w:p w14:paraId="473AB18C">
      <w:pPr>
        <w:pageBreakBefore w:val="0"/>
        <w:kinsoku w:val="0"/>
        <w:wordWrap w:val="0"/>
        <w:overflowPunct/>
        <w:topLinePunct w:val="0"/>
        <w:autoSpaceDE/>
        <w:autoSpaceDN/>
        <w:bidi w:val="0"/>
        <w:spacing w:line="290" w:lineRule="auto"/>
        <w:rPr>
          <w:rFonts w:hint="eastAsia" w:ascii="黑体" w:hAnsi="黑体" w:eastAsia="黑体" w:cs="黑体"/>
          <w:color w:val="auto"/>
          <w:sz w:val="28"/>
          <w:szCs w:val="28"/>
        </w:rPr>
      </w:pPr>
      <w:r>
        <w:rPr>
          <w:rFonts w:hint="eastAsia" w:ascii="黑体" w:hAnsi="黑体" w:eastAsia="黑体" w:cs="黑体"/>
          <w:b/>
          <w:bCs/>
          <w:color w:val="auto"/>
          <w:spacing w:val="-2"/>
          <w:sz w:val="28"/>
          <w:szCs w:val="28"/>
        </w:rPr>
        <w:t>6</w:t>
      </w:r>
      <w:r>
        <w:rPr>
          <w:rFonts w:hint="eastAsia" w:ascii="黑体" w:hAnsi="黑体" w:eastAsia="黑体" w:cs="黑体"/>
          <w:b/>
          <w:bCs/>
          <w:color w:val="auto"/>
          <w:spacing w:val="-2"/>
          <w:sz w:val="28"/>
          <w:szCs w:val="28"/>
          <w:lang w:eastAsia="zh-CN"/>
        </w:rPr>
        <w:t>、提供2023年度财务审计报告</w:t>
      </w:r>
      <w:r>
        <w:rPr>
          <w:rFonts w:hint="eastAsia" w:ascii="黑体" w:hAnsi="黑体" w:eastAsia="黑体" w:cs="黑体"/>
          <w:b/>
          <w:bCs/>
          <w:color w:val="auto"/>
          <w:spacing w:val="-2"/>
          <w:sz w:val="28"/>
          <w:szCs w:val="28"/>
        </w:rPr>
        <w:t>（新成立未满一年的公司需提供有效的银行资信证明）；</w:t>
      </w:r>
    </w:p>
    <w:p w14:paraId="03CC1FC2">
      <w:pPr>
        <w:pageBreakBefore w:val="0"/>
        <w:kinsoku w:val="0"/>
        <w:wordWrap w:val="0"/>
        <w:overflowPunct/>
        <w:topLinePunct w:val="0"/>
        <w:autoSpaceDE/>
        <w:autoSpaceDN/>
        <w:bidi w:val="0"/>
        <w:spacing w:line="290" w:lineRule="auto"/>
        <w:rPr>
          <w:rFonts w:hint="eastAsia" w:ascii="黑体" w:hAnsi="黑体" w:eastAsia="黑体" w:cs="黑体"/>
          <w:color w:val="auto"/>
          <w:sz w:val="22"/>
          <w:szCs w:val="22"/>
        </w:rPr>
      </w:pPr>
    </w:p>
    <w:p w14:paraId="27C17FDD">
      <w:pPr>
        <w:pageBreakBefore w:val="0"/>
        <w:kinsoku w:val="0"/>
        <w:wordWrap w:val="0"/>
        <w:overflowPunct/>
        <w:topLinePunct w:val="0"/>
        <w:autoSpaceDE/>
        <w:autoSpaceDN/>
        <w:bidi w:val="0"/>
        <w:spacing w:line="318" w:lineRule="auto"/>
        <w:rPr>
          <w:rFonts w:hint="eastAsia" w:ascii="黑体" w:hAnsi="黑体" w:eastAsia="黑体" w:cs="黑体"/>
          <w:color w:val="auto"/>
          <w:sz w:val="21"/>
        </w:rPr>
      </w:pPr>
    </w:p>
    <w:p w14:paraId="60126E67">
      <w:pPr>
        <w:pageBreakBefore w:val="0"/>
        <w:kinsoku w:val="0"/>
        <w:wordWrap w:val="0"/>
        <w:overflowPunct/>
        <w:topLinePunct w:val="0"/>
        <w:autoSpaceDE/>
        <w:autoSpaceDN/>
        <w:bidi w:val="0"/>
        <w:spacing w:line="319" w:lineRule="auto"/>
        <w:rPr>
          <w:rFonts w:hint="eastAsia" w:ascii="黑体" w:hAnsi="黑体" w:eastAsia="黑体" w:cs="黑体"/>
          <w:color w:val="auto"/>
          <w:sz w:val="21"/>
        </w:rPr>
      </w:pPr>
    </w:p>
    <w:p w14:paraId="6BB5F108">
      <w:pPr>
        <w:pStyle w:val="7"/>
        <w:keepNext w:val="0"/>
        <w:keepLines w:val="0"/>
        <w:pageBreakBefore w:val="0"/>
        <w:widowControl/>
        <w:numPr>
          <w:ilvl w:val="0"/>
          <w:numId w:val="0"/>
        </w:numPr>
        <w:tabs>
          <w:tab w:val="left" w:pos="567"/>
        </w:tabs>
        <w:kinsoku w:val="0"/>
        <w:wordWrap w:val="0"/>
        <w:overflowPunct/>
        <w:topLinePunct w:val="0"/>
        <w:autoSpaceDE/>
        <w:autoSpaceDN/>
        <w:bidi w:val="0"/>
        <w:adjustRightInd w:val="0"/>
        <w:snapToGrid w:val="0"/>
        <w:spacing w:before="97" w:line="360" w:lineRule="auto"/>
        <w:ind w:leftChars="0"/>
        <w:textAlignment w:val="baseline"/>
        <w:rPr>
          <w:rFonts w:hint="eastAsia" w:ascii="黑体" w:hAnsi="黑体" w:eastAsia="黑体" w:cs="黑体"/>
          <w:b/>
          <w:bCs/>
          <w:color w:val="auto"/>
          <w:kern w:val="0"/>
          <w:sz w:val="28"/>
          <w:szCs w:val="28"/>
          <w:u w:val="none"/>
          <w:lang w:val="en-US" w:eastAsia="zh-CN" w:bidi="ar-SA"/>
        </w:rPr>
      </w:pPr>
      <w:r>
        <w:rPr>
          <w:rFonts w:hint="eastAsia" w:ascii="黑体" w:hAnsi="黑体" w:eastAsia="黑体" w:cs="黑体"/>
          <w:b/>
          <w:bCs/>
          <w:color w:val="auto"/>
          <w:spacing w:val="-6"/>
          <w:sz w:val="30"/>
          <w:szCs w:val="30"/>
        </w:rPr>
        <w:br w:type="page"/>
      </w:r>
      <w:r>
        <w:rPr>
          <w:rFonts w:hint="eastAsia" w:ascii="黑体" w:hAnsi="黑体" w:eastAsia="黑体" w:cs="黑体"/>
          <w:b/>
          <w:bCs/>
          <w:color w:val="auto"/>
          <w:spacing w:val="-6"/>
          <w:sz w:val="28"/>
          <w:szCs w:val="28"/>
          <w:lang w:val="en-US" w:eastAsia="zh-CN"/>
        </w:rPr>
        <w:t>7、投标单位近三年内（2021年08月至今）在“信用中国”（www.creditchina.gov.cn）和中国政府采购网（www.ccgp.gov.cn）网站上未列入重大税收违法失信主体、严重失信主体名单查询，中国政府采购网严重违法失信行为记录名单；（以采购人或代理机构现场查询为准）；</w:t>
      </w:r>
    </w:p>
    <w:p w14:paraId="4CB3C0AD">
      <w:pPr>
        <w:pageBreakBefore w:val="0"/>
        <w:kinsoku w:val="0"/>
        <w:wordWrap w:val="0"/>
        <w:overflowPunct/>
        <w:topLinePunct w:val="0"/>
        <w:autoSpaceDE/>
        <w:autoSpaceDN/>
        <w:bidi w:val="0"/>
        <w:rPr>
          <w:rFonts w:hint="eastAsia" w:ascii="黑体" w:hAnsi="黑体" w:eastAsia="黑体" w:cs="黑体"/>
          <w:b/>
          <w:bCs/>
          <w:color w:val="auto"/>
          <w:spacing w:val="-6"/>
          <w:sz w:val="30"/>
          <w:szCs w:val="30"/>
        </w:rPr>
      </w:pPr>
    </w:p>
    <w:p w14:paraId="7EAF1E1A">
      <w:pPr>
        <w:pStyle w:val="7"/>
        <w:pageBreakBefore w:val="0"/>
        <w:kinsoku w:val="0"/>
        <w:wordWrap w:val="0"/>
        <w:overflowPunct/>
        <w:topLinePunct w:val="0"/>
        <w:autoSpaceDE/>
        <w:autoSpaceDN/>
        <w:bidi w:val="0"/>
        <w:spacing w:before="97" w:line="360" w:lineRule="auto"/>
        <w:outlineLvl w:val="9"/>
        <w:rPr>
          <w:rFonts w:hint="eastAsia" w:ascii="黑体" w:hAnsi="黑体" w:eastAsia="黑体" w:cs="黑体"/>
          <w:b/>
          <w:bCs/>
          <w:color w:val="auto"/>
          <w:spacing w:val="-6"/>
          <w:sz w:val="28"/>
          <w:szCs w:val="28"/>
          <w:lang w:val="en-US" w:eastAsia="zh-CN"/>
        </w:rPr>
      </w:pPr>
    </w:p>
    <w:p w14:paraId="0D689094">
      <w:pPr>
        <w:pStyle w:val="7"/>
        <w:pageBreakBefore w:val="0"/>
        <w:kinsoku w:val="0"/>
        <w:wordWrap w:val="0"/>
        <w:overflowPunct/>
        <w:topLinePunct w:val="0"/>
        <w:autoSpaceDE/>
        <w:autoSpaceDN/>
        <w:bidi w:val="0"/>
        <w:spacing w:before="97" w:line="360" w:lineRule="auto"/>
        <w:outlineLvl w:val="9"/>
        <w:rPr>
          <w:rFonts w:hint="eastAsia" w:ascii="黑体" w:hAnsi="黑体" w:eastAsia="黑体" w:cs="黑体"/>
          <w:b/>
          <w:bCs/>
          <w:color w:val="auto"/>
          <w:spacing w:val="-6"/>
          <w:sz w:val="28"/>
          <w:szCs w:val="28"/>
          <w:lang w:val="en-US" w:eastAsia="zh-CN"/>
        </w:rPr>
      </w:pPr>
    </w:p>
    <w:p w14:paraId="77663C9B">
      <w:pPr>
        <w:pStyle w:val="7"/>
        <w:pageBreakBefore w:val="0"/>
        <w:kinsoku w:val="0"/>
        <w:wordWrap w:val="0"/>
        <w:overflowPunct/>
        <w:topLinePunct w:val="0"/>
        <w:autoSpaceDE/>
        <w:autoSpaceDN/>
        <w:bidi w:val="0"/>
        <w:spacing w:before="97" w:line="360" w:lineRule="auto"/>
        <w:outlineLvl w:val="9"/>
        <w:rPr>
          <w:rFonts w:hint="eastAsia" w:ascii="黑体" w:hAnsi="黑体" w:eastAsia="黑体" w:cs="黑体"/>
          <w:b/>
          <w:bCs/>
          <w:color w:val="auto"/>
          <w:spacing w:val="-6"/>
          <w:sz w:val="28"/>
          <w:szCs w:val="28"/>
          <w:lang w:val="en-US" w:eastAsia="zh-CN"/>
        </w:rPr>
      </w:pPr>
    </w:p>
    <w:p w14:paraId="1B5603DE">
      <w:pPr>
        <w:pStyle w:val="7"/>
        <w:pageBreakBefore w:val="0"/>
        <w:kinsoku w:val="0"/>
        <w:wordWrap w:val="0"/>
        <w:overflowPunct/>
        <w:topLinePunct w:val="0"/>
        <w:autoSpaceDE/>
        <w:autoSpaceDN/>
        <w:bidi w:val="0"/>
        <w:spacing w:before="97" w:line="360" w:lineRule="auto"/>
        <w:outlineLvl w:val="9"/>
        <w:rPr>
          <w:rFonts w:hint="eastAsia" w:ascii="黑体" w:hAnsi="黑体" w:eastAsia="黑体" w:cs="黑体"/>
          <w:b/>
          <w:bCs/>
          <w:color w:val="auto"/>
          <w:spacing w:val="-6"/>
          <w:sz w:val="32"/>
          <w:szCs w:val="32"/>
          <w:lang w:val="en-US" w:eastAsia="zh-CN"/>
        </w:rPr>
      </w:pPr>
    </w:p>
    <w:p w14:paraId="39A8C28B">
      <w:pPr>
        <w:pStyle w:val="7"/>
        <w:pageBreakBefore w:val="0"/>
        <w:kinsoku w:val="0"/>
        <w:wordWrap w:val="0"/>
        <w:overflowPunct/>
        <w:topLinePunct w:val="0"/>
        <w:autoSpaceDE/>
        <w:autoSpaceDN/>
        <w:bidi w:val="0"/>
        <w:spacing w:before="97" w:line="222" w:lineRule="auto"/>
        <w:ind w:left="1243"/>
        <w:outlineLvl w:val="6"/>
        <w:rPr>
          <w:rFonts w:hint="eastAsia" w:ascii="黑体" w:hAnsi="黑体" w:eastAsia="黑体" w:cs="黑体"/>
          <w:color w:val="auto"/>
          <w:sz w:val="28"/>
          <w:szCs w:val="28"/>
        </w:rPr>
      </w:pPr>
      <w:r>
        <w:rPr>
          <w:rFonts w:hint="eastAsia" w:ascii="黑体" w:hAnsi="黑体" w:eastAsia="黑体" w:cs="黑体"/>
          <w:b/>
          <w:bCs/>
          <w:color w:val="auto"/>
          <w:spacing w:val="-6"/>
          <w:sz w:val="28"/>
          <w:szCs w:val="28"/>
          <w:lang w:val="en-US" w:eastAsia="zh-CN"/>
        </w:rPr>
        <w:t>8、</w:t>
      </w:r>
      <w:r>
        <w:rPr>
          <w:rFonts w:hint="eastAsia" w:ascii="黑体" w:hAnsi="黑体" w:eastAsia="黑体" w:cs="黑体"/>
          <w:b/>
          <w:bCs/>
          <w:color w:val="auto"/>
          <w:spacing w:val="-6"/>
          <w:sz w:val="28"/>
          <w:szCs w:val="28"/>
        </w:rPr>
        <w:t>供应商提供针对本次项目《反商业贿赂承诺书》</w:t>
      </w:r>
    </w:p>
    <w:p w14:paraId="23DBDA55">
      <w:pPr>
        <w:pageBreakBefore w:val="0"/>
        <w:kinsoku w:val="0"/>
        <w:wordWrap w:val="0"/>
        <w:overflowPunct/>
        <w:topLinePunct w:val="0"/>
        <w:autoSpaceDE/>
        <w:autoSpaceDN/>
        <w:bidi w:val="0"/>
        <w:spacing w:line="255" w:lineRule="auto"/>
        <w:rPr>
          <w:rFonts w:hint="eastAsia" w:ascii="黑体" w:hAnsi="黑体" w:eastAsia="黑体" w:cs="黑体"/>
          <w:color w:val="auto"/>
          <w:sz w:val="21"/>
        </w:rPr>
      </w:pPr>
    </w:p>
    <w:p w14:paraId="53774FC4">
      <w:pPr>
        <w:pStyle w:val="7"/>
        <w:keepNext w:val="0"/>
        <w:keepLines w:val="0"/>
        <w:pageBreakBefore w:val="0"/>
        <w:widowControl/>
        <w:kinsoku w:val="0"/>
        <w:wordWrap w:val="0"/>
        <w:overflowPunct/>
        <w:topLinePunct w:val="0"/>
        <w:autoSpaceDE/>
        <w:autoSpaceDN/>
        <w:bidi w:val="0"/>
        <w:adjustRightInd w:val="0"/>
        <w:snapToGrid w:val="0"/>
        <w:spacing w:before="91" w:line="360" w:lineRule="auto"/>
        <w:ind w:left="51" w:right="6" w:firstLine="578"/>
        <w:textAlignment w:val="baseline"/>
        <w:rPr>
          <w:rFonts w:hint="eastAsia" w:ascii="黑体" w:hAnsi="黑体" w:eastAsia="黑体" w:cs="黑体"/>
          <w:color w:val="auto"/>
          <w:sz w:val="24"/>
          <w:szCs w:val="24"/>
        </w:rPr>
      </w:pPr>
      <w:r>
        <w:rPr>
          <w:rFonts w:hint="eastAsia" w:ascii="黑体" w:hAnsi="黑体" w:eastAsia="黑体" w:cs="黑体"/>
          <w:color w:val="auto"/>
          <w:sz w:val="24"/>
          <w:szCs w:val="24"/>
        </w:rPr>
        <w:t>我公司承诺在</w:t>
      </w:r>
      <w:r>
        <w:rPr>
          <w:rFonts w:hint="eastAsia" w:ascii="黑体" w:hAnsi="黑体" w:eastAsia="黑体" w:cs="黑体"/>
          <w:color w:val="auto"/>
          <w:sz w:val="24"/>
          <w:szCs w:val="24"/>
          <w:u w:val="single"/>
          <w:lang w:eastAsia="zh-CN"/>
        </w:rPr>
        <w:t>（项目名称）</w:t>
      </w:r>
      <w:r>
        <w:rPr>
          <w:rFonts w:hint="eastAsia" w:ascii="黑体" w:hAnsi="黑体" w:eastAsia="黑体" w:cs="黑体"/>
          <w:color w:val="auto"/>
          <w:sz w:val="24"/>
          <w:szCs w:val="24"/>
        </w:rPr>
        <w:t>竞争性磋商采购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32EDCD3D">
      <w:pPr>
        <w:pageBreakBefore w:val="0"/>
        <w:kinsoku w:val="0"/>
        <w:wordWrap w:val="0"/>
        <w:overflowPunct/>
        <w:topLinePunct w:val="0"/>
        <w:autoSpaceDE/>
        <w:autoSpaceDN/>
        <w:bidi w:val="0"/>
        <w:spacing w:line="269" w:lineRule="auto"/>
        <w:rPr>
          <w:rFonts w:hint="eastAsia" w:ascii="黑体" w:hAnsi="黑体" w:eastAsia="黑体" w:cs="黑体"/>
          <w:color w:val="auto"/>
          <w:sz w:val="24"/>
          <w:szCs w:val="24"/>
        </w:rPr>
      </w:pPr>
    </w:p>
    <w:p w14:paraId="2B6D6CA0">
      <w:pPr>
        <w:pageBreakBefore w:val="0"/>
        <w:kinsoku w:val="0"/>
        <w:wordWrap w:val="0"/>
        <w:overflowPunct/>
        <w:topLinePunct w:val="0"/>
        <w:autoSpaceDE/>
        <w:autoSpaceDN/>
        <w:bidi w:val="0"/>
        <w:spacing w:line="269" w:lineRule="auto"/>
        <w:rPr>
          <w:rFonts w:hint="eastAsia" w:ascii="黑体" w:hAnsi="黑体" w:eastAsia="黑体" w:cs="黑体"/>
          <w:color w:val="auto"/>
          <w:sz w:val="24"/>
          <w:szCs w:val="24"/>
        </w:rPr>
      </w:pPr>
    </w:p>
    <w:p w14:paraId="57775678">
      <w:pPr>
        <w:pageBreakBefore w:val="0"/>
        <w:kinsoku w:val="0"/>
        <w:wordWrap w:val="0"/>
        <w:overflowPunct/>
        <w:topLinePunct w:val="0"/>
        <w:autoSpaceDE/>
        <w:autoSpaceDN/>
        <w:bidi w:val="0"/>
        <w:spacing w:line="269" w:lineRule="auto"/>
        <w:rPr>
          <w:rFonts w:hint="eastAsia" w:ascii="黑体" w:hAnsi="黑体" w:eastAsia="黑体" w:cs="黑体"/>
          <w:color w:val="auto"/>
          <w:sz w:val="24"/>
          <w:szCs w:val="24"/>
        </w:rPr>
      </w:pPr>
    </w:p>
    <w:p w14:paraId="54468EDB">
      <w:pPr>
        <w:pStyle w:val="7"/>
        <w:pageBreakBefore w:val="0"/>
        <w:kinsoku w:val="0"/>
        <w:wordWrap w:val="0"/>
        <w:overflowPunct/>
        <w:topLinePunct w:val="0"/>
        <w:autoSpaceDE/>
        <w:autoSpaceDN/>
        <w:bidi w:val="0"/>
        <w:spacing w:before="91" w:line="222" w:lineRule="auto"/>
        <w:ind w:left="46" w:leftChars="22" w:firstLine="591" w:firstLineChars="255"/>
        <w:rPr>
          <w:rFonts w:hint="eastAsia" w:ascii="黑体" w:hAnsi="黑体" w:eastAsia="黑体" w:cs="黑体"/>
          <w:color w:val="auto"/>
          <w:sz w:val="24"/>
          <w:szCs w:val="24"/>
        </w:rPr>
      </w:pPr>
      <w:r>
        <w:rPr>
          <w:rFonts w:hint="eastAsia" w:ascii="黑体" w:hAnsi="黑体" w:eastAsia="黑体" w:cs="黑体"/>
          <w:color w:val="auto"/>
          <w:spacing w:val="-4"/>
          <w:sz w:val="24"/>
          <w:szCs w:val="24"/>
        </w:rPr>
        <w:t>投标单位名称（盖单位公章）</w:t>
      </w:r>
      <w:r>
        <w:rPr>
          <w:rFonts w:hint="eastAsia" w:ascii="黑体" w:hAnsi="黑体" w:eastAsia="黑体" w:cs="黑体"/>
          <w:color w:val="auto"/>
          <w:spacing w:val="-4"/>
          <w:sz w:val="24"/>
          <w:szCs w:val="24"/>
          <w:u w:val="none" w:color="auto"/>
        </w:rPr>
        <w:t>:</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6D1B01B6">
      <w:pPr>
        <w:pStyle w:val="7"/>
        <w:pageBreakBefore w:val="0"/>
        <w:kinsoku w:val="0"/>
        <w:wordWrap w:val="0"/>
        <w:overflowPunct/>
        <w:topLinePunct w:val="0"/>
        <w:autoSpaceDE/>
        <w:autoSpaceDN/>
        <w:bidi w:val="0"/>
        <w:spacing w:before="311" w:line="396" w:lineRule="auto"/>
        <w:ind w:left="46" w:leftChars="22" w:firstLine="591" w:firstLineChars="255"/>
        <w:rPr>
          <w:rFonts w:hint="eastAsia" w:ascii="黑体" w:hAnsi="黑体" w:eastAsia="黑体" w:cs="黑体"/>
          <w:color w:val="auto"/>
          <w:sz w:val="24"/>
          <w:szCs w:val="24"/>
        </w:rPr>
      </w:pPr>
      <w:r>
        <w:rPr>
          <w:rFonts w:hint="eastAsia" w:ascii="黑体" w:hAnsi="黑体" w:eastAsia="黑体" w:cs="黑体"/>
          <w:color w:val="auto"/>
          <w:spacing w:val="-4"/>
          <w:sz w:val="24"/>
          <w:szCs w:val="24"/>
        </w:rPr>
        <w:t>法定代表人或其委托代理人（签字或盖章）:</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7A48067C">
      <w:pPr>
        <w:pStyle w:val="7"/>
        <w:pageBreakBefore w:val="0"/>
        <w:kinsoku w:val="0"/>
        <w:wordWrap w:val="0"/>
        <w:overflowPunct/>
        <w:topLinePunct w:val="0"/>
        <w:autoSpaceDE/>
        <w:autoSpaceDN/>
        <w:bidi w:val="0"/>
        <w:spacing w:before="2" w:line="222" w:lineRule="auto"/>
        <w:ind w:left="46" w:leftChars="22" w:firstLine="637" w:firstLineChars="354"/>
        <w:rPr>
          <w:rFonts w:hint="eastAsia" w:ascii="黑体" w:hAnsi="黑体" w:eastAsia="黑体" w:cs="黑体"/>
          <w:color w:val="auto"/>
          <w:sz w:val="24"/>
          <w:szCs w:val="24"/>
        </w:rPr>
      </w:pPr>
      <w:r>
        <w:rPr>
          <w:rFonts w:hint="eastAsia" w:ascii="黑体" w:hAnsi="黑体" w:eastAsia="黑体" w:cs="黑体"/>
          <w:color w:val="auto"/>
          <w:spacing w:val="-30"/>
          <w:sz w:val="24"/>
          <w:szCs w:val="24"/>
          <w:lang w:eastAsia="zh-CN"/>
        </w:rPr>
        <w:t>日期：</w:t>
      </w:r>
      <w:r>
        <w:rPr>
          <w:rFonts w:hint="eastAsia" w:ascii="黑体" w:hAnsi="黑体" w:eastAsia="黑体" w:cs="黑体"/>
          <w:color w:val="auto"/>
          <w:spacing w:val="-30"/>
          <w:sz w:val="24"/>
          <w:szCs w:val="24"/>
          <w:u w:val="single"/>
          <w:lang w:val="en-US" w:eastAsia="zh-CN"/>
        </w:rPr>
        <w:t xml:space="preserve">      </w:t>
      </w:r>
      <w:r>
        <w:rPr>
          <w:rFonts w:hint="eastAsia" w:ascii="黑体" w:hAnsi="黑体" w:eastAsia="黑体" w:cs="黑体"/>
          <w:color w:val="auto"/>
          <w:spacing w:val="-30"/>
          <w:sz w:val="24"/>
          <w:szCs w:val="24"/>
        </w:rPr>
        <w:t>年</w:t>
      </w:r>
      <w:r>
        <w:rPr>
          <w:rFonts w:hint="eastAsia" w:ascii="黑体" w:hAnsi="黑体" w:eastAsia="黑体" w:cs="黑体"/>
          <w:color w:val="auto"/>
          <w:spacing w:val="-30"/>
          <w:sz w:val="24"/>
          <w:szCs w:val="24"/>
          <w:u w:val="single"/>
          <w:lang w:val="en-US" w:eastAsia="zh-CN"/>
        </w:rPr>
        <w:t xml:space="preserve">      </w:t>
      </w:r>
      <w:r>
        <w:rPr>
          <w:rFonts w:hint="eastAsia" w:ascii="黑体" w:hAnsi="黑体" w:eastAsia="黑体" w:cs="黑体"/>
          <w:color w:val="auto"/>
          <w:spacing w:val="-30"/>
          <w:sz w:val="24"/>
          <w:szCs w:val="24"/>
        </w:rPr>
        <w:t>月</w:t>
      </w:r>
      <w:r>
        <w:rPr>
          <w:rFonts w:hint="eastAsia" w:ascii="黑体" w:hAnsi="黑体" w:eastAsia="黑体" w:cs="黑体"/>
          <w:color w:val="auto"/>
          <w:spacing w:val="-30"/>
          <w:sz w:val="24"/>
          <w:szCs w:val="24"/>
          <w:u w:val="single"/>
          <w:lang w:val="en-US" w:eastAsia="zh-CN"/>
        </w:rPr>
        <w:t xml:space="preserve">      </w:t>
      </w:r>
      <w:r>
        <w:rPr>
          <w:rFonts w:hint="eastAsia" w:ascii="黑体" w:hAnsi="黑体" w:eastAsia="黑体" w:cs="黑体"/>
          <w:color w:val="auto"/>
          <w:spacing w:val="-30"/>
          <w:sz w:val="24"/>
          <w:szCs w:val="24"/>
        </w:rPr>
        <w:t>日</w:t>
      </w:r>
    </w:p>
    <w:p w14:paraId="027B47F9">
      <w:pPr>
        <w:pageBreakBefore w:val="0"/>
        <w:kinsoku w:val="0"/>
        <w:wordWrap w:val="0"/>
        <w:overflowPunct/>
        <w:topLinePunct w:val="0"/>
        <w:autoSpaceDE/>
        <w:autoSpaceDN/>
        <w:bidi w:val="0"/>
        <w:spacing w:line="222" w:lineRule="auto"/>
        <w:ind w:left="46" w:leftChars="22" w:firstLine="612" w:firstLineChars="255"/>
        <w:rPr>
          <w:rFonts w:hint="eastAsia" w:ascii="黑体" w:hAnsi="黑体" w:eastAsia="黑体" w:cs="黑体"/>
          <w:color w:val="auto"/>
          <w:sz w:val="24"/>
          <w:szCs w:val="24"/>
        </w:rPr>
        <w:sectPr>
          <w:footerReference r:id="rId14" w:type="default"/>
          <w:pgSz w:w="11906" w:h="16840"/>
          <w:pgMar w:top="1431" w:right="1785" w:bottom="1126" w:left="1785" w:header="0" w:footer="912" w:gutter="0"/>
          <w:pgNumType w:fmt="decimal"/>
          <w:cols w:space="720" w:num="1"/>
        </w:sectPr>
      </w:pPr>
    </w:p>
    <w:p w14:paraId="160D77C0">
      <w:pPr>
        <w:pStyle w:val="7"/>
        <w:pageBreakBefore w:val="0"/>
        <w:kinsoku w:val="0"/>
        <w:wordWrap w:val="0"/>
        <w:overflowPunct/>
        <w:topLinePunct w:val="0"/>
        <w:autoSpaceDE/>
        <w:autoSpaceDN/>
        <w:bidi w:val="0"/>
        <w:spacing w:before="63" w:line="653" w:lineRule="exact"/>
        <w:jc w:val="center"/>
        <w:rPr>
          <w:rFonts w:hint="eastAsia" w:ascii="黑体" w:hAnsi="黑体" w:eastAsia="黑体" w:cs="黑体"/>
          <w:b/>
          <w:bCs/>
          <w:color w:val="auto"/>
          <w:spacing w:val="7"/>
          <w:position w:val="26"/>
          <w:sz w:val="28"/>
          <w:szCs w:val="28"/>
        </w:rPr>
      </w:pPr>
      <w:r>
        <w:rPr>
          <w:rFonts w:hint="eastAsia" w:ascii="黑体" w:hAnsi="黑体" w:eastAsia="黑体" w:cs="黑体"/>
          <w:b/>
          <w:bCs/>
          <w:color w:val="auto"/>
          <w:spacing w:val="7"/>
          <w:position w:val="26"/>
          <w:sz w:val="28"/>
          <w:szCs w:val="28"/>
          <w:lang w:val="en-US" w:eastAsia="zh-CN"/>
        </w:rPr>
        <w:t>10、</w:t>
      </w:r>
      <w:r>
        <w:rPr>
          <w:rFonts w:hint="eastAsia" w:ascii="黑体" w:hAnsi="黑体" w:eastAsia="黑体" w:cs="黑体"/>
          <w:b/>
          <w:bCs/>
          <w:color w:val="auto"/>
          <w:spacing w:val="7"/>
          <w:position w:val="26"/>
          <w:sz w:val="28"/>
          <w:szCs w:val="28"/>
        </w:rPr>
        <w:t>供应商参加政府采购活动</w:t>
      </w:r>
      <w:r>
        <w:rPr>
          <w:rFonts w:hint="eastAsia" w:ascii="黑体" w:hAnsi="黑体" w:eastAsia="黑体" w:cs="黑体"/>
          <w:b/>
          <w:bCs/>
          <w:color w:val="auto"/>
          <w:spacing w:val="7"/>
          <w:position w:val="26"/>
          <w:sz w:val="28"/>
          <w:szCs w:val="28"/>
          <w:lang w:eastAsia="zh-CN"/>
        </w:rPr>
        <w:t>（</w:t>
      </w:r>
      <w:r>
        <w:rPr>
          <w:rFonts w:hint="eastAsia" w:ascii="黑体" w:hAnsi="黑体" w:eastAsia="黑体" w:cs="黑体"/>
          <w:b/>
          <w:bCs/>
          <w:color w:val="auto"/>
          <w:spacing w:val="7"/>
          <w:position w:val="26"/>
          <w:sz w:val="28"/>
          <w:szCs w:val="28"/>
          <w:lang w:val="en-US" w:eastAsia="zh-CN"/>
        </w:rPr>
        <w:t>2021年08月至今</w:t>
      </w:r>
      <w:r>
        <w:rPr>
          <w:rFonts w:hint="eastAsia" w:ascii="黑体" w:hAnsi="黑体" w:eastAsia="黑体" w:cs="黑体"/>
          <w:b/>
          <w:bCs/>
          <w:color w:val="auto"/>
          <w:spacing w:val="7"/>
          <w:position w:val="26"/>
          <w:sz w:val="28"/>
          <w:szCs w:val="28"/>
          <w:lang w:eastAsia="zh-CN"/>
        </w:rPr>
        <w:t>）</w:t>
      </w:r>
      <w:r>
        <w:rPr>
          <w:rFonts w:hint="eastAsia" w:ascii="黑体" w:hAnsi="黑体" w:eastAsia="黑体" w:cs="黑体"/>
          <w:b/>
          <w:bCs/>
          <w:color w:val="auto"/>
          <w:spacing w:val="7"/>
          <w:position w:val="26"/>
          <w:sz w:val="28"/>
          <w:szCs w:val="28"/>
        </w:rPr>
        <w:t>在经营活动中没有重大违法违规记录的书面声明</w:t>
      </w:r>
    </w:p>
    <w:p w14:paraId="12BDF780">
      <w:pPr>
        <w:pStyle w:val="7"/>
        <w:pageBreakBefore w:val="0"/>
        <w:kinsoku w:val="0"/>
        <w:wordWrap w:val="0"/>
        <w:overflowPunct/>
        <w:topLinePunct w:val="0"/>
        <w:autoSpaceDE/>
        <w:autoSpaceDN/>
        <w:bidi w:val="0"/>
        <w:spacing w:before="91" w:line="360" w:lineRule="auto"/>
        <w:ind w:left="28"/>
        <w:rPr>
          <w:rFonts w:hint="eastAsia" w:ascii="黑体" w:hAnsi="黑体" w:eastAsia="黑体" w:cs="黑体"/>
          <w:color w:val="auto"/>
          <w:sz w:val="24"/>
          <w:szCs w:val="24"/>
        </w:rPr>
      </w:pPr>
      <w:r>
        <w:rPr>
          <w:rFonts w:hint="eastAsia" w:ascii="黑体" w:hAnsi="黑体" w:eastAsia="黑体" w:cs="黑体"/>
          <w:color w:val="auto"/>
          <w:spacing w:val="-2"/>
          <w:sz w:val="24"/>
          <w:szCs w:val="24"/>
          <w:u w:val="single"/>
          <w:lang w:eastAsia="zh-CN"/>
        </w:rPr>
        <w:t>巴楚县商务和工业信息化局</w:t>
      </w:r>
      <w:r>
        <w:rPr>
          <w:rFonts w:hint="eastAsia" w:ascii="黑体" w:hAnsi="黑体" w:eastAsia="黑体" w:cs="黑体"/>
          <w:color w:val="auto"/>
          <w:spacing w:val="-2"/>
          <w:sz w:val="24"/>
          <w:szCs w:val="24"/>
        </w:rPr>
        <w:t>：</w:t>
      </w:r>
    </w:p>
    <w:p w14:paraId="2308AD0C">
      <w:pPr>
        <w:pStyle w:val="7"/>
        <w:keepNext w:val="0"/>
        <w:keepLines w:val="0"/>
        <w:pageBreakBefore w:val="0"/>
        <w:widowControl/>
        <w:kinsoku w:val="0"/>
        <w:wordWrap w:val="0"/>
        <w:overflowPunct/>
        <w:topLinePunct w:val="0"/>
        <w:autoSpaceDE/>
        <w:autoSpaceDN/>
        <w:bidi w:val="0"/>
        <w:adjustRightInd w:val="0"/>
        <w:snapToGrid w:val="0"/>
        <w:spacing w:before="205" w:line="360" w:lineRule="auto"/>
        <w:ind w:firstLine="468" w:firstLineChars="200"/>
        <w:textAlignment w:val="baseline"/>
        <w:rPr>
          <w:rFonts w:hint="eastAsia" w:ascii="黑体" w:hAnsi="黑体" w:eastAsia="黑体" w:cs="黑体"/>
          <w:color w:val="auto"/>
          <w:sz w:val="24"/>
          <w:szCs w:val="24"/>
        </w:rPr>
      </w:pPr>
      <w:r>
        <w:rPr>
          <w:rFonts w:hint="eastAsia" w:ascii="黑体" w:hAnsi="黑体" w:eastAsia="黑体" w:cs="黑体"/>
          <w:color w:val="auto"/>
          <w:spacing w:val="-3"/>
          <w:sz w:val="24"/>
          <w:szCs w:val="24"/>
        </w:rPr>
        <w:t>我单位参加（项目名称</w:t>
      </w:r>
      <w:r>
        <w:rPr>
          <w:rFonts w:hint="eastAsia" w:ascii="黑体" w:hAnsi="黑体" w:eastAsia="黑体" w:cs="黑体"/>
          <w:color w:val="auto"/>
          <w:spacing w:val="-48"/>
          <w:sz w:val="24"/>
          <w:szCs w:val="24"/>
        </w:rPr>
        <w:t>），</w:t>
      </w:r>
      <w:r>
        <w:rPr>
          <w:rFonts w:hint="eastAsia" w:ascii="黑体" w:hAnsi="黑体" w:eastAsia="黑体" w:cs="黑体"/>
          <w:color w:val="auto"/>
          <w:spacing w:val="-3"/>
          <w:sz w:val="24"/>
          <w:szCs w:val="24"/>
        </w:rPr>
        <w:t>项目编号</w:t>
      </w:r>
      <w:r>
        <w:rPr>
          <w:rFonts w:hint="eastAsia" w:ascii="黑体" w:hAnsi="黑体" w:eastAsia="黑体" w:cs="黑体"/>
          <w:color w:val="auto"/>
          <w:spacing w:val="5"/>
          <w:sz w:val="24"/>
          <w:szCs w:val="24"/>
          <w:u w:val="none" w:color="auto"/>
          <w:lang w:eastAsia="zh-CN"/>
        </w:rPr>
        <w:t>，</w:t>
      </w:r>
      <w:r>
        <w:rPr>
          <w:rFonts w:hint="eastAsia" w:ascii="黑体" w:hAnsi="黑体" w:eastAsia="黑体" w:cs="黑体"/>
          <w:color w:val="auto"/>
          <w:sz w:val="24"/>
          <w:szCs w:val="24"/>
        </w:rPr>
        <w:t>承诺（公司名称）参加政府采购活动</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2021年08月至今</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在经营活</w:t>
      </w:r>
      <w:r>
        <w:rPr>
          <w:rFonts w:hint="eastAsia" w:ascii="黑体" w:hAnsi="黑体" w:eastAsia="黑体" w:cs="黑体"/>
          <w:color w:val="auto"/>
          <w:spacing w:val="4"/>
          <w:sz w:val="24"/>
          <w:szCs w:val="24"/>
        </w:rPr>
        <w:t>动中没有重大违法违规记录，若有隐瞒相关情况，自愿接受一切惩</w:t>
      </w:r>
      <w:r>
        <w:rPr>
          <w:rFonts w:hint="eastAsia" w:ascii="黑体" w:hAnsi="黑体" w:eastAsia="黑体" w:cs="黑体"/>
          <w:color w:val="auto"/>
          <w:spacing w:val="-9"/>
          <w:sz w:val="24"/>
          <w:szCs w:val="24"/>
        </w:rPr>
        <w:t>罚。</w:t>
      </w:r>
    </w:p>
    <w:p w14:paraId="75C5B2F4">
      <w:pPr>
        <w:pStyle w:val="7"/>
        <w:keepNext w:val="0"/>
        <w:keepLines w:val="0"/>
        <w:pageBreakBefore w:val="0"/>
        <w:widowControl/>
        <w:kinsoku w:val="0"/>
        <w:wordWrap w:val="0"/>
        <w:overflowPunct/>
        <w:topLinePunct w:val="0"/>
        <w:autoSpaceDE/>
        <w:autoSpaceDN/>
        <w:bidi w:val="0"/>
        <w:adjustRightInd w:val="0"/>
        <w:snapToGrid w:val="0"/>
        <w:spacing w:before="205" w:line="360" w:lineRule="auto"/>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投标单位名称</w:t>
      </w:r>
      <w:r>
        <w:rPr>
          <w:rFonts w:hint="eastAsia" w:ascii="黑体" w:hAnsi="黑体" w:eastAsia="黑体" w:cs="黑体"/>
          <w:color w:val="auto"/>
          <w:spacing w:val="4"/>
          <w:sz w:val="24"/>
          <w:szCs w:val="24"/>
          <w:lang w:eastAsia="zh-CN"/>
        </w:rPr>
        <w:t>（</w:t>
      </w:r>
      <w:r>
        <w:rPr>
          <w:rFonts w:hint="eastAsia" w:ascii="黑体" w:hAnsi="黑体" w:eastAsia="黑体" w:cs="黑体"/>
          <w:color w:val="auto"/>
          <w:spacing w:val="4"/>
          <w:sz w:val="24"/>
          <w:szCs w:val="24"/>
          <w:lang w:val="en-US" w:eastAsia="zh-CN"/>
        </w:rPr>
        <w:t>加盖公章</w:t>
      </w:r>
      <w:r>
        <w:rPr>
          <w:rFonts w:hint="eastAsia" w:ascii="黑体" w:hAnsi="黑体" w:eastAsia="黑体" w:cs="黑体"/>
          <w:color w:val="auto"/>
          <w:spacing w:val="4"/>
          <w:sz w:val="24"/>
          <w:szCs w:val="24"/>
          <w:lang w:eastAsia="zh-CN"/>
        </w:rPr>
        <w:t>）</w:t>
      </w:r>
      <w:r>
        <w:rPr>
          <w:rFonts w:hint="eastAsia" w:ascii="黑体" w:hAnsi="黑体" w:eastAsia="黑体" w:cs="黑体"/>
          <w:color w:val="auto"/>
          <w:spacing w:val="4"/>
          <w:sz w:val="24"/>
          <w:szCs w:val="24"/>
        </w:rPr>
        <w:t>:</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6CE47500">
      <w:pPr>
        <w:pStyle w:val="7"/>
        <w:keepNext w:val="0"/>
        <w:keepLines w:val="0"/>
        <w:pageBreakBefore w:val="0"/>
        <w:widowControl/>
        <w:kinsoku w:val="0"/>
        <w:wordWrap w:val="0"/>
        <w:overflowPunct/>
        <w:topLinePunct w:val="0"/>
        <w:autoSpaceDE/>
        <w:autoSpaceDN/>
        <w:bidi w:val="0"/>
        <w:adjustRightInd w:val="0"/>
        <w:snapToGrid w:val="0"/>
        <w:spacing w:before="205" w:line="360" w:lineRule="auto"/>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投标单位法定代表人签字或盖章：</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4433A652">
      <w:pPr>
        <w:pStyle w:val="7"/>
        <w:keepNext w:val="0"/>
        <w:keepLines w:val="0"/>
        <w:pageBreakBefore w:val="0"/>
        <w:widowControl/>
        <w:kinsoku w:val="0"/>
        <w:wordWrap w:val="0"/>
        <w:overflowPunct/>
        <w:topLinePunct w:val="0"/>
        <w:autoSpaceDE/>
        <w:autoSpaceDN/>
        <w:bidi w:val="0"/>
        <w:adjustRightInd w:val="0"/>
        <w:snapToGrid w:val="0"/>
        <w:spacing w:before="205" w:line="360" w:lineRule="auto"/>
        <w:textAlignment w:val="baseline"/>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委托代表人签字或盖章：</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1C80DE8E">
      <w:pPr>
        <w:pStyle w:val="7"/>
        <w:pageBreakBefore w:val="0"/>
        <w:kinsoku w:val="0"/>
        <w:wordWrap w:val="0"/>
        <w:overflowPunct/>
        <w:topLinePunct w:val="0"/>
        <w:autoSpaceDE/>
        <w:autoSpaceDN/>
        <w:bidi w:val="0"/>
        <w:spacing w:before="91" w:line="360" w:lineRule="auto"/>
        <w:ind w:left="77"/>
        <w:rPr>
          <w:rFonts w:hint="eastAsia" w:ascii="黑体" w:hAnsi="黑体" w:eastAsia="黑体" w:cs="黑体"/>
          <w:color w:val="auto"/>
          <w:sz w:val="24"/>
          <w:szCs w:val="24"/>
        </w:rPr>
      </w:pPr>
      <w:r>
        <w:rPr>
          <w:rFonts w:hint="eastAsia" w:ascii="黑体" w:hAnsi="黑体" w:eastAsia="黑体" w:cs="黑体"/>
          <w:color w:val="auto"/>
          <w:spacing w:val="-23"/>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23"/>
          <w:sz w:val="24"/>
          <w:szCs w:val="24"/>
        </w:rPr>
        <w:t>年</w:t>
      </w:r>
      <w:r>
        <w:rPr>
          <w:rFonts w:hint="eastAsia" w:ascii="黑体" w:hAnsi="黑体" w:eastAsia="黑体" w:cs="黑体"/>
          <w:color w:val="auto"/>
          <w:spacing w:val="-23"/>
          <w:sz w:val="24"/>
          <w:szCs w:val="24"/>
          <w:lang w:val="en-US" w:eastAsia="zh-CN"/>
        </w:rPr>
        <w:t xml:space="preserve"> </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23"/>
          <w:sz w:val="24"/>
          <w:szCs w:val="24"/>
          <w:lang w:val="en-US" w:eastAsia="zh-CN"/>
        </w:rPr>
        <w:t xml:space="preserve"> </w:t>
      </w:r>
      <w:r>
        <w:rPr>
          <w:rFonts w:hint="eastAsia" w:ascii="黑体" w:hAnsi="黑体" w:eastAsia="黑体" w:cs="黑体"/>
          <w:color w:val="auto"/>
          <w:spacing w:val="-23"/>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23"/>
          <w:sz w:val="24"/>
          <w:szCs w:val="24"/>
        </w:rPr>
        <w:t>日</w:t>
      </w:r>
    </w:p>
    <w:p w14:paraId="03C5B1BE">
      <w:pPr>
        <w:pStyle w:val="7"/>
        <w:pageBreakBefore w:val="0"/>
        <w:kinsoku w:val="0"/>
        <w:wordWrap w:val="0"/>
        <w:overflowPunct/>
        <w:topLinePunct w:val="0"/>
        <w:autoSpaceDE/>
        <w:autoSpaceDN/>
        <w:bidi w:val="0"/>
        <w:spacing w:before="205" w:line="360" w:lineRule="auto"/>
        <w:rPr>
          <w:rFonts w:hint="eastAsia" w:ascii="黑体" w:hAnsi="黑体" w:eastAsia="黑体" w:cs="黑体"/>
          <w:color w:val="auto"/>
          <w:spacing w:val="4"/>
          <w:sz w:val="24"/>
          <w:szCs w:val="24"/>
        </w:rPr>
      </w:pPr>
      <w:r>
        <w:rPr>
          <w:rFonts w:hint="eastAsia" w:ascii="黑体" w:hAnsi="黑体" w:eastAsia="黑体" w:cs="黑体"/>
          <w:color w:val="auto"/>
          <w:spacing w:val="4"/>
          <w:sz w:val="24"/>
          <w:szCs w:val="24"/>
        </w:rPr>
        <w:t>说明：1.供应商应按照相关法规规定如实作出说明。</w:t>
      </w:r>
    </w:p>
    <w:p w14:paraId="46F19FA3">
      <w:pPr>
        <w:pStyle w:val="7"/>
        <w:pageBreakBefore w:val="0"/>
        <w:kinsoku w:val="0"/>
        <w:wordWrap w:val="0"/>
        <w:overflowPunct/>
        <w:topLinePunct w:val="0"/>
        <w:autoSpaceDE/>
        <w:autoSpaceDN/>
        <w:bidi w:val="0"/>
        <w:spacing w:before="205" w:line="360" w:lineRule="auto"/>
        <w:ind w:left="840" w:leftChars="40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2.按照磋商文件的规定加盖单位公章。</w:t>
      </w:r>
    </w:p>
    <w:p w14:paraId="0491DDDE">
      <w:pPr>
        <w:pageBreakBefore w:val="0"/>
        <w:kinsoku w:val="0"/>
        <w:wordWrap w:val="0"/>
        <w:overflowPunct/>
        <w:topLinePunct w:val="0"/>
        <w:autoSpaceDE/>
        <w:autoSpaceDN/>
        <w:bidi w:val="0"/>
        <w:spacing w:line="221" w:lineRule="auto"/>
        <w:rPr>
          <w:rFonts w:hint="eastAsia" w:ascii="黑体" w:hAnsi="黑体" w:eastAsia="黑体" w:cs="黑体"/>
          <w:color w:val="auto"/>
          <w:sz w:val="24"/>
          <w:szCs w:val="24"/>
        </w:rPr>
        <w:sectPr>
          <w:footerReference r:id="rId15" w:type="default"/>
          <w:pgSz w:w="11906" w:h="16840"/>
          <w:pgMar w:top="1423" w:right="1782" w:bottom="1361" w:left="1785" w:header="0" w:footer="1147" w:gutter="0"/>
          <w:pgNumType w:fmt="decimal"/>
          <w:cols w:space="720" w:num="1"/>
        </w:sectPr>
      </w:pPr>
    </w:p>
    <w:p w14:paraId="51D0FA6F">
      <w:pPr>
        <w:pStyle w:val="7"/>
        <w:pageBreakBefore w:val="0"/>
        <w:kinsoku w:val="0"/>
        <w:wordWrap w:val="0"/>
        <w:overflowPunct/>
        <w:topLinePunct w:val="0"/>
        <w:autoSpaceDE/>
        <w:autoSpaceDN/>
        <w:bidi w:val="0"/>
        <w:spacing w:before="84" w:line="227" w:lineRule="auto"/>
        <w:ind w:left="2279"/>
        <w:outlineLvl w:val="6"/>
        <w:rPr>
          <w:rFonts w:hint="eastAsia" w:ascii="黑体" w:hAnsi="黑体" w:eastAsia="黑体" w:cs="黑体"/>
          <w:color w:val="auto"/>
          <w:sz w:val="28"/>
          <w:szCs w:val="28"/>
        </w:rPr>
      </w:pPr>
      <w:r>
        <w:rPr>
          <w:rFonts w:hint="eastAsia" w:ascii="黑体" w:hAnsi="黑体" w:eastAsia="黑体" w:cs="黑体"/>
          <w:b/>
          <w:bCs/>
          <w:color w:val="auto"/>
          <w:spacing w:val="11"/>
          <w:sz w:val="28"/>
          <w:szCs w:val="28"/>
          <w:lang w:val="en-US" w:eastAsia="zh-CN"/>
        </w:rPr>
        <w:t>11、</w:t>
      </w:r>
      <w:r>
        <w:rPr>
          <w:rFonts w:hint="eastAsia" w:ascii="黑体" w:hAnsi="黑体" w:eastAsia="黑体" w:cs="黑体"/>
          <w:b/>
          <w:bCs/>
          <w:color w:val="auto"/>
          <w:spacing w:val="11"/>
          <w:sz w:val="28"/>
          <w:szCs w:val="28"/>
        </w:rPr>
        <w:t>磋商保证金的有效缴纳凭证</w:t>
      </w:r>
    </w:p>
    <w:p w14:paraId="5AB6AE45">
      <w:pPr>
        <w:pageBreakBefore w:val="0"/>
        <w:kinsoku w:val="0"/>
        <w:wordWrap w:val="0"/>
        <w:overflowPunct/>
        <w:topLinePunct w:val="0"/>
        <w:autoSpaceDE/>
        <w:autoSpaceDN/>
        <w:bidi w:val="0"/>
        <w:spacing w:line="276" w:lineRule="auto"/>
        <w:rPr>
          <w:rFonts w:hint="eastAsia" w:ascii="黑体" w:hAnsi="黑体" w:eastAsia="黑体" w:cs="黑体"/>
          <w:color w:val="auto"/>
          <w:sz w:val="21"/>
        </w:rPr>
      </w:pPr>
    </w:p>
    <w:p w14:paraId="40A80D16">
      <w:pPr>
        <w:pStyle w:val="7"/>
        <w:keepNext w:val="0"/>
        <w:keepLines w:val="0"/>
        <w:pageBreakBefore w:val="0"/>
        <w:widowControl/>
        <w:kinsoku w:val="0"/>
        <w:wordWrap w:val="0"/>
        <w:overflowPunct/>
        <w:topLinePunct w:val="0"/>
        <w:autoSpaceDE/>
        <w:autoSpaceDN/>
        <w:bidi w:val="0"/>
        <w:adjustRightInd w:val="0"/>
        <w:snapToGrid w:val="0"/>
        <w:spacing w:before="91" w:line="360" w:lineRule="auto"/>
        <w:ind w:firstLine="444" w:firstLineChars="200"/>
        <w:textAlignment w:val="baseline"/>
        <w:rPr>
          <w:rFonts w:hint="eastAsia" w:ascii="黑体" w:hAnsi="黑体" w:eastAsia="黑体" w:cs="黑体"/>
          <w:b w:val="0"/>
          <w:bCs w:val="0"/>
          <w:color w:val="auto"/>
          <w:spacing w:val="9"/>
          <w:sz w:val="24"/>
          <w:szCs w:val="24"/>
        </w:rPr>
      </w:pPr>
      <w:r>
        <w:rPr>
          <w:rFonts w:hint="eastAsia" w:ascii="黑体" w:hAnsi="黑体" w:eastAsia="黑体" w:cs="黑体"/>
          <w:b w:val="0"/>
          <w:bCs w:val="0"/>
          <w:color w:val="auto"/>
          <w:spacing w:val="-9"/>
          <w:sz w:val="24"/>
          <w:szCs w:val="24"/>
        </w:rPr>
        <w:t>说明：</w:t>
      </w:r>
      <w:r>
        <w:rPr>
          <w:rFonts w:hint="eastAsia" w:ascii="黑体" w:hAnsi="黑体" w:eastAsia="黑体" w:cs="黑体"/>
          <w:b w:val="0"/>
          <w:bCs w:val="0"/>
          <w:color w:val="auto"/>
          <w:spacing w:val="9"/>
          <w:sz w:val="24"/>
          <w:szCs w:val="24"/>
        </w:rPr>
        <w:t>投标人可将本项目投标保证金支付的汇款凭证</w:t>
      </w:r>
      <w:r>
        <w:rPr>
          <w:rFonts w:hint="eastAsia" w:ascii="黑体" w:hAnsi="黑体" w:eastAsia="黑体" w:cs="黑体"/>
          <w:b w:val="0"/>
          <w:bCs w:val="0"/>
          <w:color w:val="auto"/>
          <w:spacing w:val="9"/>
          <w:sz w:val="24"/>
          <w:szCs w:val="24"/>
          <w:lang w:eastAsia="zh-CN"/>
        </w:rPr>
        <w:t>或</w:t>
      </w:r>
      <w:r>
        <w:rPr>
          <w:rFonts w:hint="eastAsia" w:ascii="黑体" w:hAnsi="黑体" w:eastAsia="黑体" w:cs="黑体"/>
          <w:b w:val="0"/>
          <w:bCs w:val="0"/>
          <w:color w:val="auto"/>
          <w:spacing w:val="9"/>
          <w:sz w:val="24"/>
          <w:szCs w:val="24"/>
        </w:rPr>
        <w:t>汇票的</w:t>
      </w:r>
      <w:r>
        <w:rPr>
          <w:rFonts w:hint="eastAsia" w:ascii="黑体" w:hAnsi="黑体" w:eastAsia="黑体" w:cs="黑体"/>
          <w:b w:val="0"/>
          <w:bCs w:val="0"/>
          <w:color w:val="auto"/>
          <w:spacing w:val="9"/>
          <w:sz w:val="24"/>
          <w:szCs w:val="24"/>
          <w:lang w:eastAsia="zh-CN"/>
        </w:rPr>
        <w:t>扫描件</w:t>
      </w:r>
      <w:r>
        <w:rPr>
          <w:rFonts w:hint="eastAsia" w:ascii="黑体" w:hAnsi="黑体" w:eastAsia="黑体" w:cs="黑体"/>
          <w:b w:val="0"/>
          <w:bCs w:val="0"/>
          <w:color w:val="auto"/>
          <w:spacing w:val="9"/>
          <w:sz w:val="24"/>
          <w:szCs w:val="24"/>
        </w:rPr>
        <w:t>作为缴纳凭证上</w:t>
      </w:r>
      <w:r>
        <w:rPr>
          <w:rFonts w:hint="eastAsia" w:ascii="黑体" w:hAnsi="黑体" w:eastAsia="黑体" w:cs="黑体"/>
          <w:b w:val="0"/>
          <w:bCs w:val="0"/>
          <w:color w:val="auto"/>
          <w:spacing w:val="9"/>
          <w:sz w:val="24"/>
          <w:szCs w:val="24"/>
          <w:lang w:val="en-US" w:eastAsia="zh-CN"/>
        </w:rPr>
        <w:t>传</w:t>
      </w:r>
      <w:r>
        <w:rPr>
          <w:rFonts w:hint="eastAsia" w:ascii="黑体" w:hAnsi="黑体" w:eastAsia="黑体" w:cs="黑体"/>
          <w:b w:val="0"/>
          <w:bCs w:val="0"/>
          <w:color w:val="auto"/>
          <w:spacing w:val="9"/>
          <w:sz w:val="24"/>
          <w:szCs w:val="24"/>
        </w:rPr>
        <w:t>在本部分中</w:t>
      </w:r>
      <w:r>
        <w:rPr>
          <w:rFonts w:hint="eastAsia" w:ascii="黑体" w:hAnsi="黑体" w:eastAsia="黑体" w:cs="黑体"/>
          <w:b w:val="0"/>
          <w:bCs w:val="0"/>
          <w:color w:val="auto"/>
          <w:spacing w:val="9"/>
          <w:sz w:val="24"/>
          <w:szCs w:val="24"/>
          <w:lang w:eastAsia="zh-CN"/>
        </w:rPr>
        <w:t>，</w:t>
      </w:r>
      <w:r>
        <w:rPr>
          <w:rFonts w:hint="eastAsia" w:ascii="黑体" w:hAnsi="黑体" w:eastAsia="黑体" w:cs="黑体"/>
          <w:b w:val="0"/>
          <w:bCs w:val="0"/>
          <w:color w:val="auto"/>
          <w:spacing w:val="9"/>
          <w:sz w:val="24"/>
          <w:szCs w:val="24"/>
        </w:rPr>
        <w:t>加盖本单位章；使用银行保函等其他投标担保函的，应将担保函，上</w:t>
      </w:r>
      <w:r>
        <w:rPr>
          <w:rFonts w:hint="eastAsia" w:ascii="黑体" w:hAnsi="黑体" w:eastAsia="黑体" w:cs="黑体"/>
          <w:b w:val="0"/>
          <w:bCs w:val="0"/>
          <w:color w:val="auto"/>
          <w:spacing w:val="9"/>
          <w:sz w:val="24"/>
          <w:szCs w:val="24"/>
          <w:lang w:val="en-US" w:eastAsia="zh-CN"/>
        </w:rPr>
        <w:t>传</w:t>
      </w:r>
      <w:r>
        <w:rPr>
          <w:rFonts w:hint="eastAsia" w:ascii="黑体" w:hAnsi="黑体" w:eastAsia="黑体" w:cs="黑体"/>
          <w:b w:val="0"/>
          <w:bCs w:val="0"/>
          <w:color w:val="auto"/>
          <w:spacing w:val="9"/>
          <w:sz w:val="24"/>
          <w:szCs w:val="24"/>
        </w:rPr>
        <w:t>在本部分中；如采用政府采购信用担保形式的，应使用政府采购投标担保函（投标文件格式六）,上</w:t>
      </w:r>
      <w:r>
        <w:rPr>
          <w:rFonts w:hint="eastAsia" w:ascii="黑体" w:hAnsi="黑体" w:eastAsia="黑体" w:cs="黑体"/>
          <w:b w:val="0"/>
          <w:bCs w:val="0"/>
          <w:color w:val="auto"/>
          <w:spacing w:val="9"/>
          <w:sz w:val="24"/>
          <w:szCs w:val="24"/>
          <w:lang w:val="en-US" w:eastAsia="zh-CN"/>
        </w:rPr>
        <w:t>传</w:t>
      </w:r>
      <w:r>
        <w:rPr>
          <w:rFonts w:hint="eastAsia" w:ascii="黑体" w:hAnsi="黑体" w:eastAsia="黑体" w:cs="黑体"/>
          <w:b w:val="0"/>
          <w:bCs w:val="0"/>
          <w:color w:val="auto"/>
          <w:spacing w:val="9"/>
          <w:sz w:val="24"/>
          <w:szCs w:val="24"/>
        </w:rPr>
        <w:t>在本部分中。</w:t>
      </w:r>
    </w:p>
    <w:p w14:paraId="5D1C7474">
      <w:pPr>
        <w:pageBreakBefore w:val="0"/>
        <w:kinsoku w:val="0"/>
        <w:wordWrap w:val="0"/>
        <w:overflowPunct/>
        <w:topLinePunct w:val="0"/>
        <w:autoSpaceDE/>
        <w:autoSpaceDN/>
        <w:bidi w:val="0"/>
        <w:rPr>
          <w:rFonts w:hint="eastAsia" w:ascii="黑体" w:hAnsi="黑体" w:eastAsia="黑体" w:cs="黑体"/>
          <w:b/>
          <w:bCs/>
          <w:color w:val="auto"/>
          <w:spacing w:val="10"/>
          <w:sz w:val="28"/>
          <w:szCs w:val="28"/>
        </w:rPr>
      </w:pPr>
    </w:p>
    <w:p w14:paraId="00A5ADB1">
      <w:pPr>
        <w:pageBreakBefore w:val="0"/>
        <w:kinsoku w:val="0"/>
        <w:wordWrap w:val="0"/>
        <w:overflowPunct/>
        <w:topLinePunct w:val="0"/>
        <w:autoSpaceDE/>
        <w:autoSpaceDN/>
        <w:bidi w:val="0"/>
        <w:rPr>
          <w:rFonts w:hint="eastAsia" w:ascii="黑体" w:hAnsi="黑体" w:eastAsia="黑体" w:cs="黑体"/>
          <w:b/>
          <w:bCs/>
          <w:color w:val="auto"/>
          <w:spacing w:val="10"/>
          <w:sz w:val="28"/>
          <w:szCs w:val="28"/>
        </w:rPr>
      </w:pPr>
    </w:p>
    <w:p w14:paraId="6A87DC81">
      <w:pPr>
        <w:pageBreakBefore w:val="0"/>
        <w:kinsoku w:val="0"/>
        <w:wordWrap w:val="0"/>
        <w:overflowPunct/>
        <w:topLinePunct w:val="0"/>
        <w:autoSpaceDE/>
        <w:autoSpaceDN/>
        <w:bidi w:val="0"/>
        <w:rPr>
          <w:rFonts w:hint="eastAsia" w:ascii="黑体" w:hAnsi="黑体" w:eastAsia="黑体" w:cs="黑体"/>
          <w:b/>
          <w:bCs/>
          <w:color w:val="auto"/>
          <w:spacing w:val="10"/>
          <w:sz w:val="28"/>
          <w:szCs w:val="28"/>
        </w:rPr>
      </w:pPr>
    </w:p>
    <w:p w14:paraId="50037B13">
      <w:pPr>
        <w:pageBreakBefore w:val="0"/>
        <w:kinsoku w:val="0"/>
        <w:wordWrap w:val="0"/>
        <w:overflowPunct/>
        <w:topLinePunct w:val="0"/>
        <w:autoSpaceDE/>
        <w:autoSpaceDN/>
        <w:bidi w:val="0"/>
        <w:rPr>
          <w:rFonts w:hint="eastAsia" w:ascii="黑体" w:hAnsi="黑体" w:eastAsia="黑体" w:cs="黑体"/>
          <w:b/>
          <w:bCs/>
          <w:color w:val="auto"/>
          <w:spacing w:val="10"/>
          <w:sz w:val="28"/>
          <w:szCs w:val="28"/>
        </w:rPr>
      </w:pPr>
    </w:p>
    <w:p w14:paraId="654A06A2">
      <w:pPr>
        <w:pageBreakBefore w:val="0"/>
        <w:kinsoku w:val="0"/>
        <w:wordWrap w:val="0"/>
        <w:overflowPunct/>
        <w:topLinePunct w:val="0"/>
        <w:autoSpaceDE/>
        <w:autoSpaceDN/>
        <w:bidi w:val="0"/>
        <w:jc w:val="center"/>
        <w:rPr>
          <w:rFonts w:hint="eastAsia" w:ascii="黑体" w:hAnsi="黑体" w:eastAsia="黑体" w:cs="黑体"/>
          <w:color w:val="auto"/>
          <w:sz w:val="30"/>
          <w:szCs w:val="30"/>
        </w:rPr>
      </w:pPr>
      <w:r>
        <w:rPr>
          <w:rFonts w:hint="eastAsia" w:ascii="黑体" w:hAnsi="黑体" w:eastAsia="黑体" w:cs="黑体"/>
          <w:b/>
          <w:bCs/>
          <w:color w:val="auto"/>
          <w:spacing w:val="10"/>
          <w:sz w:val="28"/>
          <w:szCs w:val="28"/>
          <w:lang w:val="en-US" w:eastAsia="zh-CN"/>
        </w:rPr>
        <w:t>12、</w:t>
      </w:r>
      <w:r>
        <w:rPr>
          <w:rFonts w:hint="eastAsia" w:ascii="黑体" w:hAnsi="黑体" w:eastAsia="黑体" w:cs="黑体"/>
          <w:b/>
          <w:bCs/>
          <w:color w:val="auto"/>
          <w:spacing w:val="10"/>
          <w:sz w:val="28"/>
          <w:szCs w:val="28"/>
        </w:rPr>
        <w:t>供应商须知资料表要求的其他资格证明文件</w:t>
      </w:r>
    </w:p>
    <w:p w14:paraId="189B0BEA">
      <w:pPr>
        <w:pageBreakBefore w:val="0"/>
        <w:kinsoku w:val="0"/>
        <w:wordWrap w:val="0"/>
        <w:overflowPunct/>
        <w:topLinePunct w:val="0"/>
        <w:autoSpaceDE/>
        <w:autoSpaceDN/>
        <w:bidi w:val="0"/>
        <w:spacing w:line="283" w:lineRule="auto"/>
        <w:rPr>
          <w:rFonts w:hint="eastAsia" w:ascii="黑体" w:hAnsi="黑体" w:eastAsia="黑体" w:cs="黑体"/>
          <w:color w:val="auto"/>
          <w:sz w:val="21"/>
        </w:rPr>
      </w:pPr>
    </w:p>
    <w:p w14:paraId="0BA419FC">
      <w:pPr>
        <w:pStyle w:val="7"/>
        <w:pageBreakBefore w:val="0"/>
        <w:kinsoku w:val="0"/>
        <w:wordWrap w:val="0"/>
        <w:overflowPunct/>
        <w:topLinePunct w:val="0"/>
        <w:autoSpaceDE/>
        <w:autoSpaceDN/>
        <w:bidi w:val="0"/>
        <w:spacing w:before="92" w:line="224" w:lineRule="auto"/>
        <w:ind w:left="50"/>
        <w:rPr>
          <w:rFonts w:hint="eastAsia" w:ascii="黑体" w:hAnsi="黑体" w:eastAsia="黑体" w:cs="黑体"/>
          <w:color w:val="auto"/>
          <w:spacing w:val="-3"/>
          <w:sz w:val="24"/>
          <w:szCs w:val="24"/>
        </w:rPr>
      </w:pPr>
      <w:r>
        <w:rPr>
          <w:rFonts w:hint="eastAsia" w:ascii="黑体" w:hAnsi="黑体" w:eastAsia="黑体" w:cs="黑体"/>
          <w:color w:val="auto"/>
          <w:spacing w:val="-9"/>
          <w:sz w:val="24"/>
          <w:szCs w:val="24"/>
        </w:rPr>
        <w:t>说明：</w:t>
      </w:r>
      <w:r>
        <w:rPr>
          <w:rFonts w:hint="eastAsia" w:ascii="黑体" w:hAnsi="黑体" w:eastAsia="黑体" w:cs="黑体"/>
          <w:color w:val="auto"/>
          <w:spacing w:val="-3"/>
          <w:sz w:val="24"/>
          <w:szCs w:val="24"/>
        </w:rPr>
        <w:t>1.应提供</w:t>
      </w:r>
      <w:r>
        <w:rPr>
          <w:rFonts w:hint="eastAsia" w:ascii="黑体" w:hAnsi="黑体" w:eastAsia="黑体" w:cs="黑体"/>
          <w:color w:val="auto"/>
          <w:spacing w:val="-3"/>
          <w:sz w:val="24"/>
          <w:szCs w:val="24"/>
          <w:u w:val="single" w:color="auto"/>
        </w:rPr>
        <w:t>供应商须知资料表</w:t>
      </w:r>
      <w:r>
        <w:rPr>
          <w:rFonts w:hint="eastAsia" w:ascii="黑体" w:hAnsi="黑体" w:eastAsia="黑体" w:cs="黑体"/>
          <w:color w:val="auto"/>
          <w:spacing w:val="-3"/>
          <w:sz w:val="24"/>
          <w:szCs w:val="24"/>
        </w:rPr>
        <w:t>要求的其他资格证明文件。</w:t>
      </w:r>
    </w:p>
    <w:p w14:paraId="36FCE8D9">
      <w:pPr>
        <w:pageBreakBefore w:val="0"/>
        <w:kinsoku w:val="0"/>
        <w:wordWrap w:val="0"/>
        <w:overflowPunct/>
        <w:topLinePunct w:val="0"/>
        <w:autoSpaceDE/>
        <w:autoSpaceDN/>
        <w:bidi w:val="0"/>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br w:type="page"/>
      </w:r>
    </w:p>
    <w:p w14:paraId="71722D7B">
      <w:pPr>
        <w:pageBreakBefore w:val="0"/>
        <w:kinsoku w:val="0"/>
        <w:wordWrap w:val="0"/>
        <w:overflowPunct/>
        <w:topLinePunct w:val="0"/>
        <w:autoSpaceDE/>
        <w:autoSpaceDN/>
        <w:bidi w:val="0"/>
        <w:spacing w:before="120" w:line="184" w:lineRule="auto"/>
        <w:ind w:left="3528"/>
        <w:rPr>
          <w:rFonts w:hint="eastAsia" w:ascii="黑体" w:hAnsi="黑体" w:eastAsia="黑体" w:cs="黑体"/>
          <w:color w:val="auto"/>
          <w:sz w:val="28"/>
          <w:szCs w:val="28"/>
        </w:rPr>
      </w:pPr>
      <w:r>
        <w:rPr>
          <w:rFonts w:hint="eastAsia" w:ascii="黑体" w:hAnsi="黑体" w:eastAsia="黑体" w:cs="黑体"/>
          <w:b/>
          <w:bCs/>
          <w:color w:val="auto"/>
          <w:spacing w:val="-2"/>
          <w:sz w:val="28"/>
          <w:szCs w:val="28"/>
          <w:lang w:val="en-US" w:eastAsia="zh-CN"/>
        </w:rPr>
        <w:t>13</w:t>
      </w:r>
      <w:r>
        <w:rPr>
          <w:rFonts w:hint="eastAsia" w:ascii="黑体" w:hAnsi="黑体" w:eastAsia="黑体" w:cs="黑体"/>
          <w:b/>
          <w:bCs/>
          <w:color w:val="auto"/>
          <w:spacing w:val="-2"/>
          <w:sz w:val="28"/>
          <w:szCs w:val="28"/>
        </w:rPr>
        <w:t>、投标人关联单位的说明</w:t>
      </w:r>
    </w:p>
    <w:p w14:paraId="011069B8">
      <w:pPr>
        <w:pageBreakBefore w:val="0"/>
        <w:kinsoku w:val="0"/>
        <w:wordWrap w:val="0"/>
        <w:overflowPunct/>
        <w:topLinePunct w:val="0"/>
        <w:autoSpaceDE/>
        <w:autoSpaceDN/>
        <w:bidi w:val="0"/>
        <w:spacing w:before="174" w:line="360" w:lineRule="auto"/>
        <w:ind w:left="2"/>
        <w:rPr>
          <w:rFonts w:hint="eastAsia" w:ascii="黑体" w:hAnsi="黑体" w:eastAsia="黑体" w:cs="黑体"/>
          <w:color w:val="auto"/>
          <w:sz w:val="24"/>
          <w:szCs w:val="24"/>
        </w:rPr>
      </w:pPr>
      <w:r>
        <w:rPr>
          <w:rFonts w:hint="eastAsia" w:ascii="黑体" w:hAnsi="黑体" w:eastAsia="黑体" w:cs="黑体"/>
          <w:color w:val="auto"/>
          <w:spacing w:val="11"/>
          <w:sz w:val="24"/>
          <w:szCs w:val="24"/>
        </w:rPr>
        <w:t>致</w:t>
      </w:r>
      <w:r>
        <w:rPr>
          <w:rFonts w:hint="eastAsia" w:ascii="黑体" w:hAnsi="黑体" w:eastAsia="黑体" w:cs="黑体"/>
          <w:color w:val="auto"/>
          <w:spacing w:val="-64"/>
          <w:w w:val="97"/>
          <w:sz w:val="24"/>
          <w:szCs w:val="24"/>
        </w:rPr>
        <w:t>：</w:t>
      </w:r>
      <w:r>
        <w:rPr>
          <w:rFonts w:hint="eastAsia" w:ascii="黑体" w:hAnsi="黑体" w:eastAsia="黑体" w:cs="黑体"/>
          <w:color w:val="auto"/>
          <w:spacing w:val="11"/>
          <w:sz w:val="24"/>
          <w:szCs w:val="24"/>
          <w:u w:val="single" w:color="auto"/>
        </w:rPr>
        <w:t>采购人名称</w:t>
      </w:r>
    </w:p>
    <w:p w14:paraId="172DD8B0">
      <w:pPr>
        <w:pageBreakBefore w:val="0"/>
        <w:kinsoku w:val="0"/>
        <w:wordWrap w:val="0"/>
        <w:overflowPunct/>
        <w:topLinePunct w:val="0"/>
        <w:autoSpaceDE/>
        <w:autoSpaceDN/>
        <w:bidi w:val="0"/>
        <w:spacing w:before="62" w:line="360" w:lineRule="auto"/>
        <w:ind w:firstLine="484" w:firstLineChars="200"/>
        <w:jc w:val="both"/>
        <w:rPr>
          <w:rFonts w:hint="eastAsia" w:ascii="黑体" w:hAnsi="黑体" w:eastAsia="黑体" w:cs="黑体"/>
          <w:color w:val="auto"/>
          <w:sz w:val="24"/>
          <w:szCs w:val="24"/>
        </w:rPr>
      </w:pPr>
      <w:r>
        <w:rPr>
          <w:rFonts w:hint="eastAsia" w:ascii="黑体" w:hAnsi="黑体" w:eastAsia="黑体" w:cs="黑体"/>
          <w:color w:val="auto"/>
          <w:spacing w:val="1"/>
          <w:sz w:val="24"/>
          <w:szCs w:val="24"/>
        </w:rPr>
        <w:t>我方参加</w:t>
      </w:r>
      <w:r>
        <w:rPr>
          <w:rFonts w:hint="eastAsia" w:ascii="黑体" w:hAnsi="黑体" w:eastAsia="黑体" w:cs="黑体"/>
          <w:color w:val="auto"/>
          <w:spacing w:val="1"/>
          <w:sz w:val="24"/>
          <w:szCs w:val="24"/>
          <w:u w:val="single" w:color="auto"/>
        </w:rPr>
        <w:t>（项目名称）</w:t>
      </w:r>
      <w:r>
        <w:rPr>
          <w:rFonts w:hint="eastAsia" w:ascii="黑体" w:hAnsi="黑体" w:eastAsia="黑体" w:cs="黑体"/>
          <w:color w:val="auto"/>
          <w:sz w:val="24"/>
          <w:szCs w:val="24"/>
        </w:rPr>
        <w:t>的申请，根据法律法规维护投标公正性的相关规</w:t>
      </w:r>
      <w:r>
        <w:rPr>
          <w:rFonts w:hint="eastAsia" w:ascii="黑体" w:hAnsi="黑体" w:eastAsia="黑体" w:cs="黑体"/>
          <w:color w:val="auto"/>
          <w:spacing w:val="-4"/>
          <w:sz w:val="24"/>
          <w:szCs w:val="24"/>
        </w:rPr>
        <w:t>定，特就本单位控股及管理关系情况申报如下，</w:t>
      </w:r>
      <w:r>
        <w:rPr>
          <w:rFonts w:hint="eastAsia" w:ascii="黑体" w:hAnsi="黑体" w:eastAsia="黑体" w:cs="黑体"/>
          <w:color w:val="auto"/>
          <w:spacing w:val="-5"/>
          <w:sz w:val="24"/>
          <w:szCs w:val="24"/>
        </w:rPr>
        <w:t>并承担申报不实的责任。</w:t>
      </w:r>
    </w:p>
    <w:tbl>
      <w:tblPr>
        <w:tblStyle w:val="22"/>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2626"/>
        <w:gridCol w:w="3634"/>
      </w:tblGrid>
      <w:tr w14:paraId="0DE25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noWrap w:val="0"/>
            <w:vAlign w:val="top"/>
          </w:tcPr>
          <w:p w14:paraId="121CC8DE">
            <w:pPr>
              <w:pStyle w:val="23"/>
              <w:pageBreakBefore w:val="0"/>
              <w:kinsoku w:val="0"/>
              <w:wordWrap w:val="0"/>
              <w:overflowPunct/>
              <w:topLinePunct w:val="0"/>
              <w:autoSpaceDE/>
              <w:autoSpaceDN/>
              <w:bidi w:val="0"/>
              <w:spacing w:before="207" w:line="360" w:lineRule="auto"/>
              <w:ind w:left="1122"/>
              <w:rPr>
                <w:rFonts w:hint="eastAsia" w:ascii="黑体" w:hAnsi="黑体" w:eastAsia="黑体" w:cs="黑体"/>
                <w:color w:val="auto"/>
                <w:sz w:val="24"/>
                <w:szCs w:val="24"/>
              </w:rPr>
            </w:pPr>
            <w:r>
              <w:rPr>
                <w:rFonts w:hint="eastAsia" w:ascii="黑体" w:hAnsi="黑体" w:eastAsia="黑体" w:cs="黑体"/>
                <w:color w:val="auto"/>
                <w:spacing w:val="-5"/>
                <w:sz w:val="24"/>
                <w:szCs w:val="24"/>
              </w:rPr>
              <w:t>申报人名称</w:t>
            </w:r>
          </w:p>
        </w:tc>
        <w:tc>
          <w:tcPr>
            <w:tcW w:w="6260" w:type="dxa"/>
            <w:gridSpan w:val="2"/>
            <w:noWrap w:val="0"/>
            <w:vAlign w:val="top"/>
          </w:tcPr>
          <w:p w14:paraId="51937F81">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5913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noWrap w:val="0"/>
            <w:vAlign w:val="top"/>
          </w:tcPr>
          <w:p w14:paraId="07D2F19B">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p w14:paraId="0BA80323">
            <w:pPr>
              <w:pStyle w:val="23"/>
              <w:pageBreakBefore w:val="0"/>
              <w:kinsoku w:val="0"/>
              <w:wordWrap w:val="0"/>
              <w:overflowPunct/>
              <w:topLinePunct w:val="0"/>
              <w:autoSpaceDE/>
              <w:autoSpaceDN/>
              <w:bidi w:val="0"/>
              <w:spacing w:before="103" w:line="360" w:lineRule="auto"/>
              <w:ind w:left="450"/>
              <w:rPr>
                <w:rFonts w:hint="eastAsia" w:ascii="黑体" w:hAnsi="黑体" w:eastAsia="黑体" w:cs="黑体"/>
                <w:color w:val="auto"/>
                <w:sz w:val="24"/>
                <w:szCs w:val="24"/>
              </w:rPr>
            </w:pPr>
            <w:r>
              <w:rPr>
                <w:rFonts w:hint="eastAsia" w:ascii="黑体" w:hAnsi="黑体" w:eastAsia="黑体" w:cs="黑体"/>
                <w:color w:val="auto"/>
                <w:spacing w:val="-1"/>
                <w:sz w:val="24"/>
                <w:szCs w:val="24"/>
              </w:rPr>
              <w:t>法定代表人/单位负责人</w:t>
            </w:r>
          </w:p>
        </w:tc>
        <w:tc>
          <w:tcPr>
            <w:tcW w:w="2626" w:type="dxa"/>
            <w:noWrap w:val="0"/>
            <w:vAlign w:val="top"/>
          </w:tcPr>
          <w:p w14:paraId="07064856">
            <w:pPr>
              <w:pStyle w:val="23"/>
              <w:pageBreakBefore w:val="0"/>
              <w:kinsoku w:val="0"/>
              <w:wordWrap w:val="0"/>
              <w:overflowPunct/>
              <w:topLinePunct w:val="0"/>
              <w:autoSpaceDE/>
              <w:autoSpaceDN/>
              <w:bidi w:val="0"/>
              <w:spacing w:before="204" w:line="360" w:lineRule="auto"/>
              <w:ind w:left="1027"/>
              <w:jc w:val="center"/>
              <w:rPr>
                <w:rFonts w:hint="eastAsia" w:ascii="黑体" w:hAnsi="黑体" w:eastAsia="黑体" w:cs="黑体"/>
                <w:color w:val="auto"/>
                <w:sz w:val="24"/>
                <w:szCs w:val="24"/>
              </w:rPr>
            </w:pPr>
            <w:r>
              <w:rPr>
                <w:rFonts w:hint="eastAsia" w:ascii="黑体" w:hAnsi="黑体" w:eastAsia="黑体" w:cs="黑体"/>
                <w:color w:val="auto"/>
                <w:spacing w:val="-2"/>
                <w:sz w:val="24"/>
                <w:szCs w:val="24"/>
              </w:rPr>
              <w:t>姓名</w:t>
            </w:r>
          </w:p>
        </w:tc>
        <w:tc>
          <w:tcPr>
            <w:tcW w:w="3634" w:type="dxa"/>
            <w:noWrap w:val="0"/>
            <w:vAlign w:val="top"/>
          </w:tcPr>
          <w:p w14:paraId="49CF90D4">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41AF8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noWrap w:val="0"/>
            <w:vAlign w:val="top"/>
          </w:tcPr>
          <w:p w14:paraId="4BBE80DA">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c>
          <w:tcPr>
            <w:tcW w:w="2626" w:type="dxa"/>
            <w:noWrap w:val="0"/>
            <w:vAlign w:val="top"/>
          </w:tcPr>
          <w:p w14:paraId="2B566994">
            <w:pPr>
              <w:pStyle w:val="23"/>
              <w:pageBreakBefore w:val="0"/>
              <w:kinsoku w:val="0"/>
              <w:wordWrap w:val="0"/>
              <w:overflowPunct/>
              <w:topLinePunct w:val="0"/>
              <w:autoSpaceDE/>
              <w:autoSpaceDN/>
              <w:bidi w:val="0"/>
              <w:spacing w:before="205" w:line="360" w:lineRule="auto"/>
              <w:ind w:left="1028"/>
              <w:jc w:val="center"/>
              <w:rPr>
                <w:rFonts w:hint="eastAsia" w:ascii="黑体" w:hAnsi="黑体" w:eastAsia="黑体" w:cs="黑体"/>
                <w:color w:val="auto"/>
                <w:sz w:val="24"/>
                <w:szCs w:val="24"/>
              </w:rPr>
            </w:pPr>
            <w:r>
              <w:rPr>
                <w:rFonts w:hint="eastAsia" w:ascii="黑体" w:hAnsi="黑体" w:eastAsia="黑体" w:cs="黑体"/>
                <w:color w:val="auto"/>
                <w:spacing w:val="-2"/>
                <w:sz w:val="24"/>
                <w:szCs w:val="24"/>
              </w:rPr>
              <w:t>身份证号</w:t>
            </w:r>
          </w:p>
        </w:tc>
        <w:tc>
          <w:tcPr>
            <w:tcW w:w="3634" w:type="dxa"/>
            <w:noWrap w:val="0"/>
            <w:vAlign w:val="top"/>
          </w:tcPr>
          <w:p w14:paraId="3E11B1B8">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032C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noWrap w:val="0"/>
            <w:vAlign w:val="top"/>
          </w:tcPr>
          <w:p w14:paraId="11C43FF8">
            <w:pPr>
              <w:pStyle w:val="23"/>
              <w:pageBreakBefore w:val="0"/>
              <w:kinsoku w:val="0"/>
              <w:wordWrap w:val="0"/>
              <w:overflowPunct/>
              <w:topLinePunct w:val="0"/>
              <w:autoSpaceDE/>
              <w:autoSpaceDN/>
              <w:bidi w:val="0"/>
              <w:spacing w:before="160" w:line="360" w:lineRule="auto"/>
              <w:ind w:left="570"/>
              <w:rPr>
                <w:rFonts w:hint="eastAsia" w:ascii="黑体" w:hAnsi="黑体" w:eastAsia="黑体" w:cs="黑体"/>
                <w:color w:val="auto"/>
                <w:sz w:val="24"/>
                <w:szCs w:val="24"/>
              </w:rPr>
            </w:pPr>
            <w:r>
              <w:rPr>
                <w:rFonts w:hint="eastAsia" w:ascii="黑体" w:hAnsi="黑体" w:eastAsia="黑体" w:cs="黑体"/>
                <w:color w:val="auto"/>
                <w:spacing w:val="-1"/>
                <w:position w:val="29"/>
                <w:sz w:val="24"/>
                <w:szCs w:val="24"/>
              </w:rPr>
              <w:t>控股股东/投资人名称</w:t>
            </w:r>
          </w:p>
          <w:p w14:paraId="65CB0AB9">
            <w:pPr>
              <w:pStyle w:val="23"/>
              <w:pageBreakBefore w:val="0"/>
              <w:kinsoku w:val="0"/>
              <w:wordWrap w:val="0"/>
              <w:overflowPunct/>
              <w:topLinePunct w:val="0"/>
              <w:autoSpaceDE/>
              <w:autoSpaceDN/>
              <w:bidi w:val="0"/>
              <w:spacing w:before="1" w:line="360" w:lineRule="auto"/>
              <w:ind w:left="1101"/>
              <w:rPr>
                <w:rFonts w:hint="eastAsia" w:ascii="黑体" w:hAnsi="黑体" w:eastAsia="黑体" w:cs="黑体"/>
                <w:color w:val="auto"/>
                <w:sz w:val="24"/>
                <w:szCs w:val="24"/>
              </w:rPr>
            </w:pPr>
            <w:r>
              <w:rPr>
                <w:rFonts w:hint="eastAsia" w:ascii="黑体" w:hAnsi="黑体" w:eastAsia="黑体" w:cs="黑体"/>
                <w:color w:val="auto"/>
                <w:spacing w:val="-1"/>
                <w:sz w:val="24"/>
                <w:szCs w:val="24"/>
              </w:rPr>
              <w:t>及出资比例</w:t>
            </w:r>
          </w:p>
        </w:tc>
        <w:tc>
          <w:tcPr>
            <w:tcW w:w="6260" w:type="dxa"/>
            <w:gridSpan w:val="2"/>
            <w:noWrap w:val="0"/>
            <w:vAlign w:val="top"/>
          </w:tcPr>
          <w:p w14:paraId="5B3AD437">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14BA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noWrap w:val="0"/>
            <w:vAlign w:val="top"/>
          </w:tcPr>
          <w:p w14:paraId="10337A43">
            <w:pPr>
              <w:pStyle w:val="23"/>
              <w:pageBreakBefore w:val="0"/>
              <w:kinsoku w:val="0"/>
              <w:wordWrap w:val="0"/>
              <w:overflowPunct/>
              <w:topLinePunct w:val="0"/>
              <w:autoSpaceDE/>
              <w:autoSpaceDN/>
              <w:bidi w:val="0"/>
              <w:spacing w:before="161" w:line="360" w:lineRule="auto"/>
              <w:ind w:left="452"/>
              <w:rPr>
                <w:rFonts w:hint="eastAsia" w:ascii="黑体" w:hAnsi="黑体" w:eastAsia="黑体" w:cs="黑体"/>
                <w:color w:val="auto"/>
                <w:sz w:val="24"/>
                <w:szCs w:val="24"/>
              </w:rPr>
            </w:pPr>
            <w:r>
              <w:rPr>
                <w:rFonts w:hint="eastAsia" w:ascii="黑体" w:hAnsi="黑体" w:eastAsia="黑体" w:cs="黑体"/>
                <w:color w:val="auto"/>
                <w:spacing w:val="-1"/>
                <w:position w:val="29"/>
                <w:sz w:val="24"/>
                <w:szCs w:val="24"/>
              </w:rPr>
              <w:t>非控股股东/投资人名称</w:t>
            </w:r>
          </w:p>
          <w:p w14:paraId="1A0A0C65">
            <w:pPr>
              <w:pStyle w:val="23"/>
              <w:pageBreakBefore w:val="0"/>
              <w:kinsoku w:val="0"/>
              <w:wordWrap w:val="0"/>
              <w:overflowPunct/>
              <w:topLinePunct w:val="0"/>
              <w:autoSpaceDE/>
              <w:autoSpaceDN/>
              <w:bidi w:val="0"/>
              <w:spacing w:before="1" w:line="360" w:lineRule="auto"/>
              <w:ind w:left="1101"/>
              <w:rPr>
                <w:rFonts w:hint="eastAsia" w:ascii="黑体" w:hAnsi="黑体" w:eastAsia="黑体" w:cs="黑体"/>
                <w:color w:val="auto"/>
                <w:sz w:val="24"/>
                <w:szCs w:val="24"/>
              </w:rPr>
            </w:pPr>
            <w:r>
              <w:rPr>
                <w:rFonts w:hint="eastAsia" w:ascii="黑体" w:hAnsi="黑体" w:eastAsia="黑体" w:cs="黑体"/>
                <w:color w:val="auto"/>
                <w:spacing w:val="-1"/>
                <w:sz w:val="24"/>
                <w:szCs w:val="24"/>
              </w:rPr>
              <w:t>及出资比例</w:t>
            </w:r>
          </w:p>
        </w:tc>
        <w:tc>
          <w:tcPr>
            <w:tcW w:w="6260" w:type="dxa"/>
            <w:gridSpan w:val="2"/>
            <w:noWrap w:val="0"/>
            <w:vAlign w:val="top"/>
          </w:tcPr>
          <w:p w14:paraId="46398483">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4E31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noWrap w:val="0"/>
            <w:vAlign w:val="top"/>
          </w:tcPr>
          <w:p w14:paraId="68DECE95">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p w14:paraId="647C6818">
            <w:pPr>
              <w:pStyle w:val="23"/>
              <w:pageBreakBefore w:val="0"/>
              <w:kinsoku w:val="0"/>
              <w:wordWrap w:val="0"/>
              <w:overflowPunct/>
              <w:topLinePunct w:val="0"/>
              <w:autoSpaceDE/>
              <w:autoSpaceDN/>
              <w:bidi w:val="0"/>
              <w:spacing w:before="103" w:line="360" w:lineRule="auto"/>
              <w:ind w:left="741"/>
              <w:rPr>
                <w:rFonts w:hint="eastAsia" w:ascii="黑体" w:hAnsi="黑体" w:eastAsia="黑体" w:cs="黑体"/>
                <w:color w:val="auto"/>
                <w:sz w:val="24"/>
                <w:szCs w:val="24"/>
              </w:rPr>
            </w:pPr>
            <w:r>
              <w:rPr>
                <w:rFonts w:hint="eastAsia" w:ascii="黑体" w:hAnsi="黑体" w:eastAsia="黑体" w:cs="黑体"/>
                <w:color w:val="auto"/>
                <w:spacing w:val="-1"/>
                <w:sz w:val="24"/>
                <w:szCs w:val="24"/>
              </w:rPr>
              <w:t>管理关系单位名称</w:t>
            </w:r>
          </w:p>
        </w:tc>
        <w:tc>
          <w:tcPr>
            <w:tcW w:w="2626" w:type="dxa"/>
            <w:noWrap w:val="0"/>
            <w:vAlign w:val="top"/>
          </w:tcPr>
          <w:p w14:paraId="3FB874FF">
            <w:pPr>
              <w:pStyle w:val="23"/>
              <w:pageBreakBefore w:val="0"/>
              <w:kinsoku w:val="0"/>
              <w:wordWrap w:val="0"/>
              <w:overflowPunct/>
              <w:topLinePunct w:val="0"/>
              <w:autoSpaceDE/>
              <w:autoSpaceDN/>
              <w:bidi w:val="0"/>
              <w:spacing w:before="206" w:line="360" w:lineRule="auto"/>
              <w:ind w:left="547"/>
              <w:rPr>
                <w:rFonts w:hint="eastAsia" w:ascii="黑体" w:hAnsi="黑体" w:eastAsia="黑体" w:cs="黑体"/>
                <w:color w:val="auto"/>
                <w:sz w:val="24"/>
                <w:szCs w:val="24"/>
              </w:rPr>
            </w:pPr>
            <w:r>
              <w:rPr>
                <w:rFonts w:hint="eastAsia" w:ascii="黑体" w:hAnsi="黑体" w:eastAsia="黑体" w:cs="黑体"/>
                <w:color w:val="auto"/>
                <w:spacing w:val="-1"/>
                <w:sz w:val="24"/>
                <w:szCs w:val="24"/>
              </w:rPr>
              <w:t>管理关系单位名称</w:t>
            </w:r>
          </w:p>
        </w:tc>
        <w:tc>
          <w:tcPr>
            <w:tcW w:w="3634" w:type="dxa"/>
            <w:noWrap w:val="0"/>
            <w:vAlign w:val="top"/>
          </w:tcPr>
          <w:p w14:paraId="5CDFEF7A">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0CE6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noWrap w:val="0"/>
            <w:vAlign w:val="top"/>
          </w:tcPr>
          <w:p w14:paraId="657743BB">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c>
          <w:tcPr>
            <w:tcW w:w="2626" w:type="dxa"/>
            <w:noWrap w:val="0"/>
            <w:vAlign w:val="top"/>
          </w:tcPr>
          <w:p w14:paraId="0DAEC0F2">
            <w:pPr>
              <w:pStyle w:val="23"/>
              <w:pageBreakBefore w:val="0"/>
              <w:kinsoku w:val="0"/>
              <w:wordWrap w:val="0"/>
              <w:overflowPunct/>
              <w:topLinePunct w:val="0"/>
              <w:autoSpaceDE/>
              <w:autoSpaceDN/>
              <w:bidi w:val="0"/>
              <w:spacing w:before="207" w:line="360" w:lineRule="auto"/>
              <w:ind w:left="426"/>
              <w:rPr>
                <w:rFonts w:hint="eastAsia" w:ascii="黑体" w:hAnsi="黑体" w:eastAsia="黑体" w:cs="黑体"/>
                <w:color w:val="auto"/>
                <w:sz w:val="24"/>
                <w:szCs w:val="24"/>
              </w:rPr>
            </w:pPr>
            <w:r>
              <w:rPr>
                <w:rFonts w:hint="eastAsia" w:ascii="黑体" w:hAnsi="黑体" w:eastAsia="黑体" w:cs="黑体"/>
                <w:color w:val="auto"/>
                <w:spacing w:val="-1"/>
                <w:sz w:val="24"/>
                <w:szCs w:val="24"/>
              </w:rPr>
              <w:t>被管理关系单位名称</w:t>
            </w:r>
          </w:p>
        </w:tc>
        <w:tc>
          <w:tcPr>
            <w:tcW w:w="3634" w:type="dxa"/>
            <w:noWrap w:val="0"/>
            <w:vAlign w:val="top"/>
          </w:tcPr>
          <w:p w14:paraId="7BC981B4">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r w14:paraId="7F8B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noWrap w:val="0"/>
            <w:vAlign w:val="top"/>
          </w:tcPr>
          <w:p w14:paraId="1236D5C2">
            <w:pPr>
              <w:pStyle w:val="23"/>
              <w:pageBreakBefore w:val="0"/>
              <w:kinsoku w:val="0"/>
              <w:wordWrap w:val="0"/>
              <w:overflowPunct/>
              <w:topLinePunct w:val="0"/>
              <w:autoSpaceDE/>
              <w:autoSpaceDN/>
              <w:bidi w:val="0"/>
              <w:spacing w:before="238" w:line="360" w:lineRule="auto"/>
              <w:ind w:left="1457"/>
              <w:rPr>
                <w:rFonts w:hint="eastAsia" w:ascii="黑体" w:hAnsi="黑体" w:eastAsia="黑体" w:cs="黑体"/>
                <w:color w:val="auto"/>
                <w:sz w:val="24"/>
                <w:szCs w:val="24"/>
              </w:rPr>
            </w:pPr>
            <w:r>
              <w:rPr>
                <w:rFonts w:hint="eastAsia" w:ascii="黑体" w:hAnsi="黑体" w:eastAsia="黑体" w:cs="黑体"/>
                <w:color w:val="auto"/>
                <w:spacing w:val="-1"/>
                <w:sz w:val="24"/>
                <w:szCs w:val="24"/>
              </w:rPr>
              <w:t>备注</w:t>
            </w:r>
          </w:p>
        </w:tc>
        <w:tc>
          <w:tcPr>
            <w:tcW w:w="6260" w:type="dxa"/>
            <w:gridSpan w:val="2"/>
            <w:noWrap w:val="0"/>
            <w:vAlign w:val="top"/>
          </w:tcPr>
          <w:p w14:paraId="70D73F77">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tc>
      </w:tr>
    </w:tbl>
    <w:p w14:paraId="3923156F">
      <w:pPr>
        <w:pageBreakBefore w:val="0"/>
        <w:kinsoku w:val="0"/>
        <w:wordWrap w:val="0"/>
        <w:overflowPunct/>
        <w:topLinePunct w:val="0"/>
        <w:autoSpaceDE/>
        <w:autoSpaceDN/>
        <w:bidi w:val="0"/>
        <w:spacing w:before="2" w:line="240" w:lineRule="auto"/>
        <w:jc w:val="left"/>
        <w:rPr>
          <w:rFonts w:hint="eastAsia" w:ascii="黑体" w:hAnsi="黑体" w:eastAsia="黑体" w:cs="黑体"/>
          <w:color w:val="auto"/>
          <w:sz w:val="24"/>
          <w:szCs w:val="24"/>
          <w:lang w:val="en-US" w:eastAsia="zh-CN"/>
        </w:rPr>
      </w:pPr>
      <w:r>
        <w:rPr>
          <w:rFonts w:hint="eastAsia" w:ascii="黑体" w:hAnsi="黑体" w:eastAsia="黑体" w:cs="黑体"/>
          <w:color w:val="auto"/>
          <w:spacing w:val="-7"/>
          <w:position w:val="26"/>
          <w:sz w:val="24"/>
          <w:szCs w:val="24"/>
        </w:rPr>
        <w:t>注</w:t>
      </w:r>
      <w:r>
        <w:rPr>
          <w:rFonts w:hint="eastAsia" w:ascii="黑体" w:hAnsi="黑体" w:eastAsia="黑体" w:cs="黑体"/>
          <w:color w:val="auto"/>
          <w:spacing w:val="-7"/>
          <w:position w:val="26"/>
          <w:sz w:val="24"/>
          <w:szCs w:val="24"/>
          <w:lang w:val="en-US" w:eastAsia="zh-CN"/>
        </w:rPr>
        <w:t>:1.控股股东/投资人是指出资比例在50%以上，或者出资比例不足50%，但享有公司股东会/董事会控制权的投资方（含单位或者个人）。</w:t>
      </w:r>
    </w:p>
    <w:p w14:paraId="7387374E">
      <w:pPr>
        <w:pageBreakBefore w:val="0"/>
        <w:kinsoku w:val="0"/>
        <w:wordWrap w:val="0"/>
        <w:overflowPunct/>
        <w:topLinePunct w:val="0"/>
        <w:autoSpaceDE/>
        <w:autoSpaceDN/>
        <w:bidi w:val="0"/>
        <w:spacing w:line="240" w:lineRule="auto"/>
        <w:jc w:val="left"/>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4"/>
          <w:position w:val="30"/>
          <w:sz w:val="24"/>
          <w:szCs w:val="24"/>
        </w:rPr>
        <w:t>2.管理关系单位是指与不具有出资持股关系的其他单位之间存在管理与被管理</w:t>
      </w:r>
      <w:r>
        <w:rPr>
          <w:rFonts w:hint="eastAsia" w:ascii="黑体" w:hAnsi="黑体" w:eastAsia="黑体" w:cs="黑体"/>
          <w:color w:val="auto"/>
          <w:spacing w:val="4"/>
          <w:position w:val="30"/>
          <w:sz w:val="24"/>
          <w:szCs w:val="24"/>
          <w:lang w:eastAsia="zh-CN"/>
        </w:rPr>
        <w:t>单位。</w:t>
      </w:r>
    </w:p>
    <w:p w14:paraId="2C969ACA">
      <w:pPr>
        <w:pageBreakBefore w:val="0"/>
        <w:kinsoku w:val="0"/>
        <w:wordWrap w:val="0"/>
        <w:overflowPunct/>
        <w:topLinePunct w:val="0"/>
        <w:autoSpaceDE/>
        <w:autoSpaceDN/>
        <w:bidi w:val="0"/>
        <w:spacing w:before="1" w:line="240" w:lineRule="auto"/>
        <w:ind w:left="1"/>
        <w:jc w:val="left"/>
        <w:rPr>
          <w:rFonts w:hint="eastAsia" w:ascii="黑体" w:hAnsi="黑体" w:eastAsia="黑体" w:cs="黑体"/>
          <w:color w:val="auto"/>
          <w:sz w:val="24"/>
          <w:szCs w:val="24"/>
        </w:rPr>
      </w:pPr>
      <w:r>
        <w:rPr>
          <w:rFonts w:hint="eastAsia" w:ascii="黑体" w:hAnsi="黑体" w:eastAsia="黑体" w:cs="黑体"/>
          <w:color w:val="auto"/>
          <w:spacing w:val="-4"/>
          <w:sz w:val="24"/>
          <w:szCs w:val="24"/>
        </w:rPr>
        <w:t>3.如未有相关情况，请在相应栏填写“</w:t>
      </w:r>
      <w:r>
        <w:rPr>
          <w:rFonts w:hint="eastAsia" w:ascii="黑体" w:hAnsi="黑体" w:eastAsia="黑体" w:cs="黑体"/>
          <w:color w:val="auto"/>
          <w:spacing w:val="-5"/>
          <w:sz w:val="24"/>
          <w:szCs w:val="24"/>
        </w:rPr>
        <w:t>无”。</w:t>
      </w:r>
    </w:p>
    <w:p w14:paraId="23CD426E">
      <w:pPr>
        <w:pageBreakBefore w:val="0"/>
        <w:kinsoku w:val="0"/>
        <w:wordWrap w:val="0"/>
        <w:overflowPunct/>
        <w:topLinePunct w:val="0"/>
        <w:autoSpaceDE/>
        <w:autoSpaceDN/>
        <w:bidi w:val="0"/>
        <w:spacing w:before="265" w:line="360" w:lineRule="auto"/>
        <w:ind w:left="1"/>
        <w:jc w:val="left"/>
        <w:rPr>
          <w:rFonts w:hint="eastAsia" w:ascii="黑体" w:hAnsi="黑体" w:eastAsia="黑体" w:cs="黑体"/>
          <w:color w:val="auto"/>
          <w:sz w:val="24"/>
          <w:szCs w:val="24"/>
        </w:rPr>
      </w:pPr>
      <w:r>
        <w:rPr>
          <w:rFonts w:hint="eastAsia" w:ascii="黑体" w:hAnsi="黑体" w:eastAsia="黑体" w:cs="黑体"/>
          <w:color w:val="auto"/>
          <w:spacing w:val="-1"/>
          <w:sz w:val="24"/>
          <w:szCs w:val="24"/>
        </w:rPr>
        <w:t>投标人名称（</w:t>
      </w:r>
      <w:r>
        <w:rPr>
          <w:rFonts w:hint="eastAsia" w:ascii="黑体" w:hAnsi="黑体" w:eastAsia="黑体" w:cs="黑体"/>
          <w:b w:val="0"/>
          <w:bCs w:val="0"/>
          <w:color w:val="auto"/>
          <w:sz w:val="24"/>
          <w:highlight w:val="none"/>
          <w:lang w:eastAsia="zh-CN"/>
        </w:rPr>
        <w:t>加</w:t>
      </w:r>
      <w:r>
        <w:rPr>
          <w:rFonts w:hint="eastAsia" w:ascii="黑体" w:hAnsi="黑体" w:eastAsia="黑体" w:cs="黑体"/>
          <w:b w:val="0"/>
          <w:bCs w:val="0"/>
          <w:color w:val="auto"/>
          <w:sz w:val="24"/>
          <w:highlight w:val="none"/>
        </w:rPr>
        <w:t>盖</w:t>
      </w:r>
      <w:r>
        <w:rPr>
          <w:rFonts w:hint="eastAsia" w:ascii="黑体" w:hAnsi="黑体" w:eastAsia="黑体" w:cs="黑体"/>
          <w:b w:val="0"/>
          <w:bCs w:val="0"/>
          <w:color w:val="auto"/>
          <w:sz w:val="24"/>
          <w:highlight w:val="none"/>
          <w:lang w:eastAsia="zh-CN"/>
        </w:rPr>
        <w:t>公</w:t>
      </w:r>
      <w:r>
        <w:rPr>
          <w:rFonts w:hint="eastAsia" w:ascii="黑体" w:hAnsi="黑体" w:eastAsia="黑体" w:cs="黑体"/>
          <w:b w:val="0"/>
          <w:bCs w:val="0"/>
          <w:color w:val="auto"/>
          <w:sz w:val="24"/>
          <w:highlight w:val="none"/>
        </w:rPr>
        <w:t>章</w:t>
      </w:r>
      <w:r>
        <w:rPr>
          <w:rFonts w:hint="eastAsia" w:ascii="黑体" w:hAnsi="黑体" w:eastAsia="黑体" w:cs="黑体"/>
          <w:color w:val="auto"/>
          <w:spacing w:val="-1"/>
          <w:sz w:val="24"/>
          <w:szCs w:val="24"/>
        </w:rPr>
        <w:t>）:</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6FBB9DBB">
      <w:pPr>
        <w:pageBreakBefore w:val="0"/>
        <w:kinsoku w:val="0"/>
        <w:wordWrap w:val="0"/>
        <w:overflowPunct/>
        <w:topLinePunct w:val="0"/>
        <w:autoSpaceDE/>
        <w:autoSpaceDN/>
        <w:bidi w:val="0"/>
        <w:spacing w:before="245" w:line="360" w:lineRule="auto"/>
        <w:ind w:left="1"/>
        <w:jc w:val="left"/>
        <w:rPr>
          <w:rFonts w:hint="eastAsia" w:ascii="黑体" w:hAnsi="黑体" w:eastAsia="黑体" w:cs="黑体"/>
          <w:color w:val="auto"/>
          <w:sz w:val="24"/>
          <w:szCs w:val="24"/>
        </w:rPr>
      </w:pPr>
      <w:r>
        <w:rPr>
          <w:rFonts w:hint="eastAsia" w:ascii="黑体" w:hAnsi="黑体" w:eastAsia="黑体" w:cs="黑体"/>
          <w:color w:val="auto"/>
          <w:sz w:val="24"/>
          <w:szCs w:val="24"/>
        </w:rPr>
        <w:t>法定代表人或委托代理人(签字或盖章):</w:t>
      </w:r>
      <w:r>
        <w:rPr>
          <w:rFonts w:hint="eastAsia" w:ascii="黑体" w:hAnsi="黑体" w:eastAsia="黑体" w:cs="黑体"/>
          <w:color w:val="auto"/>
          <w:sz w:val="24"/>
          <w:szCs w:val="24"/>
          <w:u w:val="single" w:color="auto"/>
        </w:rPr>
        <w:tab/>
      </w:r>
      <w:r>
        <w:rPr>
          <w:rFonts w:hint="eastAsia" w:ascii="黑体" w:hAnsi="黑体" w:eastAsia="黑体" w:cs="黑体"/>
          <w:color w:val="auto"/>
          <w:sz w:val="24"/>
          <w:szCs w:val="24"/>
          <w:u w:val="single" w:color="auto"/>
          <w:lang w:val="en-US" w:eastAsia="zh-CN"/>
        </w:rPr>
        <w:t xml:space="preserve">                   </w:t>
      </w:r>
    </w:p>
    <w:p w14:paraId="051DB314">
      <w:pPr>
        <w:pageBreakBefore w:val="0"/>
        <w:kinsoku w:val="0"/>
        <w:wordWrap w:val="0"/>
        <w:overflowPunct/>
        <w:topLinePunct w:val="0"/>
        <w:autoSpaceDE/>
        <w:autoSpaceDN/>
        <w:bidi w:val="0"/>
        <w:spacing w:before="290" w:line="360" w:lineRule="auto"/>
        <w:ind w:left="34"/>
        <w:jc w:val="left"/>
        <w:rPr>
          <w:rFonts w:hint="eastAsia" w:ascii="黑体" w:hAnsi="黑体" w:eastAsia="黑体" w:cs="黑体"/>
          <w:color w:val="auto"/>
          <w:sz w:val="24"/>
          <w:szCs w:val="24"/>
        </w:rPr>
      </w:pPr>
      <w:r>
        <w:rPr>
          <w:rFonts w:hint="eastAsia" w:ascii="黑体" w:hAnsi="黑体" w:eastAsia="黑体" w:cs="黑体"/>
          <w:color w:val="auto"/>
          <w:spacing w:val="-5"/>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年</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日</w:t>
      </w:r>
    </w:p>
    <w:p w14:paraId="02D89EDD">
      <w:pPr>
        <w:pageBreakBefore w:val="0"/>
        <w:kinsoku w:val="0"/>
        <w:wordWrap w:val="0"/>
        <w:overflowPunct/>
        <w:topLinePunct w:val="0"/>
        <w:autoSpaceDE/>
        <w:autoSpaceDN/>
        <w:bidi w:val="0"/>
        <w:spacing w:line="360" w:lineRule="auto"/>
        <w:jc w:val="left"/>
        <w:rPr>
          <w:rFonts w:hint="eastAsia" w:ascii="黑体" w:hAnsi="黑体" w:eastAsia="黑体" w:cs="黑体"/>
          <w:color w:val="auto"/>
          <w:sz w:val="24"/>
          <w:szCs w:val="24"/>
        </w:rPr>
        <w:sectPr>
          <w:footerReference r:id="rId16" w:type="default"/>
          <w:pgSz w:w="11906" w:h="16839"/>
          <w:pgMar w:top="400" w:right="1079" w:bottom="1171" w:left="1081" w:header="0" w:footer="992" w:gutter="0"/>
          <w:pgNumType w:fmt="decimal"/>
          <w:cols w:space="720" w:num="1"/>
        </w:sectPr>
      </w:pPr>
    </w:p>
    <w:p w14:paraId="0469F11B">
      <w:pPr>
        <w:pStyle w:val="7"/>
        <w:pageBreakBefore w:val="0"/>
        <w:kinsoku w:val="0"/>
        <w:wordWrap w:val="0"/>
        <w:overflowPunct/>
        <w:topLinePunct w:val="0"/>
        <w:autoSpaceDE/>
        <w:autoSpaceDN/>
        <w:bidi w:val="0"/>
        <w:spacing w:before="194" w:line="222" w:lineRule="auto"/>
        <w:ind w:left="32"/>
        <w:jc w:val="center"/>
        <w:rPr>
          <w:rFonts w:hint="eastAsia" w:ascii="黑体" w:hAnsi="黑体" w:eastAsia="黑体" w:cs="黑体"/>
          <w:color w:val="auto"/>
          <w:sz w:val="28"/>
          <w:szCs w:val="28"/>
        </w:rPr>
      </w:pPr>
      <w:r>
        <w:rPr>
          <w:rFonts w:hint="eastAsia" w:ascii="黑体" w:hAnsi="黑体" w:eastAsia="黑体" w:cs="黑体"/>
          <w:b/>
          <w:bCs/>
          <w:color w:val="auto"/>
          <w:spacing w:val="-15"/>
          <w:sz w:val="28"/>
          <w:szCs w:val="28"/>
        </w:rPr>
        <w:t>第二部分商务及技术文件</w:t>
      </w:r>
    </w:p>
    <w:p w14:paraId="257EEF19">
      <w:pPr>
        <w:pageBreakBefore w:val="0"/>
        <w:kinsoku w:val="0"/>
        <w:wordWrap w:val="0"/>
        <w:overflowPunct/>
        <w:topLinePunct w:val="0"/>
        <w:autoSpaceDE/>
        <w:autoSpaceDN/>
        <w:bidi w:val="0"/>
        <w:spacing w:line="265" w:lineRule="auto"/>
        <w:rPr>
          <w:rFonts w:hint="eastAsia" w:ascii="黑体" w:hAnsi="黑体" w:eastAsia="黑体" w:cs="黑体"/>
          <w:color w:val="auto"/>
          <w:sz w:val="21"/>
        </w:rPr>
      </w:pPr>
    </w:p>
    <w:p w14:paraId="41A85B3C">
      <w:pPr>
        <w:pageBreakBefore w:val="0"/>
        <w:kinsoku w:val="0"/>
        <w:wordWrap w:val="0"/>
        <w:overflowPunct/>
        <w:topLinePunct w:val="0"/>
        <w:autoSpaceDE/>
        <w:autoSpaceDN/>
        <w:bidi w:val="0"/>
        <w:spacing w:line="265" w:lineRule="auto"/>
        <w:rPr>
          <w:rFonts w:hint="eastAsia" w:ascii="黑体" w:hAnsi="黑体" w:eastAsia="黑体" w:cs="黑体"/>
          <w:color w:val="auto"/>
          <w:sz w:val="21"/>
        </w:rPr>
      </w:pPr>
    </w:p>
    <w:p w14:paraId="5A26C594">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9"/>
          <w:sz w:val="24"/>
          <w:szCs w:val="24"/>
        </w:rPr>
        <w:t>1</w:t>
      </w:r>
      <w:r>
        <w:rPr>
          <w:rFonts w:hint="eastAsia" w:ascii="黑体" w:hAnsi="黑体" w:eastAsia="黑体" w:cs="黑体"/>
          <w:color w:val="auto"/>
          <w:spacing w:val="-2"/>
          <w:sz w:val="24"/>
          <w:szCs w:val="24"/>
        </w:rPr>
        <w:t>、投标书</w:t>
      </w:r>
    </w:p>
    <w:p w14:paraId="209B9E6B">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2、投标分项报价表</w:t>
      </w:r>
    </w:p>
    <w:p w14:paraId="2A04F5F1">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3、服务说明一览表</w:t>
      </w:r>
    </w:p>
    <w:p w14:paraId="7945C410">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4、商务条款偏离表</w:t>
      </w:r>
    </w:p>
    <w:p w14:paraId="07FBD4C0">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5、技术条款偏离表</w:t>
      </w:r>
    </w:p>
    <w:p w14:paraId="7ADE56C9">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z w:val="24"/>
          <w:szCs w:val="24"/>
          <w:lang w:eastAsia="zh-CN"/>
        </w:rPr>
      </w:pPr>
      <w:r>
        <w:rPr>
          <w:rFonts w:hint="eastAsia" w:ascii="黑体" w:hAnsi="黑体" w:eastAsia="黑体" w:cs="黑体"/>
          <w:color w:val="auto"/>
          <w:spacing w:val="-2"/>
          <w:sz w:val="24"/>
          <w:szCs w:val="24"/>
        </w:rPr>
        <w:t>6、符合《政府采购促进中</w:t>
      </w:r>
      <w:r>
        <w:rPr>
          <w:rFonts w:hint="eastAsia" w:ascii="黑体" w:hAnsi="黑体" w:eastAsia="黑体" w:cs="黑体"/>
          <w:color w:val="auto"/>
          <w:spacing w:val="-3"/>
          <w:sz w:val="24"/>
          <w:szCs w:val="24"/>
        </w:rPr>
        <w:t>小企业发展管理</w:t>
      </w:r>
      <w:r>
        <w:rPr>
          <w:rFonts w:hint="eastAsia" w:ascii="黑体" w:hAnsi="黑体" w:eastAsia="黑体" w:cs="黑体"/>
          <w:color w:val="auto"/>
          <w:spacing w:val="-4"/>
          <w:sz w:val="24"/>
          <w:szCs w:val="24"/>
        </w:rPr>
        <w:t>办法》、《关于政府采购支持监</w:t>
      </w:r>
      <w:r>
        <w:rPr>
          <w:rFonts w:hint="eastAsia" w:ascii="黑体" w:hAnsi="黑体" w:eastAsia="黑体" w:cs="黑体"/>
          <w:color w:val="auto"/>
          <w:spacing w:val="-1"/>
          <w:sz w:val="24"/>
          <w:szCs w:val="24"/>
        </w:rPr>
        <w:t>狱企业发展有关问题的通知》和《三部门联合发布关于促进残疾人就业</w:t>
      </w:r>
      <w:r>
        <w:rPr>
          <w:rFonts w:hint="eastAsia" w:ascii="黑体" w:hAnsi="黑体" w:eastAsia="黑体" w:cs="黑体"/>
          <w:color w:val="auto"/>
          <w:spacing w:val="-2"/>
          <w:sz w:val="24"/>
          <w:szCs w:val="24"/>
        </w:rPr>
        <w:t>政府采购政策的通知》条件的供应商须提交</w:t>
      </w:r>
      <w:r>
        <w:rPr>
          <w:rFonts w:hint="eastAsia" w:ascii="黑体" w:hAnsi="黑体" w:eastAsia="黑体" w:cs="黑体"/>
          <w:color w:val="auto"/>
          <w:spacing w:val="-2"/>
          <w:sz w:val="24"/>
          <w:szCs w:val="24"/>
          <w:lang w:eastAsia="zh-CN"/>
        </w:rPr>
        <w:t>。</w:t>
      </w:r>
    </w:p>
    <w:p w14:paraId="67A2DB81">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6-1《中小企业声明函（服务）》</w:t>
      </w:r>
    </w:p>
    <w:p w14:paraId="54D258E0">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6-</w:t>
      </w:r>
      <w:r>
        <w:rPr>
          <w:rFonts w:hint="eastAsia" w:ascii="黑体" w:hAnsi="黑体" w:eastAsia="黑体" w:cs="黑体"/>
          <w:color w:val="auto"/>
          <w:spacing w:val="-2"/>
          <w:sz w:val="24"/>
          <w:szCs w:val="24"/>
          <w:lang w:val="en-US" w:eastAsia="zh-CN"/>
        </w:rPr>
        <w:t>2</w:t>
      </w:r>
      <w:r>
        <w:rPr>
          <w:rFonts w:hint="eastAsia" w:ascii="黑体" w:hAnsi="黑体" w:eastAsia="黑体" w:cs="黑体"/>
          <w:color w:val="auto"/>
          <w:spacing w:val="-2"/>
          <w:sz w:val="24"/>
          <w:szCs w:val="24"/>
        </w:rPr>
        <w:t>《监狱企业声明函》</w:t>
      </w:r>
    </w:p>
    <w:p w14:paraId="6764DE60">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rPr>
        <w:t>6-</w:t>
      </w:r>
      <w:r>
        <w:rPr>
          <w:rFonts w:hint="eastAsia" w:ascii="黑体" w:hAnsi="黑体" w:eastAsia="黑体" w:cs="黑体"/>
          <w:color w:val="auto"/>
          <w:spacing w:val="-2"/>
          <w:sz w:val="24"/>
          <w:szCs w:val="24"/>
          <w:lang w:val="en-US" w:eastAsia="zh-CN"/>
        </w:rPr>
        <w:t>3</w:t>
      </w:r>
      <w:r>
        <w:rPr>
          <w:rFonts w:hint="eastAsia" w:ascii="黑体" w:hAnsi="黑体" w:eastAsia="黑体" w:cs="黑体"/>
          <w:color w:val="auto"/>
          <w:spacing w:val="-2"/>
          <w:sz w:val="24"/>
          <w:szCs w:val="24"/>
        </w:rPr>
        <w:t>《残疾人福利性单位声明函》</w:t>
      </w:r>
    </w:p>
    <w:p w14:paraId="037E1433">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7</w:t>
      </w:r>
      <w:r>
        <w:rPr>
          <w:rFonts w:hint="eastAsia" w:ascii="黑体" w:hAnsi="黑体" w:eastAsia="黑体" w:cs="黑体"/>
          <w:color w:val="auto"/>
          <w:spacing w:val="-2"/>
          <w:sz w:val="24"/>
          <w:szCs w:val="24"/>
        </w:rPr>
        <w:t>、其他有利于供应商的文件或证明材料</w:t>
      </w:r>
    </w:p>
    <w:p w14:paraId="075CE0D6">
      <w:pPr>
        <w:pStyle w:val="7"/>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pacing w:val="-2"/>
          <w:sz w:val="24"/>
          <w:szCs w:val="24"/>
        </w:rPr>
      </w:pPr>
      <w:r>
        <w:rPr>
          <w:rFonts w:hint="eastAsia" w:ascii="黑体" w:hAnsi="黑体" w:eastAsia="黑体" w:cs="黑体"/>
          <w:color w:val="auto"/>
          <w:spacing w:val="-2"/>
          <w:sz w:val="24"/>
          <w:szCs w:val="24"/>
          <w:lang w:val="en-US" w:eastAsia="zh-CN"/>
        </w:rPr>
        <w:t>8</w:t>
      </w:r>
      <w:r>
        <w:rPr>
          <w:rFonts w:hint="eastAsia" w:ascii="黑体" w:hAnsi="黑体" w:eastAsia="黑体" w:cs="黑体"/>
          <w:color w:val="auto"/>
          <w:spacing w:val="-2"/>
          <w:sz w:val="24"/>
          <w:szCs w:val="24"/>
        </w:rPr>
        <w:t>、响应文件格式范本</w:t>
      </w:r>
    </w:p>
    <w:p w14:paraId="5CD9CF03">
      <w:pPr>
        <w:pageBreakBefore w:val="0"/>
        <w:kinsoku w:val="0"/>
        <w:wordWrap w:val="0"/>
        <w:overflowPunct/>
        <w:topLinePunct w:val="0"/>
        <w:autoSpaceDE/>
        <w:autoSpaceDN/>
        <w:bidi w:val="0"/>
        <w:spacing w:line="480" w:lineRule="auto"/>
        <w:ind w:left="218" w:leftChars="104" w:firstLine="0" w:firstLineChars="0"/>
        <w:rPr>
          <w:rFonts w:hint="eastAsia" w:ascii="黑体" w:hAnsi="黑体" w:eastAsia="黑体" w:cs="黑体"/>
          <w:color w:val="auto"/>
          <w:sz w:val="24"/>
          <w:szCs w:val="24"/>
        </w:rPr>
        <w:sectPr>
          <w:footerReference r:id="rId17" w:type="default"/>
          <w:pgSz w:w="11906" w:h="16840"/>
          <w:pgMar w:top="1431" w:right="1785" w:bottom="1359" w:left="1785" w:header="0" w:footer="1145" w:gutter="0"/>
          <w:pgNumType w:fmt="decimal"/>
          <w:cols w:space="720" w:num="1"/>
        </w:sectPr>
      </w:pPr>
    </w:p>
    <w:p w14:paraId="14D7BBF6">
      <w:pPr>
        <w:pageBreakBefore w:val="0"/>
        <w:kinsoku w:val="0"/>
        <w:wordWrap w:val="0"/>
        <w:overflowPunct/>
        <w:topLinePunct w:val="0"/>
        <w:autoSpaceDE/>
        <w:autoSpaceDN/>
        <w:bidi w:val="0"/>
        <w:spacing w:line="418" w:lineRule="auto"/>
        <w:rPr>
          <w:rFonts w:hint="eastAsia" w:ascii="黑体" w:hAnsi="黑体" w:eastAsia="黑体" w:cs="黑体"/>
          <w:color w:val="auto"/>
          <w:sz w:val="21"/>
        </w:rPr>
      </w:pPr>
    </w:p>
    <w:p w14:paraId="0A830AC3">
      <w:pPr>
        <w:pStyle w:val="7"/>
        <w:pageBreakBefore w:val="0"/>
        <w:kinsoku w:val="0"/>
        <w:wordWrap w:val="0"/>
        <w:overflowPunct/>
        <w:topLinePunct w:val="0"/>
        <w:autoSpaceDE/>
        <w:autoSpaceDN/>
        <w:bidi w:val="0"/>
        <w:spacing w:before="91" w:line="223" w:lineRule="auto"/>
        <w:jc w:val="center"/>
        <w:rPr>
          <w:rFonts w:hint="eastAsia" w:ascii="黑体" w:hAnsi="黑体" w:eastAsia="黑体" w:cs="黑体"/>
          <w:color w:val="auto"/>
          <w:sz w:val="28"/>
          <w:szCs w:val="28"/>
        </w:rPr>
      </w:pPr>
      <w:r>
        <w:rPr>
          <w:rFonts w:hint="eastAsia" w:ascii="黑体" w:hAnsi="黑体" w:eastAsia="黑体" w:cs="黑体"/>
          <w:b/>
          <w:bCs/>
          <w:color w:val="auto"/>
          <w:spacing w:val="-19"/>
          <w:sz w:val="28"/>
          <w:szCs w:val="28"/>
        </w:rPr>
        <w:t>1</w:t>
      </w:r>
      <w:r>
        <w:rPr>
          <w:rFonts w:hint="eastAsia" w:ascii="黑体" w:hAnsi="黑体" w:eastAsia="黑体" w:cs="黑体"/>
          <w:b/>
          <w:bCs/>
          <w:color w:val="auto"/>
          <w:spacing w:val="-19"/>
          <w:sz w:val="28"/>
          <w:szCs w:val="28"/>
          <w:lang w:val="en-US" w:eastAsia="zh-CN"/>
        </w:rPr>
        <w:t>、</w:t>
      </w:r>
      <w:r>
        <w:rPr>
          <w:rFonts w:hint="eastAsia" w:ascii="黑体" w:hAnsi="黑体" w:eastAsia="黑体" w:cs="黑体"/>
          <w:b/>
          <w:bCs/>
          <w:color w:val="auto"/>
          <w:spacing w:val="-19"/>
          <w:sz w:val="28"/>
          <w:szCs w:val="28"/>
        </w:rPr>
        <w:t>投标书</w:t>
      </w:r>
    </w:p>
    <w:p w14:paraId="0A75AC1D">
      <w:pPr>
        <w:pStyle w:val="7"/>
        <w:pageBreakBefore w:val="0"/>
        <w:kinsoku w:val="0"/>
        <w:wordWrap w:val="0"/>
        <w:overflowPunct/>
        <w:topLinePunct w:val="0"/>
        <w:autoSpaceDE/>
        <w:autoSpaceDN/>
        <w:bidi w:val="0"/>
        <w:spacing w:before="223" w:line="222" w:lineRule="auto"/>
        <w:ind w:left="49"/>
        <w:rPr>
          <w:rFonts w:hint="eastAsia" w:ascii="黑体" w:hAnsi="黑体" w:eastAsia="黑体" w:cs="黑体"/>
          <w:color w:val="auto"/>
          <w:sz w:val="24"/>
          <w:szCs w:val="24"/>
        </w:rPr>
      </w:pPr>
      <w:r>
        <w:rPr>
          <w:rFonts w:hint="eastAsia" w:ascii="黑体" w:hAnsi="黑体" w:eastAsia="黑体" w:cs="黑体"/>
          <w:color w:val="auto"/>
          <w:spacing w:val="-7"/>
          <w:sz w:val="24"/>
          <w:szCs w:val="24"/>
        </w:rPr>
        <w:t>致：</w:t>
      </w:r>
      <w:r>
        <w:rPr>
          <w:rFonts w:hint="eastAsia" w:ascii="黑体" w:hAnsi="黑体" w:eastAsia="黑体" w:cs="黑体"/>
          <w:color w:val="auto"/>
          <w:spacing w:val="-7"/>
          <w:sz w:val="24"/>
          <w:szCs w:val="24"/>
          <w:u w:val="single" w:color="auto"/>
        </w:rPr>
        <w:t>采购人</w:t>
      </w:r>
    </w:p>
    <w:p w14:paraId="69BAC283">
      <w:pPr>
        <w:pStyle w:val="7"/>
        <w:pageBreakBefore w:val="0"/>
        <w:kinsoku w:val="0"/>
        <w:wordWrap w:val="0"/>
        <w:overflowPunct/>
        <w:topLinePunct w:val="0"/>
        <w:autoSpaceDE/>
        <w:autoSpaceDN/>
        <w:bidi w:val="0"/>
        <w:spacing w:before="197" w:line="360" w:lineRule="auto"/>
        <w:ind w:left="0" w:leftChars="0" w:right="119" w:firstLine="404" w:firstLineChars="179"/>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根据贵方(项目名称)的投标邀请(招标编号),签字代表(姓名、职务)经正式授权并代表供应商（名称、地址）提交下述响应文件，并以形式出具的金额为人民币元的磋商保证金。</w:t>
      </w:r>
    </w:p>
    <w:p w14:paraId="510D1650">
      <w:pPr>
        <w:pStyle w:val="7"/>
        <w:pageBreakBefore w:val="0"/>
        <w:kinsoku w:val="0"/>
        <w:wordWrap w:val="0"/>
        <w:overflowPunct/>
        <w:topLinePunct w:val="0"/>
        <w:autoSpaceDE/>
        <w:autoSpaceDN/>
        <w:bidi w:val="0"/>
        <w:spacing w:line="360" w:lineRule="auto"/>
        <w:ind w:left="0" w:leftChars="0" w:right="0" w:firstLine="0" w:firstLine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据此，签字代表宣布同意如下：</w:t>
      </w:r>
    </w:p>
    <w:p w14:paraId="65421964">
      <w:pPr>
        <w:pStyle w:val="7"/>
        <w:pageBreakBefore w:val="0"/>
        <w:numPr>
          <w:ilvl w:val="0"/>
          <w:numId w:val="16"/>
        </w:numPr>
        <w:kinsoku w:val="0"/>
        <w:wordWrap w:val="0"/>
        <w:overflowPunct/>
        <w:topLinePunct w:val="0"/>
        <w:autoSpaceDE/>
        <w:autoSpaceDN/>
        <w:bidi w:val="0"/>
        <w:spacing w:line="360" w:lineRule="auto"/>
        <w:ind w:left="0" w:leftChars="0" w:right="0" w:firstLine="0" w:firstLine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附投标价格表中规定的应提供服务的投标总价为（用文字和数字表示）</w:t>
      </w:r>
      <w:r>
        <w:rPr>
          <w:rFonts w:hint="eastAsia" w:ascii="黑体" w:hAnsi="黑体" w:eastAsia="黑体" w:cs="黑体"/>
          <w:color w:val="auto"/>
          <w:spacing w:val="-7"/>
          <w:sz w:val="24"/>
          <w:szCs w:val="24"/>
          <w:lang w:eastAsia="zh-CN"/>
        </w:rPr>
        <w:t>。</w:t>
      </w:r>
    </w:p>
    <w:p w14:paraId="36CEE1BF">
      <w:pPr>
        <w:pStyle w:val="7"/>
        <w:pageBreakBefore w:val="0"/>
        <w:numPr>
          <w:ilvl w:val="0"/>
          <w:numId w:val="0"/>
        </w:numPr>
        <w:kinsoku w:val="0"/>
        <w:wordWrap w:val="0"/>
        <w:overflowPunct/>
        <w:topLinePunct w:val="0"/>
        <w:autoSpaceDE/>
        <w:autoSpaceDN/>
        <w:bidi w:val="0"/>
        <w:spacing w:line="360" w:lineRule="auto"/>
        <w:ind w:leftChars="0" w:right="0" w:right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（2）本投标有效期为自投标截止之日起个日历日。</w:t>
      </w:r>
    </w:p>
    <w:p w14:paraId="1B49C40E">
      <w:pPr>
        <w:pStyle w:val="7"/>
        <w:pageBreakBefore w:val="0"/>
        <w:numPr>
          <w:ilvl w:val="0"/>
          <w:numId w:val="0"/>
        </w:numPr>
        <w:kinsoku w:val="0"/>
        <w:wordWrap w:val="0"/>
        <w:overflowPunct/>
        <w:topLinePunct w:val="0"/>
        <w:autoSpaceDE/>
        <w:autoSpaceDN/>
        <w:bidi w:val="0"/>
        <w:spacing w:line="360" w:lineRule="auto"/>
        <w:ind w:leftChars="0" w:right="0" w:right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（3）联合体中的大中型企业和其他自然人、法人或者非法人组织，与联合体的小型、微型企业之间</w:t>
      </w:r>
      <w:r>
        <w:rPr>
          <w:rFonts w:hint="eastAsia" w:ascii="黑体" w:hAnsi="黑体" w:eastAsia="黑体" w:cs="黑体"/>
          <w:color w:val="auto"/>
          <w:spacing w:val="-7"/>
          <w:sz w:val="24"/>
          <w:szCs w:val="24"/>
          <w:u w:val="single"/>
        </w:rPr>
        <w:t>/</w:t>
      </w:r>
      <w:r>
        <w:rPr>
          <w:rFonts w:hint="eastAsia" w:ascii="黑体" w:hAnsi="黑体" w:eastAsia="黑体" w:cs="黑体"/>
          <w:color w:val="auto"/>
          <w:spacing w:val="-7"/>
          <w:sz w:val="24"/>
          <w:szCs w:val="24"/>
        </w:rPr>
        <w:t>（存在、不存在）投资关系（如有）。</w:t>
      </w:r>
    </w:p>
    <w:p w14:paraId="591DA080">
      <w:pPr>
        <w:pStyle w:val="7"/>
        <w:pageBreakBefore w:val="0"/>
        <w:numPr>
          <w:ilvl w:val="0"/>
          <w:numId w:val="0"/>
        </w:numPr>
        <w:kinsoku w:val="0"/>
        <w:wordWrap w:val="0"/>
        <w:overflowPunct/>
        <w:topLinePunct w:val="0"/>
        <w:autoSpaceDE/>
        <w:autoSpaceDN/>
        <w:bidi w:val="0"/>
        <w:spacing w:line="360" w:lineRule="auto"/>
        <w:ind w:leftChars="0" w:right="0" w:right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（4）已详细审查全部磋商文件，包括所有补充通知（如有），完全理解并放弃对这方面有不明、误解和质疑的</w:t>
      </w:r>
      <w:r>
        <w:rPr>
          <w:rFonts w:hint="eastAsia" w:ascii="黑体" w:hAnsi="黑体" w:eastAsia="黑体" w:cs="黑体"/>
          <w:color w:val="auto"/>
          <w:spacing w:val="-7"/>
          <w:sz w:val="24"/>
          <w:szCs w:val="24"/>
          <w:lang w:val="en-US" w:eastAsia="zh-CN"/>
        </w:rPr>
        <w:t>权利</w:t>
      </w:r>
      <w:r>
        <w:rPr>
          <w:rFonts w:hint="eastAsia" w:ascii="黑体" w:hAnsi="黑体" w:eastAsia="黑体" w:cs="黑体"/>
          <w:color w:val="auto"/>
          <w:spacing w:val="-7"/>
          <w:sz w:val="24"/>
          <w:szCs w:val="24"/>
        </w:rPr>
        <w:t>。</w:t>
      </w:r>
    </w:p>
    <w:p w14:paraId="24B5EB33">
      <w:pPr>
        <w:pStyle w:val="7"/>
        <w:pageBreakBefore w:val="0"/>
        <w:numPr>
          <w:ilvl w:val="0"/>
          <w:numId w:val="0"/>
        </w:numPr>
        <w:kinsoku w:val="0"/>
        <w:wordWrap w:val="0"/>
        <w:overflowPunct/>
        <w:topLinePunct w:val="0"/>
        <w:autoSpaceDE/>
        <w:autoSpaceDN/>
        <w:bidi w:val="0"/>
        <w:spacing w:line="360" w:lineRule="auto"/>
        <w:ind w:leftChars="0" w:right="0" w:right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（5）在规定的开标时间后，遵守磋商文件中有关保证金的规定。</w:t>
      </w:r>
    </w:p>
    <w:p w14:paraId="0C6C17B6">
      <w:pPr>
        <w:pStyle w:val="7"/>
        <w:pageBreakBefore w:val="0"/>
        <w:kinsoku w:val="0"/>
        <w:wordWrap w:val="0"/>
        <w:overflowPunct/>
        <w:topLinePunct w:val="0"/>
        <w:autoSpaceDE/>
        <w:autoSpaceDN/>
        <w:bidi w:val="0"/>
        <w:spacing w:line="360" w:lineRule="auto"/>
        <w:ind w:left="0" w:leftChars="0" w:right="0" w:firstLine="0" w:firstLine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（6）我方不是为本项目提供整体设计、规范编制或者项目管理、监理、检测等服务的供应商，我方不是采购代理机构的附属机构。</w:t>
      </w:r>
    </w:p>
    <w:p w14:paraId="5E44AE00">
      <w:pPr>
        <w:pStyle w:val="7"/>
        <w:pageBreakBefore w:val="0"/>
        <w:kinsoku w:val="0"/>
        <w:wordWrap w:val="0"/>
        <w:overflowPunct/>
        <w:topLinePunct w:val="0"/>
        <w:autoSpaceDE/>
        <w:autoSpaceDN/>
        <w:bidi w:val="0"/>
        <w:spacing w:line="360" w:lineRule="auto"/>
        <w:ind w:left="0" w:leftChars="0" w:right="0" w:firstLine="0" w:firstLine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（7）在领取成交通知书的同时按磋商文件规定的形式，向代理机构一次性支付成交服务费。</w:t>
      </w:r>
    </w:p>
    <w:p w14:paraId="101A97C4">
      <w:pPr>
        <w:pStyle w:val="7"/>
        <w:pageBreakBefore w:val="0"/>
        <w:kinsoku w:val="0"/>
        <w:wordWrap w:val="0"/>
        <w:overflowPunct/>
        <w:topLinePunct w:val="0"/>
        <w:autoSpaceDE/>
        <w:autoSpaceDN/>
        <w:bidi w:val="0"/>
        <w:spacing w:line="360" w:lineRule="auto"/>
        <w:ind w:left="0" w:leftChars="0" w:right="0" w:firstLine="0" w:firstLine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（8）按照贵方可能要求，提供与其投标有关的一切数据或资料，完全理解贵方不一定接受最低价的投标或收到的任何投标。</w:t>
      </w:r>
    </w:p>
    <w:p w14:paraId="357356BB">
      <w:pPr>
        <w:pStyle w:val="7"/>
        <w:pageBreakBefore w:val="0"/>
        <w:kinsoku w:val="0"/>
        <w:wordWrap w:val="0"/>
        <w:overflowPunct/>
        <w:topLinePunct w:val="0"/>
        <w:autoSpaceDE/>
        <w:autoSpaceDN/>
        <w:bidi w:val="0"/>
        <w:spacing w:line="360" w:lineRule="auto"/>
        <w:ind w:left="0" w:leftChars="0" w:right="0" w:firstLine="0" w:firstLineChars="0"/>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（9）按照磋商文件的规定履行合同责任和义务。</w:t>
      </w:r>
    </w:p>
    <w:p w14:paraId="53F6E5DF">
      <w:pPr>
        <w:pStyle w:val="7"/>
        <w:pageBreakBefore w:val="0"/>
        <w:kinsoku w:val="0"/>
        <w:wordWrap w:val="0"/>
        <w:overflowPunct/>
        <w:topLinePunct w:val="0"/>
        <w:autoSpaceDE/>
        <w:autoSpaceDN/>
        <w:bidi w:val="0"/>
        <w:spacing w:before="197" w:line="240" w:lineRule="auto"/>
        <w:ind w:left="0" w:leftChars="0" w:right="119" w:firstLine="404" w:firstLineChars="179"/>
        <w:jc w:val="both"/>
        <w:rPr>
          <w:rFonts w:hint="eastAsia" w:ascii="黑体" w:hAnsi="黑体" w:eastAsia="黑体" w:cs="黑体"/>
          <w:color w:val="auto"/>
          <w:spacing w:val="-7"/>
          <w:sz w:val="24"/>
          <w:szCs w:val="24"/>
        </w:rPr>
      </w:pPr>
      <w:r>
        <w:rPr>
          <w:rFonts w:hint="eastAsia" w:ascii="黑体" w:hAnsi="黑体" w:eastAsia="黑体" w:cs="黑体"/>
          <w:color w:val="auto"/>
          <w:spacing w:val="-7"/>
          <w:sz w:val="24"/>
          <w:szCs w:val="24"/>
        </w:rPr>
        <w:t>与本投标有关的一切正式往来信函请寄：</w:t>
      </w:r>
    </w:p>
    <w:p w14:paraId="72463853">
      <w:pPr>
        <w:pStyle w:val="7"/>
        <w:keepNext w:val="0"/>
        <w:keepLines w:val="0"/>
        <w:pageBreakBefore w:val="0"/>
        <w:widowControl/>
        <w:tabs>
          <w:tab w:val="left" w:pos="8202"/>
        </w:tabs>
        <w:kinsoku w:val="0"/>
        <w:wordWrap w:val="0"/>
        <w:overflowPunct/>
        <w:topLinePunct w:val="0"/>
        <w:autoSpaceDE/>
        <w:autoSpaceDN/>
        <w:bidi w:val="0"/>
        <w:adjustRightInd w:val="0"/>
        <w:snapToGrid w:val="0"/>
        <w:spacing w:line="360" w:lineRule="auto"/>
        <w:ind w:left="50" w:leftChars="0" w:right="0" w:hanging="50" w:hangingChars="24"/>
        <w:jc w:val="both"/>
        <w:textAlignment w:val="baseline"/>
        <w:rPr>
          <w:rFonts w:hint="eastAsia" w:ascii="黑体" w:hAnsi="黑体" w:eastAsia="黑体" w:cs="黑体"/>
          <w:color w:val="auto"/>
          <w:spacing w:val="-14"/>
          <w:sz w:val="24"/>
          <w:szCs w:val="24"/>
          <w:lang w:val="en-US" w:eastAsia="zh-CN"/>
        </w:rPr>
      </w:pPr>
      <w:r>
        <w:rPr>
          <w:rFonts w:hint="eastAsia" w:ascii="黑体" w:hAnsi="黑体" w:eastAsia="黑体" w:cs="黑体"/>
          <w:color w:val="auto"/>
          <w:spacing w:val="-14"/>
          <w:sz w:val="24"/>
          <w:szCs w:val="24"/>
        </w:rPr>
        <w:t>地址</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r>
        <w:rPr>
          <w:rFonts w:hint="eastAsia" w:ascii="黑体" w:hAnsi="黑体" w:eastAsia="黑体" w:cs="黑体"/>
          <w:color w:val="auto"/>
          <w:spacing w:val="-14"/>
          <w:sz w:val="24"/>
          <w:szCs w:val="24"/>
        </w:rPr>
        <w:t>传真</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p>
    <w:p w14:paraId="0C5BEC7F">
      <w:pPr>
        <w:pStyle w:val="7"/>
        <w:keepNext w:val="0"/>
        <w:keepLines w:val="0"/>
        <w:pageBreakBefore w:val="0"/>
        <w:widowControl/>
        <w:tabs>
          <w:tab w:val="left" w:pos="8202"/>
        </w:tabs>
        <w:kinsoku w:val="0"/>
        <w:wordWrap w:val="0"/>
        <w:overflowPunct/>
        <w:topLinePunct w:val="0"/>
        <w:autoSpaceDE/>
        <w:autoSpaceDN/>
        <w:bidi w:val="0"/>
        <w:adjustRightInd w:val="0"/>
        <w:snapToGrid w:val="0"/>
        <w:spacing w:line="360" w:lineRule="auto"/>
        <w:ind w:left="45" w:leftChars="0" w:right="0" w:hanging="45" w:hangingChars="24"/>
        <w:jc w:val="both"/>
        <w:textAlignment w:val="baseline"/>
        <w:rPr>
          <w:rFonts w:hint="eastAsia" w:ascii="黑体" w:hAnsi="黑体" w:eastAsia="黑体" w:cs="黑体"/>
          <w:color w:val="auto"/>
          <w:spacing w:val="-14"/>
          <w:sz w:val="24"/>
          <w:szCs w:val="24"/>
          <w:u w:val="single"/>
          <w:lang w:val="en-US" w:eastAsia="zh-CN"/>
        </w:rPr>
      </w:pPr>
      <w:r>
        <w:rPr>
          <w:rFonts w:hint="eastAsia" w:ascii="黑体" w:hAnsi="黑体" w:eastAsia="黑体" w:cs="黑体"/>
          <w:color w:val="auto"/>
          <w:spacing w:val="-25"/>
          <w:sz w:val="24"/>
          <w:szCs w:val="24"/>
        </w:rPr>
        <w:t>电话</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r>
        <w:rPr>
          <w:rFonts w:hint="eastAsia" w:ascii="黑体" w:hAnsi="黑体" w:eastAsia="黑体" w:cs="黑体"/>
          <w:color w:val="auto"/>
          <w:spacing w:val="-25"/>
          <w:sz w:val="24"/>
          <w:szCs w:val="24"/>
        </w:rPr>
        <w:t>电子函件</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p>
    <w:p w14:paraId="28363105">
      <w:pPr>
        <w:pStyle w:val="7"/>
        <w:keepNext w:val="0"/>
        <w:keepLines w:val="0"/>
        <w:pageBreakBefore w:val="0"/>
        <w:widowControl/>
        <w:tabs>
          <w:tab w:val="left" w:pos="8202"/>
        </w:tabs>
        <w:kinsoku w:val="0"/>
        <w:wordWrap w:val="0"/>
        <w:overflowPunct/>
        <w:topLinePunct w:val="0"/>
        <w:autoSpaceDE/>
        <w:autoSpaceDN/>
        <w:bidi w:val="0"/>
        <w:adjustRightInd w:val="0"/>
        <w:snapToGrid w:val="0"/>
        <w:spacing w:line="360" w:lineRule="auto"/>
        <w:ind w:left="55" w:leftChars="0" w:right="0" w:hanging="55" w:hangingChars="24"/>
        <w:jc w:val="both"/>
        <w:textAlignment w:val="baseline"/>
        <w:rPr>
          <w:rFonts w:hint="eastAsia" w:ascii="黑体" w:hAnsi="黑体" w:eastAsia="黑体" w:cs="黑体"/>
          <w:color w:val="auto"/>
          <w:sz w:val="24"/>
          <w:szCs w:val="24"/>
        </w:rPr>
      </w:pPr>
      <w:r>
        <w:rPr>
          <w:rFonts w:hint="eastAsia" w:ascii="黑体" w:hAnsi="黑体" w:eastAsia="黑体" w:cs="黑体"/>
          <w:color w:val="auto"/>
          <w:spacing w:val="-4"/>
          <w:sz w:val="24"/>
          <w:szCs w:val="24"/>
        </w:rPr>
        <w:t>法定代表人或其委托代理人(签字或盖章)</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p>
    <w:p w14:paraId="66BCD3D5">
      <w:pPr>
        <w:pStyle w:val="7"/>
        <w:keepNext w:val="0"/>
        <w:keepLines w:val="0"/>
        <w:pageBreakBefore w:val="0"/>
        <w:widowControl/>
        <w:kinsoku w:val="0"/>
        <w:wordWrap w:val="0"/>
        <w:overflowPunct/>
        <w:topLinePunct w:val="0"/>
        <w:autoSpaceDE/>
        <w:autoSpaceDN/>
        <w:bidi w:val="0"/>
        <w:adjustRightInd w:val="0"/>
        <w:snapToGrid w:val="0"/>
        <w:spacing w:line="360" w:lineRule="auto"/>
        <w:ind w:left="55" w:leftChars="0" w:right="0" w:hanging="55" w:hangingChars="24"/>
        <w:textAlignment w:val="baseline"/>
        <w:rPr>
          <w:rFonts w:hint="eastAsia" w:ascii="黑体" w:hAnsi="黑体" w:eastAsia="黑体" w:cs="黑体"/>
          <w:color w:val="auto"/>
          <w:sz w:val="24"/>
          <w:szCs w:val="24"/>
        </w:rPr>
      </w:pPr>
      <w:r>
        <w:rPr>
          <w:rFonts w:hint="eastAsia" w:ascii="黑体" w:hAnsi="黑体" w:eastAsia="黑体" w:cs="黑体"/>
          <w:color w:val="auto"/>
          <w:spacing w:val="-4"/>
          <w:sz w:val="24"/>
          <w:szCs w:val="24"/>
        </w:rPr>
        <w:t>供应商名称（全称）</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p>
    <w:p w14:paraId="132D5010">
      <w:pPr>
        <w:pStyle w:val="7"/>
        <w:keepNext w:val="0"/>
        <w:keepLines w:val="0"/>
        <w:pageBreakBefore w:val="0"/>
        <w:widowControl/>
        <w:kinsoku w:val="0"/>
        <w:wordWrap w:val="0"/>
        <w:overflowPunct/>
        <w:topLinePunct w:val="0"/>
        <w:autoSpaceDE/>
        <w:autoSpaceDN/>
        <w:bidi w:val="0"/>
        <w:adjustRightInd w:val="0"/>
        <w:snapToGrid w:val="0"/>
        <w:spacing w:line="360" w:lineRule="auto"/>
        <w:ind w:left="54" w:leftChars="0" w:right="0" w:hanging="54" w:hangingChars="24"/>
        <w:textAlignment w:val="baseline"/>
        <w:rPr>
          <w:rFonts w:hint="eastAsia" w:ascii="黑体" w:hAnsi="黑体" w:eastAsia="黑体" w:cs="黑体"/>
          <w:color w:val="auto"/>
          <w:sz w:val="24"/>
          <w:szCs w:val="24"/>
        </w:rPr>
      </w:pPr>
      <w:r>
        <w:rPr>
          <w:rFonts w:hint="eastAsia" w:ascii="黑体" w:hAnsi="黑体" w:eastAsia="黑体" w:cs="黑体"/>
          <w:color w:val="auto"/>
          <w:spacing w:val="-6"/>
          <w:sz w:val="24"/>
          <w:szCs w:val="24"/>
        </w:rPr>
        <w:t>供应商单位公章</w:t>
      </w:r>
      <w:r>
        <w:rPr>
          <w:rFonts w:hint="eastAsia" w:ascii="黑体" w:hAnsi="黑体" w:eastAsia="黑体" w:cs="黑体"/>
          <w:color w:val="auto"/>
          <w:spacing w:val="-14"/>
          <w:sz w:val="24"/>
          <w:szCs w:val="24"/>
          <w:lang w:val="en-US" w:eastAsia="zh-CN"/>
        </w:rPr>
        <w:t>:</w:t>
      </w:r>
      <w:r>
        <w:rPr>
          <w:rFonts w:hint="eastAsia" w:ascii="黑体" w:hAnsi="黑体" w:eastAsia="黑体" w:cs="黑体"/>
          <w:color w:val="auto"/>
          <w:spacing w:val="-14"/>
          <w:sz w:val="24"/>
          <w:szCs w:val="24"/>
          <w:u w:val="single"/>
          <w:lang w:val="en-US" w:eastAsia="zh-CN"/>
        </w:rPr>
        <w:t xml:space="preserve">                          </w:t>
      </w:r>
    </w:p>
    <w:p w14:paraId="150C53B1">
      <w:pPr>
        <w:pageBreakBefore w:val="0"/>
        <w:kinsoku w:val="0"/>
        <w:wordWrap w:val="0"/>
        <w:overflowPunct/>
        <w:topLinePunct w:val="0"/>
        <w:autoSpaceDE/>
        <w:autoSpaceDN/>
        <w:bidi w:val="0"/>
        <w:spacing w:line="240" w:lineRule="auto"/>
        <w:ind w:left="0"/>
        <w:jc w:val="left"/>
        <w:rPr>
          <w:rFonts w:hint="eastAsia" w:ascii="黑体" w:hAnsi="黑体" w:eastAsia="黑体" w:cs="黑体"/>
          <w:color w:val="auto"/>
          <w:sz w:val="24"/>
          <w:szCs w:val="24"/>
        </w:rPr>
      </w:pPr>
      <w:r>
        <w:rPr>
          <w:rFonts w:hint="eastAsia" w:ascii="黑体" w:hAnsi="黑体" w:eastAsia="黑体" w:cs="黑体"/>
          <w:color w:val="auto"/>
          <w:spacing w:val="-5"/>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年</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日</w:t>
      </w:r>
    </w:p>
    <w:p w14:paraId="7E62EB0A">
      <w:pPr>
        <w:pStyle w:val="7"/>
        <w:pageBreakBefore w:val="0"/>
        <w:kinsoku w:val="0"/>
        <w:wordWrap w:val="0"/>
        <w:overflowPunct/>
        <w:topLinePunct w:val="0"/>
        <w:autoSpaceDE/>
        <w:autoSpaceDN/>
        <w:bidi w:val="0"/>
        <w:spacing w:before="60" w:line="222" w:lineRule="auto"/>
        <w:ind w:left="4302"/>
        <w:outlineLvl w:val="6"/>
        <w:rPr>
          <w:rFonts w:hint="eastAsia" w:ascii="黑体" w:hAnsi="黑体" w:eastAsia="黑体" w:cs="黑体"/>
          <w:b/>
          <w:bCs/>
          <w:color w:val="auto"/>
          <w:spacing w:val="-6"/>
          <w:sz w:val="28"/>
          <w:szCs w:val="28"/>
          <w:lang w:eastAsia="zh-CN"/>
        </w:rPr>
      </w:pPr>
    </w:p>
    <w:p w14:paraId="7DA0B177">
      <w:pPr>
        <w:pStyle w:val="8"/>
        <w:rPr>
          <w:rFonts w:hint="eastAsia"/>
          <w:lang w:eastAsia="zh-CN"/>
        </w:rPr>
      </w:pPr>
    </w:p>
    <w:p w14:paraId="3F529A37">
      <w:pPr>
        <w:rPr>
          <w:rFonts w:hint="eastAsia" w:ascii="黑体" w:hAnsi="黑体" w:eastAsia="黑体" w:cs="黑体"/>
          <w:b/>
          <w:bCs/>
          <w:color w:val="auto"/>
          <w:spacing w:val="-6"/>
          <w:sz w:val="28"/>
          <w:szCs w:val="28"/>
        </w:rPr>
      </w:pPr>
      <w:r>
        <w:rPr>
          <w:rFonts w:hint="eastAsia" w:ascii="黑体" w:hAnsi="黑体" w:eastAsia="黑体" w:cs="黑体"/>
          <w:b/>
          <w:bCs/>
          <w:color w:val="auto"/>
          <w:spacing w:val="-6"/>
          <w:sz w:val="28"/>
          <w:szCs w:val="28"/>
        </w:rPr>
        <w:br w:type="page"/>
      </w:r>
    </w:p>
    <w:p w14:paraId="64204C44">
      <w:pPr>
        <w:pStyle w:val="7"/>
        <w:pageBreakBefore w:val="0"/>
        <w:kinsoku w:val="0"/>
        <w:wordWrap w:val="0"/>
        <w:overflowPunct/>
        <w:topLinePunct w:val="0"/>
        <w:autoSpaceDE/>
        <w:autoSpaceDN/>
        <w:bidi w:val="0"/>
        <w:spacing w:before="60" w:line="222" w:lineRule="auto"/>
        <w:ind w:left="4302"/>
        <w:outlineLvl w:val="6"/>
        <w:rPr>
          <w:rFonts w:hint="eastAsia" w:ascii="黑体" w:hAnsi="黑体" w:eastAsia="黑体" w:cs="黑体"/>
          <w:color w:val="auto"/>
          <w:sz w:val="28"/>
          <w:szCs w:val="28"/>
        </w:rPr>
      </w:pPr>
      <w:r>
        <w:rPr>
          <w:rFonts w:hint="eastAsia" w:ascii="黑体" w:hAnsi="黑体" w:eastAsia="黑体" w:cs="黑体"/>
          <w:b/>
          <w:bCs/>
          <w:color w:val="auto"/>
          <w:spacing w:val="-6"/>
          <w:sz w:val="28"/>
          <w:szCs w:val="28"/>
        </w:rPr>
        <w:t>2、投标分项报价表</w:t>
      </w:r>
    </w:p>
    <w:p w14:paraId="3278BE43">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53DFC123">
      <w:pPr>
        <w:pStyle w:val="7"/>
        <w:pageBreakBefore w:val="0"/>
        <w:kinsoku w:val="0"/>
        <w:wordWrap w:val="0"/>
        <w:overflowPunct/>
        <w:topLinePunct w:val="0"/>
        <w:autoSpaceDE/>
        <w:autoSpaceDN/>
        <w:bidi w:val="0"/>
        <w:spacing w:before="78" w:line="360"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项目名称:</w:t>
      </w:r>
      <w:r>
        <w:rPr>
          <w:rFonts w:hint="eastAsia" w:ascii="黑体" w:hAnsi="黑体" w:eastAsia="黑体" w:cs="黑体"/>
          <w:color w:val="auto"/>
          <w:spacing w:val="-4"/>
          <w:sz w:val="24"/>
          <w:szCs w:val="24"/>
          <w:lang w:val="en-US" w:eastAsia="zh-CN"/>
        </w:rPr>
        <w:t xml:space="preserve">                                               </w:t>
      </w:r>
      <w:r>
        <w:rPr>
          <w:rFonts w:hint="eastAsia" w:ascii="黑体" w:hAnsi="黑体" w:eastAsia="黑体" w:cs="黑体"/>
          <w:color w:val="auto"/>
          <w:spacing w:val="-4"/>
          <w:sz w:val="24"/>
          <w:szCs w:val="24"/>
        </w:rPr>
        <w:t>项目编号:</w:t>
      </w:r>
    </w:p>
    <w:p w14:paraId="5BCECF85">
      <w:pPr>
        <w:pStyle w:val="7"/>
        <w:pageBreakBefore w:val="0"/>
        <w:kinsoku w:val="0"/>
        <w:wordWrap w:val="0"/>
        <w:overflowPunct/>
        <w:topLinePunct w:val="0"/>
        <w:autoSpaceDE/>
        <w:autoSpaceDN/>
        <w:bidi w:val="0"/>
        <w:spacing w:before="12" w:line="360"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报价单位：人民币</w:t>
      </w:r>
      <w:r>
        <w:rPr>
          <w:rFonts w:hint="eastAsia" w:ascii="黑体" w:hAnsi="黑体" w:eastAsia="黑体" w:cs="黑体"/>
          <w:color w:val="auto"/>
          <w:sz w:val="24"/>
          <w:szCs w:val="24"/>
          <w:lang w:val="en-US" w:eastAsia="zh-CN"/>
        </w:rPr>
        <w:t xml:space="preserve">   </w:t>
      </w:r>
      <w:r>
        <w:rPr>
          <w:rFonts w:hint="eastAsia" w:ascii="黑体" w:hAnsi="黑体" w:eastAsia="黑体" w:cs="黑体"/>
          <w:b/>
          <w:bCs/>
          <w:color w:val="auto"/>
          <w:sz w:val="24"/>
          <w:szCs w:val="24"/>
        </w:rPr>
        <w:t>元</w:t>
      </w:r>
    </w:p>
    <w:tbl>
      <w:tblPr>
        <w:tblStyle w:val="22"/>
        <w:tblW w:w="98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334"/>
        <w:gridCol w:w="1537"/>
        <w:gridCol w:w="1456"/>
        <w:gridCol w:w="1183"/>
        <w:gridCol w:w="1589"/>
        <w:gridCol w:w="1000"/>
        <w:gridCol w:w="1003"/>
      </w:tblGrid>
      <w:tr w14:paraId="78FF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761" w:type="dxa"/>
            <w:vAlign w:val="top"/>
          </w:tcPr>
          <w:p w14:paraId="121A4F05">
            <w:pPr>
              <w:pageBreakBefore w:val="0"/>
              <w:kinsoku w:val="0"/>
              <w:wordWrap w:val="0"/>
              <w:overflowPunct/>
              <w:topLinePunct w:val="0"/>
              <w:autoSpaceDE/>
              <w:autoSpaceDN/>
              <w:bidi w:val="0"/>
              <w:spacing w:line="326" w:lineRule="auto"/>
              <w:rPr>
                <w:rFonts w:hint="eastAsia" w:ascii="黑体" w:hAnsi="黑体" w:eastAsia="黑体" w:cs="黑体"/>
                <w:color w:val="auto"/>
                <w:sz w:val="21"/>
              </w:rPr>
            </w:pPr>
          </w:p>
          <w:p w14:paraId="1EB676D6">
            <w:pPr>
              <w:pStyle w:val="23"/>
              <w:pageBreakBefore w:val="0"/>
              <w:kinsoku w:val="0"/>
              <w:wordWrap w:val="0"/>
              <w:overflowPunct/>
              <w:topLinePunct w:val="0"/>
              <w:autoSpaceDE/>
              <w:autoSpaceDN/>
              <w:bidi w:val="0"/>
              <w:spacing w:before="78" w:line="222" w:lineRule="auto"/>
              <w:ind w:left="138"/>
              <w:rPr>
                <w:rFonts w:hint="eastAsia" w:ascii="黑体" w:hAnsi="黑体" w:eastAsia="黑体" w:cs="黑体"/>
                <w:color w:val="auto"/>
              </w:rPr>
            </w:pPr>
            <w:r>
              <w:rPr>
                <w:rFonts w:hint="eastAsia" w:ascii="黑体" w:hAnsi="黑体" w:eastAsia="黑体" w:cs="黑体"/>
                <w:color w:val="auto"/>
                <w:spacing w:val="-8"/>
              </w:rPr>
              <w:t>序号</w:t>
            </w:r>
          </w:p>
        </w:tc>
        <w:tc>
          <w:tcPr>
            <w:tcW w:w="1334" w:type="dxa"/>
            <w:vAlign w:val="top"/>
          </w:tcPr>
          <w:p w14:paraId="6B78A481">
            <w:pPr>
              <w:pageBreakBefore w:val="0"/>
              <w:kinsoku w:val="0"/>
              <w:wordWrap w:val="0"/>
              <w:overflowPunct/>
              <w:topLinePunct w:val="0"/>
              <w:autoSpaceDE/>
              <w:autoSpaceDN/>
              <w:bidi w:val="0"/>
              <w:spacing w:line="326" w:lineRule="auto"/>
              <w:rPr>
                <w:rFonts w:hint="eastAsia" w:ascii="黑体" w:hAnsi="黑体" w:eastAsia="黑体" w:cs="黑体"/>
                <w:color w:val="auto"/>
                <w:sz w:val="21"/>
              </w:rPr>
            </w:pPr>
          </w:p>
          <w:p w14:paraId="5C82E4F6">
            <w:pPr>
              <w:pStyle w:val="23"/>
              <w:pageBreakBefore w:val="0"/>
              <w:kinsoku w:val="0"/>
              <w:wordWrap w:val="0"/>
              <w:overflowPunct/>
              <w:topLinePunct w:val="0"/>
              <w:autoSpaceDE/>
              <w:autoSpaceDN/>
              <w:bidi w:val="0"/>
              <w:spacing w:before="78" w:line="221" w:lineRule="auto"/>
              <w:ind w:left="453"/>
              <w:rPr>
                <w:rFonts w:hint="eastAsia" w:ascii="黑体" w:hAnsi="黑体" w:eastAsia="黑体" w:cs="黑体"/>
                <w:color w:val="auto"/>
              </w:rPr>
            </w:pPr>
            <w:r>
              <w:rPr>
                <w:rFonts w:hint="eastAsia" w:ascii="黑体" w:hAnsi="黑体" w:eastAsia="黑体" w:cs="黑体"/>
                <w:color w:val="auto"/>
                <w:spacing w:val="-9"/>
              </w:rPr>
              <w:t>名称</w:t>
            </w:r>
          </w:p>
        </w:tc>
        <w:tc>
          <w:tcPr>
            <w:tcW w:w="1537" w:type="dxa"/>
            <w:vAlign w:val="top"/>
          </w:tcPr>
          <w:p w14:paraId="11DD890E">
            <w:pPr>
              <w:pageBreakBefore w:val="0"/>
              <w:kinsoku w:val="0"/>
              <w:wordWrap w:val="0"/>
              <w:overflowPunct/>
              <w:topLinePunct w:val="0"/>
              <w:autoSpaceDE/>
              <w:autoSpaceDN/>
              <w:bidi w:val="0"/>
              <w:spacing w:line="326" w:lineRule="auto"/>
              <w:rPr>
                <w:rFonts w:hint="eastAsia" w:ascii="黑体" w:hAnsi="黑体" w:eastAsia="黑体" w:cs="黑体"/>
                <w:color w:val="auto"/>
                <w:sz w:val="21"/>
              </w:rPr>
            </w:pPr>
          </w:p>
          <w:p w14:paraId="78C111B6">
            <w:pPr>
              <w:pStyle w:val="23"/>
              <w:pageBreakBefore w:val="0"/>
              <w:kinsoku w:val="0"/>
              <w:wordWrap w:val="0"/>
              <w:overflowPunct/>
              <w:topLinePunct w:val="0"/>
              <w:autoSpaceDE/>
              <w:autoSpaceDN/>
              <w:bidi w:val="0"/>
              <w:spacing w:before="78" w:line="222" w:lineRule="auto"/>
              <w:ind w:left="310"/>
              <w:rPr>
                <w:rFonts w:hint="eastAsia" w:ascii="黑体" w:hAnsi="黑体" w:eastAsia="黑体" w:cs="黑体"/>
                <w:color w:val="auto"/>
              </w:rPr>
            </w:pPr>
            <w:r>
              <w:rPr>
                <w:rFonts w:hint="eastAsia" w:ascii="黑体" w:hAnsi="黑体" w:eastAsia="黑体" w:cs="黑体"/>
                <w:color w:val="auto"/>
                <w:spacing w:val="-6"/>
              </w:rPr>
              <w:t>服务内容</w:t>
            </w:r>
          </w:p>
        </w:tc>
        <w:tc>
          <w:tcPr>
            <w:tcW w:w="1456" w:type="dxa"/>
            <w:vAlign w:val="top"/>
          </w:tcPr>
          <w:p w14:paraId="2C7D4DE9">
            <w:pPr>
              <w:pageBreakBefore w:val="0"/>
              <w:kinsoku w:val="0"/>
              <w:wordWrap w:val="0"/>
              <w:overflowPunct/>
              <w:topLinePunct w:val="0"/>
              <w:autoSpaceDE/>
              <w:autoSpaceDN/>
              <w:bidi w:val="0"/>
              <w:spacing w:line="328" w:lineRule="auto"/>
              <w:rPr>
                <w:rFonts w:hint="eastAsia" w:ascii="黑体" w:hAnsi="黑体" w:eastAsia="黑体" w:cs="黑体"/>
                <w:color w:val="auto"/>
                <w:sz w:val="21"/>
              </w:rPr>
            </w:pPr>
          </w:p>
          <w:p w14:paraId="19076EF9">
            <w:pPr>
              <w:pStyle w:val="23"/>
              <w:pageBreakBefore w:val="0"/>
              <w:kinsoku w:val="0"/>
              <w:wordWrap w:val="0"/>
              <w:overflowPunct/>
              <w:topLinePunct w:val="0"/>
              <w:autoSpaceDE/>
              <w:autoSpaceDN/>
              <w:bidi w:val="0"/>
              <w:spacing w:before="78" w:line="223" w:lineRule="auto"/>
              <w:ind w:left="513"/>
              <w:rPr>
                <w:rFonts w:hint="eastAsia" w:ascii="黑体" w:hAnsi="黑体" w:eastAsia="黑体" w:cs="黑体"/>
                <w:color w:val="auto"/>
              </w:rPr>
            </w:pPr>
            <w:r>
              <w:rPr>
                <w:rFonts w:hint="eastAsia" w:ascii="黑体" w:hAnsi="黑体" w:eastAsia="黑体" w:cs="黑体"/>
                <w:color w:val="auto"/>
                <w:spacing w:val="-8"/>
              </w:rPr>
              <w:t>数量</w:t>
            </w:r>
          </w:p>
        </w:tc>
        <w:tc>
          <w:tcPr>
            <w:tcW w:w="1183" w:type="dxa"/>
            <w:vAlign w:val="top"/>
          </w:tcPr>
          <w:p w14:paraId="1C122936">
            <w:pPr>
              <w:pageBreakBefore w:val="0"/>
              <w:kinsoku w:val="0"/>
              <w:wordWrap w:val="0"/>
              <w:overflowPunct/>
              <w:topLinePunct w:val="0"/>
              <w:autoSpaceDE/>
              <w:autoSpaceDN/>
              <w:bidi w:val="0"/>
              <w:spacing w:line="326" w:lineRule="auto"/>
              <w:rPr>
                <w:rFonts w:hint="eastAsia" w:ascii="黑体" w:hAnsi="黑体" w:eastAsia="黑体" w:cs="黑体"/>
                <w:color w:val="auto"/>
                <w:sz w:val="21"/>
              </w:rPr>
            </w:pPr>
          </w:p>
          <w:p w14:paraId="0ADA7C8B">
            <w:pPr>
              <w:pStyle w:val="23"/>
              <w:pageBreakBefore w:val="0"/>
              <w:kinsoku w:val="0"/>
              <w:wordWrap w:val="0"/>
              <w:overflowPunct/>
              <w:topLinePunct w:val="0"/>
              <w:autoSpaceDE/>
              <w:autoSpaceDN/>
              <w:bidi w:val="0"/>
              <w:spacing w:before="78" w:line="221" w:lineRule="auto"/>
              <w:ind w:left="390"/>
              <w:rPr>
                <w:rFonts w:hint="eastAsia" w:ascii="黑体" w:hAnsi="黑体" w:eastAsia="黑体" w:cs="黑体"/>
                <w:color w:val="auto"/>
              </w:rPr>
            </w:pPr>
            <w:r>
              <w:rPr>
                <w:rFonts w:hint="eastAsia" w:ascii="黑体" w:hAnsi="黑体" w:eastAsia="黑体" w:cs="黑体"/>
                <w:color w:val="auto"/>
                <w:spacing w:val="-11"/>
              </w:rPr>
              <w:t>单位</w:t>
            </w:r>
          </w:p>
        </w:tc>
        <w:tc>
          <w:tcPr>
            <w:tcW w:w="1589" w:type="dxa"/>
            <w:vAlign w:val="top"/>
          </w:tcPr>
          <w:p w14:paraId="20486196">
            <w:pPr>
              <w:pageBreakBefore w:val="0"/>
              <w:kinsoku w:val="0"/>
              <w:wordWrap w:val="0"/>
              <w:overflowPunct/>
              <w:topLinePunct w:val="0"/>
              <w:autoSpaceDE/>
              <w:autoSpaceDN/>
              <w:bidi w:val="0"/>
              <w:spacing w:line="326" w:lineRule="auto"/>
              <w:rPr>
                <w:rFonts w:hint="eastAsia" w:ascii="黑体" w:hAnsi="黑体" w:eastAsia="黑体" w:cs="黑体"/>
                <w:color w:val="auto"/>
                <w:sz w:val="21"/>
              </w:rPr>
            </w:pPr>
          </w:p>
          <w:p w14:paraId="49E95787">
            <w:pPr>
              <w:pStyle w:val="23"/>
              <w:pageBreakBefore w:val="0"/>
              <w:kinsoku w:val="0"/>
              <w:wordWrap w:val="0"/>
              <w:overflowPunct/>
              <w:topLinePunct w:val="0"/>
              <w:autoSpaceDE/>
              <w:autoSpaceDN/>
              <w:bidi w:val="0"/>
              <w:spacing w:before="78" w:line="221" w:lineRule="auto"/>
              <w:ind w:left="596"/>
              <w:rPr>
                <w:rFonts w:hint="eastAsia" w:ascii="黑体" w:hAnsi="黑体" w:eastAsia="黑体" w:cs="黑体"/>
                <w:color w:val="auto"/>
              </w:rPr>
            </w:pPr>
            <w:r>
              <w:rPr>
                <w:rFonts w:hint="eastAsia" w:ascii="黑体" w:hAnsi="黑体" w:eastAsia="黑体" w:cs="黑体"/>
                <w:color w:val="auto"/>
                <w:spacing w:val="-11"/>
              </w:rPr>
              <w:t>单价</w:t>
            </w:r>
          </w:p>
        </w:tc>
        <w:tc>
          <w:tcPr>
            <w:tcW w:w="1000" w:type="dxa"/>
            <w:vAlign w:val="top"/>
          </w:tcPr>
          <w:p w14:paraId="76360D42">
            <w:pPr>
              <w:pageBreakBefore w:val="0"/>
              <w:kinsoku w:val="0"/>
              <w:wordWrap w:val="0"/>
              <w:overflowPunct/>
              <w:topLinePunct w:val="0"/>
              <w:autoSpaceDE/>
              <w:autoSpaceDN/>
              <w:bidi w:val="0"/>
              <w:spacing w:line="326" w:lineRule="auto"/>
              <w:rPr>
                <w:rFonts w:hint="eastAsia" w:ascii="黑体" w:hAnsi="黑体" w:eastAsia="黑体" w:cs="黑体"/>
                <w:color w:val="auto"/>
                <w:sz w:val="21"/>
              </w:rPr>
            </w:pPr>
          </w:p>
          <w:p w14:paraId="17311C86">
            <w:pPr>
              <w:pStyle w:val="23"/>
              <w:pageBreakBefore w:val="0"/>
              <w:kinsoku w:val="0"/>
              <w:wordWrap w:val="0"/>
              <w:overflowPunct/>
              <w:topLinePunct w:val="0"/>
              <w:autoSpaceDE/>
              <w:autoSpaceDN/>
              <w:bidi w:val="0"/>
              <w:spacing w:before="78" w:line="222" w:lineRule="auto"/>
              <w:ind w:left="313"/>
              <w:rPr>
                <w:rFonts w:hint="eastAsia" w:ascii="黑体" w:hAnsi="黑体" w:eastAsia="黑体" w:cs="黑体"/>
                <w:color w:val="auto"/>
              </w:rPr>
            </w:pPr>
            <w:r>
              <w:rPr>
                <w:rFonts w:hint="eastAsia" w:ascii="黑体" w:hAnsi="黑体" w:eastAsia="黑体" w:cs="黑体"/>
                <w:color w:val="auto"/>
                <w:spacing w:val="-14"/>
              </w:rPr>
              <w:t>总价</w:t>
            </w:r>
          </w:p>
        </w:tc>
        <w:tc>
          <w:tcPr>
            <w:tcW w:w="1003" w:type="dxa"/>
            <w:vAlign w:val="top"/>
          </w:tcPr>
          <w:p w14:paraId="6FC821E8">
            <w:pPr>
              <w:pageBreakBefore w:val="0"/>
              <w:kinsoku w:val="0"/>
              <w:wordWrap w:val="0"/>
              <w:overflowPunct/>
              <w:topLinePunct w:val="0"/>
              <w:autoSpaceDE/>
              <w:autoSpaceDN/>
              <w:bidi w:val="0"/>
              <w:spacing w:line="329" w:lineRule="auto"/>
              <w:rPr>
                <w:rFonts w:hint="eastAsia" w:ascii="黑体" w:hAnsi="黑体" w:eastAsia="黑体" w:cs="黑体"/>
                <w:color w:val="auto"/>
                <w:sz w:val="21"/>
              </w:rPr>
            </w:pPr>
          </w:p>
          <w:p w14:paraId="53851223">
            <w:pPr>
              <w:pStyle w:val="23"/>
              <w:pageBreakBefore w:val="0"/>
              <w:kinsoku w:val="0"/>
              <w:wordWrap w:val="0"/>
              <w:overflowPunct/>
              <w:topLinePunct w:val="0"/>
              <w:autoSpaceDE/>
              <w:autoSpaceDN/>
              <w:bidi w:val="0"/>
              <w:spacing w:before="78" w:line="224" w:lineRule="auto"/>
              <w:ind w:left="296"/>
              <w:rPr>
                <w:rFonts w:hint="eastAsia" w:ascii="黑体" w:hAnsi="黑体" w:eastAsia="黑体" w:cs="黑体"/>
                <w:color w:val="auto"/>
              </w:rPr>
            </w:pPr>
            <w:r>
              <w:rPr>
                <w:rFonts w:hint="eastAsia" w:ascii="黑体" w:hAnsi="黑体" w:eastAsia="黑体" w:cs="黑体"/>
                <w:color w:val="auto"/>
                <w:spacing w:val="-9"/>
              </w:rPr>
              <w:t>备注</w:t>
            </w:r>
          </w:p>
        </w:tc>
      </w:tr>
      <w:tr w14:paraId="023E3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761" w:type="dxa"/>
            <w:vAlign w:val="top"/>
          </w:tcPr>
          <w:p w14:paraId="05112EA5">
            <w:pPr>
              <w:pStyle w:val="23"/>
              <w:pageBreakBefore w:val="0"/>
              <w:kinsoku w:val="0"/>
              <w:wordWrap w:val="0"/>
              <w:overflowPunct/>
              <w:topLinePunct w:val="0"/>
              <w:autoSpaceDE/>
              <w:autoSpaceDN/>
              <w:bidi w:val="0"/>
              <w:spacing w:before="228" w:line="181" w:lineRule="auto"/>
              <w:ind w:left="366"/>
              <w:rPr>
                <w:rFonts w:hint="eastAsia" w:ascii="黑体" w:hAnsi="黑体" w:eastAsia="黑体" w:cs="黑体"/>
                <w:color w:val="auto"/>
              </w:rPr>
            </w:pPr>
            <w:r>
              <w:rPr>
                <w:rFonts w:hint="eastAsia" w:ascii="黑体" w:hAnsi="黑体" w:eastAsia="黑体" w:cs="黑体"/>
                <w:color w:val="auto"/>
              </w:rPr>
              <w:t>1</w:t>
            </w:r>
          </w:p>
        </w:tc>
        <w:tc>
          <w:tcPr>
            <w:tcW w:w="1334" w:type="dxa"/>
            <w:vAlign w:val="top"/>
          </w:tcPr>
          <w:p w14:paraId="440D3173">
            <w:pPr>
              <w:pageBreakBefore w:val="0"/>
              <w:kinsoku w:val="0"/>
              <w:wordWrap w:val="0"/>
              <w:overflowPunct/>
              <w:topLinePunct w:val="0"/>
              <w:autoSpaceDE/>
              <w:autoSpaceDN/>
              <w:bidi w:val="0"/>
              <w:rPr>
                <w:rFonts w:hint="eastAsia" w:ascii="黑体" w:hAnsi="黑体" w:eastAsia="黑体" w:cs="黑体"/>
                <w:color w:val="auto"/>
                <w:sz w:val="21"/>
              </w:rPr>
            </w:pPr>
          </w:p>
        </w:tc>
        <w:tc>
          <w:tcPr>
            <w:tcW w:w="1537" w:type="dxa"/>
            <w:vAlign w:val="top"/>
          </w:tcPr>
          <w:p w14:paraId="21C4AE0E">
            <w:pPr>
              <w:pageBreakBefore w:val="0"/>
              <w:kinsoku w:val="0"/>
              <w:wordWrap w:val="0"/>
              <w:overflowPunct/>
              <w:topLinePunct w:val="0"/>
              <w:autoSpaceDE/>
              <w:autoSpaceDN/>
              <w:bidi w:val="0"/>
              <w:rPr>
                <w:rFonts w:hint="eastAsia" w:ascii="黑体" w:hAnsi="黑体" w:eastAsia="黑体" w:cs="黑体"/>
                <w:color w:val="auto"/>
                <w:sz w:val="21"/>
              </w:rPr>
            </w:pPr>
          </w:p>
        </w:tc>
        <w:tc>
          <w:tcPr>
            <w:tcW w:w="1456" w:type="dxa"/>
            <w:vAlign w:val="top"/>
          </w:tcPr>
          <w:p w14:paraId="5241D167">
            <w:pPr>
              <w:pageBreakBefore w:val="0"/>
              <w:kinsoku w:val="0"/>
              <w:wordWrap w:val="0"/>
              <w:overflowPunct/>
              <w:topLinePunct w:val="0"/>
              <w:autoSpaceDE/>
              <w:autoSpaceDN/>
              <w:bidi w:val="0"/>
              <w:rPr>
                <w:rFonts w:hint="eastAsia" w:ascii="黑体" w:hAnsi="黑体" w:eastAsia="黑体" w:cs="黑体"/>
                <w:color w:val="auto"/>
                <w:sz w:val="21"/>
              </w:rPr>
            </w:pPr>
          </w:p>
        </w:tc>
        <w:tc>
          <w:tcPr>
            <w:tcW w:w="1183" w:type="dxa"/>
            <w:vAlign w:val="top"/>
          </w:tcPr>
          <w:p w14:paraId="33A1D69E">
            <w:pPr>
              <w:pageBreakBefore w:val="0"/>
              <w:kinsoku w:val="0"/>
              <w:wordWrap w:val="0"/>
              <w:overflowPunct/>
              <w:topLinePunct w:val="0"/>
              <w:autoSpaceDE/>
              <w:autoSpaceDN/>
              <w:bidi w:val="0"/>
              <w:rPr>
                <w:rFonts w:hint="eastAsia" w:ascii="黑体" w:hAnsi="黑体" w:eastAsia="黑体" w:cs="黑体"/>
                <w:color w:val="auto"/>
                <w:sz w:val="21"/>
              </w:rPr>
            </w:pPr>
          </w:p>
        </w:tc>
        <w:tc>
          <w:tcPr>
            <w:tcW w:w="1589" w:type="dxa"/>
            <w:vAlign w:val="top"/>
          </w:tcPr>
          <w:p w14:paraId="14CCB775">
            <w:pPr>
              <w:pageBreakBefore w:val="0"/>
              <w:kinsoku w:val="0"/>
              <w:wordWrap w:val="0"/>
              <w:overflowPunct/>
              <w:topLinePunct w:val="0"/>
              <w:autoSpaceDE/>
              <w:autoSpaceDN/>
              <w:bidi w:val="0"/>
              <w:rPr>
                <w:rFonts w:hint="eastAsia" w:ascii="黑体" w:hAnsi="黑体" w:eastAsia="黑体" w:cs="黑体"/>
                <w:color w:val="auto"/>
                <w:sz w:val="21"/>
              </w:rPr>
            </w:pPr>
          </w:p>
        </w:tc>
        <w:tc>
          <w:tcPr>
            <w:tcW w:w="1000" w:type="dxa"/>
            <w:vAlign w:val="top"/>
          </w:tcPr>
          <w:p w14:paraId="3E95BFD6">
            <w:pPr>
              <w:pageBreakBefore w:val="0"/>
              <w:kinsoku w:val="0"/>
              <w:wordWrap w:val="0"/>
              <w:overflowPunct/>
              <w:topLinePunct w:val="0"/>
              <w:autoSpaceDE/>
              <w:autoSpaceDN/>
              <w:bidi w:val="0"/>
              <w:rPr>
                <w:rFonts w:hint="eastAsia" w:ascii="黑体" w:hAnsi="黑体" w:eastAsia="黑体" w:cs="黑体"/>
                <w:color w:val="auto"/>
                <w:sz w:val="21"/>
              </w:rPr>
            </w:pPr>
          </w:p>
        </w:tc>
        <w:tc>
          <w:tcPr>
            <w:tcW w:w="1003" w:type="dxa"/>
            <w:vAlign w:val="top"/>
          </w:tcPr>
          <w:p w14:paraId="3D6B4E82">
            <w:pPr>
              <w:pageBreakBefore w:val="0"/>
              <w:kinsoku w:val="0"/>
              <w:wordWrap w:val="0"/>
              <w:overflowPunct/>
              <w:topLinePunct w:val="0"/>
              <w:autoSpaceDE/>
              <w:autoSpaceDN/>
              <w:bidi w:val="0"/>
              <w:rPr>
                <w:rFonts w:hint="eastAsia" w:ascii="黑体" w:hAnsi="黑体" w:eastAsia="黑体" w:cs="黑体"/>
                <w:color w:val="auto"/>
                <w:sz w:val="21"/>
              </w:rPr>
            </w:pPr>
          </w:p>
        </w:tc>
      </w:tr>
      <w:tr w14:paraId="0604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Align w:val="top"/>
          </w:tcPr>
          <w:p w14:paraId="45433C3E">
            <w:pPr>
              <w:pStyle w:val="23"/>
              <w:pageBreakBefore w:val="0"/>
              <w:kinsoku w:val="0"/>
              <w:wordWrap w:val="0"/>
              <w:overflowPunct/>
              <w:topLinePunct w:val="0"/>
              <w:autoSpaceDE/>
              <w:autoSpaceDN/>
              <w:bidi w:val="0"/>
              <w:spacing w:before="275" w:line="180" w:lineRule="auto"/>
              <w:ind w:left="337"/>
              <w:rPr>
                <w:rFonts w:hint="eastAsia" w:ascii="黑体" w:hAnsi="黑体" w:eastAsia="黑体" w:cs="黑体"/>
                <w:color w:val="auto"/>
              </w:rPr>
            </w:pPr>
            <w:r>
              <w:rPr>
                <w:rFonts w:hint="eastAsia" w:ascii="黑体" w:hAnsi="黑体" w:eastAsia="黑体" w:cs="黑体"/>
                <w:color w:val="auto"/>
              </w:rPr>
              <w:t>2</w:t>
            </w:r>
          </w:p>
        </w:tc>
        <w:tc>
          <w:tcPr>
            <w:tcW w:w="1334" w:type="dxa"/>
            <w:vAlign w:val="top"/>
          </w:tcPr>
          <w:p w14:paraId="7150478F">
            <w:pPr>
              <w:pageBreakBefore w:val="0"/>
              <w:kinsoku w:val="0"/>
              <w:wordWrap w:val="0"/>
              <w:overflowPunct/>
              <w:topLinePunct w:val="0"/>
              <w:autoSpaceDE/>
              <w:autoSpaceDN/>
              <w:bidi w:val="0"/>
              <w:rPr>
                <w:rFonts w:hint="eastAsia" w:ascii="黑体" w:hAnsi="黑体" w:eastAsia="黑体" w:cs="黑体"/>
                <w:color w:val="auto"/>
                <w:sz w:val="21"/>
              </w:rPr>
            </w:pPr>
          </w:p>
        </w:tc>
        <w:tc>
          <w:tcPr>
            <w:tcW w:w="1537" w:type="dxa"/>
            <w:vAlign w:val="top"/>
          </w:tcPr>
          <w:p w14:paraId="0DF049E9">
            <w:pPr>
              <w:pageBreakBefore w:val="0"/>
              <w:kinsoku w:val="0"/>
              <w:wordWrap w:val="0"/>
              <w:overflowPunct/>
              <w:topLinePunct w:val="0"/>
              <w:autoSpaceDE/>
              <w:autoSpaceDN/>
              <w:bidi w:val="0"/>
              <w:rPr>
                <w:rFonts w:hint="eastAsia" w:ascii="黑体" w:hAnsi="黑体" w:eastAsia="黑体" w:cs="黑体"/>
                <w:color w:val="auto"/>
                <w:sz w:val="21"/>
              </w:rPr>
            </w:pPr>
          </w:p>
        </w:tc>
        <w:tc>
          <w:tcPr>
            <w:tcW w:w="1456" w:type="dxa"/>
            <w:vAlign w:val="top"/>
          </w:tcPr>
          <w:p w14:paraId="06C7671E">
            <w:pPr>
              <w:pageBreakBefore w:val="0"/>
              <w:kinsoku w:val="0"/>
              <w:wordWrap w:val="0"/>
              <w:overflowPunct/>
              <w:topLinePunct w:val="0"/>
              <w:autoSpaceDE/>
              <w:autoSpaceDN/>
              <w:bidi w:val="0"/>
              <w:rPr>
                <w:rFonts w:hint="eastAsia" w:ascii="黑体" w:hAnsi="黑体" w:eastAsia="黑体" w:cs="黑体"/>
                <w:color w:val="auto"/>
                <w:sz w:val="21"/>
              </w:rPr>
            </w:pPr>
          </w:p>
        </w:tc>
        <w:tc>
          <w:tcPr>
            <w:tcW w:w="1183" w:type="dxa"/>
            <w:vAlign w:val="top"/>
          </w:tcPr>
          <w:p w14:paraId="3C02EE43">
            <w:pPr>
              <w:pageBreakBefore w:val="0"/>
              <w:kinsoku w:val="0"/>
              <w:wordWrap w:val="0"/>
              <w:overflowPunct/>
              <w:topLinePunct w:val="0"/>
              <w:autoSpaceDE/>
              <w:autoSpaceDN/>
              <w:bidi w:val="0"/>
              <w:rPr>
                <w:rFonts w:hint="eastAsia" w:ascii="黑体" w:hAnsi="黑体" w:eastAsia="黑体" w:cs="黑体"/>
                <w:color w:val="auto"/>
                <w:sz w:val="21"/>
              </w:rPr>
            </w:pPr>
          </w:p>
        </w:tc>
        <w:tc>
          <w:tcPr>
            <w:tcW w:w="1589" w:type="dxa"/>
            <w:vAlign w:val="top"/>
          </w:tcPr>
          <w:p w14:paraId="39B685DF">
            <w:pPr>
              <w:pageBreakBefore w:val="0"/>
              <w:kinsoku w:val="0"/>
              <w:wordWrap w:val="0"/>
              <w:overflowPunct/>
              <w:topLinePunct w:val="0"/>
              <w:autoSpaceDE/>
              <w:autoSpaceDN/>
              <w:bidi w:val="0"/>
              <w:rPr>
                <w:rFonts w:hint="eastAsia" w:ascii="黑体" w:hAnsi="黑体" w:eastAsia="黑体" w:cs="黑体"/>
                <w:color w:val="auto"/>
                <w:sz w:val="21"/>
              </w:rPr>
            </w:pPr>
          </w:p>
        </w:tc>
        <w:tc>
          <w:tcPr>
            <w:tcW w:w="1000" w:type="dxa"/>
            <w:vAlign w:val="top"/>
          </w:tcPr>
          <w:p w14:paraId="592D6709">
            <w:pPr>
              <w:pageBreakBefore w:val="0"/>
              <w:kinsoku w:val="0"/>
              <w:wordWrap w:val="0"/>
              <w:overflowPunct/>
              <w:topLinePunct w:val="0"/>
              <w:autoSpaceDE/>
              <w:autoSpaceDN/>
              <w:bidi w:val="0"/>
              <w:rPr>
                <w:rFonts w:hint="eastAsia" w:ascii="黑体" w:hAnsi="黑体" w:eastAsia="黑体" w:cs="黑体"/>
                <w:color w:val="auto"/>
                <w:sz w:val="21"/>
              </w:rPr>
            </w:pPr>
          </w:p>
        </w:tc>
        <w:tc>
          <w:tcPr>
            <w:tcW w:w="1003" w:type="dxa"/>
            <w:vAlign w:val="top"/>
          </w:tcPr>
          <w:p w14:paraId="026B1424">
            <w:pPr>
              <w:pageBreakBefore w:val="0"/>
              <w:kinsoku w:val="0"/>
              <w:wordWrap w:val="0"/>
              <w:overflowPunct/>
              <w:topLinePunct w:val="0"/>
              <w:autoSpaceDE/>
              <w:autoSpaceDN/>
              <w:bidi w:val="0"/>
              <w:rPr>
                <w:rFonts w:hint="eastAsia" w:ascii="黑体" w:hAnsi="黑体" w:eastAsia="黑体" w:cs="黑体"/>
                <w:color w:val="auto"/>
                <w:sz w:val="21"/>
              </w:rPr>
            </w:pPr>
          </w:p>
        </w:tc>
      </w:tr>
      <w:tr w14:paraId="05E7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761" w:type="dxa"/>
            <w:vAlign w:val="top"/>
          </w:tcPr>
          <w:p w14:paraId="20B2D1DF">
            <w:pPr>
              <w:pageBreakBefore w:val="0"/>
              <w:kinsoku w:val="0"/>
              <w:wordWrap w:val="0"/>
              <w:overflowPunct/>
              <w:topLinePunct w:val="0"/>
              <w:autoSpaceDE/>
              <w:autoSpaceDN/>
              <w:bidi w:val="0"/>
              <w:spacing w:line="278" w:lineRule="auto"/>
              <w:rPr>
                <w:rFonts w:hint="eastAsia" w:ascii="黑体" w:hAnsi="黑体" w:eastAsia="黑体" w:cs="黑体"/>
                <w:color w:val="auto"/>
                <w:sz w:val="21"/>
              </w:rPr>
            </w:pPr>
          </w:p>
          <w:p w14:paraId="08E3372D">
            <w:pPr>
              <w:pStyle w:val="23"/>
              <w:pageBreakBefore w:val="0"/>
              <w:kinsoku w:val="0"/>
              <w:wordWrap w:val="0"/>
              <w:overflowPunct/>
              <w:topLinePunct w:val="0"/>
              <w:autoSpaceDE/>
              <w:autoSpaceDN/>
              <w:bidi w:val="0"/>
              <w:spacing w:before="78" w:line="180" w:lineRule="auto"/>
              <w:ind w:left="341"/>
              <w:rPr>
                <w:rFonts w:hint="eastAsia" w:ascii="黑体" w:hAnsi="黑体" w:eastAsia="黑体" w:cs="黑体"/>
                <w:color w:val="auto"/>
              </w:rPr>
            </w:pPr>
            <w:r>
              <w:rPr>
                <w:rFonts w:hint="eastAsia" w:ascii="黑体" w:hAnsi="黑体" w:eastAsia="黑体" w:cs="黑体"/>
                <w:color w:val="auto"/>
              </w:rPr>
              <w:t>3</w:t>
            </w:r>
          </w:p>
        </w:tc>
        <w:tc>
          <w:tcPr>
            <w:tcW w:w="1334" w:type="dxa"/>
            <w:vAlign w:val="top"/>
          </w:tcPr>
          <w:p w14:paraId="0A47D0DE">
            <w:pPr>
              <w:pageBreakBefore w:val="0"/>
              <w:kinsoku w:val="0"/>
              <w:wordWrap w:val="0"/>
              <w:overflowPunct/>
              <w:topLinePunct w:val="0"/>
              <w:autoSpaceDE/>
              <w:autoSpaceDN/>
              <w:bidi w:val="0"/>
              <w:rPr>
                <w:rFonts w:hint="eastAsia" w:ascii="黑体" w:hAnsi="黑体" w:eastAsia="黑体" w:cs="黑体"/>
                <w:color w:val="auto"/>
                <w:sz w:val="21"/>
              </w:rPr>
            </w:pPr>
          </w:p>
        </w:tc>
        <w:tc>
          <w:tcPr>
            <w:tcW w:w="1537" w:type="dxa"/>
            <w:vAlign w:val="top"/>
          </w:tcPr>
          <w:p w14:paraId="3CB1B490">
            <w:pPr>
              <w:pageBreakBefore w:val="0"/>
              <w:kinsoku w:val="0"/>
              <w:wordWrap w:val="0"/>
              <w:overflowPunct/>
              <w:topLinePunct w:val="0"/>
              <w:autoSpaceDE/>
              <w:autoSpaceDN/>
              <w:bidi w:val="0"/>
              <w:rPr>
                <w:rFonts w:hint="eastAsia" w:ascii="黑体" w:hAnsi="黑体" w:eastAsia="黑体" w:cs="黑体"/>
                <w:color w:val="auto"/>
                <w:sz w:val="21"/>
              </w:rPr>
            </w:pPr>
          </w:p>
        </w:tc>
        <w:tc>
          <w:tcPr>
            <w:tcW w:w="1456" w:type="dxa"/>
            <w:vAlign w:val="top"/>
          </w:tcPr>
          <w:p w14:paraId="2A9AE1FD">
            <w:pPr>
              <w:pageBreakBefore w:val="0"/>
              <w:kinsoku w:val="0"/>
              <w:wordWrap w:val="0"/>
              <w:overflowPunct/>
              <w:topLinePunct w:val="0"/>
              <w:autoSpaceDE/>
              <w:autoSpaceDN/>
              <w:bidi w:val="0"/>
              <w:rPr>
                <w:rFonts w:hint="eastAsia" w:ascii="黑体" w:hAnsi="黑体" w:eastAsia="黑体" w:cs="黑体"/>
                <w:color w:val="auto"/>
                <w:sz w:val="21"/>
              </w:rPr>
            </w:pPr>
          </w:p>
        </w:tc>
        <w:tc>
          <w:tcPr>
            <w:tcW w:w="1183" w:type="dxa"/>
            <w:vAlign w:val="top"/>
          </w:tcPr>
          <w:p w14:paraId="4A643F59">
            <w:pPr>
              <w:pageBreakBefore w:val="0"/>
              <w:kinsoku w:val="0"/>
              <w:wordWrap w:val="0"/>
              <w:overflowPunct/>
              <w:topLinePunct w:val="0"/>
              <w:autoSpaceDE/>
              <w:autoSpaceDN/>
              <w:bidi w:val="0"/>
              <w:rPr>
                <w:rFonts w:hint="eastAsia" w:ascii="黑体" w:hAnsi="黑体" w:eastAsia="黑体" w:cs="黑体"/>
                <w:color w:val="auto"/>
                <w:sz w:val="21"/>
              </w:rPr>
            </w:pPr>
          </w:p>
        </w:tc>
        <w:tc>
          <w:tcPr>
            <w:tcW w:w="1589" w:type="dxa"/>
            <w:vAlign w:val="top"/>
          </w:tcPr>
          <w:p w14:paraId="612942F3">
            <w:pPr>
              <w:pageBreakBefore w:val="0"/>
              <w:kinsoku w:val="0"/>
              <w:wordWrap w:val="0"/>
              <w:overflowPunct/>
              <w:topLinePunct w:val="0"/>
              <w:autoSpaceDE/>
              <w:autoSpaceDN/>
              <w:bidi w:val="0"/>
              <w:rPr>
                <w:rFonts w:hint="eastAsia" w:ascii="黑体" w:hAnsi="黑体" w:eastAsia="黑体" w:cs="黑体"/>
                <w:color w:val="auto"/>
                <w:sz w:val="21"/>
              </w:rPr>
            </w:pPr>
          </w:p>
        </w:tc>
        <w:tc>
          <w:tcPr>
            <w:tcW w:w="1000" w:type="dxa"/>
            <w:vAlign w:val="top"/>
          </w:tcPr>
          <w:p w14:paraId="2E7E4931">
            <w:pPr>
              <w:pageBreakBefore w:val="0"/>
              <w:kinsoku w:val="0"/>
              <w:wordWrap w:val="0"/>
              <w:overflowPunct/>
              <w:topLinePunct w:val="0"/>
              <w:autoSpaceDE/>
              <w:autoSpaceDN/>
              <w:bidi w:val="0"/>
              <w:rPr>
                <w:rFonts w:hint="eastAsia" w:ascii="黑体" w:hAnsi="黑体" w:eastAsia="黑体" w:cs="黑体"/>
                <w:color w:val="auto"/>
                <w:sz w:val="21"/>
              </w:rPr>
            </w:pPr>
          </w:p>
        </w:tc>
        <w:tc>
          <w:tcPr>
            <w:tcW w:w="1003" w:type="dxa"/>
            <w:vAlign w:val="top"/>
          </w:tcPr>
          <w:p w14:paraId="2F855785">
            <w:pPr>
              <w:pageBreakBefore w:val="0"/>
              <w:kinsoku w:val="0"/>
              <w:wordWrap w:val="0"/>
              <w:overflowPunct/>
              <w:topLinePunct w:val="0"/>
              <w:autoSpaceDE/>
              <w:autoSpaceDN/>
              <w:bidi w:val="0"/>
              <w:rPr>
                <w:rFonts w:hint="eastAsia" w:ascii="黑体" w:hAnsi="黑体" w:eastAsia="黑体" w:cs="黑体"/>
                <w:color w:val="auto"/>
                <w:sz w:val="21"/>
              </w:rPr>
            </w:pPr>
          </w:p>
        </w:tc>
      </w:tr>
      <w:tr w14:paraId="6A132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Align w:val="top"/>
          </w:tcPr>
          <w:p w14:paraId="5D88A31B">
            <w:pPr>
              <w:pStyle w:val="23"/>
              <w:pageBreakBefore w:val="0"/>
              <w:kinsoku w:val="0"/>
              <w:wordWrap w:val="0"/>
              <w:overflowPunct/>
              <w:topLinePunct w:val="0"/>
              <w:autoSpaceDE/>
              <w:autoSpaceDN/>
              <w:bidi w:val="0"/>
              <w:spacing w:before="280" w:line="180" w:lineRule="auto"/>
              <w:ind w:left="328"/>
              <w:rPr>
                <w:rFonts w:hint="eastAsia" w:ascii="黑体" w:hAnsi="黑体" w:eastAsia="黑体" w:cs="黑体"/>
                <w:color w:val="auto"/>
              </w:rPr>
            </w:pPr>
            <w:r>
              <w:rPr>
                <w:rFonts w:hint="eastAsia" w:ascii="黑体" w:hAnsi="黑体" w:eastAsia="黑体" w:cs="黑体"/>
                <w:color w:val="auto"/>
              </w:rPr>
              <w:t>4</w:t>
            </w:r>
          </w:p>
        </w:tc>
        <w:tc>
          <w:tcPr>
            <w:tcW w:w="1334" w:type="dxa"/>
            <w:vAlign w:val="top"/>
          </w:tcPr>
          <w:p w14:paraId="2C7B181A">
            <w:pPr>
              <w:pageBreakBefore w:val="0"/>
              <w:kinsoku w:val="0"/>
              <w:wordWrap w:val="0"/>
              <w:overflowPunct/>
              <w:topLinePunct w:val="0"/>
              <w:autoSpaceDE/>
              <w:autoSpaceDN/>
              <w:bidi w:val="0"/>
              <w:rPr>
                <w:rFonts w:hint="eastAsia" w:ascii="黑体" w:hAnsi="黑体" w:eastAsia="黑体" w:cs="黑体"/>
                <w:color w:val="auto"/>
                <w:sz w:val="21"/>
              </w:rPr>
            </w:pPr>
          </w:p>
        </w:tc>
        <w:tc>
          <w:tcPr>
            <w:tcW w:w="1537" w:type="dxa"/>
            <w:vAlign w:val="top"/>
          </w:tcPr>
          <w:p w14:paraId="61140C56">
            <w:pPr>
              <w:pageBreakBefore w:val="0"/>
              <w:kinsoku w:val="0"/>
              <w:wordWrap w:val="0"/>
              <w:overflowPunct/>
              <w:topLinePunct w:val="0"/>
              <w:autoSpaceDE/>
              <w:autoSpaceDN/>
              <w:bidi w:val="0"/>
              <w:rPr>
                <w:rFonts w:hint="eastAsia" w:ascii="黑体" w:hAnsi="黑体" w:eastAsia="黑体" w:cs="黑体"/>
                <w:color w:val="auto"/>
                <w:sz w:val="21"/>
              </w:rPr>
            </w:pPr>
          </w:p>
        </w:tc>
        <w:tc>
          <w:tcPr>
            <w:tcW w:w="1456" w:type="dxa"/>
            <w:vAlign w:val="top"/>
          </w:tcPr>
          <w:p w14:paraId="0EDFA613">
            <w:pPr>
              <w:pageBreakBefore w:val="0"/>
              <w:kinsoku w:val="0"/>
              <w:wordWrap w:val="0"/>
              <w:overflowPunct/>
              <w:topLinePunct w:val="0"/>
              <w:autoSpaceDE/>
              <w:autoSpaceDN/>
              <w:bidi w:val="0"/>
              <w:rPr>
                <w:rFonts w:hint="eastAsia" w:ascii="黑体" w:hAnsi="黑体" w:eastAsia="黑体" w:cs="黑体"/>
                <w:color w:val="auto"/>
                <w:sz w:val="21"/>
              </w:rPr>
            </w:pPr>
          </w:p>
        </w:tc>
        <w:tc>
          <w:tcPr>
            <w:tcW w:w="1183" w:type="dxa"/>
            <w:vAlign w:val="top"/>
          </w:tcPr>
          <w:p w14:paraId="384F1625">
            <w:pPr>
              <w:pageBreakBefore w:val="0"/>
              <w:kinsoku w:val="0"/>
              <w:wordWrap w:val="0"/>
              <w:overflowPunct/>
              <w:topLinePunct w:val="0"/>
              <w:autoSpaceDE/>
              <w:autoSpaceDN/>
              <w:bidi w:val="0"/>
              <w:rPr>
                <w:rFonts w:hint="eastAsia" w:ascii="黑体" w:hAnsi="黑体" w:eastAsia="黑体" w:cs="黑体"/>
                <w:color w:val="auto"/>
                <w:sz w:val="21"/>
              </w:rPr>
            </w:pPr>
          </w:p>
        </w:tc>
        <w:tc>
          <w:tcPr>
            <w:tcW w:w="1589" w:type="dxa"/>
            <w:vAlign w:val="top"/>
          </w:tcPr>
          <w:p w14:paraId="06EE4F80">
            <w:pPr>
              <w:pageBreakBefore w:val="0"/>
              <w:kinsoku w:val="0"/>
              <w:wordWrap w:val="0"/>
              <w:overflowPunct/>
              <w:topLinePunct w:val="0"/>
              <w:autoSpaceDE/>
              <w:autoSpaceDN/>
              <w:bidi w:val="0"/>
              <w:rPr>
                <w:rFonts w:hint="eastAsia" w:ascii="黑体" w:hAnsi="黑体" w:eastAsia="黑体" w:cs="黑体"/>
                <w:color w:val="auto"/>
                <w:sz w:val="21"/>
              </w:rPr>
            </w:pPr>
          </w:p>
        </w:tc>
        <w:tc>
          <w:tcPr>
            <w:tcW w:w="1000" w:type="dxa"/>
            <w:vAlign w:val="top"/>
          </w:tcPr>
          <w:p w14:paraId="1DA03ED4">
            <w:pPr>
              <w:pageBreakBefore w:val="0"/>
              <w:kinsoku w:val="0"/>
              <w:wordWrap w:val="0"/>
              <w:overflowPunct/>
              <w:topLinePunct w:val="0"/>
              <w:autoSpaceDE/>
              <w:autoSpaceDN/>
              <w:bidi w:val="0"/>
              <w:rPr>
                <w:rFonts w:hint="eastAsia" w:ascii="黑体" w:hAnsi="黑体" w:eastAsia="黑体" w:cs="黑体"/>
                <w:color w:val="auto"/>
                <w:sz w:val="21"/>
              </w:rPr>
            </w:pPr>
          </w:p>
        </w:tc>
        <w:tc>
          <w:tcPr>
            <w:tcW w:w="1003" w:type="dxa"/>
            <w:vAlign w:val="top"/>
          </w:tcPr>
          <w:p w14:paraId="2EB1125A">
            <w:pPr>
              <w:pageBreakBefore w:val="0"/>
              <w:kinsoku w:val="0"/>
              <w:wordWrap w:val="0"/>
              <w:overflowPunct/>
              <w:topLinePunct w:val="0"/>
              <w:autoSpaceDE/>
              <w:autoSpaceDN/>
              <w:bidi w:val="0"/>
              <w:rPr>
                <w:rFonts w:hint="eastAsia" w:ascii="黑体" w:hAnsi="黑体" w:eastAsia="黑体" w:cs="黑体"/>
                <w:color w:val="auto"/>
                <w:sz w:val="21"/>
              </w:rPr>
            </w:pPr>
          </w:p>
        </w:tc>
      </w:tr>
      <w:tr w14:paraId="3224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761" w:type="dxa"/>
            <w:vAlign w:val="top"/>
          </w:tcPr>
          <w:p w14:paraId="733D787B">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6FF7CD48">
            <w:pPr>
              <w:pStyle w:val="23"/>
              <w:pageBreakBefore w:val="0"/>
              <w:kinsoku w:val="0"/>
              <w:wordWrap w:val="0"/>
              <w:overflowPunct/>
              <w:topLinePunct w:val="0"/>
              <w:autoSpaceDE/>
              <w:autoSpaceDN/>
              <w:bidi w:val="0"/>
              <w:spacing w:before="78" w:line="93" w:lineRule="exact"/>
              <w:ind w:left="226"/>
              <w:rPr>
                <w:rFonts w:hint="eastAsia" w:ascii="黑体" w:hAnsi="黑体" w:eastAsia="黑体" w:cs="黑体"/>
                <w:color w:val="auto"/>
              </w:rPr>
            </w:pPr>
            <w:r>
              <w:rPr>
                <w:rFonts w:hint="eastAsia" w:ascii="黑体" w:hAnsi="黑体" w:eastAsia="黑体" w:cs="黑体"/>
                <w:color w:val="auto"/>
                <w:position w:val="2"/>
              </w:rPr>
              <w:t>...</w:t>
            </w:r>
          </w:p>
        </w:tc>
        <w:tc>
          <w:tcPr>
            <w:tcW w:w="1334" w:type="dxa"/>
            <w:vAlign w:val="top"/>
          </w:tcPr>
          <w:p w14:paraId="18B5B32B">
            <w:pPr>
              <w:pageBreakBefore w:val="0"/>
              <w:kinsoku w:val="0"/>
              <w:wordWrap w:val="0"/>
              <w:overflowPunct/>
              <w:topLinePunct w:val="0"/>
              <w:autoSpaceDE/>
              <w:autoSpaceDN/>
              <w:bidi w:val="0"/>
              <w:rPr>
                <w:rFonts w:hint="eastAsia" w:ascii="黑体" w:hAnsi="黑体" w:eastAsia="黑体" w:cs="黑体"/>
                <w:color w:val="auto"/>
                <w:sz w:val="21"/>
              </w:rPr>
            </w:pPr>
          </w:p>
        </w:tc>
        <w:tc>
          <w:tcPr>
            <w:tcW w:w="1537" w:type="dxa"/>
            <w:vAlign w:val="top"/>
          </w:tcPr>
          <w:p w14:paraId="02401469">
            <w:pPr>
              <w:pageBreakBefore w:val="0"/>
              <w:kinsoku w:val="0"/>
              <w:wordWrap w:val="0"/>
              <w:overflowPunct/>
              <w:topLinePunct w:val="0"/>
              <w:autoSpaceDE/>
              <w:autoSpaceDN/>
              <w:bidi w:val="0"/>
              <w:rPr>
                <w:rFonts w:hint="eastAsia" w:ascii="黑体" w:hAnsi="黑体" w:eastAsia="黑体" w:cs="黑体"/>
                <w:color w:val="auto"/>
                <w:sz w:val="21"/>
              </w:rPr>
            </w:pPr>
          </w:p>
        </w:tc>
        <w:tc>
          <w:tcPr>
            <w:tcW w:w="1456" w:type="dxa"/>
            <w:vAlign w:val="top"/>
          </w:tcPr>
          <w:p w14:paraId="6D618224">
            <w:pPr>
              <w:pageBreakBefore w:val="0"/>
              <w:kinsoku w:val="0"/>
              <w:wordWrap w:val="0"/>
              <w:overflowPunct/>
              <w:topLinePunct w:val="0"/>
              <w:autoSpaceDE/>
              <w:autoSpaceDN/>
              <w:bidi w:val="0"/>
              <w:rPr>
                <w:rFonts w:hint="eastAsia" w:ascii="黑体" w:hAnsi="黑体" w:eastAsia="黑体" w:cs="黑体"/>
                <w:color w:val="auto"/>
                <w:sz w:val="21"/>
              </w:rPr>
            </w:pPr>
          </w:p>
        </w:tc>
        <w:tc>
          <w:tcPr>
            <w:tcW w:w="1183" w:type="dxa"/>
            <w:vAlign w:val="top"/>
          </w:tcPr>
          <w:p w14:paraId="22C4577A">
            <w:pPr>
              <w:pageBreakBefore w:val="0"/>
              <w:kinsoku w:val="0"/>
              <w:wordWrap w:val="0"/>
              <w:overflowPunct/>
              <w:topLinePunct w:val="0"/>
              <w:autoSpaceDE/>
              <w:autoSpaceDN/>
              <w:bidi w:val="0"/>
              <w:rPr>
                <w:rFonts w:hint="eastAsia" w:ascii="黑体" w:hAnsi="黑体" w:eastAsia="黑体" w:cs="黑体"/>
                <w:color w:val="auto"/>
                <w:sz w:val="21"/>
              </w:rPr>
            </w:pPr>
          </w:p>
        </w:tc>
        <w:tc>
          <w:tcPr>
            <w:tcW w:w="1589" w:type="dxa"/>
            <w:vAlign w:val="top"/>
          </w:tcPr>
          <w:p w14:paraId="3DCC02D5">
            <w:pPr>
              <w:pageBreakBefore w:val="0"/>
              <w:kinsoku w:val="0"/>
              <w:wordWrap w:val="0"/>
              <w:overflowPunct/>
              <w:topLinePunct w:val="0"/>
              <w:autoSpaceDE/>
              <w:autoSpaceDN/>
              <w:bidi w:val="0"/>
              <w:rPr>
                <w:rFonts w:hint="eastAsia" w:ascii="黑体" w:hAnsi="黑体" w:eastAsia="黑体" w:cs="黑体"/>
                <w:color w:val="auto"/>
                <w:sz w:val="21"/>
              </w:rPr>
            </w:pPr>
          </w:p>
        </w:tc>
        <w:tc>
          <w:tcPr>
            <w:tcW w:w="1000" w:type="dxa"/>
            <w:vAlign w:val="top"/>
          </w:tcPr>
          <w:p w14:paraId="0DD2DD10">
            <w:pPr>
              <w:pageBreakBefore w:val="0"/>
              <w:kinsoku w:val="0"/>
              <w:wordWrap w:val="0"/>
              <w:overflowPunct/>
              <w:topLinePunct w:val="0"/>
              <w:autoSpaceDE/>
              <w:autoSpaceDN/>
              <w:bidi w:val="0"/>
              <w:rPr>
                <w:rFonts w:hint="eastAsia" w:ascii="黑体" w:hAnsi="黑体" w:eastAsia="黑体" w:cs="黑体"/>
                <w:color w:val="auto"/>
                <w:sz w:val="21"/>
              </w:rPr>
            </w:pPr>
          </w:p>
        </w:tc>
        <w:tc>
          <w:tcPr>
            <w:tcW w:w="1003" w:type="dxa"/>
            <w:vAlign w:val="top"/>
          </w:tcPr>
          <w:p w14:paraId="4C2C698A">
            <w:pPr>
              <w:pageBreakBefore w:val="0"/>
              <w:kinsoku w:val="0"/>
              <w:wordWrap w:val="0"/>
              <w:overflowPunct/>
              <w:topLinePunct w:val="0"/>
              <w:autoSpaceDE/>
              <w:autoSpaceDN/>
              <w:bidi w:val="0"/>
              <w:rPr>
                <w:rFonts w:hint="eastAsia" w:ascii="黑体" w:hAnsi="黑体" w:eastAsia="黑体" w:cs="黑体"/>
                <w:color w:val="auto"/>
                <w:sz w:val="21"/>
              </w:rPr>
            </w:pPr>
          </w:p>
        </w:tc>
      </w:tr>
      <w:tr w14:paraId="171E0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7860" w:type="dxa"/>
            <w:gridSpan w:val="6"/>
            <w:vAlign w:val="top"/>
          </w:tcPr>
          <w:p w14:paraId="40F15798">
            <w:pPr>
              <w:pStyle w:val="23"/>
              <w:pageBreakBefore w:val="0"/>
              <w:kinsoku w:val="0"/>
              <w:wordWrap w:val="0"/>
              <w:overflowPunct/>
              <w:topLinePunct w:val="0"/>
              <w:autoSpaceDE/>
              <w:autoSpaceDN/>
              <w:bidi w:val="0"/>
              <w:spacing w:before="239" w:line="222" w:lineRule="auto"/>
              <w:rPr>
                <w:rFonts w:hint="eastAsia" w:ascii="黑体" w:hAnsi="黑体" w:eastAsia="黑体" w:cs="黑体"/>
                <w:color w:val="auto"/>
              </w:rPr>
            </w:pPr>
            <w:r>
              <w:rPr>
                <w:rFonts w:hint="eastAsia" w:ascii="黑体" w:hAnsi="黑体" w:eastAsia="黑体" w:cs="黑体"/>
                <w:color w:val="auto"/>
                <w:spacing w:val="-12"/>
              </w:rPr>
              <w:t>总价：</w:t>
            </w:r>
          </w:p>
        </w:tc>
        <w:tc>
          <w:tcPr>
            <w:tcW w:w="2003" w:type="dxa"/>
            <w:gridSpan w:val="2"/>
            <w:vAlign w:val="top"/>
          </w:tcPr>
          <w:p w14:paraId="3C7E023C">
            <w:pPr>
              <w:pageBreakBefore w:val="0"/>
              <w:kinsoku w:val="0"/>
              <w:wordWrap w:val="0"/>
              <w:overflowPunct/>
              <w:topLinePunct w:val="0"/>
              <w:autoSpaceDE/>
              <w:autoSpaceDN/>
              <w:bidi w:val="0"/>
              <w:rPr>
                <w:rFonts w:hint="eastAsia" w:ascii="黑体" w:hAnsi="黑体" w:eastAsia="黑体" w:cs="黑体"/>
                <w:color w:val="auto"/>
                <w:sz w:val="21"/>
              </w:rPr>
            </w:pPr>
          </w:p>
        </w:tc>
      </w:tr>
    </w:tbl>
    <w:p w14:paraId="18A0B8E0">
      <w:pPr>
        <w:pStyle w:val="7"/>
        <w:pageBreakBefore w:val="0"/>
        <w:kinsoku w:val="0"/>
        <w:wordWrap w:val="0"/>
        <w:overflowPunct/>
        <w:topLinePunct w:val="0"/>
        <w:autoSpaceDE/>
        <w:autoSpaceDN/>
        <w:bidi w:val="0"/>
        <w:spacing w:before="78" w:line="360" w:lineRule="auto"/>
        <w:ind w:left="0" w:leftChars="0" w:right="1606" w:firstLine="11" w:firstLineChars="0"/>
        <w:rPr>
          <w:rFonts w:hint="eastAsia" w:ascii="黑体" w:hAnsi="黑体" w:eastAsia="黑体" w:cs="黑体"/>
          <w:color w:val="auto"/>
          <w:sz w:val="21"/>
        </w:rPr>
      </w:pPr>
      <w:r>
        <w:rPr>
          <w:rFonts w:hint="eastAsia" w:ascii="黑体" w:hAnsi="黑体" w:eastAsia="黑体" w:cs="黑体"/>
          <w:color w:val="auto"/>
          <w:spacing w:val="-4"/>
          <w:sz w:val="24"/>
          <w:szCs w:val="24"/>
        </w:rPr>
        <w:t>供应商(盖单位公章):</w:t>
      </w:r>
      <w:r>
        <w:rPr>
          <w:rFonts w:hint="eastAsia" w:ascii="黑体" w:hAnsi="黑体" w:eastAsia="黑体" w:cs="黑体"/>
          <w:color w:val="auto"/>
          <w:spacing w:val="-14"/>
          <w:sz w:val="24"/>
          <w:szCs w:val="24"/>
          <w:u w:val="single"/>
          <w:lang w:val="en-US" w:eastAsia="zh-CN"/>
        </w:rPr>
        <w:t xml:space="preserve">                          </w:t>
      </w:r>
    </w:p>
    <w:p w14:paraId="250CB053">
      <w:pPr>
        <w:pStyle w:val="7"/>
        <w:pageBreakBefore w:val="0"/>
        <w:kinsoku w:val="0"/>
        <w:wordWrap w:val="0"/>
        <w:overflowPunct/>
        <w:topLinePunct w:val="0"/>
        <w:autoSpaceDE/>
        <w:autoSpaceDN/>
        <w:bidi w:val="0"/>
        <w:spacing w:before="78" w:line="360" w:lineRule="auto"/>
        <w:ind w:left="0" w:leftChars="0" w:right="1606" w:firstLine="11" w:firstLineChars="0"/>
        <w:rPr>
          <w:rFonts w:hint="eastAsia" w:ascii="黑体" w:hAnsi="黑体" w:eastAsia="黑体" w:cs="黑体"/>
          <w:color w:val="auto"/>
          <w:spacing w:val="14"/>
          <w:sz w:val="24"/>
          <w:szCs w:val="24"/>
        </w:rPr>
      </w:pPr>
      <w:r>
        <w:rPr>
          <w:rFonts w:hint="eastAsia" w:ascii="黑体" w:hAnsi="黑体" w:eastAsia="黑体" w:cs="黑体"/>
          <w:color w:val="auto"/>
          <w:spacing w:val="-2"/>
          <w:sz w:val="24"/>
          <w:szCs w:val="24"/>
        </w:rPr>
        <w:t>法定代表人或其委托代理人（签字或盖章）:</w:t>
      </w:r>
      <w:r>
        <w:rPr>
          <w:rFonts w:hint="eastAsia" w:ascii="黑体" w:hAnsi="黑体" w:eastAsia="黑体" w:cs="黑体"/>
          <w:color w:val="auto"/>
          <w:spacing w:val="-14"/>
          <w:sz w:val="24"/>
          <w:szCs w:val="24"/>
          <w:u w:val="single"/>
          <w:lang w:val="en-US" w:eastAsia="zh-CN"/>
        </w:rPr>
        <w:t xml:space="preserve">                          </w:t>
      </w:r>
    </w:p>
    <w:p w14:paraId="4127C09C">
      <w:pPr>
        <w:pStyle w:val="7"/>
        <w:pageBreakBefore w:val="0"/>
        <w:kinsoku w:val="0"/>
        <w:wordWrap w:val="0"/>
        <w:overflowPunct/>
        <w:topLinePunct w:val="0"/>
        <w:autoSpaceDE/>
        <w:autoSpaceDN/>
        <w:bidi w:val="0"/>
        <w:spacing w:before="79" w:line="360" w:lineRule="auto"/>
        <w:ind w:left="0" w:leftChars="0" w:firstLine="11" w:firstLineChars="0"/>
        <w:rPr>
          <w:rFonts w:hint="eastAsia" w:ascii="黑体" w:hAnsi="黑体" w:eastAsia="黑体" w:cs="黑体"/>
          <w:color w:val="auto"/>
          <w:sz w:val="24"/>
          <w:szCs w:val="24"/>
        </w:rPr>
      </w:pPr>
      <w:r>
        <w:rPr>
          <w:rFonts w:hint="eastAsia" w:ascii="黑体" w:hAnsi="黑体" w:eastAsia="黑体" w:cs="黑体"/>
          <w:color w:val="auto"/>
          <w:spacing w:val="-2"/>
          <w:sz w:val="24"/>
          <w:szCs w:val="24"/>
        </w:rPr>
        <w:t>注:1.如果供应商认为需要，每种服务填写一份该表。</w:t>
      </w:r>
    </w:p>
    <w:p w14:paraId="5960BD3A">
      <w:pPr>
        <w:pStyle w:val="7"/>
        <w:pageBreakBefore w:val="0"/>
        <w:numPr>
          <w:ilvl w:val="0"/>
          <w:numId w:val="17"/>
        </w:numPr>
        <w:kinsoku w:val="0"/>
        <w:wordWrap w:val="0"/>
        <w:overflowPunct/>
        <w:topLinePunct w:val="0"/>
        <w:autoSpaceDE/>
        <w:autoSpaceDN/>
        <w:bidi w:val="0"/>
        <w:spacing w:before="34" w:line="360" w:lineRule="auto"/>
        <w:ind w:left="0" w:leftChars="0" w:right="1673" w:firstLine="11" w:firstLineChars="0"/>
        <w:rPr>
          <w:rFonts w:hint="eastAsia" w:ascii="黑体" w:hAnsi="黑体" w:eastAsia="黑体" w:cs="黑体"/>
          <w:color w:val="auto"/>
          <w:spacing w:val="-4"/>
          <w:sz w:val="24"/>
          <w:szCs w:val="24"/>
          <w:lang w:eastAsia="zh-CN"/>
        </w:rPr>
      </w:pPr>
      <w:r>
        <w:rPr>
          <w:rFonts w:hint="eastAsia" w:ascii="黑体" w:hAnsi="黑体" w:eastAsia="黑体" w:cs="黑体"/>
          <w:color w:val="auto"/>
          <w:spacing w:val="-4"/>
          <w:sz w:val="24"/>
          <w:szCs w:val="24"/>
        </w:rPr>
        <w:t>如果按单价计算的结果与总价不一致,以单价为准修正总价</w:t>
      </w:r>
      <w:r>
        <w:rPr>
          <w:rFonts w:hint="eastAsia" w:ascii="黑体" w:hAnsi="黑体" w:eastAsia="黑体" w:cs="黑体"/>
          <w:color w:val="auto"/>
          <w:spacing w:val="-4"/>
          <w:sz w:val="24"/>
          <w:szCs w:val="24"/>
          <w:lang w:eastAsia="zh-CN"/>
        </w:rPr>
        <w:t>。</w:t>
      </w:r>
    </w:p>
    <w:p w14:paraId="1FDBFEB4">
      <w:pPr>
        <w:pStyle w:val="7"/>
        <w:pageBreakBefore w:val="0"/>
        <w:numPr>
          <w:ilvl w:val="0"/>
          <w:numId w:val="0"/>
        </w:numPr>
        <w:kinsoku w:val="0"/>
        <w:wordWrap w:val="0"/>
        <w:overflowPunct/>
        <w:topLinePunct w:val="0"/>
        <w:autoSpaceDE/>
        <w:autoSpaceDN/>
        <w:bidi w:val="0"/>
        <w:spacing w:before="34" w:line="360" w:lineRule="auto"/>
        <w:ind w:left="11" w:leftChars="0" w:right="1673" w:rightChars="0"/>
        <w:rPr>
          <w:rFonts w:hint="eastAsia" w:ascii="黑体" w:hAnsi="黑体" w:eastAsia="黑体" w:cs="黑体"/>
          <w:color w:val="auto"/>
          <w:sz w:val="24"/>
          <w:szCs w:val="24"/>
        </w:rPr>
      </w:pPr>
      <w:r>
        <w:rPr>
          <w:rFonts w:hint="eastAsia" w:ascii="黑体" w:hAnsi="黑体" w:eastAsia="黑体" w:cs="黑体"/>
          <w:color w:val="auto"/>
          <w:spacing w:val="-2"/>
          <w:sz w:val="24"/>
          <w:szCs w:val="24"/>
        </w:rPr>
        <w:t>3.上述各项的详细分项报价，应另页描述。</w:t>
      </w:r>
    </w:p>
    <w:p w14:paraId="7EAFC888">
      <w:pPr>
        <w:pStyle w:val="7"/>
        <w:pageBreakBefore w:val="0"/>
        <w:kinsoku w:val="0"/>
        <w:wordWrap w:val="0"/>
        <w:overflowPunct/>
        <w:topLinePunct w:val="0"/>
        <w:autoSpaceDE/>
        <w:autoSpaceDN/>
        <w:bidi w:val="0"/>
        <w:spacing w:before="33" w:line="360" w:lineRule="auto"/>
        <w:ind w:left="0" w:leftChars="0" w:right="798" w:firstLine="11"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4.如果开标一览表（报价表）内容与磋商文件中明细表内容不一致的，</w:t>
      </w:r>
      <w:r>
        <w:rPr>
          <w:rFonts w:hint="eastAsia" w:ascii="黑体" w:hAnsi="黑体" w:eastAsia="黑体" w:cs="黑体"/>
          <w:color w:val="auto"/>
          <w:spacing w:val="-6"/>
          <w:sz w:val="24"/>
          <w:szCs w:val="24"/>
        </w:rPr>
        <w:t>以开标一览表（报价表）内容为准。</w:t>
      </w:r>
    </w:p>
    <w:p w14:paraId="4EA26B3B">
      <w:pPr>
        <w:pageBreakBefore w:val="0"/>
        <w:kinsoku w:val="0"/>
        <w:wordWrap w:val="0"/>
        <w:overflowPunct/>
        <w:topLinePunct w:val="0"/>
        <w:autoSpaceDE/>
        <w:autoSpaceDN/>
        <w:bidi w:val="0"/>
        <w:spacing w:line="360" w:lineRule="auto"/>
        <w:ind w:left="0" w:leftChars="0" w:firstLine="11" w:firstLineChars="0"/>
        <w:rPr>
          <w:rFonts w:hint="eastAsia" w:ascii="黑体" w:hAnsi="黑体" w:eastAsia="黑体" w:cs="黑体"/>
          <w:color w:val="auto"/>
          <w:sz w:val="24"/>
          <w:szCs w:val="24"/>
        </w:rPr>
        <w:sectPr>
          <w:footerReference r:id="rId18" w:type="default"/>
          <w:pgSz w:w="11906" w:h="16840"/>
          <w:pgMar w:top="1431" w:right="1019" w:bottom="1359" w:left="1017" w:header="0" w:footer="1145" w:gutter="0"/>
          <w:pgNumType w:fmt="decimal"/>
          <w:cols w:space="720" w:num="1"/>
        </w:sectPr>
      </w:pPr>
    </w:p>
    <w:p w14:paraId="72E3E59E">
      <w:pPr>
        <w:pStyle w:val="7"/>
        <w:pageBreakBefore w:val="0"/>
        <w:kinsoku w:val="0"/>
        <w:wordWrap w:val="0"/>
        <w:overflowPunct/>
        <w:topLinePunct w:val="0"/>
        <w:autoSpaceDE/>
        <w:autoSpaceDN/>
        <w:bidi w:val="0"/>
        <w:spacing w:before="68" w:line="223" w:lineRule="auto"/>
        <w:ind w:left="3374"/>
        <w:outlineLvl w:val="6"/>
        <w:rPr>
          <w:rFonts w:hint="eastAsia" w:ascii="黑体" w:hAnsi="黑体" w:eastAsia="黑体" w:cs="黑体"/>
          <w:color w:val="auto"/>
          <w:sz w:val="28"/>
          <w:szCs w:val="28"/>
        </w:rPr>
      </w:pPr>
      <w:r>
        <w:rPr>
          <w:rFonts w:hint="eastAsia" w:ascii="黑体" w:hAnsi="黑体" w:eastAsia="黑体" w:cs="黑体"/>
          <w:b/>
          <w:bCs/>
          <w:color w:val="auto"/>
          <w:spacing w:val="-7"/>
          <w:sz w:val="28"/>
          <w:szCs w:val="28"/>
        </w:rPr>
        <w:t>3、服务说明一览表</w:t>
      </w:r>
    </w:p>
    <w:p w14:paraId="74AEAE25">
      <w:pPr>
        <w:pageBreakBefore w:val="0"/>
        <w:kinsoku w:val="0"/>
        <w:wordWrap w:val="0"/>
        <w:overflowPunct/>
        <w:topLinePunct w:val="0"/>
        <w:autoSpaceDE/>
        <w:autoSpaceDN/>
        <w:bidi w:val="0"/>
        <w:spacing w:line="243" w:lineRule="auto"/>
        <w:rPr>
          <w:rFonts w:hint="eastAsia" w:ascii="黑体" w:hAnsi="黑体" w:eastAsia="黑体" w:cs="黑体"/>
          <w:color w:val="auto"/>
          <w:sz w:val="21"/>
        </w:rPr>
      </w:pPr>
    </w:p>
    <w:p w14:paraId="16575235">
      <w:pPr>
        <w:pStyle w:val="7"/>
        <w:pageBreakBefore w:val="0"/>
        <w:kinsoku w:val="0"/>
        <w:wordWrap w:val="0"/>
        <w:overflowPunct/>
        <w:topLinePunct w:val="0"/>
        <w:autoSpaceDE/>
        <w:autoSpaceDN/>
        <w:bidi w:val="0"/>
        <w:spacing w:before="78" w:line="221"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项目名称:</w:t>
      </w:r>
      <w:r>
        <w:rPr>
          <w:rFonts w:hint="eastAsia" w:ascii="黑体" w:hAnsi="黑体" w:eastAsia="黑体" w:cs="黑体"/>
          <w:color w:val="auto"/>
          <w:spacing w:val="-4"/>
          <w:sz w:val="24"/>
          <w:szCs w:val="24"/>
          <w:lang w:val="en-US" w:eastAsia="zh-CN"/>
        </w:rPr>
        <w:t xml:space="preserve">                                      </w:t>
      </w:r>
      <w:r>
        <w:rPr>
          <w:rFonts w:hint="eastAsia" w:ascii="黑体" w:hAnsi="黑体" w:eastAsia="黑体" w:cs="黑体"/>
          <w:color w:val="auto"/>
          <w:spacing w:val="-4"/>
          <w:sz w:val="24"/>
          <w:szCs w:val="24"/>
        </w:rPr>
        <w:t>项目编</w:t>
      </w:r>
      <w:r>
        <w:rPr>
          <w:rFonts w:hint="eastAsia" w:ascii="黑体" w:hAnsi="黑体" w:eastAsia="黑体" w:cs="黑体"/>
          <w:color w:val="auto"/>
          <w:spacing w:val="-5"/>
          <w:sz w:val="24"/>
          <w:szCs w:val="24"/>
        </w:rPr>
        <w:t>号:</w:t>
      </w:r>
    </w:p>
    <w:p w14:paraId="4C1100A8">
      <w:pPr>
        <w:pageBreakBefore w:val="0"/>
        <w:kinsoku w:val="0"/>
        <w:wordWrap w:val="0"/>
        <w:overflowPunct/>
        <w:topLinePunct w:val="0"/>
        <w:autoSpaceDE/>
        <w:autoSpaceDN/>
        <w:bidi w:val="0"/>
        <w:spacing w:before="43"/>
        <w:rPr>
          <w:rFonts w:hint="eastAsia" w:ascii="黑体" w:hAnsi="黑体" w:eastAsia="黑体" w:cs="黑体"/>
          <w:color w:val="auto"/>
        </w:rPr>
      </w:pPr>
    </w:p>
    <w:tbl>
      <w:tblPr>
        <w:tblStyle w:val="22"/>
        <w:tblW w:w="84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282"/>
        <w:gridCol w:w="1223"/>
        <w:gridCol w:w="882"/>
        <w:gridCol w:w="1341"/>
        <w:gridCol w:w="1462"/>
        <w:gridCol w:w="1349"/>
      </w:tblGrid>
      <w:tr w14:paraId="02CE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jc w:val="center"/>
        </w:trPr>
        <w:tc>
          <w:tcPr>
            <w:tcW w:w="862" w:type="dxa"/>
            <w:vAlign w:val="top"/>
          </w:tcPr>
          <w:p w14:paraId="6E9A62AD">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1CCD9B6B">
            <w:pPr>
              <w:pStyle w:val="23"/>
              <w:pageBreakBefore w:val="0"/>
              <w:kinsoku w:val="0"/>
              <w:wordWrap w:val="0"/>
              <w:overflowPunct/>
              <w:topLinePunct w:val="0"/>
              <w:autoSpaceDE/>
              <w:autoSpaceDN/>
              <w:bidi w:val="0"/>
              <w:spacing w:before="78" w:line="222" w:lineRule="auto"/>
              <w:ind w:left="218"/>
              <w:rPr>
                <w:rFonts w:hint="eastAsia" w:ascii="黑体" w:hAnsi="黑体" w:eastAsia="黑体" w:cs="黑体"/>
                <w:color w:val="auto"/>
              </w:rPr>
            </w:pPr>
            <w:r>
              <w:rPr>
                <w:rFonts w:hint="eastAsia" w:ascii="黑体" w:hAnsi="黑体" w:eastAsia="黑体" w:cs="黑体"/>
                <w:color w:val="auto"/>
                <w:spacing w:val="-8"/>
              </w:rPr>
              <w:t>序号</w:t>
            </w:r>
          </w:p>
        </w:tc>
        <w:tc>
          <w:tcPr>
            <w:tcW w:w="1282" w:type="dxa"/>
            <w:vAlign w:val="top"/>
          </w:tcPr>
          <w:p w14:paraId="06611A1E">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02144116">
            <w:pPr>
              <w:pStyle w:val="23"/>
              <w:pageBreakBefore w:val="0"/>
              <w:kinsoku w:val="0"/>
              <w:wordWrap w:val="0"/>
              <w:overflowPunct/>
              <w:topLinePunct w:val="0"/>
              <w:autoSpaceDE/>
              <w:autoSpaceDN/>
              <w:bidi w:val="0"/>
              <w:spacing w:before="78" w:line="222" w:lineRule="auto"/>
              <w:ind w:left="186"/>
              <w:rPr>
                <w:rFonts w:hint="eastAsia" w:ascii="黑体" w:hAnsi="黑体" w:eastAsia="黑体" w:cs="黑体"/>
                <w:color w:val="auto"/>
              </w:rPr>
            </w:pPr>
            <w:r>
              <w:rPr>
                <w:rFonts w:hint="eastAsia" w:ascii="黑体" w:hAnsi="黑体" w:eastAsia="黑体" w:cs="黑体"/>
                <w:color w:val="auto"/>
                <w:spacing w:val="-6"/>
              </w:rPr>
              <w:t>服务项目</w:t>
            </w:r>
          </w:p>
        </w:tc>
        <w:tc>
          <w:tcPr>
            <w:tcW w:w="1223" w:type="dxa"/>
            <w:vAlign w:val="top"/>
          </w:tcPr>
          <w:p w14:paraId="053D22C1">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4E9CCD9F">
            <w:pPr>
              <w:pStyle w:val="23"/>
              <w:pageBreakBefore w:val="0"/>
              <w:kinsoku w:val="0"/>
              <w:wordWrap w:val="0"/>
              <w:overflowPunct/>
              <w:topLinePunct w:val="0"/>
              <w:autoSpaceDE/>
              <w:autoSpaceDN/>
              <w:bidi w:val="0"/>
              <w:spacing w:before="78" w:line="222" w:lineRule="auto"/>
              <w:ind w:left="154"/>
              <w:rPr>
                <w:rFonts w:hint="eastAsia" w:ascii="黑体" w:hAnsi="黑体" w:eastAsia="黑体" w:cs="黑体"/>
                <w:color w:val="auto"/>
              </w:rPr>
            </w:pPr>
            <w:r>
              <w:rPr>
                <w:rFonts w:hint="eastAsia" w:ascii="黑体" w:hAnsi="黑体" w:eastAsia="黑体" w:cs="黑体"/>
                <w:color w:val="auto"/>
                <w:spacing w:val="-6"/>
              </w:rPr>
              <w:t>服务内容</w:t>
            </w:r>
          </w:p>
        </w:tc>
        <w:tc>
          <w:tcPr>
            <w:tcW w:w="882" w:type="dxa"/>
            <w:vAlign w:val="top"/>
          </w:tcPr>
          <w:p w14:paraId="08D67AEB">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2B86C1BD">
            <w:pPr>
              <w:pStyle w:val="23"/>
              <w:pageBreakBefore w:val="0"/>
              <w:kinsoku w:val="0"/>
              <w:wordWrap w:val="0"/>
              <w:overflowPunct/>
              <w:topLinePunct w:val="0"/>
              <w:autoSpaceDE/>
              <w:autoSpaceDN/>
              <w:bidi w:val="0"/>
              <w:spacing w:before="78" w:line="223" w:lineRule="auto"/>
              <w:ind w:left="227"/>
              <w:rPr>
                <w:rFonts w:hint="eastAsia" w:ascii="黑体" w:hAnsi="黑体" w:eastAsia="黑体" w:cs="黑体"/>
                <w:color w:val="auto"/>
              </w:rPr>
            </w:pPr>
            <w:r>
              <w:rPr>
                <w:rFonts w:hint="eastAsia" w:ascii="黑体" w:hAnsi="黑体" w:eastAsia="黑体" w:cs="黑体"/>
                <w:color w:val="auto"/>
                <w:spacing w:val="-8"/>
              </w:rPr>
              <w:t>数量</w:t>
            </w:r>
          </w:p>
        </w:tc>
        <w:tc>
          <w:tcPr>
            <w:tcW w:w="1341" w:type="dxa"/>
            <w:vAlign w:val="top"/>
          </w:tcPr>
          <w:p w14:paraId="22C8837E">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30260885">
            <w:pPr>
              <w:pStyle w:val="23"/>
              <w:pageBreakBefore w:val="0"/>
              <w:kinsoku w:val="0"/>
              <w:wordWrap w:val="0"/>
              <w:overflowPunct/>
              <w:topLinePunct w:val="0"/>
              <w:autoSpaceDE/>
              <w:autoSpaceDN/>
              <w:bidi w:val="0"/>
              <w:spacing w:before="78" w:line="222" w:lineRule="auto"/>
              <w:ind w:left="219"/>
              <w:rPr>
                <w:rFonts w:hint="eastAsia" w:ascii="黑体" w:hAnsi="黑体" w:eastAsia="黑体" w:cs="黑体"/>
                <w:color w:val="auto"/>
              </w:rPr>
            </w:pPr>
            <w:r>
              <w:rPr>
                <w:rFonts w:hint="eastAsia" w:ascii="黑体" w:hAnsi="黑体" w:eastAsia="黑体" w:cs="黑体"/>
                <w:color w:val="auto"/>
                <w:spacing w:val="-6"/>
              </w:rPr>
              <w:t>服务期限</w:t>
            </w:r>
          </w:p>
        </w:tc>
        <w:tc>
          <w:tcPr>
            <w:tcW w:w="1462" w:type="dxa"/>
            <w:vAlign w:val="top"/>
          </w:tcPr>
          <w:p w14:paraId="7AF0B3A0">
            <w:pPr>
              <w:pageBreakBefore w:val="0"/>
              <w:kinsoku w:val="0"/>
              <w:wordWrap w:val="0"/>
              <w:overflowPunct/>
              <w:topLinePunct w:val="0"/>
              <w:autoSpaceDE/>
              <w:autoSpaceDN/>
              <w:bidi w:val="0"/>
              <w:spacing w:line="363" w:lineRule="auto"/>
              <w:rPr>
                <w:rFonts w:hint="eastAsia" w:ascii="黑体" w:hAnsi="黑体" w:eastAsia="黑体" w:cs="黑体"/>
                <w:color w:val="auto"/>
                <w:sz w:val="21"/>
              </w:rPr>
            </w:pPr>
          </w:p>
          <w:p w14:paraId="0FB9D3C3">
            <w:pPr>
              <w:pStyle w:val="23"/>
              <w:pageBreakBefore w:val="0"/>
              <w:kinsoku w:val="0"/>
              <w:wordWrap w:val="0"/>
              <w:overflowPunct/>
              <w:topLinePunct w:val="0"/>
              <w:autoSpaceDE/>
              <w:autoSpaceDN/>
              <w:bidi w:val="0"/>
              <w:spacing w:before="78" w:line="222" w:lineRule="auto"/>
              <w:ind w:left="282"/>
              <w:rPr>
                <w:rFonts w:hint="eastAsia" w:ascii="黑体" w:hAnsi="黑体" w:eastAsia="黑体" w:cs="黑体"/>
                <w:color w:val="auto"/>
              </w:rPr>
            </w:pPr>
            <w:r>
              <w:rPr>
                <w:rFonts w:hint="eastAsia" w:ascii="黑体" w:hAnsi="黑体" w:eastAsia="黑体" w:cs="黑体"/>
                <w:color w:val="auto"/>
                <w:spacing w:val="-6"/>
              </w:rPr>
              <w:t>服务地点</w:t>
            </w:r>
          </w:p>
        </w:tc>
        <w:tc>
          <w:tcPr>
            <w:tcW w:w="1349" w:type="dxa"/>
            <w:vAlign w:val="top"/>
          </w:tcPr>
          <w:p w14:paraId="18FEE2D8">
            <w:pPr>
              <w:pageBreakBefore w:val="0"/>
              <w:kinsoku w:val="0"/>
              <w:wordWrap w:val="0"/>
              <w:overflowPunct/>
              <w:topLinePunct w:val="0"/>
              <w:autoSpaceDE/>
              <w:autoSpaceDN/>
              <w:bidi w:val="0"/>
              <w:spacing w:line="366" w:lineRule="auto"/>
              <w:rPr>
                <w:rFonts w:hint="eastAsia" w:ascii="黑体" w:hAnsi="黑体" w:eastAsia="黑体" w:cs="黑体"/>
                <w:color w:val="auto"/>
                <w:sz w:val="21"/>
              </w:rPr>
            </w:pPr>
          </w:p>
          <w:p w14:paraId="2A3BE806">
            <w:pPr>
              <w:pStyle w:val="23"/>
              <w:pageBreakBefore w:val="0"/>
              <w:kinsoku w:val="0"/>
              <w:wordWrap w:val="0"/>
              <w:overflowPunct/>
              <w:topLinePunct w:val="0"/>
              <w:autoSpaceDE/>
              <w:autoSpaceDN/>
              <w:bidi w:val="0"/>
              <w:spacing w:before="78" w:line="224" w:lineRule="auto"/>
              <w:ind w:left="469"/>
              <w:rPr>
                <w:rFonts w:hint="eastAsia" w:ascii="黑体" w:hAnsi="黑体" w:eastAsia="黑体" w:cs="黑体"/>
                <w:color w:val="auto"/>
              </w:rPr>
            </w:pPr>
            <w:r>
              <w:rPr>
                <w:rFonts w:hint="eastAsia" w:ascii="黑体" w:hAnsi="黑体" w:eastAsia="黑体" w:cs="黑体"/>
                <w:color w:val="auto"/>
                <w:spacing w:val="-9"/>
              </w:rPr>
              <w:t>其它</w:t>
            </w:r>
          </w:p>
        </w:tc>
      </w:tr>
      <w:tr w14:paraId="7DF0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jc w:val="center"/>
        </w:trPr>
        <w:tc>
          <w:tcPr>
            <w:tcW w:w="862" w:type="dxa"/>
            <w:vAlign w:val="top"/>
          </w:tcPr>
          <w:p w14:paraId="42DD0545">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1060C747">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4AFC5854">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6078E099">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4D166E65">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788931B9">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0B639F79">
            <w:pPr>
              <w:pageBreakBefore w:val="0"/>
              <w:kinsoku w:val="0"/>
              <w:wordWrap w:val="0"/>
              <w:overflowPunct/>
              <w:topLinePunct w:val="0"/>
              <w:autoSpaceDE/>
              <w:autoSpaceDN/>
              <w:bidi w:val="0"/>
              <w:rPr>
                <w:rFonts w:hint="eastAsia" w:ascii="黑体" w:hAnsi="黑体" w:eastAsia="黑体" w:cs="黑体"/>
                <w:color w:val="auto"/>
                <w:sz w:val="21"/>
              </w:rPr>
            </w:pPr>
          </w:p>
        </w:tc>
      </w:tr>
      <w:tr w14:paraId="61DC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862" w:type="dxa"/>
            <w:vAlign w:val="top"/>
          </w:tcPr>
          <w:p w14:paraId="5F9A7462">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3167B3E3">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63C5AB2D">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1232E69E">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7847C6CF">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46CFC7C9">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0277EEED">
            <w:pPr>
              <w:pageBreakBefore w:val="0"/>
              <w:kinsoku w:val="0"/>
              <w:wordWrap w:val="0"/>
              <w:overflowPunct/>
              <w:topLinePunct w:val="0"/>
              <w:autoSpaceDE/>
              <w:autoSpaceDN/>
              <w:bidi w:val="0"/>
              <w:rPr>
                <w:rFonts w:hint="eastAsia" w:ascii="黑体" w:hAnsi="黑体" w:eastAsia="黑体" w:cs="黑体"/>
                <w:color w:val="auto"/>
                <w:sz w:val="21"/>
              </w:rPr>
            </w:pPr>
          </w:p>
        </w:tc>
      </w:tr>
      <w:tr w14:paraId="53F79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862" w:type="dxa"/>
            <w:vAlign w:val="top"/>
          </w:tcPr>
          <w:p w14:paraId="2E433CDA">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663BAA4E">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386AA639">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78068BEB">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012429BF">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3D8C28E5">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4FFC9B56">
            <w:pPr>
              <w:pageBreakBefore w:val="0"/>
              <w:kinsoku w:val="0"/>
              <w:wordWrap w:val="0"/>
              <w:overflowPunct/>
              <w:topLinePunct w:val="0"/>
              <w:autoSpaceDE/>
              <w:autoSpaceDN/>
              <w:bidi w:val="0"/>
              <w:rPr>
                <w:rFonts w:hint="eastAsia" w:ascii="黑体" w:hAnsi="黑体" w:eastAsia="黑体" w:cs="黑体"/>
                <w:color w:val="auto"/>
                <w:sz w:val="21"/>
              </w:rPr>
            </w:pPr>
          </w:p>
        </w:tc>
      </w:tr>
      <w:tr w14:paraId="15B6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862" w:type="dxa"/>
            <w:vAlign w:val="top"/>
          </w:tcPr>
          <w:p w14:paraId="3B3CC82E">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4CA4249A">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15E34779">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50C64024">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0F3D8ECF">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34469FEB">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77C1EE7C">
            <w:pPr>
              <w:pageBreakBefore w:val="0"/>
              <w:kinsoku w:val="0"/>
              <w:wordWrap w:val="0"/>
              <w:overflowPunct/>
              <w:topLinePunct w:val="0"/>
              <w:autoSpaceDE/>
              <w:autoSpaceDN/>
              <w:bidi w:val="0"/>
              <w:rPr>
                <w:rFonts w:hint="eastAsia" w:ascii="黑体" w:hAnsi="黑体" w:eastAsia="黑体" w:cs="黑体"/>
                <w:color w:val="auto"/>
                <w:sz w:val="21"/>
              </w:rPr>
            </w:pPr>
          </w:p>
        </w:tc>
      </w:tr>
      <w:tr w14:paraId="4997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862" w:type="dxa"/>
            <w:vAlign w:val="top"/>
          </w:tcPr>
          <w:p w14:paraId="083A173D">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385FC6FD">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787655E0">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3279B36C">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536F1114">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5ACF5C94">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35FF3419">
            <w:pPr>
              <w:pageBreakBefore w:val="0"/>
              <w:kinsoku w:val="0"/>
              <w:wordWrap w:val="0"/>
              <w:overflowPunct/>
              <w:topLinePunct w:val="0"/>
              <w:autoSpaceDE/>
              <w:autoSpaceDN/>
              <w:bidi w:val="0"/>
              <w:rPr>
                <w:rFonts w:hint="eastAsia" w:ascii="黑体" w:hAnsi="黑体" w:eastAsia="黑体" w:cs="黑体"/>
                <w:color w:val="auto"/>
                <w:sz w:val="21"/>
              </w:rPr>
            </w:pPr>
          </w:p>
        </w:tc>
      </w:tr>
      <w:tr w14:paraId="2D13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862" w:type="dxa"/>
            <w:vAlign w:val="top"/>
          </w:tcPr>
          <w:p w14:paraId="60CA727F">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57F14270">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02656C96">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7E4795AE">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149A9D45">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1BAD84D4">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70A43854">
            <w:pPr>
              <w:pageBreakBefore w:val="0"/>
              <w:kinsoku w:val="0"/>
              <w:wordWrap w:val="0"/>
              <w:overflowPunct/>
              <w:topLinePunct w:val="0"/>
              <w:autoSpaceDE/>
              <w:autoSpaceDN/>
              <w:bidi w:val="0"/>
              <w:rPr>
                <w:rFonts w:hint="eastAsia" w:ascii="黑体" w:hAnsi="黑体" w:eastAsia="黑体" w:cs="黑体"/>
                <w:color w:val="auto"/>
                <w:sz w:val="21"/>
              </w:rPr>
            </w:pPr>
          </w:p>
        </w:tc>
      </w:tr>
      <w:tr w14:paraId="065AA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jc w:val="center"/>
        </w:trPr>
        <w:tc>
          <w:tcPr>
            <w:tcW w:w="862" w:type="dxa"/>
            <w:vAlign w:val="top"/>
          </w:tcPr>
          <w:p w14:paraId="3FB4EE9F">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3C13FCFF">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272AA526">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02164D0E">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7F494F3D">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4AB3DDDD">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424F06DC">
            <w:pPr>
              <w:pageBreakBefore w:val="0"/>
              <w:kinsoku w:val="0"/>
              <w:wordWrap w:val="0"/>
              <w:overflowPunct/>
              <w:topLinePunct w:val="0"/>
              <w:autoSpaceDE/>
              <w:autoSpaceDN/>
              <w:bidi w:val="0"/>
              <w:rPr>
                <w:rFonts w:hint="eastAsia" w:ascii="黑体" w:hAnsi="黑体" w:eastAsia="黑体" w:cs="黑体"/>
                <w:color w:val="auto"/>
                <w:sz w:val="21"/>
              </w:rPr>
            </w:pPr>
          </w:p>
        </w:tc>
      </w:tr>
      <w:tr w14:paraId="20E0B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jc w:val="center"/>
        </w:trPr>
        <w:tc>
          <w:tcPr>
            <w:tcW w:w="862" w:type="dxa"/>
            <w:vAlign w:val="top"/>
          </w:tcPr>
          <w:p w14:paraId="47AF049E">
            <w:pPr>
              <w:pageBreakBefore w:val="0"/>
              <w:kinsoku w:val="0"/>
              <w:wordWrap w:val="0"/>
              <w:overflowPunct/>
              <w:topLinePunct w:val="0"/>
              <w:autoSpaceDE/>
              <w:autoSpaceDN/>
              <w:bidi w:val="0"/>
              <w:rPr>
                <w:rFonts w:hint="eastAsia" w:ascii="黑体" w:hAnsi="黑体" w:eastAsia="黑体" w:cs="黑体"/>
                <w:color w:val="auto"/>
                <w:sz w:val="21"/>
              </w:rPr>
            </w:pPr>
          </w:p>
        </w:tc>
        <w:tc>
          <w:tcPr>
            <w:tcW w:w="1282" w:type="dxa"/>
            <w:vAlign w:val="top"/>
          </w:tcPr>
          <w:p w14:paraId="58AFDF25">
            <w:pPr>
              <w:pageBreakBefore w:val="0"/>
              <w:kinsoku w:val="0"/>
              <w:wordWrap w:val="0"/>
              <w:overflowPunct/>
              <w:topLinePunct w:val="0"/>
              <w:autoSpaceDE/>
              <w:autoSpaceDN/>
              <w:bidi w:val="0"/>
              <w:rPr>
                <w:rFonts w:hint="eastAsia" w:ascii="黑体" w:hAnsi="黑体" w:eastAsia="黑体" w:cs="黑体"/>
                <w:color w:val="auto"/>
                <w:sz w:val="21"/>
              </w:rPr>
            </w:pPr>
          </w:p>
        </w:tc>
        <w:tc>
          <w:tcPr>
            <w:tcW w:w="1223" w:type="dxa"/>
            <w:vAlign w:val="top"/>
          </w:tcPr>
          <w:p w14:paraId="7F645728">
            <w:pPr>
              <w:pageBreakBefore w:val="0"/>
              <w:kinsoku w:val="0"/>
              <w:wordWrap w:val="0"/>
              <w:overflowPunct/>
              <w:topLinePunct w:val="0"/>
              <w:autoSpaceDE/>
              <w:autoSpaceDN/>
              <w:bidi w:val="0"/>
              <w:rPr>
                <w:rFonts w:hint="eastAsia" w:ascii="黑体" w:hAnsi="黑体" w:eastAsia="黑体" w:cs="黑体"/>
                <w:color w:val="auto"/>
                <w:sz w:val="21"/>
              </w:rPr>
            </w:pPr>
          </w:p>
        </w:tc>
        <w:tc>
          <w:tcPr>
            <w:tcW w:w="882" w:type="dxa"/>
            <w:vAlign w:val="top"/>
          </w:tcPr>
          <w:p w14:paraId="3043AAFC">
            <w:pPr>
              <w:pageBreakBefore w:val="0"/>
              <w:kinsoku w:val="0"/>
              <w:wordWrap w:val="0"/>
              <w:overflowPunct/>
              <w:topLinePunct w:val="0"/>
              <w:autoSpaceDE/>
              <w:autoSpaceDN/>
              <w:bidi w:val="0"/>
              <w:rPr>
                <w:rFonts w:hint="eastAsia" w:ascii="黑体" w:hAnsi="黑体" w:eastAsia="黑体" w:cs="黑体"/>
                <w:color w:val="auto"/>
                <w:sz w:val="21"/>
              </w:rPr>
            </w:pPr>
          </w:p>
        </w:tc>
        <w:tc>
          <w:tcPr>
            <w:tcW w:w="1341" w:type="dxa"/>
            <w:vAlign w:val="top"/>
          </w:tcPr>
          <w:p w14:paraId="4CEC5635">
            <w:pPr>
              <w:pageBreakBefore w:val="0"/>
              <w:kinsoku w:val="0"/>
              <w:wordWrap w:val="0"/>
              <w:overflowPunct/>
              <w:topLinePunct w:val="0"/>
              <w:autoSpaceDE/>
              <w:autoSpaceDN/>
              <w:bidi w:val="0"/>
              <w:rPr>
                <w:rFonts w:hint="eastAsia" w:ascii="黑体" w:hAnsi="黑体" w:eastAsia="黑体" w:cs="黑体"/>
                <w:color w:val="auto"/>
                <w:sz w:val="21"/>
              </w:rPr>
            </w:pPr>
          </w:p>
        </w:tc>
        <w:tc>
          <w:tcPr>
            <w:tcW w:w="1462" w:type="dxa"/>
            <w:vAlign w:val="top"/>
          </w:tcPr>
          <w:p w14:paraId="154815EC">
            <w:pPr>
              <w:pageBreakBefore w:val="0"/>
              <w:kinsoku w:val="0"/>
              <w:wordWrap w:val="0"/>
              <w:overflowPunct/>
              <w:topLinePunct w:val="0"/>
              <w:autoSpaceDE/>
              <w:autoSpaceDN/>
              <w:bidi w:val="0"/>
              <w:rPr>
                <w:rFonts w:hint="eastAsia" w:ascii="黑体" w:hAnsi="黑体" w:eastAsia="黑体" w:cs="黑体"/>
                <w:color w:val="auto"/>
                <w:sz w:val="21"/>
              </w:rPr>
            </w:pPr>
          </w:p>
        </w:tc>
        <w:tc>
          <w:tcPr>
            <w:tcW w:w="1349" w:type="dxa"/>
            <w:vAlign w:val="top"/>
          </w:tcPr>
          <w:p w14:paraId="3266E89B">
            <w:pPr>
              <w:pageBreakBefore w:val="0"/>
              <w:kinsoku w:val="0"/>
              <w:wordWrap w:val="0"/>
              <w:overflowPunct/>
              <w:topLinePunct w:val="0"/>
              <w:autoSpaceDE/>
              <w:autoSpaceDN/>
              <w:bidi w:val="0"/>
              <w:rPr>
                <w:rFonts w:hint="eastAsia" w:ascii="黑体" w:hAnsi="黑体" w:eastAsia="黑体" w:cs="黑体"/>
                <w:color w:val="auto"/>
                <w:sz w:val="21"/>
              </w:rPr>
            </w:pPr>
          </w:p>
        </w:tc>
      </w:tr>
    </w:tbl>
    <w:p w14:paraId="31D7140A">
      <w:pPr>
        <w:pStyle w:val="7"/>
        <w:pageBreakBefore w:val="0"/>
        <w:kinsoku w:val="0"/>
        <w:wordWrap w:val="0"/>
        <w:overflowPunct/>
        <w:topLinePunct w:val="0"/>
        <w:autoSpaceDE/>
        <w:autoSpaceDN/>
        <w:bidi w:val="0"/>
        <w:spacing w:before="78" w:line="225" w:lineRule="auto"/>
        <w:ind w:left="3" w:leftChars="0" w:right="840" w:hanging="3" w:firstLineChars="0"/>
        <w:rPr>
          <w:rFonts w:hint="eastAsia" w:ascii="黑体" w:hAnsi="黑体" w:eastAsia="黑体" w:cs="黑体"/>
          <w:color w:val="auto"/>
          <w:spacing w:val="-4"/>
          <w:sz w:val="24"/>
          <w:szCs w:val="24"/>
        </w:rPr>
      </w:pPr>
    </w:p>
    <w:p w14:paraId="3213C665">
      <w:pPr>
        <w:pStyle w:val="7"/>
        <w:pageBreakBefore w:val="0"/>
        <w:kinsoku w:val="0"/>
        <w:wordWrap w:val="0"/>
        <w:overflowPunct/>
        <w:topLinePunct w:val="0"/>
        <w:autoSpaceDE/>
        <w:autoSpaceDN/>
        <w:bidi w:val="0"/>
        <w:spacing w:before="78" w:line="225" w:lineRule="auto"/>
        <w:ind w:left="3" w:leftChars="0" w:right="840" w:hanging="3"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投标人(盖单位公章):</w:t>
      </w:r>
      <w:r>
        <w:rPr>
          <w:rFonts w:hint="eastAsia" w:ascii="黑体" w:hAnsi="黑体" w:eastAsia="黑体" w:cs="黑体"/>
          <w:color w:val="auto"/>
          <w:spacing w:val="-14"/>
          <w:sz w:val="24"/>
          <w:szCs w:val="24"/>
          <w:u w:val="single"/>
          <w:lang w:val="en-US" w:eastAsia="zh-CN"/>
        </w:rPr>
        <w:t xml:space="preserve">                          </w:t>
      </w:r>
    </w:p>
    <w:p w14:paraId="4B984D6E">
      <w:pPr>
        <w:pageBreakBefore w:val="0"/>
        <w:kinsoku w:val="0"/>
        <w:wordWrap w:val="0"/>
        <w:overflowPunct/>
        <w:topLinePunct w:val="0"/>
        <w:autoSpaceDE/>
        <w:autoSpaceDN/>
        <w:bidi w:val="0"/>
        <w:spacing w:line="292" w:lineRule="auto"/>
        <w:rPr>
          <w:rFonts w:hint="eastAsia" w:ascii="黑体" w:hAnsi="黑体" w:eastAsia="黑体" w:cs="黑体"/>
          <w:color w:val="auto"/>
          <w:sz w:val="21"/>
        </w:rPr>
      </w:pPr>
    </w:p>
    <w:p w14:paraId="1E02A3FD">
      <w:pPr>
        <w:pStyle w:val="7"/>
        <w:pageBreakBefore w:val="0"/>
        <w:kinsoku w:val="0"/>
        <w:wordWrap w:val="0"/>
        <w:overflowPunct/>
        <w:topLinePunct w:val="0"/>
        <w:autoSpaceDE/>
        <w:autoSpaceDN/>
        <w:bidi w:val="0"/>
        <w:spacing w:before="78" w:line="225" w:lineRule="auto"/>
        <w:ind w:left="3" w:leftChars="0" w:right="840" w:hanging="3" w:firstLineChars="0"/>
        <w:rPr>
          <w:rFonts w:hint="eastAsia" w:ascii="黑体" w:hAnsi="黑体" w:eastAsia="黑体" w:cs="黑体"/>
          <w:color w:val="auto"/>
          <w:spacing w:val="-2"/>
          <w:sz w:val="24"/>
          <w:szCs w:val="24"/>
          <w:u w:val="single" w:color="auto"/>
        </w:rPr>
      </w:pPr>
      <w:r>
        <w:rPr>
          <w:rFonts w:hint="eastAsia" w:ascii="黑体" w:hAnsi="黑体" w:eastAsia="黑体" w:cs="黑体"/>
          <w:color w:val="auto"/>
          <w:spacing w:val="-2"/>
          <w:sz w:val="24"/>
          <w:szCs w:val="24"/>
        </w:rPr>
        <w:t>法定代表人或其委托代理人（签字或盖章）:</w:t>
      </w:r>
      <w:r>
        <w:rPr>
          <w:rFonts w:hint="eastAsia" w:ascii="黑体" w:hAnsi="黑体" w:eastAsia="黑体" w:cs="黑体"/>
          <w:color w:val="auto"/>
          <w:spacing w:val="-14"/>
          <w:sz w:val="24"/>
          <w:szCs w:val="24"/>
          <w:u w:val="single"/>
          <w:lang w:val="en-US" w:eastAsia="zh-CN"/>
        </w:rPr>
        <w:t xml:space="preserve">                          </w:t>
      </w:r>
    </w:p>
    <w:p w14:paraId="6CB6EDDA">
      <w:pPr>
        <w:pageBreakBefore w:val="0"/>
        <w:kinsoku w:val="0"/>
        <w:wordWrap w:val="0"/>
        <w:overflowPunct/>
        <w:topLinePunct w:val="0"/>
        <w:autoSpaceDE/>
        <w:autoSpaceDN/>
        <w:bidi w:val="0"/>
        <w:spacing w:line="257" w:lineRule="auto"/>
        <w:ind w:left="3" w:leftChars="0" w:hanging="3" w:firstLineChars="0"/>
        <w:rPr>
          <w:rFonts w:hint="eastAsia" w:ascii="黑体" w:hAnsi="黑体" w:eastAsia="黑体" w:cs="黑体"/>
          <w:color w:val="auto"/>
          <w:sz w:val="21"/>
        </w:rPr>
      </w:pPr>
    </w:p>
    <w:p w14:paraId="00054014">
      <w:pPr>
        <w:pStyle w:val="7"/>
        <w:pageBreakBefore w:val="0"/>
        <w:kinsoku w:val="0"/>
        <w:wordWrap w:val="0"/>
        <w:overflowPunct/>
        <w:topLinePunct w:val="0"/>
        <w:autoSpaceDE/>
        <w:autoSpaceDN/>
        <w:bidi w:val="0"/>
        <w:spacing w:before="78" w:line="222" w:lineRule="auto"/>
        <w:ind w:left="3" w:leftChars="0" w:hanging="3"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注:各项服务措施应另页描述。</w:t>
      </w:r>
    </w:p>
    <w:p w14:paraId="6CFDC207">
      <w:pPr>
        <w:pageBreakBefore w:val="0"/>
        <w:kinsoku w:val="0"/>
        <w:wordWrap w:val="0"/>
        <w:overflowPunct/>
        <w:topLinePunct w:val="0"/>
        <w:autoSpaceDE/>
        <w:autoSpaceDN/>
        <w:bidi w:val="0"/>
        <w:spacing w:line="222" w:lineRule="auto"/>
        <w:ind w:left="3" w:leftChars="0" w:hanging="3" w:firstLineChars="0"/>
        <w:rPr>
          <w:rFonts w:hint="eastAsia" w:ascii="黑体" w:hAnsi="黑体" w:eastAsia="黑体" w:cs="黑体"/>
          <w:color w:val="auto"/>
          <w:sz w:val="24"/>
          <w:szCs w:val="24"/>
        </w:rPr>
        <w:sectPr>
          <w:footerReference r:id="rId19" w:type="default"/>
          <w:pgSz w:w="11906" w:h="16840"/>
          <w:pgMar w:top="1431" w:right="1785" w:bottom="1359" w:left="1683" w:header="0" w:footer="1145" w:gutter="0"/>
          <w:pgNumType w:fmt="decimal"/>
          <w:cols w:space="720" w:num="1"/>
        </w:sectPr>
      </w:pPr>
    </w:p>
    <w:p w14:paraId="46B4EBDD">
      <w:pPr>
        <w:pStyle w:val="7"/>
        <w:pageBreakBefore w:val="0"/>
        <w:kinsoku w:val="0"/>
        <w:wordWrap w:val="0"/>
        <w:overflowPunct/>
        <w:topLinePunct w:val="0"/>
        <w:autoSpaceDE/>
        <w:autoSpaceDN/>
        <w:bidi w:val="0"/>
        <w:spacing w:before="200" w:line="223" w:lineRule="auto"/>
        <w:ind w:left="2986"/>
        <w:outlineLvl w:val="6"/>
        <w:rPr>
          <w:rFonts w:hint="eastAsia" w:ascii="黑体" w:hAnsi="黑体" w:eastAsia="黑体" w:cs="黑体"/>
          <w:color w:val="auto"/>
          <w:sz w:val="28"/>
          <w:szCs w:val="28"/>
        </w:rPr>
      </w:pPr>
      <w:r>
        <w:rPr>
          <w:rFonts w:hint="eastAsia" w:ascii="黑体" w:hAnsi="黑体" w:eastAsia="黑体" w:cs="黑体"/>
          <w:b/>
          <w:bCs/>
          <w:color w:val="auto"/>
          <w:spacing w:val="-6"/>
          <w:sz w:val="28"/>
          <w:szCs w:val="28"/>
        </w:rPr>
        <w:t>4、商务条款偏离表</w:t>
      </w:r>
    </w:p>
    <w:p w14:paraId="4D257750">
      <w:pPr>
        <w:pageBreakBefore w:val="0"/>
        <w:kinsoku w:val="0"/>
        <w:wordWrap w:val="0"/>
        <w:overflowPunct/>
        <w:topLinePunct w:val="0"/>
        <w:autoSpaceDE/>
        <w:autoSpaceDN/>
        <w:bidi w:val="0"/>
        <w:spacing w:line="377" w:lineRule="auto"/>
        <w:rPr>
          <w:rFonts w:hint="eastAsia" w:ascii="黑体" w:hAnsi="黑体" w:eastAsia="黑体" w:cs="黑体"/>
          <w:color w:val="auto"/>
          <w:sz w:val="21"/>
        </w:rPr>
      </w:pPr>
    </w:p>
    <w:p w14:paraId="010FBEA7">
      <w:pPr>
        <w:pStyle w:val="7"/>
        <w:pageBreakBefore w:val="0"/>
        <w:kinsoku w:val="0"/>
        <w:wordWrap w:val="0"/>
        <w:overflowPunct/>
        <w:topLinePunct w:val="0"/>
        <w:autoSpaceDE/>
        <w:autoSpaceDN/>
        <w:bidi w:val="0"/>
        <w:spacing w:before="78" w:line="221" w:lineRule="auto"/>
        <w:ind w:left="22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7"/>
          <w:sz w:val="24"/>
          <w:szCs w:val="24"/>
        </w:rPr>
        <w:t>项目名称:</w:t>
      </w:r>
      <w:r>
        <w:rPr>
          <w:rFonts w:hint="eastAsia" w:ascii="黑体" w:hAnsi="黑体" w:eastAsia="黑体" w:cs="黑体"/>
          <w:color w:val="auto"/>
          <w:spacing w:val="-7"/>
          <w:sz w:val="24"/>
          <w:szCs w:val="24"/>
          <w:lang w:val="en-US" w:eastAsia="zh-CN"/>
        </w:rPr>
        <w:t xml:space="preserve">                          </w:t>
      </w:r>
      <w:r>
        <w:rPr>
          <w:rFonts w:hint="eastAsia" w:ascii="黑体" w:hAnsi="黑体" w:eastAsia="黑体" w:cs="黑体"/>
          <w:color w:val="auto"/>
          <w:spacing w:val="-7"/>
          <w:sz w:val="24"/>
          <w:szCs w:val="24"/>
        </w:rPr>
        <w:t>项目编号:</w:t>
      </w:r>
    </w:p>
    <w:p w14:paraId="73D538F5">
      <w:pPr>
        <w:pageBreakBefore w:val="0"/>
        <w:kinsoku w:val="0"/>
        <w:wordWrap w:val="0"/>
        <w:overflowPunct/>
        <w:topLinePunct w:val="0"/>
        <w:autoSpaceDE/>
        <w:autoSpaceDN/>
        <w:bidi w:val="0"/>
        <w:spacing w:before="41"/>
        <w:rPr>
          <w:rFonts w:hint="eastAsia" w:ascii="黑体" w:hAnsi="黑体" w:eastAsia="黑体" w:cs="黑体"/>
          <w:color w:val="auto"/>
        </w:rPr>
      </w:pPr>
    </w:p>
    <w:tbl>
      <w:tblPr>
        <w:tblStyle w:val="22"/>
        <w:tblW w:w="80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2623"/>
        <w:gridCol w:w="2680"/>
        <w:gridCol w:w="1407"/>
      </w:tblGrid>
      <w:tr w14:paraId="796F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295" w:type="dxa"/>
            <w:vAlign w:val="top"/>
          </w:tcPr>
          <w:p w14:paraId="3B5702B6">
            <w:pPr>
              <w:pStyle w:val="23"/>
              <w:pageBreakBefore w:val="0"/>
              <w:kinsoku w:val="0"/>
              <w:wordWrap w:val="0"/>
              <w:overflowPunct/>
              <w:topLinePunct w:val="0"/>
              <w:autoSpaceDE/>
              <w:autoSpaceDN/>
              <w:bidi w:val="0"/>
              <w:spacing w:before="214" w:line="222" w:lineRule="auto"/>
              <w:jc w:val="center"/>
              <w:rPr>
                <w:rFonts w:hint="eastAsia" w:ascii="黑体" w:hAnsi="黑体" w:eastAsia="黑体" w:cs="黑体"/>
                <w:color w:val="auto"/>
              </w:rPr>
            </w:pPr>
            <w:r>
              <w:rPr>
                <w:rFonts w:hint="eastAsia" w:ascii="黑体" w:hAnsi="黑体" w:eastAsia="黑体" w:cs="黑体"/>
                <w:color w:val="auto"/>
                <w:spacing w:val="-8"/>
              </w:rPr>
              <w:t>序号</w:t>
            </w:r>
          </w:p>
        </w:tc>
        <w:tc>
          <w:tcPr>
            <w:tcW w:w="2623" w:type="dxa"/>
            <w:vAlign w:val="top"/>
          </w:tcPr>
          <w:p w14:paraId="71CCC73B">
            <w:pPr>
              <w:pStyle w:val="23"/>
              <w:pageBreakBefore w:val="0"/>
              <w:kinsoku w:val="0"/>
              <w:wordWrap w:val="0"/>
              <w:overflowPunct/>
              <w:topLinePunct w:val="0"/>
              <w:autoSpaceDE/>
              <w:autoSpaceDN/>
              <w:bidi w:val="0"/>
              <w:spacing w:before="58" w:line="218" w:lineRule="auto"/>
              <w:ind w:left="1219" w:right="118" w:hanging="1085"/>
              <w:rPr>
                <w:rFonts w:hint="eastAsia" w:ascii="黑体" w:hAnsi="黑体" w:eastAsia="黑体" w:cs="黑体"/>
                <w:color w:val="auto"/>
              </w:rPr>
            </w:pPr>
            <w:r>
              <w:rPr>
                <w:rFonts w:hint="eastAsia" w:ascii="黑体" w:hAnsi="黑体" w:eastAsia="黑体" w:cs="黑体"/>
                <w:color w:val="auto"/>
                <w:spacing w:val="-4"/>
              </w:rPr>
              <w:t>磋商文件的商务条款内</w:t>
            </w:r>
            <w:r>
              <w:rPr>
                <w:rFonts w:hint="eastAsia" w:ascii="黑体" w:hAnsi="黑体" w:eastAsia="黑体" w:cs="黑体"/>
                <w:color w:val="auto"/>
              </w:rPr>
              <w:t>容</w:t>
            </w:r>
          </w:p>
        </w:tc>
        <w:tc>
          <w:tcPr>
            <w:tcW w:w="2680" w:type="dxa"/>
            <w:vAlign w:val="top"/>
          </w:tcPr>
          <w:p w14:paraId="3B1F37B1">
            <w:pPr>
              <w:pStyle w:val="23"/>
              <w:pageBreakBefore w:val="0"/>
              <w:kinsoku w:val="0"/>
              <w:wordWrap w:val="0"/>
              <w:overflowPunct/>
              <w:topLinePunct w:val="0"/>
              <w:autoSpaceDE/>
              <w:autoSpaceDN/>
              <w:bidi w:val="0"/>
              <w:spacing w:before="58" w:line="218" w:lineRule="auto"/>
              <w:ind w:left="1253" w:right="141" w:hanging="1070"/>
              <w:rPr>
                <w:rFonts w:hint="eastAsia" w:ascii="黑体" w:hAnsi="黑体" w:eastAsia="黑体" w:cs="黑体"/>
                <w:color w:val="auto"/>
              </w:rPr>
            </w:pPr>
            <w:r>
              <w:rPr>
                <w:rFonts w:hint="eastAsia" w:ascii="黑体" w:hAnsi="黑体" w:eastAsia="黑体" w:cs="黑体"/>
                <w:color w:val="auto"/>
                <w:spacing w:val="-5"/>
              </w:rPr>
              <w:t>响应文件的商务条款内</w:t>
            </w:r>
            <w:r>
              <w:rPr>
                <w:rFonts w:hint="eastAsia" w:ascii="黑体" w:hAnsi="黑体" w:eastAsia="黑体" w:cs="黑体"/>
                <w:color w:val="auto"/>
              </w:rPr>
              <w:t>容</w:t>
            </w:r>
          </w:p>
        </w:tc>
        <w:tc>
          <w:tcPr>
            <w:tcW w:w="1407" w:type="dxa"/>
            <w:vAlign w:val="top"/>
          </w:tcPr>
          <w:p w14:paraId="18A8C419">
            <w:pPr>
              <w:pStyle w:val="23"/>
              <w:pageBreakBefore w:val="0"/>
              <w:kinsoku w:val="0"/>
              <w:wordWrap w:val="0"/>
              <w:overflowPunct/>
              <w:topLinePunct w:val="0"/>
              <w:autoSpaceDE/>
              <w:autoSpaceDN/>
              <w:bidi w:val="0"/>
              <w:spacing w:before="216" w:line="224" w:lineRule="auto"/>
              <w:ind w:left="494"/>
              <w:rPr>
                <w:rFonts w:hint="eastAsia" w:ascii="黑体" w:hAnsi="黑体" w:eastAsia="黑体" w:cs="黑体"/>
                <w:color w:val="auto"/>
              </w:rPr>
            </w:pPr>
            <w:r>
              <w:rPr>
                <w:rFonts w:hint="eastAsia" w:ascii="黑体" w:hAnsi="黑体" w:eastAsia="黑体" w:cs="黑体"/>
                <w:color w:val="auto"/>
                <w:spacing w:val="-9"/>
              </w:rPr>
              <w:t>说明</w:t>
            </w:r>
          </w:p>
        </w:tc>
      </w:tr>
      <w:tr w14:paraId="69DC9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4748D6A9">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5B5253ED">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4A5BD43F">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3D3809E0">
            <w:pPr>
              <w:pageBreakBefore w:val="0"/>
              <w:kinsoku w:val="0"/>
              <w:wordWrap w:val="0"/>
              <w:overflowPunct/>
              <w:topLinePunct w:val="0"/>
              <w:autoSpaceDE/>
              <w:autoSpaceDN/>
              <w:bidi w:val="0"/>
              <w:rPr>
                <w:rFonts w:hint="eastAsia" w:ascii="黑体" w:hAnsi="黑体" w:eastAsia="黑体" w:cs="黑体"/>
                <w:color w:val="auto"/>
                <w:sz w:val="21"/>
              </w:rPr>
            </w:pPr>
          </w:p>
        </w:tc>
      </w:tr>
      <w:tr w14:paraId="52844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41E3592B">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34FF5E42">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46284FB6">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10487D67">
            <w:pPr>
              <w:pageBreakBefore w:val="0"/>
              <w:kinsoku w:val="0"/>
              <w:wordWrap w:val="0"/>
              <w:overflowPunct/>
              <w:topLinePunct w:val="0"/>
              <w:autoSpaceDE/>
              <w:autoSpaceDN/>
              <w:bidi w:val="0"/>
              <w:rPr>
                <w:rFonts w:hint="eastAsia" w:ascii="黑体" w:hAnsi="黑体" w:eastAsia="黑体" w:cs="黑体"/>
                <w:color w:val="auto"/>
                <w:sz w:val="21"/>
              </w:rPr>
            </w:pPr>
          </w:p>
        </w:tc>
      </w:tr>
      <w:tr w14:paraId="2D8C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16BE3402">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5BD13DD6">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7092DCC0">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093159F4">
            <w:pPr>
              <w:pageBreakBefore w:val="0"/>
              <w:kinsoku w:val="0"/>
              <w:wordWrap w:val="0"/>
              <w:overflowPunct/>
              <w:topLinePunct w:val="0"/>
              <w:autoSpaceDE/>
              <w:autoSpaceDN/>
              <w:bidi w:val="0"/>
              <w:rPr>
                <w:rFonts w:hint="eastAsia" w:ascii="黑体" w:hAnsi="黑体" w:eastAsia="黑体" w:cs="黑体"/>
                <w:color w:val="auto"/>
                <w:sz w:val="21"/>
              </w:rPr>
            </w:pPr>
          </w:p>
        </w:tc>
      </w:tr>
      <w:tr w14:paraId="74582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4802BB28">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47A146F3">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4019A95C">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7FDD1FDA">
            <w:pPr>
              <w:pageBreakBefore w:val="0"/>
              <w:kinsoku w:val="0"/>
              <w:wordWrap w:val="0"/>
              <w:overflowPunct/>
              <w:topLinePunct w:val="0"/>
              <w:autoSpaceDE/>
              <w:autoSpaceDN/>
              <w:bidi w:val="0"/>
              <w:rPr>
                <w:rFonts w:hint="eastAsia" w:ascii="黑体" w:hAnsi="黑体" w:eastAsia="黑体" w:cs="黑体"/>
                <w:color w:val="auto"/>
                <w:sz w:val="21"/>
              </w:rPr>
            </w:pPr>
          </w:p>
        </w:tc>
      </w:tr>
      <w:tr w14:paraId="356E4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295" w:type="dxa"/>
            <w:vAlign w:val="top"/>
          </w:tcPr>
          <w:p w14:paraId="2506B937">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1DCBA0CD">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46720314">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7DF89992">
            <w:pPr>
              <w:pageBreakBefore w:val="0"/>
              <w:kinsoku w:val="0"/>
              <w:wordWrap w:val="0"/>
              <w:overflowPunct/>
              <w:topLinePunct w:val="0"/>
              <w:autoSpaceDE/>
              <w:autoSpaceDN/>
              <w:bidi w:val="0"/>
              <w:rPr>
                <w:rFonts w:hint="eastAsia" w:ascii="黑体" w:hAnsi="黑体" w:eastAsia="黑体" w:cs="黑体"/>
                <w:color w:val="auto"/>
                <w:sz w:val="21"/>
              </w:rPr>
            </w:pPr>
          </w:p>
        </w:tc>
      </w:tr>
      <w:tr w14:paraId="76B42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2DB57793">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06339C83">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1E7CA01C">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7D166987">
            <w:pPr>
              <w:pageBreakBefore w:val="0"/>
              <w:kinsoku w:val="0"/>
              <w:wordWrap w:val="0"/>
              <w:overflowPunct/>
              <w:topLinePunct w:val="0"/>
              <w:autoSpaceDE/>
              <w:autoSpaceDN/>
              <w:bidi w:val="0"/>
              <w:rPr>
                <w:rFonts w:hint="eastAsia" w:ascii="黑体" w:hAnsi="黑体" w:eastAsia="黑体" w:cs="黑体"/>
                <w:color w:val="auto"/>
                <w:sz w:val="21"/>
              </w:rPr>
            </w:pPr>
          </w:p>
        </w:tc>
      </w:tr>
      <w:tr w14:paraId="4C5B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2094FEED">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4BC44C03">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5C237D89">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308C1F46">
            <w:pPr>
              <w:pageBreakBefore w:val="0"/>
              <w:kinsoku w:val="0"/>
              <w:wordWrap w:val="0"/>
              <w:overflowPunct/>
              <w:topLinePunct w:val="0"/>
              <w:autoSpaceDE/>
              <w:autoSpaceDN/>
              <w:bidi w:val="0"/>
              <w:rPr>
                <w:rFonts w:hint="eastAsia" w:ascii="黑体" w:hAnsi="黑体" w:eastAsia="黑体" w:cs="黑体"/>
                <w:color w:val="auto"/>
                <w:sz w:val="21"/>
              </w:rPr>
            </w:pPr>
          </w:p>
        </w:tc>
      </w:tr>
      <w:tr w14:paraId="2F6E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295" w:type="dxa"/>
            <w:vAlign w:val="top"/>
          </w:tcPr>
          <w:p w14:paraId="7423E954">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267437F3">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1EA9F750">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1CEAAE2D">
            <w:pPr>
              <w:pageBreakBefore w:val="0"/>
              <w:kinsoku w:val="0"/>
              <w:wordWrap w:val="0"/>
              <w:overflowPunct/>
              <w:topLinePunct w:val="0"/>
              <w:autoSpaceDE/>
              <w:autoSpaceDN/>
              <w:bidi w:val="0"/>
              <w:rPr>
                <w:rFonts w:hint="eastAsia" w:ascii="黑体" w:hAnsi="黑体" w:eastAsia="黑体" w:cs="黑体"/>
                <w:color w:val="auto"/>
                <w:sz w:val="21"/>
              </w:rPr>
            </w:pPr>
          </w:p>
        </w:tc>
      </w:tr>
      <w:tr w14:paraId="05EB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105E6C27">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138885B5">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111787E1">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576FD598">
            <w:pPr>
              <w:pageBreakBefore w:val="0"/>
              <w:kinsoku w:val="0"/>
              <w:wordWrap w:val="0"/>
              <w:overflowPunct/>
              <w:topLinePunct w:val="0"/>
              <w:autoSpaceDE/>
              <w:autoSpaceDN/>
              <w:bidi w:val="0"/>
              <w:rPr>
                <w:rFonts w:hint="eastAsia" w:ascii="黑体" w:hAnsi="黑体" w:eastAsia="黑体" w:cs="黑体"/>
                <w:color w:val="auto"/>
                <w:sz w:val="21"/>
              </w:rPr>
            </w:pPr>
          </w:p>
        </w:tc>
      </w:tr>
      <w:tr w14:paraId="2352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77683B80">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40D3A29A">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666032BB">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75126A55">
            <w:pPr>
              <w:pageBreakBefore w:val="0"/>
              <w:kinsoku w:val="0"/>
              <w:wordWrap w:val="0"/>
              <w:overflowPunct/>
              <w:topLinePunct w:val="0"/>
              <w:autoSpaceDE/>
              <w:autoSpaceDN/>
              <w:bidi w:val="0"/>
              <w:rPr>
                <w:rFonts w:hint="eastAsia" w:ascii="黑体" w:hAnsi="黑体" w:eastAsia="黑体" w:cs="黑体"/>
                <w:color w:val="auto"/>
                <w:sz w:val="21"/>
              </w:rPr>
            </w:pPr>
          </w:p>
        </w:tc>
      </w:tr>
      <w:tr w14:paraId="546A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02E69D6E">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7C4651DB">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021D82FE">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221440A9">
            <w:pPr>
              <w:pageBreakBefore w:val="0"/>
              <w:kinsoku w:val="0"/>
              <w:wordWrap w:val="0"/>
              <w:overflowPunct/>
              <w:topLinePunct w:val="0"/>
              <w:autoSpaceDE/>
              <w:autoSpaceDN/>
              <w:bidi w:val="0"/>
              <w:rPr>
                <w:rFonts w:hint="eastAsia" w:ascii="黑体" w:hAnsi="黑体" w:eastAsia="黑体" w:cs="黑体"/>
                <w:color w:val="auto"/>
                <w:sz w:val="21"/>
              </w:rPr>
            </w:pPr>
          </w:p>
        </w:tc>
      </w:tr>
      <w:tr w14:paraId="7EC1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580ABD3A">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26478E13">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5C07905F">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408A7D8C">
            <w:pPr>
              <w:pageBreakBefore w:val="0"/>
              <w:kinsoku w:val="0"/>
              <w:wordWrap w:val="0"/>
              <w:overflowPunct/>
              <w:topLinePunct w:val="0"/>
              <w:autoSpaceDE/>
              <w:autoSpaceDN/>
              <w:bidi w:val="0"/>
              <w:rPr>
                <w:rFonts w:hint="eastAsia" w:ascii="黑体" w:hAnsi="黑体" w:eastAsia="黑体" w:cs="黑体"/>
                <w:color w:val="auto"/>
                <w:sz w:val="21"/>
              </w:rPr>
            </w:pPr>
          </w:p>
        </w:tc>
      </w:tr>
      <w:tr w14:paraId="7AA92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1D46ACEE">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4FECE602">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6F2F0160">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18CEAC90">
            <w:pPr>
              <w:pageBreakBefore w:val="0"/>
              <w:kinsoku w:val="0"/>
              <w:wordWrap w:val="0"/>
              <w:overflowPunct/>
              <w:topLinePunct w:val="0"/>
              <w:autoSpaceDE/>
              <w:autoSpaceDN/>
              <w:bidi w:val="0"/>
              <w:rPr>
                <w:rFonts w:hint="eastAsia" w:ascii="黑体" w:hAnsi="黑体" w:eastAsia="黑体" w:cs="黑体"/>
                <w:color w:val="auto"/>
                <w:sz w:val="21"/>
              </w:rPr>
            </w:pPr>
          </w:p>
        </w:tc>
      </w:tr>
      <w:tr w14:paraId="48DA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3F4B4ADB">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7C6C12EE">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1B90D22B">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321F0113">
            <w:pPr>
              <w:pageBreakBefore w:val="0"/>
              <w:kinsoku w:val="0"/>
              <w:wordWrap w:val="0"/>
              <w:overflowPunct/>
              <w:topLinePunct w:val="0"/>
              <w:autoSpaceDE/>
              <w:autoSpaceDN/>
              <w:bidi w:val="0"/>
              <w:rPr>
                <w:rFonts w:hint="eastAsia" w:ascii="黑体" w:hAnsi="黑体" w:eastAsia="黑体" w:cs="黑体"/>
                <w:color w:val="auto"/>
                <w:sz w:val="21"/>
              </w:rPr>
            </w:pPr>
          </w:p>
        </w:tc>
      </w:tr>
      <w:tr w14:paraId="48E9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4DE87A77">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34791709">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24174CC1">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52DE7553">
            <w:pPr>
              <w:pageBreakBefore w:val="0"/>
              <w:kinsoku w:val="0"/>
              <w:wordWrap w:val="0"/>
              <w:overflowPunct/>
              <w:topLinePunct w:val="0"/>
              <w:autoSpaceDE/>
              <w:autoSpaceDN/>
              <w:bidi w:val="0"/>
              <w:rPr>
                <w:rFonts w:hint="eastAsia" w:ascii="黑体" w:hAnsi="黑体" w:eastAsia="黑体" w:cs="黑体"/>
                <w:color w:val="auto"/>
                <w:sz w:val="21"/>
              </w:rPr>
            </w:pPr>
          </w:p>
        </w:tc>
      </w:tr>
      <w:tr w14:paraId="11E9E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295" w:type="dxa"/>
            <w:vAlign w:val="top"/>
          </w:tcPr>
          <w:p w14:paraId="73CC3C23">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3CFB2860">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7074EB1D">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233156E1">
            <w:pPr>
              <w:pageBreakBefore w:val="0"/>
              <w:kinsoku w:val="0"/>
              <w:wordWrap w:val="0"/>
              <w:overflowPunct/>
              <w:topLinePunct w:val="0"/>
              <w:autoSpaceDE/>
              <w:autoSpaceDN/>
              <w:bidi w:val="0"/>
              <w:rPr>
                <w:rFonts w:hint="eastAsia" w:ascii="黑体" w:hAnsi="黑体" w:eastAsia="黑体" w:cs="黑体"/>
                <w:color w:val="auto"/>
                <w:sz w:val="21"/>
              </w:rPr>
            </w:pPr>
          </w:p>
        </w:tc>
      </w:tr>
      <w:tr w14:paraId="386BB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295" w:type="dxa"/>
            <w:vAlign w:val="top"/>
          </w:tcPr>
          <w:p w14:paraId="4F819000">
            <w:pPr>
              <w:pageBreakBefore w:val="0"/>
              <w:kinsoku w:val="0"/>
              <w:wordWrap w:val="0"/>
              <w:overflowPunct/>
              <w:topLinePunct w:val="0"/>
              <w:autoSpaceDE/>
              <w:autoSpaceDN/>
              <w:bidi w:val="0"/>
              <w:rPr>
                <w:rFonts w:hint="eastAsia" w:ascii="黑体" w:hAnsi="黑体" w:eastAsia="黑体" w:cs="黑体"/>
                <w:color w:val="auto"/>
                <w:sz w:val="21"/>
              </w:rPr>
            </w:pPr>
          </w:p>
        </w:tc>
        <w:tc>
          <w:tcPr>
            <w:tcW w:w="2623" w:type="dxa"/>
            <w:vAlign w:val="top"/>
          </w:tcPr>
          <w:p w14:paraId="7E450AF6">
            <w:pPr>
              <w:pageBreakBefore w:val="0"/>
              <w:kinsoku w:val="0"/>
              <w:wordWrap w:val="0"/>
              <w:overflowPunct/>
              <w:topLinePunct w:val="0"/>
              <w:autoSpaceDE/>
              <w:autoSpaceDN/>
              <w:bidi w:val="0"/>
              <w:rPr>
                <w:rFonts w:hint="eastAsia" w:ascii="黑体" w:hAnsi="黑体" w:eastAsia="黑体" w:cs="黑体"/>
                <w:color w:val="auto"/>
                <w:sz w:val="21"/>
              </w:rPr>
            </w:pPr>
          </w:p>
        </w:tc>
        <w:tc>
          <w:tcPr>
            <w:tcW w:w="2680" w:type="dxa"/>
            <w:vAlign w:val="top"/>
          </w:tcPr>
          <w:p w14:paraId="23B42A60">
            <w:pPr>
              <w:pageBreakBefore w:val="0"/>
              <w:kinsoku w:val="0"/>
              <w:wordWrap w:val="0"/>
              <w:overflowPunct/>
              <w:topLinePunct w:val="0"/>
              <w:autoSpaceDE/>
              <w:autoSpaceDN/>
              <w:bidi w:val="0"/>
              <w:rPr>
                <w:rFonts w:hint="eastAsia" w:ascii="黑体" w:hAnsi="黑体" w:eastAsia="黑体" w:cs="黑体"/>
                <w:color w:val="auto"/>
                <w:sz w:val="21"/>
              </w:rPr>
            </w:pPr>
          </w:p>
        </w:tc>
        <w:tc>
          <w:tcPr>
            <w:tcW w:w="1407" w:type="dxa"/>
            <w:vAlign w:val="top"/>
          </w:tcPr>
          <w:p w14:paraId="7DD3265F">
            <w:pPr>
              <w:pageBreakBefore w:val="0"/>
              <w:kinsoku w:val="0"/>
              <w:wordWrap w:val="0"/>
              <w:overflowPunct/>
              <w:topLinePunct w:val="0"/>
              <w:autoSpaceDE/>
              <w:autoSpaceDN/>
              <w:bidi w:val="0"/>
              <w:rPr>
                <w:rFonts w:hint="eastAsia" w:ascii="黑体" w:hAnsi="黑体" w:eastAsia="黑体" w:cs="黑体"/>
                <w:color w:val="auto"/>
                <w:sz w:val="21"/>
              </w:rPr>
            </w:pPr>
          </w:p>
        </w:tc>
      </w:tr>
    </w:tbl>
    <w:p w14:paraId="62BDC099">
      <w:pPr>
        <w:pStyle w:val="7"/>
        <w:pageBreakBefore w:val="0"/>
        <w:kinsoku w:val="0"/>
        <w:wordWrap w:val="0"/>
        <w:overflowPunct/>
        <w:topLinePunct w:val="0"/>
        <w:autoSpaceDE/>
        <w:autoSpaceDN/>
        <w:bidi w:val="0"/>
        <w:spacing w:before="78" w:line="360" w:lineRule="auto"/>
        <w:ind w:left="220" w:leftChars="0" w:right="837" w:firstLine="15" w:firstLineChars="0"/>
        <w:rPr>
          <w:rFonts w:hint="eastAsia" w:ascii="黑体" w:hAnsi="黑体" w:eastAsia="黑体" w:cs="黑体"/>
          <w:color w:val="auto"/>
          <w:spacing w:val="-2"/>
          <w:sz w:val="24"/>
          <w:szCs w:val="24"/>
        </w:rPr>
      </w:pPr>
      <w:r>
        <w:rPr>
          <w:rFonts w:hint="eastAsia" w:ascii="黑体" w:hAnsi="黑体" w:eastAsia="黑体" w:cs="黑体"/>
          <w:color w:val="auto"/>
          <w:spacing w:val="-4"/>
          <w:sz w:val="24"/>
          <w:szCs w:val="24"/>
        </w:rPr>
        <w:t>投标人(盖单位公章):</w:t>
      </w:r>
      <w:r>
        <w:rPr>
          <w:rFonts w:hint="eastAsia" w:ascii="黑体" w:hAnsi="黑体" w:eastAsia="黑体" w:cs="黑体"/>
          <w:color w:val="auto"/>
          <w:spacing w:val="-14"/>
          <w:sz w:val="24"/>
          <w:szCs w:val="24"/>
          <w:u w:val="single"/>
          <w:lang w:val="en-US" w:eastAsia="zh-CN"/>
        </w:rPr>
        <w:t xml:space="preserve">                          </w:t>
      </w:r>
    </w:p>
    <w:p w14:paraId="05723E95">
      <w:pPr>
        <w:pStyle w:val="7"/>
        <w:pageBreakBefore w:val="0"/>
        <w:kinsoku w:val="0"/>
        <w:wordWrap w:val="0"/>
        <w:overflowPunct/>
        <w:topLinePunct w:val="0"/>
        <w:autoSpaceDE/>
        <w:autoSpaceDN/>
        <w:bidi w:val="0"/>
        <w:spacing w:before="78" w:line="360" w:lineRule="auto"/>
        <w:ind w:left="220" w:leftChars="0" w:right="837" w:firstLine="15" w:firstLineChars="0"/>
        <w:rPr>
          <w:rFonts w:hint="eastAsia" w:ascii="黑体" w:hAnsi="黑体" w:eastAsia="黑体" w:cs="黑体"/>
          <w:color w:val="auto"/>
          <w:spacing w:val="14"/>
          <w:sz w:val="24"/>
          <w:szCs w:val="24"/>
        </w:rPr>
      </w:pPr>
      <w:r>
        <w:rPr>
          <w:rFonts w:hint="eastAsia" w:ascii="黑体" w:hAnsi="黑体" w:eastAsia="黑体" w:cs="黑体"/>
          <w:color w:val="auto"/>
          <w:spacing w:val="-2"/>
          <w:sz w:val="24"/>
          <w:szCs w:val="24"/>
        </w:rPr>
        <w:t>法定代表人或其委托代理人（签字或盖章）:</w:t>
      </w:r>
      <w:r>
        <w:rPr>
          <w:rFonts w:hint="eastAsia" w:ascii="黑体" w:hAnsi="黑体" w:eastAsia="黑体" w:cs="黑体"/>
          <w:color w:val="auto"/>
          <w:spacing w:val="-14"/>
          <w:sz w:val="24"/>
          <w:szCs w:val="24"/>
          <w:u w:val="single"/>
          <w:lang w:val="en-US" w:eastAsia="zh-CN"/>
        </w:rPr>
        <w:t xml:space="preserve">                       </w:t>
      </w:r>
    </w:p>
    <w:p w14:paraId="1BE09B8F">
      <w:pPr>
        <w:pStyle w:val="7"/>
        <w:pageBreakBefore w:val="0"/>
        <w:kinsoku w:val="0"/>
        <w:wordWrap w:val="0"/>
        <w:overflowPunct/>
        <w:topLinePunct w:val="0"/>
        <w:autoSpaceDE/>
        <w:autoSpaceDN/>
        <w:bidi w:val="0"/>
        <w:spacing w:before="78" w:line="360" w:lineRule="auto"/>
        <w:ind w:left="220" w:leftChars="0" w:right="837" w:firstLine="15" w:firstLineChars="0"/>
        <w:rPr>
          <w:rFonts w:hint="eastAsia" w:ascii="黑体" w:hAnsi="黑体" w:eastAsia="黑体" w:cs="黑体"/>
          <w:color w:val="auto"/>
          <w:sz w:val="24"/>
          <w:szCs w:val="24"/>
        </w:rPr>
      </w:pPr>
    </w:p>
    <w:p w14:paraId="07016AE0">
      <w:pPr>
        <w:pageBreakBefore w:val="0"/>
        <w:kinsoku w:val="0"/>
        <w:wordWrap w:val="0"/>
        <w:overflowPunct/>
        <w:topLinePunct w:val="0"/>
        <w:autoSpaceDE/>
        <w:autoSpaceDN/>
        <w:bidi w:val="0"/>
        <w:spacing w:line="225" w:lineRule="auto"/>
        <w:rPr>
          <w:rFonts w:hint="eastAsia" w:ascii="黑体" w:hAnsi="黑体" w:eastAsia="黑体" w:cs="黑体"/>
          <w:color w:val="auto"/>
          <w:sz w:val="24"/>
          <w:szCs w:val="24"/>
        </w:rPr>
        <w:sectPr>
          <w:footerReference r:id="rId20" w:type="default"/>
          <w:pgSz w:w="11906" w:h="16840"/>
          <w:pgMar w:top="1431" w:right="1785" w:bottom="1361" w:left="1785" w:header="0" w:footer="1147" w:gutter="0"/>
          <w:pgNumType w:fmt="decimal"/>
          <w:cols w:space="720" w:num="1"/>
        </w:sectPr>
      </w:pPr>
    </w:p>
    <w:p w14:paraId="21500332">
      <w:pPr>
        <w:pStyle w:val="7"/>
        <w:pageBreakBefore w:val="0"/>
        <w:numPr>
          <w:ilvl w:val="0"/>
          <w:numId w:val="0"/>
        </w:numPr>
        <w:kinsoku w:val="0"/>
        <w:wordWrap w:val="0"/>
        <w:overflowPunct/>
        <w:topLinePunct w:val="0"/>
        <w:autoSpaceDE/>
        <w:autoSpaceDN/>
        <w:bidi w:val="0"/>
        <w:spacing w:before="200" w:line="223" w:lineRule="auto"/>
        <w:ind w:left="16" w:leftChars="0"/>
        <w:jc w:val="center"/>
        <w:outlineLvl w:val="6"/>
        <w:rPr>
          <w:rFonts w:hint="eastAsia" w:ascii="黑体" w:hAnsi="黑体" w:eastAsia="黑体" w:cs="黑体"/>
          <w:b/>
          <w:bCs/>
          <w:color w:val="auto"/>
          <w:spacing w:val="-7"/>
          <w:sz w:val="28"/>
          <w:szCs w:val="28"/>
        </w:rPr>
      </w:pPr>
      <w:r>
        <w:rPr>
          <w:rFonts w:hint="eastAsia" w:ascii="黑体" w:hAnsi="黑体" w:eastAsia="黑体" w:cs="黑体"/>
          <w:b/>
          <w:bCs/>
          <w:color w:val="auto"/>
          <w:spacing w:val="-7"/>
          <w:sz w:val="28"/>
          <w:szCs w:val="28"/>
          <w:lang w:val="en-US" w:eastAsia="zh-CN"/>
        </w:rPr>
        <w:t>5、</w:t>
      </w:r>
      <w:r>
        <w:rPr>
          <w:rFonts w:hint="eastAsia" w:ascii="黑体" w:hAnsi="黑体" w:eastAsia="黑体" w:cs="黑体"/>
          <w:b/>
          <w:bCs/>
          <w:color w:val="auto"/>
          <w:spacing w:val="-7"/>
          <w:sz w:val="28"/>
          <w:szCs w:val="28"/>
        </w:rPr>
        <w:t>技术条款偏离表</w:t>
      </w:r>
    </w:p>
    <w:p w14:paraId="137928A4">
      <w:pPr>
        <w:pStyle w:val="7"/>
        <w:pageBreakBefore w:val="0"/>
        <w:kinsoku w:val="0"/>
        <w:wordWrap w:val="0"/>
        <w:overflowPunct/>
        <w:topLinePunct w:val="0"/>
        <w:autoSpaceDE/>
        <w:autoSpaceDN/>
        <w:bidi w:val="0"/>
        <w:spacing w:before="78" w:line="221" w:lineRule="auto"/>
        <w:ind w:left="220" w:leftChars="0" w:firstLine="0" w:firstLineChars="0"/>
        <w:rPr>
          <w:rFonts w:hint="eastAsia" w:ascii="黑体" w:hAnsi="黑体" w:eastAsia="黑体" w:cs="黑体"/>
          <w:color w:val="auto"/>
        </w:rPr>
      </w:pPr>
      <w:r>
        <w:rPr>
          <w:rFonts w:hint="eastAsia" w:ascii="黑体" w:hAnsi="黑体" w:eastAsia="黑体" w:cs="黑体"/>
          <w:color w:val="auto"/>
          <w:spacing w:val="-7"/>
          <w:sz w:val="24"/>
          <w:szCs w:val="24"/>
        </w:rPr>
        <w:t>项目名称:</w:t>
      </w:r>
      <w:r>
        <w:rPr>
          <w:rFonts w:hint="eastAsia" w:ascii="黑体" w:hAnsi="黑体" w:eastAsia="黑体" w:cs="黑体"/>
          <w:color w:val="auto"/>
          <w:spacing w:val="-7"/>
          <w:sz w:val="24"/>
          <w:szCs w:val="24"/>
          <w:lang w:val="en-US" w:eastAsia="zh-CN"/>
        </w:rPr>
        <w:t xml:space="preserve">                               </w:t>
      </w:r>
      <w:r>
        <w:rPr>
          <w:rFonts w:hint="eastAsia" w:ascii="黑体" w:hAnsi="黑体" w:eastAsia="黑体" w:cs="黑体"/>
          <w:color w:val="auto"/>
          <w:spacing w:val="-7"/>
          <w:sz w:val="24"/>
          <w:szCs w:val="24"/>
        </w:rPr>
        <w:t>项目编号:</w:t>
      </w:r>
    </w:p>
    <w:tbl>
      <w:tblPr>
        <w:tblStyle w:val="22"/>
        <w:tblW w:w="91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2996"/>
        <w:gridCol w:w="2109"/>
        <w:gridCol w:w="2480"/>
      </w:tblGrid>
      <w:tr w14:paraId="4304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jc w:val="center"/>
        </w:trPr>
        <w:tc>
          <w:tcPr>
            <w:tcW w:w="1556" w:type="dxa"/>
            <w:vAlign w:val="top"/>
          </w:tcPr>
          <w:p w14:paraId="3DD5F9AE">
            <w:pPr>
              <w:pageBreakBefore w:val="0"/>
              <w:kinsoku w:val="0"/>
              <w:wordWrap w:val="0"/>
              <w:overflowPunct/>
              <w:topLinePunct w:val="0"/>
              <w:autoSpaceDE/>
              <w:autoSpaceDN/>
              <w:bidi w:val="0"/>
              <w:spacing w:line="333" w:lineRule="auto"/>
              <w:rPr>
                <w:rFonts w:hint="eastAsia" w:ascii="黑体" w:hAnsi="黑体" w:eastAsia="黑体" w:cs="黑体"/>
                <w:color w:val="auto"/>
                <w:sz w:val="21"/>
              </w:rPr>
            </w:pPr>
          </w:p>
          <w:p w14:paraId="72EB5ADE">
            <w:pPr>
              <w:pageBreakBefore w:val="0"/>
              <w:kinsoku w:val="0"/>
              <w:wordWrap w:val="0"/>
              <w:overflowPunct/>
              <w:topLinePunct w:val="0"/>
              <w:autoSpaceDE/>
              <w:autoSpaceDN/>
              <w:bidi w:val="0"/>
              <w:spacing w:line="334" w:lineRule="auto"/>
              <w:rPr>
                <w:rFonts w:hint="eastAsia" w:ascii="黑体" w:hAnsi="黑体" w:eastAsia="黑体" w:cs="黑体"/>
                <w:color w:val="auto"/>
                <w:sz w:val="21"/>
              </w:rPr>
            </w:pPr>
          </w:p>
          <w:p w14:paraId="094F9196">
            <w:pPr>
              <w:pStyle w:val="23"/>
              <w:pageBreakBefore w:val="0"/>
              <w:kinsoku w:val="0"/>
              <w:wordWrap w:val="0"/>
              <w:overflowPunct/>
              <w:topLinePunct w:val="0"/>
              <w:autoSpaceDE/>
              <w:autoSpaceDN/>
              <w:bidi w:val="0"/>
              <w:spacing w:before="78" w:line="222" w:lineRule="auto"/>
              <w:ind w:left="565"/>
              <w:rPr>
                <w:rFonts w:hint="eastAsia" w:ascii="黑体" w:hAnsi="黑体" w:eastAsia="黑体" w:cs="黑体"/>
                <w:color w:val="auto"/>
              </w:rPr>
            </w:pPr>
            <w:r>
              <w:rPr>
                <w:rFonts w:hint="eastAsia" w:ascii="黑体" w:hAnsi="黑体" w:eastAsia="黑体" w:cs="黑体"/>
                <w:color w:val="auto"/>
                <w:spacing w:val="-8"/>
              </w:rPr>
              <w:t>序号</w:t>
            </w:r>
          </w:p>
        </w:tc>
        <w:tc>
          <w:tcPr>
            <w:tcW w:w="2996" w:type="dxa"/>
            <w:vAlign w:val="top"/>
          </w:tcPr>
          <w:p w14:paraId="2F228E92">
            <w:pPr>
              <w:pageBreakBefore w:val="0"/>
              <w:kinsoku w:val="0"/>
              <w:wordWrap w:val="0"/>
              <w:overflowPunct/>
              <w:topLinePunct w:val="0"/>
              <w:autoSpaceDE/>
              <w:autoSpaceDN/>
              <w:bidi w:val="0"/>
              <w:spacing w:line="260" w:lineRule="auto"/>
              <w:rPr>
                <w:rFonts w:hint="eastAsia" w:ascii="黑体" w:hAnsi="黑体" w:eastAsia="黑体" w:cs="黑体"/>
                <w:color w:val="auto"/>
                <w:sz w:val="21"/>
              </w:rPr>
            </w:pPr>
          </w:p>
          <w:p w14:paraId="013F2C61">
            <w:pPr>
              <w:pageBreakBefore w:val="0"/>
              <w:kinsoku w:val="0"/>
              <w:wordWrap w:val="0"/>
              <w:overflowPunct/>
              <w:topLinePunct w:val="0"/>
              <w:autoSpaceDE/>
              <w:autoSpaceDN/>
              <w:bidi w:val="0"/>
              <w:spacing w:line="260" w:lineRule="auto"/>
              <w:rPr>
                <w:rFonts w:hint="eastAsia" w:ascii="黑体" w:hAnsi="黑体" w:eastAsia="黑体" w:cs="黑体"/>
                <w:color w:val="auto"/>
                <w:sz w:val="21"/>
              </w:rPr>
            </w:pPr>
          </w:p>
          <w:p w14:paraId="733BBD82">
            <w:pPr>
              <w:pStyle w:val="23"/>
              <w:pageBreakBefore w:val="0"/>
              <w:kinsoku w:val="0"/>
              <w:wordWrap w:val="0"/>
              <w:overflowPunct/>
              <w:topLinePunct w:val="0"/>
              <w:autoSpaceDE/>
              <w:autoSpaceDN/>
              <w:bidi w:val="0"/>
              <w:spacing w:before="78" w:line="226" w:lineRule="auto"/>
              <w:ind w:left="1045" w:right="418" w:hanging="587"/>
              <w:rPr>
                <w:rFonts w:hint="eastAsia" w:ascii="黑体" w:hAnsi="黑体" w:eastAsia="黑体" w:cs="黑体"/>
                <w:color w:val="auto"/>
              </w:rPr>
            </w:pPr>
            <w:r>
              <w:rPr>
                <w:rFonts w:hint="eastAsia" w:ascii="黑体" w:hAnsi="黑体" w:eastAsia="黑体" w:cs="黑体"/>
                <w:color w:val="auto"/>
                <w:spacing w:val="-6"/>
              </w:rPr>
              <w:t>竞争性磋商采购文件</w:t>
            </w:r>
            <w:r>
              <w:rPr>
                <w:rFonts w:hint="eastAsia" w:ascii="黑体" w:hAnsi="黑体" w:eastAsia="黑体" w:cs="黑体"/>
                <w:color w:val="auto"/>
                <w:spacing w:val="-7"/>
              </w:rPr>
              <w:t>技术条款</w:t>
            </w:r>
          </w:p>
        </w:tc>
        <w:tc>
          <w:tcPr>
            <w:tcW w:w="2109" w:type="dxa"/>
            <w:vAlign w:val="top"/>
          </w:tcPr>
          <w:p w14:paraId="7A5C76C2">
            <w:pPr>
              <w:pageBreakBefore w:val="0"/>
              <w:kinsoku w:val="0"/>
              <w:wordWrap w:val="0"/>
              <w:overflowPunct/>
              <w:topLinePunct w:val="0"/>
              <w:autoSpaceDE/>
              <w:autoSpaceDN/>
              <w:bidi w:val="0"/>
              <w:spacing w:line="264" w:lineRule="auto"/>
              <w:rPr>
                <w:rFonts w:hint="eastAsia" w:ascii="黑体" w:hAnsi="黑体" w:eastAsia="黑体" w:cs="黑体"/>
                <w:color w:val="auto"/>
                <w:sz w:val="21"/>
              </w:rPr>
            </w:pPr>
          </w:p>
          <w:p w14:paraId="52EC81AD">
            <w:pPr>
              <w:pageBreakBefore w:val="0"/>
              <w:kinsoku w:val="0"/>
              <w:wordWrap w:val="0"/>
              <w:overflowPunct/>
              <w:topLinePunct w:val="0"/>
              <w:autoSpaceDE/>
              <w:autoSpaceDN/>
              <w:bidi w:val="0"/>
              <w:spacing w:line="265" w:lineRule="auto"/>
              <w:rPr>
                <w:rFonts w:hint="eastAsia" w:ascii="黑体" w:hAnsi="黑体" w:eastAsia="黑体" w:cs="黑体"/>
                <w:color w:val="auto"/>
                <w:sz w:val="21"/>
              </w:rPr>
            </w:pPr>
          </w:p>
          <w:p w14:paraId="27D33557">
            <w:pPr>
              <w:pStyle w:val="23"/>
              <w:pageBreakBefore w:val="0"/>
              <w:kinsoku w:val="0"/>
              <w:wordWrap w:val="0"/>
              <w:overflowPunct/>
              <w:topLinePunct w:val="0"/>
              <w:autoSpaceDE/>
              <w:autoSpaceDN/>
              <w:bidi w:val="0"/>
              <w:spacing w:before="78" w:line="225" w:lineRule="auto"/>
              <w:ind w:left="619"/>
              <w:rPr>
                <w:rFonts w:hint="eastAsia" w:ascii="黑体" w:hAnsi="黑体" w:eastAsia="黑体" w:cs="黑体"/>
                <w:color w:val="auto"/>
              </w:rPr>
            </w:pPr>
            <w:r>
              <w:rPr>
                <w:rFonts w:hint="eastAsia" w:ascii="黑体" w:hAnsi="黑体" w:eastAsia="黑体" w:cs="黑体"/>
                <w:color w:val="auto"/>
                <w:spacing w:val="-9"/>
              </w:rPr>
              <w:t>响应文件</w:t>
            </w:r>
          </w:p>
          <w:p w14:paraId="5216BFD6">
            <w:pPr>
              <w:pStyle w:val="23"/>
              <w:pageBreakBefore w:val="0"/>
              <w:kinsoku w:val="0"/>
              <w:wordWrap w:val="0"/>
              <w:overflowPunct/>
              <w:topLinePunct w:val="0"/>
              <w:autoSpaceDE/>
              <w:autoSpaceDN/>
              <w:bidi w:val="0"/>
              <w:spacing w:line="222" w:lineRule="auto"/>
              <w:ind w:left="606"/>
              <w:rPr>
                <w:rFonts w:hint="eastAsia" w:ascii="黑体" w:hAnsi="黑体" w:eastAsia="黑体" w:cs="黑体"/>
                <w:color w:val="auto"/>
              </w:rPr>
            </w:pPr>
            <w:r>
              <w:rPr>
                <w:rFonts w:hint="eastAsia" w:ascii="黑体" w:hAnsi="黑体" w:eastAsia="黑体" w:cs="黑体"/>
                <w:color w:val="auto"/>
                <w:spacing w:val="-7"/>
              </w:rPr>
              <w:t>技术条款</w:t>
            </w:r>
          </w:p>
        </w:tc>
        <w:tc>
          <w:tcPr>
            <w:tcW w:w="2480" w:type="dxa"/>
            <w:vAlign w:val="top"/>
          </w:tcPr>
          <w:p w14:paraId="53984645">
            <w:pPr>
              <w:pageBreakBefore w:val="0"/>
              <w:kinsoku w:val="0"/>
              <w:wordWrap w:val="0"/>
              <w:overflowPunct/>
              <w:topLinePunct w:val="0"/>
              <w:autoSpaceDE/>
              <w:autoSpaceDN/>
              <w:bidi w:val="0"/>
              <w:spacing w:line="333" w:lineRule="auto"/>
              <w:rPr>
                <w:rFonts w:hint="eastAsia" w:ascii="黑体" w:hAnsi="黑体" w:eastAsia="黑体" w:cs="黑体"/>
                <w:color w:val="auto"/>
                <w:sz w:val="21"/>
              </w:rPr>
            </w:pPr>
          </w:p>
          <w:p w14:paraId="7785B553">
            <w:pPr>
              <w:pageBreakBefore w:val="0"/>
              <w:kinsoku w:val="0"/>
              <w:wordWrap w:val="0"/>
              <w:overflowPunct/>
              <w:topLinePunct w:val="0"/>
              <w:autoSpaceDE/>
              <w:autoSpaceDN/>
              <w:bidi w:val="0"/>
              <w:spacing w:line="334" w:lineRule="auto"/>
              <w:rPr>
                <w:rFonts w:hint="eastAsia" w:ascii="黑体" w:hAnsi="黑体" w:eastAsia="黑体" w:cs="黑体"/>
                <w:color w:val="auto"/>
                <w:sz w:val="21"/>
              </w:rPr>
            </w:pPr>
          </w:p>
          <w:p w14:paraId="16855894">
            <w:pPr>
              <w:pStyle w:val="23"/>
              <w:pageBreakBefore w:val="0"/>
              <w:kinsoku w:val="0"/>
              <w:wordWrap w:val="0"/>
              <w:overflowPunct/>
              <w:topLinePunct w:val="0"/>
              <w:autoSpaceDE/>
              <w:autoSpaceDN/>
              <w:bidi w:val="0"/>
              <w:spacing w:before="78" w:line="222" w:lineRule="auto"/>
              <w:ind w:left="791"/>
              <w:rPr>
                <w:rFonts w:hint="eastAsia" w:ascii="黑体" w:hAnsi="黑体" w:eastAsia="黑体" w:cs="黑体"/>
                <w:color w:val="auto"/>
              </w:rPr>
            </w:pPr>
            <w:r>
              <w:rPr>
                <w:rFonts w:hint="eastAsia" w:ascii="黑体" w:hAnsi="黑体" w:eastAsia="黑体" w:cs="黑体"/>
                <w:color w:val="auto"/>
                <w:spacing w:val="-7"/>
              </w:rPr>
              <w:t>偏离说明</w:t>
            </w:r>
          </w:p>
        </w:tc>
      </w:tr>
      <w:tr w14:paraId="674EF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556" w:type="dxa"/>
            <w:vAlign w:val="top"/>
          </w:tcPr>
          <w:p w14:paraId="169569C3">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6A24D31A">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4335B384">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4B9043CE">
            <w:pPr>
              <w:pageBreakBefore w:val="0"/>
              <w:kinsoku w:val="0"/>
              <w:wordWrap w:val="0"/>
              <w:overflowPunct/>
              <w:topLinePunct w:val="0"/>
              <w:autoSpaceDE/>
              <w:autoSpaceDN/>
              <w:bidi w:val="0"/>
              <w:rPr>
                <w:rFonts w:hint="eastAsia" w:ascii="黑体" w:hAnsi="黑体" w:eastAsia="黑体" w:cs="黑体"/>
                <w:color w:val="auto"/>
                <w:sz w:val="21"/>
              </w:rPr>
            </w:pPr>
          </w:p>
        </w:tc>
      </w:tr>
      <w:tr w14:paraId="1EA7A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1556" w:type="dxa"/>
            <w:vAlign w:val="top"/>
          </w:tcPr>
          <w:p w14:paraId="408164D9">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1698047D">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774FDB18">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286E9E93">
            <w:pPr>
              <w:pageBreakBefore w:val="0"/>
              <w:kinsoku w:val="0"/>
              <w:wordWrap w:val="0"/>
              <w:overflowPunct/>
              <w:topLinePunct w:val="0"/>
              <w:autoSpaceDE/>
              <w:autoSpaceDN/>
              <w:bidi w:val="0"/>
              <w:rPr>
                <w:rFonts w:hint="eastAsia" w:ascii="黑体" w:hAnsi="黑体" w:eastAsia="黑体" w:cs="黑体"/>
                <w:color w:val="auto"/>
                <w:sz w:val="21"/>
              </w:rPr>
            </w:pPr>
          </w:p>
        </w:tc>
      </w:tr>
      <w:tr w14:paraId="174A4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1556" w:type="dxa"/>
            <w:vAlign w:val="top"/>
          </w:tcPr>
          <w:p w14:paraId="3E0D8817">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619944CC">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621EDE45">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263C152F">
            <w:pPr>
              <w:pageBreakBefore w:val="0"/>
              <w:kinsoku w:val="0"/>
              <w:wordWrap w:val="0"/>
              <w:overflowPunct/>
              <w:topLinePunct w:val="0"/>
              <w:autoSpaceDE/>
              <w:autoSpaceDN/>
              <w:bidi w:val="0"/>
              <w:rPr>
                <w:rFonts w:hint="eastAsia" w:ascii="黑体" w:hAnsi="黑体" w:eastAsia="黑体" w:cs="黑体"/>
                <w:color w:val="auto"/>
                <w:sz w:val="21"/>
              </w:rPr>
            </w:pPr>
          </w:p>
        </w:tc>
      </w:tr>
      <w:tr w14:paraId="6ED3F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556" w:type="dxa"/>
            <w:vAlign w:val="top"/>
          </w:tcPr>
          <w:p w14:paraId="6240FAD6">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3C0EA9BE">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5AC81C6B">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108F771A">
            <w:pPr>
              <w:pageBreakBefore w:val="0"/>
              <w:kinsoku w:val="0"/>
              <w:wordWrap w:val="0"/>
              <w:overflowPunct/>
              <w:topLinePunct w:val="0"/>
              <w:autoSpaceDE/>
              <w:autoSpaceDN/>
              <w:bidi w:val="0"/>
              <w:rPr>
                <w:rFonts w:hint="eastAsia" w:ascii="黑体" w:hAnsi="黑体" w:eastAsia="黑体" w:cs="黑体"/>
                <w:color w:val="auto"/>
                <w:sz w:val="21"/>
              </w:rPr>
            </w:pPr>
          </w:p>
        </w:tc>
      </w:tr>
      <w:tr w14:paraId="72D4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1556" w:type="dxa"/>
            <w:vAlign w:val="top"/>
          </w:tcPr>
          <w:p w14:paraId="23DF027F">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36CA27C1">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0E878EA5">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2BF8B199">
            <w:pPr>
              <w:pageBreakBefore w:val="0"/>
              <w:kinsoku w:val="0"/>
              <w:wordWrap w:val="0"/>
              <w:overflowPunct/>
              <w:topLinePunct w:val="0"/>
              <w:autoSpaceDE/>
              <w:autoSpaceDN/>
              <w:bidi w:val="0"/>
              <w:rPr>
                <w:rFonts w:hint="eastAsia" w:ascii="黑体" w:hAnsi="黑体" w:eastAsia="黑体" w:cs="黑体"/>
                <w:color w:val="auto"/>
                <w:sz w:val="21"/>
              </w:rPr>
            </w:pPr>
          </w:p>
        </w:tc>
      </w:tr>
      <w:tr w14:paraId="5618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1556" w:type="dxa"/>
            <w:vAlign w:val="top"/>
          </w:tcPr>
          <w:p w14:paraId="27228858">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303119C1">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49BC54E8">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5EF348CB">
            <w:pPr>
              <w:pageBreakBefore w:val="0"/>
              <w:kinsoku w:val="0"/>
              <w:wordWrap w:val="0"/>
              <w:overflowPunct/>
              <w:topLinePunct w:val="0"/>
              <w:autoSpaceDE/>
              <w:autoSpaceDN/>
              <w:bidi w:val="0"/>
              <w:rPr>
                <w:rFonts w:hint="eastAsia" w:ascii="黑体" w:hAnsi="黑体" w:eastAsia="黑体" w:cs="黑体"/>
                <w:color w:val="auto"/>
                <w:sz w:val="21"/>
              </w:rPr>
            </w:pPr>
          </w:p>
        </w:tc>
      </w:tr>
      <w:tr w14:paraId="6A5BF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1556" w:type="dxa"/>
            <w:vAlign w:val="top"/>
          </w:tcPr>
          <w:p w14:paraId="717F85F0">
            <w:pPr>
              <w:pageBreakBefore w:val="0"/>
              <w:kinsoku w:val="0"/>
              <w:wordWrap w:val="0"/>
              <w:overflowPunct/>
              <w:topLinePunct w:val="0"/>
              <w:autoSpaceDE/>
              <w:autoSpaceDN/>
              <w:bidi w:val="0"/>
              <w:rPr>
                <w:rFonts w:hint="eastAsia" w:ascii="黑体" w:hAnsi="黑体" w:eastAsia="黑体" w:cs="黑体"/>
                <w:color w:val="auto"/>
                <w:sz w:val="21"/>
              </w:rPr>
            </w:pPr>
          </w:p>
        </w:tc>
        <w:tc>
          <w:tcPr>
            <w:tcW w:w="2996" w:type="dxa"/>
            <w:vAlign w:val="top"/>
          </w:tcPr>
          <w:p w14:paraId="1C27F1BC">
            <w:pPr>
              <w:pageBreakBefore w:val="0"/>
              <w:kinsoku w:val="0"/>
              <w:wordWrap w:val="0"/>
              <w:overflowPunct/>
              <w:topLinePunct w:val="0"/>
              <w:autoSpaceDE/>
              <w:autoSpaceDN/>
              <w:bidi w:val="0"/>
              <w:rPr>
                <w:rFonts w:hint="eastAsia" w:ascii="黑体" w:hAnsi="黑体" w:eastAsia="黑体" w:cs="黑体"/>
                <w:color w:val="auto"/>
                <w:sz w:val="21"/>
              </w:rPr>
            </w:pPr>
          </w:p>
        </w:tc>
        <w:tc>
          <w:tcPr>
            <w:tcW w:w="2109" w:type="dxa"/>
            <w:vAlign w:val="top"/>
          </w:tcPr>
          <w:p w14:paraId="27300EAB">
            <w:pPr>
              <w:pageBreakBefore w:val="0"/>
              <w:kinsoku w:val="0"/>
              <w:wordWrap w:val="0"/>
              <w:overflowPunct/>
              <w:topLinePunct w:val="0"/>
              <w:autoSpaceDE/>
              <w:autoSpaceDN/>
              <w:bidi w:val="0"/>
              <w:rPr>
                <w:rFonts w:hint="eastAsia" w:ascii="黑体" w:hAnsi="黑体" w:eastAsia="黑体" w:cs="黑体"/>
                <w:color w:val="auto"/>
                <w:sz w:val="21"/>
              </w:rPr>
            </w:pPr>
          </w:p>
        </w:tc>
        <w:tc>
          <w:tcPr>
            <w:tcW w:w="2480" w:type="dxa"/>
            <w:vAlign w:val="top"/>
          </w:tcPr>
          <w:p w14:paraId="377CE6EB">
            <w:pPr>
              <w:pageBreakBefore w:val="0"/>
              <w:kinsoku w:val="0"/>
              <w:wordWrap w:val="0"/>
              <w:overflowPunct/>
              <w:topLinePunct w:val="0"/>
              <w:autoSpaceDE/>
              <w:autoSpaceDN/>
              <w:bidi w:val="0"/>
              <w:rPr>
                <w:rFonts w:hint="eastAsia" w:ascii="黑体" w:hAnsi="黑体" w:eastAsia="黑体" w:cs="黑体"/>
                <w:color w:val="auto"/>
                <w:sz w:val="21"/>
              </w:rPr>
            </w:pPr>
          </w:p>
        </w:tc>
      </w:tr>
    </w:tbl>
    <w:p w14:paraId="72D3EC11">
      <w:pPr>
        <w:pStyle w:val="7"/>
        <w:pageBreakBefore w:val="0"/>
        <w:kinsoku w:val="0"/>
        <w:wordWrap w:val="0"/>
        <w:overflowPunct/>
        <w:topLinePunct w:val="0"/>
        <w:autoSpaceDE/>
        <w:autoSpaceDN/>
        <w:bidi w:val="0"/>
        <w:spacing w:before="79" w:line="225" w:lineRule="auto"/>
        <w:ind w:left="0" w:leftChars="0" w:right="1550" w:firstLine="0" w:firstLineChars="0"/>
        <w:rPr>
          <w:rFonts w:hint="eastAsia" w:ascii="黑体" w:hAnsi="黑体" w:eastAsia="黑体" w:cs="黑体"/>
          <w:color w:val="auto"/>
          <w:sz w:val="21"/>
        </w:rPr>
      </w:pPr>
      <w:r>
        <w:rPr>
          <w:rFonts w:hint="eastAsia" w:ascii="黑体" w:hAnsi="黑体" w:eastAsia="黑体" w:cs="黑体"/>
          <w:color w:val="auto"/>
          <w:spacing w:val="-4"/>
          <w:sz w:val="24"/>
          <w:szCs w:val="24"/>
        </w:rPr>
        <w:t>投标人(盖单位公章):</w:t>
      </w:r>
      <w:r>
        <w:rPr>
          <w:rFonts w:hint="eastAsia" w:ascii="黑体" w:hAnsi="黑体" w:eastAsia="黑体" w:cs="黑体"/>
          <w:color w:val="auto"/>
          <w:spacing w:val="-14"/>
          <w:sz w:val="24"/>
          <w:szCs w:val="24"/>
          <w:u w:val="single"/>
          <w:lang w:val="en-US" w:eastAsia="zh-CN"/>
        </w:rPr>
        <w:t xml:space="preserve">                          </w:t>
      </w:r>
    </w:p>
    <w:p w14:paraId="31B3B1E6">
      <w:pPr>
        <w:pStyle w:val="7"/>
        <w:pageBreakBefore w:val="0"/>
        <w:kinsoku w:val="0"/>
        <w:wordWrap w:val="0"/>
        <w:overflowPunct/>
        <w:topLinePunct w:val="0"/>
        <w:autoSpaceDE/>
        <w:autoSpaceDN/>
        <w:bidi w:val="0"/>
        <w:spacing w:before="79" w:line="225" w:lineRule="auto"/>
        <w:ind w:left="0" w:leftChars="0" w:right="1550" w:firstLine="0" w:firstLineChars="0"/>
        <w:rPr>
          <w:rFonts w:hint="eastAsia" w:ascii="黑体" w:hAnsi="黑体" w:eastAsia="黑体" w:cs="黑体"/>
          <w:color w:val="auto"/>
          <w:sz w:val="24"/>
          <w:szCs w:val="24"/>
        </w:rPr>
      </w:pPr>
      <w:r>
        <w:rPr>
          <w:rFonts w:hint="eastAsia" w:ascii="黑体" w:hAnsi="黑体" w:eastAsia="黑体" w:cs="黑体"/>
          <w:color w:val="auto"/>
          <w:spacing w:val="-2"/>
          <w:sz w:val="24"/>
          <w:szCs w:val="24"/>
        </w:rPr>
        <w:t>法定代表人或其委托代理人（签字或盖章）:</w:t>
      </w:r>
      <w:r>
        <w:rPr>
          <w:rFonts w:hint="eastAsia" w:ascii="黑体" w:hAnsi="黑体" w:eastAsia="黑体" w:cs="黑体"/>
          <w:color w:val="auto"/>
          <w:spacing w:val="-14"/>
          <w:sz w:val="24"/>
          <w:szCs w:val="24"/>
          <w:u w:val="single"/>
          <w:lang w:val="en-US" w:eastAsia="zh-CN"/>
        </w:rPr>
        <w:t xml:space="preserve">                          </w:t>
      </w:r>
    </w:p>
    <w:p w14:paraId="3F569561">
      <w:pPr>
        <w:pageBreakBefore w:val="0"/>
        <w:kinsoku w:val="0"/>
        <w:wordWrap w:val="0"/>
        <w:overflowPunct/>
        <w:topLinePunct w:val="0"/>
        <w:autoSpaceDE/>
        <w:autoSpaceDN/>
        <w:bidi w:val="0"/>
        <w:spacing w:line="225" w:lineRule="auto"/>
        <w:rPr>
          <w:rFonts w:hint="eastAsia" w:ascii="黑体" w:hAnsi="黑体" w:eastAsia="黑体" w:cs="黑体"/>
          <w:color w:val="auto"/>
          <w:sz w:val="24"/>
          <w:szCs w:val="24"/>
        </w:rPr>
        <w:sectPr>
          <w:footerReference r:id="rId21" w:type="default"/>
          <w:pgSz w:w="11906" w:h="16840"/>
          <w:pgMar w:top="1431" w:right="1072" w:bottom="1361" w:left="1686" w:header="0" w:footer="1147" w:gutter="0"/>
          <w:pgNumType w:fmt="decimal"/>
          <w:cols w:space="720" w:num="1"/>
        </w:sectPr>
      </w:pPr>
    </w:p>
    <w:p w14:paraId="6DCA1E59">
      <w:pPr>
        <w:pStyle w:val="7"/>
        <w:pageBreakBefore w:val="0"/>
        <w:kinsoku w:val="0"/>
        <w:wordWrap w:val="0"/>
        <w:overflowPunct/>
        <w:topLinePunct w:val="0"/>
        <w:autoSpaceDE/>
        <w:autoSpaceDN/>
        <w:bidi w:val="0"/>
        <w:spacing w:before="240" w:line="198" w:lineRule="auto"/>
        <w:ind w:left="2572"/>
        <w:rPr>
          <w:rFonts w:hint="eastAsia" w:ascii="黑体" w:hAnsi="黑体" w:eastAsia="黑体" w:cs="黑体"/>
          <w:color w:val="auto"/>
          <w:sz w:val="28"/>
          <w:szCs w:val="28"/>
        </w:rPr>
      </w:pPr>
      <w:r>
        <w:rPr>
          <w:rFonts w:hint="eastAsia" w:ascii="黑体" w:hAnsi="黑体" w:eastAsia="黑体" w:cs="黑体"/>
          <w:b/>
          <w:bCs/>
          <w:color w:val="auto"/>
          <w:spacing w:val="-12"/>
          <w:sz w:val="28"/>
          <w:szCs w:val="28"/>
        </w:rPr>
        <w:t>6-1</w:t>
      </w:r>
      <w:r>
        <w:rPr>
          <w:rFonts w:hint="eastAsia" w:ascii="黑体" w:hAnsi="黑体" w:eastAsia="黑体" w:cs="黑体"/>
          <w:color w:val="auto"/>
          <w:spacing w:val="51"/>
          <w:sz w:val="28"/>
          <w:szCs w:val="28"/>
          <w:lang w:eastAsia="zh-CN"/>
        </w:rPr>
        <w:t>、</w:t>
      </w:r>
      <w:r>
        <w:rPr>
          <w:rFonts w:hint="eastAsia" w:ascii="黑体" w:hAnsi="黑体" w:eastAsia="黑体" w:cs="黑体"/>
          <w:b/>
          <w:bCs/>
          <w:color w:val="auto"/>
          <w:spacing w:val="-12"/>
          <w:sz w:val="28"/>
          <w:szCs w:val="28"/>
        </w:rPr>
        <w:t>中小企业声明函(服务）</w:t>
      </w:r>
    </w:p>
    <w:p w14:paraId="29D472AC">
      <w:pPr>
        <w:pageBreakBefore w:val="0"/>
        <w:kinsoku w:val="0"/>
        <w:wordWrap w:val="0"/>
        <w:overflowPunct/>
        <w:topLinePunct w:val="0"/>
        <w:autoSpaceDE/>
        <w:autoSpaceDN/>
        <w:bidi w:val="0"/>
        <w:spacing w:line="281" w:lineRule="auto"/>
        <w:rPr>
          <w:rFonts w:hint="eastAsia" w:ascii="黑体" w:hAnsi="黑体" w:eastAsia="黑体" w:cs="黑体"/>
          <w:color w:val="auto"/>
          <w:sz w:val="21"/>
        </w:rPr>
      </w:pPr>
    </w:p>
    <w:p w14:paraId="2A4BD7EC">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480" w:firstLineChars="200"/>
        <w:jc w:val="lef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本公司郑重声明，根据《政府采购促进中小企业发展管理办法》（财库[2020]46号）的规定，本公司参加（单位名称）的（项目名称）采购活动，</w:t>
      </w:r>
      <w:r>
        <w:rPr>
          <w:rFonts w:hint="eastAsia" w:ascii="黑体" w:hAnsi="黑体" w:eastAsia="黑体" w:cs="黑体"/>
          <w:i w:val="0"/>
          <w:iCs w:val="0"/>
          <w:caps w:val="0"/>
          <w:color w:val="auto"/>
          <w:spacing w:val="0"/>
          <w:sz w:val="24"/>
          <w:szCs w:val="24"/>
          <w:lang w:eastAsia="zh-CN"/>
        </w:rPr>
        <w:t>服务全部由符合政策的中小企业承接</w:t>
      </w:r>
      <w:r>
        <w:rPr>
          <w:rFonts w:hint="eastAsia" w:ascii="黑体" w:hAnsi="黑体" w:eastAsia="黑体" w:cs="黑体"/>
          <w:i w:val="0"/>
          <w:iCs w:val="0"/>
          <w:caps w:val="0"/>
          <w:color w:val="auto"/>
          <w:spacing w:val="0"/>
          <w:sz w:val="24"/>
          <w:szCs w:val="24"/>
        </w:rPr>
        <w:t>。相关企业的具体情况如下：</w:t>
      </w:r>
    </w:p>
    <w:p w14:paraId="02C78563">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0"/>
        <w:jc w:val="lef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1.</w:t>
      </w:r>
      <w:r>
        <w:rPr>
          <w:rFonts w:hint="eastAsia" w:ascii="黑体" w:hAnsi="黑体" w:eastAsia="黑体" w:cs="黑体"/>
          <w:i w:val="0"/>
          <w:iCs w:val="0"/>
          <w:caps w:val="0"/>
          <w:color w:val="auto"/>
          <w:spacing w:val="0"/>
          <w:sz w:val="24"/>
          <w:szCs w:val="24"/>
          <w:u w:val="single"/>
        </w:rPr>
        <w:t>（标的名称），</w:t>
      </w:r>
      <w:r>
        <w:rPr>
          <w:rFonts w:hint="eastAsia" w:ascii="黑体" w:hAnsi="黑体" w:eastAsia="黑体" w:cs="黑体"/>
          <w:i w:val="0"/>
          <w:iCs w:val="0"/>
          <w:caps w:val="0"/>
          <w:color w:val="auto"/>
          <w:spacing w:val="0"/>
          <w:sz w:val="24"/>
          <w:szCs w:val="24"/>
        </w:rPr>
        <w:t>属于</w:t>
      </w:r>
      <w:r>
        <w:rPr>
          <w:rFonts w:hint="eastAsia" w:ascii="黑体" w:hAnsi="黑体" w:eastAsia="黑体" w:cs="黑体"/>
          <w:i w:val="0"/>
          <w:iCs w:val="0"/>
          <w:caps w:val="0"/>
          <w:color w:val="auto"/>
          <w:spacing w:val="0"/>
          <w:sz w:val="24"/>
          <w:szCs w:val="24"/>
          <w:u w:val="single"/>
        </w:rPr>
        <w:t>（采购文件中明确的所属行业）</w:t>
      </w:r>
      <w:r>
        <w:rPr>
          <w:rFonts w:hint="eastAsia" w:ascii="黑体" w:hAnsi="黑体" w:eastAsia="黑体" w:cs="黑体"/>
          <w:i w:val="0"/>
          <w:iCs w:val="0"/>
          <w:caps w:val="0"/>
          <w:color w:val="auto"/>
          <w:spacing w:val="0"/>
          <w:sz w:val="24"/>
          <w:szCs w:val="24"/>
        </w:rPr>
        <w:t>；</w:t>
      </w:r>
      <w:r>
        <w:rPr>
          <w:rFonts w:hint="eastAsia" w:ascii="黑体" w:hAnsi="黑体" w:eastAsia="黑体" w:cs="黑体"/>
          <w:i w:val="0"/>
          <w:iCs w:val="0"/>
          <w:caps w:val="0"/>
          <w:color w:val="auto"/>
          <w:spacing w:val="0"/>
          <w:sz w:val="24"/>
          <w:szCs w:val="24"/>
          <w:lang w:eastAsia="zh-CN"/>
        </w:rPr>
        <w:t>承接企业为</w:t>
      </w:r>
      <w:r>
        <w:rPr>
          <w:rFonts w:hint="eastAsia" w:ascii="黑体" w:hAnsi="黑体" w:eastAsia="黑体" w:cs="黑体"/>
          <w:i w:val="0"/>
          <w:iCs w:val="0"/>
          <w:caps w:val="0"/>
          <w:color w:val="auto"/>
          <w:spacing w:val="0"/>
          <w:sz w:val="24"/>
          <w:szCs w:val="24"/>
          <w:u w:val="single"/>
        </w:rPr>
        <w:t>（企业名称）</w:t>
      </w:r>
      <w:r>
        <w:rPr>
          <w:rFonts w:hint="eastAsia" w:ascii="黑体" w:hAnsi="黑体" w:eastAsia="黑体" w:cs="黑体"/>
          <w:i w:val="0"/>
          <w:iCs w:val="0"/>
          <w:caps w:val="0"/>
          <w:color w:val="auto"/>
          <w:spacing w:val="0"/>
          <w:sz w:val="24"/>
          <w:szCs w:val="24"/>
        </w:rPr>
        <w:t>，从业人员人，营业收入为</w:t>
      </w:r>
      <w:r>
        <w:rPr>
          <w:rFonts w:hint="eastAsia" w:ascii="黑体" w:hAnsi="黑体" w:eastAsia="黑体" w:cs="黑体"/>
          <w:b/>
          <w:bCs/>
          <w:i w:val="0"/>
          <w:iCs w:val="0"/>
          <w:caps w:val="0"/>
          <w:color w:val="auto"/>
          <w:spacing w:val="0"/>
          <w:sz w:val="24"/>
          <w:szCs w:val="24"/>
        </w:rPr>
        <w:t>万元</w:t>
      </w:r>
      <w:r>
        <w:rPr>
          <w:rFonts w:hint="eastAsia" w:ascii="黑体" w:hAnsi="黑体" w:eastAsia="黑体" w:cs="黑体"/>
          <w:i w:val="0"/>
          <w:iCs w:val="0"/>
          <w:caps w:val="0"/>
          <w:color w:val="auto"/>
          <w:spacing w:val="0"/>
          <w:sz w:val="24"/>
          <w:szCs w:val="24"/>
        </w:rPr>
        <w:t>，资产总额为</w:t>
      </w:r>
      <w:r>
        <w:rPr>
          <w:rFonts w:hint="eastAsia" w:ascii="黑体" w:hAnsi="黑体" w:eastAsia="黑体" w:cs="黑体"/>
          <w:b/>
          <w:bCs/>
          <w:i w:val="0"/>
          <w:iCs w:val="0"/>
          <w:caps w:val="0"/>
          <w:color w:val="auto"/>
          <w:spacing w:val="0"/>
          <w:sz w:val="24"/>
          <w:szCs w:val="24"/>
        </w:rPr>
        <w:t>万元</w:t>
      </w:r>
      <w:r>
        <w:rPr>
          <w:rFonts w:hint="eastAsia" w:ascii="黑体" w:hAnsi="黑体" w:eastAsia="黑体" w:cs="黑体"/>
          <w:i w:val="0"/>
          <w:iCs w:val="0"/>
          <w:caps w:val="0"/>
          <w:color w:val="auto"/>
          <w:spacing w:val="0"/>
          <w:sz w:val="24"/>
          <w:szCs w:val="24"/>
        </w:rPr>
        <w:t>，属于（中型企业、小型企业、微型企业）；</w:t>
      </w:r>
    </w:p>
    <w:p w14:paraId="30C9629B">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0"/>
        <w:jc w:val="lef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2.</w:t>
      </w:r>
      <w:r>
        <w:rPr>
          <w:rFonts w:hint="eastAsia" w:ascii="黑体" w:hAnsi="黑体" w:eastAsia="黑体" w:cs="黑体"/>
          <w:i w:val="0"/>
          <w:iCs w:val="0"/>
          <w:caps w:val="0"/>
          <w:color w:val="auto"/>
          <w:spacing w:val="0"/>
          <w:sz w:val="24"/>
          <w:szCs w:val="24"/>
          <w:u w:val="single"/>
        </w:rPr>
        <w:t>（标的名称</w:t>
      </w:r>
      <w:r>
        <w:rPr>
          <w:rFonts w:hint="eastAsia" w:ascii="黑体" w:hAnsi="黑体" w:eastAsia="黑体" w:cs="黑体"/>
          <w:i w:val="0"/>
          <w:iCs w:val="0"/>
          <w:caps w:val="0"/>
          <w:color w:val="auto"/>
          <w:spacing w:val="0"/>
          <w:sz w:val="24"/>
          <w:szCs w:val="24"/>
          <w:u w:val="single"/>
          <w:lang w:eastAsia="zh-CN"/>
        </w:rPr>
        <w:t>）</w:t>
      </w:r>
      <w:r>
        <w:rPr>
          <w:rFonts w:hint="eastAsia" w:ascii="黑体" w:hAnsi="黑体" w:eastAsia="黑体" w:cs="黑体"/>
          <w:i w:val="0"/>
          <w:iCs w:val="0"/>
          <w:caps w:val="0"/>
          <w:color w:val="auto"/>
          <w:spacing w:val="0"/>
          <w:sz w:val="24"/>
          <w:szCs w:val="24"/>
        </w:rPr>
        <w:t>，属于（</w:t>
      </w:r>
      <w:r>
        <w:rPr>
          <w:rFonts w:hint="eastAsia" w:ascii="黑体" w:hAnsi="黑体" w:eastAsia="黑体" w:cs="黑体"/>
          <w:i w:val="0"/>
          <w:iCs w:val="0"/>
          <w:caps w:val="0"/>
          <w:color w:val="auto"/>
          <w:spacing w:val="0"/>
          <w:sz w:val="24"/>
          <w:szCs w:val="24"/>
          <w:u w:val="single"/>
        </w:rPr>
        <w:t>采购文件中明确的所属行业</w:t>
      </w:r>
      <w:r>
        <w:rPr>
          <w:rFonts w:hint="eastAsia" w:ascii="黑体" w:hAnsi="黑体" w:eastAsia="黑体" w:cs="黑体"/>
          <w:i w:val="0"/>
          <w:iCs w:val="0"/>
          <w:caps w:val="0"/>
          <w:color w:val="auto"/>
          <w:spacing w:val="0"/>
          <w:sz w:val="24"/>
          <w:szCs w:val="24"/>
        </w:rPr>
        <w:t>）；</w:t>
      </w:r>
      <w:r>
        <w:rPr>
          <w:rFonts w:hint="eastAsia" w:ascii="黑体" w:hAnsi="黑体" w:eastAsia="黑体" w:cs="黑体"/>
          <w:i w:val="0"/>
          <w:iCs w:val="0"/>
          <w:caps w:val="0"/>
          <w:color w:val="auto"/>
          <w:spacing w:val="0"/>
          <w:sz w:val="24"/>
          <w:szCs w:val="24"/>
          <w:lang w:eastAsia="zh-CN"/>
        </w:rPr>
        <w:t>承接企业为</w:t>
      </w:r>
      <w:r>
        <w:rPr>
          <w:rFonts w:hint="eastAsia" w:ascii="黑体" w:hAnsi="黑体" w:eastAsia="黑体" w:cs="黑体"/>
          <w:i w:val="0"/>
          <w:iCs w:val="0"/>
          <w:caps w:val="0"/>
          <w:color w:val="auto"/>
          <w:spacing w:val="0"/>
          <w:sz w:val="24"/>
          <w:szCs w:val="24"/>
        </w:rPr>
        <w:t>（企业名称</w:t>
      </w:r>
      <w:r>
        <w:rPr>
          <w:rFonts w:hint="eastAsia" w:ascii="黑体" w:hAnsi="黑体" w:eastAsia="黑体" w:cs="黑体"/>
          <w:i w:val="0"/>
          <w:iCs w:val="0"/>
          <w:caps w:val="0"/>
          <w:color w:val="auto"/>
          <w:spacing w:val="0"/>
          <w:sz w:val="24"/>
          <w:szCs w:val="24"/>
          <w:lang w:eastAsia="zh-CN"/>
        </w:rPr>
        <w:t>），</w:t>
      </w:r>
      <w:r>
        <w:rPr>
          <w:rFonts w:hint="eastAsia" w:ascii="黑体" w:hAnsi="黑体" w:eastAsia="黑体" w:cs="黑体"/>
          <w:i w:val="0"/>
          <w:iCs w:val="0"/>
          <w:caps w:val="0"/>
          <w:color w:val="auto"/>
          <w:spacing w:val="0"/>
          <w:sz w:val="24"/>
          <w:szCs w:val="24"/>
        </w:rPr>
        <w:t>从业人员人，营业收入为</w:t>
      </w:r>
      <w:r>
        <w:rPr>
          <w:rFonts w:hint="eastAsia" w:ascii="黑体" w:hAnsi="黑体" w:eastAsia="黑体" w:cs="黑体"/>
          <w:b/>
          <w:bCs/>
          <w:i w:val="0"/>
          <w:iCs w:val="0"/>
          <w:caps w:val="0"/>
          <w:color w:val="auto"/>
          <w:spacing w:val="0"/>
          <w:sz w:val="24"/>
          <w:szCs w:val="24"/>
        </w:rPr>
        <w:t>万元</w:t>
      </w:r>
      <w:r>
        <w:rPr>
          <w:rFonts w:hint="eastAsia" w:ascii="黑体" w:hAnsi="黑体" w:eastAsia="黑体" w:cs="黑体"/>
          <w:i w:val="0"/>
          <w:iCs w:val="0"/>
          <w:caps w:val="0"/>
          <w:color w:val="auto"/>
          <w:spacing w:val="0"/>
          <w:sz w:val="24"/>
          <w:szCs w:val="24"/>
        </w:rPr>
        <w:t>，资产总额为</w:t>
      </w:r>
      <w:r>
        <w:rPr>
          <w:rFonts w:hint="eastAsia" w:ascii="黑体" w:hAnsi="黑体" w:eastAsia="黑体" w:cs="黑体"/>
          <w:b/>
          <w:bCs/>
          <w:i w:val="0"/>
          <w:iCs w:val="0"/>
          <w:caps w:val="0"/>
          <w:color w:val="auto"/>
          <w:spacing w:val="0"/>
          <w:sz w:val="24"/>
          <w:szCs w:val="24"/>
        </w:rPr>
        <w:t>万元</w:t>
      </w:r>
      <w:r>
        <w:rPr>
          <w:rFonts w:hint="eastAsia" w:ascii="黑体" w:hAnsi="黑体" w:eastAsia="黑体" w:cs="黑体"/>
          <w:i w:val="0"/>
          <w:iCs w:val="0"/>
          <w:caps w:val="0"/>
          <w:color w:val="auto"/>
          <w:spacing w:val="0"/>
          <w:sz w:val="24"/>
          <w:szCs w:val="24"/>
        </w:rPr>
        <w:t>，属于（中型企业、小型企业、微型企业）；</w:t>
      </w:r>
    </w:p>
    <w:p w14:paraId="23181D60">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0"/>
        <w:jc w:val="lef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w:t>
      </w:r>
    </w:p>
    <w:p w14:paraId="4E581FBA">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0"/>
        <w:jc w:val="lef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以上企业，不属于大企业的分支机构，不存在控股股东为大企业的情形，也不存在与大企业的负责人为同一人的情形。</w:t>
      </w:r>
    </w:p>
    <w:p w14:paraId="2CF68225">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0"/>
        <w:jc w:val="lef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本企业对上述声明内容的真实性负责。如有虚假，将依法承担相应责任。</w:t>
      </w:r>
    </w:p>
    <w:p w14:paraId="58D3172B">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420" w:lineRule="atLeast"/>
        <w:ind w:left="0" w:right="0" w:firstLine="0"/>
        <w:rPr>
          <w:rFonts w:hint="eastAsia" w:ascii="黑体" w:hAnsi="黑体" w:eastAsia="黑体" w:cs="黑体"/>
          <w:i w:val="0"/>
          <w:iCs w:val="0"/>
          <w:caps w:val="0"/>
          <w:color w:val="auto"/>
          <w:spacing w:val="0"/>
          <w:sz w:val="24"/>
          <w:szCs w:val="24"/>
        </w:rPr>
      </w:pPr>
    </w:p>
    <w:p w14:paraId="23FE6318">
      <w:pPr>
        <w:pStyle w:val="14"/>
        <w:keepNext w:val="0"/>
        <w:keepLines w:val="0"/>
        <w:pageBreakBefore w:val="0"/>
        <w:widowControl/>
        <w:suppressLineNumbers w:val="0"/>
        <w:kinsoku w:val="0"/>
        <w:wordWrap w:val="0"/>
        <w:overflowPunct/>
        <w:topLinePunct w:val="0"/>
        <w:autoSpaceDE/>
        <w:autoSpaceDN/>
        <w:bidi w:val="0"/>
        <w:spacing w:before="75" w:beforeAutospacing="0" w:after="75" w:afterAutospacing="0" w:line="360" w:lineRule="auto"/>
        <w:ind w:left="0" w:right="0" w:firstLine="0"/>
        <w:jc w:val="right"/>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rPr>
        <w:t>企业名称（</w:t>
      </w:r>
      <w:r>
        <w:rPr>
          <w:rFonts w:hint="eastAsia" w:ascii="黑体" w:hAnsi="黑体" w:eastAsia="黑体" w:cs="黑体"/>
          <w:i w:val="0"/>
          <w:iCs w:val="0"/>
          <w:caps w:val="0"/>
          <w:color w:val="auto"/>
          <w:spacing w:val="0"/>
          <w:sz w:val="24"/>
          <w:szCs w:val="24"/>
          <w:lang w:eastAsia="zh-CN"/>
        </w:rPr>
        <w:t>加</w:t>
      </w:r>
      <w:r>
        <w:rPr>
          <w:rFonts w:hint="eastAsia" w:ascii="黑体" w:hAnsi="黑体" w:eastAsia="黑体" w:cs="黑体"/>
          <w:i w:val="0"/>
          <w:iCs w:val="0"/>
          <w:caps w:val="0"/>
          <w:color w:val="auto"/>
          <w:spacing w:val="0"/>
          <w:sz w:val="24"/>
          <w:szCs w:val="24"/>
        </w:rPr>
        <w:t>盖</w:t>
      </w:r>
      <w:r>
        <w:rPr>
          <w:rFonts w:hint="eastAsia" w:ascii="黑体" w:hAnsi="黑体" w:eastAsia="黑体" w:cs="黑体"/>
          <w:i w:val="0"/>
          <w:iCs w:val="0"/>
          <w:caps w:val="0"/>
          <w:color w:val="auto"/>
          <w:spacing w:val="0"/>
          <w:sz w:val="24"/>
          <w:szCs w:val="24"/>
          <w:lang w:eastAsia="zh-CN"/>
        </w:rPr>
        <w:t>公</w:t>
      </w:r>
      <w:r>
        <w:rPr>
          <w:rFonts w:hint="eastAsia" w:ascii="黑体" w:hAnsi="黑体" w:eastAsia="黑体" w:cs="黑体"/>
          <w:i w:val="0"/>
          <w:iCs w:val="0"/>
          <w:caps w:val="0"/>
          <w:color w:val="auto"/>
          <w:spacing w:val="0"/>
          <w:sz w:val="24"/>
          <w:szCs w:val="24"/>
        </w:rPr>
        <w:t>章）：</w:t>
      </w:r>
    </w:p>
    <w:p w14:paraId="1D56452A">
      <w:pPr>
        <w:pageBreakBefore w:val="0"/>
        <w:kinsoku w:val="0"/>
        <w:wordWrap w:val="0"/>
        <w:overflowPunct/>
        <w:topLinePunct w:val="0"/>
        <w:autoSpaceDE/>
        <w:autoSpaceDN/>
        <w:bidi w:val="0"/>
        <w:spacing w:line="360" w:lineRule="auto"/>
        <w:ind w:left="0"/>
        <w:jc w:val="right"/>
        <w:rPr>
          <w:rFonts w:hint="eastAsia" w:ascii="黑体" w:hAnsi="黑体" w:eastAsia="黑体" w:cs="黑体"/>
          <w:color w:val="auto"/>
          <w:sz w:val="24"/>
          <w:szCs w:val="24"/>
        </w:rPr>
      </w:pPr>
      <w:r>
        <w:rPr>
          <w:rFonts w:hint="eastAsia" w:ascii="黑体" w:hAnsi="黑体" w:eastAsia="黑体" w:cs="黑体"/>
          <w:color w:val="auto"/>
          <w:spacing w:val="-5"/>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年</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日</w:t>
      </w:r>
    </w:p>
    <w:p w14:paraId="08AE73BD">
      <w:pPr>
        <w:pageBreakBefore w:val="0"/>
        <w:kinsoku w:val="0"/>
        <w:wordWrap w:val="0"/>
        <w:overflowPunct/>
        <w:topLinePunct w:val="0"/>
        <w:autoSpaceDE/>
        <w:autoSpaceDN/>
        <w:bidi w:val="0"/>
        <w:spacing w:line="360" w:lineRule="auto"/>
        <w:jc w:val="both"/>
        <w:textAlignment w:val="auto"/>
        <w:rPr>
          <w:rFonts w:hint="eastAsia" w:ascii="黑体" w:hAnsi="黑体" w:eastAsia="黑体" w:cs="黑体"/>
          <w:color w:val="auto"/>
          <w:kern w:val="2"/>
          <w:sz w:val="24"/>
          <w:szCs w:val="20"/>
          <w:highlight w:val="none"/>
          <w:lang w:val="en-US" w:eastAsia="zh-CN" w:bidi="ar-SA"/>
        </w:rPr>
      </w:pPr>
      <w:r>
        <w:rPr>
          <w:rFonts w:hint="eastAsia" w:ascii="黑体" w:hAnsi="黑体" w:eastAsia="黑体" w:cs="黑体"/>
          <w:color w:val="auto"/>
          <w:kern w:val="2"/>
          <w:sz w:val="24"/>
          <w:szCs w:val="20"/>
          <w:highlight w:val="none"/>
          <w:lang w:val="en-US" w:eastAsia="zh-CN" w:bidi="ar-SA"/>
        </w:rPr>
        <w:t>1、从业人员、营业收入、资产总额填报上一年度数据，无上一年度数据的新成立企业可不填报。</w:t>
      </w:r>
    </w:p>
    <w:p w14:paraId="561862B5">
      <w:pPr>
        <w:pageBreakBefore w:val="0"/>
        <w:kinsoku w:val="0"/>
        <w:wordWrap w:val="0"/>
        <w:overflowPunct/>
        <w:topLinePunct w:val="0"/>
        <w:autoSpaceDE/>
        <w:autoSpaceDN/>
        <w:bidi w:val="0"/>
        <w:spacing w:line="360" w:lineRule="auto"/>
        <w:rPr>
          <w:rFonts w:hint="eastAsia" w:ascii="黑体" w:hAnsi="黑体" w:eastAsia="黑体" w:cs="黑体"/>
          <w:b/>
          <w:bCs/>
          <w:color w:val="auto"/>
          <w:kern w:val="2"/>
          <w:sz w:val="24"/>
          <w:szCs w:val="20"/>
          <w:highlight w:val="none"/>
          <w:lang w:val="en-US" w:eastAsia="zh-CN" w:bidi="ar-SA"/>
        </w:rPr>
      </w:pPr>
      <w:r>
        <w:rPr>
          <w:rFonts w:hint="eastAsia" w:ascii="黑体" w:hAnsi="黑体" w:eastAsia="黑体" w:cs="黑体"/>
          <w:b/>
          <w:bCs/>
          <w:color w:val="auto"/>
          <w:kern w:val="2"/>
          <w:sz w:val="24"/>
          <w:szCs w:val="20"/>
          <w:highlight w:val="none"/>
          <w:lang w:val="en-US" w:eastAsia="zh-CN" w:bidi="ar-SA"/>
        </w:rPr>
        <w:t>注：1、潜在投标企业属于中小微企业的，请在投标文件中提供“中小企业声明函”，如果未提供或提供虛假的“中小企业声明函”，投标企业将承担由此造成的一切不利后果。</w:t>
      </w:r>
    </w:p>
    <w:p w14:paraId="27425A89">
      <w:pPr>
        <w:pageBreakBefore w:val="0"/>
        <w:kinsoku w:val="0"/>
        <w:wordWrap w:val="0"/>
        <w:overflowPunct/>
        <w:topLinePunct w:val="0"/>
        <w:autoSpaceDE/>
        <w:autoSpaceDN/>
        <w:bidi w:val="0"/>
        <w:ind w:left="367" w:leftChars="0" w:hanging="367" w:hangingChars="175"/>
        <w:rPr>
          <w:rFonts w:hint="eastAsia" w:ascii="黑体" w:hAnsi="黑体" w:eastAsia="黑体" w:cs="黑体"/>
          <w:color w:val="auto"/>
          <w:lang w:val="en-US" w:eastAsia="zh-CN"/>
        </w:rPr>
      </w:pPr>
    </w:p>
    <w:p w14:paraId="72B93F0A">
      <w:pPr>
        <w:pageBreakBefore w:val="0"/>
        <w:kinsoku w:val="0"/>
        <w:wordWrap w:val="0"/>
        <w:overflowPunct/>
        <w:topLinePunct w:val="0"/>
        <w:autoSpaceDE/>
        <w:autoSpaceDN/>
        <w:bidi w:val="0"/>
        <w:spacing w:line="257" w:lineRule="auto"/>
        <w:rPr>
          <w:rFonts w:hint="eastAsia" w:ascii="黑体" w:hAnsi="黑体" w:eastAsia="黑体" w:cs="黑体"/>
          <w:color w:val="auto"/>
          <w:sz w:val="21"/>
        </w:rPr>
      </w:pPr>
    </w:p>
    <w:p w14:paraId="5CFA1FFD">
      <w:pPr>
        <w:pageBreakBefore w:val="0"/>
        <w:kinsoku w:val="0"/>
        <w:wordWrap w:val="0"/>
        <w:overflowPunct/>
        <w:topLinePunct w:val="0"/>
        <w:autoSpaceDE/>
        <w:autoSpaceDN/>
        <w:bidi w:val="0"/>
        <w:spacing w:line="258" w:lineRule="auto"/>
        <w:rPr>
          <w:rFonts w:hint="eastAsia" w:ascii="黑体" w:hAnsi="黑体" w:eastAsia="黑体" w:cs="黑体"/>
          <w:color w:val="auto"/>
          <w:sz w:val="21"/>
        </w:rPr>
      </w:pPr>
    </w:p>
    <w:p w14:paraId="24FA410D">
      <w:pPr>
        <w:pageBreakBefore w:val="0"/>
        <w:kinsoku w:val="0"/>
        <w:wordWrap w:val="0"/>
        <w:overflowPunct/>
        <w:topLinePunct w:val="0"/>
        <w:autoSpaceDE/>
        <w:autoSpaceDN/>
        <w:bidi w:val="0"/>
        <w:spacing w:line="258" w:lineRule="auto"/>
        <w:rPr>
          <w:rFonts w:hint="eastAsia" w:ascii="黑体" w:hAnsi="黑体" w:eastAsia="黑体" w:cs="黑体"/>
          <w:color w:val="auto"/>
          <w:sz w:val="21"/>
        </w:rPr>
      </w:pPr>
    </w:p>
    <w:p w14:paraId="11531EC3">
      <w:pPr>
        <w:pageBreakBefore w:val="0"/>
        <w:kinsoku w:val="0"/>
        <w:wordWrap w:val="0"/>
        <w:overflowPunct/>
        <w:topLinePunct w:val="0"/>
        <w:autoSpaceDE/>
        <w:autoSpaceDN/>
        <w:bidi w:val="0"/>
        <w:jc w:val="left"/>
        <w:rPr>
          <w:rFonts w:hint="eastAsia" w:ascii="黑体" w:hAnsi="黑体" w:eastAsia="黑体" w:cs="黑体"/>
          <w:b/>
          <w:bCs/>
          <w:color w:val="auto"/>
          <w:kern w:val="0"/>
          <w:sz w:val="24"/>
          <w:szCs w:val="24"/>
          <w:highlight w:val="none"/>
        </w:rPr>
      </w:pPr>
    </w:p>
    <w:p w14:paraId="5B40DD8A">
      <w:pPr>
        <w:pageBreakBefore w:val="0"/>
        <w:kinsoku w:val="0"/>
        <w:wordWrap w:val="0"/>
        <w:overflowPunct/>
        <w:topLinePunct w:val="0"/>
        <w:autoSpaceDE/>
        <w:autoSpaceDN/>
        <w:bidi w:val="0"/>
        <w:jc w:val="left"/>
        <w:rPr>
          <w:rFonts w:hint="eastAsia" w:ascii="黑体" w:hAnsi="黑体" w:eastAsia="黑体" w:cs="黑体"/>
          <w:b/>
          <w:bCs/>
          <w:color w:val="auto"/>
          <w:kern w:val="0"/>
          <w:sz w:val="24"/>
          <w:szCs w:val="24"/>
          <w:highlight w:val="none"/>
        </w:rPr>
      </w:pPr>
    </w:p>
    <w:p w14:paraId="579B91E9">
      <w:pPr>
        <w:pageBreakBefore w:val="0"/>
        <w:kinsoku w:val="0"/>
        <w:wordWrap w:val="0"/>
        <w:overflowPunct/>
        <w:topLinePunct w:val="0"/>
        <w:autoSpaceDE/>
        <w:autoSpaceDN/>
        <w:bidi w:val="0"/>
        <w:jc w:val="left"/>
        <w:rPr>
          <w:rFonts w:hint="eastAsia" w:ascii="黑体" w:hAnsi="黑体" w:eastAsia="黑体" w:cs="黑体"/>
          <w:b/>
          <w:bCs/>
          <w:color w:val="auto"/>
          <w:kern w:val="0"/>
          <w:sz w:val="24"/>
          <w:szCs w:val="24"/>
          <w:highlight w:val="none"/>
        </w:rPr>
      </w:pPr>
    </w:p>
    <w:p w14:paraId="7F1741FD">
      <w:pPr>
        <w:pageBreakBefore w:val="0"/>
        <w:kinsoku w:val="0"/>
        <w:wordWrap w:val="0"/>
        <w:overflowPunct/>
        <w:topLinePunct w:val="0"/>
        <w:autoSpaceDE/>
        <w:autoSpaceDN/>
        <w:bidi w:val="0"/>
        <w:jc w:val="left"/>
        <w:rPr>
          <w:rFonts w:hint="eastAsia" w:ascii="黑体" w:hAnsi="黑体" w:eastAsia="黑体" w:cs="黑体"/>
          <w:b/>
          <w:bCs/>
          <w:color w:val="auto"/>
          <w:kern w:val="0"/>
          <w:sz w:val="24"/>
          <w:szCs w:val="24"/>
          <w:highlight w:val="none"/>
        </w:rPr>
      </w:pPr>
    </w:p>
    <w:p w14:paraId="5A28CF9E">
      <w:pPr>
        <w:pageBreakBefore w:val="0"/>
        <w:kinsoku w:val="0"/>
        <w:wordWrap w:val="0"/>
        <w:overflowPunct/>
        <w:topLinePunct w:val="0"/>
        <w:autoSpaceDE/>
        <w:autoSpaceDN/>
        <w:bidi w:val="0"/>
        <w:jc w:val="left"/>
        <w:rPr>
          <w:rFonts w:hint="eastAsia" w:ascii="黑体" w:hAnsi="黑体" w:eastAsia="黑体" w:cs="黑体"/>
          <w:b/>
          <w:bCs/>
          <w:color w:val="auto"/>
          <w:kern w:val="0"/>
          <w:sz w:val="24"/>
          <w:szCs w:val="24"/>
          <w:highlight w:val="none"/>
        </w:rPr>
      </w:pPr>
    </w:p>
    <w:p w14:paraId="74FBB0FD">
      <w:pPr>
        <w:pageBreakBefore w:val="0"/>
        <w:kinsoku w:val="0"/>
        <w:wordWrap w:val="0"/>
        <w:overflowPunct/>
        <w:topLinePunct w:val="0"/>
        <w:autoSpaceDE/>
        <w:autoSpaceDN/>
        <w:bidi w:val="0"/>
        <w:jc w:val="left"/>
        <w:rPr>
          <w:rFonts w:hint="eastAsia" w:ascii="黑体" w:hAnsi="黑体" w:eastAsia="黑体" w:cs="黑体"/>
          <w:b/>
          <w:bCs/>
          <w:color w:val="auto"/>
          <w:kern w:val="0"/>
          <w:sz w:val="24"/>
          <w:szCs w:val="24"/>
          <w:highlight w:val="none"/>
        </w:rPr>
      </w:pPr>
      <w:r>
        <w:rPr>
          <w:rFonts w:hint="eastAsia" w:ascii="黑体" w:hAnsi="黑体" w:eastAsia="黑体" w:cs="黑体"/>
          <w:b/>
          <w:bCs/>
          <w:color w:val="auto"/>
          <w:kern w:val="0"/>
          <w:sz w:val="24"/>
          <w:szCs w:val="24"/>
          <w:highlight w:val="none"/>
        </w:rPr>
        <w:t>附：</w:t>
      </w:r>
    </w:p>
    <w:p w14:paraId="2C8B1ECA">
      <w:pPr>
        <w:pageBreakBefore w:val="0"/>
        <w:kinsoku w:val="0"/>
        <w:wordWrap w:val="0"/>
        <w:overflowPunct/>
        <w:topLinePunct w:val="0"/>
        <w:autoSpaceDE/>
        <w:autoSpaceDN/>
        <w:bidi w:val="0"/>
        <w:jc w:val="center"/>
        <w:rPr>
          <w:rFonts w:hint="eastAsia" w:ascii="黑体" w:hAnsi="黑体" w:eastAsia="黑体" w:cs="黑体"/>
          <w:b/>
          <w:bCs/>
          <w:color w:val="auto"/>
          <w:kern w:val="0"/>
          <w:sz w:val="28"/>
          <w:szCs w:val="28"/>
          <w:highlight w:val="none"/>
        </w:rPr>
      </w:pPr>
      <w:r>
        <w:rPr>
          <w:rFonts w:hint="eastAsia" w:ascii="黑体" w:hAnsi="黑体" w:eastAsia="黑体" w:cs="黑体"/>
          <w:b/>
          <w:bCs/>
          <w:color w:val="auto"/>
          <w:kern w:val="0"/>
          <w:sz w:val="28"/>
          <w:szCs w:val="28"/>
          <w:highlight w:val="none"/>
        </w:rPr>
        <w:t>中小微企业划型标准</w:t>
      </w:r>
    </w:p>
    <w:tbl>
      <w:tblPr>
        <w:tblStyle w:val="15"/>
        <w:tblW w:w="9256" w:type="dxa"/>
        <w:jc w:val="center"/>
        <w:tblLayout w:type="fixed"/>
        <w:tblCellMar>
          <w:top w:w="0" w:type="dxa"/>
          <w:left w:w="108" w:type="dxa"/>
          <w:bottom w:w="0" w:type="dxa"/>
          <w:right w:w="108" w:type="dxa"/>
        </w:tblCellMar>
      </w:tblPr>
      <w:tblGrid>
        <w:gridCol w:w="1358"/>
        <w:gridCol w:w="1925"/>
        <w:gridCol w:w="1188"/>
        <w:gridCol w:w="2037"/>
        <w:gridCol w:w="1657"/>
        <w:gridCol w:w="1091"/>
      </w:tblGrid>
      <w:tr w14:paraId="7BF0D664">
        <w:tblPrEx>
          <w:tblCellMar>
            <w:top w:w="0" w:type="dxa"/>
            <w:left w:w="108" w:type="dxa"/>
            <w:bottom w:w="0" w:type="dxa"/>
            <w:right w:w="108" w:type="dxa"/>
          </w:tblCellMar>
        </w:tblPrEx>
        <w:trPr>
          <w:trHeight w:val="534" w:hRule="atLeast"/>
          <w:jc w:val="center"/>
        </w:trPr>
        <w:tc>
          <w:tcPr>
            <w:tcW w:w="1358" w:type="dxa"/>
            <w:tcBorders>
              <w:top w:val="single" w:color="auto" w:sz="4" w:space="0"/>
              <w:left w:val="single" w:color="auto" w:sz="4" w:space="0"/>
              <w:bottom w:val="single" w:color="auto" w:sz="4" w:space="0"/>
              <w:right w:val="single" w:color="auto" w:sz="4" w:space="0"/>
            </w:tcBorders>
            <w:noWrap w:val="0"/>
            <w:vAlign w:val="center"/>
          </w:tcPr>
          <w:p w14:paraId="79A3193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行业名称</w:t>
            </w:r>
          </w:p>
        </w:tc>
        <w:tc>
          <w:tcPr>
            <w:tcW w:w="1925" w:type="dxa"/>
            <w:tcBorders>
              <w:top w:val="single" w:color="auto" w:sz="4" w:space="0"/>
              <w:left w:val="nil"/>
              <w:bottom w:val="single" w:color="auto" w:sz="4" w:space="0"/>
              <w:right w:val="single" w:color="auto" w:sz="4" w:space="0"/>
            </w:tcBorders>
            <w:noWrap w:val="0"/>
            <w:vAlign w:val="center"/>
          </w:tcPr>
          <w:p w14:paraId="6C9F77F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指标名称</w:t>
            </w:r>
          </w:p>
        </w:tc>
        <w:tc>
          <w:tcPr>
            <w:tcW w:w="1188" w:type="dxa"/>
            <w:tcBorders>
              <w:top w:val="single" w:color="auto" w:sz="4" w:space="0"/>
              <w:left w:val="nil"/>
              <w:bottom w:val="single" w:color="auto" w:sz="4" w:space="0"/>
              <w:right w:val="single" w:color="auto" w:sz="4" w:space="0"/>
            </w:tcBorders>
            <w:noWrap w:val="0"/>
            <w:vAlign w:val="center"/>
          </w:tcPr>
          <w:p w14:paraId="0D1B114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计量单位</w:t>
            </w:r>
          </w:p>
        </w:tc>
        <w:tc>
          <w:tcPr>
            <w:tcW w:w="2037" w:type="dxa"/>
            <w:tcBorders>
              <w:top w:val="single" w:color="auto" w:sz="4" w:space="0"/>
              <w:left w:val="nil"/>
              <w:bottom w:val="single" w:color="auto" w:sz="4" w:space="0"/>
              <w:right w:val="single" w:color="auto" w:sz="4" w:space="0"/>
            </w:tcBorders>
            <w:noWrap w:val="0"/>
            <w:vAlign w:val="center"/>
          </w:tcPr>
          <w:p w14:paraId="2A5C16B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中型</w:t>
            </w:r>
          </w:p>
        </w:tc>
        <w:tc>
          <w:tcPr>
            <w:tcW w:w="1657" w:type="dxa"/>
            <w:tcBorders>
              <w:top w:val="single" w:color="auto" w:sz="4" w:space="0"/>
              <w:left w:val="nil"/>
              <w:bottom w:val="single" w:color="auto" w:sz="4" w:space="0"/>
              <w:right w:val="single" w:color="auto" w:sz="4" w:space="0"/>
            </w:tcBorders>
            <w:noWrap w:val="0"/>
            <w:vAlign w:val="center"/>
          </w:tcPr>
          <w:p w14:paraId="7CA996D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小型</w:t>
            </w:r>
          </w:p>
        </w:tc>
        <w:tc>
          <w:tcPr>
            <w:tcW w:w="1091" w:type="dxa"/>
            <w:tcBorders>
              <w:top w:val="single" w:color="auto" w:sz="4" w:space="0"/>
              <w:left w:val="nil"/>
              <w:bottom w:val="single" w:color="auto" w:sz="4" w:space="0"/>
              <w:right w:val="single" w:color="auto" w:sz="4" w:space="0"/>
            </w:tcBorders>
            <w:noWrap w:val="0"/>
            <w:vAlign w:val="center"/>
          </w:tcPr>
          <w:p w14:paraId="2C31372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微型</w:t>
            </w:r>
          </w:p>
        </w:tc>
      </w:tr>
      <w:tr w14:paraId="25D68311">
        <w:tblPrEx>
          <w:tblCellMar>
            <w:top w:w="0" w:type="dxa"/>
            <w:left w:w="108" w:type="dxa"/>
            <w:bottom w:w="0" w:type="dxa"/>
            <w:right w:w="108" w:type="dxa"/>
          </w:tblCellMar>
        </w:tblPrEx>
        <w:trPr>
          <w:trHeight w:val="534" w:hRule="atLeast"/>
          <w:jc w:val="center"/>
        </w:trPr>
        <w:tc>
          <w:tcPr>
            <w:tcW w:w="1358" w:type="dxa"/>
            <w:tcBorders>
              <w:top w:val="nil"/>
              <w:left w:val="single" w:color="auto" w:sz="4" w:space="0"/>
              <w:bottom w:val="single" w:color="auto" w:sz="4" w:space="0"/>
              <w:right w:val="single" w:color="auto" w:sz="4" w:space="0"/>
            </w:tcBorders>
            <w:noWrap w:val="0"/>
            <w:vAlign w:val="center"/>
          </w:tcPr>
          <w:p w14:paraId="6B53FBB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农、林、牧、渔</w:t>
            </w:r>
          </w:p>
        </w:tc>
        <w:tc>
          <w:tcPr>
            <w:tcW w:w="1925" w:type="dxa"/>
            <w:tcBorders>
              <w:top w:val="nil"/>
              <w:left w:val="nil"/>
              <w:bottom w:val="single" w:color="auto" w:sz="4" w:space="0"/>
              <w:right w:val="single" w:color="auto" w:sz="4" w:space="0"/>
            </w:tcBorders>
            <w:noWrap w:val="0"/>
            <w:vAlign w:val="center"/>
          </w:tcPr>
          <w:p w14:paraId="0D8CF63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4989DEE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4FEDC0A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500≤Y＜20000</w:t>
            </w:r>
          </w:p>
        </w:tc>
        <w:tc>
          <w:tcPr>
            <w:tcW w:w="1657" w:type="dxa"/>
            <w:tcBorders>
              <w:top w:val="nil"/>
              <w:left w:val="nil"/>
              <w:bottom w:val="single" w:color="auto" w:sz="4" w:space="0"/>
              <w:right w:val="single" w:color="auto" w:sz="4" w:space="0"/>
            </w:tcBorders>
            <w:noWrap w:val="0"/>
            <w:vAlign w:val="center"/>
          </w:tcPr>
          <w:p w14:paraId="02F3E21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50≤Y＜500</w:t>
            </w:r>
          </w:p>
        </w:tc>
        <w:tc>
          <w:tcPr>
            <w:tcW w:w="1091" w:type="dxa"/>
            <w:tcBorders>
              <w:top w:val="nil"/>
              <w:left w:val="nil"/>
              <w:bottom w:val="single" w:color="auto" w:sz="4" w:space="0"/>
              <w:right w:val="single" w:color="auto" w:sz="4" w:space="0"/>
            </w:tcBorders>
            <w:noWrap w:val="0"/>
            <w:vAlign w:val="center"/>
          </w:tcPr>
          <w:p w14:paraId="7487846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Y＜50</w:t>
            </w:r>
          </w:p>
        </w:tc>
      </w:tr>
      <w:tr w14:paraId="2506FA5F">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2781AFC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工业</w:t>
            </w:r>
          </w:p>
        </w:tc>
        <w:tc>
          <w:tcPr>
            <w:tcW w:w="1925" w:type="dxa"/>
            <w:tcBorders>
              <w:top w:val="nil"/>
              <w:left w:val="nil"/>
              <w:bottom w:val="single" w:color="auto" w:sz="4" w:space="0"/>
              <w:right w:val="single" w:color="auto" w:sz="4" w:space="0"/>
            </w:tcBorders>
            <w:noWrap w:val="0"/>
            <w:vAlign w:val="center"/>
          </w:tcPr>
          <w:p w14:paraId="4198BB5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1489282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2C36EA0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6BB00E5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20≤X＜300</w:t>
            </w:r>
          </w:p>
        </w:tc>
        <w:tc>
          <w:tcPr>
            <w:tcW w:w="1091" w:type="dxa"/>
            <w:tcBorders>
              <w:top w:val="nil"/>
              <w:left w:val="nil"/>
              <w:bottom w:val="single" w:color="auto" w:sz="4" w:space="0"/>
              <w:right w:val="single" w:color="auto" w:sz="4" w:space="0"/>
            </w:tcBorders>
            <w:noWrap w:val="0"/>
            <w:vAlign w:val="center"/>
          </w:tcPr>
          <w:p w14:paraId="7EEF559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20C18511">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698CE34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3735E72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643E755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614B391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2000≤Y＜40000</w:t>
            </w:r>
          </w:p>
        </w:tc>
        <w:tc>
          <w:tcPr>
            <w:tcW w:w="1657" w:type="dxa"/>
            <w:tcBorders>
              <w:top w:val="nil"/>
              <w:left w:val="nil"/>
              <w:bottom w:val="single" w:color="auto" w:sz="4" w:space="0"/>
              <w:right w:val="single" w:color="auto" w:sz="4" w:space="0"/>
            </w:tcBorders>
            <w:noWrap w:val="0"/>
            <w:vAlign w:val="center"/>
          </w:tcPr>
          <w:p w14:paraId="77D2C20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300≤Y＜2000</w:t>
            </w:r>
          </w:p>
        </w:tc>
        <w:tc>
          <w:tcPr>
            <w:tcW w:w="1091" w:type="dxa"/>
            <w:tcBorders>
              <w:top w:val="nil"/>
              <w:left w:val="nil"/>
              <w:bottom w:val="single" w:color="auto" w:sz="4" w:space="0"/>
              <w:right w:val="single" w:color="auto" w:sz="4" w:space="0"/>
            </w:tcBorders>
            <w:noWrap w:val="0"/>
            <w:vAlign w:val="center"/>
          </w:tcPr>
          <w:p w14:paraId="166F1AE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Y＜300</w:t>
            </w:r>
          </w:p>
        </w:tc>
      </w:tr>
      <w:tr w14:paraId="3F8DDB07">
        <w:tblPrEx>
          <w:tblCellMar>
            <w:top w:w="0" w:type="dxa"/>
            <w:left w:w="108" w:type="dxa"/>
            <w:bottom w:w="0" w:type="dxa"/>
            <w:right w:w="108" w:type="dxa"/>
          </w:tblCellMar>
        </w:tblPrEx>
        <w:trPr>
          <w:trHeight w:val="401"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3873668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建筑业</w:t>
            </w:r>
          </w:p>
        </w:tc>
        <w:tc>
          <w:tcPr>
            <w:tcW w:w="1925" w:type="dxa"/>
            <w:tcBorders>
              <w:top w:val="nil"/>
              <w:left w:val="nil"/>
              <w:bottom w:val="single" w:color="auto" w:sz="4" w:space="0"/>
              <w:right w:val="single" w:color="auto" w:sz="4" w:space="0"/>
            </w:tcBorders>
            <w:noWrap w:val="0"/>
            <w:vAlign w:val="center"/>
          </w:tcPr>
          <w:p w14:paraId="7B58186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72DE620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6E7566B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6000≤Y＜80000</w:t>
            </w:r>
          </w:p>
        </w:tc>
        <w:tc>
          <w:tcPr>
            <w:tcW w:w="1657" w:type="dxa"/>
            <w:tcBorders>
              <w:top w:val="nil"/>
              <w:left w:val="nil"/>
              <w:bottom w:val="single" w:color="auto" w:sz="4" w:space="0"/>
              <w:right w:val="single" w:color="auto" w:sz="4" w:space="0"/>
            </w:tcBorders>
            <w:noWrap w:val="0"/>
            <w:vAlign w:val="center"/>
          </w:tcPr>
          <w:p w14:paraId="33E400A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300≤Y＜6000</w:t>
            </w:r>
          </w:p>
        </w:tc>
        <w:tc>
          <w:tcPr>
            <w:tcW w:w="1091" w:type="dxa"/>
            <w:tcBorders>
              <w:top w:val="nil"/>
              <w:left w:val="nil"/>
              <w:bottom w:val="single" w:color="auto" w:sz="4" w:space="0"/>
              <w:right w:val="single" w:color="auto" w:sz="4" w:space="0"/>
            </w:tcBorders>
            <w:noWrap w:val="0"/>
            <w:vAlign w:val="center"/>
          </w:tcPr>
          <w:p w14:paraId="261942C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Y＜300</w:t>
            </w:r>
          </w:p>
        </w:tc>
      </w:tr>
      <w:tr w14:paraId="61D4F780">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473B3DF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537ABA8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资产总额（Z）</w:t>
            </w:r>
          </w:p>
        </w:tc>
        <w:tc>
          <w:tcPr>
            <w:tcW w:w="1188" w:type="dxa"/>
            <w:tcBorders>
              <w:top w:val="nil"/>
              <w:left w:val="nil"/>
              <w:bottom w:val="single" w:color="auto" w:sz="4" w:space="0"/>
              <w:right w:val="single" w:color="auto" w:sz="4" w:space="0"/>
            </w:tcBorders>
            <w:noWrap w:val="0"/>
            <w:vAlign w:val="center"/>
          </w:tcPr>
          <w:p w14:paraId="122864F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5A984E6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5000≤Z＜80000</w:t>
            </w:r>
          </w:p>
        </w:tc>
        <w:tc>
          <w:tcPr>
            <w:tcW w:w="1657" w:type="dxa"/>
            <w:tcBorders>
              <w:top w:val="nil"/>
              <w:left w:val="nil"/>
              <w:bottom w:val="single" w:color="auto" w:sz="4" w:space="0"/>
              <w:right w:val="single" w:color="auto" w:sz="4" w:space="0"/>
            </w:tcBorders>
            <w:noWrap w:val="0"/>
            <w:vAlign w:val="center"/>
          </w:tcPr>
          <w:p w14:paraId="759A903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300≤Z＜5000</w:t>
            </w:r>
          </w:p>
        </w:tc>
        <w:tc>
          <w:tcPr>
            <w:tcW w:w="1091" w:type="dxa"/>
            <w:tcBorders>
              <w:top w:val="nil"/>
              <w:left w:val="nil"/>
              <w:bottom w:val="single" w:color="auto" w:sz="4" w:space="0"/>
              <w:right w:val="single" w:color="auto" w:sz="4" w:space="0"/>
            </w:tcBorders>
            <w:noWrap w:val="0"/>
            <w:vAlign w:val="center"/>
          </w:tcPr>
          <w:p w14:paraId="097CE25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Z＜300</w:t>
            </w:r>
          </w:p>
        </w:tc>
      </w:tr>
      <w:tr w14:paraId="7E7A60AD">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739A753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批发业</w:t>
            </w:r>
          </w:p>
        </w:tc>
        <w:tc>
          <w:tcPr>
            <w:tcW w:w="1925" w:type="dxa"/>
            <w:tcBorders>
              <w:top w:val="nil"/>
              <w:left w:val="nil"/>
              <w:bottom w:val="single" w:color="auto" w:sz="4" w:space="0"/>
              <w:right w:val="single" w:color="auto" w:sz="4" w:space="0"/>
            </w:tcBorders>
            <w:noWrap w:val="0"/>
            <w:vAlign w:val="center"/>
          </w:tcPr>
          <w:p w14:paraId="2379989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2D43016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7A42367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20≤X＜200</w:t>
            </w:r>
          </w:p>
        </w:tc>
        <w:tc>
          <w:tcPr>
            <w:tcW w:w="1657" w:type="dxa"/>
            <w:tcBorders>
              <w:top w:val="nil"/>
              <w:left w:val="nil"/>
              <w:bottom w:val="single" w:color="auto" w:sz="4" w:space="0"/>
              <w:right w:val="single" w:color="auto" w:sz="4" w:space="0"/>
            </w:tcBorders>
            <w:noWrap w:val="0"/>
            <w:vAlign w:val="center"/>
          </w:tcPr>
          <w:p w14:paraId="5DE0A74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5≤X＜20</w:t>
            </w:r>
          </w:p>
        </w:tc>
        <w:tc>
          <w:tcPr>
            <w:tcW w:w="1091" w:type="dxa"/>
            <w:tcBorders>
              <w:top w:val="nil"/>
              <w:left w:val="nil"/>
              <w:bottom w:val="single" w:color="auto" w:sz="4" w:space="0"/>
              <w:right w:val="single" w:color="auto" w:sz="4" w:space="0"/>
            </w:tcBorders>
            <w:noWrap w:val="0"/>
            <w:vAlign w:val="center"/>
          </w:tcPr>
          <w:p w14:paraId="12AABB7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X＜5</w:t>
            </w:r>
          </w:p>
        </w:tc>
      </w:tr>
      <w:tr w14:paraId="45146F08">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25F6C14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186267F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17217B2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731972F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5000≤Y＜40000</w:t>
            </w:r>
          </w:p>
        </w:tc>
        <w:tc>
          <w:tcPr>
            <w:tcW w:w="1657" w:type="dxa"/>
            <w:tcBorders>
              <w:top w:val="nil"/>
              <w:left w:val="nil"/>
              <w:bottom w:val="single" w:color="auto" w:sz="4" w:space="0"/>
              <w:right w:val="single" w:color="auto" w:sz="4" w:space="0"/>
            </w:tcBorders>
            <w:noWrap w:val="0"/>
            <w:vAlign w:val="center"/>
          </w:tcPr>
          <w:p w14:paraId="1059F03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1000≤Y＜5000</w:t>
            </w:r>
          </w:p>
        </w:tc>
        <w:tc>
          <w:tcPr>
            <w:tcW w:w="1091" w:type="dxa"/>
            <w:tcBorders>
              <w:top w:val="nil"/>
              <w:left w:val="nil"/>
              <w:bottom w:val="single" w:color="auto" w:sz="4" w:space="0"/>
              <w:right w:val="single" w:color="auto" w:sz="4" w:space="0"/>
            </w:tcBorders>
            <w:noWrap w:val="0"/>
            <w:vAlign w:val="center"/>
          </w:tcPr>
          <w:p w14:paraId="719955E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Y＜1000</w:t>
            </w:r>
          </w:p>
        </w:tc>
      </w:tr>
      <w:tr w14:paraId="5DED3E06">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5D3B487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零售业</w:t>
            </w:r>
          </w:p>
        </w:tc>
        <w:tc>
          <w:tcPr>
            <w:tcW w:w="1925" w:type="dxa"/>
            <w:tcBorders>
              <w:top w:val="nil"/>
              <w:left w:val="nil"/>
              <w:bottom w:val="single" w:color="auto" w:sz="4" w:space="0"/>
              <w:right w:val="single" w:color="auto" w:sz="4" w:space="0"/>
            </w:tcBorders>
            <w:noWrap w:val="0"/>
            <w:vAlign w:val="center"/>
          </w:tcPr>
          <w:p w14:paraId="0EC0FC9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7EFB677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5D01D4F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50≤X＜300</w:t>
            </w:r>
          </w:p>
        </w:tc>
        <w:tc>
          <w:tcPr>
            <w:tcW w:w="1657" w:type="dxa"/>
            <w:tcBorders>
              <w:top w:val="nil"/>
              <w:left w:val="nil"/>
              <w:bottom w:val="single" w:color="auto" w:sz="4" w:space="0"/>
              <w:right w:val="single" w:color="auto" w:sz="4" w:space="0"/>
            </w:tcBorders>
            <w:noWrap w:val="0"/>
            <w:vAlign w:val="center"/>
          </w:tcPr>
          <w:p w14:paraId="37C626D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10≤X＜50</w:t>
            </w:r>
          </w:p>
        </w:tc>
        <w:tc>
          <w:tcPr>
            <w:tcW w:w="1091" w:type="dxa"/>
            <w:tcBorders>
              <w:top w:val="nil"/>
              <w:left w:val="nil"/>
              <w:bottom w:val="single" w:color="auto" w:sz="4" w:space="0"/>
              <w:right w:val="single" w:color="auto" w:sz="4" w:space="0"/>
            </w:tcBorders>
            <w:noWrap w:val="0"/>
            <w:vAlign w:val="center"/>
          </w:tcPr>
          <w:p w14:paraId="411F225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47B0837F">
        <w:tblPrEx>
          <w:tblCellMar>
            <w:top w:w="0" w:type="dxa"/>
            <w:left w:w="108" w:type="dxa"/>
            <w:bottom w:w="0" w:type="dxa"/>
            <w:right w:w="108" w:type="dxa"/>
          </w:tblCellMar>
        </w:tblPrEx>
        <w:trPr>
          <w:trHeight w:val="272"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3006F5E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54B60DF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1980C9D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0670DDB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500≤Y＜20000</w:t>
            </w:r>
          </w:p>
        </w:tc>
        <w:tc>
          <w:tcPr>
            <w:tcW w:w="1657" w:type="dxa"/>
            <w:tcBorders>
              <w:top w:val="nil"/>
              <w:left w:val="nil"/>
              <w:bottom w:val="single" w:color="auto" w:sz="4" w:space="0"/>
              <w:right w:val="single" w:color="auto" w:sz="4" w:space="0"/>
            </w:tcBorders>
            <w:noWrap w:val="0"/>
            <w:vAlign w:val="center"/>
          </w:tcPr>
          <w:p w14:paraId="40AE117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100≤Y＜500</w:t>
            </w:r>
          </w:p>
        </w:tc>
        <w:tc>
          <w:tcPr>
            <w:tcW w:w="1091" w:type="dxa"/>
            <w:tcBorders>
              <w:top w:val="nil"/>
              <w:left w:val="nil"/>
              <w:bottom w:val="single" w:color="auto" w:sz="4" w:space="0"/>
              <w:right w:val="single" w:color="auto" w:sz="4" w:space="0"/>
            </w:tcBorders>
            <w:noWrap w:val="0"/>
            <w:vAlign w:val="center"/>
          </w:tcPr>
          <w:p w14:paraId="51E5368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7D78C7C4">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636F9DD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交通运输业</w:t>
            </w:r>
          </w:p>
        </w:tc>
        <w:tc>
          <w:tcPr>
            <w:tcW w:w="1925" w:type="dxa"/>
            <w:tcBorders>
              <w:top w:val="nil"/>
              <w:left w:val="nil"/>
              <w:bottom w:val="single" w:color="auto" w:sz="4" w:space="0"/>
              <w:right w:val="single" w:color="auto" w:sz="4" w:space="0"/>
            </w:tcBorders>
            <w:noWrap w:val="0"/>
            <w:vAlign w:val="center"/>
          </w:tcPr>
          <w:p w14:paraId="3EC4D0D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C7E01B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0EEFA9B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7D057B4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20≤X＜300</w:t>
            </w:r>
          </w:p>
        </w:tc>
        <w:tc>
          <w:tcPr>
            <w:tcW w:w="1091" w:type="dxa"/>
            <w:tcBorders>
              <w:top w:val="nil"/>
              <w:left w:val="nil"/>
              <w:bottom w:val="single" w:color="auto" w:sz="4" w:space="0"/>
              <w:right w:val="single" w:color="auto" w:sz="4" w:space="0"/>
            </w:tcBorders>
            <w:noWrap w:val="0"/>
            <w:vAlign w:val="center"/>
          </w:tcPr>
          <w:p w14:paraId="4A9E4FB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6E4AB57E">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1A1755B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5F13BB6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75C2DE3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65C64EA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3000≤Y＜30000</w:t>
            </w:r>
          </w:p>
        </w:tc>
        <w:tc>
          <w:tcPr>
            <w:tcW w:w="1657" w:type="dxa"/>
            <w:tcBorders>
              <w:top w:val="nil"/>
              <w:left w:val="nil"/>
              <w:bottom w:val="single" w:color="auto" w:sz="4" w:space="0"/>
              <w:right w:val="single" w:color="auto" w:sz="4" w:space="0"/>
            </w:tcBorders>
            <w:noWrap w:val="0"/>
            <w:vAlign w:val="center"/>
          </w:tcPr>
          <w:p w14:paraId="45E6BEF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200≤Y＜3000</w:t>
            </w:r>
          </w:p>
        </w:tc>
        <w:tc>
          <w:tcPr>
            <w:tcW w:w="1091" w:type="dxa"/>
            <w:tcBorders>
              <w:top w:val="nil"/>
              <w:left w:val="nil"/>
              <w:bottom w:val="single" w:color="auto" w:sz="4" w:space="0"/>
              <w:right w:val="single" w:color="auto" w:sz="4" w:space="0"/>
            </w:tcBorders>
            <w:noWrap w:val="0"/>
            <w:vAlign w:val="center"/>
          </w:tcPr>
          <w:p w14:paraId="4E1A2D6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Y＜200</w:t>
            </w:r>
          </w:p>
        </w:tc>
      </w:tr>
      <w:tr w14:paraId="31DA810F">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44ABE1B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仓储业</w:t>
            </w:r>
          </w:p>
        </w:tc>
        <w:tc>
          <w:tcPr>
            <w:tcW w:w="1925" w:type="dxa"/>
            <w:tcBorders>
              <w:top w:val="nil"/>
              <w:left w:val="nil"/>
              <w:bottom w:val="single" w:color="auto" w:sz="4" w:space="0"/>
              <w:right w:val="single" w:color="auto" w:sz="4" w:space="0"/>
            </w:tcBorders>
            <w:noWrap w:val="0"/>
            <w:vAlign w:val="center"/>
          </w:tcPr>
          <w:p w14:paraId="4B77B8E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4EA3713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1708710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100≤X＜200</w:t>
            </w:r>
          </w:p>
        </w:tc>
        <w:tc>
          <w:tcPr>
            <w:tcW w:w="1657" w:type="dxa"/>
            <w:tcBorders>
              <w:top w:val="nil"/>
              <w:left w:val="nil"/>
              <w:bottom w:val="single" w:color="auto" w:sz="4" w:space="0"/>
              <w:right w:val="single" w:color="auto" w:sz="4" w:space="0"/>
            </w:tcBorders>
            <w:noWrap w:val="0"/>
            <w:vAlign w:val="center"/>
          </w:tcPr>
          <w:p w14:paraId="3AD379B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20≤X＜100</w:t>
            </w:r>
          </w:p>
        </w:tc>
        <w:tc>
          <w:tcPr>
            <w:tcW w:w="1091" w:type="dxa"/>
            <w:tcBorders>
              <w:top w:val="nil"/>
              <w:left w:val="nil"/>
              <w:bottom w:val="single" w:color="auto" w:sz="4" w:space="0"/>
              <w:right w:val="single" w:color="auto" w:sz="4" w:space="0"/>
            </w:tcBorders>
            <w:noWrap w:val="0"/>
            <w:vAlign w:val="center"/>
          </w:tcPr>
          <w:p w14:paraId="2AFAC28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7D85BB4C">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586C511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463B729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444C646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3D2574F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1000≤Y＜30000</w:t>
            </w:r>
          </w:p>
        </w:tc>
        <w:tc>
          <w:tcPr>
            <w:tcW w:w="1657" w:type="dxa"/>
            <w:tcBorders>
              <w:top w:val="nil"/>
              <w:left w:val="nil"/>
              <w:bottom w:val="single" w:color="auto" w:sz="4" w:space="0"/>
              <w:right w:val="single" w:color="auto" w:sz="4" w:space="0"/>
            </w:tcBorders>
            <w:noWrap w:val="0"/>
            <w:vAlign w:val="center"/>
          </w:tcPr>
          <w:p w14:paraId="39C6ED4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100≤Y＜1000</w:t>
            </w:r>
          </w:p>
        </w:tc>
        <w:tc>
          <w:tcPr>
            <w:tcW w:w="1091" w:type="dxa"/>
            <w:tcBorders>
              <w:top w:val="nil"/>
              <w:left w:val="nil"/>
              <w:bottom w:val="single" w:color="auto" w:sz="4" w:space="0"/>
              <w:right w:val="single" w:color="auto" w:sz="4" w:space="0"/>
            </w:tcBorders>
            <w:noWrap w:val="0"/>
            <w:vAlign w:val="center"/>
          </w:tcPr>
          <w:p w14:paraId="62F9B0D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4038ED07">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3C6855B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邮政业</w:t>
            </w:r>
          </w:p>
        </w:tc>
        <w:tc>
          <w:tcPr>
            <w:tcW w:w="1925" w:type="dxa"/>
            <w:tcBorders>
              <w:top w:val="nil"/>
              <w:left w:val="nil"/>
              <w:bottom w:val="single" w:color="auto" w:sz="4" w:space="0"/>
              <w:right w:val="single" w:color="auto" w:sz="4" w:space="0"/>
            </w:tcBorders>
            <w:noWrap w:val="0"/>
            <w:vAlign w:val="center"/>
          </w:tcPr>
          <w:p w14:paraId="54A89E6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2BD67CF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2DAC7CF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5B5D047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20≤X＜300</w:t>
            </w:r>
          </w:p>
        </w:tc>
        <w:tc>
          <w:tcPr>
            <w:tcW w:w="1091" w:type="dxa"/>
            <w:tcBorders>
              <w:top w:val="nil"/>
              <w:left w:val="nil"/>
              <w:bottom w:val="single" w:color="auto" w:sz="4" w:space="0"/>
              <w:right w:val="single" w:color="auto" w:sz="4" w:space="0"/>
            </w:tcBorders>
            <w:noWrap w:val="0"/>
            <w:vAlign w:val="center"/>
          </w:tcPr>
          <w:p w14:paraId="389BDBB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X＜20</w:t>
            </w:r>
          </w:p>
        </w:tc>
      </w:tr>
      <w:tr w14:paraId="11D360F1">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57B9CFB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3A381DA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118221E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3E4B177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2000≤Y＜30000</w:t>
            </w:r>
          </w:p>
        </w:tc>
        <w:tc>
          <w:tcPr>
            <w:tcW w:w="1657" w:type="dxa"/>
            <w:tcBorders>
              <w:top w:val="nil"/>
              <w:left w:val="nil"/>
              <w:bottom w:val="single" w:color="auto" w:sz="4" w:space="0"/>
              <w:right w:val="single" w:color="auto" w:sz="4" w:space="0"/>
            </w:tcBorders>
            <w:noWrap w:val="0"/>
            <w:vAlign w:val="center"/>
          </w:tcPr>
          <w:p w14:paraId="5A299E6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100≤Y＜2000</w:t>
            </w:r>
          </w:p>
        </w:tc>
        <w:tc>
          <w:tcPr>
            <w:tcW w:w="1091" w:type="dxa"/>
            <w:tcBorders>
              <w:top w:val="nil"/>
              <w:left w:val="nil"/>
              <w:bottom w:val="single" w:color="auto" w:sz="4" w:space="0"/>
              <w:right w:val="single" w:color="auto" w:sz="4" w:space="0"/>
            </w:tcBorders>
            <w:noWrap w:val="0"/>
            <w:vAlign w:val="center"/>
          </w:tcPr>
          <w:p w14:paraId="399A0F4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7FE96458">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63C707B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住宿业</w:t>
            </w:r>
          </w:p>
        </w:tc>
        <w:tc>
          <w:tcPr>
            <w:tcW w:w="1925" w:type="dxa"/>
            <w:tcBorders>
              <w:top w:val="nil"/>
              <w:left w:val="nil"/>
              <w:bottom w:val="single" w:color="auto" w:sz="4" w:space="0"/>
              <w:right w:val="single" w:color="auto" w:sz="4" w:space="0"/>
            </w:tcBorders>
            <w:noWrap w:val="0"/>
            <w:vAlign w:val="center"/>
          </w:tcPr>
          <w:p w14:paraId="044714C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945017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345178D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355237D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2F19BD6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762B7E2D">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509BD82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49EDC90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3A8ED56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2B5E30D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2000≤Y＜10000</w:t>
            </w:r>
          </w:p>
        </w:tc>
        <w:tc>
          <w:tcPr>
            <w:tcW w:w="1657" w:type="dxa"/>
            <w:tcBorders>
              <w:top w:val="nil"/>
              <w:left w:val="nil"/>
              <w:bottom w:val="single" w:color="auto" w:sz="4" w:space="0"/>
              <w:right w:val="single" w:color="auto" w:sz="4" w:space="0"/>
            </w:tcBorders>
            <w:noWrap w:val="0"/>
            <w:vAlign w:val="center"/>
          </w:tcPr>
          <w:p w14:paraId="08E96CC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100≤Y＜2000</w:t>
            </w:r>
          </w:p>
        </w:tc>
        <w:tc>
          <w:tcPr>
            <w:tcW w:w="1091" w:type="dxa"/>
            <w:tcBorders>
              <w:top w:val="nil"/>
              <w:left w:val="nil"/>
              <w:bottom w:val="single" w:color="auto" w:sz="4" w:space="0"/>
              <w:right w:val="single" w:color="auto" w:sz="4" w:space="0"/>
            </w:tcBorders>
            <w:noWrap w:val="0"/>
            <w:vAlign w:val="center"/>
          </w:tcPr>
          <w:p w14:paraId="0049E84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01E3E88C">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597D96B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餐饮业</w:t>
            </w:r>
          </w:p>
        </w:tc>
        <w:tc>
          <w:tcPr>
            <w:tcW w:w="1925" w:type="dxa"/>
            <w:tcBorders>
              <w:top w:val="nil"/>
              <w:left w:val="nil"/>
              <w:bottom w:val="single" w:color="auto" w:sz="4" w:space="0"/>
              <w:right w:val="single" w:color="auto" w:sz="4" w:space="0"/>
            </w:tcBorders>
            <w:noWrap w:val="0"/>
            <w:vAlign w:val="center"/>
          </w:tcPr>
          <w:p w14:paraId="3BDFCF4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B64F78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171FD87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5F3C752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7C7D008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7FE8C8A1">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5488C61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0F7FEC5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7B8D7BB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7F6F096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2000≤Y＜10000</w:t>
            </w:r>
          </w:p>
        </w:tc>
        <w:tc>
          <w:tcPr>
            <w:tcW w:w="1657" w:type="dxa"/>
            <w:tcBorders>
              <w:top w:val="nil"/>
              <w:left w:val="nil"/>
              <w:bottom w:val="single" w:color="auto" w:sz="4" w:space="0"/>
              <w:right w:val="single" w:color="auto" w:sz="4" w:space="0"/>
            </w:tcBorders>
            <w:noWrap w:val="0"/>
            <w:vAlign w:val="center"/>
          </w:tcPr>
          <w:p w14:paraId="4F45D2A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100≤Y＜2000</w:t>
            </w:r>
          </w:p>
        </w:tc>
        <w:tc>
          <w:tcPr>
            <w:tcW w:w="1091" w:type="dxa"/>
            <w:tcBorders>
              <w:top w:val="nil"/>
              <w:left w:val="nil"/>
              <w:bottom w:val="single" w:color="auto" w:sz="4" w:space="0"/>
              <w:right w:val="single" w:color="auto" w:sz="4" w:space="0"/>
            </w:tcBorders>
            <w:noWrap w:val="0"/>
            <w:vAlign w:val="center"/>
          </w:tcPr>
          <w:p w14:paraId="6E0BA09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6DC171E8">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61A0487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信息传输业</w:t>
            </w:r>
          </w:p>
        </w:tc>
        <w:tc>
          <w:tcPr>
            <w:tcW w:w="1925" w:type="dxa"/>
            <w:tcBorders>
              <w:top w:val="nil"/>
              <w:left w:val="nil"/>
              <w:bottom w:val="single" w:color="auto" w:sz="4" w:space="0"/>
              <w:right w:val="single" w:color="auto" w:sz="4" w:space="0"/>
            </w:tcBorders>
            <w:noWrap w:val="0"/>
            <w:vAlign w:val="center"/>
          </w:tcPr>
          <w:p w14:paraId="4EE20F3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5EE00D6C">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38FA1F7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100≤X＜2000</w:t>
            </w:r>
          </w:p>
        </w:tc>
        <w:tc>
          <w:tcPr>
            <w:tcW w:w="1657" w:type="dxa"/>
            <w:tcBorders>
              <w:top w:val="nil"/>
              <w:left w:val="nil"/>
              <w:bottom w:val="single" w:color="auto" w:sz="4" w:space="0"/>
              <w:right w:val="single" w:color="auto" w:sz="4" w:space="0"/>
            </w:tcBorders>
            <w:noWrap w:val="0"/>
            <w:vAlign w:val="center"/>
          </w:tcPr>
          <w:p w14:paraId="0BB2D29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2C59ADC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7117ADFF">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6DB635F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7EDA77F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23E8597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75CF5ED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1000≤Y＜100000</w:t>
            </w:r>
          </w:p>
        </w:tc>
        <w:tc>
          <w:tcPr>
            <w:tcW w:w="1657" w:type="dxa"/>
            <w:tcBorders>
              <w:top w:val="nil"/>
              <w:left w:val="nil"/>
              <w:bottom w:val="single" w:color="auto" w:sz="4" w:space="0"/>
              <w:right w:val="single" w:color="auto" w:sz="4" w:space="0"/>
            </w:tcBorders>
            <w:noWrap w:val="0"/>
            <w:vAlign w:val="center"/>
          </w:tcPr>
          <w:p w14:paraId="3CAEFD1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100≤Y＜1000</w:t>
            </w:r>
          </w:p>
        </w:tc>
        <w:tc>
          <w:tcPr>
            <w:tcW w:w="1091" w:type="dxa"/>
            <w:tcBorders>
              <w:top w:val="nil"/>
              <w:left w:val="nil"/>
              <w:bottom w:val="single" w:color="auto" w:sz="4" w:space="0"/>
              <w:right w:val="single" w:color="auto" w:sz="4" w:space="0"/>
            </w:tcBorders>
            <w:noWrap w:val="0"/>
            <w:vAlign w:val="center"/>
          </w:tcPr>
          <w:p w14:paraId="47057E6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224631FE">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6820217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软件和信息技术服务业</w:t>
            </w:r>
          </w:p>
        </w:tc>
        <w:tc>
          <w:tcPr>
            <w:tcW w:w="1925" w:type="dxa"/>
            <w:tcBorders>
              <w:top w:val="nil"/>
              <w:left w:val="nil"/>
              <w:bottom w:val="single" w:color="auto" w:sz="4" w:space="0"/>
              <w:right w:val="single" w:color="auto" w:sz="4" w:space="0"/>
            </w:tcBorders>
            <w:noWrap w:val="0"/>
            <w:vAlign w:val="center"/>
          </w:tcPr>
          <w:p w14:paraId="6FDEF53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4A3775F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0D1FEDDE">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2B9BD78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59F519A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0860DF48">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2C002F7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6E6E55C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000433D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7449F97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1000≤Y＜10000</w:t>
            </w:r>
          </w:p>
        </w:tc>
        <w:tc>
          <w:tcPr>
            <w:tcW w:w="1657" w:type="dxa"/>
            <w:tcBorders>
              <w:top w:val="nil"/>
              <w:left w:val="nil"/>
              <w:bottom w:val="single" w:color="auto" w:sz="4" w:space="0"/>
              <w:right w:val="single" w:color="auto" w:sz="4" w:space="0"/>
            </w:tcBorders>
            <w:noWrap w:val="0"/>
            <w:vAlign w:val="center"/>
          </w:tcPr>
          <w:p w14:paraId="3DACDD8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50≤Y＜1000</w:t>
            </w:r>
          </w:p>
        </w:tc>
        <w:tc>
          <w:tcPr>
            <w:tcW w:w="1091" w:type="dxa"/>
            <w:tcBorders>
              <w:top w:val="nil"/>
              <w:left w:val="nil"/>
              <w:bottom w:val="single" w:color="auto" w:sz="4" w:space="0"/>
              <w:right w:val="single" w:color="auto" w:sz="4" w:space="0"/>
            </w:tcBorders>
            <w:noWrap w:val="0"/>
            <w:vAlign w:val="center"/>
          </w:tcPr>
          <w:p w14:paraId="1AFA308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Y＜50</w:t>
            </w:r>
          </w:p>
        </w:tc>
      </w:tr>
      <w:tr w14:paraId="4578F798">
        <w:tblPrEx>
          <w:tblCellMar>
            <w:top w:w="0" w:type="dxa"/>
            <w:left w:w="108" w:type="dxa"/>
            <w:bottom w:w="0" w:type="dxa"/>
            <w:right w:w="108" w:type="dxa"/>
          </w:tblCellMar>
        </w:tblPrEx>
        <w:trPr>
          <w:trHeight w:val="401"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1D60518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房地产开发经营</w:t>
            </w:r>
          </w:p>
        </w:tc>
        <w:tc>
          <w:tcPr>
            <w:tcW w:w="1925" w:type="dxa"/>
            <w:tcBorders>
              <w:top w:val="nil"/>
              <w:left w:val="nil"/>
              <w:bottom w:val="single" w:color="auto" w:sz="4" w:space="0"/>
              <w:right w:val="single" w:color="auto" w:sz="4" w:space="0"/>
            </w:tcBorders>
            <w:noWrap w:val="0"/>
            <w:vAlign w:val="center"/>
          </w:tcPr>
          <w:p w14:paraId="32B2F96A">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68D581C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100169A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1000≤Y＜200000</w:t>
            </w:r>
          </w:p>
        </w:tc>
        <w:tc>
          <w:tcPr>
            <w:tcW w:w="1657" w:type="dxa"/>
            <w:tcBorders>
              <w:top w:val="nil"/>
              <w:left w:val="nil"/>
              <w:bottom w:val="single" w:color="auto" w:sz="4" w:space="0"/>
              <w:right w:val="single" w:color="auto" w:sz="4" w:space="0"/>
            </w:tcBorders>
            <w:noWrap w:val="0"/>
            <w:vAlign w:val="center"/>
          </w:tcPr>
          <w:p w14:paraId="22AF2DC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100≤X＜1000</w:t>
            </w:r>
          </w:p>
        </w:tc>
        <w:tc>
          <w:tcPr>
            <w:tcW w:w="1091" w:type="dxa"/>
            <w:tcBorders>
              <w:top w:val="nil"/>
              <w:left w:val="nil"/>
              <w:bottom w:val="single" w:color="auto" w:sz="4" w:space="0"/>
              <w:right w:val="single" w:color="auto" w:sz="4" w:space="0"/>
            </w:tcBorders>
            <w:noWrap w:val="0"/>
            <w:vAlign w:val="center"/>
          </w:tcPr>
          <w:p w14:paraId="4A50D1D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X＜100</w:t>
            </w:r>
          </w:p>
        </w:tc>
      </w:tr>
      <w:tr w14:paraId="14E69EF6">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43355C8D">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69F3503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资产总额（Z）</w:t>
            </w:r>
          </w:p>
        </w:tc>
        <w:tc>
          <w:tcPr>
            <w:tcW w:w="1188" w:type="dxa"/>
            <w:tcBorders>
              <w:top w:val="nil"/>
              <w:left w:val="nil"/>
              <w:bottom w:val="single" w:color="auto" w:sz="4" w:space="0"/>
              <w:right w:val="single" w:color="auto" w:sz="4" w:space="0"/>
            </w:tcBorders>
            <w:noWrap w:val="0"/>
            <w:vAlign w:val="center"/>
          </w:tcPr>
          <w:p w14:paraId="14972E5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3635B9B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5000≤Z＜10000</w:t>
            </w:r>
          </w:p>
        </w:tc>
        <w:tc>
          <w:tcPr>
            <w:tcW w:w="1657" w:type="dxa"/>
            <w:tcBorders>
              <w:top w:val="nil"/>
              <w:left w:val="nil"/>
              <w:bottom w:val="single" w:color="auto" w:sz="4" w:space="0"/>
              <w:right w:val="single" w:color="auto" w:sz="4" w:space="0"/>
            </w:tcBorders>
            <w:noWrap w:val="0"/>
            <w:vAlign w:val="center"/>
          </w:tcPr>
          <w:p w14:paraId="21947B3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2000≤Y＜5000</w:t>
            </w:r>
          </w:p>
        </w:tc>
        <w:tc>
          <w:tcPr>
            <w:tcW w:w="1091" w:type="dxa"/>
            <w:tcBorders>
              <w:top w:val="nil"/>
              <w:left w:val="nil"/>
              <w:bottom w:val="single" w:color="auto" w:sz="4" w:space="0"/>
              <w:right w:val="single" w:color="auto" w:sz="4" w:space="0"/>
            </w:tcBorders>
            <w:noWrap w:val="0"/>
            <w:vAlign w:val="center"/>
          </w:tcPr>
          <w:p w14:paraId="7DB2940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Y＜2000</w:t>
            </w:r>
          </w:p>
        </w:tc>
      </w:tr>
      <w:tr w14:paraId="2DEFFA50">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331B7B1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物业管理</w:t>
            </w:r>
          </w:p>
        </w:tc>
        <w:tc>
          <w:tcPr>
            <w:tcW w:w="1925" w:type="dxa"/>
            <w:tcBorders>
              <w:top w:val="nil"/>
              <w:left w:val="nil"/>
              <w:bottom w:val="single" w:color="auto" w:sz="4" w:space="0"/>
              <w:right w:val="single" w:color="auto" w:sz="4" w:space="0"/>
            </w:tcBorders>
            <w:noWrap w:val="0"/>
            <w:vAlign w:val="center"/>
          </w:tcPr>
          <w:p w14:paraId="627678A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3C795C7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64FF9A5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300≤X＜1000</w:t>
            </w:r>
          </w:p>
        </w:tc>
        <w:tc>
          <w:tcPr>
            <w:tcW w:w="1657" w:type="dxa"/>
            <w:tcBorders>
              <w:top w:val="nil"/>
              <w:left w:val="nil"/>
              <w:bottom w:val="single" w:color="auto" w:sz="4" w:space="0"/>
              <w:right w:val="single" w:color="auto" w:sz="4" w:space="0"/>
            </w:tcBorders>
            <w:noWrap w:val="0"/>
            <w:vAlign w:val="center"/>
          </w:tcPr>
          <w:p w14:paraId="24835D2B">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091" w:type="dxa"/>
            <w:tcBorders>
              <w:top w:val="nil"/>
              <w:left w:val="nil"/>
              <w:bottom w:val="single" w:color="auto" w:sz="4" w:space="0"/>
              <w:right w:val="single" w:color="auto" w:sz="4" w:space="0"/>
            </w:tcBorders>
            <w:noWrap w:val="0"/>
            <w:vAlign w:val="center"/>
          </w:tcPr>
          <w:p w14:paraId="0F928B2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X＜100</w:t>
            </w:r>
          </w:p>
        </w:tc>
      </w:tr>
      <w:tr w14:paraId="007E40AB">
        <w:tblPrEx>
          <w:tblCellMar>
            <w:top w:w="0" w:type="dxa"/>
            <w:left w:w="108" w:type="dxa"/>
            <w:bottom w:w="0" w:type="dxa"/>
            <w:right w:w="108" w:type="dxa"/>
          </w:tblCellMar>
        </w:tblPrEx>
        <w:trPr>
          <w:trHeight w:val="272"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59946E0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23E8927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营业收入（Y）</w:t>
            </w:r>
          </w:p>
        </w:tc>
        <w:tc>
          <w:tcPr>
            <w:tcW w:w="1188" w:type="dxa"/>
            <w:tcBorders>
              <w:top w:val="nil"/>
              <w:left w:val="nil"/>
              <w:bottom w:val="single" w:color="auto" w:sz="4" w:space="0"/>
              <w:right w:val="single" w:color="auto" w:sz="4" w:space="0"/>
            </w:tcBorders>
            <w:noWrap w:val="0"/>
            <w:vAlign w:val="center"/>
          </w:tcPr>
          <w:p w14:paraId="0144C17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32D97FC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1000≤Y＜5000</w:t>
            </w:r>
          </w:p>
        </w:tc>
        <w:tc>
          <w:tcPr>
            <w:tcW w:w="1657" w:type="dxa"/>
            <w:tcBorders>
              <w:top w:val="nil"/>
              <w:left w:val="nil"/>
              <w:bottom w:val="single" w:color="auto" w:sz="4" w:space="0"/>
              <w:right w:val="single" w:color="auto" w:sz="4" w:space="0"/>
            </w:tcBorders>
            <w:noWrap w:val="0"/>
            <w:vAlign w:val="center"/>
          </w:tcPr>
          <w:p w14:paraId="6F36504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500≤Y＜1000</w:t>
            </w:r>
          </w:p>
        </w:tc>
        <w:tc>
          <w:tcPr>
            <w:tcW w:w="1091" w:type="dxa"/>
            <w:tcBorders>
              <w:top w:val="nil"/>
              <w:left w:val="nil"/>
              <w:bottom w:val="single" w:color="auto" w:sz="4" w:space="0"/>
              <w:right w:val="single" w:color="auto" w:sz="4" w:space="0"/>
            </w:tcBorders>
            <w:noWrap w:val="0"/>
            <w:vAlign w:val="center"/>
          </w:tcPr>
          <w:p w14:paraId="055D77D7">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Y＜500</w:t>
            </w:r>
          </w:p>
        </w:tc>
      </w:tr>
      <w:tr w14:paraId="1F92006A">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14:paraId="329394A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租赁和商务服务业</w:t>
            </w:r>
          </w:p>
        </w:tc>
        <w:tc>
          <w:tcPr>
            <w:tcW w:w="1925" w:type="dxa"/>
            <w:tcBorders>
              <w:top w:val="nil"/>
              <w:left w:val="nil"/>
              <w:bottom w:val="single" w:color="auto" w:sz="4" w:space="0"/>
              <w:right w:val="single" w:color="auto" w:sz="4" w:space="0"/>
            </w:tcBorders>
            <w:noWrap w:val="0"/>
            <w:vAlign w:val="center"/>
          </w:tcPr>
          <w:p w14:paraId="1D18A0E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78EFC980">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4897EF1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1E6CB42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3BC3A53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r w14:paraId="586CB755">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14:paraId="31F846D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p>
        </w:tc>
        <w:tc>
          <w:tcPr>
            <w:tcW w:w="1925" w:type="dxa"/>
            <w:tcBorders>
              <w:top w:val="nil"/>
              <w:left w:val="nil"/>
              <w:bottom w:val="single" w:color="auto" w:sz="4" w:space="0"/>
              <w:right w:val="single" w:color="auto" w:sz="4" w:space="0"/>
            </w:tcBorders>
            <w:noWrap w:val="0"/>
            <w:vAlign w:val="center"/>
          </w:tcPr>
          <w:p w14:paraId="6448569F">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资产总额（Z）</w:t>
            </w:r>
          </w:p>
        </w:tc>
        <w:tc>
          <w:tcPr>
            <w:tcW w:w="1188" w:type="dxa"/>
            <w:tcBorders>
              <w:top w:val="nil"/>
              <w:left w:val="nil"/>
              <w:bottom w:val="single" w:color="auto" w:sz="4" w:space="0"/>
              <w:right w:val="single" w:color="auto" w:sz="4" w:space="0"/>
            </w:tcBorders>
            <w:noWrap w:val="0"/>
            <w:vAlign w:val="center"/>
          </w:tcPr>
          <w:p w14:paraId="6AC67D72">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万元</w:t>
            </w:r>
          </w:p>
        </w:tc>
        <w:tc>
          <w:tcPr>
            <w:tcW w:w="2037" w:type="dxa"/>
            <w:tcBorders>
              <w:top w:val="nil"/>
              <w:left w:val="nil"/>
              <w:bottom w:val="single" w:color="auto" w:sz="4" w:space="0"/>
              <w:right w:val="single" w:color="auto" w:sz="4" w:space="0"/>
            </w:tcBorders>
            <w:noWrap w:val="0"/>
            <w:vAlign w:val="center"/>
          </w:tcPr>
          <w:p w14:paraId="2F02EF53">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8000≤Z＜120000</w:t>
            </w:r>
          </w:p>
        </w:tc>
        <w:tc>
          <w:tcPr>
            <w:tcW w:w="1657" w:type="dxa"/>
            <w:tcBorders>
              <w:top w:val="nil"/>
              <w:left w:val="nil"/>
              <w:bottom w:val="single" w:color="auto" w:sz="4" w:space="0"/>
              <w:right w:val="single" w:color="auto" w:sz="4" w:space="0"/>
            </w:tcBorders>
            <w:noWrap w:val="0"/>
            <w:vAlign w:val="center"/>
          </w:tcPr>
          <w:p w14:paraId="2E3C0525">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100≤Z＜8000</w:t>
            </w:r>
          </w:p>
        </w:tc>
        <w:tc>
          <w:tcPr>
            <w:tcW w:w="1091" w:type="dxa"/>
            <w:tcBorders>
              <w:top w:val="nil"/>
              <w:left w:val="nil"/>
              <w:bottom w:val="single" w:color="auto" w:sz="4" w:space="0"/>
              <w:right w:val="single" w:color="auto" w:sz="4" w:space="0"/>
            </w:tcBorders>
            <w:noWrap w:val="0"/>
            <w:vAlign w:val="center"/>
          </w:tcPr>
          <w:p w14:paraId="2B710C0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Y＜100</w:t>
            </w:r>
          </w:p>
        </w:tc>
      </w:tr>
      <w:tr w14:paraId="734C8F06">
        <w:tblPrEx>
          <w:tblCellMar>
            <w:top w:w="0" w:type="dxa"/>
            <w:left w:w="108" w:type="dxa"/>
            <w:bottom w:w="0" w:type="dxa"/>
            <w:right w:w="108" w:type="dxa"/>
          </w:tblCellMar>
        </w:tblPrEx>
        <w:trPr>
          <w:trHeight w:val="543" w:hRule="atLeast"/>
          <w:jc w:val="center"/>
        </w:trPr>
        <w:tc>
          <w:tcPr>
            <w:tcW w:w="1358" w:type="dxa"/>
            <w:tcBorders>
              <w:top w:val="nil"/>
              <w:left w:val="single" w:color="auto" w:sz="4" w:space="0"/>
              <w:bottom w:val="single" w:color="auto" w:sz="4" w:space="0"/>
              <w:right w:val="single" w:color="auto" w:sz="4" w:space="0"/>
            </w:tcBorders>
            <w:noWrap w:val="0"/>
            <w:vAlign w:val="center"/>
          </w:tcPr>
          <w:p w14:paraId="0A017804">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其他未列明行业</w:t>
            </w:r>
          </w:p>
        </w:tc>
        <w:tc>
          <w:tcPr>
            <w:tcW w:w="1925" w:type="dxa"/>
            <w:tcBorders>
              <w:top w:val="nil"/>
              <w:left w:val="nil"/>
              <w:bottom w:val="single" w:color="auto" w:sz="4" w:space="0"/>
              <w:right w:val="single" w:color="auto" w:sz="4" w:space="0"/>
            </w:tcBorders>
            <w:noWrap w:val="0"/>
            <w:vAlign w:val="center"/>
          </w:tcPr>
          <w:p w14:paraId="64B04EF6">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从业人员（X）</w:t>
            </w:r>
          </w:p>
        </w:tc>
        <w:tc>
          <w:tcPr>
            <w:tcW w:w="1188" w:type="dxa"/>
            <w:tcBorders>
              <w:top w:val="nil"/>
              <w:left w:val="nil"/>
              <w:bottom w:val="single" w:color="auto" w:sz="4" w:space="0"/>
              <w:right w:val="single" w:color="auto" w:sz="4" w:space="0"/>
            </w:tcBorders>
            <w:noWrap w:val="0"/>
            <w:vAlign w:val="center"/>
          </w:tcPr>
          <w:p w14:paraId="0687D911">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人</w:t>
            </w:r>
          </w:p>
        </w:tc>
        <w:tc>
          <w:tcPr>
            <w:tcW w:w="2037" w:type="dxa"/>
            <w:tcBorders>
              <w:top w:val="nil"/>
              <w:left w:val="nil"/>
              <w:bottom w:val="single" w:color="auto" w:sz="4" w:space="0"/>
              <w:right w:val="single" w:color="auto" w:sz="4" w:space="0"/>
            </w:tcBorders>
            <w:noWrap w:val="0"/>
            <w:vAlign w:val="center"/>
          </w:tcPr>
          <w:p w14:paraId="03E4DF1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100≤X＜300</w:t>
            </w:r>
          </w:p>
        </w:tc>
        <w:tc>
          <w:tcPr>
            <w:tcW w:w="1657" w:type="dxa"/>
            <w:tcBorders>
              <w:top w:val="nil"/>
              <w:left w:val="nil"/>
              <w:bottom w:val="single" w:color="auto" w:sz="4" w:space="0"/>
              <w:right w:val="single" w:color="auto" w:sz="4" w:space="0"/>
            </w:tcBorders>
            <w:noWrap w:val="0"/>
            <w:vAlign w:val="center"/>
          </w:tcPr>
          <w:p w14:paraId="22DCD2B9">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10≤X＜100</w:t>
            </w:r>
          </w:p>
        </w:tc>
        <w:tc>
          <w:tcPr>
            <w:tcW w:w="1091" w:type="dxa"/>
            <w:tcBorders>
              <w:top w:val="nil"/>
              <w:left w:val="nil"/>
              <w:bottom w:val="single" w:color="auto" w:sz="4" w:space="0"/>
              <w:right w:val="single" w:color="auto" w:sz="4" w:space="0"/>
            </w:tcBorders>
            <w:noWrap w:val="0"/>
            <w:vAlign w:val="center"/>
          </w:tcPr>
          <w:p w14:paraId="7CB4E668">
            <w:pPr>
              <w:pageBreakBefore w:val="0"/>
              <w:widowControl/>
              <w:kinsoku w:val="0"/>
              <w:wordWrap w:val="0"/>
              <w:overflowPunct/>
              <w:topLinePunct w:val="0"/>
              <w:autoSpaceDE/>
              <w:autoSpaceDN/>
              <w:bidi w:val="0"/>
              <w:snapToGrid w:val="0"/>
              <w:contextualSpacing/>
              <w:jc w:val="center"/>
              <w:rPr>
                <w:rFonts w:hint="eastAsia" w:ascii="黑体" w:hAnsi="黑体" w:eastAsia="黑体" w:cs="黑体"/>
                <w:b/>
                <w:bCs w:val="0"/>
                <w:color w:val="auto"/>
                <w:kern w:val="0"/>
                <w:sz w:val="22"/>
                <w:szCs w:val="22"/>
                <w:highlight w:val="none"/>
              </w:rPr>
            </w:pPr>
            <w:r>
              <w:rPr>
                <w:rFonts w:hint="eastAsia" w:ascii="黑体" w:hAnsi="黑体" w:eastAsia="黑体" w:cs="黑体"/>
                <w:b/>
                <w:bCs w:val="0"/>
                <w:color w:val="auto"/>
                <w:kern w:val="0"/>
                <w:sz w:val="22"/>
                <w:szCs w:val="22"/>
                <w:highlight w:val="none"/>
              </w:rPr>
              <w:t>X＜10</w:t>
            </w:r>
          </w:p>
        </w:tc>
      </w:tr>
    </w:tbl>
    <w:p w14:paraId="32620C78">
      <w:pPr>
        <w:pageBreakBefore w:val="0"/>
        <w:widowControl/>
        <w:kinsoku w:val="0"/>
        <w:wordWrap w:val="0"/>
        <w:overflowPunct/>
        <w:topLinePunct w:val="0"/>
        <w:autoSpaceDE/>
        <w:autoSpaceDN/>
        <w:bidi w:val="0"/>
        <w:spacing w:before="100" w:beforeAutospacing="1" w:after="100" w:afterAutospacing="1" w:line="360" w:lineRule="auto"/>
        <w:jc w:val="left"/>
        <w:rPr>
          <w:rFonts w:hint="eastAsia" w:ascii="黑体" w:hAnsi="黑体" w:eastAsia="黑体" w:cs="黑体"/>
          <w:color w:val="auto"/>
          <w:kern w:val="0"/>
          <w:sz w:val="24"/>
          <w:szCs w:val="24"/>
          <w:highlight w:val="none"/>
          <w:u w:val="single"/>
        </w:rPr>
      </w:pPr>
      <w:r>
        <w:rPr>
          <w:rFonts w:hint="eastAsia" w:ascii="黑体" w:hAnsi="黑体" w:eastAsia="黑体" w:cs="黑体"/>
          <w:b/>
          <w:color w:val="auto"/>
          <w:sz w:val="24"/>
          <w:szCs w:val="24"/>
          <w:highlight w:val="none"/>
        </w:rPr>
        <w:t>说明：</w:t>
      </w:r>
      <w:r>
        <w:rPr>
          <w:rFonts w:hint="eastAsia" w:ascii="黑体" w:hAnsi="黑体" w:eastAsia="黑体" w:cs="黑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775973FC">
      <w:pPr>
        <w:pStyle w:val="7"/>
        <w:pageBreakBefore w:val="0"/>
        <w:kinsoku w:val="0"/>
        <w:wordWrap w:val="0"/>
        <w:overflowPunct/>
        <w:topLinePunct w:val="0"/>
        <w:autoSpaceDE/>
        <w:autoSpaceDN/>
        <w:bidi w:val="0"/>
        <w:spacing w:before="91" w:line="224" w:lineRule="auto"/>
        <w:ind w:left="2584"/>
        <w:outlineLvl w:val="6"/>
        <w:rPr>
          <w:rFonts w:hint="eastAsia" w:ascii="黑体" w:hAnsi="黑体" w:eastAsia="黑体" w:cs="黑体"/>
          <w:color w:val="auto"/>
          <w:sz w:val="28"/>
          <w:szCs w:val="28"/>
        </w:rPr>
      </w:pPr>
      <w:r>
        <w:rPr>
          <w:rFonts w:hint="eastAsia" w:ascii="黑体" w:hAnsi="黑体" w:eastAsia="黑体" w:cs="黑体"/>
          <w:b/>
          <w:bCs/>
          <w:color w:val="auto"/>
          <w:spacing w:val="-6"/>
          <w:sz w:val="28"/>
          <w:szCs w:val="28"/>
        </w:rPr>
        <w:t>6-</w:t>
      </w:r>
      <w:r>
        <w:rPr>
          <w:rFonts w:hint="eastAsia" w:ascii="黑体" w:hAnsi="黑体" w:eastAsia="黑体" w:cs="黑体"/>
          <w:b/>
          <w:bCs/>
          <w:color w:val="auto"/>
          <w:spacing w:val="-6"/>
          <w:sz w:val="28"/>
          <w:szCs w:val="28"/>
          <w:lang w:val="en-US" w:eastAsia="zh-CN"/>
        </w:rPr>
        <w:t>2</w:t>
      </w:r>
      <w:r>
        <w:rPr>
          <w:rFonts w:hint="eastAsia" w:ascii="黑体" w:hAnsi="黑体" w:eastAsia="黑体" w:cs="黑体"/>
          <w:b/>
          <w:bCs/>
          <w:color w:val="auto"/>
          <w:spacing w:val="-6"/>
          <w:sz w:val="28"/>
          <w:szCs w:val="28"/>
          <w:lang w:eastAsia="zh-CN"/>
        </w:rPr>
        <w:t>、</w:t>
      </w:r>
      <w:r>
        <w:rPr>
          <w:rFonts w:hint="eastAsia" w:ascii="黑体" w:hAnsi="黑体" w:eastAsia="黑体" w:cs="黑体"/>
          <w:b/>
          <w:bCs/>
          <w:color w:val="auto"/>
          <w:spacing w:val="-6"/>
          <w:sz w:val="28"/>
          <w:szCs w:val="28"/>
        </w:rPr>
        <w:t>《监狱企业声明函》</w:t>
      </w:r>
    </w:p>
    <w:p w14:paraId="3D3A02F3">
      <w:pPr>
        <w:pageBreakBefore w:val="0"/>
        <w:kinsoku w:val="0"/>
        <w:wordWrap w:val="0"/>
        <w:overflowPunct/>
        <w:topLinePunct w:val="0"/>
        <w:autoSpaceDE/>
        <w:autoSpaceDN/>
        <w:bidi w:val="0"/>
        <w:spacing w:line="245" w:lineRule="auto"/>
        <w:rPr>
          <w:rFonts w:hint="eastAsia" w:ascii="黑体" w:hAnsi="黑体" w:eastAsia="黑体" w:cs="黑体"/>
          <w:color w:val="auto"/>
          <w:sz w:val="21"/>
        </w:rPr>
      </w:pPr>
    </w:p>
    <w:p w14:paraId="18D8C3B8">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774CEB7E">
      <w:pPr>
        <w:pStyle w:val="7"/>
        <w:pageBreakBefore w:val="0"/>
        <w:kinsoku w:val="0"/>
        <w:wordWrap w:val="0"/>
        <w:overflowPunct/>
        <w:topLinePunct w:val="0"/>
        <w:autoSpaceDE/>
        <w:autoSpaceDN/>
        <w:bidi w:val="0"/>
        <w:spacing w:before="78" w:line="355" w:lineRule="auto"/>
        <w:ind w:left="0" w:leftChars="0" w:right="16" w:firstLine="464" w:firstLineChars="200"/>
        <w:rPr>
          <w:rFonts w:hint="eastAsia" w:ascii="黑体" w:hAnsi="黑体" w:eastAsia="黑体" w:cs="黑体"/>
          <w:color w:val="auto"/>
          <w:spacing w:val="-1"/>
          <w:sz w:val="24"/>
          <w:szCs w:val="24"/>
        </w:rPr>
      </w:pPr>
      <w:r>
        <w:rPr>
          <w:rFonts w:hint="eastAsia" w:ascii="黑体" w:hAnsi="黑体" w:eastAsia="黑体" w:cs="黑体"/>
          <w:color w:val="auto"/>
          <w:spacing w:val="-4"/>
          <w:sz w:val="24"/>
          <w:szCs w:val="24"/>
        </w:rPr>
        <w:t>本公司郑重声明，根据《政府采购促进中小</w:t>
      </w:r>
      <w:r>
        <w:rPr>
          <w:rFonts w:hint="eastAsia" w:ascii="黑体" w:hAnsi="黑体" w:eastAsia="黑体" w:cs="黑体"/>
          <w:color w:val="auto"/>
          <w:spacing w:val="-5"/>
          <w:sz w:val="24"/>
          <w:szCs w:val="24"/>
        </w:rPr>
        <w:t>企业发展管理办法》（财库﹝2020﹞46号）的规定，本公司参加</w:t>
      </w:r>
      <w:r>
        <w:rPr>
          <w:rFonts w:hint="eastAsia" w:ascii="黑体" w:hAnsi="黑体" w:eastAsia="黑体" w:cs="黑体"/>
          <w:color w:val="auto"/>
          <w:spacing w:val="-5"/>
          <w:sz w:val="24"/>
          <w:szCs w:val="24"/>
          <w:u w:val="single" w:color="auto"/>
        </w:rPr>
        <w:t>（单位名称）</w:t>
      </w:r>
      <w:r>
        <w:rPr>
          <w:rFonts w:hint="eastAsia" w:ascii="黑体" w:hAnsi="黑体" w:eastAsia="黑体" w:cs="黑体"/>
          <w:color w:val="auto"/>
          <w:spacing w:val="-5"/>
          <w:sz w:val="24"/>
          <w:szCs w:val="24"/>
        </w:rPr>
        <w:t>的</w:t>
      </w:r>
      <w:r>
        <w:rPr>
          <w:rFonts w:hint="eastAsia" w:ascii="黑体" w:hAnsi="黑体" w:eastAsia="黑体" w:cs="黑体"/>
          <w:color w:val="auto"/>
          <w:spacing w:val="-5"/>
          <w:sz w:val="24"/>
          <w:szCs w:val="24"/>
          <w:u w:val="single" w:color="auto"/>
        </w:rPr>
        <w:t>（项</w:t>
      </w:r>
      <w:r>
        <w:rPr>
          <w:rFonts w:hint="eastAsia" w:ascii="黑体" w:hAnsi="黑体" w:eastAsia="黑体" w:cs="黑体"/>
          <w:color w:val="auto"/>
          <w:spacing w:val="-1"/>
          <w:sz w:val="24"/>
          <w:szCs w:val="24"/>
          <w:u w:val="single" w:color="auto"/>
        </w:rPr>
        <w:t>目名称）</w:t>
      </w:r>
      <w:r>
        <w:rPr>
          <w:rFonts w:hint="eastAsia" w:ascii="黑体" w:hAnsi="黑体" w:eastAsia="黑体" w:cs="黑体"/>
          <w:color w:val="auto"/>
          <w:spacing w:val="-1"/>
          <w:sz w:val="24"/>
          <w:szCs w:val="24"/>
        </w:rPr>
        <w:t>采购活动，服务全部由符合政策要求的中小企业承接。</w:t>
      </w:r>
    </w:p>
    <w:p w14:paraId="4732A11C">
      <w:pPr>
        <w:pStyle w:val="7"/>
        <w:pageBreakBefore w:val="0"/>
        <w:kinsoku w:val="0"/>
        <w:wordWrap w:val="0"/>
        <w:overflowPunct/>
        <w:topLinePunct w:val="0"/>
        <w:autoSpaceDE/>
        <w:autoSpaceDN/>
        <w:bidi w:val="0"/>
        <w:spacing w:before="78" w:line="355" w:lineRule="auto"/>
        <w:ind w:left="0" w:leftChars="0" w:right="16" w:firstLine="476" w:firstLineChars="200"/>
        <w:rPr>
          <w:rFonts w:hint="eastAsia" w:ascii="黑体" w:hAnsi="黑体" w:eastAsia="黑体" w:cs="黑体"/>
          <w:color w:val="auto"/>
          <w:sz w:val="24"/>
          <w:szCs w:val="24"/>
        </w:rPr>
      </w:pPr>
      <w:r>
        <w:rPr>
          <w:rFonts w:hint="eastAsia" w:ascii="黑体" w:hAnsi="黑体" w:eastAsia="黑体" w:cs="黑体"/>
          <w:color w:val="auto"/>
          <w:spacing w:val="-1"/>
          <w:sz w:val="24"/>
          <w:szCs w:val="24"/>
        </w:rPr>
        <w:t>相关企业</w:t>
      </w:r>
      <w:r>
        <w:rPr>
          <w:rFonts w:hint="eastAsia" w:ascii="黑体" w:hAnsi="黑体" w:eastAsia="黑体" w:cs="黑体"/>
          <w:color w:val="auto"/>
          <w:spacing w:val="-4"/>
          <w:sz w:val="24"/>
          <w:szCs w:val="24"/>
        </w:rPr>
        <w:t>的具体情况如下：</w:t>
      </w:r>
    </w:p>
    <w:p w14:paraId="5DDDA482">
      <w:pPr>
        <w:pStyle w:val="7"/>
        <w:pageBreakBefore w:val="0"/>
        <w:kinsoku w:val="0"/>
        <w:wordWrap w:val="0"/>
        <w:overflowPunct/>
        <w:topLinePunct w:val="0"/>
        <w:autoSpaceDE/>
        <w:autoSpaceDN/>
        <w:bidi w:val="0"/>
        <w:spacing w:before="191" w:line="406"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5"/>
          <w:sz w:val="24"/>
          <w:szCs w:val="24"/>
        </w:rPr>
        <w:t>1.</w:t>
      </w:r>
      <w:r>
        <w:rPr>
          <w:rFonts w:hint="eastAsia" w:ascii="黑体" w:hAnsi="黑体" w:eastAsia="黑体" w:cs="黑体"/>
          <w:color w:val="auto"/>
          <w:spacing w:val="-5"/>
          <w:sz w:val="24"/>
          <w:szCs w:val="24"/>
          <w:u w:val="single" w:color="auto"/>
        </w:rPr>
        <w:t>（标的名称</w:t>
      </w:r>
      <w:r>
        <w:rPr>
          <w:rFonts w:hint="eastAsia" w:ascii="黑体" w:hAnsi="黑体" w:eastAsia="黑体" w:cs="黑体"/>
          <w:color w:val="auto"/>
          <w:spacing w:val="17"/>
          <w:sz w:val="24"/>
          <w:szCs w:val="24"/>
          <w:u w:val="single" w:color="auto"/>
        </w:rPr>
        <w:t>）</w:t>
      </w:r>
      <w:r>
        <w:rPr>
          <w:rFonts w:hint="eastAsia" w:ascii="黑体" w:hAnsi="黑体" w:eastAsia="黑体" w:cs="黑体"/>
          <w:color w:val="auto"/>
          <w:spacing w:val="17"/>
          <w:sz w:val="24"/>
          <w:szCs w:val="24"/>
        </w:rPr>
        <w:t>，</w:t>
      </w:r>
      <w:r>
        <w:rPr>
          <w:rFonts w:hint="eastAsia" w:ascii="黑体" w:hAnsi="黑体" w:eastAsia="黑体" w:cs="黑体"/>
          <w:color w:val="auto"/>
          <w:spacing w:val="-5"/>
          <w:sz w:val="24"/>
          <w:szCs w:val="24"/>
        </w:rPr>
        <w:t>承接单位为</w:t>
      </w:r>
      <w:r>
        <w:rPr>
          <w:rFonts w:hint="eastAsia" w:ascii="黑体" w:hAnsi="黑体" w:eastAsia="黑体" w:cs="黑体"/>
          <w:color w:val="auto"/>
          <w:spacing w:val="-5"/>
          <w:sz w:val="24"/>
          <w:szCs w:val="24"/>
          <w:u w:val="single" w:color="auto"/>
        </w:rPr>
        <w:t>（企业名称</w:t>
      </w:r>
      <w:r>
        <w:rPr>
          <w:rFonts w:hint="eastAsia" w:ascii="黑体" w:hAnsi="黑体" w:eastAsia="黑体" w:cs="黑体"/>
          <w:color w:val="auto"/>
          <w:spacing w:val="17"/>
          <w:sz w:val="24"/>
          <w:szCs w:val="24"/>
          <w:u w:val="single" w:color="auto"/>
        </w:rPr>
        <w:t>）</w:t>
      </w:r>
      <w:r>
        <w:rPr>
          <w:rFonts w:hint="eastAsia" w:ascii="黑体" w:hAnsi="黑体" w:eastAsia="黑体" w:cs="黑体"/>
          <w:color w:val="auto"/>
          <w:spacing w:val="17"/>
          <w:sz w:val="24"/>
          <w:szCs w:val="24"/>
        </w:rPr>
        <w:t>，</w:t>
      </w:r>
      <w:r>
        <w:rPr>
          <w:rFonts w:hint="eastAsia" w:ascii="黑体" w:hAnsi="黑体" w:eastAsia="黑体" w:cs="黑体"/>
          <w:color w:val="auto"/>
          <w:spacing w:val="-5"/>
          <w:sz w:val="24"/>
          <w:szCs w:val="24"/>
        </w:rPr>
        <w:t>属于</w:t>
      </w:r>
      <w:r>
        <w:rPr>
          <w:rFonts w:hint="eastAsia" w:ascii="黑体" w:hAnsi="黑体" w:eastAsia="黑体" w:cs="黑体"/>
          <w:color w:val="auto"/>
          <w:spacing w:val="-5"/>
          <w:sz w:val="24"/>
          <w:szCs w:val="24"/>
          <w:u w:val="single" w:color="auto"/>
        </w:rPr>
        <w:t>监狱企业</w:t>
      </w:r>
      <w:r>
        <w:rPr>
          <w:rFonts w:hint="eastAsia" w:ascii="黑体" w:hAnsi="黑体" w:eastAsia="黑体" w:cs="黑体"/>
          <w:color w:val="auto"/>
          <w:spacing w:val="-5"/>
          <w:sz w:val="24"/>
          <w:szCs w:val="24"/>
        </w:rPr>
        <w:t>；</w:t>
      </w:r>
    </w:p>
    <w:p w14:paraId="040BCCA0">
      <w:pPr>
        <w:pStyle w:val="7"/>
        <w:pageBreakBefore w:val="0"/>
        <w:kinsoku w:val="0"/>
        <w:wordWrap w:val="0"/>
        <w:overflowPunct/>
        <w:topLinePunct w:val="0"/>
        <w:autoSpaceDE/>
        <w:autoSpaceDN/>
        <w:bidi w:val="0"/>
        <w:spacing w:before="1" w:line="220"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4"/>
          <w:sz w:val="24"/>
          <w:szCs w:val="24"/>
        </w:rPr>
        <w:t>2.</w:t>
      </w:r>
      <w:r>
        <w:rPr>
          <w:rFonts w:hint="eastAsia" w:ascii="黑体" w:hAnsi="黑体" w:eastAsia="黑体" w:cs="黑体"/>
          <w:color w:val="auto"/>
          <w:spacing w:val="-4"/>
          <w:sz w:val="24"/>
          <w:szCs w:val="24"/>
          <w:u w:val="single" w:color="auto"/>
        </w:rPr>
        <w:t>（标的名称</w:t>
      </w:r>
      <w:r>
        <w:rPr>
          <w:rFonts w:hint="eastAsia" w:ascii="黑体" w:hAnsi="黑体" w:eastAsia="黑体" w:cs="黑体"/>
          <w:color w:val="auto"/>
          <w:spacing w:val="17"/>
          <w:sz w:val="24"/>
          <w:szCs w:val="24"/>
          <w:u w:val="single" w:color="auto"/>
        </w:rPr>
        <w:t>）</w:t>
      </w:r>
      <w:r>
        <w:rPr>
          <w:rFonts w:hint="eastAsia" w:ascii="黑体" w:hAnsi="黑体" w:eastAsia="黑体" w:cs="黑体"/>
          <w:color w:val="auto"/>
          <w:spacing w:val="17"/>
          <w:sz w:val="24"/>
          <w:szCs w:val="24"/>
        </w:rPr>
        <w:t>，</w:t>
      </w:r>
      <w:r>
        <w:rPr>
          <w:rFonts w:hint="eastAsia" w:ascii="黑体" w:hAnsi="黑体" w:eastAsia="黑体" w:cs="黑体"/>
          <w:color w:val="auto"/>
          <w:spacing w:val="-4"/>
          <w:sz w:val="24"/>
          <w:szCs w:val="24"/>
        </w:rPr>
        <w:t>承接单位为</w:t>
      </w:r>
      <w:r>
        <w:rPr>
          <w:rFonts w:hint="eastAsia" w:ascii="黑体" w:hAnsi="黑体" w:eastAsia="黑体" w:cs="黑体"/>
          <w:color w:val="auto"/>
          <w:spacing w:val="-4"/>
          <w:sz w:val="24"/>
          <w:szCs w:val="24"/>
          <w:u w:val="single" w:color="auto"/>
        </w:rPr>
        <w:t>（企业名称</w:t>
      </w:r>
      <w:r>
        <w:rPr>
          <w:rFonts w:hint="eastAsia" w:ascii="黑体" w:hAnsi="黑体" w:eastAsia="黑体" w:cs="黑体"/>
          <w:color w:val="auto"/>
          <w:spacing w:val="17"/>
          <w:sz w:val="24"/>
          <w:szCs w:val="24"/>
          <w:u w:val="single" w:color="auto"/>
        </w:rPr>
        <w:t>）</w:t>
      </w:r>
      <w:r>
        <w:rPr>
          <w:rFonts w:hint="eastAsia" w:ascii="黑体" w:hAnsi="黑体" w:eastAsia="黑体" w:cs="黑体"/>
          <w:color w:val="auto"/>
          <w:spacing w:val="17"/>
          <w:sz w:val="24"/>
          <w:szCs w:val="24"/>
        </w:rPr>
        <w:t>，</w:t>
      </w:r>
      <w:r>
        <w:rPr>
          <w:rFonts w:hint="eastAsia" w:ascii="黑体" w:hAnsi="黑体" w:eastAsia="黑体" w:cs="黑体"/>
          <w:color w:val="auto"/>
          <w:spacing w:val="-4"/>
          <w:sz w:val="24"/>
          <w:szCs w:val="24"/>
        </w:rPr>
        <w:t>属于</w:t>
      </w:r>
      <w:r>
        <w:rPr>
          <w:rFonts w:hint="eastAsia" w:ascii="黑体" w:hAnsi="黑体" w:eastAsia="黑体" w:cs="黑体"/>
          <w:color w:val="auto"/>
          <w:spacing w:val="-4"/>
          <w:sz w:val="24"/>
          <w:szCs w:val="24"/>
          <w:u w:val="single" w:color="auto"/>
        </w:rPr>
        <w:t>监狱企业</w:t>
      </w:r>
      <w:r>
        <w:rPr>
          <w:rFonts w:hint="eastAsia" w:ascii="黑体" w:hAnsi="黑体" w:eastAsia="黑体" w:cs="黑体"/>
          <w:color w:val="auto"/>
          <w:spacing w:val="-4"/>
          <w:sz w:val="24"/>
          <w:szCs w:val="24"/>
        </w:rPr>
        <w:t>。</w:t>
      </w:r>
    </w:p>
    <w:p w14:paraId="740614E5">
      <w:pPr>
        <w:pStyle w:val="7"/>
        <w:pageBreakBefore w:val="0"/>
        <w:kinsoku w:val="0"/>
        <w:wordWrap w:val="0"/>
        <w:overflowPunct/>
        <w:topLinePunct w:val="0"/>
        <w:autoSpaceDE/>
        <w:autoSpaceDN/>
        <w:bidi w:val="0"/>
        <w:spacing w:before="310" w:line="383" w:lineRule="exact"/>
        <w:ind w:left="49" w:leftChars="0" w:hanging="49" w:hangingChars="23"/>
        <w:rPr>
          <w:rFonts w:hint="eastAsia" w:ascii="黑体" w:hAnsi="黑体" w:eastAsia="黑体" w:cs="黑体"/>
          <w:color w:val="auto"/>
          <w:sz w:val="24"/>
          <w:szCs w:val="24"/>
        </w:rPr>
      </w:pPr>
      <w:r>
        <w:rPr>
          <w:rFonts w:hint="eastAsia" w:ascii="黑体" w:hAnsi="黑体" w:eastAsia="黑体" w:cs="黑体"/>
          <w:color w:val="auto"/>
          <w:spacing w:val="-13"/>
          <w:position w:val="3"/>
          <w:sz w:val="24"/>
          <w:szCs w:val="24"/>
        </w:rPr>
        <w:t>……</w:t>
      </w:r>
    </w:p>
    <w:p w14:paraId="110BB891">
      <w:pPr>
        <w:pStyle w:val="7"/>
        <w:pageBreakBefore w:val="0"/>
        <w:kinsoku w:val="0"/>
        <w:wordWrap w:val="0"/>
        <w:overflowPunct/>
        <w:topLinePunct w:val="0"/>
        <w:autoSpaceDE/>
        <w:autoSpaceDN/>
        <w:bidi w:val="0"/>
        <w:spacing w:before="30" w:line="220" w:lineRule="auto"/>
        <w:ind w:left="54" w:leftChars="0" w:hanging="54" w:hangingChars="23"/>
        <w:rPr>
          <w:rFonts w:hint="eastAsia" w:ascii="黑体" w:hAnsi="黑体" w:eastAsia="黑体" w:cs="黑体"/>
          <w:color w:val="auto"/>
          <w:sz w:val="24"/>
          <w:szCs w:val="24"/>
        </w:rPr>
      </w:pPr>
      <w:r>
        <w:rPr>
          <w:rFonts w:hint="eastAsia" w:ascii="黑体" w:hAnsi="黑体" w:eastAsia="黑体" w:cs="黑体"/>
          <w:color w:val="auto"/>
          <w:spacing w:val="-2"/>
          <w:sz w:val="24"/>
          <w:szCs w:val="24"/>
        </w:rPr>
        <w:t>本单位对上述声明的真实性负责。如有虚假，依法承担相应责任。</w:t>
      </w:r>
    </w:p>
    <w:p w14:paraId="5F044EA0">
      <w:pPr>
        <w:pageBreakBefore w:val="0"/>
        <w:kinsoku w:val="0"/>
        <w:wordWrap w:val="0"/>
        <w:overflowPunct/>
        <w:topLinePunct w:val="0"/>
        <w:autoSpaceDE/>
        <w:autoSpaceDN/>
        <w:bidi w:val="0"/>
        <w:spacing w:line="278" w:lineRule="auto"/>
        <w:rPr>
          <w:rFonts w:hint="eastAsia" w:ascii="黑体" w:hAnsi="黑体" w:eastAsia="黑体" w:cs="黑体"/>
          <w:color w:val="auto"/>
          <w:sz w:val="21"/>
        </w:rPr>
      </w:pPr>
    </w:p>
    <w:p w14:paraId="325EE235">
      <w:pPr>
        <w:pStyle w:val="7"/>
        <w:pageBreakBefore w:val="0"/>
        <w:kinsoku w:val="0"/>
        <w:wordWrap w:val="0"/>
        <w:overflowPunct/>
        <w:topLinePunct w:val="0"/>
        <w:autoSpaceDE/>
        <w:autoSpaceDN/>
        <w:bidi w:val="0"/>
        <w:spacing w:before="78" w:line="478" w:lineRule="exact"/>
        <w:ind w:left="53" w:leftChars="0" w:hanging="53" w:hangingChars="23"/>
        <w:rPr>
          <w:rFonts w:hint="eastAsia" w:ascii="黑体" w:hAnsi="黑体" w:eastAsia="黑体" w:cs="黑体"/>
          <w:color w:val="auto"/>
          <w:spacing w:val="-3"/>
          <w:position w:val="17"/>
          <w:sz w:val="24"/>
          <w:szCs w:val="24"/>
        </w:rPr>
      </w:pPr>
      <w:r>
        <w:rPr>
          <w:rFonts w:hint="eastAsia" w:ascii="黑体" w:hAnsi="黑体" w:eastAsia="黑体" w:cs="黑体"/>
          <w:color w:val="auto"/>
          <w:spacing w:val="-3"/>
          <w:position w:val="17"/>
          <w:sz w:val="24"/>
          <w:szCs w:val="24"/>
        </w:rPr>
        <w:t>附：省级以上监狱管理局、戒毒管理局（含新疆生产建设兵团）出具的监狱企业证明文件。</w:t>
      </w:r>
    </w:p>
    <w:p w14:paraId="33C2A26C">
      <w:pPr>
        <w:pageBreakBefore w:val="0"/>
        <w:kinsoku w:val="0"/>
        <w:wordWrap w:val="0"/>
        <w:overflowPunct/>
        <w:topLinePunct w:val="0"/>
        <w:autoSpaceDE/>
        <w:autoSpaceDN/>
        <w:bidi w:val="0"/>
        <w:spacing w:line="289" w:lineRule="auto"/>
        <w:rPr>
          <w:rFonts w:hint="eastAsia" w:ascii="黑体" w:hAnsi="黑体" w:eastAsia="黑体" w:cs="黑体"/>
          <w:color w:val="auto"/>
          <w:sz w:val="21"/>
        </w:rPr>
      </w:pPr>
    </w:p>
    <w:p w14:paraId="596AF435">
      <w:pPr>
        <w:pStyle w:val="7"/>
        <w:pageBreakBefore w:val="0"/>
        <w:kinsoku w:val="0"/>
        <w:wordWrap w:val="0"/>
        <w:overflowPunct/>
        <w:topLinePunct w:val="0"/>
        <w:autoSpaceDE/>
        <w:autoSpaceDN/>
        <w:bidi w:val="0"/>
        <w:spacing w:before="79" w:line="360" w:lineRule="auto"/>
        <w:ind w:left="53" w:leftChars="0" w:hanging="53" w:hangingChars="23"/>
        <w:rPr>
          <w:rFonts w:hint="eastAsia" w:ascii="黑体" w:hAnsi="黑体" w:eastAsia="黑体" w:cs="黑体"/>
          <w:color w:val="auto"/>
          <w:sz w:val="24"/>
          <w:szCs w:val="24"/>
        </w:rPr>
      </w:pPr>
      <w:r>
        <w:rPr>
          <w:rFonts w:hint="eastAsia" w:ascii="黑体" w:hAnsi="黑体" w:eastAsia="黑体" w:cs="黑体"/>
          <w:color w:val="auto"/>
          <w:spacing w:val="-4"/>
          <w:sz w:val="24"/>
          <w:szCs w:val="24"/>
        </w:rPr>
        <w:t>供应商（盖单位公章</w:t>
      </w:r>
      <w:r>
        <w:rPr>
          <w:rFonts w:hint="eastAsia" w:ascii="黑体" w:hAnsi="黑体" w:eastAsia="黑体" w:cs="黑体"/>
          <w:color w:val="auto"/>
          <w:sz w:val="24"/>
          <w:szCs w:val="24"/>
        </w:rPr>
        <w:t>）：</w:t>
      </w:r>
      <w:r>
        <w:rPr>
          <w:rFonts w:hint="eastAsia" w:ascii="黑体" w:hAnsi="黑体" w:eastAsia="黑体" w:cs="黑体"/>
          <w:color w:val="auto"/>
          <w:spacing w:val="-14"/>
          <w:sz w:val="24"/>
          <w:szCs w:val="24"/>
          <w:u w:val="single"/>
          <w:lang w:val="en-US" w:eastAsia="zh-CN"/>
        </w:rPr>
        <w:t xml:space="preserve">                          </w:t>
      </w:r>
    </w:p>
    <w:p w14:paraId="504DAE90">
      <w:pPr>
        <w:pageBreakBefore w:val="0"/>
        <w:kinsoku w:val="0"/>
        <w:wordWrap w:val="0"/>
        <w:overflowPunct/>
        <w:topLinePunct w:val="0"/>
        <w:autoSpaceDE/>
        <w:autoSpaceDN/>
        <w:bidi w:val="0"/>
        <w:spacing w:line="240" w:lineRule="auto"/>
        <w:ind w:left="0"/>
        <w:jc w:val="left"/>
        <w:rPr>
          <w:rFonts w:hint="eastAsia" w:ascii="黑体" w:hAnsi="黑体" w:eastAsia="黑体" w:cs="黑体"/>
          <w:color w:val="auto"/>
          <w:sz w:val="24"/>
          <w:szCs w:val="24"/>
        </w:rPr>
      </w:pPr>
      <w:r>
        <w:rPr>
          <w:rFonts w:hint="eastAsia" w:ascii="黑体" w:hAnsi="黑体" w:eastAsia="黑体" w:cs="黑体"/>
          <w:color w:val="auto"/>
          <w:spacing w:val="-5"/>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年</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日</w:t>
      </w:r>
    </w:p>
    <w:p w14:paraId="1A661FB4">
      <w:pPr>
        <w:pageBreakBefore w:val="0"/>
        <w:kinsoku w:val="0"/>
        <w:wordWrap w:val="0"/>
        <w:overflowPunct/>
        <w:topLinePunct w:val="0"/>
        <w:autoSpaceDE/>
        <w:autoSpaceDN/>
        <w:bidi w:val="0"/>
        <w:spacing w:line="360" w:lineRule="auto"/>
        <w:ind w:left="55" w:leftChars="0" w:hanging="55" w:hangingChars="23"/>
        <w:rPr>
          <w:rFonts w:hint="eastAsia" w:ascii="黑体" w:hAnsi="黑体" w:eastAsia="黑体" w:cs="黑体"/>
          <w:color w:val="auto"/>
          <w:sz w:val="24"/>
          <w:szCs w:val="24"/>
        </w:rPr>
        <w:sectPr>
          <w:footerReference r:id="rId22" w:type="default"/>
          <w:pgSz w:w="11906" w:h="16840"/>
          <w:pgMar w:top="1431" w:right="1785" w:bottom="1361" w:left="1785" w:header="0" w:footer="1147" w:gutter="0"/>
          <w:pgNumType w:fmt="decimal"/>
          <w:cols w:space="720" w:num="1"/>
        </w:sectPr>
      </w:pPr>
    </w:p>
    <w:p w14:paraId="37E6A3ED">
      <w:pPr>
        <w:pStyle w:val="6"/>
        <w:pageBreakBefore w:val="0"/>
        <w:kinsoku w:val="0"/>
        <w:wordWrap w:val="0"/>
        <w:overflowPunct/>
        <w:topLinePunct w:val="0"/>
        <w:autoSpaceDE/>
        <w:autoSpaceDN/>
        <w:bidi w:val="0"/>
        <w:rPr>
          <w:rFonts w:hint="eastAsia" w:ascii="黑体" w:hAnsi="黑体" w:eastAsia="黑体" w:cs="黑体"/>
          <w:color w:val="auto"/>
        </w:rPr>
      </w:pPr>
    </w:p>
    <w:p w14:paraId="672BEA48">
      <w:pPr>
        <w:pStyle w:val="7"/>
        <w:pageBreakBefore w:val="0"/>
        <w:kinsoku w:val="0"/>
        <w:wordWrap w:val="0"/>
        <w:overflowPunct/>
        <w:topLinePunct w:val="0"/>
        <w:autoSpaceDE/>
        <w:autoSpaceDN/>
        <w:bidi w:val="0"/>
        <w:spacing w:before="91" w:line="221" w:lineRule="auto"/>
        <w:ind w:left="2222"/>
        <w:rPr>
          <w:rFonts w:hint="eastAsia" w:ascii="黑体" w:hAnsi="黑体" w:eastAsia="黑体" w:cs="黑体"/>
          <w:color w:val="auto"/>
          <w:sz w:val="28"/>
          <w:szCs w:val="28"/>
        </w:rPr>
      </w:pPr>
      <w:r>
        <w:rPr>
          <w:rFonts w:hint="eastAsia" w:ascii="黑体" w:hAnsi="黑体" w:eastAsia="黑体" w:cs="黑体"/>
          <w:b/>
          <w:bCs/>
          <w:color w:val="auto"/>
          <w:spacing w:val="-6"/>
          <w:sz w:val="28"/>
          <w:szCs w:val="28"/>
        </w:rPr>
        <w:t>6-</w:t>
      </w:r>
      <w:r>
        <w:rPr>
          <w:rFonts w:hint="eastAsia" w:ascii="黑体" w:hAnsi="黑体" w:eastAsia="黑体" w:cs="黑体"/>
          <w:b/>
          <w:bCs/>
          <w:color w:val="auto"/>
          <w:spacing w:val="-6"/>
          <w:sz w:val="28"/>
          <w:szCs w:val="28"/>
          <w:lang w:val="en-US" w:eastAsia="zh-CN"/>
        </w:rPr>
        <w:t>3</w:t>
      </w:r>
      <w:r>
        <w:rPr>
          <w:rFonts w:hint="eastAsia" w:ascii="黑体" w:hAnsi="黑体" w:eastAsia="黑体" w:cs="黑体"/>
          <w:color w:val="auto"/>
          <w:spacing w:val="-6"/>
          <w:sz w:val="28"/>
          <w:szCs w:val="28"/>
          <w:lang w:eastAsia="zh-CN"/>
        </w:rPr>
        <w:t>、</w:t>
      </w:r>
      <w:r>
        <w:rPr>
          <w:rFonts w:hint="eastAsia" w:ascii="黑体" w:hAnsi="黑体" w:eastAsia="黑体" w:cs="黑体"/>
          <w:b/>
          <w:bCs/>
          <w:color w:val="auto"/>
          <w:spacing w:val="-6"/>
          <w:sz w:val="28"/>
          <w:szCs w:val="28"/>
        </w:rPr>
        <w:t>残疾人福利性单位声明函</w:t>
      </w:r>
    </w:p>
    <w:p w14:paraId="3B9FE1AA">
      <w:pPr>
        <w:pageBreakBefore w:val="0"/>
        <w:kinsoku w:val="0"/>
        <w:wordWrap w:val="0"/>
        <w:overflowPunct/>
        <w:topLinePunct w:val="0"/>
        <w:autoSpaceDE/>
        <w:autoSpaceDN/>
        <w:bidi w:val="0"/>
        <w:spacing w:line="259" w:lineRule="auto"/>
        <w:rPr>
          <w:rFonts w:hint="eastAsia" w:ascii="黑体" w:hAnsi="黑体" w:eastAsia="黑体" w:cs="黑体"/>
          <w:color w:val="auto"/>
          <w:sz w:val="21"/>
        </w:rPr>
      </w:pPr>
    </w:p>
    <w:p w14:paraId="1278CFA5">
      <w:pPr>
        <w:pageBreakBefore w:val="0"/>
        <w:kinsoku w:val="0"/>
        <w:wordWrap w:val="0"/>
        <w:overflowPunct/>
        <w:topLinePunct w:val="0"/>
        <w:autoSpaceDE/>
        <w:autoSpaceDN/>
        <w:bidi w:val="0"/>
        <w:spacing w:line="259" w:lineRule="auto"/>
        <w:rPr>
          <w:rFonts w:hint="eastAsia" w:ascii="黑体" w:hAnsi="黑体" w:eastAsia="黑体" w:cs="黑体"/>
          <w:color w:val="auto"/>
          <w:sz w:val="21"/>
        </w:rPr>
      </w:pPr>
    </w:p>
    <w:p w14:paraId="550C093E">
      <w:pPr>
        <w:pStyle w:val="7"/>
        <w:pageBreakBefore w:val="0"/>
        <w:tabs>
          <w:tab w:val="left" w:pos="8200"/>
        </w:tabs>
        <w:kinsoku w:val="0"/>
        <w:wordWrap w:val="0"/>
        <w:overflowPunct/>
        <w:topLinePunct w:val="0"/>
        <w:autoSpaceDE/>
        <w:autoSpaceDN/>
        <w:bidi w:val="0"/>
        <w:spacing w:before="78" w:line="360" w:lineRule="auto"/>
        <w:ind w:left="0" w:leftChars="0" w:right="136" w:rightChars="0" w:firstLine="435" w:firstLineChars="196"/>
        <w:jc w:val="both"/>
        <w:rPr>
          <w:rFonts w:hint="eastAsia" w:ascii="黑体" w:hAnsi="黑体" w:eastAsia="黑体" w:cs="黑体"/>
          <w:color w:val="auto"/>
          <w:sz w:val="24"/>
          <w:szCs w:val="24"/>
        </w:rPr>
      </w:pPr>
      <w:r>
        <w:rPr>
          <w:rFonts w:hint="eastAsia" w:ascii="黑体" w:hAnsi="黑体" w:eastAsia="黑体" w:cs="黑体"/>
          <w:color w:val="auto"/>
          <w:spacing w:val="-9"/>
          <w:sz w:val="24"/>
          <w:szCs w:val="24"/>
        </w:rPr>
        <w:t>本单位郑重声明，根据《财政部民政部中国残疾人联合会关于促进残疾</w:t>
      </w:r>
      <w:r>
        <w:rPr>
          <w:rFonts w:hint="eastAsia" w:ascii="黑体" w:hAnsi="黑体" w:eastAsia="黑体" w:cs="黑体"/>
          <w:color w:val="auto"/>
          <w:sz w:val="24"/>
          <w:szCs w:val="24"/>
        </w:rPr>
        <w:t>人就业政府采购政策的通知》（财库〔2017〕141号）的规定，本单位为符合</w:t>
      </w:r>
      <w:r>
        <w:rPr>
          <w:rFonts w:hint="eastAsia" w:ascii="黑体" w:hAnsi="黑体" w:eastAsia="黑体" w:cs="黑体"/>
          <w:color w:val="auto"/>
          <w:spacing w:val="-3"/>
          <w:sz w:val="24"/>
          <w:szCs w:val="24"/>
        </w:rPr>
        <w:t>条件的残疾人福利性单位，且本单位参加单位的项目采购活动提</w:t>
      </w:r>
      <w:r>
        <w:rPr>
          <w:rFonts w:hint="eastAsia" w:ascii="黑体" w:hAnsi="黑体" w:eastAsia="黑体" w:cs="黑体"/>
          <w:color w:val="auto"/>
          <w:sz w:val="24"/>
          <w:szCs w:val="24"/>
        </w:rPr>
        <w:t>供本单位制造的货物，或者提供其他残疾人福利性单位制造的货物（不包括使</w:t>
      </w:r>
      <w:r>
        <w:rPr>
          <w:rFonts w:hint="eastAsia" w:ascii="黑体" w:hAnsi="黑体" w:eastAsia="黑体" w:cs="黑体"/>
          <w:color w:val="auto"/>
          <w:spacing w:val="-2"/>
          <w:sz w:val="24"/>
          <w:szCs w:val="24"/>
        </w:rPr>
        <w:t>用非残疾人福利性单位注册商标的货物）。</w:t>
      </w:r>
    </w:p>
    <w:p w14:paraId="3F854E81">
      <w:pPr>
        <w:pStyle w:val="7"/>
        <w:pageBreakBefore w:val="0"/>
        <w:kinsoku w:val="0"/>
        <w:wordWrap w:val="0"/>
        <w:overflowPunct/>
        <w:topLinePunct w:val="0"/>
        <w:autoSpaceDE/>
        <w:autoSpaceDN/>
        <w:bidi w:val="0"/>
        <w:spacing w:before="30" w:line="360" w:lineRule="auto"/>
        <w:ind w:left="44" w:leftChars="0" w:hanging="44" w:hangingChars="19"/>
        <w:rPr>
          <w:rFonts w:hint="eastAsia" w:ascii="黑体" w:hAnsi="黑体" w:eastAsia="黑体" w:cs="黑体"/>
          <w:color w:val="auto"/>
          <w:sz w:val="24"/>
          <w:szCs w:val="24"/>
        </w:rPr>
      </w:pPr>
      <w:r>
        <w:rPr>
          <w:rFonts w:hint="eastAsia" w:ascii="黑体" w:hAnsi="黑体" w:eastAsia="黑体" w:cs="黑体"/>
          <w:color w:val="auto"/>
          <w:spacing w:val="-2"/>
          <w:sz w:val="24"/>
          <w:szCs w:val="24"/>
        </w:rPr>
        <w:t>本单位对上述声明的真实性负责。如有虚假，将依法承担相应责任。</w:t>
      </w:r>
    </w:p>
    <w:p w14:paraId="17D7BED8">
      <w:pPr>
        <w:pageBreakBefore w:val="0"/>
        <w:kinsoku w:val="0"/>
        <w:wordWrap w:val="0"/>
        <w:overflowPunct/>
        <w:topLinePunct w:val="0"/>
        <w:autoSpaceDE/>
        <w:autoSpaceDN/>
        <w:bidi w:val="0"/>
        <w:spacing w:line="289" w:lineRule="auto"/>
        <w:ind w:left="39" w:leftChars="0" w:hanging="39" w:hangingChars="19"/>
        <w:rPr>
          <w:rFonts w:hint="eastAsia" w:ascii="黑体" w:hAnsi="黑体" w:eastAsia="黑体" w:cs="黑体"/>
          <w:color w:val="auto"/>
          <w:sz w:val="21"/>
        </w:rPr>
      </w:pPr>
    </w:p>
    <w:p w14:paraId="61A39A5F">
      <w:pPr>
        <w:pageBreakBefore w:val="0"/>
        <w:kinsoku w:val="0"/>
        <w:wordWrap w:val="0"/>
        <w:overflowPunct/>
        <w:topLinePunct w:val="0"/>
        <w:autoSpaceDE/>
        <w:autoSpaceDN/>
        <w:bidi w:val="0"/>
        <w:spacing w:line="289" w:lineRule="auto"/>
        <w:rPr>
          <w:rFonts w:hint="eastAsia" w:ascii="黑体" w:hAnsi="黑体" w:eastAsia="黑体" w:cs="黑体"/>
          <w:color w:val="auto"/>
          <w:sz w:val="21"/>
        </w:rPr>
      </w:pPr>
    </w:p>
    <w:p w14:paraId="360CC0A7">
      <w:pPr>
        <w:pStyle w:val="7"/>
        <w:pageBreakBefore w:val="0"/>
        <w:kinsoku w:val="0"/>
        <w:wordWrap w:val="0"/>
        <w:overflowPunct/>
        <w:topLinePunct w:val="0"/>
        <w:autoSpaceDE/>
        <w:autoSpaceDN/>
        <w:bidi w:val="0"/>
        <w:spacing w:before="78" w:line="360" w:lineRule="auto"/>
        <w:ind w:left="2730"/>
        <w:jc w:val="right"/>
        <w:rPr>
          <w:rFonts w:hint="eastAsia" w:ascii="黑体" w:hAnsi="黑体" w:eastAsia="黑体" w:cs="黑体"/>
          <w:color w:val="auto"/>
          <w:sz w:val="24"/>
          <w:szCs w:val="24"/>
        </w:rPr>
      </w:pPr>
      <w:r>
        <w:rPr>
          <w:rFonts w:hint="eastAsia" w:ascii="黑体" w:hAnsi="黑体" w:eastAsia="黑体" w:cs="黑体"/>
          <w:color w:val="auto"/>
          <w:spacing w:val="-4"/>
          <w:sz w:val="24"/>
          <w:szCs w:val="24"/>
        </w:rPr>
        <w:t>残疾人福利性单位名称（盖单位公章</w:t>
      </w:r>
      <w:r>
        <w:rPr>
          <w:rFonts w:hint="eastAsia" w:ascii="黑体" w:hAnsi="黑体" w:eastAsia="黑体" w:cs="黑体"/>
          <w:color w:val="auto"/>
          <w:spacing w:val="13"/>
          <w:sz w:val="24"/>
          <w:szCs w:val="24"/>
        </w:rPr>
        <w:t>）：</w:t>
      </w:r>
    </w:p>
    <w:p w14:paraId="04EECD0D">
      <w:pPr>
        <w:pageBreakBefore w:val="0"/>
        <w:kinsoku w:val="0"/>
        <w:wordWrap w:val="0"/>
        <w:overflowPunct/>
        <w:topLinePunct w:val="0"/>
        <w:autoSpaceDE/>
        <w:autoSpaceDN/>
        <w:bidi w:val="0"/>
        <w:spacing w:line="240" w:lineRule="auto"/>
        <w:ind w:left="0"/>
        <w:jc w:val="right"/>
        <w:rPr>
          <w:rFonts w:hint="eastAsia" w:ascii="黑体" w:hAnsi="黑体" w:eastAsia="黑体" w:cs="黑体"/>
          <w:color w:val="auto"/>
          <w:sz w:val="24"/>
          <w:szCs w:val="24"/>
        </w:rPr>
      </w:pPr>
      <w:r>
        <w:rPr>
          <w:rFonts w:hint="eastAsia" w:ascii="黑体" w:hAnsi="黑体" w:eastAsia="黑体" w:cs="黑体"/>
          <w:color w:val="auto"/>
          <w:spacing w:val="-5"/>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年</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日</w:t>
      </w:r>
    </w:p>
    <w:p w14:paraId="5871C8D8">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sectPr>
          <w:footerReference r:id="rId23" w:type="default"/>
          <w:pgSz w:w="11906" w:h="16840"/>
          <w:pgMar w:top="1431" w:right="1785" w:bottom="1361" w:left="1785" w:header="0" w:footer="1147" w:gutter="0"/>
          <w:pgNumType w:fmt="decimal"/>
          <w:cols w:space="720" w:num="1"/>
        </w:sectPr>
      </w:pPr>
    </w:p>
    <w:p w14:paraId="11CF4D5E">
      <w:pPr>
        <w:pageBreakBefore w:val="0"/>
        <w:kinsoku w:val="0"/>
        <w:wordWrap w:val="0"/>
        <w:overflowPunct/>
        <w:topLinePunct w:val="0"/>
        <w:autoSpaceDE/>
        <w:autoSpaceDN/>
        <w:bidi w:val="0"/>
        <w:spacing w:line="251" w:lineRule="auto"/>
        <w:rPr>
          <w:rFonts w:hint="eastAsia" w:ascii="黑体" w:hAnsi="黑体" w:eastAsia="黑体" w:cs="黑体"/>
          <w:color w:val="auto"/>
          <w:sz w:val="21"/>
        </w:rPr>
      </w:pPr>
    </w:p>
    <w:p w14:paraId="5DFAFA9D">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1A9E1702">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5DE9E51F">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381E04A6">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53823B73">
      <w:pPr>
        <w:pStyle w:val="7"/>
        <w:pageBreakBefore w:val="0"/>
        <w:kinsoku w:val="0"/>
        <w:wordWrap w:val="0"/>
        <w:overflowPunct/>
        <w:topLinePunct w:val="0"/>
        <w:autoSpaceDE/>
        <w:autoSpaceDN/>
        <w:bidi w:val="0"/>
        <w:spacing w:before="91" w:line="221" w:lineRule="auto"/>
        <w:ind w:left="1726"/>
        <w:rPr>
          <w:rFonts w:hint="eastAsia" w:ascii="黑体" w:hAnsi="黑体" w:eastAsia="黑体" w:cs="黑体"/>
          <w:color w:val="auto"/>
          <w:sz w:val="28"/>
          <w:szCs w:val="28"/>
        </w:rPr>
      </w:pPr>
      <w:r>
        <w:rPr>
          <w:rFonts w:hint="eastAsia" w:ascii="黑体" w:hAnsi="黑体" w:eastAsia="黑体" w:cs="黑体"/>
          <w:b/>
          <w:bCs/>
          <w:color w:val="auto"/>
          <w:spacing w:val="-5"/>
          <w:sz w:val="28"/>
          <w:szCs w:val="28"/>
          <w:lang w:val="en-US" w:eastAsia="zh-CN"/>
        </w:rPr>
        <w:t>7</w:t>
      </w:r>
      <w:r>
        <w:rPr>
          <w:rFonts w:hint="eastAsia" w:ascii="黑体" w:hAnsi="黑体" w:eastAsia="黑体" w:cs="黑体"/>
          <w:color w:val="auto"/>
          <w:spacing w:val="-5"/>
          <w:sz w:val="28"/>
          <w:szCs w:val="28"/>
          <w:lang w:eastAsia="zh-CN"/>
        </w:rPr>
        <w:t>、</w:t>
      </w:r>
      <w:r>
        <w:rPr>
          <w:rFonts w:hint="eastAsia" w:ascii="黑体" w:hAnsi="黑体" w:eastAsia="黑体" w:cs="黑体"/>
          <w:b/>
          <w:bCs/>
          <w:color w:val="auto"/>
          <w:spacing w:val="-5"/>
          <w:sz w:val="28"/>
          <w:szCs w:val="28"/>
        </w:rPr>
        <w:t>其他有利于供应商的文件或证明材料</w:t>
      </w:r>
    </w:p>
    <w:p w14:paraId="5DA58BBD">
      <w:pPr>
        <w:pageBreakBefore w:val="0"/>
        <w:kinsoku w:val="0"/>
        <w:wordWrap w:val="0"/>
        <w:overflowPunct/>
        <w:topLinePunct w:val="0"/>
        <w:autoSpaceDE/>
        <w:autoSpaceDN/>
        <w:bidi w:val="0"/>
        <w:spacing w:line="383" w:lineRule="auto"/>
        <w:rPr>
          <w:rFonts w:hint="eastAsia" w:ascii="黑体" w:hAnsi="黑体" w:eastAsia="黑体" w:cs="黑体"/>
          <w:color w:val="auto"/>
          <w:sz w:val="21"/>
        </w:rPr>
      </w:pPr>
    </w:p>
    <w:p w14:paraId="78150417">
      <w:pPr>
        <w:pStyle w:val="7"/>
        <w:pageBreakBefore w:val="0"/>
        <w:kinsoku w:val="0"/>
        <w:wordWrap w:val="0"/>
        <w:overflowPunct/>
        <w:topLinePunct w:val="0"/>
        <w:autoSpaceDE/>
        <w:autoSpaceDN/>
        <w:bidi w:val="0"/>
        <w:spacing w:before="78" w:line="220" w:lineRule="auto"/>
        <w:jc w:val="right"/>
        <w:rPr>
          <w:rFonts w:hint="eastAsia" w:ascii="黑体" w:hAnsi="黑体" w:eastAsia="黑体" w:cs="黑体"/>
          <w:color w:val="auto"/>
          <w:sz w:val="24"/>
          <w:szCs w:val="24"/>
        </w:rPr>
      </w:pPr>
      <w:r>
        <w:rPr>
          <w:rFonts w:hint="eastAsia" w:ascii="黑体" w:hAnsi="黑体" w:eastAsia="黑体" w:cs="黑体"/>
          <w:color w:val="auto"/>
          <w:spacing w:val="-11"/>
          <w:sz w:val="24"/>
          <w:szCs w:val="24"/>
        </w:rPr>
        <w:t>注：参照“第六章评分方法和标准”，提供有</w:t>
      </w:r>
      <w:r>
        <w:rPr>
          <w:rFonts w:hint="eastAsia" w:ascii="黑体" w:hAnsi="黑体" w:eastAsia="黑体" w:cs="黑体"/>
          <w:color w:val="auto"/>
          <w:spacing w:val="-11"/>
          <w:sz w:val="24"/>
          <w:szCs w:val="24"/>
          <w:lang w:val="en-US" w:eastAsia="zh-CN"/>
        </w:rPr>
        <w:t>利</w:t>
      </w:r>
      <w:r>
        <w:rPr>
          <w:rFonts w:hint="eastAsia" w:ascii="黑体" w:hAnsi="黑体" w:eastAsia="黑体" w:cs="黑体"/>
          <w:color w:val="auto"/>
          <w:spacing w:val="-11"/>
          <w:sz w:val="24"/>
          <w:szCs w:val="24"/>
        </w:rPr>
        <w:t>于供应商的其</w:t>
      </w:r>
      <w:r>
        <w:rPr>
          <w:rFonts w:hint="eastAsia" w:ascii="黑体" w:hAnsi="黑体" w:eastAsia="黑体" w:cs="黑体"/>
          <w:color w:val="auto"/>
          <w:spacing w:val="-12"/>
          <w:sz w:val="24"/>
          <w:szCs w:val="24"/>
        </w:rPr>
        <w:t>他证明材料等。</w:t>
      </w:r>
    </w:p>
    <w:p w14:paraId="31AB1270">
      <w:pPr>
        <w:pageBreakBefore w:val="0"/>
        <w:kinsoku w:val="0"/>
        <w:wordWrap w:val="0"/>
        <w:overflowPunct/>
        <w:topLinePunct w:val="0"/>
        <w:autoSpaceDE/>
        <w:autoSpaceDN/>
        <w:bidi w:val="0"/>
        <w:spacing w:line="220" w:lineRule="auto"/>
        <w:rPr>
          <w:rFonts w:hint="eastAsia" w:ascii="黑体" w:hAnsi="黑体" w:eastAsia="黑体" w:cs="黑体"/>
          <w:color w:val="auto"/>
          <w:sz w:val="24"/>
          <w:szCs w:val="24"/>
        </w:rPr>
        <w:sectPr>
          <w:footerReference r:id="rId24" w:type="default"/>
          <w:pgSz w:w="11906" w:h="16840"/>
          <w:pgMar w:top="1431" w:right="1745" w:bottom="1361" w:left="1785" w:header="0" w:footer="1147" w:gutter="0"/>
          <w:pgNumType w:fmt="decimal"/>
          <w:cols w:space="720" w:num="1"/>
        </w:sectPr>
      </w:pPr>
    </w:p>
    <w:p w14:paraId="01B17A4D">
      <w:pPr>
        <w:pStyle w:val="7"/>
        <w:pageBreakBefore w:val="0"/>
        <w:kinsoku w:val="0"/>
        <w:wordWrap w:val="0"/>
        <w:overflowPunct/>
        <w:topLinePunct w:val="0"/>
        <w:autoSpaceDE/>
        <w:autoSpaceDN/>
        <w:bidi w:val="0"/>
        <w:spacing w:before="60" w:line="222" w:lineRule="auto"/>
        <w:ind w:left="64"/>
        <w:rPr>
          <w:rFonts w:hint="eastAsia" w:ascii="黑体" w:hAnsi="黑体" w:eastAsia="黑体" w:cs="黑体"/>
          <w:color w:val="auto"/>
          <w:spacing w:val="-13"/>
          <w:sz w:val="24"/>
          <w:szCs w:val="24"/>
        </w:rPr>
      </w:pPr>
      <w:r>
        <w:rPr>
          <w:rFonts w:hint="eastAsia" w:ascii="黑体" w:hAnsi="黑体" w:eastAsia="黑体" w:cs="黑体"/>
          <w:color w:val="auto"/>
          <w:spacing w:val="-13"/>
          <w:sz w:val="24"/>
          <w:szCs w:val="24"/>
        </w:rPr>
        <w:t>附件1</w:t>
      </w:r>
    </w:p>
    <w:p w14:paraId="525A2511">
      <w:pPr>
        <w:pStyle w:val="7"/>
        <w:pageBreakBefore w:val="0"/>
        <w:kinsoku w:val="0"/>
        <w:wordWrap w:val="0"/>
        <w:overflowPunct/>
        <w:topLinePunct w:val="0"/>
        <w:autoSpaceDE/>
        <w:autoSpaceDN/>
        <w:bidi w:val="0"/>
        <w:spacing w:before="60" w:line="222" w:lineRule="auto"/>
        <w:ind w:left="64"/>
        <w:jc w:val="center"/>
        <w:rPr>
          <w:rFonts w:hint="eastAsia" w:ascii="黑体" w:hAnsi="黑体" w:eastAsia="黑体" w:cs="黑体"/>
          <w:color w:val="auto"/>
          <w:sz w:val="24"/>
          <w:szCs w:val="24"/>
        </w:rPr>
      </w:pPr>
      <w:r>
        <w:rPr>
          <w:rFonts w:hint="eastAsia" w:ascii="黑体" w:hAnsi="黑体" w:eastAsia="黑体" w:cs="黑体"/>
          <w:b/>
          <w:bCs/>
          <w:color w:val="auto"/>
          <w:spacing w:val="-13"/>
          <w:sz w:val="28"/>
          <w:szCs w:val="28"/>
        </w:rPr>
        <w:t>投标人基本情况表</w:t>
      </w:r>
    </w:p>
    <w:p w14:paraId="6265B993">
      <w:pPr>
        <w:pageBreakBefore w:val="0"/>
        <w:kinsoku w:val="0"/>
        <w:wordWrap w:val="0"/>
        <w:overflowPunct/>
        <w:topLinePunct w:val="0"/>
        <w:autoSpaceDE/>
        <w:autoSpaceDN/>
        <w:bidi w:val="0"/>
        <w:spacing w:line="124" w:lineRule="exact"/>
        <w:rPr>
          <w:rFonts w:hint="eastAsia" w:ascii="黑体" w:hAnsi="黑体" w:eastAsia="黑体" w:cs="黑体"/>
          <w:color w:val="auto"/>
        </w:rPr>
      </w:pPr>
    </w:p>
    <w:tbl>
      <w:tblPr>
        <w:tblStyle w:val="22"/>
        <w:tblW w:w="86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539"/>
        <w:gridCol w:w="362"/>
        <w:gridCol w:w="1141"/>
        <w:gridCol w:w="848"/>
        <w:gridCol w:w="590"/>
        <w:gridCol w:w="1375"/>
        <w:gridCol w:w="1327"/>
        <w:gridCol w:w="1736"/>
      </w:tblGrid>
      <w:tr w14:paraId="6AA61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26" w:type="dxa"/>
            <w:gridSpan w:val="3"/>
            <w:vAlign w:val="top"/>
          </w:tcPr>
          <w:p w14:paraId="7506A74B">
            <w:pPr>
              <w:pStyle w:val="23"/>
              <w:pageBreakBefore w:val="0"/>
              <w:kinsoku w:val="0"/>
              <w:wordWrap w:val="0"/>
              <w:overflowPunct/>
              <w:topLinePunct w:val="0"/>
              <w:autoSpaceDE/>
              <w:autoSpaceDN/>
              <w:bidi w:val="0"/>
              <w:spacing w:before="257" w:line="230" w:lineRule="auto"/>
              <w:jc w:val="both"/>
              <w:rPr>
                <w:rFonts w:hint="eastAsia" w:ascii="黑体" w:hAnsi="黑体" w:eastAsia="黑体" w:cs="黑体"/>
                <w:color w:val="auto"/>
                <w:sz w:val="24"/>
                <w:szCs w:val="24"/>
              </w:rPr>
            </w:pPr>
            <w:r>
              <w:rPr>
                <w:rFonts w:hint="eastAsia" w:ascii="黑体" w:hAnsi="黑体" w:eastAsia="黑体" w:cs="黑体"/>
                <w:color w:val="auto"/>
                <w:spacing w:val="13"/>
                <w:sz w:val="24"/>
                <w:szCs w:val="24"/>
              </w:rPr>
              <w:t>投标单位名称</w:t>
            </w:r>
          </w:p>
        </w:tc>
        <w:tc>
          <w:tcPr>
            <w:tcW w:w="3954" w:type="dxa"/>
            <w:gridSpan w:val="4"/>
            <w:vAlign w:val="top"/>
          </w:tcPr>
          <w:p w14:paraId="4BB5698C">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27" w:type="dxa"/>
            <w:vAlign w:val="top"/>
          </w:tcPr>
          <w:p w14:paraId="23EBF179">
            <w:pPr>
              <w:pStyle w:val="23"/>
              <w:pageBreakBefore w:val="0"/>
              <w:kinsoku w:val="0"/>
              <w:wordWrap w:val="0"/>
              <w:overflowPunct/>
              <w:topLinePunct w:val="0"/>
              <w:autoSpaceDE/>
              <w:autoSpaceDN/>
              <w:bidi w:val="0"/>
              <w:spacing w:before="260" w:line="232" w:lineRule="auto"/>
              <w:jc w:val="both"/>
              <w:rPr>
                <w:rFonts w:hint="eastAsia" w:ascii="黑体" w:hAnsi="黑体" w:eastAsia="黑体" w:cs="黑体"/>
                <w:color w:val="auto"/>
                <w:sz w:val="24"/>
                <w:szCs w:val="24"/>
              </w:rPr>
            </w:pPr>
            <w:r>
              <w:rPr>
                <w:rFonts w:hint="eastAsia" w:ascii="黑体" w:hAnsi="黑体" w:eastAsia="黑体" w:cs="黑体"/>
                <w:color w:val="auto"/>
                <w:spacing w:val="10"/>
                <w:sz w:val="24"/>
                <w:szCs w:val="24"/>
              </w:rPr>
              <w:t>法定代表人</w:t>
            </w:r>
          </w:p>
        </w:tc>
        <w:tc>
          <w:tcPr>
            <w:tcW w:w="1736" w:type="dxa"/>
            <w:vAlign w:val="top"/>
          </w:tcPr>
          <w:p w14:paraId="55113166">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156C8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1626" w:type="dxa"/>
            <w:gridSpan w:val="3"/>
            <w:vAlign w:val="top"/>
          </w:tcPr>
          <w:p w14:paraId="1E98C6CB">
            <w:pPr>
              <w:pStyle w:val="23"/>
              <w:pageBreakBefore w:val="0"/>
              <w:kinsoku w:val="0"/>
              <w:wordWrap w:val="0"/>
              <w:overflowPunct/>
              <w:topLinePunct w:val="0"/>
              <w:autoSpaceDE/>
              <w:autoSpaceDN/>
              <w:bidi w:val="0"/>
              <w:spacing w:before="247" w:line="231" w:lineRule="auto"/>
              <w:jc w:val="both"/>
              <w:rPr>
                <w:rFonts w:hint="eastAsia" w:ascii="黑体" w:hAnsi="黑体" w:eastAsia="黑体" w:cs="黑体"/>
                <w:color w:val="auto"/>
                <w:sz w:val="24"/>
                <w:szCs w:val="24"/>
              </w:rPr>
            </w:pPr>
            <w:r>
              <w:rPr>
                <w:rFonts w:hint="eastAsia" w:ascii="黑体" w:hAnsi="黑体" w:eastAsia="黑体" w:cs="黑体"/>
                <w:color w:val="auto"/>
                <w:spacing w:val="13"/>
                <w:sz w:val="24"/>
                <w:szCs w:val="24"/>
              </w:rPr>
              <w:t>组织机构代码</w:t>
            </w:r>
          </w:p>
        </w:tc>
        <w:tc>
          <w:tcPr>
            <w:tcW w:w="3954" w:type="dxa"/>
            <w:gridSpan w:val="4"/>
            <w:vAlign w:val="top"/>
          </w:tcPr>
          <w:p w14:paraId="74C3EF55">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27" w:type="dxa"/>
            <w:vAlign w:val="top"/>
          </w:tcPr>
          <w:p w14:paraId="7FD6041D">
            <w:pPr>
              <w:pStyle w:val="23"/>
              <w:pageBreakBefore w:val="0"/>
              <w:kinsoku w:val="0"/>
              <w:wordWrap w:val="0"/>
              <w:overflowPunct/>
              <w:topLinePunct w:val="0"/>
              <w:autoSpaceDE/>
              <w:autoSpaceDN/>
              <w:bidi w:val="0"/>
              <w:spacing w:before="244" w:line="231" w:lineRule="auto"/>
              <w:jc w:val="both"/>
              <w:rPr>
                <w:rFonts w:hint="eastAsia" w:ascii="黑体" w:hAnsi="黑体" w:eastAsia="黑体" w:cs="黑体"/>
                <w:color w:val="auto"/>
                <w:sz w:val="24"/>
                <w:szCs w:val="24"/>
              </w:rPr>
            </w:pPr>
            <w:r>
              <w:rPr>
                <w:rFonts w:hint="eastAsia" w:ascii="黑体" w:hAnsi="黑体" w:eastAsia="黑体" w:cs="黑体"/>
                <w:color w:val="auto"/>
                <w:spacing w:val="3"/>
                <w:sz w:val="24"/>
                <w:szCs w:val="24"/>
              </w:rPr>
              <w:t>邮政编码</w:t>
            </w:r>
          </w:p>
        </w:tc>
        <w:tc>
          <w:tcPr>
            <w:tcW w:w="1736" w:type="dxa"/>
            <w:vAlign w:val="top"/>
          </w:tcPr>
          <w:p w14:paraId="381E5FF3">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0402C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1626" w:type="dxa"/>
            <w:gridSpan w:val="3"/>
            <w:vAlign w:val="top"/>
          </w:tcPr>
          <w:p w14:paraId="36331781">
            <w:pPr>
              <w:pStyle w:val="23"/>
              <w:pageBreakBefore w:val="0"/>
              <w:kinsoku w:val="0"/>
              <w:wordWrap w:val="0"/>
              <w:overflowPunct/>
              <w:topLinePunct w:val="0"/>
              <w:autoSpaceDE/>
              <w:autoSpaceDN/>
              <w:bidi w:val="0"/>
              <w:spacing w:before="276" w:line="232" w:lineRule="auto"/>
              <w:jc w:val="both"/>
              <w:rPr>
                <w:rFonts w:hint="eastAsia" w:ascii="黑体" w:hAnsi="黑体" w:eastAsia="黑体" w:cs="黑体"/>
                <w:color w:val="auto"/>
                <w:sz w:val="24"/>
                <w:szCs w:val="24"/>
              </w:rPr>
            </w:pPr>
            <w:r>
              <w:rPr>
                <w:rFonts w:hint="eastAsia" w:ascii="黑体" w:hAnsi="黑体" w:eastAsia="黑体" w:cs="黑体"/>
                <w:color w:val="auto"/>
                <w:spacing w:val="9"/>
                <w:sz w:val="24"/>
                <w:szCs w:val="24"/>
              </w:rPr>
              <w:t>委托代理人</w:t>
            </w:r>
          </w:p>
        </w:tc>
        <w:tc>
          <w:tcPr>
            <w:tcW w:w="3954" w:type="dxa"/>
            <w:gridSpan w:val="4"/>
            <w:vAlign w:val="top"/>
          </w:tcPr>
          <w:p w14:paraId="54C36E2B">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27" w:type="dxa"/>
            <w:vAlign w:val="top"/>
          </w:tcPr>
          <w:p w14:paraId="450B60B4">
            <w:pPr>
              <w:pStyle w:val="23"/>
              <w:pageBreakBefore w:val="0"/>
              <w:kinsoku w:val="0"/>
              <w:wordWrap w:val="0"/>
              <w:overflowPunct/>
              <w:topLinePunct w:val="0"/>
              <w:autoSpaceDE/>
              <w:autoSpaceDN/>
              <w:bidi w:val="0"/>
              <w:spacing w:before="273" w:line="230" w:lineRule="auto"/>
              <w:jc w:val="both"/>
              <w:rPr>
                <w:rFonts w:hint="eastAsia" w:ascii="黑体" w:hAnsi="黑体" w:eastAsia="黑体" w:cs="黑体"/>
                <w:color w:val="auto"/>
                <w:sz w:val="24"/>
                <w:szCs w:val="24"/>
              </w:rPr>
            </w:pPr>
            <w:r>
              <w:rPr>
                <w:rFonts w:hint="eastAsia" w:ascii="黑体" w:hAnsi="黑体" w:eastAsia="黑体" w:cs="黑体"/>
                <w:color w:val="auto"/>
                <w:sz w:val="24"/>
                <w:szCs w:val="24"/>
              </w:rPr>
              <w:t>电子邮箱</w:t>
            </w:r>
          </w:p>
        </w:tc>
        <w:tc>
          <w:tcPr>
            <w:tcW w:w="1736" w:type="dxa"/>
            <w:vAlign w:val="top"/>
          </w:tcPr>
          <w:p w14:paraId="5CABDDAA">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4DD9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626" w:type="dxa"/>
            <w:gridSpan w:val="3"/>
            <w:vAlign w:val="top"/>
          </w:tcPr>
          <w:p w14:paraId="5A58844B">
            <w:pPr>
              <w:pStyle w:val="23"/>
              <w:pageBreakBefore w:val="0"/>
              <w:kinsoku w:val="0"/>
              <w:wordWrap w:val="0"/>
              <w:overflowPunct/>
              <w:topLinePunct w:val="0"/>
              <w:autoSpaceDE/>
              <w:autoSpaceDN/>
              <w:bidi w:val="0"/>
              <w:spacing w:before="280" w:line="232" w:lineRule="auto"/>
              <w:jc w:val="both"/>
              <w:rPr>
                <w:rFonts w:hint="eastAsia" w:ascii="黑体" w:hAnsi="黑体" w:eastAsia="黑体" w:cs="黑体"/>
                <w:color w:val="auto"/>
                <w:sz w:val="24"/>
                <w:szCs w:val="24"/>
              </w:rPr>
            </w:pPr>
            <w:r>
              <w:rPr>
                <w:rFonts w:hint="eastAsia" w:ascii="黑体" w:hAnsi="黑体" w:eastAsia="黑体" w:cs="黑体"/>
                <w:color w:val="auto"/>
                <w:spacing w:val="11"/>
                <w:sz w:val="24"/>
                <w:szCs w:val="24"/>
              </w:rPr>
              <w:t>联系电话</w:t>
            </w:r>
          </w:p>
        </w:tc>
        <w:tc>
          <w:tcPr>
            <w:tcW w:w="3954" w:type="dxa"/>
            <w:gridSpan w:val="4"/>
            <w:vAlign w:val="top"/>
          </w:tcPr>
          <w:p w14:paraId="13A2FEE9">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27" w:type="dxa"/>
            <w:vAlign w:val="top"/>
          </w:tcPr>
          <w:p w14:paraId="056AF44C">
            <w:pPr>
              <w:pStyle w:val="23"/>
              <w:pageBreakBefore w:val="0"/>
              <w:kinsoku w:val="0"/>
              <w:wordWrap w:val="0"/>
              <w:overflowPunct/>
              <w:topLinePunct w:val="0"/>
              <w:autoSpaceDE/>
              <w:autoSpaceDN/>
              <w:bidi w:val="0"/>
              <w:spacing w:before="280" w:line="232" w:lineRule="auto"/>
              <w:jc w:val="both"/>
              <w:rPr>
                <w:rFonts w:hint="eastAsia" w:ascii="黑体" w:hAnsi="黑体" w:eastAsia="黑体" w:cs="黑体"/>
                <w:color w:val="auto"/>
                <w:sz w:val="24"/>
                <w:szCs w:val="24"/>
              </w:rPr>
            </w:pPr>
            <w:r>
              <w:rPr>
                <w:rFonts w:hint="eastAsia" w:ascii="黑体" w:hAnsi="黑体" w:eastAsia="黑体" w:cs="黑体"/>
                <w:color w:val="auto"/>
                <w:spacing w:val="6"/>
                <w:sz w:val="24"/>
                <w:szCs w:val="24"/>
              </w:rPr>
              <w:t>员工总人数</w:t>
            </w:r>
          </w:p>
        </w:tc>
        <w:tc>
          <w:tcPr>
            <w:tcW w:w="1736" w:type="dxa"/>
            <w:vAlign w:val="top"/>
          </w:tcPr>
          <w:p w14:paraId="22EAB0AC">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1D88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1626" w:type="dxa"/>
            <w:gridSpan w:val="3"/>
            <w:vAlign w:val="top"/>
          </w:tcPr>
          <w:p w14:paraId="26EFE126">
            <w:pPr>
              <w:pStyle w:val="23"/>
              <w:pageBreakBefore w:val="0"/>
              <w:kinsoku w:val="0"/>
              <w:wordWrap w:val="0"/>
              <w:overflowPunct/>
              <w:topLinePunct w:val="0"/>
              <w:autoSpaceDE/>
              <w:autoSpaceDN/>
              <w:bidi w:val="0"/>
              <w:spacing w:before="276" w:line="232" w:lineRule="auto"/>
              <w:jc w:val="both"/>
              <w:rPr>
                <w:rFonts w:hint="eastAsia" w:ascii="黑体" w:hAnsi="黑体" w:eastAsia="黑体" w:cs="黑体"/>
                <w:color w:val="auto"/>
                <w:sz w:val="24"/>
                <w:szCs w:val="24"/>
              </w:rPr>
            </w:pPr>
            <w:r>
              <w:rPr>
                <w:rFonts w:hint="eastAsia" w:ascii="黑体" w:hAnsi="黑体" w:eastAsia="黑体" w:cs="黑体"/>
                <w:color w:val="auto"/>
                <w:spacing w:val="1"/>
                <w:sz w:val="24"/>
                <w:szCs w:val="24"/>
              </w:rPr>
              <w:t>固定电话</w:t>
            </w:r>
          </w:p>
        </w:tc>
        <w:tc>
          <w:tcPr>
            <w:tcW w:w="3954" w:type="dxa"/>
            <w:gridSpan w:val="4"/>
            <w:vAlign w:val="top"/>
          </w:tcPr>
          <w:p w14:paraId="74763C38">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27" w:type="dxa"/>
            <w:vAlign w:val="top"/>
          </w:tcPr>
          <w:p w14:paraId="47FFC02B">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736" w:type="dxa"/>
            <w:vAlign w:val="top"/>
          </w:tcPr>
          <w:p w14:paraId="6E0CDC10">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54344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725" w:type="dxa"/>
            <w:vMerge w:val="restart"/>
            <w:tcBorders>
              <w:bottom w:val="nil"/>
            </w:tcBorders>
            <w:vAlign w:val="top"/>
          </w:tcPr>
          <w:p w14:paraId="639ACF56">
            <w:pPr>
              <w:pageBreakBefore w:val="0"/>
              <w:kinsoku w:val="0"/>
              <w:wordWrap w:val="0"/>
              <w:overflowPunct/>
              <w:topLinePunct w:val="0"/>
              <w:autoSpaceDE/>
              <w:autoSpaceDN/>
              <w:bidi w:val="0"/>
              <w:spacing w:line="311" w:lineRule="auto"/>
              <w:jc w:val="both"/>
              <w:rPr>
                <w:rFonts w:hint="eastAsia" w:ascii="黑体" w:hAnsi="黑体" w:eastAsia="黑体" w:cs="黑体"/>
                <w:color w:val="auto"/>
                <w:sz w:val="24"/>
                <w:szCs w:val="24"/>
              </w:rPr>
            </w:pPr>
          </w:p>
          <w:p w14:paraId="6B91FE56">
            <w:pPr>
              <w:pageBreakBefore w:val="0"/>
              <w:kinsoku w:val="0"/>
              <w:wordWrap w:val="0"/>
              <w:overflowPunct/>
              <w:topLinePunct w:val="0"/>
              <w:autoSpaceDE/>
              <w:autoSpaceDN/>
              <w:bidi w:val="0"/>
              <w:spacing w:line="311" w:lineRule="auto"/>
              <w:jc w:val="both"/>
              <w:rPr>
                <w:rFonts w:hint="eastAsia" w:ascii="黑体" w:hAnsi="黑体" w:eastAsia="黑体" w:cs="黑体"/>
                <w:color w:val="auto"/>
                <w:sz w:val="24"/>
                <w:szCs w:val="24"/>
              </w:rPr>
            </w:pPr>
          </w:p>
          <w:p w14:paraId="27D2682C">
            <w:pPr>
              <w:pageBreakBefore w:val="0"/>
              <w:kinsoku w:val="0"/>
              <w:wordWrap w:val="0"/>
              <w:overflowPunct/>
              <w:topLinePunct w:val="0"/>
              <w:autoSpaceDE/>
              <w:autoSpaceDN/>
              <w:bidi w:val="0"/>
              <w:spacing w:line="312" w:lineRule="auto"/>
              <w:jc w:val="both"/>
              <w:rPr>
                <w:rFonts w:hint="eastAsia" w:ascii="黑体" w:hAnsi="黑体" w:eastAsia="黑体" w:cs="黑体"/>
                <w:color w:val="auto"/>
                <w:sz w:val="24"/>
                <w:szCs w:val="24"/>
              </w:rPr>
            </w:pPr>
          </w:p>
          <w:p w14:paraId="6022FC92">
            <w:pPr>
              <w:pStyle w:val="23"/>
              <w:pageBreakBefore w:val="0"/>
              <w:kinsoku w:val="0"/>
              <w:wordWrap w:val="0"/>
              <w:overflowPunct/>
              <w:topLinePunct w:val="0"/>
              <w:autoSpaceDE/>
              <w:autoSpaceDN/>
              <w:bidi w:val="0"/>
              <w:spacing w:before="62" w:line="454" w:lineRule="exact"/>
              <w:jc w:val="both"/>
              <w:rPr>
                <w:rFonts w:hint="eastAsia" w:ascii="黑体" w:hAnsi="黑体" w:eastAsia="黑体" w:cs="黑体"/>
                <w:color w:val="auto"/>
                <w:sz w:val="24"/>
                <w:szCs w:val="24"/>
              </w:rPr>
            </w:pPr>
            <w:r>
              <w:rPr>
                <w:rFonts w:hint="eastAsia" w:ascii="黑体" w:hAnsi="黑体" w:eastAsia="黑体" w:cs="黑体"/>
                <w:color w:val="auto"/>
                <w:spacing w:val="-1"/>
                <w:position w:val="19"/>
                <w:sz w:val="24"/>
                <w:szCs w:val="24"/>
              </w:rPr>
              <w:t>营业</w:t>
            </w:r>
          </w:p>
          <w:p w14:paraId="1694B132">
            <w:pPr>
              <w:pStyle w:val="23"/>
              <w:pageBreakBefore w:val="0"/>
              <w:kinsoku w:val="0"/>
              <w:wordWrap w:val="0"/>
              <w:overflowPunct/>
              <w:topLinePunct w:val="0"/>
              <w:autoSpaceDE/>
              <w:autoSpaceDN/>
              <w:bidi w:val="0"/>
              <w:spacing w:line="232" w:lineRule="auto"/>
              <w:jc w:val="both"/>
              <w:rPr>
                <w:rFonts w:hint="eastAsia" w:ascii="黑体" w:hAnsi="黑体" w:eastAsia="黑体" w:cs="黑体"/>
                <w:color w:val="auto"/>
                <w:sz w:val="24"/>
                <w:szCs w:val="24"/>
              </w:rPr>
            </w:pPr>
            <w:r>
              <w:rPr>
                <w:rFonts w:hint="eastAsia" w:ascii="黑体" w:hAnsi="黑体" w:eastAsia="黑体" w:cs="黑体"/>
                <w:color w:val="auto"/>
                <w:spacing w:val="4"/>
                <w:sz w:val="24"/>
                <w:szCs w:val="24"/>
              </w:rPr>
              <w:t>执照</w:t>
            </w:r>
          </w:p>
        </w:tc>
        <w:tc>
          <w:tcPr>
            <w:tcW w:w="2042" w:type="dxa"/>
            <w:gridSpan w:val="3"/>
            <w:vAlign w:val="top"/>
          </w:tcPr>
          <w:p w14:paraId="69ED4D9C">
            <w:pPr>
              <w:pStyle w:val="23"/>
              <w:pageBreakBefore w:val="0"/>
              <w:kinsoku w:val="0"/>
              <w:wordWrap w:val="0"/>
              <w:overflowPunct/>
              <w:topLinePunct w:val="0"/>
              <w:autoSpaceDE/>
              <w:autoSpaceDN/>
              <w:bidi w:val="0"/>
              <w:spacing w:before="284" w:line="233" w:lineRule="auto"/>
              <w:jc w:val="both"/>
              <w:rPr>
                <w:rFonts w:hint="eastAsia" w:ascii="黑体" w:hAnsi="黑体" w:eastAsia="黑体" w:cs="黑体"/>
                <w:color w:val="auto"/>
                <w:sz w:val="24"/>
                <w:szCs w:val="24"/>
              </w:rPr>
            </w:pPr>
            <w:r>
              <w:rPr>
                <w:rFonts w:hint="eastAsia" w:ascii="黑体" w:hAnsi="黑体" w:eastAsia="黑体" w:cs="黑体"/>
                <w:color w:val="auto"/>
                <w:spacing w:val="8"/>
                <w:sz w:val="24"/>
                <w:szCs w:val="24"/>
              </w:rPr>
              <w:t>注册号码</w:t>
            </w:r>
          </w:p>
        </w:tc>
        <w:tc>
          <w:tcPr>
            <w:tcW w:w="1438" w:type="dxa"/>
            <w:gridSpan w:val="2"/>
            <w:vAlign w:val="top"/>
          </w:tcPr>
          <w:p w14:paraId="1B3C7099">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75" w:type="dxa"/>
            <w:vAlign w:val="top"/>
          </w:tcPr>
          <w:p w14:paraId="66CC9CB9">
            <w:pPr>
              <w:pStyle w:val="23"/>
              <w:pageBreakBefore w:val="0"/>
              <w:kinsoku w:val="0"/>
              <w:wordWrap w:val="0"/>
              <w:overflowPunct/>
              <w:topLinePunct w:val="0"/>
              <w:autoSpaceDE/>
              <w:autoSpaceDN/>
              <w:bidi w:val="0"/>
              <w:spacing w:before="284" w:line="233" w:lineRule="auto"/>
              <w:jc w:val="both"/>
              <w:rPr>
                <w:rFonts w:hint="eastAsia" w:ascii="黑体" w:hAnsi="黑体" w:eastAsia="黑体" w:cs="黑体"/>
                <w:color w:val="auto"/>
                <w:sz w:val="24"/>
                <w:szCs w:val="24"/>
              </w:rPr>
            </w:pPr>
            <w:r>
              <w:rPr>
                <w:rFonts w:hint="eastAsia" w:ascii="黑体" w:hAnsi="黑体" w:eastAsia="黑体" w:cs="黑体"/>
                <w:color w:val="auto"/>
                <w:spacing w:val="8"/>
                <w:sz w:val="24"/>
                <w:szCs w:val="24"/>
              </w:rPr>
              <w:t>注册地址</w:t>
            </w:r>
          </w:p>
        </w:tc>
        <w:tc>
          <w:tcPr>
            <w:tcW w:w="3063" w:type="dxa"/>
            <w:gridSpan w:val="2"/>
            <w:vAlign w:val="top"/>
          </w:tcPr>
          <w:p w14:paraId="47EFBEB7">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05BF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25" w:type="dxa"/>
            <w:vMerge w:val="continue"/>
            <w:tcBorders>
              <w:top w:val="nil"/>
              <w:bottom w:val="nil"/>
            </w:tcBorders>
            <w:vAlign w:val="top"/>
          </w:tcPr>
          <w:p w14:paraId="3BA1BB83">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2042" w:type="dxa"/>
            <w:gridSpan w:val="3"/>
            <w:vAlign w:val="top"/>
          </w:tcPr>
          <w:p w14:paraId="0F13E447">
            <w:pPr>
              <w:pStyle w:val="23"/>
              <w:pageBreakBefore w:val="0"/>
              <w:kinsoku w:val="0"/>
              <w:wordWrap w:val="0"/>
              <w:overflowPunct/>
              <w:topLinePunct w:val="0"/>
              <w:autoSpaceDE/>
              <w:autoSpaceDN/>
              <w:bidi w:val="0"/>
              <w:spacing w:before="282" w:line="231" w:lineRule="auto"/>
              <w:jc w:val="both"/>
              <w:rPr>
                <w:rFonts w:hint="eastAsia" w:ascii="黑体" w:hAnsi="黑体" w:eastAsia="黑体" w:cs="黑体"/>
                <w:color w:val="auto"/>
                <w:sz w:val="24"/>
                <w:szCs w:val="24"/>
              </w:rPr>
            </w:pPr>
            <w:r>
              <w:rPr>
                <w:rFonts w:hint="eastAsia" w:ascii="黑体" w:hAnsi="黑体" w:eastAsia="黑体" w:cs="黑体"/>
                <w:color w:val="auto"/>
                <w:spacing w:val="8"/>
                <w:sz w:val="24"/>
                <w:szCs w:val="24"/>
              </w:rPr>
              <w:t>发证机关</w:t>
            </w:r>
          </w:p>
        </w:tc>
        <w:tc>
          <w:tcPr>
            <w:tcW w:w="1438" w:type="dxa"/>
            <w:gridSpan w:val="2"/>
            <w:vAlign w:val="top"/>
          </w:tcPr>
          <w:p w14:paraId="145B1B61">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1375" w:type="dxa"/>
            <w:vAlign w:val="top"/>
          </w:tcPr>
          <w:p w14:paraId="52F30176">
            <w:pPr>
              <w:pStyle w:val="23"/>
              <w:pageBreakBefore w:val="0"/>
              <w:kinsoku w:val="0"/>
              <w:wordWrap w:val="0"/>
              <w:overflowPunct/>
              <w:topLinePunct w:val="0"/>
              <w:autoSpaceDE/>
              <w:autoSpaceDN/>
              <w:bidi w:val="0"/>
              <w:spacing w:before="284" w:line="232" w:lineRule="auto"/>
              <w:jc w:val="both"/>
              <w:rPr>
                <w:rFonts w:hint="eastAsia" w:ascii="黑体" w:hAnsi="黑体" w:eastAsia="黑体" w:cs="黑体"/>
                <w:color w:val="auto"/>
                <w:sz w:val="24"/>
                <w:szCs w:val="24"/>
              </w:rPr>
            </w:pPr>
            <w:r>
              <w:rPr>
                <w:rFonts w:hint="eastAsia" w:ascii="黑体" w:hAnsi="黑体" w:eastAsia="黑体" w:cs="黑体"/>
                <w:color w:val="auto"/>
                <w:spacing w:val="8"/>
                <w:sz w:val="24"/>
                <w:szCs w:val="24"/>
              </w:rPr>
              <w:t>发证日期</w:t>
            </w:r>
          </w:p>
        </w:tc>
        <w:tc>
          <w:tcPr>
            <w:tcW w:w="3063" w:type="dxa"/>
            <w:gridSpan w:val="2"/>
            <w:vAlign w:val="top"/>
          </w:tcPr>
          <w:p w14:paraId="5C115E07">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2F14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25" w:type="dxa"/>
            <w:vMerge w:val="continue"/>
            <w:tcBorders>
              <w:top w:val="nil"/>
              <w:bottom w:val="nil"/>
            </w:tcBorders>
            <w:vAlign w:val="top"/>
          </w:tcPr>
          <w:p w14:paraId="5B4F9672">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2042" w:type="dxa"/>
            <w:gridSpan w:val="3"/>
            <w:vAlign w:val="top"/>
          </w:tcPr>
          <w:p w14:paraId="52D1FE03">
            <w:pPr>
              <w:pStyle w:val="23"/>
              <w:pageBreakBefore w:val="0"/>
              <w:kinsoku w:val="0"/>
              <w:wordWrap w:val="0"/>
              <w:overflowPunct/>
              <w:topLinePunct w:val="0"/>
              <w:autoSpaceDE/>
              <w:autoSpaceDN/>
              <w:bidi w:val="0"/>
              <w:spacing w:before="283" w:line="232" w:lineRule="auto"/>
              <w:jc w:val="both"/>
              <w:rPr>
                <w:rFonts w:hint="eastAsia" w:ascii="黑体" w:hAnsi="黑体" w:eastAsia="黑体" w:cs="黑体"/>
                <w:color w:val="auto"/>
                <w:sz w:val="24"/>
                <w:szCs w:val="24"/>
              </w:rPr>
            </w:pPr>
            <w:r>
              <w:rPr>
                <w:rFonts w:hint="eastAsia" w:ascii="黑体" w:hAnsi="黑体" w:eastAsia="黑体" w:cs="黑体"/>
                <w:color w:val="auto"/>
                <w:spacing w:val="10"/>
                <w:sz w:val="24"/>
                <w:szCs w:val="24"/>
              </w:rPr>
              <w:t>营业范围（主营）</w:t>
            </w:r>
          </w:p>
        </w:tc>
        <w:tc>
          <w:tcPr>
            <w:tcW w:w="5876" w:type="dxa"/>
            <w:gridSpan w:val="5"/>
            <w:vAlign w:val="top"/>
          </w:tcPr>
          <w:p w14:paraId="426EB33A">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0122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25" w:type="dxa"/>
            <w:vMerge w:val="continue"/>
            <w:tcBorders>
              <w:top w:val="nil"/>
            </w:tcBorders>
            <w:vAlign w:val="top"/>
          </w:tcPr>
          <w:p w14:paraId="4F5545B2">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c>
          <w:tcPr>
            <w:tcW w:w="2042" w:type="dxa"/>
            <w:gridSpan w:val="3"/>
            <w:vAlign w:val="top"/>
          </w:tcPr>
          <w:p w14:paraId="5B3F4C3C">
            <w:pPr>
              <w:pStyle w:val="23"/>
              <w:pageBreakBefore w:val="0"/>
              <w:kinsoku w:val="0"/>
              <w:wordWrap w:val="0"/>
              <w:overflowPunct/>
              <w:topLinePunct w:val="0"/>
              <w:autoSpaceDE/>
              <w:autoSpaceDN/>
              <w:bidi w:val="0"/>
              <w:spacing w:before="283" w:line="229" w:lineRule="auto"/>
              <w:jc w:val="both"/>
              <w:rPr>
                <w:rFonts w:hint="eastAsia" w:ascii="黑体" w:hAnsi="黑体" w:eastAsia="黑体" w:cs="黑体"/>
                <w:color w:val="auto"/>
                <w:sz w:val="24"/>
                <w:szCs w:val="24"/>
              </w:rPr>
            </w:pPr>
            <w:r>
              <w:rPr>
                <w:rFonts w:hint="eastAsia" w:ascii="黑体" w:hAnsi="黑体" w:eastAsia="黑体" w:cs="黑体"/>
                <w:color w:val="auto"/>
                <w:spacing w:val="10"/>
                <w:sz w:val="24"/>
                <w:szCs w:val="24"/>
              </w:rPr>
              <w:t>营业范围（兼营）</w:t>
            </w:r>
          </w:p>
        </w:tc>
        <w:tc>
          <w:tcPr>
            <w:tcW w:w="5876" w:type="dxa"/>
            <w:gridSpan w:val="5"/>
            <w:vAlign w:val="top"/>
          </w:tcPr>
          <w:p w14:paraId="1C96B309">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77743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2767" w:type="dxa"/>
            <w:gridSpan w:val="4"/>
            <w:vAlign w:val="top"/>
          </w:tcPr>
          <w:p w14:paraId="0902C059">
            <w:pPr>
              <w:pStyle w:val="23"/>
              <w:pageBreakBefore w:val="0"/>
              <w:kinsoku w:val="0"/>
              <w:wordWrap w:val="0"/>
              <w:overflowPunct/>
              <w:topLinePunct w:val="0"/>
              <w:autoSpaceDE/>
              <w:autoSpaceDN/>
              <w:bidi w:val="0"/>
              <w:spacing w:before="299" w:line="230" w:lineRule="auto"/>
              <w:jc w:val="both"/>
              <w:rPr>
                <w:rFonts w:hint="eastAsia" w:ascii="黑体" w:hAnsi="黑体" w:eastAsia="黑体" w:cs="黑体"/>
                <w:color w:val="auto"/>
                <w:sz w:val="24"/>
                <w:szCs w:val="24"/>
              </w:rPr>
            </w:pPr>
            <w:r>
              <w:rPr>
                <w:rFonts w:hint="eastAsia" w:ascii="黑体" w:hAnsi="黑体" w:eastAsia="黑体" w:cs="黑体"/>
                <w:color w:val="auto"/>
                <w:spacing w:val="15"/>
                <w:sz w:val="24"/>
                <w:szCs w:val="24"/>
              </w:rPr>
              <w:t>基本账户开户行及帐号</w:t>
            </w:r>
          </w:p>
        </w:tc>
        <w:tc>
          <w:tcPr>
            <w:tcW w:w="5876" w:type="dxa"/>
            <w:gridSpan w:val="5"/>
            <w:vAlign w:val="top"/>
          </w:tcPr>
          <w:p w14:paraId="00C7F65B">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23D72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2767" w:type="dxa"/>
            <w:gridSpan w:val="4"/>
            <w:vAlign w:val="top"/>
          </w:tcPr>
          <w:p w14:paraId="7B37489C">
            <w:pPr>
              <w:pStyle w:val="23"/>
              <w:pageBreakBefore w:val="0"/>
              <w:kinsoku w:val="0"/>
              <w:wordWrap w:val="0"/>
              <w:overflowPunct/>
              <w:topLinePunct w:val="0"/>
              <w:autoSpaceDE/>
              <w:autoSpaceDN/>
              <w:bidi w:val="0"/>
              <w:spacing w:before="301" w:line="231" w:lineRule="auto"/>
              <w:jc w:val="both"/>
              <w:rPr>
                <w:rFonts w:hint="eastAsia" w:ascii="黑体" w:hAnsi="黑体" w:eastAsia="黑体" w:cs="黑体"/>
                <w:color w:val="auto"/>
                <w:sz w:val="24"/>
                <w:szCs w:val="24"/>
              </w:rPr>
            </w:pPr>
            <w:r>
              <w:rPr>
                <w:rFonts w:hint="eastAsia" w:ascii="黑体" w:hAnsi="黑体" w:eastAsia="黑体" w:cs="黑体"/>
                <w:color w:val="auto"/>
                <w:spacing w:val="13"/>
                <w:sz w:val="24"/>
                <w:szCs w:val="24"/>
              </w:rPr>
              <w:t>税务登记机关</w:t>
            </w:r>
          </w:p>
        </w:tc>
        <w:tc>
          <w:tcPr>
            <w:tcW w:w="5876" w:type="dxa"/>
            <w:gridSpan w:val="5"/>
            <w:vAlign w:val="top"/>
          </w:tcPr>
          <w:p w14:paraId="3623AEDE">
            <w:pPr>
              <w:pageBreakBefore w:val="0"/>
              <w:kinsoku w:val="0"/>
              <w:wordWrap w:val="0"/>
              <w:overflowPunct/>
              <w:topLinePunct w:val="0"/>
              <w:autoSpaceDE/>
              <w:autoSpaceDN/>
              <w:bidi w:val="0"/>
              <w:jc w:val="both"/>
              <w:rPr>
                <w:rFonts w:hint="eastAsia" w:ascii="黑体" w:hAnsi="黑体" w:eastAsia="黑体" w:cs="黑体"/>
                <w:color w:val="auto"/>
                <w:sz w:val="24"/>
                <w:szCs w:val="24"/>
              </w:rPr>
            </w:pPr>
          </w:p>
        </w:tc>
      </w:tr>
      <w:tr w14:paraId="42B0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jc w:val="center"/>
        </w:trPr>
        <w:tc>
          <w:tcPr>
            <w:tcW w:w="3615" w:type="dxa"/>
            <w:gridSpan w:val="5"/>
            <w:vMerge w:val="restart"/>
            <w:tcBorders>
              <w:bottom w:val="nil"/>
            </w:tcBorders>
            <w:vAlign w:val="top"/>
          </w:tcPr>
          <w:p w14:paraId="02348318">
            <w:pPr>
              <w:pageBreakBefore w:val="0"/>
              <w:kinsoku w:val="0"/>
              <w:wordWrap w:val="0"/>
              <w:overflowPunct/>
              <w:topLinePunct w:val="0"/>
              <w:autoSpaceDE/>
              <w:autoSpaceDN/>
              <w:bidi w:val="0"/>
              <w:spacing w:line="253" w:lineRule="auto"/>
              <w:rPr>
                <w:rFonts w:hint="eastAsia" w:ascii="黑体" w:hAnsi="黑体" w:eastAsia="黑体" w:cs="黑体"/>
                <w:color w:val="auto"/>
                <w:sz w:val="24"/>
                <w:szCs w:val="24"/>
              </w:rPr>
            </w:pPr>
          </w:p>
          <w:p w14:paraId="41DBDCC6">
            <w:pPr>
              <w:pageBreakBefore w:val="0"/>
              <w:kinsoku w:val="0"/>
              <w:wordWrap w:val="0"/>
              <w:overflowPunct/>
              <w:topLinePunct w:val="0"/>
              <w:autoSpaceDE/>
              <w:autoSpaceDN/>
              <w:bidi w:val="0"/>
              <w:spacing w:line="253" w:lineRule="auto"/>
              <w:rPr>
                <w:rFonts w:hint="eastAsia" w:ascii="黑体" w:hAnsi="黑体" w:eastAsia="黑体" w:cs="黑体"/>
                <w:color w:val="auto"/>
                <w:sz w:val="24"/>
                <w:szCs w:val="24"/>
              </w:rPr>
            </w:pPr>
          </w:p>
          <w:p w14:paraId="27E559D9">
            <w:pPr>
              <w:pageBreakBefore w:val="0"/>
              <w:kinsoku w:val="0"/>
              <w:wordWrap w:val="0"/>
              <w:overflowPunct/>
              <w:topLinePunct w:val="0"/>
              <w:autoSpaceDE/>
              <w:autoSpaceDN/>
              <w:bidi w:val="0"/>
              <w:spacing w:line="254" w:lineRule="auto"/>
              <w:rPr>
                <w:rFonts w:hint="eastAsia" w:ascii="黑体" w:hAnsi="黑体" w:eastAsia="黑体" w:cs="黑体"/>
                <w:color w:val="auto"/>
                <w:sz w:val="24"/>
                <w:szCs w:val="24"/>
              </w:rPr>
            </w:pPr>
          </w:p>
          <w:p w14:paraId="06AEDF8B">
            <w:pPr>
              <w:pageBreakBefore w:val="0"/>
              <w:kinsoku w:val="0"/>
              <w:wordWrap w:val="0"/>
              <w:overflowPunct/>
              <w:topLinePunct w:val="0"/>
              <w:autoSpaceDE/>
              <w:autoSpaceDN/>
              <w:bidi w:val="0"/>
              <w:spacing w:line="254" w:lineRule="auto"/>
              <w:rPr>
                <w:rFonts w:hint="eastAsia" w:ascii="黑体" w:hAnsi="黑体" w:eastAsia="黑体" w:cs="黑体"/>
                <w:color w:val="auto"/>
                <w:sz w:val="24"/>
                <w:szCs w:val="24"/>
              </w:rPr>
            </w:pPr>
          </w:p>
          <w:p w14:paraId="70FA22DD">
            <w:pPr>
              <w:pStyle w:val="23"/>
              <w:pageBreakBefore w:val="0"/>
              <w:kinsoku w:val="0"/>
              <w:wordWrap w:val="0"/>
              <w:overflowPunct/>
              <w:topLinePunct w:val="0"/>
              <w:autoSpaceDE/>
              <w:autoSpaceDN/>
              <w:bidi w:val="0"/>
              <w:spacing w:before="62" w:line="231" w:lineRule="auto"/>
              <w:rPr>
                <w:rFonts w:hint="eastAsia" w:ascii="黑体" w:hAnsi="黑体" w:eastAsia="黑体" w:cs="黑体"/>
                <w:color w:val="auto"/>
                <w:sz w:val="24"/>
                <w:szCs w:val="24"/>
                <w:lang w:val="en-US" w:eastAsia="zh-CN"/>
              </w:rPr>
            </w:pPr>
            <w:r>
              <w:rPr>
                <w:rFonts w:hint="eastAsia" w:ascii="黑体" w:hAnsi="黑体" w:eastAsia="黑体" w:cs="黑体"/>
                <w:color w:val="auto"/>
                <w:spacing w:val="12"/>
                <w:sz w:val="24"/>
                <w:szCs w:val="24"/>
              </w:rPr>
              <w:t>企业设计人员共计人</w:t>
            </w:r>
            <w:r>
              <w:rPr>
                <w:rFonts w:hint="eastAsia" w:ascii="黑体" w:hAnsi="黑体" w:eastAsia="黑体" w:cs="黑体"/>
                <w:color w:val="auto"/>
                <w:spacing w:val="12"/>
                <w:sz w:val="24"/>
                <w:szCs w:val="24"/>
                <w:lang w:val="en-US" w:eastAsia="zh-CN"/>
              </w:rPr>
              <w:t>;</w:t>
            </w:r>
          </w:p>
        </w:tc>
        <w:tc>
          <w:tcPr>
            <w:tcW w:w="1965" w:type="dxa"/>
            <w:gridSpan w:val="2"/>
            <w:vAlign w:val="top"/>
          </w:tcPr>
          <w:p w14:paraId="3310BC66">
            <w:pPr>
              <w:pStyle w:val="23"/>
              <w:pageBreakBefore w:val="0"/>
              <w:kinsoku w:val="0"/>
              <w:wordWrap w:val="0"/>
              <w:overflowPunct/>
              <w:topLinePunct w:val="0"/>
              <w:autoSpaceDE/>
              <w:autoSpaceDN/>
              <w:bidi w:val="0"/>
              <w:spacing w:before="203" w:line="427" w:lineRule="auto"/>
              <w:ind w:right="123"/>
              <w:jc w:val="center"/>
              <w:rPr>
                <w:rFonts w:hint="eastAsia" w:ascii="黑体" w:hAnsi="黑体" w:eastAsia="黑体" w:cs="黑体"/>
                <w:color w:val="auto"/>
                <w:sz w:val="24"/>
                <w:szCs w:val="24"/>
              </w:rPr>
            </w:pPr>
            <w:r>
              <w:rPr>
                <w:rFonts w:hint="eastAsia" w:ascii="黑体" w:hAnsi="黑体" w:eastAsia="黑体" w:cs="黑体"/>
                <w:color w:val="auto"/>
                <w:spacing w:val="32"/>
                <w:sz w:val="24"/>
                <w:szCs w:val="24"/>
              </w:rPr>
              <w:t>中级专业技术职</w:t>
            </w:r>
            <w:r>
              <w:rPr>
                <w:rFonts w:hint="eastAsia" w:ascii="黑体" w:hAnsi="黑体" w:eastAsia="黑体" w:cs="黑体"/>
                <w:color w:val="auto"/>
                <w:spacing w:val="-10"/>
                <w:sz w:val="24"/>
                <w:szCs w:val="24"/>
              </w:rPr>
              <w:t>称、注册职业资</w:t>
            </w:r>
            <w:r>
              <w:rPr>
                <w:rFonts w:hint="eastAsia" w:ascii="黑体" w:hAnsi="黑体" w:eastAsia="黑体" w:cs="黑体"/>
                <w:color w:val="auto"/>
                <w:spacing w:val="-11"/>
                <w:sz w:val="24"/>
                <w:szCs w:val="24"/>
              </w:rPr>
              <w:t>格兼中、高级职</w:t>
            </w:r>
            <w:r>
              <w:rPr>
                <w:rFonts w:hint="eastAsia" w:ascii="黑体" w:hAnsi="黑体" w:eastAsia="黑体" w:cs="黑体"/>
                <w:color w:val="auto"/>
                <w:spacing w:val="14"/>
                <w:sz w:val="24"/>
                <w:szCs w:val="24"/>
              </w:rPr>
              <w:t>称总人数</w:t>
            </w:r>
          </w:p>
        </w:tc>
        <w:tc>
          <w:tcPr>
            <w:tcW w:w="3063" w:type="dxa"/>
            <w:gridSpan w:val="2"/>
            <w:vAlign w:val="top"/>
          </w:tcPr>
          <w:p w14:paraId="46B5DCDF">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5A9F6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3615" w:type="dxa"/>
            <w:gridSpan w:val="5"/>
            <w:vMerge w:val="continue"/>
            <w:tcBorders>
              <w:top w:val="nil"/>
            </w:tcBorders>
            <w:vAlign w:val="top"/>
          </w:tcPr>
          <w:p w14:paraId="514E47C9">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5" w:type="dxa"/>
            <w:gridSpan w:val="2"/>
            <w:vAlign w:val="top"/>
          </w:tcPr>
          <w:p w14:paraId="25D9BA7A">
            <w:pPr>
              <w:pStyle w:val="23"/>
              <w:pageBreakBefore w:val="0"/>
              <w:kinsoku w:val="0"/>
              <w:wordWrap w:val="0"/>
              <w:overflowPunct/>
              <w:topLinePunct w:val="0"/>
              <w:autoSpaceDE/>
              <w:autoSpaceDN/>
              <w:bidi w:val="0"/>
              <w:spacing w:before="61" w:line="231" w:lineRule="auto"/>
              <w:rPr>
                <w:rFonts w:hint="eastAsia" w:ascii="黑体" w:hAnsi="黑体" w:eastAsia="黑体" w:cs="黑体"/>
                <w:color w:val="auto"/>
                <w:sz w:val="24"/>
                <w:szCs w:val="24"/>
              </w:rPr>
            </w:pPr>
            <w:r>
              <w:rPr>
                <w:rFonts w:hint="eastAsia" w:ascii="黑体" w:hAnsi="黑体" w:eastAsia="黑体" w:cs="黑体"/>
                <w:color w:val="auto"/>
                <w:spacing w:val="13"/>
                <w:sz w:val="24"/>
                <w:szCs w:val="24"/>
              </w:rPr>
              <w:t>其他人员情况</w:t>
            </w:r>
          </w:p>
        </w:tc>
        <w:tc>
          <w:tcPr>
            <w:tcW w:w="3063" w:type="dxa"/>
            <w:gridSpan w:val="2"/>
            <w:vAlign w:val="top"/>
          </w:tcPr>
          <w:p w14:paraId="647DFE3F">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0A929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1264" w:type="dxa"/>
            <w:gridSpan w:val="2"/>
            <w:vAlign w:val="top"/>
          </w:tcPr>
          <w:p w14:paraId="040D5ECE">
            <w:pPr>
              <w:pStyle w:val="23"/>
              <w:pageBreakBefore w:val="0"/>
              <w:kinsoku w:val="0"/>
              <w:wordWrap w:val="0"/>
              <w:overflowPunct/>
              <w:topLinePunct w:val="0"/>
              <w:autoSpaceDE/>
              <w:autoSpaceDN/>
              <w:bidi w:val="0"/>
              <w:spacing w:before="62" w:line="233" w:lineRule="auto"/>
              <w:jc w:val="center"/>
              <w:rPr>
                <w:rFonts w:hint="eastAsia" w:ascii="黑体" w:hAnsi="黑体" w:eastAsia="黑体" w:cs="黑体"/>
                <w:color w:val="auto"/>
                <w:spacing w:val="2"/>
                <w:sz w:val="24"/>
                <w:szCs w:val="24"/>
              </w:rPr>
            </w:pPr>
          </w:p>
          <w:p w14:paraId="35942958">
            <w:pPr>
              <w:pStyle w:val="23"/>
              <w:pageBreakBefore w:val="0"/>
              <w:kinsoku w:val="0"/>
              <w:wordWrap w:val="0"/>
              <w:overflowPunct/>
              <w:topLinePunct w:val="0"/>
              <w:autoSpaceDE/>
              <w:autoSpaceDN/>
              <w:bidi w:val="0"/>
              <w:spacing w:before="62" w:line="233" w:lineRule="auto"/>
              <w:jc w:val="center"/>
              <w:rPr>
                <w:rFonts w:hint="eastAsia" w:ascii="黑体" w:hAnsi="黑体" w:eastAsia="黑体" w:cs="黑体"/>
                <w:color w:val="auto"/>
                <w:sz w:val="24"/>
                <w:szCs w:val="24"/>
              </w:rPr>
            </w:pPr>
            <w:r>
              <w:rPr>
                <w:rFonts w:hint="eastAsia" w:ascii="黑体" w:hAnsi="黑体" w:eastAsia="黑体" w:cs="黑体"/>
                <w:color w:val="auto"/>
                <w:spacing w:val="2"/>
                <w:sz w:val="24"/>
                <w:szCs w:val="24"/>
              </w:rPr>
              <w:t>备注</w:t>
            </w:r>
          </w:p>
        </w:tc>
        <w:tc>
          <w:tcPr>
            <w:tcW w:w="7379" w:type="dxa"/>
            <w:gridSpan w:val="7"/>
            <w:vAlign w:val="top"/>
          </w:tcPr>
          <w:p w14:paraId="553283F2">
            <w:pPr>
              <w:pageBreakBefore w:val="0"/>
              <w:kinsoku w:val="0"/>
              <w:wordWrap w:val="0"/>
              <w:overflowPunct/>
              <w:topLinePunct w:val="0"/>
              <w:autoSpaceDE/>
              <w:autoSpaceDN/>
              <w:bidi w:val="0"/>
              <w:rPr>
                <w:rFonts w:hint="eastAsia" w:ascii="黑体" w:hAnsi="黑体" w:eastAsia="黑体" w:cs="黑体"/>
                <w:color w:val="auto"/>
                <w:sz w:val="24"/>
                <w:szCs w:val="24"/>
              </w:rPr>
            </w:pPr>
          </w:p>
        </w:tc>
      </w:tr>
    </w:tbl>
    <w:p w14:paraId="3C0D9977">
      <w:pPr>
        <w:pStyle w:val="7"/>
        <w:pageBreakBefore w:val="0"/>
        <w:kinsoku w:val="0"/>
        <w:wordWrap w:val="0"/>
        <w:overflowPunct/>
        <w:topLinePunct w:val="0"/>
        <w:autoSpaceDE/>
        <w:autoSpaceDN/>
        <w:bidi w:val="0"/>
        <w:spacing w:before="62" w:line="360" w:lineRule="auto"/>
        <w:ind w:left="0" w:leftChars="0" w:firstLine="0" w:firstLineChars="0"/>
        <w:jc w:val="both"/>
        <w:rPr>
          <w:rFonts w:hint="eastAsia" w:ascii="黑体" w:hAnsi="黑体" w:eastAsia="黑体" w:cs="黑体"/>
          <w:color w:val="auto"/>
          <w:sz w:val="24"/>
          <w:szCs w:val="24"/>
          <w:u w:val="single"/>
          <w:lang w:val="en-US" w:eastAsia="zh-CN"/>
        </w:rPr>
      </w:pPr>
      <w:r>
        <w:rPr>
          <w:rFonts w:hint="eastAsia" w:ascii="黑体" w:hAnsi="黑体" w:eastAsia="黑体" w:cs="黑体"/>
          <w:color w:val="auto"/>
          <w:spacing w:val="16"/>
          <w:sz w:val="24"/>
          <w:szCs w:val="24"/>
        </w:rPr>
        <w:t>投标人名称（盖单位公章</w:t>
      </w:r>
      <w:r>
        <w:rPr>
          <w:rFonts w:hint="eastAsia" w:ascii="黑体" w:hAnsi="黑体" w:eastAsia="黑体" w:cs="黑体"/>
          <w:color w:val="auto"/>
          <w:spacing w:val="-15"/>
          <w:sz w:val="24"/>
          <w:szCs w:val="24"/>
        </w:rPr>
        <w:t>）：</w:t>
      </w:r>
      <w:r>
        <w:rPr>
          <w:rFonts w:hint="eastAsia" w:ascii="黑体" w:hAnsi="黑体" w:eastAsia="黑体" w:cs="黑体"/>
          <w:color w:val="auto"/>
          <w:sz w:val="24"/>
          <w:szCs w:val="24"/>
          <w:u w:val="single"/>
          <w:lang w:val="en-US" w:eastAsia="zh-CN"/>
        </w:rPr>
        <w:t xml:space="preserve">                    </w:t>
      </w:r>
    </w:p>
    <w:p w14:paraId="7B9D3FB9">
      <w:pPr>
        <w:pStyle w:val="7"/>
        <w:pageBreakBefore w:val="0"/>
        <w:kinsoku w:val="0"/>
        <w:wordWrap w:val="0"/>
        <w:overflowPunct/>
        <w:topLinePunct w:val="0"/>
        <w:autoSpaceDE/>
        <w:autoSpaceDN/>
        <w:bidi w:val="0"/>
        <w:spacing w:before="62" w:line="360" w:lineRule="auto"/>
        <w:ind w:left="0" w:leftChars="0" w:firstLine="0" w:firstLineChars="0"/>
        <w:jc w:val="both"/>
        <w:rPr>
          <w:rFonts w:hint="eastAsia" w:ascii="黑体" w:hAnsi="黑体" w:eastAsia="黑体" w:cs="黑体"/>
          <w:color w:val="auto"/>
          <w:sz w:val="24"/>
          <w:szCs w:val="24"/>
        </w:rPr>
      </w:pPr>
      <w:r>
        <w:rPr>
          <w:rFonts w:hint="eastAsia" w:ascii="黑体" w:hAnsi="黑体" w:eastAsia="黑体" w:cs="黑体"/>
          <w:color w:val="auto"/>
          <w:spacing w:val="15"/>
          <w:sz w:val="24"/>
          <w:szCs w:val="24"/>
        </w:rPr>
        <w:t>法定代表人或其委托代理人(签字或盖章)：</w:t>
      </w:r>
      <w:r>
        <w:rPr>
          <w:rFonts w:hint="eastAsia" w:ascii="黑体" w:hAnsi="黑体" w:eastAsia="黑体" w:cs="黑体"/>
          <w:color w:val="auto"/>
          <w:sz w:val="24"/>
          <w:szCs w:val="24"/>
          <w:u w:val="single"/>
          <w:lang w:val="en-US" w:eastAsia="zh-CN"/>
        </w:rPr>
        <w:t xml:space="preserve">                    </w:t>
      </w:r>
    </w:p>
    <w:p w14:paraId="0C0BE8A9">
      <w:pPr>
        <w:pageBreakBefore w:val="0"/>
        <w:kinsoku w:val="0"/>
        <w:wordWrap w:val="0"/>
        <w:overflowPunct/>
        <w:topLinePunct w:val="0"/>
        <w:autoSpaceDE/>
        <w:autoSpaceDN/>
        <w:bidi w:val="0"/>
        <w:spacing w:line="360" w:lineRule="auto"/>
        <w:ind w:left="0"/>
        <w:jc w:val="left"/>
        <w:rPr>
          <w:rFonts w:hint="eastAsia" w:ascii="黑体" w:hAnsi="黑体" w:eastAsia="黑体" w:cs="黑体"/>
          <w:color w:val="auto"/>
          <w:sz w:val="24"/>
          <w:szCs w:val="24"/>
        </w:rPr>
      </w:pPr>
      <w:r>
        <w:rPr>
          <w:rFonts w:hint="eastAsia" w:ascii="黑体" w:hAnsi="黑体" w:eastAsia="黑体" w:cs="黑体"/>
          <w:color w:val="auto"/>
          <w:spacing w:val="-5"/>
          <w:sz w:val="24"/>
          <w:szCs w:val="24"/>
        </w:rPr>
        <w:t>日期：</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年</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月</w:t>
      </w:r>
      <w:r>
        <w:rPr>
          <w:rFonts w:hint="eastAsia" w:ascii="黑体" w:hAnsi="黑体" w:eastAsia="黑体" w:cs="黑体"/>
          <w:color w:val="auto"/>
          <w:spacing w:val="-23"/>
          <w:sz w:val="24"/>
          <w:szCs w:val="24"/>
          <w:u w:val="single"/>
          <w:lang w:val="en-US" w:eastAsia="zh-CN"/>
        </w:rPr>
        <w:t xml:space="preserve">      </w:t>
      </w:r>
      <w:r>
        <w:rPr>
          <w:rFonts w:hint="eastAsia" w:ascii="黑体" w:hAnsi="黑体" w:eastAsia="黑体" w:cs="黑体"/>
          <w:color w:val="auto"/>
          <w:spacing w:val="-5"/>
          <w:sz w:val="24"/>
          <w:szCs w:val="24"/>
        </w:rPr>
        <w:t>日</w:t>
      </w:r>
    </w:p>
    <w:p w14:paraId="4B2959D0">
      <w:pPr>
        <w:pageBreakBefore w:val="0"/>
        <w:kinsoku w:val="0"/>
        <w:wordWrap w:val="0"/>
        <w:overflowPunct/>
        <w:topLinePunct w:val="0"/>
        <w:autoSpaceDE/>
        <w:autoSpaceDN/>
        <w:bidi w:val="0"/>
        <w:spacing w:line="231" w:lineRule="auto"/>
        <w:ind w:left="0" w:leftChars="0" w:firstLine="0" w:firstLineChars="0"/>
        <w:jc w:val="both"/>
        <w:rPr>
          <w:rFonts w:hint="eastAsia" w:ascii="黑体" w:hAnsi="黑体" w:eastAsia="黑体" w:cs="黑体"/>
          <w:color w:val="auto"/>
          <w:sz w:val="24"/>
          <w:szCs w:val="24"/>
        </w:rPr>
        <w:sectPr>
          <w:footerReference r:id="rId25" w:type="default"/>
          <w:pgSz w:w="11906" w:h="16840"/>
          <w:pgMar w:top="1431" w:right="1463" w:bottom="1361" w:left="1785" w:header="0" w:footer="1147" w:gutter="0"/>
          <w:pgNumType w:fmt="decimal"/>
          <w:cols w:space="720" w:num="1"/>
        </w:sectPr>
      </w:pPr>
    </w:p>
    <w:p w14:paraId="7FF0DCB5">
      <w:pPr>
        <w:pStyle w:val="7"/>
        <w:pageBreakBefore w:val="0"/>
        <w:kinsoku w:val="0"/>
        <w:wordWrap w:val="0"/>
        <w:overflowPunct/>
        <w:topLinePunct w:val="0"/>
        <w:autoSpaceDE/>
        <w:autoSpaceDN/>
        <w:bidi w:val="0"/>
        <w:spacing w:before="60" w:line="222" w:lineRule="auto"/>
        <w:ind w:left="64"/>
        <w:rPr>
          <w:rFonts w:hint="eastAsia" w:ascii="黑体" w:hAnsi="黑体" w:eastAsia="黑体" w:cs="黑体"/>
          <w:color w:val="auto"/>
          <w:sz w:val="24"/>
          <w:szCs w:val="24"/>
        </w:rPr>
      </w:pPr>
      <w:r>
        <w:rPr>
          <w:rFonts w:hint="eastAsia" w:ascii="黑体" w:hAnsi="黑体" w:eastAsia="黑体" w:cs="黑体"/>
          <w:color w:val="auto"/>
          <w:spacing w:val="-12"/>
          <w:sz w:val="24"/>
          <w:szCs w:val="24"/>
        </w:rPr>
        <w:t>附件2</w:t>
      </w:r>
    </w:p>
    <w:p w14:paraId="6A5C73C1">
      <w:pPr>
        <w:pStyle w:val="7"/>
        <w:pageBreakBefore w:val="0"/>
        <w:kinsoku w:val="0"/>
        <w:wordWrap w:val="0"/>
        <w:overflowPunct/>
        <w:topLinePunct w:val="0"/>
        <w:autoSpaceDE/>
        <w:autoSpaceDN/>
        <w:bidi w:val="0"/>
        <w:spacing w:before="176" w:line="222" w:lineRule="auto"/>
        <w:jc w:val="center"/>
        <w:rPr>
          <w:rFonts w:hint="eastAsia" w:ascii="黑体" w:hAnsi="黑体" w:eastAsia="黑体" w:cs="黑体"/>
          <w:color w:val="auto"/>
          <w:sz w:val="28"/>
          <w:szCs w:val="28"/>
        </w:rPr>
      </w:pPr>
      <w:r>
        <w:rPr>
          <w:rFonts w:hint="eastAsia" w:ascii="黑体" w:hAnsi="黑体" w:eastAsia="黑体" w:cs="黑体"/>
          <w:b/>
          <w:bCs/>
          <w:color w:val="auto"/>
          <w:spacing w:val="-7"/>
          <w:sz w:val="28"/>
          <w:szCs w:val="28"/>
        </w:rPr>
        <w:t>拟投入本项目的人员一览表</w:t>
      </w:r>
    </w:p>
    <w:tbl>
      <w:tblPr>
        <w:tblStyle w:val="22"/>
        <w:tblW w:w="94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827"/>
        <w:gridCol w:w="800"/>
        <w:gridCol w:w="1069"/>
        <w:gridCol w:w="1100"/>
        <w:gridCol w:w="1004"/>
        <w:gridCol w:w="1094"/>
        <w:gridCol w:w="1244"/>
        <w:gridCol w:w="981"/>
      </w:tblGrid>
      <w:tr w14:paraId="242F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jc w:val="center"/>
        </w:trPr>
        <w:tc>
          <w:tcPr>
            <w:tcW w:w="1313" w:type="dxa"/>
            <w:vAlign w:val="top"/>
          </w:tcPr>
          <w:p w14:paraId="62365CED">
            <w:pPr>
              <w:pageBreakBefore w:val="0"/>
              <w:kinsoku w:val="0"/>
              <w:wordWrap w:val="0"/>
              <w:overflowPunct/>
              <w:topLinePunct w:val="0"/>
              <w:autoSpaceDE/>
              <w:autoSpaceDN/>
              <w:bidi w:val="0"/>
              <w:spacing w:line="275" w:lineRule="auto"/>
              <w:jc w:val="both"/>
              <w:rPr>
                <w:rFonts w:hint="eastAsia" w:ascii="黑体" w:hAnsi="黑体" w:eastAsia="黑体" w:cs="黑体"/>
                <w:color w:val="auto"/>
                <w:sz w:val="24"/>
                <w:szCs w:val="24"/>
              </w:rPr>
            </w:pPr>
          </w:p>
          <w:p w14:paraId="41F7F15C">
            <w:pPr>
              <w:pStyle w:val="23"/>
              <w:pageBreakBefore w:val="0"/>
              <w:kinsoku w:val="0"/>
              <w:wordWrap w:val="0"/>
              <w:overflowPunct/>
              <w:topLinePunct w:val="0"/>
              <w:autoSpaceDE/>
              <w:autoSpaceDN/>
              <w:bidi w:val="0"/>
              <w:spacing w:before="61" w:line="233" w:lineRule="auto"/>
              <w:ind w:left="166"/>
              <w:rPr>
                <w:rFonts w:hint="eastAsia" w:ascii="黑体" w:hAnsi="黑体" w:eastAsia="黑体" w:cs="黑体"/>
                <w:color w:val="auto"/>
                <w:sz w:val="24"/>
                <w:szCs w:val="24"/>
              </w:rPr>
            </w:pPr>
            <w:r>
              <w:rPr>
                <w:rFonts w:hint="eastAsia" w:ascii="黑体" w:hAnsi="黑体" w:eastAsia="黑体" w:cs="黑体"/>
                <w:color w:val="auto"/>
                <w:spacing w:val="10"/>
                <w:sz w:val="24"/>
                <w:szCs w:val="24"/>
              </w:rPr>
              <w:t>职责分工</w:t>
            </w:r>
          </w:p>
        </w:tc>
        <w:tc>
          <w:tcPr>
            <w:tcW w:w="827" w:type="dxa"/>
            <w:vAlign w:val="top"/>
          </w:tcPr>
          <w:p w14:paraId="0EB0481F">
            <w:pPr>
              <w:pageBreakBefore w:val="0"/>
              <w:kinsoku w:val="0"/>
              <w:wordWrap w:val="0"/>
              <w:overflowPunct/>
              <w:topLinePunct w:val="0"/>
              <w:autoSpaceDE/>
              <w:autoSpaceDN/>
              <w:bidi w:val="0"/>
              <w:spacing w:line="275" w:lineRule="auto"/>
              <w:rPr>
                <w:rFonts w:hint="eastAsia" w:ascii="黑体" w:hAnsi="黑体" w:eastAsia="黑体" w:cs="黑体"/>
                <w:color w:val="auto"/>
                <w:sz w:val="24"/>
                <w:szCs w:val="24"/>
              </w:rPr>
            </w:pPr>
          </w:p>
          <w:p w14:paraId="0D13CC15">
            <w:pPr>
              <w:pStyle w:val="23"/>
              <w:pageBreakBefore w:val="0"/>
              <w:kinsoku w:val="0"/>
              <w:wordWrap w:val="0"/>
              <w:overflowPunct/>
              <w:topLinePunct w:val="0"/>
              <w:autoSpaceDE/>
              <w:autoSpaceDN/>
              <w:bidi w:val="0"/>
              <w:spacing w:before="62" w:line="233" w:lineRule="auto"/>
              <w:ind w:left="310"/>
              <w:rPr>
                <w:rFonts w:hint="eastAsia" w:ascii="黑体" w:hAnsi="黑体" w:eastAsia="黑体" w:cs="黑体"/>
                <w:color w:val="auto"/>
                <w:sz w:val="24"/>
                <w:szCs w:val="24"/>
              </w:rPr>
            </w:pPr>
            <w:r>
              <w:rPr>
                <w:rFonts w:hint="eastAsia" w:ascii="黑体" w:hAnsi="黑体" w:eastAsia="黑体" w:cs="黑体"/>
                <w:color w:val="auto"/>
                <w:spacing w:val="3"/>
                <w:sz w:val="24"/>
                <w:szCs w:val="24"/>
              </w:rPr>
              <w:t>姓名</w:t>
            </w:r>
          </w:p>
        </w:tc>
        <w:tc>
          <w:tcPr>
            <w:tcW w:w="800" w:type="dxa"/>
            <w:vAlign w:val="top"/>
          </w:tcPr>
          <w:p w14:paraId="329705B6">
            <w:pPr>
              <w:pageBreakBefore w:val="0"/>
              <w:kinsoku w:val="0"/>
              <w:wordWrap w:val="0"/>
              <w:overflowPunct/>
              <w:topLinePunct w:val="0"/>
              <w:autoSpaceDE/>
              <w:autoSpaceDN/>
              <w:bidi w:val="0"/>
              <w:spacing w:line="273" w:lineRule="auto"/>
              <w:rPr>
                <w:rFonts w:hint="eastAsia" w:ascii="黑体" w:hAnsi="黑体" w:eastAsia="黑体" w:cs="黑体"/>
                <w:color w:val="auto"/>
                <w:sz w:val="24"/>
                <w:szCs w:val="24"/>
              </w:rPr>
            </w:pPr>
          </w:p>
          <w:p w14:paraId="2C5439D9">
            <w:pPr>
              <w:pStyle w:val="23"/>
              <w:pageBreakBefore w:val="0"/>
              <w:kinsoku w:val="0"/>
              <w:wordWrap w:val="0"/>
              <w:overflowPunct/>
              <w:topLinePunct w:val="0"/>
              <w:autoSpaceDE/>
              <w:autoSpaceDN/>
              <w:bidi w:val="0"/>
              <w:spacing w:before="62" w:line="231" w:lineRule="auto"/>
              <w:ind w:left="217"/>
              <w:rPr>
                <w:rFonts w:hint="eastAsia" w:ascii="黑体" w:hAnsi="黑体" w:eastAsia="黑体" w:cs="黑体"/>
                <w:color w:val="auto"/>
                <w:sz w:val="24"/>
                <w:szCs w:val="24"/>
              </w:rPr>
            </w:pPr>
            <w:r>
              <w:rPr>
                <w:rFonts w:hint="eastAsia" w:ascii="黑体" w:hAnsi="黑体" w:eastAsia="黑体" w:cs="黑体"/>
                <w:color w:val="auto"/>
                <w:sz w:val="24"/>
                <w:szCs w:val="24"/>
              </w:rPr>
              <w:t>年龄</w:t>
            </w:r>
          </w:p>
        </w:tc>
        <w:tc>
          <w:tcPr>
            <w:tcW w:w="1069" w:type="dxa"/>
            <w:vAlign w:val="top"/>
          </w:tcPr>
          <w:p w14:paraId="557F4C83">
            <w:pPr>
              <w:pageBreakBefore w:val="0"/>
              <w:kinsoku w:val="0"/>
              <w:wordWrap w:val="0"/>
              <w:overflowPunct/>
              <w:topLinePunct w:val="0"/>
              <w:autoSpaceDE/>
              <w:autoSpaceDN/>
              <w:bidi w:val="0"/>
              <w:spacing w:line="275" w:lineRule="auto"/>
              <w:rPr>
                <w:rFonts w:hint="eastAsia" w:ascii="黑体" w:hAnsi="黑体" w:eastAsia="黑体" w:cs="黑体"/>
                <w:color w:val="auto"/>
                <w:sz w:val="24"/>
                <w:szCs w:val="24"/>
              </w:rPr>
            </w:pPr>
          </w:p>
          <w:p w14:paraId="16435EA8">
            <w:pPr>
              <w:pStyle w:val="23"/>
              <w:pageBreakBefore w:val="0"/>
              <w:kinsoku w:val="0"/>
              <w:wordWrap w:val="0"/>
              <w:overflowPunct/>
              <w:topLinePunct w:val="0"/>
              <w:autoSpaceDE/>
              <w:autoSpaceDN/>
              <w:bidi w:val="0"/>
              <w:spacing w:before="61" w:line="233" w:lineRule="auto"/>
              <w:ind w:left="352"/>
              <w:rPr>
                <w:rFonts w:hint="eastAsia" w:ascii="黑体" w:hAnsi="黑体" w:eastAsia="黑体" w:cs="黑体"/>
                <w:color w:val="auto"/>
                <w:sz w:val="24"/>
                <w:szCs w:val="24"/>
              </w:rPr>
            </w:pPr>
            <w:r>
              <w:rPr>
                <w:rFonts w:hint="eastAsia" w:ascii="黑体" w:hAnsi="黑体" w:eastAsia="黑体" w:cs="黑体"/>
                <w:color w:val="auto"/>
                <w:spacing w:val="1"/>
                <w:sz w:val="24"/>
                <w:szCs w:val="24"/>
              </w:rPr>
              <w:t>专业</w:t>
            </w:r>
          </w:p>
        </w:tc>
        <w:tc>
          <w:tcPr>
            <w:tcW w:w="1100" w:type="dxa"/>
            <w:vAlign w:val="top"/>
          </w:tcPr>
          <w:p w14:paraId="371E0CCA">
            <w:pPr>
              <w:pageBreakBefore w:val="0"/>
              <w:kinsoku w:val="0"/>
              <w:wordWrap w:val="0"/>
              <w:overflowPunct/>
              <w:topLinePunct w:val="0"/>
              <w:autoSpaceDE/>
              <w:autoSpaceDN/>
              <w:bidi w:val="0"/>
              <w:spacing w:line="270" w:lineRule="auto"/>
              <w:rPr>
                <w:rFonts w:hint="eastAsia" w:ascii="黑体" w:hAnsi="黑体" w:eastAsia="黑体" w:cs="黑体"/>
                <w:color w:val="auto"/>
                <w:sz w:val="24"/>
                <w:szCs w:val="24"/>
              </w:rPr>
            </w:pPr>
          </w:p>
          <w:p w14:paraId="73B9A16A">
            <w:pPr>
              <w:pStyle w:val="23"/>
              <w:pageBreakBefore w:val="0"/>
              <w:kinsoku w:val="0"/>
              <w:wordWrap w:val="0"/>
              <w:overflowPunct/>
              <w:topLinePunct w:val="0"/>
              <w:autoSpaceDE/>
              <w:autoSpaceDN/>
              <w:bidi w:val="0"/>
              <w:spacing w:before="61" w:line="231" w:lineRule="auto"/>
              <w:ind w:left="479"/>
              <w:rPr>
                <w:rFonts w:hint="eastAsia" w:ascii="黑体" w:hAnsi="黑体" w:eastAsia="黑体" w:cs="黑体"/>
                <w:color w:val="auto"/>
                <w:sz w:val="24"/>
                <w:szCs w:val="24"/>
              </w:rPr>
            </w:pPr>
            <w:r>
              <w:rPr>
                <w:rFonts w:hint="eastAsia" w:ascii="黑体" w:hAnsi="黑体" w:eastAsia="黑体" w:cs="黑体"/>
                <w:color w:val="auto"/>
                <w:spacing w:val="-15"/>
                <w:sz w:val="24"/>
                <w:szCs w:val="24"/>
              </w:rPr>
              <w:t>岗位</w:t>
            </w:r>
          </w:p>
        </w:tc>
        <w:tc>
          <w:tcPr>
            <w:tcW w:w="1004" w:type="dxa"/>
            <w:vAlign w:val="top"/>
          </w:tcPr>
          <w:p w14:paraId="6B0007A3">
            <w:pPr>
              <w:pStyle w:val="23"/>
              <w:pageBreakBefore w:val="0"/>
              <w:kinsoku w:val="0"/>
              <w:wordWrap w:val="0"/>
              <w:overflowPunct/>
              <w:topLinePunct w:val="0"/>
              <w:autoSpaceDE/>
              <w:autoSpaceDN/>
              <w:bidi w:val="0"/>
              <w:spacing w:before="190" w:line="439" w:lineRule="exact"/>
              <w:ind w:left="229"/>
              <w:rPr>
                <w:rFonts w:hint="eastAsia" w:ascii="黑体" w:hAnsi="黑体" w:eastAsia="黑体" w:cs="黑体"/>
                <w:color w:val="auto"/>
                <w:sz w:val="24"/>
                <w:szCs w:val="24"/>
              </w:rPr>
            </w:pPr>
            <w:r>
              <w:rPr>
                <w:rFonts w:hint="eastAsia" w:ascii="黑体" w:hAnsi="黑体" w:eastAsia="黑体" w:cs="黑体"/>
                <w:color w:val="auto"/>
                <w:spacing w:val="2"/>
                <w:position w:val="18"/>
                <w:sz w:val="24"/>
                <w:szCs w:val="24"/>
              </w:rPr>
              <w:t>证书</w:t>
            </w:r>
          </w:p>
          <w:p w14:paraId="684AB499">
            <w:pPr>
              <w:pStyle w:val="23"/>
              <w:pageBreakBefore w:val="0"/>
              <w:kinsoku w:val="0"/>
              <w:wordWrap w:val="0"/>
              <w:overflowPunct/>
              <w:topLinePunct w:val="0"/>
              <w:autoSpaceDE/>
              <w:autoSpaceDN/>
              <w:bidi w:val="0"/>
              <w:spacing w:line="232" w:lineRule="auto"/>
              <w:ind w:left="232"/>
              <w:rPr>
                <w:rFonts w:hint="eastAsia" w:ascii="黑体" w:hAnsi="黑体" w:eastAsia="黑体" w:cs="黑体"/>
                <w:color w:val="auto"/>
                <w:sz w:val="24"/>
                <w:szCs w:val="24"/>
              </w:rPr>
            </w:pPr>
            <w:r>
              <w:rPr>
                <w:rFonts w:hint="eastAsia" w:ascii="黑体" w:hAnsi="黑体" w:eastAsia="黑体" w:cs="黑体"/>
                <w:color w:val="auto"/>
                <w:spacing w:val="1"/>
                <w:sz w:val="24"/>
                <w:szCs w:val="24"/>
              </w:rPr>
              <w:t>编号</w:t>
            </w:r>
          </w:p>
        </w:tc>
        <w:tc>
          <w:tcPr>
            <w:tcW w:w="1094" w:type="dxa"/>
            <w:vAlign w:val="top"/>
          </w:tcPr>
          <w:p w14:paraId="48742158">
            <w:pPr>
              <w:pStyle w:val="23"/>
              <w:pageBreakBefore w:val="0"/>
              <w:kinsoku w:val="0"/>
              <w:wordWrap w:val="0"/>
              <w:overflowPunct/>
              <w:topLinePunct w:val="0"/>
              <w:autoSpaceDE/>
              <w:autoSpaceDN/>
              <w:bidi w:val="0"/>
              <w:spacing w:before="187" w:line="439" w:lineRule="exact"/>
              <w:ind w:left="157"/>
              <w:jc w:val="center"/>
              <w:rPr>
                <w:rFonts w:hint="eastAsia" w:ascii="黑体" w:hAnsi="黑体" w:eastAsia="黑体" w:cs="黑体"/>
                <w:color w:val="auto"/>
                <w:sz w:val="24"/>
                <w:szCs w:val="24"/>
              </w:rPr>
            </w:pPr>
            <w:r>
              <w:rPr>
                <w:rFonts w:hint="eastAsia" w:ascii="黑体" w:hAnsi="黑体" w:eastAsia="黑体" w:cs="黑体"/>
                <w:color w:val="auto"/>
                <w:spacing w:val="6"/>
                <w:position w:val="18"/>
                <w:sz w:val="24"/>
                <w:szCs w:val="24"/>
              </w:rPr>
              <w:t>证件</w:t>
            </w:r>
          </w:p>
          <w:p w14:paraId="1DBEA951">
            <w:pPr>
              <w:pStyle w:val="23"/>
              <w:pageBreakBefore w:val="0"/>
              <w:kinsoku w:val="0"/>
              <w:wordWrap w:val="0"/>
              <w:overflowPunct/>
              <w:topLinePunct w:val="0"/>
              <w:autoSpaceDE/>
              <w:autoSpaceDN/>
              <w:bidi w:val="0"/>
              <w:spacing w:line="229" w:lineRule="auto"/>
              <w:ind w:left="159"/>
              <w:jc w:val="center"/>
              <w:rPr>
                <w:rFonts w:hint="eastAsia" w:ascii="黑体" w:hAnsi="黑体" w:eastAsia="黑体" w:cs="黑体"/>
                <w:color w:val="auto"/>
                <w:sz w:val="24"/>
                <w:szCs w:val="24"/>
              </w:rPr>
            </w:pPr>
            <w:r>
              <w:rPr>
                <w:rFonts w:hint="eastAsia" w:ascii="黑体" w:hAnsi="黑体" w:eastAsia="黑体" w:cs="黑体"/>
                <w:color w:val="auto"/>
                <w:spacing w:val="5"/>
                <w:sz w:val="24"/>
                <w:szCs w:val="24"/>
              </w:rPr>
              <w:t>种类</w:t>
            </w:r>
          </w:p>
        </w:tc>
        <w:tc>
          <w:tcPr>
            <w:tcW w:w="1244" w:type="dxa"/>
            <w:vAlign w:val="top"/>
          </w:tcPr>
          <w:p w14:paraId="70509EF4">
            <w:pPr>
              <w:pStyle w:val="23"/>
              <w:pageBreakBefore w:val="0"/>
              <w:kinsoku w:val="0"/>
              <w:wordWrap w:val="0"/>
              <w:overflowPunct/>
              <w:topLinePunct w:val="0"/>
              <w:autoSpaceDE/>
              <w:autoSpaceDN/>
              <w:bidi w:val="0"/>
              <w:spacing w:before="187" w:line="439" w:lineRule="exact"/>
              <w:jc w:val="center"/>
              <w:rPr>
                <w:rFonts w:hint="eastAsia" w:ascii="黑体" w:hAnsi="黑体" w:eastAsia="黑体" w:cs="黑体"/>
                <w:color w:val="auto"/>
                <w:sz w:val="24"/>
                <w:szCs w:val="24"/>
              </w:rPr>
            </w:pPr>
            <w:r>
              <w:rPr>
                <w:rFonts w:hint="eastAsia" w:ascii="黑体" w:hAnsi="黑体" w:eastAsia="黑体" w:cs="黑体"/>
                <w:color w:val="auto"/>
                <w:spacing w:val="6"/>
                <w:position w:val="18"/>
                <w:sz w:val="24"/>
                <w:szCs w:val="24"/>
              </w:rPr>
              <w:t>职称</w:t>
            </w:r>
          </w:p>
          <w:p w14:paraId="542A6752">
            <w:pPr>
              <w:pStyle w:val="23"/>
              <w:pageBreakBefore w:val="0"/>
              <w:kinsoku w:val="0"/>
              <w:wordWrap w:val="0"/>
              <w:overflowPunct/>
              <w:topLinePunct w:val="0"/>
              <w:autoSpaceDE/>
              <w:autoSpaceDN/>
              <w:bidi w:val="0"/>
              <w:spacing w:line="231" w:lineRule="auto"/>
              <w:jc w:val="center"/>
              <w:rPr>
                <w:rFonts w:hint="eastAsia" w:ascii="黑体" w:hAnsi="黑体" w:eastAsia="黑体" w:cs="黑体"/>
                <w:color w:val="auto"/>
                <w:sz w:val="24"/>
                <w:szCs w:val="24"/>
              </w:rPr>
            </w:pPr>
            <w:r>
              <w:rPr>
                <w:rFonts w:hint="eastAsia" w:ascii="黑体" w:hAnsi="黑体" w:eastAsia="黑体" w:cs="黑体"/>
                <w:color w:val="auto"/>
                <w:spacing w:val="1"/>
                <w:sz w:val="24"/>
                <w:szCs w:val="24"/>
              </w:rPr>
              <w:t>（若有）</w:t>
            </w:r>
          </w:p>
        </w:tc>
        <w:tc>
          <w:tcPr>
            <w:tcW w:w="981" w:type="dxa"/>
            <w:vAlign w:val="top"/>
          </w:tcPr>
          <w:p w14:paraId="53D37993">
            <w:pPr>
              <w:pageBreakBefore w:val="0"/>
              <w:kinsoku w:val="0"/>
              <w:wordWrap w:val="0"/>
              <w:overflowPunct/>
              <w:topLinePunct w:val="0"/>
              <w:autoSpaceDE/>
              <w:autoSpaceDN/>
              <w:bidi w:val="0"/>
              <w:spacing w:line="275" w:lineRule="auto"/>
              <w:rPr>
                <w:rFonts w:hint="eastAsia" w:ascii="黑体" w:hAnsi="黑体" w:eastAsia="黑体" w:cs="黑体"/>
                <w:color w:val="auto"/>
                <w:sz w:val="24"/>
                <w:szCs w:val="24"/>
              </w:rPr>
            </w:pPr>
          </w:p>
          <w:p w14:paraId="27E74A64">
            <w:pPr>
              <w:pStyle w:val="23"/>
              <w:pageBreakBefore w:val="0"/>
              <w:kinsoku w:val="0"/>
              <w:wordWrap w:val="0"/>
              <w:overflowPunct/>
              <w:topLinePunct w:val="0"/>
              <w:autoSpaceDE/>
              <w:autoSpaceDN/>
              <w:bidi w:val="0"/>
              <w:spacing w:before="62" w:line="233" w:lineRule="auto"/>
              <w:ind w:left="269"/>
              <w:rPr>
                <w:rFonts w:hint="eastAsia" w:ascii="黑体" w:hAnsi="黑体" w:eastAsia="黑体" w:cs="黑体"/>
                <w:color w:val="auto"/>
                <w:sz w:val="24"/>
                <w:szCs w:val="24"/>
              </w:rPr>
            </w:pPr>
            <w:r>
              <w:rPr>
                <w:rFonts w:hint="eastAsia" w:ascii="黑体" w:hAnsi="黑体" w:eastAsia="黑体" w:cs="黑体"/>
                <w:color w:val="auto"/>
                <w:spacing w:val="2"/>
                <w:sz w:val="24"/>
                <w:szCs w:val="24"/>
              </w:rPr>
              <w:t>备注</w:t>
            </w:r>
          </w:p>
        </w:tc>
      </w:tr>
      <w:tr w14:paraId="7A5C8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13" w:type="dxa"/>
            <w:vMerge w:val="restart"/>
            <w:tcBorders>
              <w:bottom w:val="nil"/>
            </w:tcBorders>
            <w:vAlign w:val="top"/>
          </w:tcPr>
          <w:p w14:paraId="7C44560D">
            <w:pPr>
              <w:pageBreakBefore w:val="0"/>
              <w:kinsoku w:val="0"/>
              <w:wordWrap w:val="0"/>
              <w:overflowPunct/>
              <w:topLinePunct w:val="0"/>
              <w:autoSpaceDE/>
              <w:autoSpaceDN/>
              <w:bidi w:val="0"/>
              <w:spacing w:line="244" w:lineRule="auto"/>
              <w:rPr>
                <w:rFonts w:hint="eastAsia" w:ascii="黑体" w:hAnsi="黑体" w:eastAsia="黑体" w:cs="黑体"/>
                <w:color w:val="auto"/>
                <w:sz w:val="24"/>
                <w:szCs w:val="24"/>
              </w:rPr>
            </w:pPr>
          </w:p>
          <w:p w14:paraId="51BB758D">
            <w:pPr>
              <w:pageBreakBefore w:val="0"/>
              <w:kinsoku w:val="0"/>
              <w:wordWrap w:val="0"/>
              <w:overflowPunct/>
              <w:topLinePunct w:val="0"/>
              <w:autoSpaceDE/>
              <w:autoSpaceDN/>
              <w:bidi w:val="0"/>
              <w:spacing w:line="244" w:lineRule="auto"/>
              <w:rPr>
                <w:rFonts w:hint="eastAsia" w:ascii="黑体" w:hAnsi="黑体" w:eastAsia="黑体" w:cs="黑体"/>
                <w:color w:val="auto"/>
                <w:sz w:val="24"/>
                <w:szCs w:val="24"/>
              </w:rPr>
            </w:pPr>
          </w:p>
          <w:p w14:paraId="55B8760E">
            <w:pPr>
              <w:pageBreakBefore w:val="0"/>
              <w:kinsoku w:val="0"/>
              <w:wordWrap w:val="0"/>
              <w:overflowPunct/>
              <w:topLinePunct w:val="0"/>
              <w:autoSpaceDE/>
              <w:autoSpaceDN/>
              <w:bidi w:val="0"/>
              <w:spacing w:line="244" w:lineRule="auto"/>
              <w:rPr>
                <w:rFonts w:hint="eastAsia" w:ascii="黑体" w:hAnsi="黑体" w:eastAsia="黑体" w:cs="黑体"/>
                <w:color w:val="auto"/>
                <w:sz w:val="24"/>
                <w:szCs w:val="24"/>
              </w:rPr>
            </w:pPr>
          </w:p>
          <w:p w14:paraId="4E90FAE2">
            <w:pPr>
              <w:pageBreakBefore w:val="0"/>
              <w:kinsoku w:val="0"/>
              <w:wordWrap w:val="0"/>
              <w:overflowPunct/>
              <w:topLinePunct w:val="0"/>
              <w:autoSpaceDE/>
              <w:autoSpaceDN/>
              <w:bidi w:val="0"/>
              <w:spacing w:line="244" w:lineRule="auto"/>
              <w:rPr>
                <w:rFonts w:hint="eastAsia" w:ascii="黑体" w:hAnsi="黑体" w:eastAsia="黑体" w:cs="黑体"/>
                <w:color w:val="auto"/>
                <w:sz w:val="24"/>
                <w:szCs w:val="24"/>
              </w:rPr>
            </w:pPr>
          </w:p>
          <w:p w14:paraId="6137528B">
            <w:pPr>
              <w:pageBreakBefore w:val="0"/>
              <w:kinsoku w:val="0"/>
              <w:wordWrap w:val="0"/>
              <w:overflowPunct/>
              <w:topLinePunct w:val="0"/>
              <w:autoSpaceDE/>
              <w:autoSpaceDN/>
              <w:bidi w:val="0"/>
              <w:spacing w:line="244" w:lineRule="auto"/>
              <w:rPr>
                <w:rFonts w:hint="eastAsia" w:ascii="黑体" w:hAnsi="黑体" w:eastAsia="黑体" w:cs="黑体"/>
                <w:color w:val="auto"/>
                <w:sz w:val="24"/>
                <w:szCs w:val="24"/>
              </w:rPr>
            </w:pPr>
          </w:p>
          <w:p w14:paraId="72A5124A">
            <w:pPr>
              <w:pageBreakBefore w:val="0"/>
              <w:kinsoku w:val="0"/>
              <w:wordWrap w:val="0"/>
              <w:overflowPunct/>
              <w:topLinePunct w:val="0"/>
              <w:autoSpaceDE/>
              <w:autoSpaceDN/>
              <w:bidi w:val="0"/>
              <w:spacing w:line="245" w:lineRule="auto"/>
              <w:rPr>
                <w:rFonts w:hint="eastAsia" w:ascii="黑体" w:hAnsi="黑体" w:eastAsia="黑体" w:cs="黑体"/>
                <w:color w:val="auto"/>
                <w:sz w:val="24"/>
                <w:szCs w:val="24"/>
              </w:rPr>
            </w:pPr>
          </w:p>
          <w:p w14:paraId="271A5D0E">
            <w:pPr>
              <w:pageBreakBefore w:val="0"/>
              <w:kinsoku w:val="0"/>
              <w:wordWrap w:val="0"/>
              <w:overflowPunct/>
              <w:topLinePunct w:val="0"/>
              <w:autoSpaceDE/>
              <w:autoSpaceDN/>
              <w:bidi w:val="0"/>
              <w:spacing w:line="245" w:lineRule="auto"/>
              <w:rPr>
                <w:rFonts w:hint="eastAsia" w:ascii="黑体" w:hAnsi="黑体" w:eastAsia="黑体" w:cs="黑体"/>
                <w:color w:val="auto"/>
                <w:sz w:val="24"/>
                <w:szCs w:val="24"/>
              </w:rPr>
            </w:pPr>
          </w:p>
          <w:p w14:paraId="7B1E7230">
            <w:pPr>
              <w:pageBreakBefore w:val="0"/>
              <w:kinsoku w:val="0"/>
              <w:wordWrap w:val="0"/>
              <w:overflowPunct/>
              <w:topLinePunct w:val="0"/>
              <w:autoSpaceDE/>
              <w:autoSpaceDN/>
              <w:bidi w:val="0"/>
              <w:spacing w:line="245" w:lineRule="auto"/>
              <w:rPr>
                <w:rFonts w:hint="eastAsia" w:ascii="黑体" w:hAnsi="黑体" w:eastAsia="黑体" w:cs="黑体"/>
                <w:color w:val="auto"/>
                <w:sz w:val="24"/>
                <w:szCs w:val="24"/>
              </w:rPr>
            </w:pPr>
          </w:p>
          <w:p w14:paraId="41EAE0E4">
            <w:pPr>
              <w:pStyle w:val="23"/>
              <w:pageBreakBefore w:val="0"/>
              <w:kinsoku w:val="0"/>
              <w:wordWrap w:val="0"/>
              <w:overflowPunct/>
              <w:topLinePunct w:val="0"/>
              <w:autoSpaceDE/>
              <w:autoSpaceDN/>
              <w:bidi w:val="0"/>
              <w:spacing w:before="62" w:line="253" w:lineRule="auto"/>
              <w:ind w:left="13" w:leftChars="0" w:right="49" w:rightChars="0" w:hanging="13" w:firstLineChars="0"/>
              <w:jc w:val="center"/>
              <w:rPr>
                <w:rFonts w:hint="eastAsia" w:ascii="黑体" w:hAnsi="黑体" w:eastAsia="黑体" w:cs="黑体"/>
                <w:color w:val="auto"/>
                <w:sz w:val="24"/>
                <w:szCs w:val="24"/>
              </w:rPr>
            </w:pPr>
            <w:r>
              <w:rPr>
                <w:rFonts w:hint="eastAsia" w:ascii="黑体" w:hAnsi="黑体" w:eastAsia="黑体" w:cs="黑体"/>
                <w:color w:val="auto"/>
                <w:spacing w:val="10"/>
                <w:sz w:val="24"/>
                <w:szCs w:val="24"/>
              </w:rPr>
              <w:t>项目组人</w:t>
            </w:r>
            <w:r>
              <w:rPr>
                <w:rFonts w:hint="eastAsia" w:ascii="黑体" w:hAnsi="黑体" w:eastAsia="黑体" w:cs="黑体"/>
                <w:color w:val="auto"/>
                <w:sz w:val="24"/>
                <w:szCs w:val="24"/>
              </w:rPr>
              <w:t>员</w:t>
            </w:r>
          </w:p>
        </w:tc>
        <w:tc>
          <w:tcPr>
            <w:tcW w:w="827" w:type="dxa"/>
            <w:vAlign w:val="top"/>
          </w:tcPr>
          <w:p w14:paraId="79318805">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1E3B3F4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5B515A3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45D066E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4A8F076D">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47838C9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5D85F969">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36FF489E">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1ED81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13" w:type="dxa"/>
            <w:vMerge w:val="continue"/>
            <w:tcBorders>
              <w:top w:val="nil"/>
              <w:bottom w:val="nil"/>
            </w:tcBorders>
            <w:vAlign w:val="top"/>
          </w:tcPr>
          <w:p w14:paraId="4A08EB3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25C5373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6A84CC74">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4A882404">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0CEB122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63142F86">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5ADCF92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0AF5F528">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2A889CA4">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0399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313" w:type="dxa"/>
            <w:vMerge w:val="continue"/>
            <w:tcBorders>
              <w:top w:val="nil"/>
              <w:bottom w:val="nil"/>
            </w:tcBorders>
            <w:vAlign w:val="top"/>
          </w:tcPr>
          <w:p w14:paraId="55B34CCB">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4F9B95D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4D438B15">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3D7C525E">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0FC43E59">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2430644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6BF1695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149F70F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126676D3">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086A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313" w:type="dxa"/>
            <w:vMerge w:val="continue"/>
            <w:tcBorders>
              <w:top w:val="nil"/>
              <w:bottom w:val="nil"/>
            </w:tcBorders>
            <w:vAlign w:val="top"/>
          </w:tcPr>
          <w:p w14:paraId="06B1B8D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4B957E38">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7EF6A15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2A8EB544">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535A8CED">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3D21794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12D5B6C6">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15C5515B">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3E257F42">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6111D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13" w:type="dxa"/>
            <w:vMerge w:val="continue"/>
            <w:tcBorders>
              <w:top w:val="nil"/>
              <w:bottom w:val="nil"/>
            </w:tcBorders>
            <w:vAlign w:val="top"/>
          </w:tcPr>
          <w:p w14:paraId="298A395E">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6A188DC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1BD4A4B5">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51EC9AB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1F5127F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6214665D">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13F0488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76CDFA3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55E25306">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08CB4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13" w:type="dxa"/>
            <w:vMerge w:val="continue"/>
            <w:tcBorders>
              <w:top w:val="nil"/>
              <w:bottom w:val="nil"/>
            </w:tcBorders>
            <w:vAlign w:val="top"/>
          </w:tcPr>
          <w:p w14:paraId="64DCD1F8">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067BA3A4">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1CDFB17B">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2F94FB0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2798508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5AA0436D">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1C319EA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248E63C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5CB4B642">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23DA3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313" w:type="dxa"/>
            <w:vMerge w:val="continue"/>
            <w:tcBorders>
              <w:top w:val="nil"/>
              <w:bottom w:val="nil"/>
            </w:tcBorders>
            <w:vAlign w:val="top"/>
          </w:tcPr>
          <w:p w14:paraId="0C94C616">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346995A6">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02319A58">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4EB6BE0D">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20618AD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18FEE54F">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4318F5C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46333D1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27909CF4">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4E15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313" w:type="dxa"/>
            <w:vMerge w:val="continue"/>
            <w:tcBorders>
              <w:top w:val="nil"/>
            </w:tcBorders>
            <w:vAlign w:val="top"/>
          </w:tcPr>
          <w:p w14:paraId="784D843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27" w:type="dxa"/>
            <w:vAlign w:val="top"/>
          </w:tcPr>
          <w:p w14:paraId="10DB6836">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800" w:type="dxa"/>
            <w:vAlign w:val="top"/>
          </w:tcPr>
          <w:p w14:paraId="1974CAEC">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69" w:type="dxa"/>
            <w:vAlign w:val="top"/>
          </w:tcPr>
          <w:p w14:paraId="42258904">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100" w:type="dxa"/>
            <w:vAlign w:val="top"/>
          </w:tcPr>
          <w:p w14:paraId="6C353346">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04" w:type="dxa"/>
            <w:vAlign w:val="top"/>
          </w:tcPr>
          <w:p w14:paraId="6D3FE670">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094" w:type="dxa"/>
            <w:vAlign w:val="top"/>
          </w:tcPr>
          <w:p w14:paraId="35D4891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244" w:type="dxa"/>
            <w:vAlign w:val="top"/>
          </w:tcPr>
          <w:p w14:paraId="7252CED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981" w:type="dxa"/>
            <w:vAlign w:val="top"/>
          </w:tcPr>
          <w:p w14:paraId="6078043D">
            <w:pPr>
              <w:pageBreakBefore w:val="0"/>
              <w:kinsoku w:val="0"/>
              <w:wordWrap w:val="0"/>
              <w:overflowPunct/>
              <w:topLinePunct w:val="0"/>
              <w:autoSpaceDE/>
              <w:autoSpaceDN/>
              <w:bidi w:val="0"/>
              <w:rPr>
                <w:rFonts w:hint="eastAsia" w:ascii="黑体" w:hAnsi="黑体" w:eastAsia="黑体" w:cs="黑体"/>
                <w:color w:val="auto"/>
                <w:sz w:val="24"/>
                <w:szCs w:val="24"/>
              </w:rPr>
            </w:pPr>
          </w:p>
        </w:tc>
      </w:tr>
    </w:tbl>
    <w:p w14:paraId="1F1ED57A">
      <w:pPr>
        <w:pStyle w:val="7"/>
        <w:pageBreakBefore w:val="0"/>
        <w:kinsoku w:val="0"/>
        <w:wordWrap w:val="0"/>
        <w:overflowPunct/>
        <w:topLinePunct w:val="0"/>
        <w:autoSpaceDE/>
        <w:autoSpaceDN/>
        <w:bidi w:val="0"/>
        <w:spacing w:before="62" w:line="360" w:lineRule="auto"/>
        <w:ind w:left="38"/>
        <w:rPr>
          <w:rFonts w:hint="eastAsia" w:ascii="黑体" w:hAnsi="黑体" w:eastAsia="黑体" w:cs="黑体"/>
          <w:color w:val="auto"/>
          <w:sz w:val="24"/>
          <w:szCs w:val="24"/>
        </w:rPr>
      </w:pPr>
      <w:r>
        <w:rPr>
          <w:rFonts w:hint="eastAsia" w:ascii="黑体" w:hAnsi="黑体" w:eastAsia="黑体" w:cs="黑体"/>
          <w:color w:val="auto"/>
          <w:spacing w:val="16"/>
          <w:sz w:val="24"/>
          <w:szCs w:val="24"/>
        </w:rPr>
        <w:t>投标人名称（盖单位公章</w:t>
      </w:r>
      <w:r>
        <w:rPr>
          <w:rFonts w:hint="eastAsia" w:ascii="黑体" w:hAnsi="黑体" w:eastAsia="黑体" w:cs="黑体"/>
          <w:color w:val="auto"/>
          <w:spacing w:val="-15"/>
          <w:sz w:val="24"/>
          <w:szCs w:val="24"/>
        </w:rPr>
        <w:t>）：</w:t>
      </w:r>
      <w:r>
        <w:rPr>
          <w:rFonts w:hint="eastAsia" w:ascii="黑体" w:hAnsi="黑体" w:eastAsia="黑体" w:cs="黑体"/>
          <w:color w:val="auto"/>
          <w:sz w:val="24"/>
          <w:szCs w:val="24"/>
          <w:u w:val="single"/>
          <w:lang w:val="en-US" w:eastAsia="zh-CN"/>
        </w:rPr>
        <w:t xml:space="preserve">                    </w:t>
      </w:r>
    </w:p>
    <w:p w14:paraId="52992838">
      <w:pPr>
        <w:pStyle w:val="7"/>
        <w:pageBreakBefore w:val="0"/>
        <w:kinsoku w:val="0"/>
        <w:wordWrap w:val="0"/>
        <w:overflowPunct/>
        <w:topLinePunct w:val="0"/>
        <w:autoSpaceDE/>
        <w:autoSpaceDN/>
        <w:bidi w:val="0"/>
        <w:spacing w:before="169" w:line="360" w:lineRule="auto"/>
        <w:ind w:left="52"/>
        <w:rPr>
          <w:rFonts w:hint="eastAsia" w:ascii="黑体" w:hAnsi="黑体" w:eastAsia="黑体" w:cs="黑体"/>
          <w:color w:val="auto"/>
          <w:sz w:val="24"/>
          <w:szCs w:val="24"/>
        </w:rPr>
      </w:pPr>
      <w:r>
        <w:rPr>
          <w:rFonts w:hint="eastAsia" w:ascii="黑体" w:hAnsi="黑体" w:eastAsia="黑体" w:cs="黑体"/>
          <w:color w:val="auto"/>
          <w:spacing w:val="15"/>
          <w:sz w:val="24"/>
          <w:szCs w:val="24"/>
        </w:rPr>
        <w:t>法定代表人或其委托代理人(签字或盖章)：</w:t>
      </w:r>
      <w:r>
        <w:rPr>
          <w:rFonts w:hint="eastAsia" w:ascii="黑体" w:hAnsi="黑体" w:eastAsia="黑体" w:cs="黑体"/>
          <w:color w:val="auto"/>
          <w:sz w:val="24"/>
          <w:szCs w:val="24"/>
          <w:u w:val="single"/>
          <w:lang w:val="en-US" w:eastAsia="zh-CN"/>
        </w:rPr>
        <w:t xml:space="preserve">                    </w:t>
      </w:r>
    </w:p>
    <w:p w14:paraId="7BDE1E8F">
      <w:pPr>
        <w:pStyle w:val="7"/>
        <w:pageBreakBefore w:val="0"/>
        <w:kinsoku w:val="0"/>
        <w:wordWrap w:val="0"/>
        <w:overflowPunct/>
        <w:topLinePunct w:val="0"/>
        <w:autoSpaceDE/>
        <w:autoSpaceDN/>
        <w:bidi w:val="0"/>
        <w:spacing w:before="171" w:line="360"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15"/>
          <w:sz w:val="24"/>
          <w:szCs w:val="24"/>
        </w:rPr>
        <w:t>日期：</w:t>
      </w:r>
      <w:r>
        <w:rPr>
          <w:rFonts w:hint="eastAsia" w:ascii="黑体" w:hAnsi="黑体" w:eastAsia="黑体" w:cs="黑体"/>
          <w:color w:val="auto"/>
          <w:spacing w:val="-15"/>
          <w:sz w:val="24"/>
          <w:szCs w:val="24"/>
          <w:u w:val="single"/>
          <w:lang w:val="en-US" w:eastAsia="zh-CN"/>
        </w:rPr>
        <w:t xml:space="preserve">      </w:t>
      </w:r>
      <w:r>
        <w:rPr>
          <w:rFonts w:hint="eastAsia" w:ascii="黑体" w:hAnsi="黑体" w:eastAsia="黑体" w:cs="黑体"/>
          <w:color w:val="auto"/>
          <w:spacing w:val="-15"/>
          <w:sz w:val="24"/>
          <w:szCs w:val="24"/>
        </w:rPr>
        <w:t>年</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u w:val="single"/>
          <w:lang w:val="en-US" w:eastAsia="zh-CN"/>
        </w:rPr>
        <w:t xml:space="preserve">      </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rPr>
        <w:t>月</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u w:val="single"/>
          <w:lang w:val="en-US" w:eastAsia="zh-CN"/>
        </w:rPr>
        <w:t xml:space="preserve">      </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rPr>
        <w:t>日</w:t>
      </w:r>
    </w:p>
    <w:p w14:paraId="605026B4">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sectPr>
          <w:footerReference r:id="rId26" w:type="default"/>
          <w:pgSz w:w="11906" w:h="16840"/>
          <w:pgMar w:top="1431" w:right="647" w:bottom="1361" w:left="1785" w:header="0" w:footer="1147" w:gutter="0"/>
          <w:pgNumType w:fmt="decimal"/>
          <w:cols w:space="720" w:num="1"/>
        </w:sectPr>
      </w:pPr>
    </w:p>
    <w:p w14:paraId="74D5C466">
      <w:pPr>
        <w:pStyle w:val="7"/>
        <w:pageBreakBefore w:val="0"/>
        <w:kinsoku w:val="0"/>
        <w:wordWrap w:val="0"/>
        <w:overflowPunct/>
        <w:topLinePunct w:val="0"/>
        <w:autoSpaceDE/>
        <w:autoSpaceDN/>
        <w:bidi w:val="0"/>
        <w:spacing w:before="60" w:line="222" w:lineRule="auto"/>
        <w:ind w:left="65"/>
        <w:rPr>
          <w:rFonts w:hint="eastAsia" w:ascii="黑体" w:hAnsi="黑体" w:eastAsia="黑体" w:cs="黑体"/>
          <w:color w:val="auto"/>
          <w:sz w:val="24"/>
          <w:szCs w:val="24"/>
        </w:rPr>
      </w:pPr>
      <w:r>
        <w:rPr>
          <w:rFonts w:hint="eastAsia" w:ascii="黑体" w:hAnsi="黑体" w:eastAsia="黑体" w:cs="黑体"/>
          <w:color w:val="auto"/>
          <w:spacing w:val="-12"/>
          <w:sz w:val="24"/>
          <w:szCs w:val="24"/>
        </w:rPr>
        <w:t>附件3</w:t>
      </w:r>
    </w:p>
    <w:p w14:paraId="19B042F0">
      <w:pPr>
        <w:pStyle w:val="7"/>
        <w:pageBreakBefore w:val="0"/>
        <w:kinsoku w:val="0"/>
        <w:wordWrap w:val="0"/>
        <w:overflowPunct/>
        <w:topLinePunct w:val="0"/>
        <w:autoSpaceDE/>
        <w:autoSpaceDN/>
        <w:bidi w:val="0"/>
        <w:spacing w:before="176" w:line="221" w:lineRule="auto"/>
        <w:ind w:left="2448"/>
        <w:rPr>
          <w:rFonts w:hint="eastAsia" w:ascii="黑体" w:hAnsi="黑体" w:eastAsia="黑体" w:cs="黑体"/>
          <w:color w:val="auto"/>
        </w:rPr>
      </w:pPr>
      <w:r>
        <w:rPr>
          <w:rFonts w:hint="eastAsia" w:ascii="黑体" w:hAnsi="黑体" w:eastAsia="黑体" w:cs="黑体"/>
          <w:b/>
          <w:bCs/>
          <w:color w:val="auto"/>
          <w:spacing w:val="-6"/>
          <w:sz w:val="28"/>
          <w:szCs w:val="28"/>
        </w:rPr>
        <w:t>项目负责人及实施团队人员简历表</w:t>
      </w:r>
    </w:p>
    <w:tbl>
      <w:tblPr>
        <w:tblStyle w:val="22"/>
        <w:tblW w:w="95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3"/>
        <w:gridCol w:w="1484"/>
        <w:gridCol w:w="989"/>
        <w:gridCol w:w="489"/>
        <w:gridCol w:w="1636"/>
        <w:gridCol w:w="1423"/>
        <w:gridCol w:w="543"/>
        <w:gridCol w:w="1446"/>
      </w:tblGrid>
      <w:tr w14:paraId="50F4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503" w:type="dxa"/>
            <w:tcBorders>
              <w:left w:val="single" w:color="000000" w:sz="8" w:space="0"/>
            </w:tcBorders>
            <w:vAlign w:val="top"/>
          </w:tcPr>
          <w:p w14:paraId="5B31ADB1">
            <w:pPr>
              <w:pStyle w:val="23"/>
              <w:pageBreakBefore w:val="0"/>
              <w:kinsoku w:val="0"/>
              <w:wordWrap w:val="0"/>
              <w:overflowPunct/>
              <w:topLinePunct w:val="0"/>
              <w:autoSpaceDE/>
              <w:autoSpaceDN/>
              <w:bidi w:val="0"/>
              <w:spacing w:before="77" w:line="224" w:lineRule="auto"/>
              <w:ind w:left="133"/>
              <w:rPr>
                <w:rFonts w:hint="eastAsia" w:ascii="黑体" w:hAnsi="黑体" w:eastAsia="黑体" w:cs="黑体"/>
                <w:color w:val="auto"/>
                <w:sz w:val="24"/>
                <w:szCs w:val="24"/>
              </w:rPr>
            </w:pPr>
            <w:r>
              <w:rPr>
                <w:rFonts w:hint="eastAsia" w:ascii="黑体" w:hAnsi="黑体" w:eastAsia="黑体" w:cs="黑体"/>
                <w:color w:val="auto"/>
                <w:spacing w:val="-8"/>
                <w:sz w:val="24"/>
                <w:szCs w:val="24"/>
              </w:rPr>
              <w:t>姓名</w:t>
            </w:r>
          </w:p>
        </w:tc>
        <w:tc>
          <w:tcPr>
            <w:tcW w:w="1484" w:type="dxa"/>
            <w:vAlign w:val="top"/>
          </w:tcPr>
          <w:p w14:paraId="2D759B5C">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78" w:type="dxa"/>
            <w:gridSpan w:val="2"/>
            <w:vAlign w:val="top"/>
          </w:tcPr>
          <w:p w14:paraId="1DECDF47">
            <w:pPr>
              <w:pStyle w:val="23"/>
              <w:pageBreakBefore w:val="0"/>
              <w:kinsoku w:val="0"/>
              <w:wordWrap w:val="0"/>
              <w:overflowPunct/>
              <w:topLinePunct w:val="0"/>
              <w:autoSpaceDE/>
              <w:autoSpaceDN/>
              <w:bidi w:val="0"/>
              <w:spacing w:before="72" w:line="220" w:lineRule="auto"/>
              <w:ind w:left="135"/>
              <w:rPr>
                <w:rFonts w:hint="eastAsia" w:ascii="黑体" w:hAnsi="黑体" w:eastAsia="黑体" w:cs="黑体"/>
                <w:color w:val="auto"/>
                <w:sz w:val="24"/>
                <w:szCs w:val="24"/>
              </w:rPr>
            </w:pPr>
            <w:r>
              <w:rPr>
                <w:rFonts w:hint="eastAsia" w:ascii="黑体" w:hAnsi="黑体" w:eastAsia="黑体" w:cs="黑体"/>
                <w:color w:val="auto"/>
                <w:spacing w:val="-10"/>
                <w:sz w:val="24"/>
                <w:szCs w:val="24"/>
              </w:rPr>
              <w:t>性别</w:t>
            </w:r>
          </w:p>
        </w:tc>
        <w:tc>
          <w:tcPr>
            <w:tcW w:w="1636" w:type="dxa"/>
            <w:vAlign w:val="top"/>
          </w:tcPr>
          <w:p w14:paraId="18C55C6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23" w:type="dxa"/>
            <w:vAlign w:val="top"/>
          </w:tcPr>
          <w:p w14:paraId="46CF8BF1">
            <w:pPr>
              <w:pStyle w:val="23"/>
              <w:pageBreakBefore w:val="0"/>
              <w:kinsoku w:val="0"/>
              <w:wordWrap w:val="0"/>
              <w:overflowPunct/>
              <w:topLinePunct w:val="0"/>
              <w:autoSpaceDE/>
              <w:autoSpaceDN/>
              <w:bidi w:val="0"/>
              <w:spacing w:before="77" w:line="222" w:lineRule="auto"/>
              <w:ind w:left="152"/>
              <w:rPr>
                <w:rFonts w:hint="eastAsia" w:ascii="黑体" w:hAnsi="黑体" w:eastAsia="黑体" w:cs="黑体"/>
                <w:color w:val="auto"/>
                <w:sz w:val="24"/>
                <w:szCs w:val="24"/>
              </w:rPr>
            </w:pPr>
            <w:r>
              <w:rPr>
                <w:rFonts w:hint="eastAsia" w:ascii="黑体" w:hAnsi="黑体" w:eastAsia="黑体" w:cs="黑体"/>
                <w:color w:val="auto"/>
                <w:spacing w:val="-11"/>
                <w:sz w:val="24"/>
                <w:szCs w:val="24"/>
              </w:rPr>
              <w:t>年龄</w:t>
            </w:r>
          </w:p>
        </w:tc>
        <w:tc>
          <w:tcPr>
            <w:tcW w:w="1989" w:type="dxa"/>
            <w:gridSpan w:val="2"/>
            <w:tcBorders>
              <w:right w:val="single" w:color="000000" w:sz="8" w:space="0"/>
            </w:tcBorders>
            <w:vAlign w:val="top"/>
          </w:tcPr>
          <w:p w14:paraId="2CB37346">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62FB0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503" w:type="dxa"/>
            <w:tcBorders>
              <w:left w:val="single" w:color="000000" w:sz="8" w:space="0"/>
            </w:tcBorders>
            <w:vAlign w:val="top"/>
          </w:tcPr>
          <w:p w14:paraId="34150D43">
            <w:pPr>
              <w:pStyle w:val="23"/>
              <w:pageBreakBefore w:val="0"/>
              <w:kinsoku w:val="0"/>
              <w:wordWrap w:val="0"/>
              <w:overflowPunct/>
              <w:topLinePunct w:val="0"/>
              <w:autoSpaceDE/>
              <w:autoSpaceDN/>
              <w:bidi w:val="0"/>
              <w:spacing w:before="78" w:line="223" w:lineRule="auto"/>
              <w:ind w:left="130"/>
              <w:rPr>
                <w:rFonts w:hint="eastAsia" w:ascii="黑体" w:hAnsi="黑体" w:eastAsia="黑体" w:cs="黑体"/>
                <w:color w:val="auto"/>
                <w:sz w:val="24"/>
                <w:szCs w:val="24"/>
              </w:rPr>
            </w:pPr>
            <w:r>
              <w:rPr>
                <w:rFonts w:hint="eastAsia" w:ascii="黑体" w:hAnsi="黑体" w:eastAsia="黑体" w:cs="黑体"/>
                <w:color w:val="auto"/>
                <w:spacing w:val="-8"/>
                <w:sz w:val="24"/>
                <w:szCs w:val="24"/>
              </w:rPr>
              <w:t>职务</w:t>
            </w:r>
          </w:p>
        </w:tc>
        <w:tc>
          <w:tcPr>
            <w:tcW w:w="1484" w:type="dxa"/>
            <w:vAlign w:val="top"/>
          </w:tcPr>
          <w:p w14:paraId="1F23FD58">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78" w:type="dxa"/>
            <w:gridSpan w:val="2"/>
            <w:vAlign w:val="top"/>
          </w:tcPr>
          <w:p w14:paraId="2678FAC0">
            <w:pPr>
              <w:pStyle w:val="23"/>
              <w:pageBreakBefore w:val="0"/>
              <w:kinsoku w:val="0"/>
              <w:wordWrap w:val="0"/>
              <w:overflowPunct/>
              <w:topLinePunct w:val="0"/>
              <w:autoSpaceDE/>
              <w:autoSpaceDN/>
              <w:bidi w:val="0"/>
              <w:spacing w:before="75" w:line="221" w:lineRule="auto"/>
              <w:ind w:left="126"/>
              <w:rPr>
                <w:rFonts w:hint="eastAsia" w:ascii="黑体" w:hAnsi="黑体" w:eastAsia="黑体" w:cs="黑体"/>
                <w:color w:val="auto"/>
                <w:sz w:val="24"/>
                <w:szCs w:val="24"/>
              </w:rPr>
            </w:pPr>
            <w:r>
              <w:rPr>
                <w:rFonts w:hint="eastAsia" w:ascii="黑体" w:hAnsi="黑体" w:eastAsia="黑体" w:cs="黑体"/>
                <w:color w:val="auto"/>
                <w:spacing w:val="-8"/>
                <w:sz w:val="24"/>
                <w:szCs w:val="24"/>
              </w:rPr>
              <w:t>职称</w:t>
            </w:r>
          </w:p>
        </w:tc>
        <w:tc>
          <w:tcPr>
            <w:tcW w:w="1636" w:type="dxa"/>
            <w:vAlign w:val="top"/>
          </w:tcPr>
          <w:p w14:paraId="325B72FE">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23" w:type="dxa"/>
            <w:vAlign w:val="top"/>
          </w:tcPr>
          <w:p w14:paraId="0727E15B">
            <w:pPr>
              <w:pStyle w:val="23"/>
              <w:pageBreakBefore w:val="0"/>
              <w:kinsoku w:val="0"/>
              <w:wordWrap w:val="0"/>
              <w:overflowPunct/>
              <w:topLinePunct w:val="0"/>
              <w:autoSpaceDE/>
              <w:autoSpaceDN/>
              <w:bidi w:val="0"/>
              <w:spacing w:before="78" w:line="223" w:lineRule="auto"/>
              <w:ind w:left="162"/>
              <w:rPr>
                <w:rFonts w:hint="eastAsia" w:ascii="黑体" w:hAnsi="黑体" w:eastAsia="黑体" w:cs="黑体"/>
                <w:color w:val="auto"/>
                <w:sz w:val="24"/>
                <w:szCs w:val="24"/>
              </w:rPr>
            </w:pPr>
            <w:r>
              <w:rPr>
                <w:rFonts w:hint="eastAsia" w:ascii="黑体" w:hAnsi="黑体" w:eastAsia="黑体" w:cs="黑体"/>
                <w:color w:val="auto"/>
                <w:spacing w:val="-14"/>
                <w:sz w:val="24"/>
                <w:szCs w:val="24"/>
              </w:rPr>
              <w:t>学历</w:t>
            </w:r>
          </w:p>
        </w:tc>
        <w:tc>
          <w:tcPr>
            <w:tcW w:w="1989" w:type="dxa"/>
            <w:gridSpan w:val="2"/>
            <w:tcBorders>
              <w:right w:val="single" w:color="000000" w:sz="8" w:space="0"/>
            </w:tcBorders>
            <w:vAlign w:val="top"/>
          </w:tcPr>
          <w:p w14:paraId="34B380C0">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4D5DB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2987" w:type="dxa"/>
            <w:gridSpan w:val="2"/>
            <w:tcBorders>
              <w:left w:val="single" w:color="000000" w:sz="8" w:space="0"/>
            </w:tcBorders>
            <w:vAlign w:val="top"/>
          </w:tcPr>
          <w:p w14:paraId="7B83B662">
            <w:pPr>
              <w:pStyle w:val="23"/>
              <w:pageBreakBefore w:val="0"/>
              <w:kinsoku w:val="0"/>
              <w:wordWrap w:val="0"/>
              <w:overflowPunct/>
              <w:topLinePunct w:val="0"/>
              <w:autoSpaceDE/>
              <w:autoSpaceDN/>
              <w:bidi w:val="0"/>
              <w:spacing w:before="82" w:line="224" w:lineRule="auto"/>
              <w:ind w:left="144"/>
              <w:rPr>
                <w:rFonts w:hint="eastAsia" w:ascii="黑体" w:hAnsi="黑体" w:eastAsia="黑体" w:cs="黑体"/>
                <w:color w:val="auto"/>
                <w:sz w:val="24"/>
                <w:szCs w:val="24"/>
              </w:rPr>
            </w:pPr>
            <w:r>
              <w:rPr>
                <w:rFonts w:hint="eastAsia" w:ascii="黑体" w:hAnsi="黑体" w:eastAsia="黑体" w:cs="黑体"/>
                <w:color w:val="auto"/>
                <w:spacing w:val="-6"/>
                <w:sz w:val="24"/>
                <w:szCs w:val="24"/>
              </w:rPr>
              <w:t>注册证书注册号</w:t>
            </w:r>
          </w:p>
        </w:tc>
        <w:tc>
          <w:tcPr>
            <w:tcW w:w="6526" w:type="dxa"/>
            <w:gridSpan w:val="6"/>
            <w:tcBorders>
              <w:right w:val="single" w:color="000000" w:sz="8" w:space="0"/>
            </w:tcBorders>
            <w:vAlign w:val="top"/>
          </w:tcPr>
          <w:p w14:paraId="7D69EF0B">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671D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2987" w:type="dxa"/>
            <w:gridSpan w:val="2"/>
            <w:tcBorders>
              <w:left w:val="single" w:color="000000" w:sz="8" w:space="0"/>
              <w:bottom w:val="single" w:color="000000" w:sz="8" w:space="0"/>
            </w:tcBorders>
            <w:vAlign w:val="top"/>
          </w:tcPr>
          <w:p w14:paraId="22F3894F">
            <w:pPr>
              <w:pStyle w:val="23"/>
              <w:pageBreakBefore w:val="0"/>
              <w:kinsoku w:val="0"/>
              <w:wordWrap w:val="0"/>
              <w:overflowPunct/>
              <w:topLinePunct w:val="0"/>
              <w:autoSpaceDE/>
              <w:autoSpaceDN/>
              <w:bidi w:val="0"/>
              <w:spacing w:before="87" w:line="224" w:lineRule="auto"/>
              <w:ind w:left="144"/>
              <w:rPr>
                <w:rFonts w:hint="eastAsia" w:ascii="黑体" w:hAnsi="黑体" w:eastAsia="黑体" w:cs="黑体"/>
                <w:color w:val="auto"/>
                <w:sz w:val="24"/>
                <w:szCs w:val="24"/>
              </w:rPr>
            </w:pPr>
            <w:r>
              <w:rPr>
                <w:rFonts w:hint="eastAsia" w:ascii="黑体" w:hAnsi="黑体" w:eastAsia="黑体" w:cs="黑体"/>
                <w:color w:val="auto"/>
                <w:spacing w:val="-9"/>
                <w:sz w:val="24"/>
                <w:szCs w:val="24"/>
              </w:rPr>
              <w:t>注册专业</w:t>
            </w:r>
          </w:p>
        </w:tc>
        <w:tc>
          <w:tcPr>
            <w:tcW w:w="6526" w:type="dxa"/>
            <w:gridSpan w:val="6"/>
            <w:tcBorders>
              <w:bottom w:val="single" w:color="000000" w:sz="8" w:space="0"/>
              <w:right w:val="single" w:color="000000" w:sz="8" w:space="0"/>
            </w:tcBorders>
            <w:vAlign w:val="top"/>
          </w:tcPr>
          <w:p w14:paraId="1C813C91">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26818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513" w:type="dxa"/>
            <w:gridSpan w:val="8"/>
            <w:tcBorders>
              <w:top w:val="single" w:color="000000" w:sz="8" w:space="0"/>
              <w:left w:val="single" w:color="000000" w:sz="8" w:space="0"/>
              <w:right w:val="single" w:color="000000" w:sz="8" w:space="0"/>
            </w:tcBorders>
            <w:vAlign w:val="top"/>
          </w:tcPr>
          <w:p w14:paraId="39BB38CF">
            <w:pPr>
              <w:pStyle w:val="23"/>
              <w:pageBreakBefore w:val="0"/>
              <w:kinsoku w:val="0"/>
              <w:wordWrap w:val="0"/>
              <w:overflowPunct/>
              <w:topLinePunct w:val="0"/>
              <w:autoSpaceDE/>
              <w:autoSpaceDN/>
              <w:bidi w:val="0"/>
              <w:spacing w:before="74" w:line="222" w:lineRule="auto"/>
              <w:ind w:left="133"/>
              <w:rPr>
                <w:rFonts w:hint="eastAsia" w:ascii="黑体" w:hAnsi="黑体" w:eastAsia="黑体" w:cs="黑体"/>
                <w:color w:val="auto"/>
                <w:sz w:val="24"/>
                <w:szCs w:val="24"/>
              </w:rPr>
            </w:pPr>
            <w:r>
              <w:rPr>
                <w:rFonts w:hint="eastAsia" w:ascii="黑体" w:hAnsi="黑体" w:eastAsia="黑体" w:cs="黑体"/>
                <w:color w:val="auto"/>
                <w:spacing w:val="-3"/>
                <w:sz w:val="24"/>
                <w:szCs w:val="24"/>
              </w:rPr>
              <w:t>近三年承担同类或相近项目</w:t>
            </w:r>
          </w:p>
        </w:tc>
      </w:tr>
      <w:tr w14:paraId="46D08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503" w:type="dxa"/>
            <w:tcBorders>
              <w:left w:val="single" w:color="000000" w:sz="8" w:space="0"/>
            </w:tcBorders>
            <w:vAlign w:val="top"/>
          </w:tcPr>
          <w:p w14:paraId="15E6D87A">
            <w:pPr>
              <w:pStyle w:val="23"/>
              <w:pageBreakBefore w:val="0"/>
              <w:kinsoku w:val="0"/>
              <w:wordWrap w:val="0"/>
              <w:overflowPunct/>
              <w:topLinePunct w:val="0"/>
              <w:autoSpaceDE/>
              <w:autoSpaceDN/>
              <w:bidi w:val="0"/>
              <w:spacing w:before="90" w:line="223" w:lineRule="auto"/>
              <w:ind w:left="150"/>
              <w:rPr>
                <w:rFonts w:hint="eastAsia" w:ascii="黑体" w:hAnsi="黑体" w:eastAsia="黑体" w:cs="黑体"/>
                <w:color w:val="auto"/>
                <w:sz w:val="24"/>
                <w:szCs w:val="24"/>
              </w:rPr>
            </w:pPr>
            <w:r>
              <w:rPr>
                <w:rFonts w:hint="eastAsia" w:ascii="黑体" w:hAnsi="黑体" w:eastAsia="黑体" w:cs="黑体"/>
                <w:color w:val="auto"/>
                <w:spacing w:val="-17"/>
                <w:sz w:val="24"/>
                <w:szCs w:val="24"/>
              </w:rPr>
              <w:t>时间</w:t>
            </w:r>
          </w:p>
        </w:tc>
        <w:tc>
          <w:tcPr>
            <w:tcW w:w="2473" w:type="dxa"/>
            <w:gridSpan w:val="2"/>
            <w:vAlign w:val="top"/>
          </w:tcPr>
          <w:p w14:paraId="75CF7C51">
            <w:pPr>
              <w:pStyle w:val="23"/>
              <w:pageBreakBefore w:val="0"/>
              <w:kinsoku w:val="0"/>
              <w:wordWrap w:val="0"/>
              <w:overflowPunct/>
              <w:topLinePunct w:val="0"/>
              <w:autoSpaceDE/>
              <w:autoSpaceDN/>
              <w:bidi w:val="0"/>
              <w:spacing w:before="89" w:line="221" w:lineRule="auto"/>
              <w:ind w:left="123"/>
              <w:rPr>
                <w:rFonts w:hint="eastAsia" w:ascii="黑体" w:hAnsi="黑体" w:eastAsia="黑体" w:cs="黑体"/>
                <w:color w:val="auto"/>
                <w:sz w:val="24"/>
                <w:szCs w:val="24"/>
              </w:rPr>
            </w:pPr>
            <w:r>
              <w:rPr>
                <w:rFonts w:hint="eastAsia" w:ascii="黑体" w:hAnsi="黑体" w:eastAsia="黑体" w:cs="黑体"/>
                <w:color w:val="auto"/>
                <w:spacing w:val="-7"/>
                <w:sz w:val="24"/>
                <w:szCs w:val="24"/>
              </w:rPr>
              <w:t>类似项目名称</w:t>
            </w:r>
          </w:p>
        </w:tc>
        <w:tc>
          <w:tcPr>
            <w:tcW w:w="2125" w:type="dxa"/>
            <w:gridSpan w:val="2"/>
            <w:vAlign w:val="top"/>
          </w:tcPr>
          <w:p w14:paraId="00F4889D">
            <w:pPr>
              <w:pStyle w:val="23"/>
              <w:pageBreakBefore w:val="0"/>
              <w:kinsoku w:val="0"/>
              <w:wordWrap w:val="0"/>
              <w:overflowPunct/>
              <w:topLinePunct w:val="0"/>
              <w:autoSpaceDE/>
              <w:autoSpaceDN/>
              <w:bidi w:val="0"/>
              <w:spacing w:before="92" w:line="221" w:lineRule="auto"/>
              <w:ind w:left="135"/>
              <w:rPr>
                <w:rFonts w:hint="eastAsia" w:ascii="黑体" w:hAnsi="黑体" w:eastAsia="黑体" w:cs="黑体"/>
                <w:color w:val="auto"/>
                <w:sz w:val="24"/>
                <w:szCs w:val="24"/>
              </w:rPr>
            </w:pPr>
            <w:r>
              <w:rPr>
                <w:rFonts w:hint="eastAsia" w:ascii="黑体" w:hAnsi="黑体" w:eastAsia="黑体" w:cs="黑体"/>
                <w:color w:val="auto"/>
                <w:spacing w:val="-3"/>
                <w:sz w:val="24"/>
                <w:szCs w:val="24"/>
              </w:rPr>
              <w:t>项目单位名称</w:t>
            </w:r>
          </w:p>
        </w:tc>
        <w:tc>
          <w:tcPr>
            <w:tcW w:w="1966" w:type="dxa"/>
            <w:gridSpan w:val="2"/>
            <w:vAlign w:val="top"/>
          </w:tcPr>
          <w:p w14:paraId="685311CD">
            <w:pPr>
              <w:pStyle w:val="23"/>
              <w:pageBreakBefore w:val="0"/>
              <w:kinsoku w:val="0"/>
              <w:wordWrap w:val="0"/>
              <w:overflowPunct/>
              <w:topLinePunct w:val="0"/>
              <w:autoSpaceDE/>
              <w:autoSpaceDN/>
              <w:bidi w:val="0"/>
              <w:spacing w:before="92" w:line="223" w:lineRule="auto"/>
              <w:ind w:left="171"/>
              <w:rPr>
                <w:rFonts w:hint="eastAsia" w:ascii="黑体" w:hAnsi="黑体" w:eastAsia="黑体" w:cs="黑体"/>
                <w:color w:val="auto"/>
                <w:sz w:val="24"/>
                <w:szCs w:val="24"/>
              </w:rPr>
            </w:pPr>
            <w:r>
              <w:rPr>
                <w:rFonts w:hint="eastAsia" w:ascii="黑体" w:hAnsi="黑体" w:eastAsia="黑体" w:cs="黑体"/>
                <w:color w:val="auto"/>
                <w:spacing w:val="-22"/>
                <w:sz w:val="24"/>
                <w:szCs w:val="24"/>
              </w:rPr>
              <w:t>电话</w:t>
            </w:r>
          </w:p>
        </w:tc>
        <w:tc>
          <w:tcPr>
            <w:tcW w:w="1446" w:type="dxa"/>
            <w:tcBorders>
              <w:right w:val="single" w:color="000000" w:sz="8" w:space="0"/>
            </w:tcBorders>
            <w:vAlign w:val="top"/>
          </w:tcPr>
          <w:p w14:paraId="41DBA024">
            <w:pPr>
              <w:pStyle w:val="23"/>
              <w:pageBreakBefore w:val="0"/>
              <w:kinsoku w:val="0"/>
              <w:wordWrap w:val="0"/>
              <w:overflowPunct/>
              <w:topLinePunct w:val="0"/>
              <w:autoSpaceDE/>
              <w:autoSpaceDN/>
              <w:bidi w:val="0"/>
              <w:spacing w:before="93" w:line="224" w:lineRule="auto"/>
              <w:ind w:left="161"/>
              <w:rPr>
                <w:rFonts w:hint="eastAsia" w:ascii="黑体" w:hAnsi="黑体" w:eastAsia="黑体" w:cs="黑体"/>
                <w:color w:val="auto"/>
                <w:sz w:val="24"/>
                <w:szCs w:val="24"/>
              </w:rPr>
            </w:pPr>
            <w:r>
              <w:rPr>
                <w:rFonts w:hint="eastAsia" w:ascii="黑体" w:hAnsi="黑体" w:eastAsia="黑体" w:cs="黑体"/>
                <w:color w:val="auto"/>
                <w:spacing w:val="-9"/>
                <w:sz w:val="24"/>
                <w:szCs w:val="24"/>
              </w:rPr>
              <w:t>备注</w:t>
            </w:r>
          </w:p>
        </w:tc>
      </w:tr>
      <w:tr w14:paraId="4F94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503" w:type="dxa"/>
            <w:tcBorders>
              <w:left w:val="single" w:color="000000" w:sz="8" w:space="0"/>
            </w:tcBorders>
            <w:vAlign w:val="top"/>
          </w:tcPr>
          <w:p w14:paraId="630BFA7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473" w:type="dxa"/>
            <w:gridSpan w:val="2"/>
            <w:vAlign w:val="top"/>
          </w:tcPr>
          <w:p w14:paraId="486C8465">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125" w:type="dxa"/>
            <w:gridSpan w:val="2"/>
            <w:vAlign w:val="top"/>
          </w:tcPr>
          <w:p w14:paraId="0FFA8F6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6" w:type="dxa"/>
            <w:gridSpan w:val="2"/>
            <w:vAlign w:val="top"/>
          </w:tcPr>
          <w:p w14:paraId="68B0C180">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46" w:type="dxa"/>
            <w:tcBorders>
              <w:right w:val="single" w:color="000000" w:sz="8" w:space="0"/>
            </w:tcBorders>
            <w:vAlign w:val="top"/>
          </w:tcPr>
          <w:p w14:paraId="500B1CDA">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711A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503" w:type="dxa"/>
            <w:tcBorders>
              <w:left w:val="single" w:color="000000" w:sz="8" w:space="0"/>
            </w:tcBorders>
            <w:vAlign w:val="top"/>
          </w:tcPr>
          <w:p w14:paraId="33BF6D0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473" w:type="dxa"/>
            <w:gridSpan w:val="2"/>
            <w:vAlign w:val="top"/>
          </w:tcPr>
          <w:p w14:paraId="53E556E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125" w:type="dxa"/>
            <w:gridSpan w:val="2"/>
            <w:vAlign w:val="top"/>
          </w:tcPr>
          <w:p w14:paraId="43972B90">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6" w:type="dxa"/>
            <w:gridSpan w:val="2"/>
            <w:vAlign w:val="top"/>
          </w:tcPr>
          <w:p w14:paraId="78AC0EB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46" w:type="dxa"/>
            <w:tcBorders>
              <w:right w:val="single" w:color="000000" w:sz="8" w:space="0"/>
            </w:tcBorders>
            <w:vAlign w:val="top"/>
          </w:tcPr>
          <w:p w14:paraId="31B84FFD">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79E8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1503" w:type="dxa"/>
            <w:tcBorders>
              <w:left w:val="single" w:color="000000" w:sz="8" w:space="0"/>
            </w:tcBorders>
            <w:vAlign w:val="top"/>
          </w:tcPr>
          <w:p w14:paraId="7C9A437E">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473" w:type="dxa"/>
            <w:gridSpan w:val="2"/>
            <w:vAlign w:val="top"/>
          </w:tcPr>
          <w:p w14:paraId="296A1DE5">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125" w:type="dxa"/>
            <w:gridSpan w:val="2"/>
            <w:vAlign w:val="top"/>
          </w:tcPr>
          <w:p w14:paraId="7AE564C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6" w:type="dxa"/>
            <w:gridSpan w:val="2"/>
            <w:vAlign w:val="top"/>
          </w:tcPr>
          <w:p w14:paraId="3C1C0A6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46" w:type="dxa"/>
            <w:tcBorders>
              <w:right w:val="single" w:color="000000" w:sz="8" w:space="0"/>
            </w:tcBorders>
            <w:vAlign w:val="top"/>
          </w:tcPr>
          <w:p w14:paraId="740A97C1">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64AF1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503" w:type="dxa"/>
            <w:tcBorders>
              <w:left w:val="single" w:color="000000" w:sz="8" w:space="0"/>
              <w:bottom w:val="single" w:color="000000" w:sz="8" w:space="0"/>
            </w:tcBorders>
            <w:vAlign w:val="top"/>
          </w:tcPr>
          <w:p w14:paraId="5BC02C6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473" w:type="dxa"/>
            <w:gridSpan w:val="2"/>
            <w:tcBorders>
              <w:bottom w:val="single" w:color="000000" w:sz="8" w:space="0"/>
            </w:tcBorders>
            <w:vAlign w:val="top"/>
          </w:tcPr>
          <w:p w14:paraId="2F6F3EB1">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125" w:type="dxa"/>
            <w:gridSpan w:val="2"/>
            <w:tcBorders>
              <w:bottom w:val="single" w:color="000000" w:sz="8" w:space="0"/>
            </w:tcBorders>
            <w:vAlign w:val="top"/>
          </w:tcPr>
          <w:p w14:paraId="7F02E833">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6" w:type="dxa"/>
            <w:gridSpan w:val="2"/>
            <w:tcBorders>
              <w:bottom w:val="single" w:color="000000" w:sz="8" w:space="0"/>
            </w:tcBorders>
            <w:vAlign w:val="top"/>
          </w:tcPr>
          <w:p w14:paraId="5CC6D2C4">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46" w:type="dxa"/>
            <w:tcBorders>
              <w:bottom w:val="single" w:color="000000" w:sz="8" w:space="0"/>
              <w:right w:val="single" w:color="000000" w:sz="8" w:space="0"/>
            </w:tcBorders>
            <w:vAlign w:val="top"/>
          </w:tcPr>
          <w:p w14:paraId="6FED4571">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69A0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1503" w:type="dxa"/>
            <w:tcBorders>
              <w:top w:val="single" w:color="000000" w:sz="8" w:space="0"/>
              <w:left w:val="single" w:color="000000" w:sz="8" w:space="0"/>
            </w:tcBorders>
            <w:vAlign w:val="top"/>
          </w:tcPr>
          <w:p w14:paraId="283E5A7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473" w:type="dxa"/>
            <w:gridSpan w:val="2"/>
            <w:tcBorders>
              <w:top w:val="single" w:color="000000" w:sz="8" w:space="0"/>
            </w:tcBorders>
            <w:vAlign w:val="top"/>
          </w:tcPr>
          <w:p w14:paraId="7115946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125" w:type="dxa"/>
            <w:gridSpan w:val="2"/>
            <w:tcBorders>
              <w:top w:val="single" w:color="000000" w:sz="8" w:space="0"/>
            </w:tcBorders>
            <w:vAlign w:val="top"/>
          </w:tcPr>
          <w:p w14:paraId="5C13C2DA">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6" w:type="dxa"/>
            <w:gridSpan w:val="2"/>
            <w:tcBorders>
              <w:top w:val="single" w:color="000000" w:sz="8" w:space="0"/>
            </w:tcBorders>
            <w:vAlign w:val="top"/>
          </w:tcPr>
          <w:p w14:paraId="4C757D50">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46" w:type="dxa"/>
            <w:tcBorders>
              <w:top w:val="single" w:color="000000" w:sz="8" w:space="0"/>
              <w:right w:val="single" w:color="000000" w:sz="8" w:space="0"/>
            </w:tcBorders>
            <w:vAlign w:val="top"/>
          </w:tcPr>
          <w:p w14:paraId="24B9C837">
            <w:pPr>
              <w:pageBreakBefore w:val="0"/>
              <w:kinsoku w:val="0"/>
              <w:wordWrap w:val="0"/>
              <w:overflowPunct/>
              <w:topLinePunct w:val="0"/>
              <w:autoSpaceDE/>
              <w:autoSpaceDN/>
              <w:bidi w:val="0"/>
              <w:rPr>
                <w:rFonts w:hint="eastAsia" w:ascii="黑体" w:hAnsi="黑体" w:eastAsia="黑体" w:cs="黑体"/>
                <w:color w:val="auto"/>
                <w:sz w:val="24"/>
                <w:szCs w:val="24"/>
              </w:rPr>
            </w:pPr>
          </w:p>
        </w:tc>
      </w:tr>
      <w:tr w14:paraId="56232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503" w:type="dxa"/>
            <w:tcBorders>
              <w:left w:val="single" w:color="000000" w:sz="8" w:space="0"/>
              <w:bottom w:val="single" w:color="000000" w:sz="8" w:space="0"/>
            </w:tcBorders>
            <w:vAlign w:val="top"/>
          </w:tcPr>
          <w:p w14:paraId="3B0E1867">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473" w:type="dxa"/>
            <w:gridSpan w:val="2"/>
            <w:tcBorders>
              <w:bottom w:val="single" w:color="000000" w:sz="8" w:space="0"/>
            </w:tcBorders>
            <w:vAlign w:val="top"/>
          </w:tcPr>
          <w:p w14:paraId="7A4D3C6C">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2125" w:type="dxa"/>
            <w:gridSpan w:val="2"/>
            <w:tcBorders>
              <w:bottom w:val="single" w:color="000000" w:sz="8" w:space="0"/>
            </w:tcBorders>
            <w:vAlign w:val="top"/>
          </w:tcPr>
          <w:p w14:paraId="6B45F728">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966" w:type="dxa"/>
            <w:gridSpan w:val="2"/>
            <w:tcBorders>
              <w:bottom w:val="single" w:color="000000" w:sz="8" w:space="0"/>
            </w:tcBorders>
            <w:vAlign w:val="top"/>
          </w:tcPr>
          <w:p w14:paraId="1FF293B2">
            <w:pPr>
              <w:pageBreakBefore w:val="0"/>
              <w:kinsoku w:val="0"/>
              <w:wordWrap w:val="0"/>
              <w:overflowPunct/>
              <w:topLinePunct w:val="0"/>
              <w:autoSpaceDE/>
              <w:autoSpaceDN/>
              <w:bidi w:val="0"/>
              <w:rPr>
                <w:rFonts w:hint="eastAsia" w:ascii="黑体" w:hAnsi="黑体" w:eastAsia="黑体" w:cs="黑体"/>
                <w:color w:val="auto"/>
                <w:sz w:val="24"/>
                <w:szCs w:val="24"/>
              </w:rPr>
            </w:pPr>
          </w:p>
        </w:tc>
        <w:tc>
          <w:tcPr>
            <w:tcW w:w="1446" w:type="dxa"/>
            <w:tcBorders>
              <w:bottom w:val="single" w:color="000000" w:sz="8" w:space="0"/>
              <w:right w:val="single" w:color="000000" w:sz="8" w:space="0"/>
            </w:tcBorders>
            <w:vAlign w:val="top"/>
          </w:tcPr>
          <w:p w14:paraId="3F25D8FE">
            <w:pPr>
              <w:pageBreakBefore w:val="0"/>
              <w:kinsoku w:val="0"/>
              <w:wordWrap w:val="0"/>
              <w:overflowPunct/>
              <w:topLinePunct w:val="0"/>
              <w:autoSpaceDE/>
              <w:autoSpaceDN/>
              <w:bidi w:val="0"/>
              <w:rPr>
                <w:rFonts w:hint="eastAsia" w:ascii="黑体" w:hAnsi="黑体" w:eastAsia="黑体" w:cs="黑体"/>
                <w:color w:val="auto"/>
                <w:sz w:val="24"/>
                <w:szCs w:val="24"/>
              </w:rPr>
            </w:pPr>
          </w:p>
        </w:tc>
      </w:tr>
    </w:tbl>
    <w:p w14:paraId="36F41977">
      <w:pPr>
        <w:pStyle w:val="7"/>
        <w:pageBreakBefore w:val="0"/>
        <w:kinsoku w:val="0"/>
        <w:wordWrap w:val="0"/>
        <w:overflowPunct/>
        <w:topLinePunct w:val="0"/>
        <w:autoSpaceDE/>
        <w:autoSpaceDN/>
        <w:bidi w:val="0"/>
        <w:spacing w:before="186" w:line="360" w:lineRule="auto"/>
        <w:ind w:left="52"/>
        <w:rPr>
          <w:rFonts w:hint="eastAsia" w:ascii="黑体" w:hAnsi="黑体" w:eastAsia="黑体" w:cs="黑体"/>
          <w:color w:val="auto"/>
          <w:sz w:val="24"/>
          <w:szCs w:val="24"/>
        </w:rPr>
      </w:pPr>
      <w:r>
        <w:rPr>
          <w:rFonts w:hint="eastAsia" w:ascii="黑体" w:hAnsi="黑体" w:eastAsia="黑体" w:cs="黑体"/>
          <w:b/>
          <w:bCs/>
          <w:color w:val="auto"/>
          <w:spacing w:val="15"/>
          <w:sz w:val="24"/>
          <w:szCs w:val="24"/>
        </w:rPr>
        <w:t>注：1</w:t>
      </w:r>
      <w:r>
        <w:rPr>
          <w:rFonts w:hint="eastAsia" w:ascii="黑体" w:hAnsi="黑体" w:eastAsia="黑体" w:cs="黑体"/>
          <w:b/>
          <w:bCs/>
          <w:color w:val="auto"/>
          <w:spacing w:val="15"/>
          <w:sz w:val="24"/>
          <w:szCs w:val="24"/>
          <w:lang w:eastAsia="zh-CN"/>
        </w:rPr>
        <w:t>、</w:t>
      </w:r>
      <w:r>
        <w:rPr>
          <w:rFonts w:hint="eastAsia" w:ascii="黑体" w:hAnsi="黑体" w:eastAsia="黑体" w:cs="黑体"/>
          <w:b/>
          <w:bCs/>
          <w:color w:val="auto"/>
          <w:spacing w:val="15"/>
          <w:sz w:val="24"/>
          <w:szCs w:val="24"/>
        </w:rPr>
        <w:t>需提供主要人员的资格证明资料及近六个月任意一个月的社保证明（附相关证书</w:t>
      </w:r>
      <w:r>
        <w:rPr>
          <w:rFonts w:hint="eastAsia" w:ascii="黑体" w:hAnsi="黑体" w:eastAsia="黑体" w:cs="黑体"/>
          <w:b/>
          <w:bCs/>
          <w:color w:val="auto"/>
          <w:spacing w:val="-13"/>
          <w:sz w:val="24"/>
          <w:szCs w:val="24"/>
        </w:rPr>
        <w:t>）；</w:t>
      </w:r>
      <w:r>
        <w:rPr>
          <w:rFonts w:hint="eastAsia" w:ascii="黑体" w:hAnsi="黑体" w:eastAsia="黑体" w:cs="黑体"/>
          <w:b/>
          <w:bCs/>
          <w:color w:val="auto"/>
          <w:spacing w:val="12"/>
          <w:sz w:val="24"/>
          <w:szCs w:val="24"/>
        </w:rPr>
        <w:t>我方承诺上述填报内容真实</w:t>
      </w:r>
      <w:r>
        <w:rPr>
          <w:rFonts w:hint="eastAsia" w:ascii="黑体" w:hAnsi="黑体" w:eastAsia="黑体" w:cs="黑体"/>
          <w:color w:val="auto"/>
          <w:spacing w:val="-55"/>
          <w:sz w:val="24"/>
          <w:szCs w:val="24"/>
          <w:lang w:eastAsia="zh-CN"/>
        </w:rPr>
        <w:t>，</w:t>
      </w:r>
      <w:r>
        <w:rPr>
          <w:rFonts w:hint="eastAsia" w:ascii="黑体" w:hAnsi="黑体" w:eastAsia="黑体" w:cs="黑体"/>
          <w:b/>
          <w:bCs/>
          <w:color w:val="auto"/>
          <w:spacing w:val="12"/>
          <w:sz w:val="24"/>
          <w:szCs w:val="24"/>
        </w:rPr>
        <w:t>如不真实，将按照有关规定接受处理</w:t>
      </w:r>
      <w:r>
        <w:rPr>
          <w:rFonts w:hint="eastAsia" w:ascii="黑体" w:hAnsi="黑体" w:eastAsia="黑体" w:cs="黑体"/>
          <w:color w:val="auto"/>
          <w:spacing w:val="12"/>
          <w:sz w:val="24"/>
          <w:szCs w:val="24"/>
        </w:rPr>
        <w:t>。</w:t>
      </w:r>
    </w:p>
    <w:p w14:paraId="5E4EF31B">
      <w:pPr>
        <w:pStyle w:val="7"/>
        <w:pageBreakBefore w:val="0"/>
        <w:kinsoku w:val="0"/>
        <w:wordWrap w:val="0"/>
        <w:overflowPunct/>
        <w:topLinePunct w:val="0"/>
        <w:autoSpaceDE/>
        <w:autoSpaceDN/>
        <w:bidi w:val="0"/>
        <w:spacing w:before="62" w:line="360" w:lineRule="auto"/>
        <w:ind w:left="39"/>
        <w:rPr>
          <w:rFonts w:hint="eastAsia" w:ascii="黑体" w:hAnsi="黑体" w:eastAsia="黑体" w:cs="黑体"/>
          <w:color w:val="auto"/>
          <w:sz w:val="24"/>
          <w:szCs w:val="24"/>
        </w:rPr>
      </w:pPr>
      <w:r>
        <w:rPr>
          <w:rFonts w:hint="eastAsia" w:ascii="黑体" w:hAnsi="黑体" w:eastAsia="黑体" w:cs="黑体"/>
          <w:color w:val="auto"/>
          <w:spacing w:val="16"/>
          <w:sz w:val="24"/>
          <w:szCs w:val="24"/>
        </w:rPr>
        <w:t>投标人名称（盖单位公章</w:t>
      </w:r>
      <w:r>
        <w:rPr>
          <w:rFonts w:hint="eastAsia" w:ascii="黑体" w:hAnsi="黑体" w:eastAsia="黑体" w:cs="黑体"/>
          <w:color w:val="auto"/>
          <w:spacing w:val="-15"/>
          <w:sz w:val="24"/>
          <w:szCs w:val="24"/>
        </w:rPr>
        <w:t>）：</w:t>
      </w:r>
      <w:r>
        <w:rPr>
          <w:rFonts w:hint="eastAsia" w:ascii="黑体" w:hAnsi="黑体" w:eastAsia="黑体" w:cs="黑体"/>
          <w:color w:val="auto"/>
          <w:sz w:val="24"/>
          <w:szCs w:val="24"/>
          <w:u w:val="single"/>
          <w:lang w:val="en-US" w:eastAsia="zh-CN"/>
        </w:rPr>
        <w:t xml:space="preserve">                    </w:t>
      </w:r>
    </w:p>
    <w:p w14:paraId="3BD6F4E8">
      <w:pPr>
        <w:pStyle w:val="7"/>
        <w:pageBreakBefore w:val="0"/>
        <w:kinsoku w:val="0"/>
        <w:wordWrap w:val="0"/>
        <w:overflowPunct/>
        <w:topLinePunct w:val="0"/>
        <w:autoSpaceDE/>
        <w:autoSpaceDN/>
        <w:bidi w:val="0"/>
        <w:spacing w:before="171" w:line="360" w:lineRule="auto"/>
        <w:ind w:left="53"/>
        <w:rPr>
          <w:rFonts w:hint="eastAsia" w:ascii="黑体" w:hAnsi="黑体" w:eastAsia="黑体" w:cs="黑体"/>
          <w:color w:val="auto"/>
          <w:sz w:val="24"/>
          <w:szCs w:val="24"/>
        </w:rPr>
      </w:pPr>
      <w:r>
        <w:rPr>
          <w:rFonts w:hint="eastAsia" w:ascii="黑体" w:hAnsi="黑体" w:eastAsia="黑体" w:cs="黑体"/>
          <w:color w:val="auto"/>
          <w:spacing w:val="15"/>
          <w:sz w:val="24"/>
          <w:szCs w:val="24"/>
        </w:rPr>
        <w:t>法定代表人或其委托代理人(签字或盖章)：</w:t>
      </w:r>
      <w:r>
        <w:rPr>
          <w:rFonts w:hint="eastAsia" w:ascii="黑体" w:hAnsi="黑体" w:eastAsia="黑体" w:cs="黑体"/>
          <w:color w:val="auto"/>
          <w:sz w:val="24"/>
          <w:szCs w:val="24"/>
          <w:u w:val="single"/>
          <w:lang w:val="en-US" w:eastAsia="zh-CN"/>
        </w:rPr>
        <w:t xml:space="preserve">                    </w:t>
      </w:r>
    </w:p>
    <w:p w14:paraId="588164DC">
      <w:pPr>
        <w:pStyle w:val="7"/>
        <w:pageBreakBefore w:val="0"/>
        <w:kinsoku w:val="0"/>
        <w:wordWrap w:val="0"/>
        <w:overflowPunct/>
        <w:topLinePunct w:val="0"/>
        <w:autoSpaceDE/>
        <w:autoSpaceDN/>
        <w:bidi w:val="0"/>
        <w:spacing w:before="171" w:line="360" w:lineRule="auto"/>
        <w:ind w:left="127"/>
        <w:rPr>
          <w:rFonts w:hint="eastAsia" w:ascii="黑体" w:hAnsi="黑体" w:eastAsia="黑体" w:cs="黑体"/>
          <w:color w:val="auto"/>
          <w:sz w:val="24"/>
          <w:szCs w:val="24"/>
        </w:rPr>
      </w:pPr>
      <w:r>
        <w:rPr>
          <w:rFonts w:hint="eastAsia" w:ascii="黑体" w:hAnsi="黑体" w:eastAsia="黑体" w:cs="黑体"/>
          <w:color w:val="auto"/>
          <w:spacing w:val="-15"/>
          <w:sz w:val="24"/>
          <w:szCs w:val="24"/>
        </w:rPr>
        <w:t>日期：</w:t>
      </w:r>
      <w:r>
        <w:rPr>
          <w:rFonts w:hint="eastAsia" w:ascii="黑体" w:hAnsi="黑体" w:eastAsia="黑体" w:cs="黑体"/>
          <w:color w:val="auto"/>
          <w:spacing w:val="-15"/>
          <w:sz w:val="24"/>
          <w:szCs w:val="24"/>
          <w:u w:val="single"/>
          <w:lang w:val="en-US" w:eastAsia="zh-CN"/>
        </w:rPr>
        <w:t xml:space="preserve">      </w:t>
      </w:r>
      <w:r>
        <w:rPr>
          <w:rFonts w:hint="eastAsia" w:ascii="黑体" w:hAnsi="黑体" w:eastAsia="黑体" w:cs="黑体"/>
          <w:color w:val="auto"/>
          <w:spacing w:val="-15"/>
          <w:sz w:val="24"/>
          <w:szCs w:val="24"/>
        </w:rPr>
        <w:t>年</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u w:val="single"/>
          <w:lang w:val="en-US" w:eastAsia="zh-CN"/>
        </w:rPr>
        <w:t xml:space="preserve">      </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rPr>
        <w:t>月</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u w:val="single"/>
          <w:lang w:val="en-US" w:eastAsia="zh-CN"/>
        </w:rPr>
        <w:t xml:space="preserve">      </w:t>
      </w:r>
      <w:r>
        <w:rPr>
          <w:rFonts w:hint="eastAsia" w:ascii="黑体" w:hAnsi="黑体" w:eastAsia="黑体" w:cs="黑体"/>
          <w:color w:val="auto"/>
          <w:spacing w:val="-15"/>
          <w:sz w:val="24"/>
          <w:szCs w:val="24"/>
          <w:lang w:val="en-US" w:eastAsia="zh-CN"/>
        </w:rPr>
        <w:t xml:space="preserve"> </w:t>
      </w:r>
      <w:r>
        <w:rPr>
          <w:rFonts w:hint="eastAsia" w:ascii="黑体" w:hAnsi="黑体" w:eastAsia="黑体" w:cs="黑体"/>
          <w:color w:val="auto"/>
          <w:spacing w:val="-15"/>
          <w:sz w:val="24"/>
          <w:szCs w:val="24"/>
        </w:rPr>
        <w:t>日</w:t>
      </w:r>
    </w:p>
    <w:p w14:paraId="0F4B5954">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sectPr>
          <w:footerReference r:id="rId27" w:type="default"/>
          <w:pgSz w:w="11906" w:h="16840"/>
          <w:pgMar w:top="1431" w:right="587" w:bottom="1361" w:left="1785" w:header="0" w:footer="1147" w:gutter="0"/>
          <w:pgNumType w:fmt="decimal"/>
          <w:cols w:space="720" w:num="1"/>
        </w:sectPr>
      </w:pPr>
    </w:p>
    <w:p w14:paraId="0CD2DB47">
      <w:pPr>
        <w:pStyle w:val="7"/>
        <w:pageBreakBefore w:val="0"/>
        <w:kinsoku w:val="0"/>
        <w:wordWrap w:val="0"/>
        <w:overflowPunct/>
        <w:topLinePunct w:val="0"/>
        <w:autoSpaceDE/>
        <w:autoSpaceDN/>
        <w:bidi w:val="0"/>
        <w:spacing w:before="108" w:line="222" w:lineRule="auto"/>
        <w:ind w:left="9"/>
        <w:jc w:val="center"/>
        <w:outlineLvl w:val="6"/>
        <w:rPr>
          <w:rFonts w:hint="eastAsia" w:ascii="黑体" w:hAnsi="黑体" w:eastAsia="黑体" w:cs="黑体"/>
          <w:color w:val="auto"/>
          <w:sz w:val="28"/>
          <w:szCs w:val="28"/>
        </w:rPr>
      </w:pPr>
      <w:r>
        <w:rPr>
          <w:rFonts w:hint="eastAsia" w:ascii="黑体" w:hAnsi="黑体" w:eastAsia="黑体" w:cs="黑体"/>
          <w:b/>
          <w:bCs/>
          <w:color w:val="auto"/>
          <w:spacing w:val="-6"/>
          <w:sz w:val="28"/>
          <w:szCs w:val="28"/>
          <w:lang w:val="en-US" w:eastAsia="zh-CN"/>
        </w:rPr>
        <w:t>8</w:t>
      </w:r>
      <w:r>
        <w:rPr>
          <w:rFonts w:hint="eastAsia" w:ascii="黑体" w:hAnsi="黑体" w:eastAsia="黑体" w:cs="黑体"/>
          <w:b/>
          <w:bCs/>
          <w:color w:val="auto"/>
          <w:spacing w:val="-6"/>
          <w:sz w:val="28"/>
          <w:szCs w:val="28"/>
        </w:rPr>
        <w:t>、响应文件格式范本</w:t>
      </w:r>
    </w:p>
    <w:p w14:paraId="73443B21">
      <w:pPr>
        <w:pageBreakBefore w:val="0"/>
        <w:kinsoku w:val="0"/>
        <w:wordWrap w:val="0"/>
        <w:overflowPunct/>
        <w:topLinePunct w:val="0"/>
        <w:autoSpaceDE/>
        <w:autoSpaceDN/>
        <w:bidi w:val="0"/>
        <w:spacing w:before="37"/>
        <w:rPr>
          <w:rFonts w:hint="eastAsia" w:ascii="黑体" w:hAnsi="黑体" w:eastAsia="黑体" w:cs="黑体"/>
          <w:color w:val="auto"/>
        </w:rPr>
      </w:pPr>
    </w:p>
    <w:tbl>
      <w:tblPr>
        <w:tblStyle w:val="22"/>
        <w:tblW w:w="8082" w:type="dxa"/>
        <w:tblInd w:w="144"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082"/>
      </w:tblGrid>
      <w:tr w14:paraId="6F2ED292">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928" w:hRule="atLeast"/>
        </w:trPr>
        <w:tc>
          <w:tcPr>
            <w:tcW w:w="8082" w:type="dxa"/>
            <w:shd w:val="clear" w:color="auto" w:fill="FCFEEA"/>
            <w:vAlign w:val="top"/>
          </w:tcPr>
          <w:p w14:paraId="42FE06D6">
            <w:pPr>
              <w:pageBreakBefore w:val="0"/>
              <w:kinsoku w:val="0"/>
              <w:wordWrap w:val="0"/>
              <w:overflowPunct/>
              <w:topLinePunct w:val="0"/>
              <w:autoSpaceDE/>
              <w:autoSpaceDN/>
              <w:bidi w:val="0"/>
              <w:spacing w:line="245" w:lineRule="auto"/>
              <w:rPr>
                <w:rFonts w:hint="eastAsia" w:ascii="黑体" w:hAnsi="黑体" w:eastAsia="黑体" w:cs="黑体"/>
                <w:color w:val="auto"/>
                <w:sz w:val="21"/>
              </w:rPr>
            </w:pPr>
          </w:p>
          <w:p w14:paraId="1E3B98B2">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217E4590">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0E5E2D7C">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58A748EE">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4B899634">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2323550C">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650901BA">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33DD287E">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7446C63B">
            <w:pPr>
              <w:pageBreakBefore w:val="0"/>
              <w:kinsoku w:val="0"/>
              <w:wordWrap w:val="0"/>
              <w:overflowPunct/>
              <w:topLinePunct w:val="0"/>
              <w:autoSpaceDE/>
              <w:autoSpaceDN/>
              <w:bidi w:val="0"/>
              <w:spacing w:line="246" w:lineRule="auto"/>
              <w:rPr>
                <w:rFonts w:hint="eastAsia" w:ascii="黑体" w:hAnsi="黑体" w:eastAsia="黑体" w:cs="黑体"/>
                <w:color w:val="auto"/>
                <w:sz w:val="21"/>
              </w:rPr>
            </w:pPr>
          </w:p>
          <w:p w14:paraId="2924BB61">
            <w:pPr>
              <w:pageBreakBefore w:val="0"/>
              <w:kinsoku w:val="0"/>
              <w:wordWrap w:val="0"/>
              <w:overflowPunct/>
              <w:topLinePunct w:val="0"/>
              <w:autoSpaceDE/>
              <w:autoSpaceDN/>
              <w:bidi w:val="0"/>
              <w:spacing w:before="91" w:line="221" w:lineRule="auto"/>
              <w:ind w:left="2656"/>
              <w:rPr>
                <w:rFonts w:hint="eastAsia" w:ascii="黑体" w:hAnsi="黑体" w:eastAsia="黑体" w:cs="黑体"/>
                <w:color w:val="auto"/>
                <w:sz w:val="28"/>
                <w:szCs w:val="28"/>
              </w:rPr>
            </w:pPr>
            <w:r>
              <w:rPr>
                <w:rFonts w:hint="eastAsia" w:ascii="黑体" w:hAnsi="黑体" w:eastAsia="黑体" w:cs="黑体"/>
                <w:b/>
                <w:bCs/>
                <w:color w:val="auto"/>
                <w:spacing w:val="-6"/>
                <w:sz w:val="28"/>
                <w:szCs w:val="28"/>
              </w:rPr>
              <w:t>*****************项目</w:t>
            </w:r>
          </w:p>
          <w:p w14:paraId="4BDAD8E3">
            <w:pPr>
              <w:pageBreakBefore w:val="0"/>
              <w:kinsoku w:val="0"/>
              <w:wordWrap w:val="0"/>
              <w:overflowPunct/>
              <w:topLinePunct w:val="0"/>
              <w:autoSpaceDE/>
              <w:autoSpaceDN/>
              <w:bidi w:val="0"/>
              <w:spacing w:line="328" w:lineRule="auto"/>
              <w:rPr>
                <w:rFonts w:hint="eastAsia" w:ascii="黑体" w:hAnsi="黑体" w:eastAsia="黑体" w:cs="黑体"/>
                <w:color w:val="auto"/>
                <w:sz w:val="21"/>
              </w:rPr>
            </w:pPr>
          </w:p>
          <w:p w14:paraId="2A6C6D4D">
            <w:pPr>
              <w:pageBreakBefore w:val="0"/>
              <w:kinsoku w:val="0"/>
              <w:wordWrap w:val="0"/>
              <w:overflowPunct/>
              <w:topLinePunct w:val="0"/>
              <w:autoSpaceDE/>
              <w:autoSpaceDN/>
              <w:bidi w:val="0"/>
              <w:spacing w:line="328" w:lineRule="auto"/>
              <w:rPr>
                <w:rFonts w:hint="eastAsia" w:ascii="黑体" w:hAnsi="黑体" w:eastAsia="黑体" w:cs="黑体"/>
                <w:color w:val="auto"/>
                <w:sz w:val="21"/>
              </w:rPr>
            </w:pPr>
          </w:p>
          <w:p w14:paraId="7397C9EC">
            <w:pPr>
              <w:pageBreakBefore w:val="0"/>
              <w:kinsoku w:val="0"/>
              <w:wordWrap w:val="0"/>
              <w:overflowPunct/>
              <w:topLinePunct w:val="0"/>
              <w:autoSpaceDE/>
              <w:autoSpaceDN/>
              <w:bidi w:val="0"/>
              <w:spacing w:before="62" w:line="228" w:lineRule="auto"/>
              <w:ind w:left="3288"/>
              <w:rPr>
                <w:rFonts w:hint="eastAsia" w:ascii="黑体" w:hAnsi="黑体" w:eastAsia="黑体" w:cs="黑体"/>
                <w:color w:val="auto"/>
                <w:sz w:val="19"/>
                <w:szCs w:val="19"/>
              </w:rPr>
            </w:pPr>
            <w:r>
              <w:rPr>
                <w:rFonts w:hint="eastAsia" w:ascii="黑体" w:hAnsi="黑体" w:eastAsia="黑体" w:cs="黑体"/>
                <w:b/>
                <w:bCs/>
                <w:color w:val="auto"/>
                <w:spacing w:val="16"/>
                <w:w w:val="120"/>
                <w:sz w:val="19"/>
                <w:szCs w:val="19"/>
              </w:rPr>
              <w:t>编号******</w:t>
            </w:r>
          </w:p>
          <w:p w14:paraId="2738E92B">
            <w:pPr>
              <w:pageBreakBefore w:val="0"/>
              <w:kinsoku w:val="0"/>
              <w:wordWrap w:val="0"/>
              <w:overflowPunct/>
              <w:topLinePunct w:val="0"/>
              <w:autoSpaceDE/>
              <w:autoSpaceDN/>
              <w:bidi w:val="0"/>
              <w:spacing w:line="273" w:lineRule="auto"/>
              <w:rPr>
                <w:rFonts w:hint="eastAsia" w:ascii="黑体" w:hAnsi="黑体" w:eastAsia="黑体" w:cs="黑体"/>
                <w:color w:val="auto"/>
                <w:sz w:val="21"/>
              </w:rPr>
            </w:pPr>
          </w:p>
          <w:p w14:paraId="7ADA6500">
            <w:pPr>
              <w:pageBreakBefore w:val="0"/>
              <w:kinsoku w:val="0"/>
              <w:wordWrap w:val="0"/>
              <w:overflowPunct/>
              <w:topLinePunct w:val="0"/>
              <w:autoSpaceDE/>
              <w:autoSpaceDN/>
              <w:bidi w:val="0"/>
              <w:spacing w:line="274" w:lineRule="auto"/>
              <w:rPr>
                <w:rFonts w:hint="eastAsia" w:ascii="黑体" w:hAnsi="黑体" w:eastAsia="黑体" w:cs="黑体"/>
                <w:color w:val="auto"/>
                <w:sz w:val="21"/>
              </w:rPr>
            </w:pPr>
          </w:p>
          <w:p w14:paraId="27E2FEBF">
            <w:pPr>
              <w:pageBreakBefore w:val="0"/>
              <w:kinsoku w:val="0"/>
              <w:wordWrap w:val="0"/>
              <w:overflowPunct/>
              <w:topLinePunct w:val="0"/>
              <w:autoSpaceDE/>
              <w:autoSpaceDN/>
              <w:bidi w:val="0"/>
              <w:spacing w:line="274" w:lineRule="auto"/>
              <w:rPr>
                <w:rFonts w:hint="eastAsia" w:ascii="黑体" w:hAnsi="黑体" w:eastAsia="黑体" w:cs="黑体"/>
                <w:color w:val="auto"/>
                <w:sz w:val="21"/>
              </w:rPr>
            </w:pPr>
          </w:p>
          <w:p w14:paraId="781F1083">
            <w:pPr>
              <w:pageBreakBefore w:val="0"/>
              <w:kinsoku w:val="0"/>
              <w:wordWrap w:val="0"/>
              <w:overflowPunct/>
              <w:topLinePunct w:val="0"/>
              <w:autoSpaceDE/>
              <w:autoSpaceDN/>
              <w:bidi w:val="0"/>
              <w:spacing w:before="149" w:line="223" w:lineRule="auto"/>
              <w:ind w:left="3159"/>
              <w:rPr>
                <w:rFonts w:hint="eastAsia" w:ascii="黑体" w:hAnsi="黑体" w:eastAsia="黑体" w:cs="黑体"/>
                <w:color w:val="auto"/>
                <w:sz w:val="46"/>
                <w:szCs w:val="46"/>
              </w:rPr>
            </w:pPr>
            <w:r>
              <w:rPr>
                <w:rFonts w:hint="eastAsia" w:ascii="黑体" w:hAnsi="黑体" w:eastAsia="黑体" w:cs="黑体"/>
                <w:b/>
                <w:bCs/>
                <w:color w:val="auto"/>
                <w:spacing w:val="-8"/>
                <w:sz w:val="46"/>
                <w:szCs w:val="46"/>
              </w:rPr>
              <w:t>响应文件</w:t>
            </w:r>
          </w:p>
          <w:p w14:paraId="684075FC">
            <w:pPr>
              <w:pageBreakBefore w:val="0"/>
              <w:kinsoku w:val="0"/>
              <w:wordWrap w:val="0"/>
              <w:overflowPunct/>
              <w:topLinePunct w:val="0"/>
              <w:autoSpaceDE/>
              <w:autoSpaceDN/>
              <w:bidi w:val="0"/>
              <w:spacing w:line="272" w:lineRule="auto"/>
              <w:rPr>
                <w:rFonts w:hint="eastAsia" w:ascii="黑体" w:hAnsi="黑体" w:eastAsia="黑体" w:cs="黑体"/>
                <w:color w:val="auto"/>
                <w:sz w:val="21"/>
              </w:rPr>
            </w:pPr>
          </w:p>
          <w:p w14:paraId="5C165EBA">
            <w:pPr>
              <w:pageBreakBefore w:val="0"/>
              <w:kinsoku w:val="0"/>
              <w:wordWrap w:val="0"/>
              <w:overflowPunct/>
              <w:topLinePunct w:val="0"/>
              <w:autoSpaceDE/>
              <w:autoSpaceDN/>
              <w:bidi w:val="0"/>
              <w:spacing w:line="272" w:lineRule="auto"/>
              <w:rPr>
                <w:rFonts w:hint="eastAsia" w:ascii="黑体" w:hAnsi="黑体" w:eastAsia="黑体" w:cs="黑体"/>
                <w:color w:val="auto"/>
                <w:sz w:val="21"/>
              </w:rPr>
            </w:pPr>
          </w:p>
          <w:p w14:paraId="58E11C31">
            <w:pPr>
              <w:pageBreakBefore w:val="0"/>
              <w:kinsoku w:val="0"/>
              <w:wordWrap w:val="0"/>
              <w:overflowPunct/>
              <w:topLinePunct w:val="0"/>
              <w:autoSpaceDE/>
              <w:autoSpaceDN/>
              <w:bidi w:val="0"/>
              <w:spacing w:line="272" w:lineRule="auto"/>
              <w:rPr>
                <w:rFonts w:hint="eastAsia" w:ascii="黑体" w:hAnsi="黑体" w:eastAsia="黑体" w:cs="黑体"/>
                <w:color w:val="auto"/>
                <w:sz w:val="21"/>
              </w:rPr>
            </w:pPr>
          </w:p>
          <w:p w14:paraId="2BE85F0E">
            <w:pPr>
              <w:pageBreakBefore w:val="0"/>
              <w:kinsoku w:val="0"/>
              <w:wordWrap w:val="0"/>
              <w:overflowPunct/>
              <w:topLinePunct w:val="0"/>
              <w:autoSpaceDE/>
              <w:autoSpaceDN/>
              <w:bidi w:val="0"/>
              <w:spacing w:line="272" w:lineRule="auto"/>
              <w:rPr>
                <w:rFonts w:hint="eastAsia" w:ascii="黑体" w:hAnsi="黑体" w:eastAsia="黑体" w:cs="黑体"/>
                <w:color w:val="auto"/>
                <w:sz w:val="21"/>
              </w:rPr>
            </w:pPr>
          </w:p>
          <w:p w14:paraId="44C4415F">
            <w:pPr>
              <w:pageBreakBefore w:val="0"/>
              <w:kinsoku w:val="0"/>
              <w:wordWrap w:val="0"/>
              <w:overflowPunct/>
              <w:topLinePunct w:val="0"/>
              <w:autoSpaceDE/>
              <w:autoSpaceDN/>
              <w:bidi w:val="0"/>
              <w:spacing w:line="273" w:lineRule="auto"/>
              <w:rPr>
                <w:rFonts w:hint="eastAsia" w:ascii="黑体" w:hAnsi="黑体" w:eastAsia="黑体" w:cs="黑体"/>
                <w:color w:val="auto"/>
                <w:sz w:val="21"/>
              </w:rPr>
            </w:pPr>
          </w:p>
          <w:p w14:paraId="6096B367">
            <w:pPr>
              <w:pageBreakBefore w:val="0"/>
              <w:kinsoku w:val="0"/>
              <w:wordWrap w:val="0"/>
              <w:overflowPunct/>
              <w:topLinePunct w:val="0"/>
              <w:autoSpaceDE/>
              <w:autoSpaceDN/>
              <w:bidi w:val="0"/>
              <w:spacing w:line="273" w:lineRule="auto"/>
              <w:rPr>
                <w:rFonts w:hint="eastAsia" w:ascii="黑体" w:hAnsi="黑体" w:eastAsia="黑体" w:cs="黑体"/>
                <w:color w:val="auto"/>
                <w:sz w:val="21"/>
              </w:rPr>
            </w:pPr>
          </w:p>
          <w:p w14:paraId="2B8465D2">
            <w:pPr>
              <w:pageBreakBefore w:val="0"/>
              <w:kinsoku w:val="0"/>
              <w:wordWrap w:val="0"/>
              <w:overflowPunct/>
              <w:topLinePunct w:val="0"/>
              <w:autoSpaceDE/>
              <w:autoSpaceDN/>
              <w:bidi w:val="0"/>
              <w:spacing w:line="273" w:lineRule="auto"/>
              <w:rPr>
                <w:rFonts w:hint="eastAsia" w:ascii="黑体" w:hAnsi="黑体" w:eastAsia="黑体" w:cs="黑体"/>
                <w:color w:val="auto"/>
                <w:sz w:val="21"/>
              </w:rPr>
            </w:pPr>
          </w:p>
          <w:p w14:paraId="395C75E8">
            <w:pPr>
              <w:pageBreakBefore w:val="0"/>
              <w:kinsoku w:val="0"/>
              <w:wordWrap w:val="0"/>
              <w:overflowPunct/>
              <w:topLinePunct w:val="0"/>
              <w:autoSpaceDE/>
              <w:autoSpaceDN/>
              <w:bidi w:val="0"/>
              <w:spacing w:before="61" w:line="227" w:lineRule="auto"/>
              <w:ind w:left="1154"/>
              <w:rPr>
                <w:rFonts w:hint="eastAsia" w:ascii="黑体" w:hAnsi="黑体" w:eastAsia="黑体" w:cs="黑体"/>
                <w:color w:val="auto"/>
                <w:sz w:val="19"/>
                <w:szCs w:val="19"/>
              </w:rPr>
            </w:pPr>
            <w:r>
              <w:rPr>
                <w:rFonts w:hint="eastAsia" w:ascii="黑体" w:hAnsi="黑体" w:eastAsia="黑体" w:cs="黑体"/>
                <w:color w:val="auto"/>
                <w:spacing w:val="17"/>
                <w:sz w:val="19"/>
                <w:szCs w:val="19"/>
              </w:rPr>
              <w:t>投标单位</w:t>
            </w:r>
            <w:r>
              <w:rPr>
                <w:rFonts w:hint="eastAsia" w:ascii="黑体" w:hAnsi="黑体" w:eastAsia="黑体" w:cs="黑体"/>
                <w:color w:val="auto"/>
                <w:spacing w:val="-3"/>
                <w:sz w:val="19"/>
                <w:szCs w:val="19"/>
              </w:rPr>
              <w:t>：（</w:t>
            </w:r>
            <w:r>
              <w:rPr>
                <w:rFonts w:hint="eastAsia" w:ascii="黑体" w:hAnsi="黑体" w:eastAsia="黑体" w:cs="黑体"/>
                <w:color w:val="auto"/>
                <w:spacing w:val="17"/>
                <w:sz w:val="19"/>
                <w:szCs w:val="19"/>
              </w:rPr>
              <w:t>公章）</w:t>
            </w:r>
          </w:p>
          <w:p w14:paraId="2A05FBEB">
            <w:pPr>
              <w:pageBreakBefore w:val="0"/>
              <w:kinsoku w:val="0"/>
              <w:wordWrap w:val="0"/>
              <w:overflowPunct/>
              <w:topLinePunct w:val="0"/>
              <w:autoSpaceDE/>
              <w:autoSpaceDN/>
              <w:bidi w:val="0"/>
              <w:spacing w:before="217" w:line="485" w:lineRule="exact"/>
              <w:ind w:left="1154"/>
              <w:rPr>
                <w:rFonts w:hint="eastAsia" w:ascii="黑体" w:hAnsi="黑体" w:eastAsia="黑体" w:cs="黑体"/>
                <w:color w:val="auto"/>
                <w:sz w:val="19"/>
                <w:szCs w:val="19"/>
              </w:rPr>
            </w:pPr>
            <w:r>
              <w:rPr>
                <w:rFonts w:hint="eastAsia" w:ascii="黑体" w:hAnsi="黑体" w:eastAsia="黑体" w:cs="黑体"/>
                <w:color w:val="auto"/>
                <w:spacing w:val="8"/>
                <w:position w:val="22"/>
                <w:sz w:val="19"/>
                <w:szCs w:val="19"/>
              </w:rPr>
              <w:t>项目名称：</w:t>
            </w:r>
          </w:p>
          <w:p w14:paraId="6FE34A18">
            <w:pPr>
              <w:pageBreakBefore w:val="0"/>
              <w:kinsoku w:val="0"/>
              <w:wordWrap w:val="0"/>
              <w:overflowPunct/>
              <w:topLinePunct w:val="0"/>
              <w:autoSpaceDE/>
              <w:autoSpaceDN/>
              <w:bidi w:val="0"/>
              <w:spacing w:line="228" w:lineRule="auto"/>
              <w:ind w:left="1154"/>
              <w:rPr>
                <w:rFonts w:hint="eastAsia" w:ascii="黑体" w:hAnsi="黑体" w:eastAsia="黑体" w:cs="黑体"/>
                <w:color w:val="auto"/>
                <w:sz w:val="19"/>
                <w:szCs w:val="19"/>
              </w:rPr>
            </w:pPr>
            <w:r>
              <w:rPr>
                <w:rFonts w:hint="eastAsia" w:ascii="黑体" w:hAnsi="黑体" w:eastAsia="黑体" w:cs="黑体"/>
                <w:color w:val="auto"/>
                <w:spacing w:val="8"/>
                <w:sz w:val="19"/>
                <w:szCs w:val="19"/>
              </w:rPr>
              <w:t>项目编号：</w:t>
            </w:r>
          </w:p>
          <w:p w14:paraId="4C309ECD">
            <w:pPr>
              <w:pageBreakBefore w:val="0"/>
              <w:kinsoku w:val="0"/>
              <w:wordWrap w:val="0"/>
              <w:overflowPunct/>
              <w:topLinePunct w:val="0"/>
              <w:autoSpaceDE/>
              <w:autoSpaceDN/>
              <w:bidi w:val="0"/>
              <w:spacing w:before="233" w:line="230" w:lineRule="auto"/>
              <w:ind w:left="1150"/>
              <w:rPr>
                <w:rFonts w:hint="eastAsia" w:ascii="黑体" w:hAnsi="黑体" w:eastAsia="黑体" w:cs="黑体"/>
                <w:color w:val="auto"/>
                <w:sz w:val="19"/>
                <w:szCs w:val="19"/>
              </w:rPr>
            </w:pPr>
            <w:r>
              <w:rPr>
                <w:rFonts w:hint="eastAsia" w:ascii="黑体" w:hAnsi="黑体" w:eastAsia="黑体" w:cs="黑体"/>
                <w:color w:val="auto"/>
                <w:spacing w:val="7"/>
                <w:sz w:val="19"/>
                <w:szCs w:val="19"/>
              </w:rPr>
              <w:t>联系人：</w:t>
            </w:r>
          </w:p>
          <w:p w14:paraId="6BC9B647">
            <w:pPr>
              <w:pageBreakBefore w:val="0"/>
              <w:kinsoku w:val="0"/>
              <w:wordWrap w:val="0"/>
              <w:overflowPunct/>
              <w:topLinePunct w:val="0"/>
              <w:autoSpaceDE/>
              <w:autoSpaceDN/>
              <w:bidi w:val="0"/>
              <w:spacing w:before="212" w:line="492" w:lineRule="exact"/>
              <w:ind w:left="1196"/>
              <w:rPr>
                <w:rFonts w:hint="eastAsia" w:ascii="黑体" w:hAnsi="黑体" w:eastAsia="黑体" w:cs="黑体"/>
                <w:color w:val="auto"/>
                <w:sz w:val="19"/>
                <w:szCs w:val="19"/>
              </w:rPr>
            </w:pPr>
            <w:r>
              <w:rPr>
                <w:rFonts w:hint="eastAsia" w:ascii="黑体" w:hAnsi="黑体" w:eastAsia="黑体" w:cs="黑体"/>
                <w:color w:val="auto"/>
                <w:spacing w:val="-6"/>
                <w:position w:val="23"/>
                <w:sz w:val="19"/>
                <w:szCs w:val="19"/>
              </w:rPr>
              <w:t>电话：</w:t>
            </w:r>
          </w:p>
          <w:p w14:paraId="7E0D14B7">
            <w:pPr>
              <w:pageBreakBefore w:val="0"/>
              <w:kinsoku w:val="0"/>
              <w:wordWrap w:val="0"/>
              <w:overflowPunct/>
              <w:topLinePunct w:val="0"/>
              <w:autoSpaceDE/>
              <w:autoSpaceDN/>
              <w:bidi w:val="0"/>
              <w:spacing w:line="237" w:lineRule="auto"/>
              <w:ind w:left="1146"/>
              <w:rPr>
                <w:rFonts w:hint="eastAsia" w:ascii="黑体" w:hAnsi="黑体" w:eastAsia="黑体" w:cs="黑体"/>
                <w:color w:val="auto"/>
                <w:sz w:val="19"/>
                <w:szCs w:val="19"/>
              </w:rPr>
            </w:pPr>
            <w:r>
              <w:rPr>
                <w:rFonts w:hint="eastAsia" w:ascii="黑体" w:hAnsi="黑体" w:eastAsia="黑体" w:cs="黑体"/>
                <w:color w:val="auto"/>
                <w:spacing w:val="5"/>
                <w:sz w:val="19"/>
                <w:szCs w:val="19"/>
              </w:rPr>
              <w:t>地址：</w:t>
            </w:r>
          </w:p>
          <w:p w14:paraId="547C999D">
            <w:pPr>
              <w:pageBreakBefore w:val="0"/>
              <w:kinsoku w:val="0"/>
              <w:wordWrap w:val="0"/>
              <w:overflowPunct/>
              <w:topLinePunct w:val="0"/>
              <w:autoSpaceDE/>
              <w:autoSpaceDN/>
              <w:bidi w:val="0"/>
              <w:spacing w:line="290" w:lineRule="auto"/>
              <w:rPr>
                <w:rFonts w:hint="eastAsia" w:ascii="黑体" w:hAnsi="黑体" w:eastAsia="黑体" w:cs="黑体"/>
                <w:color w:val="auto"/>
                <w:sz w:val="21"/>
              </w:rPr>
            </w:pPr>
          </w:p>
          <w:p w14:paraId="3E48FCA8">
            <w:pPr>
              <w:pageBreakBefore w:val="0"/>
              <w:kinsoku w:val="0"/>
              <w:wordWrap w:val="0"/>
              <w:overflowPunct/>
              <w:topLinePunct w:val="0"/>
              <w:autoSpaceDE/>
              <w:autoSpaceDN/>
              <w:bidi w:val="0"/>
              <w:spacing w:line="290" w:lineRule="auto"/>
              <w:rPr>
                <w:rFonts w:hint="eastAsia" w:ascii="黑体" w:hAnsi="黑体" w:eastAsia="黑体" w:cs="黑体"/>
                <w:color w:val="auto"/>
                <w:sz w:val="21"/>
              </w:rPr>
            </w:pPr>
          </w:p>
          <w:p w14:paraId="4239D444">
            <w:pPr>
              <w:pageBreakBefore w:val="0"/>
              <w:kinsoku w:val="0"/>
              <w:wordWrap w:val="0"/>
              <w:overflowPunct/>
              <w:topLinePunct w:val="0"/>
              <w:autoSpaceDE/>
              <w:autoSpaceDN/>
              <w:bidi w:val="0"/>
              <w:spacing w:line="291" w:lineRule="auto"/>
              <w:rPr>
                <w:rFonts w:hint="eastAsia" w:ascii="黑体" w:hAnsi="黑体" w:eastAsia="黑体" w:cs="黑体"/>
                <w:color w:val="auto"/>
                <w:sz w:val="21"/>
              </w:rPr>
            </w:pPr>
          </w:p>
          <w:p w14:paraId="0DEF9F65">
            <w:pPr>
              <w:pageBreakBefore w:val="0"/>
              <w:kinsoku w:val="0"/>
              <w:wordWrap w:val="0"/>
              <w:overflowPunct/>
              <w:topLinePunct w:val="0"/>
              <w:autoSpaceDE/>
              <w:autoSpaceDN/>
              <w:bidi w:val="0"/>
              <w:spacing w:line="291" w:lineRule="auto"/>
              <w:rPr>
                <w:rFonts w:hint="eastAsia" w:ascii="黑体" w:hAnsi="黑体" w:eastAsia="黑体" w:cs="黑体"/>
                <w:color w:val="auto"/>
                <w:sz w:val="21"/>
              </w:rPr>
            </w:pPr>
          </w:p>
          <w:p w14:paraId="236D78E8">
            <w:pPr>
              <w:pageBreakBefore w:val="0"/>
              <w:kinsoku w:val="0"/>
              <w:wordWrap w:val="0"/>
              <w:overflowPunct/>
              <w:topLinePunct w:val="0"/>
              <w:autoSpaceDE/>
              <w:autoSpaceDN/>
              <w:bidi w:val="0"/>
              <w:spacing w:before="63" w:line="228" w:lineRule="auto"/>
              <w:ind w:left="2262"/>
              <w:rPr>
                <w:rFonts w:hint="eastAsia" w:ascii="黑体" w:hAnsi="黑体" w:eastAsia="黑体" w:cs="黑体"/>
                <w:color w:val="auto"/>
                <w:sz w:val="19"/>
                <w:szCs w:val="19"/>
              </w:rPr>
            </w:pPr>
            <w:r>
              <w:rPr>
                <w:rFonts w:hint="eastAsia" w:ascii="黑体" w:hAnsi="黑体" w:eastAsia="黑体" w:cs="黑体"/>
                <w:b/>
                <w:bCs/>
                <w:color w:val="auto"/>
                <w:spacing w:val="1"/>
                <w:sz w:val="19"/>
                <w:szCs w:val="19"/>
              </w:rPr>
              <w:t>注：在</w:t>
            </w:r>
            <w:r>
              <w:rPr>
                <w:rFonts w:hint="eastAsia" w:ascii="黑体" w:hAnsi="黑体" w:eastAsia="黑体" w:cs="黑体"/>
                <w:b/>
                <w:bCs/>
                <w:color w:val="auto"/>
                <w:sz w:val="19"/>
                <w:szCs w:val="19"/>
              </w:rPr>
              <w:t>xxx</w:t>
            </w:r>
            <w:r>
              <w:rPr>
                <w:rFonts w:hint="eastAsia" w:ascii="黑体" w:hAnsi="黑体" w:eastAsia="黑体" w:cs="黑体"/>
                <w:b/>
                <w:bCs/>
                <w:color w:val="auto"/>
                <w:spacing w:val="1"/>
                <w:sz w:val="19"/>
                <w:szCs w:val="19"/>
              </w:rPr>
              <w:t>年</w:t>
            </w:r>
            <w:r>
              <w:rPr>
                <w:rFonts w:hint="eastAsia" w:ascii="黑体" w:hAnsi="黑体" w:eastAsia="黑体" w:cs="黑体"/>
                <w:b/>
                <w:bCs/>
                <w:color w:val="auto"/>
                <w:sz w:val="19"/>
                <w:szCs w:val="19"/>
              </w:rPr>
              <w:t>xx</w:t>
            </w:r>
            <w:r>
              <w:rPr>
                <w:rFonts w:hint="eastAsia" w:ascii="黑体" w:hAnsi="黑体" w:eastAsia="黑体" w:cs="黑体"/>
                <w:b/>
                <w:bCs/>
                <w:color w:val="auto"/>
                <w:spacing w:val="1"/>
                <w:sz w:val="19"/>
                <w:szCs w:val="19"/>
              </w:rPr>
              <w:t>月</w:t>
            </w:r>
            <w:r>
              <w:rPr>
                <w:rFonts w:hint="eastAsia" w:ascii="黑体" w:hAnsi="黑体" w:eastAsia="黑体" w:cs="黑体"/>
                <w:b/>
                <w:bCs/>
                <w:color w:val="auto"/>
                <w:sz w:val="19"/>
                <w:szCs w:val="19"/>
              </w:rPr>
              <w:t>xx</w:t>
            </w:r>
            <w:r>
              <w:rPr>
                <w:rFonts w:hint="eastAsia" w:ascii="黑体" w:hAnsi="黑体" w:eastAsia="黑体" w:cs="黑体"/>
                <w:b/>
                <w:bCs/>
                <w:color w:val="auto"/>
                <w:spacing w:val="1"/>
                <w:sz w:val="19"/>
                <w:szCs w:val="19"/>
              </w:rPr>
              <w:t>日之前不得开启</w:t>
            </w:r>
          </w:p>
        </w:tc>
      </w:tr>
    </w:tbl>
    <w:p w14:paraId="26EB6542">
      <w:pPr>
        <w:pageBreakBefore w:val="0"/>
        <w:kinsoku w:val="0"/>
        <w:wordWrap w:val="0"/>
        <w:overflowPunct/>
        <w:topLinePunct w:val="0"/>
        <w:autoSpaceDE/>
        <w:autoSpaceDN/>
        <w:bidi w:val="0"/>
        <w:spacing w:line="146" w:lineRule="exact"/>
        <w:rPr>
          <w:rFonts w:hint="eastAsia" w:ascii="黑体" w:hAnsi="黑体" w:eastAsia="黑体" w:cs="黑体"/>
          <w:color w:val="auto"/>
          <w:sz w:val="12"/>
        </w:rPr>
      </w:pPr>
    </w:p>
    <w:p w14:paraId="56358E4F">
      <w:pPr>
        <w:pStyle w:val="7"/>
        <w:pageBreakBefore w:val="0"/>
        <w:kinsoku w:val="0"/>
        <w:wordWrap w:val="0"/>
        <w:overflowPunct/>
        <w:topLinePunct w:val="0"/>
        <w:autoSpaceDE/>
        <w:autoSpaceDN/>
        <w:bidi w:val="0"/>
        <w:spacing w:before="110" w:line="360" w:lineRule="auto"/>
        <w:ind w:right="-64" w:rightChars="0"/>
        <w:jc w:val="center"/>
        <w:outlineLvl w:val="0"/>
        <w:rPr>
          <w:rFonts w:hint="eastAsia" w:ascii="黑体" w:hAnsi="黑体" w:eastAsia="黑体" w:cs="黑体"/>
          <w:color w:val="auto"/>
          <w:sz w:val="34"/>
          <w:szCs w:val="34"/>
        </w:rPr>
      </w:pPr>
      <w:r>
        <w:rPr>
          <w:rFonts w:hint="eastAsia" w:ascii="黑体" w:hAnsi="黑体" w:eastAsia="黑体" w:cs="黑体"/>
          <w:b/>
          <w:bCs/>
          <w:color w:val="auto"/>
          <w:spacing w:val="7"/>
          <w:sz w:val="34"/>
          <w:szCs w:val="34"/>
          <w:lang w:eastAsia="zh-CN"/>
        </w:rPr>
        <w:t>巴楚县产业发展促进就业资助-特色产品推广和品牌营销项目</w:t>
      </w:r>
      <w:r>
        <w:rPr>
          <w:rFonts w:hint="eastAsia" w:ascii="黑体" w:hAnsi="黑体" w:eastAsia="黑体" w:cs="黑体"/>
          <w:b/>
          <w:bCs/>
          <w:color w:val="auto"/>
          <w:spacing w:val="4"/>
          <w:sz w:val="34"/>
          <w:szCs w:val="34"/>
        </w:rPr>
        <w:t>竞争性磋商文件</w:t>
      </w:r>
    </w:p>
    <w:p w14:paraId="3573C091">
      <w:pPr>
        <w:pageBreakBefore w:val="0"/>
        <w:kinsoku w:val="0"/>
        <w:wordWrap w:val="0"/>
        <w:overflowPunct/>
        <w:topLinePunct w:val="0"/>
        <w:autoSpaceDE/>
        <w:autoSpaceDN/>
        <w:bidi w:val="0"/>
        <w:spacing w:line="348" w:lineRule="auto"/>
        <w:rPr>
          <w:rFonts w:hint="eastAsia" w:ascii="黑体" w:hAnsi="黑体" w:eastAsia="黑体" w:cs="黑体"/>
          <w:color w:val="auto"/>
          <w:sz w:val="21"/>
        </w:rPr>
      </w:pPr>
    </w:p>
    <w:p w14:paraId="45138EA7">
      <w:pPr>
        <w:pageBreakBefore w:val="0"/>
        <w:kinsoku w:val="0"/>
        <w:wordWrap w:val="0"/>
        <w:overflowPunct/>
        <w:topLinePunct w:val="0"/>
        <w:autoSpaceDE/>
        <w:autoSpaceDN/>
        <w:bidi w:val="0"/>
        <w:spacing w:line="348" w:lineRule="auto"/>
        <w:rPr>
          <w:rFonts w:hint="eastAsia" w:ascii="黑体" w:hAnsi="黑体" w:eastAsia="黑体" w:cs="黑体"/>
          <w:color w:val="auto"/>
          <w:sz w:val="21"/>
        </w:rPr>
      </w:pPr>
    </w:p>
    <w:p w14:paraId="56E7FD28">
      <w:pPr>
        <w:pStyle w:val="7"/>
        <w:pageBreakBefore w:val="0"/>
        <w:kinsoku w:val="0"/>
        <w:wordWrap w:val="0"/>
        <w:overflowPunct/>
        <w:topLinePunct w:val="0"/>
        <w:autoSpaceDE/>
        <w:autoSpaceDN/>
        <w:bidi w:val="0"/>
        <w:spacing w:before="91" w:line="224" w:lineRule="auto"/>
        <w:ind w:left="1833"/>
        <w:rPr>
          <w:rFonts w:hint="eastAsia" w:ascii="黑体" w:hAnsi="黑体" w:eastAsia="黑体" w:cs="黑体"/>
          <w:b/>
          <w:bCs/>
          <w:color w:val="auto"/>
          <w:spacing w:val="-5"/>
          <w:sz w:val="28"/>
          <w:szCs w:val="28"/>
        </w:rPr>
      </w:pPr>
    </w:p>
    <w:p w14:paraId="1FCCAA95">
      <w:pPr>
        <w:pStyle w:val="7"/>
        <w:pageBreakBefore w:val="0"/>
        <w:kinsoku w:val="0"/>
        <w:wordWrap w:val="0"/>
        <w:overflowPunct/>
        <w:topLinePunct w:val="0"/>
        <w:autoSpaceDE/>
        <w:autoSpaceDN/>
        <w:bidi w:val="0"/>
        <w:spacing w:before="111" w:line="228" w:lineRule="auto"/>
        <w:jc w:val="center"/>
        <w:rPr>
          <w:rFonts w:hint="eastAsia" w:ascii="黑体" w:hAnsi="黑体" w:eastAsia="黑体" w:cs="黑体"/>
          <w:color w:val="auto"/>
          <w:sz w:val="34"/>
          <w:szCs w:val="34"/>
        </w:rPr>
      </w:pPr>
      <w:r>
        <w:rPr>
          <w:rFonts w:hint="eastAsia" w:ascii="黑体" w:hAnsi="黑体" w:eastAsia="黑体" w:cs="黑体"/>
          <w:b/>
          <w:bCs/>
          <w:color w:val="auto"/>
          <w:spacing w:val="-10"/>
          <w:sz w:val="34"/>
          <w:szCs w:val="34"/>
        </w:rPr>
        <w:t>第</w:t>
      </w:r>
      <w:r>
        <w:rPr>
          <w:rFonts w:hint="eastAsia" w:ascii="黑体" w:hAnsi="黑体" w:eastAsia="黑体" w:cs="黑体"/>
          <w:b/>
          <w:bCs/>
          <w:color w:val="auto"/>
          <w:spacing w:val="-10"/>
          <w:sz w:val="34"/>
          <w:szCs w:val="34"/>
          <w:lang w:eastAsia="zh-CN"/>
        </w:rPr>
        <w:t>二</w:t>
      </w:r>
      <w:r>
        <w:rPr>
          <w:rFonts w:hint="eastAsia" w:ascii="黑体" w:hAnsi="黑体" w:eastAsia="黑体" w:cs="黑体"/>
          <w:b/>
          <w:bCs/>
          <w:color w:val="auto"/>
          <w:spacing w:val="-10"/>
          <w:sz w:val="34"/>
          <w:szCs w:val="34"/>
        </w:rPr>
        <w:t>册</w:t>
      </w:r>
    </w:p>
    <w:p w14:paraId="0617C340">
      <w:pPr>
        <w:pStyle w:val="7"/>
        <w:pageBreakBefore w:val="0"/>
        <w:kinsoku w:val="0"/>
        <w:wordWrap w:val="0"/>
        <w:overflowPunct/>
        <w:topLinePunct w:val="0"/>
        <w:autoSpaceDE/>
        <w:autoSpaceDN/>
        <w:bidi w:val="0"/>
        <w:spacing w:before="110" w:line="242" w:lineRule="auto"/>
        <w:ind w:right="-64" w:rightChars="0"/>
        <w:jc w:val="center"/>
        <w:outlineLvl w:val="0"/>
        <w:rPr>
          <w:rFonts w:hint="eastAsia" w:ascii="黑体" w:hAnsi="黑体" w:eastAsia="黑体" w:cs="黑体"/>
          <w:b/>
          <w:bCs/>
          <w:color w:val="auto"/>
          <w:spacing w:val="4"/>
          <w:sz w:val="34"/>
          <w:szCs w:val="34"/>
        </w:rPr>
      </w:pPr>
    </w:p>
    <w:p w14:paraId="7B059E1C">
      <w:pPr>
        <w:pStyle w:val="7"/>
        <w:pageBreakBefore w:val="0"/>
        <w:kinsoku w:val="0"/>
        <w:wordWrap w:val="0"/>
        <w:overflowPunct/>
        <w:topLinePunct w:val="0"/>
        <w:autoSpaceDE/>
        <w:autoSpaceDN/>
        <w:bidi w:val="0"/>
        <w:spacing w:before="91" w:line="224" w:lineRule="auto"/>
        <w:ind w:left="1833"/>
        <w:rPr>
          <w:rFonts w:hint="eastAsia" w:ascii="黑体" w:hAnsi="黑体" w:eastAsia="黑体" w:cs="黑体"/>
          <w:b/>
          <w:bCs/>
          <w:color w:val="auto"/>
          <w:spacing w:val="-5"/>
          <w:sz w:val="28"/>
          <w:szCs w:val="28"/>
        </w:rPr>
      </w:pPr>
    </w:p>
    <w:p w14:paraId="61BC7030">
      <w:pPr>
        <w:pStyle w:val="7"/>
        <w:pageBreakBefore w:val="0"/>
        <w:kinsoku w:val="0"/>
        <w:wordWrap w:val="0"/>
        <w:overflowPunct/>
        <w:topLinePunct w:val="0"/>
        <w:autoSpaceDE/>
        <w:autoSpaceDN/>
        <w:bidi w:val="0"/>
        <w:spacing w:before="91" w:line="224" w:lineRule="auto"/>
        <w:ind w:left="1833"/>
        <w:rPr>
          <w:rFonts w:hint="eastAsia" w:ascii="黑体" w:hAnsi="黑体" w:eastAsia="黑体" w:cs="黑体"/>
          <w:b/>
          <w:bCs/>
          <w:color w:val="auto"/>
          <w:spacing w:val="-5"/>
          <w:sz w:val="28"/>
          <w:szCs w:val="28"/>
        </w:rPr>
      </w:pPr>
    </w:p>
    <w:p w14:paraId="0414D473">
      <w:pPr>
        <w:pStyle w:val="7"/>
        <w:pageBreakBefore w:val="0"/>
        <w:kinsoku w:val="0"/>
        <w:wordWrap w:val="0"/>
        <w:overflowPunct/>
        <w:topLinePunct w:val="0"/>
        <w:autoSpaceDE/>
        <w:autoSpaceDN/>
        <w:bidi w:val="0"/>
        <w:spacing w:before="91" w:line="224" w:lineRule="auto"/>
        <w:ind w:left="1833"/>
        <w:rPr>
          <w:rFonts w:hint="eastAsia" w:ascii="黑体" w:hAnsi="黑体" w:eastAsia="黑体" w:cs="黑体"/>
          <w:b/>
          <w:bCs/>
          <w:color w:val="auto"/>
          <w:spacing w:val="-5"/>
          <w:sz w:val="28"/>
          <w:szCs w:val="28"/>
        </w:rPr>
      </w:pPr>
    </w:p>
    <w:p w14:paraId="45A6DB1F">
      <w:pPr>
        <w:pStyle w:val="7"/>
        <w:pageBreakBefore w:val="0"/>
        <w:kinsoku w:val="0"/>
        <w:wordWrap w:val="0"/>
        <w:overflowPunct/>
        <w:topLinePunct w:val="0"/>
        <w:autoSpaceDE/>
        <w:autoSpaceDN/>
        <w:bidi w:val="0"/>
        <w:spacing w:before="91" w:line="224" w:lineRule="auto"/>
        <w:ind w:left="1833"/>
        <w:rPr>
          <w:rFonts w:hint="eastAsia" w:ascii="黑体" w:hAnsi="黑体" w:eastAsia="黑体" w:cs="黑体"/>
          <w:b/>
          <w:bCs/>
          <w:color w:val="auto"/>
          <w:spacing w:val="-5"/>
          <w:sz w:val="28"/>
          <w:szCs w:val="28"/>
        </w:rPr>
      </w:pPr>
    </w:p>
    <w:p w14:paraId="313EF358">
      <w:pPr>
        <w:pStyle w:val="7"/>
        <w:pageBreakBefore w:val="0"/>
        <w:kinsoku w:val="0"/>
        <w:wordWrap w:val="0"/>
        <w:overflowPunct/>
        <w:topLinePunct w:val="0"/>
        <w:autoSpaceDE/>
        <w:autoSpaceDN/>
        <w:bidi w:val="0"/>
        <w:spacing w:before="111" w:line="228" w:lineRule="auto"/>
        <w:jc w:val="center"/>
        <w:rPr>
          <w:rFonts w:hint="eastAsia" w:ascii="黑体" w:hAnsi="黑体" w:eastAsia="黑体" w:cs="黑体"/>
          <w:b/>
          <w:bCs/>
          <w:color w:val="auto"/>
          <w:spacing w:val="-10"/>
          <w:sz w:val="34"/>
          <w:szCs w:val="34"/>
          <w:lang w:val="en-US" w:eastAsia="zh-CN"/>
        </w:rPr>
      </w:pPr>
      <w:r>
        <w:rPr>
          <w:rFonts w:hint="eastAsia" w:ascii="黑体" w:hAnsi="黑体" w:eastAsia="黑体" w:cs="黑体"/>
          <w:b/>
          <w:bCs/>
          <w:color w:val="auto"/>
          <w:spacing w:val="-10"/>
          <w:sz w:val="34"/>
          <w:szCs w:val="34"/>
        </w:rPr>
        <w:t>项目编号：</w:t>
      </w:r>
      <w:r>
        <w:rPr>
          <w:rFonts w:hint="eastAsia" w:ascii="黑体" w:hAnsi="黑体" w:eastAsia="黑体" w:cs="黑体"/>
          <w:b/>
          <w:bCs/>
          <w:color w:val="auto"/>
          <w:spacing w:val="-10"/>
          <w:sz w:val="34"/>
          <w:szCs w:val="34"/>
          <w:lang w:eastAsia="zh-CN"/>
        </w:rPr>
        <w:t>ZBGJBCX(CS)2024-04</w:t>
      </w:r>
    </w:p>
    <w:p w14:paraId="017D5524">
      <w:pPr>
        <w:pageBreakBefore w:val="0"/>
        <w:kinsoku w:val="0"/>
        <w:wordWrap w:val="0"/>
        <w:overflowPunct/>
        <w:topLinePunct w:val="0"/>
        <w:autoSpaceDE/>
        <w:autoSpaceDN/>
        <w:bidi w:val="0"/>
        <w:spacing w:line="256" w:lineRule="auto"/>
        <w:rPr>
          <w:rFonts w:hint="eastAsia" w:ascii="黑体" w:hAnsi="黑体" w:eastAsia="黑体" w:cs="黑体"/>
          <w:color w:val="auto"/>
          <w:sz w:val="21"/>
        </w:rPr>
      </w:pPr>
    </w:p>
    <w:p w14:paraId="00EE2F33">
      <w:pPr>
        <w:pageBreakBefore w:val="0"/>
        <w:kinsoku w:val="0"/>
        <w:wordWrap w:val="0"/>
        <w:overflowPunct/>
        <w:topLinePunct w:val="0"/>
        <w:autoSpaceDE/>
        <w:autoSpaceDN/>
        <w:bidi w:val="0"/>
        <w:spacing w:line="256" w:lineRule="auto"/>
        <w:rPr>
          <w:rFonts w:hint="eastAsia" w:ascii="黑体" w:hAnsi="黑体" w:eastAsia="黑体" w:cs="黑体"/>
          <w:color w:val="auto"/>
          <w:sz w:val="21"/>
        </w:rPr>
      </w:pPr>
    </w:p>
    <w:p w14:paraId="3E84CA9B">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2E2E1360">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1CFE150F">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54BC6F46">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60092C2E">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2BA11412">
      <w:pPr>
        <w:pStyle w:val="7"/>
        <w:pageBreakBefore w:val="0"/>
        <w:kinsoku w:val="0"/>
        <w:wordWrap w:val="0"/>
        <w:overflowPunct/>
        <w:topLinePunct w:val="0"/>
        <w:autoSpaceDE/>
        <w:autoSpaceDN/>
        <w:bidi w:val="0"/>
        <w:spacing w:before="97" w:line="222" w:lineRule="auto"/>
        <w:ind w:left="3344"/>
        <w:rPr>
          <w:rFonts w:hint="eastAsia" w:ascii="黑体" w:hAnsi="黑体" w:eastAsia="黑体" w:cs="黑体"/>
          <w:b/>
          <w:bCs/>
          <w:color w:val="auto"/>
          <w:spacing w:val="-20"/>
          <w:sz w:val="30"/>
          <w:szCs w:val="30"/>
        </w:rPr>
      </w:pPr>
    </w:p>
    <w:p w14:paraId="28203D4E">
      <w:pPr>
        <w:pStyle w:val="7"/>
        <w:pageBreakBefore w:val="0"/>
        <w:kinsoku w:val="0"/>
        <w:wordWrap w:val="0"/>
        <w:overflowPunct/>
        <w:topLinePunct w:val="0"/>
        <w:autoSpaceDE/>
        <w:autoSpaceDN/>
        <w:bidi w:val="0"/>
        <w:spacing w:before="97" w:line="222" w:lineRule="auto"/>
        <w:ind w:left="3344"/>
        <w:rPr>
          <w:rFonts w:hint="eastAsia" w:ascii="黑体" w:hAnsi="黑体" w:eastAsia="黑体" w:cs="黑体"/>
          <w:b/>
          <w:bCs/>
          <w:color w:val="auto"/>
          <w:spacing w:val="-20"/>
          <w:sz w:val="30"/>
          <w:szCs w:val="30"/>
        </w:rPr>
      </w:pPr>
    </w:p>
    <w:p w14:paraId="3E24D4EA">
      <w:pPr>
        <w:pStyle w:val="7"/>
        <w:pageBreakBefore w:val="0"/>
        <w:kinsoku w:val="0"/>
        <w:wordWrap w:val="0"/>
        <w:overflowPunct/>
        <w:topLinePunct w:val="0"/>
        <w:autoSpaceDE/>
        <w:autoSpaceDN/>
        <w:bidi w:val="0"/>
        <w:spacing w:before="97" w:line="222" w:lineRule="auto"/>
        <w:ind w:left="3344"/>
        <w:rPr>
          <w:rFonts w:hint="eastAsia" w:ascii="黑体" w:hAnsi="黑体" w:eastAsia="黑体" w:cs="黑体"/>
          <w:b/>
          <w:bCs/>
          <w:color w:val="auto"/>
          <w:spacing w:val="-20"/>
          <w:sz w:val="30"/>
          <w:szCs w:val="30"/>
        </w:rPr>
      </w:pPr>
    </w:p>
    <w:p w14:paraId="3F09CA8E">
      <w:pPr>
        <w:pStyle w:val="7"/>
        <w:pageBreakBefore w:val="0"/>
        <w:kinsoku w:val="0"/>
        <w:wordWrap w:val="0"/>
        <w:overflowPunct/>
        <w:topLinePunct w:val="0"/>
        <w:autoSpaceDE/>
        <w:autoSpaceDN/>
        <w:bidi w:val="0"/>
        <w:spacing w:before="97" w:line="222" w:lineRule="auto"/>
        <w:ind w:left="3344"/>
        <w:rPr>
          <w:rFonts w:hint="eastAsia" w:ascii="黑体" w:hAnsi="黑体" w:eastAsia="黑体" w:cs="黑体"/>
          <w:b/>
          <w:bCs/>
          <w:color w:val="auto"/>
          <w:spacing w:val="-20"/>
          <w:sz w:val="30"/>
          <w:szCs w:val="30"/>
        </w:rPr>
      </w:pPr>
    </w:p>
    <w:p w14:paraId="1D11854B">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77D93392">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318835B9">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5BAB4447">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00A6016C">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5707E088">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1BFB19BB">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33126ED1">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4F6F4235">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pPr>
    </w:p>
    <w:p w14:paraId="192D6165">
      <w:pPr>
        <w:pageBreakBefore w:val="0"/>
        <w:kinsoku w:val="0"/>
        <w:wordWrap w:val="0"/>
        <w:overflowPunct/>
        <w:topLinePunct w:val="0"/>
        <w:autoSpaceDE/>
        <w:autoSpaceDN/>
        <w:bidi w:val="0"/>
        <w:spacing w:line="222" w:lineRule="auto"/>
        <w:jc w:val="center"/>
        <w:rPr>
          <w:rFonts w:hint="eastAsia" w:ascii="黑体" w:hAnsi="黑体" w:eastAsia="黑体" w:cs="黑体"/>
          <w:b/>
          <w:bCs/>
          <w:color w:val="auto"/>
          <w:sz w:val="30"/>
          <w:szCs w:val="30"/>
          <w:lang w:val="en-US" w:eastAsia="zh-CN"/>
        </w:rPr>
        <w:sectPr>
          <w:footerReference r:id="rId28" w:type="default"/>
          <w:pgSz w:w="11906" w:h="16840"/>
          <w:pgMar w:top="1431" w:right="1785" w:bottom="1359" w:left="1785" w:header="0" w:footer="1145" w:gutter="0"/>
          <w:pgNumType w:fmt="decimal"/>
          <w:cols w:space="720" w:num="1"/>
        </w:sectPr>
      </w:pPr>
      <w:r>
        <w:rPr>
          <w:rFonts w:hint="eastAsia" w:ascii="黑体" w:hAnsi="黑体" w:eastAsia="黑体" w:cs="黑体"/>
          <w:b/>
          <w:bCs/>
          <w:color w:val="auto"/>
          <w:sz w:val="30"/>
          <w:szCs w:val="30"/>
          <w:lang w:val="en-US" w:eastAsia="zh-CN"/>
        </w:rPr>
        <w:t>2024年08月</w:t>
      </w:r>
    </w:p>
    <w:p w14:paraId="17BA4852">
      <w:pPr>
        <w:pStyle w:val="7"/>
        <w:pageBreakBefore w:val="0"/>
        <w:kinsoku w:val="0"/>
        <w:wordWrap w:val="0"/>
        <w:overflowPunct/>
        <w:topLinePunct w:val="0"/>
        <w:autoSpaceDE/>
        <w:autoSpaceDN/>
        <w:bidi w:val="0"/>
        <w:spacing w:before="321" w:line="360" w:lineRule="auto"/>
        <w:jc w:val="center"/>
        <w:outlineLvl w:val="0"/>
        <w:rPr>
          <w:rFonts w:hint="eastAsia" w:ascii="黑体" w:hAnsi="黑体" w:eastAsia="黑体" w:cs="黑体"/>
          <w:color w:val="auto"/>
          <w:sz w:val="21"/>
        </w:rPr>
      </w:pPr>
      <w:bookmarkStart w:id="13" w:name="_Toc18915"/>
      <w:r>
        <w:rPr>
          <w:rFonts w:hint="eastAsia" w:ascii="黑体" w:hAnsi="黑体" w:eastAsia="黑体" w:cs="黑体"/>
          <w:b/>
          <w:bCs/>
          <w:color w:val="auto"/>
          <w:spacing w:val="-1"/>
          <w:sz w:val="30"/>
          <w:szCs w:val="30"/>
        </w:rPr>
        <w:t>第三章投标公告</w:t>
      </w:r>
      <w:bookmarkEnd w:id="13"/>
    </w:p>
    <w:p w14:paraId="6D9AB82E">
      <w:pPr>
        <w:pStyle w:val="2"/>
        <w:pageBreakBefore w:val="0"/>
        <w:tabs>
          <w:tab w:val="left" w:pos="0"/>
        </w:tabs>
        <w:kinsoku w:val="0"/>
        <w:wordWrap w:val="0"/>
        <w:overflowPunct/>
        <w:topLinePunct w:val="0"/>
        <w:autoSpaceDE/>
        <w:autoSpaceDN/>
        <w:bidi w:val="0"/>
        <w:spacing w:before="0" w:after="0" w:line="360" w:lineRule="auto"/>
        <w:rPr>
          <w:rFonts w:hint="eastAsia" w:ascii="黑体" w:hAnsi="黑体" w:eastAsia="黑体" w:cs="黑体"/>
          <w:color w:val="auto"/>
          <w:sz w:val="28"/>
          <w:szCs w:val="18"/>
          <w:lang w:eastAsia="zh-CN"/>
        </w:rPr>
      </w:pPr>
      <w:bookmarkStart w:id="14" w:name="_Toc17244"/>
      <w:r>
        <w:rPr>
          <w:rFonts w:hint="eastAsia" w:ascii="黑体" w:hAnsi="黑体" w:eastAsia="黑体" w:cs="黑体"/>
          <w:color w:val="auto"/>
          <w:sz w:val="28"/>
          <w:szCs w:val="18"/>
          <w:lang w:eastAsia="zh-CN"/>
        </w:rPr>
        <w:t>巴楚县产业发展促进就业资助-特色产品推广和品牌营销项目</w:t>
      </w:r>
    </w:p>
    <w:p w14:paraId="35632AFE">
      <w:pPr>
        <w:pStyle w:val="2"/>
        <w:pageBreakBefore w:val="0"/>
        <w:tabs>
          <w:tab w:val="left" w:pos="0"/>
        </w:tabs>
        <w:kinsoku w:val="0"/>
        <w:wordWrap w:val="0"/>
        <w:overflowPunct/>
        <w:topLinePunct w:val="0"/>
        <w:autoSpaceDE/>
        <w:autoSpaceDN/>
        <w:bidi w:val="0"/>
        <w:spacing w:before="0" w:after="0" w:line="360" w:lineRule="auto"/>
        <w:rPr>
          <w:rFonts w:hint="eastAsia" w:ascii="黑体" w:hAnsi="黑体" w:eastAsia="黑体" w:cs="黑体"/>
          <w:color w:val="auto"/>
          <w:sz w:val="28"/>
          <w:szCs w:val="18"/>
        </w:rPr>
      </w:pPr>
      <w:r>
        <w:rPr>
          <w:rFonts w:hint="eastAsia" w:ascii="黑体" w:hAnsi="黑体" w:eastAsia="黑体" w:cs="黑体"/>
          <w:color w:val="auto"/>
          <w:sz w:val="28"/>
          <w:szCs w:val="18"/>
        </w:rPr>
        <w:t>竞争性磋商公告</w:t>
      </w:r>
    </w:p>
    <w:tbl>
      <w:tblPr>
        <w:tblStyle w:val="22"/>
        <w:tblW w:w="868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83"/>
      </w:tblGrid>
      <w:tr w14:paraId="667C39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56" w:hRule="atLeast"/>
        </w:trPr>
        <w:tc>
          <w:tcPr>
            <w:tcW w:w="8683" w:type="dxa"/>
            <w:vAlign w:val="top"/>
          </w:tcPr>
          <w:p w14:paraId="5232D922">
            <w:pPr>
              <w:spacing w:line="360" w:lineRule="auto"/>
              <w:rPr>
                <w:rFonts w:hint="eastAsia" w:ascii="黑体" w:hAnsi="黑体" w:eastAsia="黑体" w:cs="黑体"/>
                <w:b w:val="0"/>
                <w:bCs w:val="0"/>
                <w:color w:val="auto"/>
                <w:sz w:val="24"/>
                <w:szCs w:val="24"/>
                <w:lang w:val="en-US" w:eastAsia="zh-CN"/>
              </w:rPr>
            </w:pPr>
            <w:bookmarkStart w:id="15" w:name="_Toc35393796"/>
            <w:bookmarkStart w:id="16" w:name="_Toc28359085"/>
            <w:bookmarkStart w:id="17" w:name="_Toc35393627"/>
            <w:bookmarkStart w:id="18" w:name="_Toc28359008"/>
            <w:r>
              <w:rPr>
                <w:rFonts w:hint="eastAsia" w:ascii="黑体" w:hAnsi="黑体" w:eastAsia="黑体" w:cs="黑体"/>
                <w:b w:val="0"/>
                <w:bCs w:val="0"/>
                <w:color w:val="auto"/>
                <w:sz w:val="24"/>
                <w:szCs w:val="24"/>
              </w:rPr>
              <w:t>项目概况</w:t>
            </w:r>
            <w:r>
              <w:rPr>
                <w:rFonts w:hint="eastAsia" w:ascii="黑体" w:hAnsi="黑体" w:eastAsia="黑体" w:cs="黑体"/>
                <w:b w:val="0"/>
                <w:bCs w:val="0"/>
                <w:color w:val="auto"/>
                <w:sz w:val="24"/>
                <w:szCs w:val="24"/>
                <w:lang w:val="en-US" w:eastAsia="zh-CN"/>
              </w:rPr>
              <w:t>:</w:t>
            </w:r>
          </w:p>
          <w:p w14:paraId="66404CE4">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巴楚县产业发展促进就业资助-特色产品推广和品牌营销项目</w:t>
            </w:r>
            <w:r>
              <w:rPr>
                <w:rFonts w:hint="eastAsia" w:ascii="黑体" w:hAnsi="黑体" w:eastAsia="黑体" w:cs="黑体"/>
                <w:b w:val="0"/>
                <w:bCs w:val="0"/>
                <w:color w:val="auto"/>
                <w:sz w:val="24"/>
                <w:szCs w:val="24"/>
              </w:rPr>
              <w:t>的潜在供应商应在新疆政府采购网获取磋商文件，并于</w:t>
            </w:r>
            <w:r>
              <w:rPr>
                <w:rFonts w:hint="eastAsia" w:ascii="黑体" w:hAnsi="黑体" w:eastAsia="黑体" w:cs="黑体"/>
                <w:b w:val="0"/>
                <w:bCs w:val="0"/>
                <w:color w:val="auto"/>
                <w:sz w:val="24"/>
                <w:szCs w:val="24"/>
                <w:lang w:eastAsia="zh-CN"/>
              </w:rPr>
              <w:t>2024年08月26日</w:t>
            </w:r>
            <w:r>
              <w:rPr>
                <w:rFonts w:hint="eastAsia" w:ascii="黑体" w:hAnsi="黑体" w:eastAsia="黑体" w:cs="黑体"/>
                <w:b w:val="0"/>
                <w:bCs w:val="0"/>
                <w:color w:val="auto"/>
                <w:sz w:val="24"/>
                <w:szCs w:val="24"/>
                <w:lang w:val="en-US" w:eastAsia="zh-CN"/>
              </w:rPr>
              <w:t>12</w:t>
            </w:r>
            <w:r>
              <w:rPr>
                <w:rFonts w:hint="eastAsia" w:ascii="黑体" w:hAnsi="黑体" w:eastAsia="黑体" w:cs="黑体"/>
                <w:b w:val="0"/>
                <w:bCs w:val="0"/>
                <w:color w:val="auto"/>
                <w:sz w:val="24"/>
                <w:szCs w:val="24"/>
              </w:rPr>
              <w:t>：00分前递交响应文件。</w:t>
            </w:r>
          </w:p>
        </w:tc>
      </w:tr>
    </w:tbl>
    <w:p w14:paraId="6645F18C">
      <w:p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一、项目基本情况</w:t>
      </w:r>
    </w:p>
    <w:p w14:paraId="4B13E0D9">
      <w:pPr>
        <w:spacing w:line="360" w:lineRule="auto"/>
        <w:ind w:firstLine="480"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rPr>
        <w:t>项目编号：</w:t>
      </w:r>
      <w:r>
        <w:rPr>
          <w:rFonts w:hint="eastAsia" w:ascii="黑体" w:hAnsi="黑体" w:eastAsia="黑体" w:cs="黑体"/>
          <w:b w:val="0"/>
          <w:bCs w:val="0"/>
          <w:color w:val="auto"/>
          <w:sz w:val="24"/>
          <w:szCs w:val="24"/>
          <w:lang w:val="en-US" w:eastAsia="zh-CN"/>
        </w:rPr>
        <w:t>ZBGJBCX</w:t>
      </w:r>
      <w:r>
        <w:rPr>
          <w:rFonts w:hint="eastAsia" w:ascii="黑体" w:hAnsi="黑体" w:eastAsia="黑体" w:cs="黑体"/>
          <w:b w:val="0"/>
          <w:bCs w:val="0"/>
          <w:color w:val="auto"/>
          <w:sz w:val="24"/>
          <w:szCs w:val="24"/>
        </w:rPr>
        <w:t>(CS)202</w:t>
      </w:r>
      <w:r>
        <w:rPr>
          <w:rFonts w:hint="eastAsia" w:ascii="黑体" w:hAnsi="黑体" w:eastAsia="黑体" w:cs="黑体"/>
          <w:b w:val="0"/>
          <w:bCs w:val="0"/>
          <w:color w:val="auto"/>
          <w:sz w:val="24"/>
          <w:szCs w:val="24"/>
          <w:lang w:val="en-US" w:eastAsia="zh-CN"/>
        </w:rPr>
        <w:t>4</w:t>
      </w:r>
      <w:r>
        <w:rPr>
          <w:rFonts w:hint="eastAsia" w:ascii="黑体" w:hAnsi="黑体" w:eastAsia="黑体" w:cs="黑体"/>
          <w:b w:val="0"/>
          <w:bCs w:val="0"/>
          <w:color w:val="auto"/>
          <w:sz w:val="24"/>
          <w:szCs w:val="24"/>
        </w:rPr>
        <w:t>-</w:t>
      </w:r>
      <w:r>
        <w:rPr>
          <w:rFonts w:hint="eastAsia" w:ascii="黑体" w:hAnsi="黑体" w:eastAsia="黑体" w:cs="黑体"/>
          <w:b w:val="0"/>
          <w:bCs w:val="0"/>
          <w:color w:val="auto"/>
          <w:sz w:val="24"/>
          <w:szCs w:val="24"/>
          <w:lang w:val="en-US" w:eastAsia="zh-CN"/>
        </w:rPr>
        <w:t>04</w:t>
      </w:r>
    </w:p>
    <w:p w14:paraId="36844691">
      <w:pPr>
        <w:spacing w:line="360" w:lineRule="auto"/>
        <w:ind w:firstLine="480" w:firstLineChars="200"/>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rPr>
        <w:t>项目名称：</w:t>
      </w:r>
      <w:r>
        <w:rPr>
          <w:rFonts w:hint="eastAsia" w:ascii="黑体" w:hAnsi="黑体" w:eastAsia="黑体" w:cs="黑体"/>
          <w:b w:val="0"/>
          <w:bCs w:val="0"/>
          <w:color w:val="auto"/>
          <w:sz w:val="24"/>
          <w:szCs w:val="24"/>
          <w:lang w:eastAsia="zh-CN"/>
        </w:rPr>
        <w:t>巴楚县产业发展促进就业资助-特色产品推广和品牌营销项目</w:t>
      </w:r>
    </w:p>
    <w:p w14:paraId="0DA5E86E">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采购方式：竞争性磋商</w:t>
      </w:r>
    </w:p>
    <w:p w14:paraId="570E6F0C">
      <w:pPr>
        <w:spacing w:line="360" w:lineRule="auto"/>
        <w:ind w:firstLine="480"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rPr>
        <w:t>预算金额（元）：</w:t>
      </w:r>
      <w:r>
        <w:rPr>
          <w:rFonts w:hint="eastAsia" w:ascii="黑体" w:hAnsi="黑体" w:eastAsia="黑体" w:cs="黑体"/>
          <w:b w:val="0"/>
          <w:bCs w:val="0"/>
          <w:color w:val="auto"/>
          <w:sz w:val="24"/>
          <w:szCs w:val="24"/>
          <w:lang w:val="en-US" w:eastAsia="zh-CN"/>
        </w:rPr>
        <w:t>1000000.00</w:t>
      </w:r>
    </w:p>
    <w:p w14:paraId="564C9767">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最高限价（元）：</w:t>
      </w:r>
      <w:r>
        <w:rPr>
          <w:rFonts w:hint="eastAsia" w:ascii="黑体" w:hAnsi="黑体" w:eastAsia="黑体" w:cs="黑体"/>
          <w:b w:val="0"/>
          <w:bCs w:val="0"/>
          <w:color w:val="auto"/>
          <w:sz w:val="24"/>
          <w:szCs w:val="24"/>
          <w:lang w:val="en-US" w:eastAsia="zh-CN"/>
        </w:rPr>
        <w:t>1000000.00</w:t>
      </w:r>
    </w:p>
    <w:p w14:paraId="12218D35">
      <w:pPr>
        <w:spacing w:line="360" w:lineRule="auto"/>
        <w:ind w:firstLine="480"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rPr>
        <w:t>采购需求：组织企业参加产品展销推介会，通过新媒体合作，推介县域特色产品，提升产品品牌知名度和销量；对巴楚县特色产品进行品牌建设和提升。</w:t>
      </w:r>
      <w:r>
        <w:rPr>
          <w:rFonts w:hint="eastAsia" w:ascii="黑体" w:hAnsi="黑体" w:eastAsia="黑体" w:cs="黑体"/>
          <w:b w:val="0"/>
          <w:bCs w:val="0"/>
          <w:color w:val="auto"/>
          <w:sz w:val="24"/>
          <w:szCs w:val="24"/>
          <w:lang w:val="en-US" w:eastAsia="zh-CN"/>
        </w:rPr>
        <w:t>(具体内容详见招标文件)</w:t>
      </w:r>
    </w:p>
    <w:p w14:paraId="1F2BD1DB">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合同履约期限：</w:t>
      </w:r>
      <w:r>
        <w:rPr>
          <w:rFonts w:hint="eastAsia" w:ascii="黑体" w:hAnsi="黑体" w:eastAsia="黑体" w:cs="黑体"/>
          <w:color w:val="auto"/>
          <w:sz w:val="24"/>
          <w:szCs w:val="24"/>
          <w:u w:val="none"/>
          <w:lang w:val="en-US" w:eastAsia="zh-CN"/>
        </w:rPr>
        <w:t>自签订合同后10个月内完成。</w:t>
      </w:r>
      <w:r>
        <w:rPr>
          <w:rFonts w:hint="eastAsia" w:ascii="黑体" w:hAnsi="黑体" w:eastAsia="黑体" w:cs="黑体"/>
          <w:b w:val="0"/>
          <w:bCs w:val="0"/>
          <w:color w:val="auto"/>
          <w:sz w:val="24"/>
          <w:szCs w:val="24"/>
        </w:rPr>
        <w:t>（具体以签订合同为准）</w:t>
      </w:r>
    </w:p>
    <w:p w14:paraId="4DDA7CA2">
      <w:pPr>
        <w:spacing w:line="360" w:lineRule="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本项目（否）接受联合体投标。</w:t>
      </w:r>
    </w:p>
    <w:p w14:paraId="63693B50">
      <w:p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二、申请人的资格要求：</w:t>
      </w:r>
    </w:p>
    <w:p w14:paraId="00D58A09">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1.满足《中华人民共和国政府采购法》第二十二条规定；</w:t>
      </w:r>
    </w:p>
    <w:p w14:paraId="3AEA29D2">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2.落实政府采购政策需满足的资格要求：本项目专门面向中小企业；</w:t>
      </w:r>
    </w:p>
    <w:p w14:paraId="37E5C4EC">
      <w:pPr>
        <w:spacing w:line="360" w:lineRule="auto"/>
        <w:ind w:left="420" w:leftChars="200" w:firstLine="0" w:firstLineChars="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rPr>
        <w:t>3.本项目的特定资格要求：</w:t>
      </w:r>
      <w:r>
        <w:rPr>
          <w:rFonts w:hint="eastAsia" w:ascii="黑体" w:hAnsi="黑体" w:eastAsia="黑体" w:cs="黑体"/>
          <w:b w:val="0"/>
          <w:bCs w:val="0"/>
          <w:color w:val="auto"/>
          <w:sz w:val="24"/>
          <w:szCs w:val="24"/>
          <w:lang w:val="en-US" w:eastAsia="zh-CN"/>
        </w:rPr>
        <w:t>无</w:t>
      </w:r>
    </w:p>
    <w:p w14:paraId="22F8038E">
      <w:p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三、获取磋商文件</w:t>
      </w:r>
    </w:p>
    <w:p w14:paraId="62DC5E09">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时间：</w:t>
      </w:r>
      <w:r>
        <w:rPr>
          <w:rFonts w:hint="eastAsia" w:ascii="黑体" w:hAnsi="黑体" w:eastAsia="黑体" w:cs="黑体"/>
          <w:b w:val="0"/>
          <w:bCs w:val="0"/>
          <w:color w:val="auto"/>
          <w:sz w:val="24"/>
          <w:szCs w:val="24"/>
          <w:lang w:eastAsia="zh-CN"/>
        </w:rPr>
        <w:t>2024年08月</w:t>
      </w:r>
      <w:r>
        <w:rPr>
          <w:rFonts w:hint="eastAsia" w:ascii="黑体" w:hAnsi="黑体" w:eastAsia="黑体" w:cs="黑体"/>
          <w:b w:val="0"/>
          <w:bCs w:val="0"/>
          <w:color w:val="auto"/>
          <w:sz w:val="24"/>
          <w:szCs w:val="24"/>
          <w:lang w:val="en-US" w:eastAsia="zh-CN"/>
        </w:rPr>
        <w:t>13</w:t>
      </w:r>
      <w:r>
        <w:rPr>
          <w:rFonts w:hint="eastAsia" w:ascii="黑体" w:hAnsi="黑体" w:eastAsia="黑体" w:cs="黑体"/>
          <w:b w:val="0"/>
          <w:bCs w:val="0"/>
          <w:color w:val="auto"/>
          <w:sz w:val="24"/>
          <w:szCs w:val="24"/>
          <w:lang w:eastAsia="zh-CN"/>
        </w:rPr>
        <w:t>日</w:t>
      </w:r>
      <w:r>
        <w:rPr>
          <w:rFonts w:hint="eastAsia" w:ascii="黑体" w:hAnsi="黑体" w:eastAsia="黑体" w:cs="黑体"/>
          <w:b w:val="0"/>
          <w:bCs w:val="0"/>
          <w:color w:val="auto"/>
          <w:sz w:val="24"/>
          <w:szCs w:val="24"/>
        </w:rPr>
        <w:t>至2024年</w:t>
      </w:r>
      <w:r>
        <w:rPr>
          <w:rFonts w:hint="eastAsia" w:ascii="黑体" w:hAnsi="黑体" w:eastAsia="黑体" w:cs="黑体"/>
          <w:b w:val="0"/>
          <w:bCs w:val="0"/>
          <w:color w:val="auto"/>
          <w:sz w:val="24"/>
          <w:szCs w:val="24"/>
          <w:lang w:val="en-US" w:eastAsia="zh-CN"/>
        </w:rPr>
        <w:t>08</w:t>
      </w:r>
      <w:r>
        <w:rPr>
          <w:rFonts w:hint="eastAsia" w:ascii="黑体" w:hAnsi="黑体" w:eastAsia="黑体" w:cs="黑体"/>
          <w:b w:val="0"/>
          <w:bCs w:val="0"/>
          <w:color w:val="auto"/>
          <w:sz w:val="24"/>
          <w:szCs w:val="24"/>
        </w:rPr>
        <w:t>月</w:t>
      </w:r>
      <w:r>
        <w:rPr>
          <w:rFonts w:hint="eastAsia" w:ascii="黑体" w:hAnsi="黑体" w:eastAsia="黑体" w:cs="黑体"/>
          <w:b w:val="0"/>
          <w:bCs w:val="0"/>
          <w:color w:val="auto"/>
          <w:sz w:val="24"/>
          <w:szCs w:val="24"/>
          <w:lang w:val="en-US" w:eastAsia="zh-CN"/>
        </w:rPr>
        <w:t>20</w:t>
      </w:r>
      <w:r>
        <w:rPr>
          <w:rFonts w:hint="eastAsia" w:ascii="黑体" w:hAnsi="黑体" w:eastAsia="黑体" w:cs="黑体"/>
          <w:b w:val="0"/>
          <w:bCs w:val="0"/>
          <w:color w:val="auto"/>
          <w:sz w:val="24"/>
          <w:szCs w:val="24"/>
        </w:rPr>
        <w:t>日，每天上午00:00至14:00，下午14:0</w:t>
      </w:r>
      <w:r>
        <w:rPr>
          <w:rFonts w:hint="eastAsia" w:ascii="黑体" w:hAnsi="黑体" w:eastAsia="黑体" w:cs="黑体"/>
          <w:b w:val="0"/>
          <w:bCs w:val="0"/>
          <w:color w:val="auto"/>
          <w:sz w:val="24"/>
          <w:szCs w:val="24"/>
          <w:lang w:val="en-US" w:eastAsia="zh-CN"/>
        </w:rPr>
        <w:t>0</w:t>
      </w:r>
      <w:r>
        <w:rPr>
          <w:rFonts w:hint="eastAsia" w:ascii="黑体" w:hAnsi="黑体" w:eastAsia="黑体" w:cs="黑体"/>
          <w:b w:val="0"/>
          <w:bCs w:val="0"/>
          <w:color w:val="auto"/>
          <w:sz w:val="24"/>
          <w:szCs w:val="24"/>
        </w:rPr>
        <w:t>至23:59（北京时间、法定节假日除外）</w:t>
      </w:r>
    </w:p>
    <w:p w14:paraId="0711990D">
      <w:pPr>
        <w:spacing w:line="360" w:lineRule="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地点：政采云平台线上获取文件https://www.zcygov.cn/</w:t>
      </w:r>
    </w:p>
    <w:p w14:paraId="693CB4C9">
      <w:pPr>
        <w:spacing w:line="360" w:lineRule="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方式：供应商登录政采云平台https://www.zcygov.cn/在线申请获取采购文件（进入“项目采购”应用，在获取采购文件菜单中选择项目，申请获取采购文件）</w:t>
      </w:r>
    </w:p>
    <w:p w14:paraId="540055C1">
      <w:pPr>
        <w:spacing w:line="360" w:lineRule="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售价（元）：0</w:t>
      </w:r>
    </w:p>
    <w:p w14:paraId="40203558">
      <w:pPr>
        <w:numPr>
          <w:ilvl w:val="0"/>
          <w:numId w:val="18"/>
        </w:num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响应文件提交</w:t>
      </w:r>
    </w:p>
    <w:p w14:paraId="29974A1E">
      <w:pPr>
        <w:numPr>
          <w:ilvl w:val="0"/>
          <w:numId w:val="0"/>
        </w:num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截止时间：</w:t>
      </w:r>
      <w:r>
        <w:rPr>
          <w:rFonts w:hint="eastAsia" w:ascii="黑体" w:hAnsi="黑体" w:eastAsia="黑体" w:cs="黑体"/>
          <w:b w:val="0"/>
          <w:bCs w:val="0"/>
          <w:color w:val="auto"/>
          <w:sz w:val="24"/>
          <w:szCs w:val="24"/>
          <w:lang w:eastAsia="zh-CN"/>
        </w:rPr>
        <w:t>2024年08月26日</w:t>
      </w:r>
      <w:r>
        <w:rPr>
          <w:rFonts w:hint="eastAsia" w:ascii="黑体" w:hAnsi="黑体" w:eastAsia="黑体" w:cs="黑体"/>
          <w:b w:val="0"/>
          <w:bCs w:val="0"/>
          <w:color w:val="auto"/>
          <w:sz w:val="24"/>
          <w:szCs w:val="24"/>
        </w:rPr>
        <w:t>1</w:t>
      </w:r>
      <w:r>
        <w:rPr>
          <w:rFonts w:hint="eastAsia" w:ascii="黑体" w:hAnsi="黑体" w:eastAsia="黑体" w:cs="黑体"/>
          <w:b w:val="0"/>
          <w:bCs w:val="0"/>
          <w:color w:val="auto"/>
          <w:sz w:val="24"/>
          <w:szCs w:val="24"/>
          <w:lang w:val="en-US" w:eastAsia="zh-CN"/>
        </w:rPr>
        <w:t>2</w:t>
      </w:r>
      <w:r>
        <w:rPr>
          <w:rFonts w:hint="eastAsia" w:ascii="黑体" w:hAnsi="黑体" w:eastAsia="黑体" w:cs="黑体"/>
          <w:b w:val="0"/>
          <w:bCs w:val="0"/>
          <w:color w:val="auto"/>
          <w:sz w:val="24"/>
          <w:szCs w:val="24"/>
        </w:rPr>
        <w:t>:00（北京时间）</w:t>
      </w:r>
    </w:p>
    <w:p w14:paraId="478F5840">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地点：请登录政采云投标客户端投标</w:t>
      </w:r>
    </w:p>
    <w:p w14:paraId="04002063">
      <w:p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五、响应文件开启</w:t>
      </w:r>
    </w:p>
    <w:p w14:paraId="1B1F93D4">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开启时间：</w:t>
      </w:r>
      <w:r>
        <w:rPr>
          <w:rFonts w:hint="eastAsia" w:ascii="黑体" w:hAnsi="黑体" w:eastAsia="黑体" w:cs="黑体"/>
          <w:b w:val="0"/>
          <w:bCs w:val="0"/>
          <w:color w:val="auto"/>
          <w:sz w:val="24"/>
          <w:szCs w:val="24"/>
          <w:lang w:eastAsia="zh-CN"/>
        </w:rPr>
        <w:t>2024年08月26日</w:t>
      </w:r>
      <w:r>
        <w:rPr>
          <w:rFonts w:hint="eastAsia" w:ascii="黑体" w:hAnsi="黑体" w:eastAsia="黑体" w:cs="黑体"/>
          <w:b w:val="0"/>
          <w:bCs w:val="0"/>
          <w:color w:val="auto"/>
          <w:sz w:val="24"/>
          <w:szCs w:val="24"/>
        </w:rPr>
        <w:t>1</w:t>
      </w:r>
      <w:r>
        <w:rPr>
          <w:rFonts w:hint="eastAsia" w:ascii="黑体" w:hAnsi="黑体" w:eastAsia="黑体" w:cs="黑体"/>
          <w:b w:val="0"/>
          <w:bCs w:val="0"/>
          <w:color w:val="auto"/>
          <w:sz w:val="24"/>
          <w:szCs w:val="24"/>
          <w:lang w:val="en-US" w:eastAsia="zh-CN"/>
        </w:rPr>
        <w:t>2</w:t>
      </w:r>
      <w:r>
        <w:rPr>
          <w:rFonts w:hint="eastAsia" w:ascii="黑体" w:hAnsi="黑体" w:eastAsia="黑体" w:cs="黑体"/>
          <w:b w:val="0"/>
          <w:bCs w:val="0"/>
          <w:color w:val="auto"/>
          <w:sz w:val="24"/>
          <w:szCs w:val="24"/>
        </w:rPr>
        <w:t>:00（北京时间）</w:t>
      </w:r>
    </w:p>
    <w:p w14:paraId="774AF8FA">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地点：政采云平台</w:t>
      </w:r>
    </w:p>
    <w:p w14:paraId="229BE314">
      <w:p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六、公告期限</w:t>
      </w:r>
    </w:p>
    <w:p w14:paraId="68EE71D1">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自本公告发布之日起3个工作日。</w:t>
      </w:r>
    </w:p>
    <w:p w14:paraId="3A5F71B4">
      <w:pPr>
        <w:numPr>
          <w:ilvl w:val="0"/>
          <w:numId w:val="19"/>
        </w:num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其他补充事宜</w:t>
      </w:r>
    </w:p>
    <w:p w14:paraId="3664B89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712532A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2.本项目实行网上投标，采用电子投标文件(供应商须使用CA加密设备通过政采云电子投标客户端制作投标文件)。若供应商参与投标，自行承担投标一切费用。</w:t>
      </w:r>
    </w:p>
    <w:p w14:paraId="2485F61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540C772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CADB09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5.供应商在开标时须使用制作加密电子投标文件所使用的CA锁及电脑，电脑须提前配置好浏览器（建议使用谷歌浏览器），以便开标时解锁。</w:t>
      </w:r>
    </w:p>
    <w:p w14:paraId="51A310E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6B15F07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DA81F1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特别提示：</w:t>
      </w:r>
    </w:p>
    <w:p w14:paraId="0A8EFD2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1、采购限额标准以上，200万元以下的货物和服务采购项目、400万元以下的工程采购项目，适宜由中小企业提供的，采购人应当专门面向中小企业采购。</w:t>
      </w:r>
    </w:p>
    <w:p w14:paraId="5117DD4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p>
    <w:p w14:paraId="3B469215">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81D2DA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422" w:firstLineChars="175"/>
        <w:textAlignment w:val="auto"/>
        <w:rPr>
          <w:rFonts w:hint="eastAsia" w:ascii="黑体" w:hAnsi="黑体" w:eastAsia="黑体" w:cs="黑体"/>
          <w:b/>
          <w:bCs/>
          <w:color w:val="auto"/>
          <w:sz w:val="24"/>
          <w:szCs w:val="24"/>
        </w:rPr>
      </w:pPr>
      <w:r>
        <w:rPr>
          <w:rFonts w:hint="eastAsia" w:ascii="黑体" w:hAnsi="黑体" w:eastAsia="黑体" w:cs="黑体"/>
          <w:b/>
          <w:bCs/>
          <w:color w:val="auto"/>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6932334">
      <w:pPr>
        <w:numPr>
          <w:ilvl w:val="0"/>
          <w:numId w:val="0"/>
        </w:numPr>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八、对本次招标提出询问，请按以下方式联系</w:t>
      </w:r>
      <w:bookmarkEnd w:id="15"/>
      <w:bookmarkEnd w:id="16"/>
      <w:bookmarkEnd w:id="17"/>
      <w:bookmarkEnd w:id="18"/>
    </w:p>
    <w:p w14:paraId="369C62E6">
      <w:pPr>
        <w:widowControl/>
        <w:spacing w:line="360" w:lineRule="auto"/>
        <w:ind w:firstLine="480" w:firstLineChars="200"/>
        <w:jc w:val="left"/>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1.采购人信息</w:t>
      </w:r>
    </w:p>
    <w:p w14:paraId="75585195">
      <w:pPr>
        <w:spacing w:line="360" w:lineRule="auto"/>
        <w:ind w:left="0" w:leftChars="0" w:firstLine="480" w:firstLineChars="200"/>
        <w:rPr>
          <w:rFonts w:hint="eastAsia" w:ascii="黑体" w:hAnsi="黑体" w:eastAsia="黑体" w:cs="黑体"/>
          <w:b w:val="0"/>
          <w:bCs w:val="0"/>
          <w:color w:val="auto"/>
          <w:sz w:val="24"/>
          <w:szCs w:val="24"/>
          <w:u w:val="none"/>
          <w:lang w:eastAsia="zh-CN"/>
        </w:rPr>
      </w:pPr>
      <w:r>
        <w:rPr>
          <w:rFonts w:hint="eastAsia" w:ascii="黑体" w:hAnsi="黑体" w:eastAsia="黑体" w:cs="黑体"/>
          <w:b w:val="0"/>
          <w:bCs w:val="0"/>
          <w:color w:val="auto"/>
          <w:sz w:val="24"/>
          <w:szCs w:val="24"/>
          <w:u w:val="none"/>
        </w:rPr>
        <w:t>名称：</w:t>
      </w:r>
      <w:r>
        <w:rPr>
          <w:rFonts w:hint="eastAsia" w:ascii="黑体" w:hAnsi="黑体" w:eastAsia="黑体" w:cs="黑体"/>
          <w:b w:val="0"/>
          <w:bCs w:val="0"/>
          <w:color w:val="auto"/>
          <w:sz w:val="24"/>
          <w:szCs w:val="24"/>
          <w:u w:val="none"/>
          <w:lang w:eastAsia="zh-CN"/>
        </w:rPr>
        <w:t>巴楚县商务和工业信息化局</w:t>
      </w:r>
    </w:p>
    <w:p w14:paraId="4305F327">
      <w:pPr>
        <w:spacing w:line="360" w:lineRule="auto"/>
        <w:ind w:left="0" w:leftChars="0" w:firstLine="480" w:firstLineChars="200"/>
        <w:rPr>
          <w:rFonts w:hint="eastAsia" w:ascii="黑体" w:hAnsi="黑体" w:eastAsia="黑体" w:cs="黑体"/>
          <w:b w:val="0"/>
          <w:bCs w:val="0"/>
          <w:color w:val="auto"/>
          <w:sz w:val="24"/>
          <w:szCs w:val="24"/>
          <w:u w:val="none"/>
          <w:lang w:eastAsia="zh-CN"/>
        </w:rPr>
      </w:pPr>
      <w:r>
        <w:rPr>
          <w:rFonts w:hint="eastAsia" w:ascii="黑体" w:hAnsi="黑体" w:eastAsia="黑体" w:cs="黑体"/>
          <w:b w:val="0"/>
          <w:bCs w:val="0"/>
          <w:color w:val="auto"/>
          <w:sz w:val="24"/>
          <w:szCs w:val="24"/>
          <w:u w:val="none"/>
        </w:rPr>
        <w:t>地址：</w:t>
      </w:r>
      <w:r>
        <w:rPr>
          <w:rFonts w:hint="eastAsia" w:ascii="黑体" w:hAnsi="黑体" w:eastAsia="黑体" w:cs="黑体"/>
          <w:b w:val="0"/>
          <w:bCs w:val="0"/>
          <w:color w:val="auto"/>
          <w:sz w:val="24"/>
          <w:szCs w:val="24"/>
          <w:u w:val="none"/>
          <w:lang w:eastAsia="zh-CN"/>
        </w:rPr>
        <w:t>巴楚县世纪大道4号</w:t>
      </w:r>
    </w:p>
    <w:p w14:paraId="5BE3A62D">
      <w:pPr>
        <w:spacing w:line="360" w:lineRule="auto"/>
        <w:ind w:left="0" w:leftChars="0" w:firstLine="480" w:firstLineChars="200"/>
        <w:rPr>
          <w:rFonts w:hint="eastAsia" w:ascii="黑体" w:hAnsi="黑体" w:eastAsia="黑体" w:cs="黑体"/>
          <w:b w:val="0"/>
          <w:bCs w:val="0"/>
          <w:color w:val="auto"/>
          <w:sz w:val="24"/>
          <w:szCs w:val="24"/>
          <w:u w:val="none"/>
          <w:lang w:eastAsia="zh-CN"/>
        </w:rPr>
      </w:pPr>
      <w:r>
        <w:rPr>
          <w:rFonts w:hint="eastAsia" w:ascii="黑体" w:hAnsi="黑体" w:eastAsia="黑体" w:cs="黑体"/>
          <w:b w:val="0"/>
          <w:bCs w:val="0"/>
          <w:color w:val="auto"/>
          <w:sz w:val="24"/>
          <w:szCs w:val="24"/>
          <w:u w:val="none"/>
        </w:rPr>
        <w:t>联系人：</w:t>
      </w:r>
      <w:r>
        <w:rPr>
          <w:rFonts w:hint="eastAsia" w:ascii="黑体" w:hAnsi="黑体" w:eastAsia="黑体" w:cs="黑体"/>
          <w:b w:val="0"/>
          <w:bCs w:val="0"/>
          <w:color w:val="auto"/>
          <w:sz w:val="24"/>
          <w:szCs w:val="24"/>
          <w:u w:val="none"/>
          <w:lang w:val="en-US" w:eastAsia="zh-CN"/>
        </w:rPr>
        <w:t>龚吴辉</w:t>
      </w:r>
    </w:p>
    <w:p w14:paraId="1A430564">
      <w:pPr>
        <w:spacing w:line="360" w:lineRule="auto"/>
        <w:ind w:left="0" w:leftChars="0" w:firstLine="480" w:firstLineChars="200"/>
        <w:rPr>
          <w:rFonts w:hint="default" w:ascii="黑体" w:hAnsi="黑体" w:eastAsia="黑体" w:cs="黑体"/>
          <w:b w:val="0"/>
          <w:bCs w:val="0"/>
          <w:color w:val="auto"/>
          <w:sz w:val="24"/>
          <w:szCs w:val="24"/>
          <w:u w:val="none"/>
          <w:lang w:val="en-US" w:eastAsia="zh-CN"/>
        </w:rPr>
      </w:pPr>
      <w:r>
        <w:rPr>
          <w:rFonts w:hint="eastAsia" w:ascii="黑体" w:hAnsi="黑体" w:eastAsia="黑体" w:cs="黑体"/>
          <w:b w:val="0"/>
          <w:bCs w:val="0"/>
          <w:color w:val="auto"/>
          <w:sz w:val="24"/>
          <w:szCs w:val="24"/>
          <w:u w:val="none"/>
        </w:rPr>
        <w:t>联系方式：</w:t>
      </w:r>
      <w:bookmarkStart w:id="19" w:name="_Toc28359009"/>
      <w:bookmarkStart w:id="20" w:name="_Toc28359086"/>
      <w:r>
        <w:rPr>
          <w:rFonts w:hint="eastAsia" w:ascii="黑体" w:hAnsi="黑体" w:eastAsia="黑体" w:cs="黑体"/>
          <w:b w:val="0"/>
          <w:bCs w:val="0"/>
          <w:color w:val="auto"/>
          <w:sz w:val="24"/>
          <w:szCs w:val="24"/>
          <w:u w:val="none"/>
          <w:lang w:val="en-US" w:eastAsia="zh-CN"/>
        </w:rPr>
        <w:t>1811931268</w:t>
      </w:r>
    </w:p>
    <w:p w14:paraId="5BF27160">
      <w:pPr>
        <w:spacing w:line="360" w:lineRule="auto"/>
        <w:ind w:left="0" w:leftChars="0" w:firstLine="480" w:firstLineChars="200"/>
        <w:jc w:val="left"/>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rPr>
        <w:t>2.采购代理机构信息</w:t>
      </w:r>
      <w:bookmarkEnd w:id="19"/>
      <w:bookmarkEnd w:id="20"/>
    </w:p>
    <w:p w14:paraId="5789BD14">
      <w:pPr>
        <w:spacing w:line="360" w:lineRule="auto"/>
        <w:ind w:left="0" w:leftChars="0" w:firstLine="480" w:firstLineChars="200"/>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rPr>
        <w:t>名称：智博国际工程咨询有限公司</w:t>
      </w:r>
    </w:p>
    <w:p w14:paraId="164FE09D">
      <w:pPr>
        <w:spacing w:line="360" w:lineRule="auto"/>
        <w:ind w:left="0" w:leftChars="0" w:firstLine="480" w:firstLineChars="200"/>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rPr>
        <w:t>地址：喀什市东湖街道多来提巴格社区青年南路192号</w:t>
      </w:r>
    </w:p>
    <w:p w14:paraId="34C0CD6B">
      <w:pPr>
        <w:spacing w:line="360" w:lineRule="auto"/>
        <w:ind w:left="0" w:leftChars="0" w:firstLine="480" w:firstLineChars="200"/>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rPr>
        <w:t>联系方式：</w:t>
      </w:r>
      <w:bookmarkStart w:id="21" w:name="_Toc28359087"/>
      <w:bookmarkStart w:id="22" w:name="_Toc28359010"/>
      <w:r>
        <w:rPr>
          <w:rFonts w:hint="eastAsia" w:ascii="黑体" w:hAnsi="黑体" w:eastAsia="黑体" w:cs="黑体"/>
          <w:b w:val="0"/>
          <w:bCs w:val="0"/>
          <w:color w:val="auto"/>
          <w:sz w:val="24"/>
          <w:szCs w:val="24"/>
          <w:u w:val="none"/>
        </w:rPr>
        <w:t>18197668299</w:t>
      </w:r>
    </w:p>
    <w:p w14:paraId="43A0B88D">
      <w:pPr>
        <w:spacing w:line="360" w:lineRule="auto"/>
        <w:ind w:left="0" w:leftChars="0" w:firstLine="480" w:firstLineChars="200"/>
        <w:rPr>
          <w:rFonts w:hint="eastAsia" w:ascii="黑体" w:hAnsi="黑体" w:eastAsia="黑体" w:cs="黑体"/>
          <w:b w:val="0"/>
          <w:bCs w:val="0"/>
          <w:color w:val="auto"/>
          <w:sz w:val="24"/>
          <w:szCs w:val="24"/>
          <w:u w:val="none"/>
        </w:rPr>
      </w:pPr>
      <w:r>
        <w:rPr>
          <w:rFonts w:hint="eastAsia" w:ascii="黑体" w:hAnsi="黑体" w:eastAsia="黑体" w:cs="黑体"/>
          <w:b w:val="0"/>
          <w:bCs w:val="0"/>
          <w:color w:val="auto"/>
          <w:sz w:val="24"/>
          <w:szCs w:val="24"/>
          <w:u w:val="none"/>
        </w:rPr>
        <w:t>3.项目联系方式</w:t>
      </w:r>
      <w:bookmarkEnd w:id="21"/>
      <w:bookmarkEnd w:id="22"/>
    </w:p>
    <w:p w14:paraId="2E8773EF">
      <w:pPr>
        <w:pStyle w:val="9"/>
        <w:spacing w:line="360" w:lineRule="auto"/>
        <w:ind w:left="0" w:leftChars="0" w:firstLine="480" w:firstLineChars="200"/>
        <w:rPr>
          <w:rFonts w:hint="eastAsia" w:ascii="黑体" w:hAnsi="黑体" w:eastAsia="黑体" w:cs="黑体"/>
          <w:b w:val="0"/>
          <w:bCs w:val="0"/>
          <w:color w:val="auto"/>
          <w:sz w:val="24"/>
          <w:szCs w:val="24"/>
          <w:u w:val="none"/>
          <w:lang w:eastAsia="zh-CN"/>
        </w:rPr>
      </w:pPr>
      <w:r>
        <w:rPr>
          <w:rFonts w:hint="eastAsia" w:ascii="黑体" w:hAnsi="黑体" w:eastAsia="黑体" w:cs="黑体"/>
          <w:b w:val="0"/>
          <w:bCs w:val="0"/>
          <w:color w:val="auto"/>
          <w:sz w:val="24"/>
          <w:szCs w:val="24"/>
          <w:u w:val="none"/>
        </w:rPr>
        <w:t>项目联系人：</w:t>
      </w:r>
      <w:r>
        <w:rPr>
          <w:rFonts w:hint="eastAsia" w:ascii="黑体" w:hAnsi="黑体" w:eastAsia="黑体" w:cs="黑体"/>
          <w:b w:val="0"/>
          <w:bCs w:val="0"/>
          <w:color w:val="auto"/>
          <w:sz w:val="24"/>
          <w:szCs w:val="24"/>
          <w:u w:val="none"/>
          <w:lang w:eastAsia="zh-CN"/>
        </w:rPr>
        <w:t>龙怀军</w:t>
      </w:r>
    </w:p>
    <w:p w14:paraId="6A6E1D4E">
      <w:pPr>
        <w:spacing w:line="360" w:lineRule="auto"/>
        <w:ind w:left="0" w:leftChars="0" w:firstLine="480" w:firstLineChars="200"/>
        <w:rPr>
          <w:rFonts w:hint="eastAsia" w:ascii="黑体" w:hAnsi="黑体" w:eastAsia="黑体" w:cs="黑体"/>
          <w:color w:val="auto"/>
          <w:u w:val="none"/>
        </w:rPr>
      </w:pPr>
      <w:r>
        <w:rPr>
          <w:rFonts w:hint="eastAsia" w:ascii="黑体" w:hAnsi="黑体" w:eastAsia="黑体" w:cs="黑体"/>
          <w:color w:val="auto"/>
          <w:sz w:val="24"/>
          <w:u w:val="none"/>
        </w:rPr>
        <w:t>电话：18197668299</w:t>
      </w:r>
    </w:p>
    <w:p w14:paraId="1CE16B6B">
      <w:pPr>
        <w:pageBreakBefore w:val="0"/>
        <w:kinsoku w:val="0"/>
        <w:wordWrap w:val="0"/>
        <w:overflowPunct/>
        <w:topLinePunct w:val="0"/>
        <w:autoSpaceDE/>
        <w:autoSpaceDN/>
        <w:bidi w:val="0"/>
        <w:spacing w:line="360" w:lineRule="auto"/>
        <w:ind w:firstLine="420" w:firstLineChars="200"/>
        <w:rPr>
          <w:rFonts w:hint="eastAsia" w:ascii="黑体" w:hAnsi="黑体" w:eastAsia="黑体" w:cs="黑体"/>
          <w:color w:val="auto"/>
          <w:u w:val="none"/>
        </w:rPr>
      </w:pPr>
    </w:p>
    <w:p w14:paraId="1A2E5CA9">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b/>
          <w:bCs/>
          <w:color w:val="auto"/>
          <w:spacing w:val="4"/>
          <w:sz w:val="28"/>
          <w:szCs w:val="28"/>
        </w:rPr>
      </w:pPr>
    </w:p>
    <w:p w14:paraId="391AEB97">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b/>
          <w:bCs/>
          <w:color w:val="auto"/>
          <w:spacing w:val="4"/>
          <w:sz w:val="28"/>
          <w:szCs w:val="28"/>
        </w:rPr>
      </w:pPr>
    </w:p>
    <w:p w14:paraId="3FB9BF52">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b/>
          <w:bCs/>
          <w:color w:val="auto"/>
          <w:spacing w:val="4"/>
          <w:sz w:val="28"/>
          <w:szCs w:val="28"/>
        </w:rPr>
      </w:pPr>
    </w:p>
    <w:p w14:paraId="3B578F5A">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b/>
          <w:bCs/>
          <w:color w:val="auto"/>
          <w:spacing w:val="4"/>
          <w:sz w:val="28"/>
          <w:szCs w:val="28"/>
        </w:rPr>
      </w:pPr>
    </w:p>
    <w:p w14:paraId="09EACD37">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b/>
          <w:bCs/>
          <w:color w:val="auto"/>
          <w:spacing w:val="4"/>
          <w:sz w:val="28"/>
          <w:szCs w:val="28"/>
        </w:rPr>
      </w:pPr>
    </w:p>
    <w:p w14:paraId="4D1135BA">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b/>
          <w:bCs/>
          <w:color w:val="auto"/>
          <w:spacing w:val="4"/>
          <w:sz w:val="28"/>
          <w:szCs w:val="28"/>
        </w:rPr>
      </w:pPr>
    </w:p>
    <w:p w14:paraId="7F310DDA">
      <w:pPr>
        <w:rPr>
          <w:rFonts w:hint="eastAsia" w:ascii="黑体" w:hAnsi="黑体" w:eastAsia="黑体" w:cs="黑体"/>
          <w:b/>
          <w:bCs/>
          <w:color w:val="auto"/>
          <w:spacing w:val="4"/>
          <w:sz w:val="28"/>
          <w:szCs w:val="28"/>
        </w:rPr>
      </w:pPr>
      <w:r>
        <w:rPr>
          <w:rFonts w:hint="eastAsia" w:ascii="黑体" w:hAnsi="黑体" w:eastAsia="黑体" w:cs="黑体"/>
          <w:b/>
          <w:bCs/>
          <w:color w:val="auto"/>
          <w:spacing w:val="4"/>
          <w:sz w:val="28"/>
          <w:szCs w:val="28"/>
        </w:rPr>
        <w:br w:type="page"/>
      </w:r>
    </w:p>
    <w:p w14:paraId="72808FFD">
      <w:pPr>
        <w:pStyle w:val="7"/>
        <w:pageBreakBefore w:val="0"/>
        <w:kinsoku w:val="0"/>
        <w:wordWrap w:val="0"/>
        <w:overflowPunct/>
        <w:topLinePunct w:val="0"/>
        <w:autoSpaceDE/>
        <w:autoSpaceDN/>
        <w:bidi w:val="0"/>
        <w:spacing w:before="64" w:line="226" w:lineRule="auto"/>
        <w:jc w:val="center"/>
        <w:outlineLvl w:val="0"/>
        <w:rPr>
          <w:rFonts w:hint="eastAsia" w:ascii="黑体" w:hAnsi="黑体" w:eastAsia="黑体" w:cs="黑体"/>
          <w:color w:val="auto"/>
          <w:sz w:val="28"/>
          <w:szCs w:val="28"/>
        </w:rPr>
      </w:pPr>
      <w:r>
        <w:rPr>
          <w:rFonts w:hint="eastAsia" w:ascii="黑体" w:hAnsi="黑体" w:eastAsia="黑体" w:cs="黑体"/>
          <w:b/>
          <w:bCs/>
          <w:color w:val="auto"/>
          <w:spacing w:val="4"/>
          <w:sz w:val="28"/>
          <w:szCs w:val="28"/>
        </w:rPr>
        <w:t>第四章供应商须知资料表</w:t>
      </w:r>
      <w:bookmarkEnd w:id="14"/>
    </w:p>
    <w:p w14:paraId="27D1F2D3">
      <w:pPr>
        <w:pStyle w:val="7"/>
        <w:pageBreakBefore w:val="0"/>
        <w:kinsoku w:val="0"/>
        <w:wordWrap w:val="0"/>
        <w:overflowPunct/>
        <w:topLinePunct w:val="0"/>
        <w:autoSpaceDE/>
        <w:autoSpaceDN/>
        <w:bidi w:val="0"/>
        <w:spacing w:before="244" w:line="360" w:lineRule="auto"/>
        <w:ind w:left="0" w:leftChars="0" w:firstLine="419" w:firstLineChars="181"/>
        <w:rPr>
          <w:rFonts w:hint="eastAsia" w:ascii="黑体" w:hAnsi="黑体" w:eastAsia="黑体" w:cs="黑体"/>
          <w:color w:val="auto"/>
          <w:sz w:val="24"/>
          <w:szCs w:val="24"/>
        </w:rPr>
      </w:pPr>
      <w:r>
        <w:rPr>
          <w:rFonts w:hint="eastAsia" w:ascii="黑体" w:hAnsi="黑体" w:eastAsia="黑体" w:cs="黑体"/>
          <w:color w:val="auto"/>
          <w:spacing w:val="-4"/>
          <w:sz w:val="24"/>
          <w:szCs w:val="24"/>
        </w:rPr>
        <w:t>本表是本招标项目的具体资料，是对供应商须知的具体补充和修改，如有矛盾</w:t>
      </w:r>
      <w:r>
        <w:rPr>
          <w:rFonts w:hint="eastAsia" w:ascii="黑体" w:hAnsi="黑体" w:eastAsia="黑体" w:cs="黑体"/>
          <w:color w:val="auto"/>
          <w:spacing w:val="-4"/>
          <w:sz w:val="24"/>
          <w:szCs w:val="24"/>
          <w:lang w:eastAsia="zh-CN"/>
        </w:rPr>
        <w:t>，</w:t>
      </w:r>
      <w:r>
        <w:rPr>
          <w:rFonts w:hint="eastAsia" w:ascii="黑体" w:hAnsi="黑体" w:eastAsia="黑体" w:cs="黑体"/>
          <w:color w:val="auto"/>
          <w:spacing w:val="-4"/>
          <w:sz w:val="24"/>
          <w:szCs w:val="24"/>
        </w:rPr>
        <w:t>应以本资料表为准。</w:t>
      </w:r>
    </w:p>
    <w:tbl>
      <w:tblPr>
        <w:tblStyle w:val="22"/>
        <w:tblW w:w="857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7631"/>
      </w:tblGrid>
      <w:tr w14:paraId="6688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47" w:type="dxa"/>
            <w:tcBorders>
              <w:top w:val="single" w:color="000000" w:sz="8" w:space="0"/>
              <w:left w:val="single" w:color="000000" w:sz="8" w:space="0"/>
            </w:tcBorders>
            <w:vAlign w:val="top"/>
          </w:tcPr>
          <w:p w14:paraId="4493BE10">
            <w:pPr>
              <w:pStyle w:val="23"/>
              <w:pageBreakBefore w:val="0"/>
              <w:kinsoku w:val="0"/>
              <w:wordWrap w:val="0"/>
              <w:overflowPunct/>
              <w:topLinePunct w:val="0"/>
              <w:autoSpaceDE/>
              <w:autoSpaceDN/>
              <w:bidi w:val="0"/>
              <w:spacing w:before="130" w:line="223" w:lineRule="auto"/>
              <w:ind w:left="59"/>
              <w:rPr>
                <w:rFonts w:hint="eastAsia" w:ascii="黑体" w:hAnsi="黑体" w:eastAsia="黑体" w:cs="黑体"/>
                <w:color w:val="auto"/>
              </w:rPr>
            </w:pPr>
            <w:r>
              <w:rPr>
                <w:rFonts w:hint="eastAsia" w:ascii="黑体" w:hAnsi="黑体" w:eastAsia="黑体" w:cs="黑体"/>
                <w:color w:val="auto"/>
                <w:spacing w:val="-9"/>
              </w:rPr>
              <w:t>条款号</w:t>
            </w:r>
          </w:p>
        </w:tc>
        <w:tc>
          <w:tcPr>
            <w:tcW w:w="7631" w:type="dxa"/>
            <w:tcBorders>
              <w:top w:val="single" w:color="000000" w:sz="8" w:space="0"/>
              <w:right w:val="single" w:color="000000" w:sz="8" w:space="0"/>
            </w:tcBorders>
            <w:vAlign w:val="top"/>
          </w:tcPr>
          <w:p w14:paraId="61838F8B">
            <w:pPr>
              <w:pStyle w:val="23"/>
              <w:pageBreakBefore w:val="0"/>
              <w:kinsoku w:val="0"/>
              <w:wordWrap w:val="0"/>
              <w:overflowPunct/>
              <w:topLinePunct w:val="0"/>
              <w:autoSpaceDE/>
              <w:autoSpaceDN/>
              <w:bidi w:val="0"/>
              <w:spacing w:before="130" w:line="222" w:lineRule="auto"/>
              <w:jc w:val="center"/>
              <w:rPr>
                <w:rFonts w:hint="eastAsia" w:ascii="黑体" w:hAnsi="黑体" w:eastAsia="黑体" w:cs="黑体"/>
                <w:color w:val="auto"/>
              </w:rPr>
            </w:pPr>
            <w:r>
              <w:rPr>
                <w:rFonts w:hint="eastAsia" w:ascii="黑体" w:hAnsi="黑体" w:eastAsia="黑体" w:cs="黑体"/>
                <w:color w:val="auto"/>
                <w:spacing w:val="-23"/>
              </w:rPr>
              <w:t>内容</w:t>
            </w:r>
          </w:p>
        </w:tc>
      </w:tr>
      <w:tr w14:paraId="55409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47" w:type="dxa"/>
            <w:tcBorders>
              <w:left w:val="single" w:color="000000" w:sz="8" w:space="0"/>
            </w:tcBorders>
            <w:vAlign w:val="top"/>
          </w:tcPr>
          <w:p w14:paraId="7AA94B73">
            <w:pPr>
              <w:pageBreakBefore w:val="0"/>
              <w:kinsoku w:val="0"/>
              <w:wordWrap w:val="0"/>
              <w:overflowPunct/>
              <w:topLinePunct w:val="0"/>
              <w:autoSpaceDE/>
              <w:autoSpaceDN/>
              <w:bidi w:val="0"/>
              <w:spacing w:line="275" w:lineRule="auto"/>
              <w:rPr>
                <w:rFonts w:hint="eastAsia" w:ascii="黑体" w:hAnsi="黑体" w:eastAsia="黑体" w:cs="黑体"/>
                <w:color w:val="auto"/>
                <w:sz w:val="21"/>
              </w:rPr>
            </w:pPr>
          </w:p>
          <w:p w14:paraId="16CB3E43">
            <w:pPr>
              <w:pageBreakBefore w:val="0"/>
              <w:kinsoku w:val="0"/>
              <w:wordWrap w:val="0"/>
              <w:overflowPunct/>
              <w:topLinePunct w:val="0"/>
              <w:autoSpaceDE/>
              <w:autoSpaceDN/>
              <w:bidi w:val="0"/>
              <w:spacing w:line="276" w:lineRule="auto"/>
              <w:rPr>
                <w:rFonts w:hint="eastAsia" w:ascii="黑体" w:hAnsi="黑体" w:eastAsia="黑体" w:cs="黑体"/>
                <w:color w:val="auto"/>
                <w:sz w:val="21"/>
              </w:rPr>
            </w:pPr>
          </w:p>
          <w:p w14:paraId="5ED75300">
            <w:pPr>
              <w:pStyle w:val="23"/>
              <w:pageBreakBefore w:val="0"/>
              <w:kinsoku w:val="0"/>
              <w:wordWrap w:val="0"/>
              <w:overflowPunct/>
              <w:topLinePunct w:val="0"/>
              <w:autoSpaceDE/>
              <w:autoSpaceDN/>
              <w:bidi w:val="0"/>
              <w:spacing w:before="78" w:line="181" w:lineRule="auto"/>
              <w:ind w:left="313"/>
              <w:rPr>
                <w:rFonts w:hint="eastAsia" w:ascii="黑体" w:hAnsi="黑体" w:eastAsia="黑体" w:cs="黑体"/>
                <w:color w:val="auto"/>
              </w:rPr>
            </w:pPr>
            <w:r>
              <w:rPr>
                <w:rFonts w:hint="eastAsia" w:ascii="黑体" w:hAnsi="黑体" w:eastAsia="黑体" w:cs="黑体"/>
                <w:color w:val="auto"/>
                <w:spacing w:val="-11"/>
              </w:rPr>
              <w:t>1.1</w:t>
            </w:r>
          </w:p>
        </w:tc>
        <w:tc>
          <w:tcPr>
            <w:tcW w:w="7631" w:type="dxa"/>
            <w:tcBorders>
              <w:right w:val="single" w:color="000000" w:sz="8" w:space="0"/>
            </w:tcBorders>
            <w:vAlign w:val="top"/>
          </w:tcPr>
          <w:p w14:paraId="225129AE">
            <w:pPr>
              <w:pStyle w:val="23"/>
              <w:pageBreakBefore w:val="0"/>
              <w:kinsoku w:val="0"/>
              <w:wordWrap w:val="0"/>
              <w:overflowPunct/>
              <w:topLinePunct w:val="0"/>
              <w:autoSpaceDE/>
              <w:autoSpaceDN/>
              <w:bidi w:val="0"/>
              <w:spacing w:before="49" w:line="221" w:lineRule="auto"/>
              <w:ind w:left="45"/>
              <w:rPr>
                <w:rFonts w:hint="eastAsia" w:ascii="黑体" w:hAnsi="黑体" w:eastAsia="黑体" w:cs="黑体"/>
                <w:color w:val="auto"/>
                <w:lang w:eastAsia="zh-CN"/>
              </w:rPr>
            </w:pPr>
            <w:r>
              <w:rPr>
                <w:rFonts w:hint="eastAsia" w:ascii="黑体" w:hAnsi="黑体" w:eastAsia="黑体" w:cs="黑体"/>
                <w:color w:val="auto"/>
                <w:spacing w:val="-2"/>
              </w:rPr>
              <w:t>采购人：</w:t>
            </w:r>
            <w:r>
              <w:rPr>
                <w:rFonts w:hint="eastAsia" w:ascii="黑体" w:hAnsi="黑体" w:eastAsia="黑体" w:cs="黑体"/>
                <w:color w:val="auto"/>
                <w:spacing w:val="-2"/>
                <w:lang w:eastAsia="zh-CN"/>
              </w:rPr>
              <w:t>巴楚县商务和工业信息化局</w:t>
            </w:r>
          </w:p>
          <w:p w14:paraId="28E5A419">
            <w:pPr>
              <w:pStyle w:val="23"/>
              <w:pageBreakBefore w:val="0"/>
              <w:kinsoku w:val="0"/>
              <w:wordWrap w:val="0"/>
              <w:overflowPunct/>
              <w:topLinePunct w:val="0"/>
              <w:autoSpaceDE/>
              <w:autoSpaceDN/>
              <w:bidi w:val="0"/>
              <w:spacing w:before="176" w:line="224" w:lineRule="auto"/>
              <w:ind w:left="35"/>
              <w:rPr>
                <w:rFonts w:hint="eastAsia" w:ascii="黑体" w:hAnsi="黑体" w:eastAsia="黑体" w:cs="黑体"/>
                <w:color w:val="auto"/>
                <w:lang w:eastAsia="zh-CN"/>
              </w:rPr>
            </w:pPr>
            <w:r>
              <w:rPr>
                <w:rFonts w:hint="eastAsia" w:ascii="黑体" w:hAnsi="黑体" w:eastAsia="黑体" w:cs="黑体"/>
                <w:color w:val="auto"/>
                <w:spacing w:val="-12"/>
              </w:rPr>
              <w:t>联系人：</w:t>
            </w:r>
            <w:r>
              <w:rPr>
                <w:rFonts w:hint="eastAsia" w:ascii="黑体" w:hAnsi="黑体" w:eastAsia="黑体" w:cs="黑体"/>
                <w:color w:val="auto"/>
                <w:spacing w:val="-12"/>
                <w:lang w:eastAsia="zh-CN"/>
              </w:rPr>
              <w:t>龚吴辉</w:t>
            </w:r>
          </w:p>
          <w:p w14:paraId="76CCB295">
            <w:pPr>
              <w:pStyle w:val="23"/>
              <w:pageBreakBefore w:val="0"/>
              <w:kinsoku w:val="0"/>
              <w:wordWrap w:val="0"/>
              <w:overflowPunct/>
              <w:topLinePunct w:val="0"/>
              <w:autoSpaceDE/>
              <w:autoSpaceDN/>
              <w:bidi w:val="0"/>
              <w:spacing w:before="176" w:line="223" w:lineRule="auto"/>
              <w:ind w:left="35"/>
              <w:rPr>
                <w:rFonts w:hint="eastAsia" w:ascii="黑体" w:hAnsi="黑体" w:eastAsia="黑体" w:cs="黑体"/>
                <w:color w:val="auto"/>
                <w:lang w:eastAsia="zh-CN"/>
              </w:rPr>
            </w:pPr>
            <w:r>
              <w:rPr>
                <w:rFonts w:hint="eastAsia" w:ascii="黑体" w:hAnsi="黑体" w:eastAsia="黑体" w:cs="黑体"/>
                <w:color w:val="auto"/>
                <w:spacing w:val="-2"/>
              </w:rPr>
              <w:t>联系方式：</w:t>
            </w:r>
            <w:r>
              <w:rPr>
                <w:rFonts w:hint="eastAsia" w:ascii="黑体" w:hAnsi="黑体" w:eastAsia="黑体" w:cs="黑体"/>
                <w:color w:val="auto"/>
                <w:spacing w:val="-2"/>
                <w:lang w:eastAsia="zh-CN"/>
              </w:rPr>
              <w:t>1811931268</w:t>
            </w:r>
          </w:p>
        </w:tc>
      </w:tr>
      <w:tr w14:paraId="00EC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47" w:type="dxa"/>
            <w:tcBorders>
              <w:left w:val="single" w:color="000000" w:sz="8" w:space="0"/>
            </w:tcBorders>
            <w:vAlign w:val="top"/>
          </w:tcPr>
          <w:p w14:paraId="06305C1A">
            <w:pPr>
              <w:pageBreakBefore w:val="0"/>
              <w:kinsoku w:val="0"/>
              <w:wordWrap w:val="0"/>
              <w:overflowPunct/>
              <w:topLinePunct w:val="0"/>
              <w:autoSpaceDE/>
              <w:autoSpaceDN/>
              <w:bidi w:val="0"/>
              <w:spacing w:line="262" w:lineRule="auto"/>
              <w:rPr>
                <w:rFonts w:hint="eastAsia" w:ascii="黑体" w:hAnsi="黑体" w:eastAsia="黑体" w:cs="黑体"/>
                <w:color w:val="auto"/>
                <w:sz w:val="21"/>
              </w:rPr>
            </w:pPr>
          </w:p>
          <w:p w14:paraId="3B1872A6">
            <w:pPr>
              <w:pageBreakBefore w:val="0"/>
              <w:kinsoku w:val="0"/>
              <w:wordWrap w:val="0"/>
              <w:overflowPunct/>
              <w:topLinePunct w:val="0"/>
              <w:autoSpaceDE/>
              <w:autoSpaceDN/>
              <w:bidi w:val="0"/>
              <w:spacing w:line="262" w:lineRule="auto"/>
              <w:rPr>
                <w:rFonts w:hint="eastAsia" w:ascii="黑体" w:hAnsi="黑体" w:eastAsia="黑体" w:cs="黑体"/>
                <w:color w:val="auto"/>
                <w:sz w:val="21"/>
              </w:rPr>
            </w:pPr>
          </w:p>
          <w:p w14:paraId="4633AB75">
            <w:pPr>
              <w:pageBreakBefore w:val="0"/>
              <w:kinsoku w:val="0"/>
              <w:wordWrap w:val="0"/>
              <w:overflowPunct/>
              <w:topLinePunct w:val="0"/>
              <w:autoSpaceDE/>
              <w:autoSpaceDN/>
              <w:bidi w:val="0"/>
              <w:spacing w:line="263" w:lineRule="auto"/>
              <w:rPr>
                <w:rFonts w:hint="eastAsia" w:ascii="黑体" w:hAnsi="黑体" w:eastAsia="黑体" w:cs="黑体"/>
                <w:color w:val="auto"/>
                <w:sz w:val="21"/>
              </w:rPr>
            </w:pPr>
          </w:p>
          <w:p w14:paraId="4673AC97">
            <w:pPr>
              <w:pStyle w:val="23"/>
              <w:pageBreakBefore w:val="0"/>
              <w:kinsoku w:val="0"/>
              <w:wordWrap w:val="0"/>
              <w:overflowPunct/>
              <w:topLinePunct w:val="0"/>
              <w:autoSpaceDE/>
              <w:autoSpaceDN/>
              <w:bidi w:val="0"/>
              <w:spacing w:before="78" w:line="181" w:lineRule="auto"/>
              <w:ind w:left="313"/>
              <w:rPr>
                <w:rFonts w:hint="eastAsia" w:ascii="黑体" w:hAnsi="黑体" w:eastAsia="黑体" w:cs="黑体"/>
                <w:color w:val="auto"/>
              </w:rPr>
            </w:pPr>
            <w:r>
              <w:rPr>
                <w:rFonts w:hint="eastAsia" w:ascii="黑体" w:hAnsi="黑体" w:eastAsia="黑体" w:cs="黑体"/>
                <w:color w:val="auto"/>
                <w:spacing w:val="-11"/>
              </w:rPr>
              <w:t>1.2</w:t>
            </w:r>
          </w:p>
        </w:tc>
        <w:tc>
          <w:tcPr>
            <w:tcW w:w="7631" w:type="dxa"/>
            <w:tcBorders>
              <w:right w:val="single" w:color="000000" w:sz="8" w:space="0"/>
            </w:tcBorders>
            <w:vAlign w:val="top"/>
          </w:tcPr>
          <w:p w14:paraId="1E08BDE8">
            <w:pPr>
              <w:pStyle w:val="23"/>
              <w:pageBreakBefore w:val="0"/>
              <w:kinsoku w:val="0"/>
              <w:wordWrap w:val="0"/>
              <w:overflowPunct/>
              <w:topLinePunct w:val="0"/>
              <w:autoSpaceDE/>
              <w:autoSpaceDN/>
              <w:bidi w:val="0"/>
              <w:spacing w:before="178" w:line="221" w:lineRule="auto"/>
              <w:ind w:left="41"/>
              <w:rPr>
                <w:rFonts w:hint="eastAsia" w:ascii="黑体" w:hAnsi="黑体" w:eastAsia="黑体" w:cs="黑体"/>
                <w:color w:val="auto"/>
                <w:spacing w:val="-5"/>
                <w:lang w:eastAsia="zh-CN"/>
              </w:rPr>
            </w:pPr>
            <w:r>
              <w:rPr>
                <w:rFonts w:hint="eastAsia" w:ascii="黑体" w:hAnsi="黑体" w:eastAsia="黑体" w:cs="黑体"/>
                <w:color w:val="auto"/>
                <w:spacing w:val="-5"/>
                <w:lang w:eastAsia="zh-CN"/>
              </w:rPr>
              <w:t>采购代理机构：智博国际工程咨询有限公司</w:t>
            </w:r>
          </w:p>
          <w:p w14:paraId="24022F3C">
            <w:pPr>
              <w:pStyle w:val="23"/>
              <w:pageBreakBefore w:val="0"/>
              <w:kinsoku w:val="0"/>
              <w:wordWrap w:val="0"/>
              <w:overflowPunct/>
              <w:topLinePunct w:val="0"/>
              <w:autoSpaceDE/>
              <w:autoSpaceDN/>
              <w:bidi w:val="0"/>
              <w:spacing w:before="178" w:line="221" w:lineRule="auto"/>
              <w:ind w:left="41"/>
              <w:rPr>
                <w:rFonts w:hint="eastAsia" w:ascii="黑体" w:hAnsi="黑体" w:eastAsia="黑体" w:cs="黑体"/>
                <w:color w:val="auto"/>
                <w:spacing w:val="-5"/>
                <w:lang w:eastAsia="zh-CN"/>
              </w:rPr>
            </w:pPr>
            <w:r>
              <w:rPr>
                <w:rFonts w:hint="eastAsia" w:ascii="黑体" w:hAnsi="黑体" w:eastAsia="黑体" w:cs="黑体"/>
                <w:color w:val="auto"/>
                <w:spacing w:val="-5"/>
                <w:lang w:eastAsia="zh-CN"/>
              </w:rPr>
              <w:t>地址：喀什市东湖街道多来提巴格社区青年南路192号</w:t>
            </w:r>
          </w:p>
          <w:p w14:paraId="137DC458">
            <w:pPr>
              <w:pStyle w:val="23"/>
              <w:pageBreakBefore w:val="0"/>
              <w:kinsoku w:val="0"/>
              <w:wordWrap w:val="0"/>
              <w:overflowPunct/>
              <w:topLinePunct w:val="0"/>
              <w:autoSpaceDE/>
              <w:autoSpaceDN/>
              <w:bidi w:val="0"/>
              <w:spacing w:before="178" w:line="221" w:lineRule="auto"/>
              <w:ind w:left="41"/>
              <w:rPr>
                <w:rFonts w:hint="eastAsia" w:ascii="黑体" w:hAnsi="黑体" w:eastAsia="黑体" w:cs="黑体"/>
                <w:color w:val="auto"/>
                <w:spacing w:val="-5"/>
                <w:lang w:eastAsia="zh-CN"/>
              </w:rPr>
            </w:pPr>
            <w:r>
              <w:rPr>
                <w:rFonts w:hint="eastAsia" w:ascii="黑体" w:hAnsi="黑体" w:eastAsia="黑体" w:cs="黑体"/>
                <w:color w:val="auto"/>
                <w:spacing w:val="-5"/>
                <w:lang w:eastAsia="zh-CN"/>
              </w:rPr>
              <w:t>项目联系人：龙怀军</w:t>
            </w:r>
          </w:p>
          <w:p w14:paraId="1BE9A5B1">
            <w:pPr>
              <w:pStyle w:val="23"/>
              <w:pageBreakBefore w:val="0"/>
              <w:kinsoku w:val="0"/>
              <w:wordWrap w:val="0"/>
              <w:overflowPunct/>
              <w:topLinePunct w:val="0"/>
              <w:autoSpaceDE/>
              <w:autoSpaceDN/>
              <w:bidi w:val="0"/>
              <w:spacing w:before="178" w:line="221" w:lineRule="auto"/>
              <w:ind w:left="41"/>
              <w:rPr>
                <w:rFonts w:hint="eastAsia" w:ascii="黑体" w:hAnsi="黑体" w:eastAsia="黑体" w:cs="黑体"/>
                <w:color w:val="auto"/>
                <w:spacing w:val="-5"/>
                <w:lang w:eastAsia="zh-CN"/>
              </w:rPr>
            </w:pPr>
            <w:r>
              <w:rPr>
                <w:rFonts w:hint="eastAsia" w:ascii="黑体" w:hAnsi="黑体" w:eastAsia="黑体" w:cs="黑体"/>
                <w:color w:val="auto"/>
                <w:spacing w:val="-5"/>
                <w:lang w:eastAsia="zh-CN"/>
              </w:rPr>
              <w:t>项目联系方式：18197668299</w:t>
            </w:r>
          </w:p>
        </w:tc>
      </w:tr>
      <w:tr w14:paraId="53DA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47" w:type="dxa"/>
            <w:tcBorders>
              <w:left w:val="single" w:color="000000" w:sz="8" w:space="0"/>
              <w:bottom w:val="single" w:color="000000" w:sz="8" w:space="0"/>
            </w:tcBorders>
            <w:vAlign w:val="top"/>
          </w:tcPr>
          <w:p w14:paraId="7C90C097">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54067E0C">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62C2F7F5">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5A2ADE62">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074397D7">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79B89852">
            <w:pPr>
              <w:pageBreakBefore w:val="0"/>
              <w:kinsoku w:val="0"/>
              <w:wordWrap w:val="0"/>
              <w:overflowPunct/>
              <w:topLinePunct w:val="0"/>
              <w:autoSpaceDE/>
              <w:autoSpaceDN/>
              <w:bidi w:val="0"/>
              <w:spacing w:line="252" w:lineRule="auto"/>
              <w:rPr>
                <w:rFonts w:hint="eastAsia" w:ascii="黑体" w:hAnsi="黑体" w:eastAsia="黑体" w:cs="黑体"/>
                <w:color w:val="auto"/>
                <w:sz w:val="21"/>
              </w:rPr>
            </w:pPr>
          </w:p>
          <w:p w14:paraId="3389FDCE">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39D703ED">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4F9EEE05">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00520B48">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7EB468EC">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7344C81B">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0B1291D4">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48078589">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26C4155D">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5C37A824">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272857A0">
            <w:pPr>
              <w:pStyle w:val="23"/>
              <w:pageBreakBefore w:val="0"/>
              <w:kinsoku w:val="0"/>
              <w:wordWrap w:val="0"/>
              <w:overflowPunct/>
              <w:topLinePunct w:val="0"/>
              <w:autoSpaceDE/>
              <w:autoSpaceDN/>
              <w:bidi w:val="0"/>
              <w:spacing w:before="78" w:line="181" w:lineRule="auto"/>
              <w:ind w:firstLine="222" w:firstLineChars="100"/>
              <w:jc w:val="both"/>
              <w:rPr>
                <w:rFonts w:hint="eastAsia" w:ascii="黑体" w:hAnsi="黑体" w:eastAsia="黑体" w:cs="黑体"/>
                <w:color w:val="auto"/>
              </w:rPr>
            </w:pPr>
            <w:r>
              <w:rPr>
                <w:rFonts w:hint="eastAsia" w:ascii="黑体" w:hAnsi="黑体" w:eastAsia="黑体" w:cs="黑体"/>
                <w:color w:val="auto"/>
                <w:spacing w:val="-9"/>
              </w:rPr>
              <w:t>1.3.1</w:t>
            </w:r>
          </w:p>
        </w:tc>
        <w:tc>
          <w:tcPr>
            <w:tcW w:w="7631" w:type="dxa"/>
            <w:tcBorders>
              <w:bottom w:val="single" w:color="000000" w:sz="8" w:space="0"/>
              <w:right w:val="single" w:color="000000" w:sz="8" w:space="0"/>
            </w:tcBorders>
            <w:vAlign w:val="top"/>
          </w:tcPr>
          <w:p w14:paraId="09704BFD">
            <w:pPr>
              <w:pStyle w:val="23"/>
              <w:pageBreakBefore w:val="0"/>
              <w:kinsoku w:val="0"/>
              <w:wordWrap w:val="0"/>
              <w:overflowPunct/>
              <w:topLinePunct w:val="0"/>
              <w:autoSpaceDE/>
              <w:autoSpaceDN/>
              <w:bidi w:val="0"/>
              <w:spacing w:before="178" w:line="221" w:lineRule="auto"/>
              <w:ind w:left="41"/>
              <w:rPr>
                <w:rFonts w:hint="eastAsia" w:ascii="黑体" w:hAnsi="黑体" w:eastAsia="黑体" w:cs="黑体"/>
                <w:color w:val="auto"/>
                <w:spacing w:val="-5"/>
                <w:lang w:val="en-US" w:eastAsia="zh-CN"/>
              </w:rPr>
            </w:pPr>
            <w:r>
              <w:rPr>
                <w:rFonts w:hint="eastAsia" w:ascii="黑体" w:hAnsi="黑体" w:eastAsia="黑体" w:cs="黑体"/>
                <w:color w:val="auto"/>
                <w:spacing w:val="-5"/>
                <w:lang w:val="en-US" w:eastAsia="zh-CN"/>
              </w:rPr>
              <w:t>合格供应商资格要求：供应商必须满足《中华人民共和国政府采购法》</w:t>
            </w:r>
          </w:p>
          <w:p w14:paraId="06364FCC">
            <w:pPr>
              <w:pStyle w:val="23"/>
              <w:pageBreakBefore w:val="0"/>
              <w:kinsoku w:val="0"/>
              <w:wordWrap w:val="0"/>
              <w:overflowPunct/>
              <w:topLinePunct w:val="0"/>
              <w:autoSpaceDE/>
              <w:autoSpaceDN/>
              <w:bidi w:val="0"/>
              <w:spacing w:before="178" w:line="221" w:lineRule="auto"/>
              <w:ind w:left="41"/>
              <w:rPr>
                <w:rFonts w:hint="eastAsia" w:ascii="黑体" w:hAnsi="黑体" w:eastAsia="黑体" w:cs="黑体"/>
                <w:color w:val="auto"/>
                <w:spacing w:val="-5"/>
                <w:lang w:val="en-US" w:eastAsia="zh-CN"/>
              </w:rPr>
            </w:pPr>
            <w:r>
              <w:rPr>
                <w:rFonts w:hint="eastAsia" w:ascii="黑体" w:hAnsi="黑体" w:eastAsia="黑体" w:cs="黑体"/>
                <w:color w:val="auto"/>
                <w:spacing w:val="-5"/>
                <w:lang w:val="en-US" w:eastAsia="zh-CN"/>
              </w:rPr>
              <w:t>第二十二条。</w:t>
            </w:r>
          </w:p>
          <w:p w14:paraId="4D35F304">
            <w:pPr>
              <w:pStyle w:val="23"/>
              <w:keepNext w:val="0"/>
              <w:keepLines w:val="0"/>
              <w:pageBreakBefore w:val="0"/>
              <w:widowControl/>
              <w:kinsoku w:val="0"/>
              <w:wordWrap w:val="0"/>
              <w:overflowPunct/>
              <w:topLinePunct w:val="0"/>
              <w:autoSpaceDE/>
              <w:autoSpaceDN/>
              <w:bidi w:val="0"/>
              <w:adjustRightInd w:val="0"/>
              <w:snapToGrid w:val="0"/>
              <w:spacing w:line="360" w:lineRule="auto"/>
              <w:ind w:left="41"/>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1、</w:t>
            </w:r>
            <w:r>
              <w:rPr>
                <w:rFonts w:hint="eastAsia" w:ascii="黑体" w:hAnsi="黑体" w:eastAsia="黑体" w:cs="黑体"/>
                <w:color w:val="auto"/>
                <w:spacing w:val="-5"/>
                <w:lang w:eastAsia="zh-CN"/>
              </w:rPr>
              <w:t>有效的营业执照等证明文件；</w:t>
            </w:r>
          </w:p>
          <w:p w14:paraId="0E933A80">
            <w:pPr>
              <w:pStyle w:val="23"/>
              <w:keepNext w:val="0"/>
              <w:keepLines w:val="0"/>
              <w:pageBreakBefore w:val="0"/>
              <w:widowControl/>
              <w:kinsoku w:val="0"/>
              <w:wordWrap w:val="0"/>
              <w:overflowPunct/>
              <w:topLinePunct w:val="0"/>
              <w:autoSpaceDE/>
              <w:autoSpaceDN/>
              <w:bidi w:val="0"/>
              <w:adjustRightInd w:val="0"/>
              <w:snapToGrid w:val="0"/>
              <w:spacing w:line="360" w:lineRule="auto"/>
              <w:ind w:left="41"/>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2、</w:t>
            </w:r>
            <w:r>
              <w:rPr>
                <w:rFonts w:hint="eastAsia" w:ascii="黑体" w:hAnsi="黑体" w:eastAsia="黑体" w:cs="黑体"/>
                <w:color w:val="auto"/>
                <w:spacing w:val="-5"/>
                <w:lang w:eastAsia="zh-CN"/>
              </w:rPr>
              <w:t>法定代表人身份证明或法定代表人授权委托书；</w:t>
            </w:r>
          </w:p>
          <w:p w14:paraId="7BE1BC77">
            <w:pPr>
              <w:pStyle w:val="23"/>
              <w:keepNext w:val="0"/>
              <w:keepLines w:val="0"/>
              <w:pageBreakBefore w:val="0"/>
              <w:widowControl/>
              <w:kinsoku w:val="0"/>
              <w:wordWrap w:val="0"/>
              <w:overflowPunct/>
              <w:topLinePunct w:val="0"/>
              <w:autoSpaceDE/>
              <w:autoSpaceDN/>
              <w:bidi w:val="0"/>
              <w:adjustRightInd w:val="0"/>
              <w:snapToGrid w:val="0"/>
              <w:spacing w:line="360" w:lineRule="auto"/>
              <w:ind w:left="41"/>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3、</w:t>
            </w:r>
            <w:r>
              <w:rPr>
                <w:rFonts w:hint="eastAsia" w:ascii="黑体" w:hAnsi="黑体" w:eastAsia="黑体" w:cs="黑体"/>
                <w:color w:val="auto"/>
                <w:spacing w:val="-5"/>
                <w:lang w:eastAsia="zh-CN"/>
              </w:rPr>
              <w:t>提供本单位缴纳的近六个月任意一个月社保缴纳证明；</w:t>
            </w:r>
          </w:p>
          <w:p w14:paraId="4F993C82">
            <w:pPr>
              <w:pStyle w:val="23"/>
              <w:keepNext w:val="0"/>
              <w:keepLines w:val="0"/>
              <w:pageBreakBefore w:val="0"/>
              <w:widowControl/>
              <w:kinsoku w:val="0"/>
              <w:wordWrap w:val="0"/>
              <w:overflowPunct/>
              <w:topLinePunct w:val="0"/>
              <w:autoSpaceDE/>
              <w:autoSpaceDN/>
              <w:bidi w:val="0"/>
              <w:adjustRightInd w:val="0"/>
              <w:snapToGrid w:val="0"/>
              <w:spacing w:line="360" w:lineRule="auto"/>
              <w:ind w:left="41"/>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4、</w:t>
            </w:r>
            <w:r>
              <w:rPr>
                <w:rFonts w:hint="eastAsia" w:ascii="黑体" w:hAnsi="黑体" w:eastAsia="黑体" w:cs="黑体"/>
                <w:color w:val="auto"/>
                <w:spacing w:val="-5"/>
                <w:lang w:eastAsia="zh-CN"/>
              </w:rPr>
              <w:t>提供近六个月任意一个月税务局开具的完税证明；（完税证明或税务部门出具的其他证明，非社会保险类）；</w:t>
            </w:r>
          </w:p>
          <w:p w14:paraId="0B4D0084">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5、</w:t>
            </w:r>
            <w:r>
              <w:rPr>
                <w:rFonts w:hint="eastAsia" w:ascii="黑体" w:hAnsi="黑体" w:eastAsia="黑体" w:cs="黑体"/>
                <w:color w:val="auto"/>
                <w:spacing w:val="-5"/>
                <w:lang w:eastAsia="zh-CN"/>
              </w:rPr>
              <w:t>提供2023年度财务审计报告（新成立未满一年的公司需提供有效的银行资信证明）；</w:t>
            </w:r>
          </w:p>
          <w:p w14:paraId="4836E540">
            <w:pPr>
              <w:pStyle w:val="23"/>
              <w:keepNext w:val="0"/>
              <w:keepLines w:val="0"/>
              <w:pageBreakBefore w:val="0"/>
              <w:widowControl/>
              <w:kinsoku w:val="0"/>
              <w:wordWrap w:val="0"/>
              <w:overflowPunct/>
              <w:topLinePunct w:val="0"/>
              <w:autoSpaceDE/>
              <w:autoSpaceDN/>
              <w:bidi w:val="0"/>
              <w:adjustRightInd w:val="0"/>
              <w:snapToGrid w:val="0"/>
              <w:spacing w:line="360" w:lineRule="auto"/>
              <w:ind w:left="41"/>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6、投标单位近三年内（2021年08月至今）在“信用中国”（www.creditchina.gov.cn）和中国政府采购网（www.ccgp.gov.cn）网站上未列入重大税收违法失信主体、严重失信主体名单查询，中国政府采购网严重违法失信行为记录名单；（以采购人或代理机构现场查询为准）</w:t>
            </w:r>
          </w:p>
          <w:p w14:paraId="0ABF3FA9">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7、</w:t>
            </w:r>
            <w:r>
              <w:rPr>
                <w:rFonts w:hint="eastAsia" w:ascii="黑体" w:hAnsi="黑体" w:eastAsia="黑体" w:cs="黑体"/>
                <w:color w:val="auto"/>
                <w:spacing w:val="-5"/>
                <w:lang w:eastAsia="zh-CN"/>
              </w:rPr>
              <w:t>供应商提供针对本次项目《反商业贿赂承诺书》；</w:t>
            </w:r>
          </w:p>
          <w:p w14:paraId="690CFF58">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8、</w:t>
            </w:r>
            <w:r>
              <w:rPr>
                <w:rFonts w:hint="eastAsia" w:ascii="黑体" w:hAnsi="黑体" w:eastAsia="黑体" w:cs="黑体"/>
                <w:color w:val="auto"/>
                <w:spacing w:val="-5"/>
                <w:lang w:eastAsia="zh-CN"/>
              </w:rPr>
              <w:t>供应商参加政府采购活动（</w:t>
            </w:r>
            <w:r>
              <w:rPr>
                <w:rFonts w:hint="eastAsia" w:ascii="黑体" w:hAnsi="黑体" w:eastAsia="黑体" w:cs="黑体"/>
                <w:color w:val="auto"/>
                <w:spacing w:val="-5"/>
                <w:lang w:val="en-US" w:eastAsia="zh-CN"/>
              </w:rPr>
              <w:t>2021年08月至今</w:t>
            </w:r>
            <w:r>
              <w:rPr>
                <w:rFonts w:hint="eastAsia" w:ascii="黑体" w:hAnsi="黑体" w:eastAsia="黑体" w:cs="黑体"/>
                <w:color w:val="auto"/>
                <w:spacing w:val="-5"/>
                <w:lang w:eastAsia="zh-CN"/>
              </w:rPr>
              <w:t>）在经营活动中没有重大违法违规记录的书面声明；</w:t>
            </w:r>
          </w:p>
          <w:p w14:paraId="0A4F4431">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lang w:eastAsia="zh-CN"/>
              </w:rPr>
            </w:pPr>
            <w:r>
              <w:rPr>
                <w:rFonts w:hint="eastAsia" w:ascii="黑体" w:hAnsi="黑体" w:eastAsia="黑体" w:cs="黑体"/>
                <w:color w:val="auto"/>
                <w:spacing w:val="-5"/>
                <w:lang w:val="en-US" w:eastAsia="zh-CN"/>
              </w:rPr>
              <w:t>9、</w:t>
            </w:r>
            <w:r>
              <w:rPr>
                <w:rFonts w:hint="eastAsia" w:ascii="黑体" w:hAnsi="黑体" w:eastAsia="黑体" w:cs="黑体"/>
                <w:color w:val="auto"/>
                <w:spacing w:val="-5"/>
                <w:lang w:eastAsia="zh-CN"/>
              </w:rPr>
              <w:t>磋商保证金的有效缴纳凭证；</w:t>
            </w:r>
          </w:p>
          <w:p w14:paraId="65B9560C">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lang w:val="en-US" w:eastAsia="zh-CN"/>
              </w:rPr>
            </w:pPr>
            <w:r>
              <w:rPr>
                <w:rFonts w:hint="eastAsia" w:ascii="黑体" w:hAnsi="黑体" w:eastAsia="黑体" w:cs="黑体"/>
                <w:color w:val="auto"/>
                <w:spacing w:val="-5"/>
                <w:lang w:val="en-US" w:eastAsia="zh-CN"/>
              </w:rPr>
              <w:t>10、提供中小企业声明函。</w:t>
            </w:r>
          </w:p>
        </w:tc>
      </w:tr>
    </w:tbl>
    <w:p w14:paraId="79FC7BC2">
      <w:pPr>
        <w:pageBreakBefore w:val="0"/>
        <w:kinsoku w:val="0"/>
        <w:wordWrap w:val="0"/>
        <w:overflowPunct/>
        <w:topLinePunct w:val="0"/>
        <w:autoSpaceDE/>
        <w:autoSpaceDN/>
        <w:bidi w:val="0"/>
        <w:spacing w:line="90" w:lineRule="auto"/>
        <w:rPr>
          <w:rFonts w:hint="eastAsia" w:ascii="黑体" w:hAnsi="黑体" w:eastAsia="黑体" w:cs="黑体"/>
          <w:color w:val="auto"/>
          <w:sz w:val="2"/>
        </w:rPr>
      </w:pPr>
    </w:p>
    <w:tbl>
      <w:tblPr>
        <w:tblStyle w:val="22"/>
        <w:tblW w:w="857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7641"/>
      </w:tblGrid>
      <w:tr w14:paraId="5875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37" w:type="dxa"/>
            <w:tcBorders>
              <w:left w:val="single" w:color="000000" w:sz="8" w:space="0"/>
            </w:tcBorders>
            <w:vAlign w:val="top"/>
          </w:tcPr>
          <w:p w14:paraId="269130B4">
            <w:pPr>
              <w:pStyle w:val="23"/>
              <w:pageBreakBefore w:val="0"/>
              <w:kinsoku w:val="0"/>
              <w:wordWrap w:val="0"/>
              <w:overflowPunct/>
              <w:topLinePunct w:val="0"/>
              <w:autoSpaceDE/>
              <w:autoSpaceDN/>
              <w:bidi w:val="0"/>
              <w:spacing w:before="204" w:line="181" w:lineRule="auto"/>
              <w:ind w:left="244"/>
              <w:rPr>
                <w:rFonts w:hint="eastAsia" w:ascii="黑体" w:hAnsi="黑体" w:eastAsia="黑体" w:cs="黑体"/>
                <w:color w:val="auto"/>
                <w:sz w:val="24"/>
                <w:szCs w:val="24"/>
              </w:rPr>
            </w:pPr>
            <w:r>
              <w:rPr>
                <w:rFonts w:hint="eastAsia" w:ascii="黑体" w:hAnsi="黑体" w:eastAsia="黑体" w:cs="黑体"/>
                <w:color w:val="auto"/>
                <w:spacing w:val="-9"/>
                <w:sz w:val="24"/>
                <w:szCs w:val="24"/>
              </w:rPr>
              <w:t>1.3.2</w:t>
            </w:r>
          </w:p>
        </w:tc>
        <w:tc>
          <w:tcPr>
            <w:tcW w:w="7641" w:type="dxa"/>
            <w:tcBorders>
              <w:right w:val="single" w:color="000000" w:sz="8" w:space="0"/>
            </w:tcBorders>
            <w:vAlign w:val="top"/>
          </w:tcPr>
          <w:p w14:paraId="6C501013">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eastAsia="zh-CN"/>
              </w:rPr>
            </w:pPr>
            <w:r>
              <w:rPr>
                <w:rFonts w:hint="eastAsia" w:ascii="黑体" w:hAnsi="黑体" w:eastAsia="黑体" w:cs="黑体"/>
                <w:color w:val="auto"/>
                <w:spacing w:val="-5"/>
                <w:sz w:val="24"/>
                <w:szCs w:val="24"/>
                <w:lang w:eastAsia="zh-CN"/>
              </w:rPr>
              <w:t>是否允许采购进口产品：</w:t>
            </w:r>
            <w:r>
              <w:rPr>
                <w:rFonts w:hint="eastAsia" w:ascii="黑体" w:hAnsi="黑体" w:eastAsia="黑体" w:cs="黑体"/>
                <w:color w:val="auto"/>
                <w:spacing w:val="-5"/>
                <w:sz w:val="24"/>
                <w:szCs w:val="24"/>
                <w:u w:val="single"/>
                <w:lang w:eastAsia="zh-CN"/>
              </w:rPr>
              <w:t>否</w:t>
            </w:r>
            <w:r>
              <w:rPr>
                <w:rFonts w:hint="eastAsia" w:ascii="黑体" w:hAnsi="黑体" w:eastAsia="黑体" w:cs="黑体"/>
                <w:color w:val="auto"/>
                <w:spacing w:val="-5"/>
                <w:sz w:val="24"/>
                <w:szCs w:val="24"/>
                <w:lang w:eastAsia="zh-CN"/>
              </w:rPr>
              <w:t>（是、否）</w:t>
            </w:r>
          </w:p>
        </w:tc>
      </w:tr>
      <w:tr w14:paraId="7A24E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937" w:type="dxa"/>
            <w:tcBorders>
              <w:left w:val="single" w:color="000000" w:sz="8" w:space="0"/>
            </w:tcBorders>
            <w:vAlign w:val="top"/>
          </w:tcPr>
          <w:p w14:paraId="6457E0A0">
            <w:pPr>
              <w:pageBreakBefore w:val="0"/>
              <w:kinsoku w:val="0"/>
              <w:wordWrap w:val="0"/>
              <w:overflowPunct/>
              <w:topLinePunct w:val="0"/>
              <w:autoSpaceDE/>
              <w:autoSpaceDN/>
              <w:bidi w:val="0"/>
              <w:spacing w:line="476" w:lineRule="auto"/>
              <w:rPr>
                <w:rFonts w:hint="eastAsia" w:ascii="黑体" w:hAnsi="黑体" w:eastAsia="黑体" w:cs="黑体"/>
                <w:color w:val="auto"/>
                <w:sz w:val="24"/>
                <w:szCs w:val="24"/>
              </w:rPr>
            </w:pPr>
          </w:p>
          <w:p w14:paraId="42283D15">
            <w:pPr>
              <w:pStyle w:val="23"/>
              <w:pageBreakBefore w:val="0"/>
              <w:kinsoku w:val="0"/>
              <w:wordWrap w:val="0"/>
              <w:overflowPunct/>
              <w:topLinePunct w:val="0"/>
              <w:autoSpaceDE/>
              <w:autoSpaceDN/>
              <w:bidi w:val="0"/>
              <w:spacing w:before="78" w:line="181" w:lineRule="auto"/>
              <w:ind w:left="244"/>
              <w:rPr>
                <w:rFonts w:hint="eastAsia" w:ascii="黑体" w:hAnsi="黑体" w:eastAsia="黑体" w:cs="黑体"/>
                <w:color w:val="auto"/>
                <w:sz w:val="24"/>
                <w:szCs w:val="24"/>
              </w:rPr>
            </w:pPr>
            <w:r>
              <w:rPr>
                <w:rFonts w:hint="eastAsia" w:ascii="黑体" w:hAnsi="黑体" w:eastAsia="黑体" w:cs="黑体"/>
                <w:color w:val="auto"/>
                <w:spacing w:val="-9"/>
                <w:sz w:val="24"/>
                <w:szCs w:val="24"/>
              </w:rPr>
              <w:t>1.3.3</w:t>
            </w:r>
          </w:p>
        </w:tc>
        <w:tc>
          <w:tcPr>
            <w:tcW w:w="7641" w:type="dxa"/>
            <w:tcBorders>
              <w:right w:val="single" w:color="000000" w:sz="8" w:space="0"/>
            </w:tcBorders>
            <w:vAlign w:val="top"/>
          </w:tcPr>
          <w:p w14:paraId="6AC87421">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eastAsia="zh-CN"/>
              </w:rPr>
            </w:pPr>
            <w:r>
              <w:rPr>
                <w:rFonts w:hint="eastAsia" w:ascii="黑体" w:hAnsi="黑体" w:eastAsia="黑体" w:cs="黑体"/>
                <w:color w:val="auto"/>
                <w:spacing w:val="-5"/>
                <w:sz w:val="24"/>
                <w:szCs w:val="24"/>
                <w:lang w:eastAsia="zh-CN"/>
              </w:rPr>
              <w:t>是否为专门面向中小企业采购：</w:t>
            </w:r>
            <w:r>
              <w:rPr>
                <w:rFonts w:hint="eastAsia" w:ascii="黑体" w:hAnsi="黑体" w:eastAsia="黑体" w:cs="黑体"/>
                <w:color w:val="auto"/>
                <w:spacing w:val="-5"/>
                <w:sz w:val="24"/>
                <w:szCs w:val="24"/>
                <w:u w:val="single"/>
                <w:lang w:eastAsia="zh-CN"/>
              </w:rPr>
              <w:t>是</w:t>
            </w:r>
            <w:r>
              <w:rPr>
                <w:rFonts w:hint="eastAsia" w:ascii="黑体" w:hAnsi="黑体" w:eastAsia="黑体" w:cs="黑体"/>
                <w:color w:val="auto"/>
                <w:spacing w:val="-5"/>
                <w:sz w:val="24"/>
                <w:szCs w:val="24"/>
                <w:lang w:eastAsia="zh-CN"/>
              </w:rPr>
              <w:t>（是、否）</w:t>
            </w:r>
          </w:p>
          <w:p w14:paraId="62A77A97">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eastAsia="zh-CN"/>
              </w:rPr>
            </w:pPr>
            <w:r>
              <w:rPr>
                <w:rFonts w:hint="eastAsia" w:ascii="黑体" w:hAnsi="黑体" w:eastAsia="黑体" w:cs="黑体"/>
                <w:color w:val="auto"/>
                <w:spacing w:val="-5"/>
                <w:sz w:val="24"/>
                <w:szCs w:val="24"/>
                <w:lang w:eastAsia="zh-CN"/>
              </w:rPr>
              <w:t>潜在投标企业属于中小微企业的，请在响应文件中提供“中小企业声明函”，如果未提供或提供虛假的“中小企业声明函”，投标企业将承担由此造成的一切不利后果。</w:t>
            </w:r>
          </w:p>
        </w:tc>
      </w:tr>
      <w:tr w14:paraId="469DC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37" w:type="dxa"/>
            <w:tcBorders>
              <w:left w:val="single" w:color="000000" w:sz="8" w:space="0"/>
            </w:tcBorders>
            <w:vAlign w:val="top"/>
          </w:tcPr>
          <w:p w14:paraId="4AE3F5D0">
            <w:pPr>
              <w:pStyle w:val="23"/>
              <w:pageBreakBefore w:val="0"/>
              <w:kinsoku w:val="0"/>
              <w:wordWrap w:val="0"/>
              <w:overflowPunct/>
              <w:topLinePunct w:val="0"/>
              <w:autoSpaceDE/>
              <w:autoSpaceDN/>
              <w:bidi w:val="0"/>
              <w:spacing w:before="241" w:line="181" w:lineRule="auto"/>
              <w:ind w:left="364"/>
              <w:rPr>
                <w:rFonts w:hint="eastAsia" w:ascii="黑体" w:hAnsi="黑体" w:eastAsia="黑体" w:cs="黑体"/>
                <w:color w:val="auto"/>
                <w:sz w:val="24"/>
                <w:szCs w:val="24"/>
              </w:rPr>
            </w:pPr>
            <w:r>
              <w:rPr>
                <w:rFonts w:hint="eastAsia" w:ascii="黑体" w:hAnsi="黑体" w:eastAsia="黑体" w:cs="黑体"/>
                <w:color w:val="auto"/>
                <w:spacing w:val="-11"/>
                <w:sz w:val="24"/>
                <w:szCs w:val="24"/>
              </w:rPr>
              <w:t>1.4</w:t>
            </w:r>
          </w:p>
        </w:tc>
        <w:tc>
          <w:tcPr>
            <w:tcW w:w="7641" w:type="dxa"/>
            <w:tcBorders>
              <w:right w:val="single" w:color="000000" w:sz="8" w:space="0"/>
            </w:tcBorders>
            <w:vAlign w:val="top"/>
          </w:tcPr>
          <w:p w14:paraId="0CD916FE">
            <w:pPr>
              <w:pStyle w:val="23"/>
              <w:pageBreakBefore w:val="0"/>
              <w:kinsoku w:val="0"/>
              <w:wordWrap w:val="0"/>
              <w:overflowPunct/>
              <w:topLinePunct w:val="0"/>
              <w:autoSpaceDE/>
              <w:autoSpaceDN/>
              <w:bidi w:val="0"/>
              <w:spacing w:before="197" w:line="217" w:lineRule="auto"/>
              <w:rPr>
                <w:rFonts w:hint="eastAsia" w:ascii="黑体" w:hAnsi="黑体" w:eastAsia="黑体" w:cs="黑体"/>
                <w:color w:val="auto"/>
                <w:sz w:val="24"/>
                <w:szCs w:val="24"/>
              </w:rPr>
            </w:pPr>
            <w:r>
              <w:rPr>
                <w:rFonts w:hint="eastAsia" w:ascii="黑体" w:hAnsi="黑体" w:eastAsia="黑体" w:cs="黑体"/>
                <w:color w:val="auto"/>
                <w:spacing w:val="-2"/>
                <w:sz w:val="24"/>
                <w:szCs w:val="24"/>
              </w:rPr>
              <w:t>是否允许联合体投标：</w:t>
            </w:r>
            <w:r>
              <w:rPr>
                <w:rFonts w:hint="eastAsia" w:ascii="黑体" w:hAnsi="黑体" w:eastAsia="黑体" w:cs="黑体"/>
                <w:color w:val="auto"/>
                <w:spacing w:val="-2"/>
                <w:sz w:val="24"/>
                <w:szCs w:val="24"/>
                <w:u w:val="single" w:color="auto"/>
              </w:rPr>
              <w:t>否</w:t>
            </w:r>
            <w:r>
              <w:rPr>
                <w:rFonts w:hint="eastAsia" w:ascii="黑体" w:hAnsi="黑体" w:eastAsia="黑体" w:cs="黑体"/>
                <w:i/>
                <w:iCs/>
                <w:color w:val="auto"/>
                <w:spacing w:val="-2"/>
                <w:sz w:val="24"/>
                <w:szCs w:val="24"/>
              </w:rPr>
              <w:t>（是、否）</w:t>
            </w:r>
          </w:p>
        </w:tc>
      </w:tr>
      <w:tr w14:paraId="0BB53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37" w:type="dxa"/>
            <w:tcBorders>
              <w:left w:val="single" w:color="000000" w:sz="8" w:space="0"/>
            </w:tcBorders>
            <w:vAlign w:val="top"/>
          </w:tcPr>
          <w:p w14:paraId="0C43A432">
            <w:pPr>
              <w:pageBreakBefore w:val="0"/>
              <w:kinsoku w:val="0"/>
              <w:wordWrap w:val="0"/>
              <w:overflowPunct/>
              <w:topLinePunct w:val="0"/>
              <w:autoSpaceDE/>
              <w:autoSpaceDN/>
              <w:bidi w:val="0"/>
              <w:spacing w:line="328" w:lineRule="auto"/>
              <w:rPr>
                <w:rFonts w:hint="eastAsia" w:ascii="黑体" w:hAnsi="黑体" w:eastAsia="黑体" w:cs="黑体"/>
                <w:color w:val="auto"/>
                <w:sz w:val="24"/>
                <w:szCs w:val="24"/>
              </w:rPr>
            </w:pPr>
          </w:p>
          <w:p w14:paraId="52CD6464">
            <w:pPr>
              <w:pStyle w:val="23"/>
              <w:pageBreakBefore w:val="0"/>
              <w:kinsoku w:val="0"/>
              <w:wordWrap w:val="0"/>
              <w:overflowPunct/>
              <w:topLinePunct w:val="0"/>
              <w:autoSpaceDE/>
              <w:autoSpaceDN/>
              <w:bidi w:val="0"/>
              <w:spacing w:before="78" w:line="180" w:lineRule="auto"/>
              <w:ind w:left="334"/>
              <w:rPr>
                <w:rFonts w:hint="eastAsia" w:ascii="黑体" w:hAnsi="黑体" w:eastAsia="黑体" w:cs="黑体"/>
                <w:color w:val="auto"/>
                <w:sz w:val="24"/>
                <w:szCs w:val="24"/>
              </w:rPr>
            </w:pPr>
            <w:r>
              <w:rPr>
                <w:rFonts w:hint="eastAsia" w:ascii="黑体" w:hAnsi="黑体" w:eastAsia="黑体" w:cs="黑体"/>
                <w:color w:val="auto"/>
                <w:spacing w:val="-5"/>
                <w:sz w:val="24"/>
                <w:szCs w:val="24"/>
              </w:rPr>
              <w:t>2.2</w:t>
            </w:r>
          </w:p>
        </w:tc>
        <w:tc>
          <w:tcPr>
            <w:tcW w:w="7641" w:type="dxa"/>
            <w:tcBorders>
              <w:right w:val="single" w:color="000000" w:sz="8" w:space="0"/>
            </w:tcBorders>
            <w:vAlign w:val="top"/>
          </w:tcPr>
          <w:p w14:paraId="532173BE">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eastAsia="zh-CN"/>
              </w:rPr>
            </w:pPr>
            <w:r>
              <w:rPr>
                <w:rFonts w:hint="eastAsia" w:ascii="黑体" w:hAnsi="黑体" w:eastAsia="黑体" w:cs="黑体"/>
                <w:color w:val="auto"/>
                <w:spacing w:val="-5"/>
                <w:sz w:val="24"/>
                <w:szCs w:val="24"/>
                <w:lang w:eastAsia="zh-CN"/>
              </w:rPr>
              <w:t>本项目预算金额：1000000.00元</w:t>
            </w:r>
          </w:p>
          <w:p w14:paraId="6D490293">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eastAsia="zh-CN"/>
              </w:rPr>
            </w:pPr>
            <w:r>
              <w:rPr>
                <w:rFonts w:hint="eastAsia" w:ascii="黑体" w:hAnsi="黑体" w:eastAsia="黑体" w:cs="黑体"/>
                <w:color w:val="auto"/>
                <w:spacing w:val="-5"/>
                <w:sz w:val="24"/>
                <w:szCs w:val="24"/>
                <w:lang w:eastAsia="zh-CN"/>
              </w:rPr>
              <w:t>本项目最高限价：1000000.00元</w:t>
            </w:r>
          </w:p>
          <w:p w14:paraId="725E03A2">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各投标人的投标报价不得超过本项目的预算金额，否则其投标文件将按否决投标处理。</w:t>
            </w:r>
          </w:p>
        </w:tc>
      </w:tr>
      <w:tr w14:paraId="762B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37" w:type="dxa"/>
            <w:tcBorders>
              <w:left w:val="single" w:color="000000" w:sz="8" w:space="0"/>
            </w:tcBorders>
            <w:vAlign w:val="top"/>
          </w:tcPr>
          <w:p w14:paraId="77FA976A">
            <w:pPr>
              <w:pStyle w:val="23"/>
              <w:pageBreakBefore w:val="0"/>
              <w:kinsoku w:val="0"/>
              <w:wordWrap w:val="0"/>
              <w:overflowPunct/>
              <w:topLinePunct w:val="0"/>
              <w:autoSpaceDE/>
              <w:autoSpaceDN/>
              <w:bidi w:val="0"/>
              <w:spacing w:before="127" w:line="181" w:lineRule="auto"/>
              <w:ind w:left="330"/>
              <w:rPr>
                <w:rFonts w:hint="eastAsia" w:ascii="黑体" w:hAnsi="黑体" w:eastAsia="黑体" w:cs="黑体"/>
                <w:color w:val="auto"/>
                <w:sz w:val="24"/>
                <w:szCs w:val="24"/>
              </w:rPr>
            </w:pPr>
            <w:r>
              <w:rPr>
                <w:rFonts w:hint="eastAsia" w:ascii="黑体" w:hAnsi="黑体" w:eastAsia="黑体" w:cs="黑体"/>
                <w:color w:val="auto"/>
                <w:spacing w:val="-4"/>
                <w:sz w:val="24"/>
                <w:szCs w:val="24"/>
              </w:rPr>
              <w:t>8.1</w:t>
            </w:r>
          </w:p>
        </w:tc>
        <w:tc>
          <w:tcPr>
            <w:tcW w:w="7641" w:type="dxa"/>
            <w:tcBorders>
              <w:right w:val="single" w:color="000000" w:sz="8" w:space="0"/>
            </w:tcBorders>
            <w:vAlign w:val="top"/>
          </w:tcPr>
          <w:p w14:paraId="3604D506">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eastAsia="zh-CN"/>
              </w:rPr>
            </w:pPr>
            <w:r>
              <w:rPr>
                <w:rFonts w:hint="eastAsia" w:ascii="黑体" w:hAnsi="黑体" w:eastAsia="黑体" w:cs="黑体"/>
                <w:color w:val="auto"/>
                <w:spacing w:val="-5"/>
                <w:sz w:val="24"/>
                <w:szCs w:val="24"/>
                <w:lang w:eastAsia="zh-CN"/>
              </w:rPr>
              <w:t>如投标商对多个包进行投标，可以成交</w:t>
            </w:r>
            <w:r>
              <w:rPr>
                <w:rFonts w:hint="eastAsia" w:ascii="黑体" w:hAnsi="黑体" w:eastAsia="黑体" w:cs="黑体"/>
                <w:color w:val="auto"/>
                <w:spacing w:val="-5"/>
                <w:sz w:val="24"/>
                <w:szCs w:val="24"/>
                <w:u w:val="single"/>
                <w:lang w:eastAsia="zh-CN"/>
              </w:rPr>
              <w:t>/</w:t>
            </w:r>
            <w:r>
              <w:rPr>
                <w:rFonts w:hint="eastAsia" w:ascii="黑体" w:hAnsi="黑体" w:eastAsia="黑体" w:cs="黑体"/>
                <w:color w:val="auto"/>
                <w:spacing w:val="-5"/>
                <w:sz w:val="24"/>
                <w:szCs w:val="24"/>
                <w:lang w:eastAsia="zh-CN"/>
              </w:rPr>
              <w:t>包</w:t>
            </w:r>
          </w:p>
        </w:tc>
      </w:tr>
      <w:tr w14:paraId="1B45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37" w:type="dxa"/>
            <w:tcBorders>
              <w:left w:val="single" w:color="000000" w:sz="8" w:space="0"/>
            </w:tcBorders>
            <w:vAlign w:val="top"/>
          </w:tcPr>
          <w:p w14:paraId="2B342CAA">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592645C0">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0F8ECE5F">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760EA440">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7C4F091D">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5046F4C3">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37FE4715">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14CC9DBC">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122D3990">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0EF719FF">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3D4F7846">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284A8EE5">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56684BBB">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40BCBDF5">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2EB1E8C8">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7380675C">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p>
          <w:p w14:paraId="3B3322BB">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r>
              <w:rPr>
                <w:rFonts w:hint="eastAsia" w:ascii="黑体" w:hAnsi="黑体" w:eastAsia="黑体" w:cs="黑体"/>
                <w:color w:val="auto"/>
                <w:spacing w:val="-5"/>
                <w:sz w:val="24"/>
                <w:szCs w:val="24"/>
                <w:lang w:val="en-US" w:eastAsia="en-US"/>
              </w:rPr>
              <w:t>12.1</w:t>
            </w:r>
          </w:p>
        </w:tc>
        <w:tc>
          <w:tcPr>
            <w:tcW w:w="7641" w:type="dxa"/>
            <w:tcBorders>
              <w:right w:val="single" w:color="000000" w:sz="8" w:space="0"/>
            </w:tcBorders>
            <w:vAlign w:val="top"/>
          </w:tcPr>
          <w:p w14:paraId="1F3F4D5D">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投标保证金的形式：银行电汇或转账或银行保函或电子保函等（法律允许的其他形式）</w:t>
            </w:r>
          </w:p>
          <w:p w14:paraId="71B3137B">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投标保证金金额：20000.00元(大写：贰万元整)</w:t>
            </w:r>
          </w:p>
          <w:p w14:paraId="107D8AEE">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账户名称：智博国际工程咨询有限公司疏勒分公司</w:t>
            </w:r>
          </w:p>
          <w:p w14:paraId="349465F1">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账号：1070 9687 2437</w:t>
            </w:r>
          </w:p>
          <w:p w14:paraId="2FBEC633">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行号：1048 9400 1054</w:t>
            </w:r>
          </w:p>
          <w:p w14:paraId="12267C00">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开户行：中国银行股份有限公司喀什市青年南路支行</w:t>
            </w:r>
          </w:p>
          <w:p w14:paraId="2534C063">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注：1、转账或电汇形式：投标保证金须从投标人基本帐户一次性转入指定账户，在投标截止时间前到达指定的帐户（以实际到账时间为准）。汇款时注明投标保证金项目名称及项目编号（如有包段，需注明包段）、可简写。投标保证金转入智博国际工程咨询有限公司喀什市分公司账户后，保证金汇款凭证扫描件上传到投标文件中。</w:t>
            </w:r>
          </w:p>
          <w:p w14:paraId="10DB7852">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2、保函形式：应在规定截止时间前开具完成并满足投标有效期等有关内容规定。（注：若采用电子保函形式：按照政采云电子投标流程制作并上传电子保函。采用银行保函时，出具保函的银行级别：应为国有商业银行或股份制银行的支行及其以上的银行，应将银行保函正本扫描件制作在招标文件内；金融机构、担保机构出具的保函原件扫描件制作在投标文件内）。</w:t>
            </w:r>
          </w:p>
          <w:p w14:paraId="7A0F5C08">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zh-CN"/>
              </w:rPr>
            </w:pPr>
            <w:r>
              <w:rPr>
                <w:rFonts w:hint="eastAsia" w:ascii="黑体" w:hAnsi="黑体" w:eastAsia="黑体" w:cs="黑体"/>
                <w:color w:val="auto"/>
                <w:spacing w:val="-5"/>
                <w:sz w:val="24"/>
                <w:szCs w:val="24"/>
                <w:lang w:val="en-US" w:eastAsia="zh-CN"/>
              </w:rPr>
              <w:t>3、投标保证金提交截止时间：2024年08月26日12:00（北京时间）。（过期不予办理）</w:t>
            </w:r>
          </w:p>
          <w:p w14:paraId="14445CFF">
            <w:pPr>
              <w:pStyle w:val="23"/>
              <w:keepNext w:val="0"/>
              <w:keepLines w:val="0"/>
              <w:pageBreakBefore w:val="0"/>
              <w:widowControl/>
              <w:kinsoku w:val="0"/>
              <w:wordWrap w:val="0"/>
              <w:overflowPunct/>
              <w:topLinePunct w:val="0"/>
              <w:autoSpaceDE/>
              <w:autoSpaceDN/>
              <w:bidi w:val="0"/>
              <w:adjustRightInd w:val="0"/>
              <w:snapToGrid w:val="0"/>
              <w:spacing w:line="360" w:lineRule="auto"/>
              <w:ind w:left="40"/>
              <w:textAlignment w:val="baseline"/>
              <w:rPr>
                <w:rFonts w:hint="eastAsia" w:ascii="黑体" w:hAnsi="黑体" w:eastAsia="黑体" w:cs="黑体"/>
                <w:color w:val="auto"/>
                <w:spacing w:val="-5"/>
                <w:sz w:val="24"/>
                <w:szCs w:val="24"/>
                <w:lang w:val="en-US" w:eastAsia="en-US"/>
              </w:rPr>
            </w:pPr>
            <w:r>
              <w:rPr>
                <w:rFonts w:hint="eastAsia" w:ascii="黑体" w:hAnsi="黑体" w:eastAsia="黑体" w:cs="黑体"/>
                <w:color w:val="auto"/>
                <w:spacing w:val="-5"/>
                <w:sz w:val="24"/>
                <w:szCs w:val="24"/>
                <w:lang w:val="en-US" w:eastAsia="zh-CN"/>
              </w:rPr>
              <w:t>4、根据《政府采购货物和服务招标投标管理办法》第三十八条采购人或者采购代理机构应当在采购活动结束后及时退还供应商的投标保证金，但因供应商自身原因导致无法及时退还的除外。未成交供应商的投标保证金应当在成交通知书发出后5个工作日内退还，成交供应商的投标保证金应当在采购合同签订后5个工作日内退还。</w:t>
            </w:r>
          </w:p>
        </w:tc>
      </w:tr>
      <w:tr w14:paraId="3A3C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37" w:type="dxa"/>
            <w:tcBorders>
              <w:left w:val="single" w:color="000000" w:sz="8" w:space="0"/>
            </w:tcBorders>
            <w:vAlign w:val="top"/>
          </w:tcPr>
          <w:p w14:paraId="12D913E5">
            <w:pPr>
              <w:pStyle w:val="23"/>
              <w:pageBreakBefore w:val="0"/>
              <w:kinsoku w:val="0"/>
              <w:wordWrap w:val="0"/>
              <w:overflowPunct/>
              <w:topLinePunct w:val="0"/>
              <w:autoSpaceDE/>
              <w:autoSpaceDN/>
              <w:bidi w:val="0"/>
              <w:spacing w:before="204" w:line="181" w:lineRule="auto"/>
              <w:ind w:left="424"/>
              <w:rPr>
                <w:rFonts w:hint="eastAsia" w:ascii="黑体" w:hAnsi="黑体" w:eastAsia="黑体" w:cs="黑体"/>
                <w:color w:val="auto"/>
                <w:sz w:val="24"/>
                <w:szCs w:val="24"/>
              </w:rPr>
            </w:pPr>
            <w:r>
              <w:rPr>
                <w:rFonts w:hint="eastAsia" w:ascii="黑体" w:hAnsi="黑体" w:eastAsia="黑体" w:cs="黑体"/>
                <w:color w:val="auto"/>
                <w:spacing w:val="-14"/>
                <w:sz w:val="24"/>
                <w:szCs w:val="24"/>
              </w:rPr>
              <w:t>13</w:t>
            </w:r>
          </w:p>
        </w:tc>
        <w:tc>
          <w:tcPr>
            <w:tcW w:w="7641" w:type="dxa"/>
            <w:tcBorders>
              <w:right w:val="single" w:color="000000" w:sz="8" w:space="0"/>
            </w:tcBorders>
            <w:vAlign w:val="top"/>
          </w:tcPr>
          <w:p w14:paraId="45D43A5C">
            <w:pPr>
              <w:pStyle w:val="23"/>
              <w:pageBreakBefore w:val="0"/>
              <w:kinsoku w:val="0"/>
              <w:wordWrap w:val="0"/>
              <w:overflowPunct/>
              <w:topLinePunct w:val="0"/>
              <w:autoSpaceDE/>
              <w:autoSpaceDN/>
              <w:bidi w:val="0"/>
              <w:spacing w:before="167" w:line="222" w:lineRule="auto"/>
              <w:ind w:left="40"/>
              <w:rPr>
                <w:rFonts w:hint="eastAsia" w:ascii="黑体" w:hAnsi="黑体" w:eastAsia="黑体" w:cs="黑体"/>
                <w:color w:val="auto"/>
                <w:sz w:val="24"/>
                <w:szCs w:val="24"/>
              </w:rPr>
            </w:pPr>
            <w:r>
              <w:rPr>
                <w:rFonts w:hint="eastAsia" w:ascii="黑体" w:hAnsi="黑体" w:eastAsia="黑体" w:cs="黑体"/>
                <w:color w:val="auto"/>
                <w:spacing w:val="-11"/>
                <w:sz w:val="24"/>
                <w:szCs w:val="24"/>
              </w:rPr>
              <w:t>投标有效期：</w:t>
            </w:r>
            <w:r>
              <w:rPr>
                <w:rFonts w:hint="eastAsia" w:ascii="黑体" w:hAnsi="黑体" w:eastAsia="黑体" w:cs="黑体"/>
                <w:color w:val="auto"/>
                <w:spacing w:val="-11"/>
                <w:sz w:val="24"/>
                <w:szCs w:val="24"/>
                <w:u w:val="single" w:color="auto"/>
              </w:rPr>
              <w:t>90</w:t>
            </w:r>
            <w:r>
              <w:rPr>
                <w:rFonts w:hint="eastAsia" w:ascii="黑体" w:hAnsi="黑体" w:eastAsia="黑体" w:cs="黑体"/>
                <w:color w:val="auto"/>
                <w:spacing w:val="-11"/>
                <w:sz w:val="24"/>
                <w:szCs w:val="24"/>
              </w:rPr>
              <w:t>日历日</w:t>
            </w:r>
          </w:p>
        </w:tc>
      </w:tr>
      <w:tr w14:paraId="1D8D9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1" w:hRule="atLeast"/>
        </w:trPr>
        <w:tc>
          <w:tcPr>
            <w:tcW w:w="937" w:type="dxa"/>
            <w:tcBorders>
              <w:left w:val="single" w:color="000000" w:sz="8" w:space="0"/>
            </w:tcBorders>
            <w:vAlign w:val="top"/>
          </w:tcPr>
          <w:p w14:paraId="029D9693">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p w14:paraId="5D60A98C">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p w14:paraId="78E97264">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p w14:paraId="031E4DCA">
            <w:pPr>
              <w:pageBreakBefore w:val="0"/>
              <w:kinsoku w:val="0"/>
              <w:wordWrap w:val="0"/>
              <w:overflowPunct/>
              <w:topLinePunct w:val="0"/>
              <w:autoSpaceDE/>
              <w:autoSpaceDN/>
              <w:bidi w:val="0"/>
              <w:spacing w:line="360" w:lineRule="auto"/>
              <w:rPr>
                <w:rFonts w:hint="eastAsia" w:ascii="黑体" w:hAnsi="黑体" w:eastAsia="黑体" w:cs="黑体"/>
                <w:color w:val="auto"/>
                <w:sz w:val="24"/>
                <w:szCs w:val="24"/>
              </w:rPr>
            </w:pPr>
          </w:p>
          <w:p w14:paraId="30BB4921">
            <w:pPr>
              <w:pStyle w:val="23"/>
              <w:pageBreakBefore w:val="0"/>
              <w:kinsoku w:val="0"/>
              <w:wordWrap w:val="0"/>
              <w:overflowPunct/>
              <w:topLinePunct w:val="0"/>
              <w:autoSpaceDE/>
              <w:autoSpaceDN/>
              <w:bidi w:val="0"/>
              <w:spacing w:before="78" w:line="360" w:lineRule="auto"/>
              <w:ind w:left="424"/>
              <w:rPr>
                <w:rFonts w:hint="eastAsia" w:ascii="黑体" w:hAnsi="黑体" w:eastAsia="黑体" w:cs="黑体"/>
                <w:color w:val="auto"/>
                <w:sz w:val="24"/>
                <w:szCs w:val="24"/>
              </w:rPr>
            </w:pPr>
            <w:r>
              <w:rPr>
                <w:rFonts w:hint="eastAsia" w:ascii="黑体" w:hAnsi="黑体" w:eastAsia="黑体" w:cs="黑体"/>
                <w:color w:val="auto"/>
                <w:spacing w:val="-14"/>
                <w:sz w:val="24"/>
                <w:szCs w:val="24"/>
              </w:rPr>
              <w:t>15</w:t>
            </w:r>
          </w:p>
        </w:tc>
        <w:tc>
          <w:tcPr>
            <w:tcW w:w="7641" w:type="dxa"/>
            <w:tcBorders>
              <w:right w:val="single" w:color="000000" w:sz="8" w:space="0"/>
            </w:tcBorders>
            <w:vAlign w:val="top"/>
          </w:tcPr>
          <w:p w14:paraId="1224707F">
            <w:pPr>
              <w:pStyle w:val="23"/>
              <w:pageBreakBefore w:val="0"/>
              <w:tabs>
                <w:tab w:val="left" w:pos="7524"/>
              </w:tabs>
              <w:kinsoku w:val="0"/>
              <w:wordWrap w:val="0"/>
              <w:overflowPunct/>
              <w:topLinePunct w:val="0"/>
              <w:autoSpaceDE/>
              <w:autoSpaceDN/>
              <w:bidi w:val="0"/>
              <w:spacing w:before="131" w:line="360" w:lineRule="auto"/>
              <w:ind w:left="41" w:right="16"/>
              <w:jc w:val="both"/>
              <w:rPr>
                <w:rFonts w:hint="eastAsia" w:ascii="黑体" w:hAnsi="黑体" w:eastAsia="黑体" w:cs="黑体"/>
                <w:color w:val="auto"/>
                <w:sz w:val="24"/>
                <w:szCs w:val="24"/>
              </w:rPr>
            </w:pPr>
            <w:r>
              <w:rPr>
                <w:rFonts w:hint="eastAsia" w:ascii="黑体" w:hAnsi="黑体" w:eastAsia="黑体" w:cs="黑体"/>
                <w:color w:val="auto"/>
                <w:spacing w:val="-10"/>
                <w:sz w:val="24"/>
                <w:szCs w:val="24"/>
                <w:u w:val="none" w:color="auto"/>
              </w:rPr>
              <w:t>供应商应完整地按磋商文件提供的响应文件格式及要求编写响应文件，</w:t>
            </w:r>
            <w:r>
              <w:rPr>
                <w:rFonts w:hint="eastAsia" w:ascii="黑体" w:hAnsi="黑体" w:eastAsia="黑体" w:cs="黑体"/>
                <w:color w:val="auto"/>
                <w:spacing w:val="1"/>
                <w:sz w:val="24"/>
                <w:szCs w:val="24"/>
                <w:u w:val="none" w:color="auto"/>
              </w:rPr>
              <w:t>供应商须在投标截止时间前完成在系统上递交电子响应文件。供应商的</w:t>
            </w:r>
            <w:r>
              <w:rPr>
                <w:rFonts w:hint="eastAsia" w:ascii="黑体" w:hAnsi="黑体" w:eastAsia="黑体" w:cs="黑体"/>
                <w:color w:val="auto"/>
                <w:spacing w:val="-4"/>
                <w:sz w:val="24"/>
                <w:szCs w:val="24"/>
                <w:u w:val="none" w:color="auto"/>
              </w:rPr>
              <w:t>电子响应文件是经过CA证书加密后上传提交的，任何单位或个人均无法</w:t>
            </w:r>
            <w:r>
              <w:rPr>
                <w:rFonts w:hint="eastAsia" w:ascii="黑体" w:hAnsi="黑体" w:eastAsia="黑体" w:cs="黑体"/>
                <w:color w:val="auto"/>
                <w:spacing w:val="1"/>
                <w:sz w:val="24"/>
                <w:szCs w:val="24"/>
                <w:u w:val="none" w:color="auto"/>
              </w:rPr>
              <w:t>在投标截止时间(即开标时间)之前查看或篡改，不存在泄密风险。（严</w:t>
            </w:r>
            <w:r>
              <w:rPr>
                <w:rFonts w:hint="eastAsia" w:ascii="黑体" w:hAnsi="黑体" w:eastAsia="黑体" w:cs="黑体"/>
                <w:color w:val="auto"/>
                <w:spacing w:val="-2"/>
                <w:sz w:val="24"/>
                <w:szCs w:val="24"/>
                <w:u w:val="none" w:color="auto"/>
              </w:rPr>
              <w:t>格按照政采云电子投标流程制作并上传电子响应文件）</w:t>
            </w:r>
          </w:p>
        </w:tc>
      </w:tr>
      <w:tr w14:paraId="7973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37" w:type="dxa"/>
            <w:tcBorders>
              <w:left w:val="single" w:color="000000" w:sz="8" w:space="0"/>
            </w:tcBorders>
            <w:vAlign w:val="top"/>
          </w:tcPr>
          <w:p w14:paraId="76852D6B">
            <w:pPr>
              <w:pStyle w:val="23"/>
              <w:pageBreakBefore w:val="0"/>
              <w:kinsoku w:val="0"/>
              <w:wordWrap w:val="0"/>
              <w:overflowPunct/>
              <w:topLinePunct w:val="0"/>
              <w:autoSpaceDE/>
              <w:autoSpaceDN/>
              <w:bidi w:val="0"/>
              <w:spacing w:before="254" w:line="360" w:lineRule="auto"/>
              <w:ind w:left="304"/>
              <w:rPr>
                <w:rFonts w:hint="eastAsia" w:ascii="黑体" w:hAnsi="黑体" w:eastAsia="黑体" w:cs="黑体"/>
                <w:color w:val="auto"/>
                <w:sz w:val="24"/>
                <w:szCs w:val="24"/>
              </w:rPr>
            </w:pPr>
            <w:r>
              <w:rPr>
                <w:rFonts w:hint="eastAsia" w:ascii="黑体" w:hAnsi="黑体" w:eastAsia="黑体" w:cs="黑体"/>
                <w:color w:val="auto"/>
                <w:spacing w:val="-9"/>
                <w:sz w:val="24"/>
                <w:szCs w:val="24"/>
              </w:rPr>
              <w:t>16.1</w:t>
            </w:r>
          </w:p>
        </w:tc>
        <w:tc>
          <w:tcPr>
            <w:tcW w:w="7641" w:type="dxa"/>
            <w:tcBorders>
              <w:right w:val="single" w:color="000000" w:sz="8" w:space="0"/>
            </w:tcBorders>
            <w:vAlign w:val="top"/>
          </w:tcPr>
          <w:p w14:paraId="46776949">
            <w:pPr>
              <w:pStyle w:val="23"/>
              <w:pageBreakBefore w:val="0"/>
              <w:kinsoku w:val="0"/>
              <w:wordWrap w:val="0"/>
              <w:overflowPunct/>
              <w:topLinePunct w:val="0"/>
              <w:autoSpaceDE/>
              <w:autoSpaceDN/>
              <w:bidi w:val="0"/>
              <w:spacing w:before="61" w:line="360" w:lineRule="auto"/>
              <w:ind w:left="40"/>
              <w:rPr>
                <w:rFonts w:hint="eastAsia" w:ascii="黑体" w:hAnsi="黑体" w:eastAsia="黑体" w:cs="黑体"/>
                <w:color w:val="auto"/>
                <w:sz w:val="24"/>
                <w:szCs w:val="24"/>
              </w:rPr>
            </w:pPr>
            <w:r>
              <w:rPr>
                <w:rFonts w:hint="eastAsia" w:ascii="黑体" w:hAnsi="黑体" w:eastAsia="黑体" w:cs="黑体"/>
                <w:color w:val="auto"/>
                <w:spacing w:val="-9"/>
                <w:sz w:val="24"/>
                <w:szCs w:val="24"/>
              </w:rPr>
              <w:t>投标截止时间：</w:t>
            </w:r>
            <w:r>
              <w:rPr>
                <w:rFonts w:hint="eastAsia" w:ascii="黑体" w:hAnsi="黑体" w:eastAsia="黑体" w:cs="黑体"/>
                <w:color w:val="auto"/>
                <w:spacing w:val="-5"/>
                <w:sz w:val="24"/>
                <w:szCs w:val="24"/>
                <w:lang w:val="en-US" w:eastAsia="zh-CN"/>
              </w:rPr>
              <w:t>2024年08月26日12:00（北京时间）</w:t>
            </w:r>
          </w:p>
          <w:p w14:paraId="50123A2A">
            <w:pPr>
              <w:pStyle w:val="23"/>
              <w:pageBreakBefore w:val="0"/>
              <w:kinsoku w:val="0"/>
              <w:wordWrap w:val="0"/>
              <w:overflowPunct/>
              <w:topLinePunct w:val="0"/>
              <w:autoSpaceDE/>
              <w:autoSpaceDN/>
              <w:bidi w:val="0"/>
              <w:spacing w:before="1" w:line="360" w:lineRule="auto"/>
              <w:ind w:left="40"/>
              <w:rPr>
                <w:rFonts w:hint="eastAsia" w:ascii="黑体" w:hAnsi="黑体" w:eastAsia="黑体" w:cs="黑体"/>
                <w:color w:val="auto"/>
                <w:sz w:val="24"/>
                <w:szCs w:val="24"/>
              </w:rPr>
            </w:pPr>
            <w:r>
              <w:rPr>
                <w:rFonts w:hint="eastAsia" w:ascii="黑体" w:hAnsi="黑体" w:eastAsia="黑体" w:cs="黑体"/>
                <w:color w:val="auto"/>
                <w:spacing w:val="-2"/>
                <w:sz w:val="24"/>
                <w:szCs w:val="24"/>
              </w:rPr>
              <w:t>投标地点：https://www.zcygov.cn在</w:t>
            </w:r>
            <w:r>
              <w:rPr>
                <w:rFonts w:hint="eastAsia" w:ascii="黑体" w:hAnsi="黑体" w:eastAsia="黑体" w:cs="黑体"/>
                <w:color w:val="auto"/>
                <w:spacing w:val="-3"/>
                <w:sz w:val="24"/>
                <w:szCs w:val="24"/>
              </w:rPr>
              <w:t>线投标</w:t>
            </w:r>
          </w:p>
        </w:tc>
      </w:tr>
      <w:tr w14:paraId="68B9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37" w:type="dxa"/>
            <w:tcBorders>
              <w:left w:val="single" w:color="000000" w:sz="8" w:space="0"/>
            </w:tcBorders>
            <w:vAlign w:val="top"/>
          </w:tcPr>
          <w:p w14:paraId="021FA7B8">
            <w:pPr>
              <w:pStyle w:val="23"/>
              <w:pageBreakBefore w:val="0"/>
              <w:kinsoku w:val="0"/>
              <w:wordWrap w:val="0"/>
              <w:overflowPunct/>
              <w:topLinePunct w:val="0"/>
              <w:autoSpaceDE/>
              <w:autoSpaceDN/>
              <w:bidi w:val="0"/>
              <w:spacing w:before="308" w:line="360" w:lineRule="auto"/>
              <w:ind w:left="304"/>
              <w:rPr>
                <w:rFonts w:hint="eastAsia" w:ascii="黑体" w:hAnsi="黑体" w:eastAsia="黑体" w:cs="黑体"/>
                <w:color w:val="auto"/>
                <w:sz w:val="24"/>
                <w:szCs w:val="24"/>
              </w:rPr>
            </w:pPr>
            <w:r>
              <w:rPr>
                <w:rFonts w:hint="eastAsia" w:ascii="黑体" w:hAnsi="黑体" w:eastAsia="黑体" w:cs="黑体"/>
                <w:color w:val="auto"/>
                <w:spacing w:val="-9"/>
                <w:sz w:val="24"/>
                <w:szCs w:val="24"/>
              </w:rPr>
              <w:t>16.2</w:t>
            </w:r>
          </w:p>
        </w:tc>
        <w:tc>
          <w:tcPr>
            <w:tcW w:w="7641" w:type="dxa"/>
            <w:tcBorders>
              <w:right w:val="single" w:color="000000" w:sz="8" w:space="0"/>
            </w:tcBorders>
            <w:vAlign w:val="top"/>
          </w:tcPr>
          <w:p w14:paraId="2653868C">
            <w:pPr>
              <w:pStyle w:val="23"/>
              <w:pageBreakBefore w:val="0"/>
              <w:kinsoku w:val="0"/>
              <w:wordWrap w:val="0"/>
              <w:overflowPunct/>
              <w:topLinePunct w:val="0"/>
              <w:autoSpaceDE/>
              <w:autoSpaceDN/>
              <w:bidi w:val="0"/>
              <w:spacing w:before="117" w:line="360" w:lineRule="auto"/>
              <w:ind w:left="40"/>
              <w:rPr>
                <w:rFonts w:hint="eastAsia" w:ascii="黑体" w:hAnsi="黑体" w:eastAsia="黑体" w:cs="黑体"/>
                <w:color w:val="auto"/>
                <w:sz w:val="24"/>
                <w:szCs w:val="24"/>
              </w:rPr>
            </w:pPr>
            <w:r>
              <w:rPr>
                <w:rFonts w:hint="eastAsia" w:ascii="黑体" w:hAnsi="黑体" w:eastAsia="黑体" w:cs="黑体"/>
                <w:color w:val="auto"/>
                <w:spacing w:val="-13"/>
                <w:sz w:val="24"/>
                <w:szCs w:val="24"/>
              </w:rPr>
              <w:t>开标时间：</w:t>
            </w:r>
            <w:r>
              <w:rPr>
                <w:rFonts w:hint="eastAsia" w:ascii="黑体" w:hAnsi="黑体" w:eastAsia="黑体" w:cs="黑体"/>
                <w:color w:val="auto"/>
                <w:spacing w:val="-5"/>
                <w:sz w:val="24"/>
                <w:szCs w:val="24"/>
                <w:lang w:val="en-US" w:eastAsia="zh-CN"/>
              </w:rPr>
              <w:t>2024年08月26日12:00（北京时间）</w:t>
            </w:r>
          </w:p>
          <w:p w14:paraId="323A1876">
            <w:pPr>
              <w:pStyle w:val="23"/>
              <w:pageBreakBefore w:val="0"/>
              <w:kinsoku w:val="0"/>
              <w:wordWrap w:val="0"/>
              <w:overflowPunct/>
              <w:topLinePunct w:val="0"/>
              <w:autoSpaceDE/>
              <w:autoSpaceDN/>
              <w:bidi w:val="0"/>
              <w:spacing w:before="11" w:line="360" w:lineRule="auto"/>
              <w:ind w:left="40"/>
              <w:rPr>
                <w:rFonts w:hint="eastAsia" w:ascii="黑体" w:hAnsi="黑体" w:eastAsia="黑体" w:cs="黑体"/>
                <w:color w:val="auto"/>
                <w:sz w:val="24"/>
                <w:szCs w:val="24"/>
              </w:rPr>
            </w:pPr>
            <w:r>
              <w:rPr>
                <w:rFonts w:hint="eastAsia" w:ascii="黑体" w:hAnsi="黑体" w:eastAsia="黑体" w:cs="黑体"/>
                <w:color w:val="auto"/>
                <w:spacing w:val="-3"/>
                <w:sz w:val="24"/>
                <w:szCs w:val="24"/>
              </w:rPr>
              <w:t>开标地点：https://www.zcygov.cn不见面开标</w:t>
            </w:r>
          </w:p>
        </w:tc>
      </w:tr>
      <w:tr w14:paraId="5FBE0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37" w:type="dxa"/>
            <w:tcBorders>
              <w:left w:val="single" w:color="000000" w:sz="8" w:space="0"/>
            </w:tcBorders>
            <w:vAlign w:val="top"/>
          </w:tcPr>
          <w:p w14:paraId="32C10DBA">
            <w:pPr>
              <w:pageBreakBefore w:val="0"/>
              <w:kinsoku w:val="0"/>
              <w:wordWrap w:val="0"/>
              <w:overflowPunct/>
              <w:topLinePunct w:val="0"/>
              <w:autoSpaceDE/>
              <w:autoSpaceDN/>
              <w:bidi w:val="0"/>
              <w:spacing w:line="245" w:lineRule="auto"/>
              <w:rPr>
                <w:rFonts w:hint="eastAsia" w:ascii="黑体" w:hAnsi="黑体" w:eastAsia="黑体" w:cs="黑体"/>
                <w:snapToGrid w:val="0"/>
                <w:color w:val="auto"/>
                <w:spacing w:val="-5"/>
                <w:kern w:val="0"/>
                <w:sz w:val="24"/>
                <w:szCs w:val="24"/>
                <w:lang w:val="en-US" w:eastAsia="zh-CN" w:bidi="ar-SA"/>
              </w:rPr>
            </w:pPr>
          </w:p>
          <w:p w14:paraId="27A6D671">
            <w:pPr>
              <w:pStyle w:val="23"/>
              <w:pageBreakBefore w:val="0"/>
              <w:kinsoku w:val="0"/>
              <w:wordWrap w:val="0"/>
              <w:overflowPunct/>
              <w:topLinePunct w:val="0"/>
              <w:autoSpaceDE/>
              <w:autoSpaceDN/>
              <w:bidi w:val="0"/>
              <w:spacing w:before="78" w:line="158" w:lineRule="auto"/>
              <w:jc w:val="center"/>
              <w:rPr>
                <w:rFonts w:hint="eastAsia" w:ascii="黑体" w:hAnsi="黑体" w:eastAsia="黑体" w:cs="黑体"/>
                <w:snapToGrid w:val="0"/>
                <w:color w:val="auto"/>
                <w:spacing w:val="-5"/>
                <w:kern w:val="0"/>
                <w:sz w:val="24"/>
                <w:szCs w:val="24"/>
                <w:lang w:val="en-US" w:eastAsia="zh-CN" w:bidi="ar-SA"/>
              </w:rPr>
            </w:pPr>
            <w:r>
              <w:rPr>
                <w:rFonts w:hint="eastAsia" w:ascii="黑体" w:hAnsi="黑体" w:eastAsia="黑体" w:cs="黑体"/>
                <w:snapToGrid w:val="0"/>
                <w:color w:val="auto"/>
                <w:spacing w:val="-5"/>
                <w:kern w:val="0"/>
                <w:sz w:val="24"/>
                <w:szCs w:val="24"/>
                <w:lang w:val="en-US" w:eastAsia="zh-CN" w:bidi="ar-SA"/>
              </w:rPr>
              <w:t>20.5</w:t>
            </w:r>
          </w:p>
        </w:tc>
        <w:tc>
          <w:tcPr>
            <w:tcW w:w="7641" w:type="dxa"/>
            <w:tcBorders>
              <w:right w:val="single" w:color="000000" w:sz="8" w:space="0"/>
            </w:tcBorders>
            <w:vAlign w:val="top"/>
          </w:tcPr>
          <w:p w14:paraId="58DD09C8">
            <w:pPr>
              <w:pageBreakBefore w:val="0"/>
              <w:kinsoku w:val="0"/>
              <w:wordWrap w:val="0"/>
              <w:overflowPunct/>
              <w:topLinePunct w:val="0"/>
              <w:autoSpaceDE/>
              <w:autoSpaceDN/>
              <w:bidi w:val="0"/>
              <w:spacing w:line="360" w:lineRule="auto"/>
              <w:rPr>
                <w:rFonts w:hint="eastAsia" w:ascii="黑体" w:hAnsi="黑体" w:eastAsia="黑体" w:cs="黑体"/>
                <w:snapToGrid w:val="0"/>
                <w:color w:val="auto"/>
                <w:spacing w:val="-5"/>
                <w:kern w:val="0"/>
                <w:sz w:val="24"/>
                <w:szCs w:val="24"/>
                <w:lang w:val="en-US" w:eastAsia="zh-CN" w:bidi="ar-SA"/>
              </w:rPr>
            </w:pPr>
            <w:r>
              <w:rPr>
                <w:rFonts w:hint="eastAsia" w:ascii="黑体" w:hAnsi="黑体" w:eastAsia="黑体" w:cs="黑体"/>
                <w:snapToGrid w:val="0"/>
                <w:color w:val="auto"/>
                <w:spacing w:val="-5"/>
                <w:kern w:val="0"/>
                <w:sz w:val="24"/>
                <w:szCs w:val="24"/>
                <w:lang w:val="en-US" w:eastAsia="zh-CN" w:bidi="ar-SA"/>
              </w:rPr>
              <w:t>组织企业参加产品展销推介会，通过新媒体合作，推介县域特色产品，提升产品品牌知名度和销量；对巴楚县特色产品进行品牌建设和提升。(具体内容详见招标文件)</w:t>
            </w:r>
          </w:p>
        </w:tc>
      </w:tr>
      <w:tr w14:paraId="57AF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937" w:type="dxa"/>
            <w:tcBorders>
              <w:left w:val="single" w:color="000000" w:sz="8" w:space="0"/>
            </w:tcBorders>
            <w:vAlign w:val="top"/>
          </w:tcPr>
          <w:p w14:paraId="019CDF02">
            <w:pPr>
              <w:pageBreakBefore w:val="0"/>
              <w:kinsoku w:val="0"/>
              <w:wordWrap w:val="0"/>
              <w:overflowPunct/>
              <w:topLinePunct w:val="0"/>
              <w:autoSpaceDE/>
              <w:autoSpaceDN/>
              <w:bidi w:val="0"/>
              <w:spacing w:line="360" w:lineRule="auto"/>
              <w:jc w:val="center"/>
              <w:rPr>
                <w:rFonts w:hint="eastAsia" w:ascii="黑体" w:hAnsi="黑体" w:eastAsia="黑体" w:cs="黑体"/>
                <w:color w:val="auto"/>
                <w:sz w:val="24"/>
                <w:szCs w:val="24"/>
              </w:rPr>
            </w:pPr>
          </w:p>
          <w:p w14:paraId="466F5089">
            <w:pPr>
              <w:pageBreakBefore w:val="0"/>
              <w:kinsoku w:val="0"/>
              <w:wordWrap w:val="0"/>
              <w:overflowPunct/>
              <w:topLinePunct w:val="0"/>
              <w:autoSpaceDE/>
              <w:autoSpaceDN/>
              <w:bidi w:val="0"/>
              <w:spacing w:line="360" w:lineRule="auto"/>
              <w:jc w:val="center"/>
              <w:rPr>
                <w:rFonts w:hint="eastAsia" w:ascii="黑体" w:hAnsi="黑体" w:eastAsia="黑体" w:cs="黑体"/>
                <w:color w:val="auto"/>
                <w:sz w:val="24"/>
                <w:szCs w:val="24"/>
              </w:rPr>
            </w:pPr>
          </w:p>
          <w:p w14:paraId="4A4E41DD">
            <w:pPr>
              <w:pStyle w:val="23"/>
              <w:pageBreakBefore w:val="0"/>
              <w:kinsoku w:val="0"/>
              <w:wordWrap w:val="0"/>
              <w:overflowPunct/>
              <w:topLinePunct w:val="0"/>
              <w:autoSpaceDE/>
              <w:autoSpaceDN/>
              <w:bidi w:val="0"/>
              <w:spacing w:before="78" w:line="360" w:lineRule="auto"/>
              <w:jc w:val="center"/>
              <w:rPr>
                <w:rFonts w:hint="eastAsia" w:ascii="黑体" w:hAnsi="黑体" w:eastAsia="黑体" w:cs="黑体"/>
                <w:color w:val="auto"/>
                <w:sz w:val="24"/>
                <w:szCs w:val="24"/>
              </w:rPr>
            </w:pPr>
            <w:r>
              <w:rPr>
                <w:rFonts w:hint="eastAsia" w:ascii="黑体" w:hAnsi="黑体" w:eastAsia="黑体" w:cs="黑体"/>
                <w:color w:val="auto"/>
                <w:spacing w:val="-5"/>
                <w:sz w:val="24"/>
                <w:szCs w:val="24"/>
              </w:rPr>
              <w:t>23.2</w:t>
            </w:r>
          </w:p>
        </w:tc>
        <w:tc>
          <w:tcPr>
            <w:tcW w:w="7641" w:type="dxa"/>
            <w:tcBorders>
              <w:right w:val="single" w:color="000000" w:sz="8" w:space="0"/>
            </w:tcBorders>
            <w:vAlign w:val="top"/>
          </w:tcPr>
          <w:p w14:paraId="6B3ED773">
            <w:pPr>
              <w:pStyle w:val="23"/>
              <w:pageBreakBefore w:val="0"/>
              <w:kinsoku w:val="0"/>
              <w:wordWrap w:val="0"/>
              <w:overflowPunct/>
              <w:topLinePunct w:val="0"/>
              <w:autoSpaceDE/>
              <w:autoSpaceDN/>
              <w:bidi w:val="0"/>
              <w:spacing w:before="189" w:line="360" w:lineRule="auto"/>
              <w:ind w:left="54"/>
              <w:rPr>
                <w:rFonts w:hint="eastAsia" w:ascii="黑体" w:hAnsi="黑体" w:eastAsia="黑体" w:cs="黑体"/>
                <w:color w:val="auto"/>
                <w:sz w:val="24"/>
                <w:szCs w:val="24"/>
                <w:lang w:eastAsia="zh-CN"/>
              </w:rPr>
            </w:pPr>
            <w:r>
              <w:rPr>
                <w:rFonts w:hint="eastAsia" w:ascii="黑体" w:hAnsi="黑体" w:eastAsia="黑体" w:cs="黑体"/>
                <w:b/>
                <w:bCs/>
                <w:color w:val="auto"/>
                <w:spacing w:val="-3"/>
                <w:sz w:val="24"/>
                <w:szCs w:val="24"/>
              </w:rPr>
              <w:t>竞争性磋商：综合评分法</w:t>
            </w:r>
            <w:r>
              <w:rPr>
                <w:rFonts w:hint="eastAsia" w:ascii="黑体" w:hAnsi="黑体" w:eastAsia="黑体" w:cs="黑体"/>
                <w:snapToGrid w:val="0"/>
                <w:color w:val="auto"/>
                <w:spacing w:val="-5"/>
                <w:kern w:val="0"/>
                <w:sz w:val="24"/>
                <w:szCs w:val="24"/>
                <w:lang w:val="en-US" w:eastAsia="zh-CN" w:bidi="ar-SA"/>
              </w:rPr>
              <w:t>（本项目采用两轮报价，供应商提交最后的报价后，磋商小组对所有满足实质性要求且提交最后报价的供应商的响应文件按评审因素评审得分，最终汇总得分由高到低排序推荐第一、第二、第三中标候选人）。</w:t>
            </w:r>
          </w:p>
        </w:tc>
      </w:tr>
      <w:tr w14:paraId="4791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37" w:type="dxa"/>
            <w:tcBorders>
              <w:left w:val="single" w:color="000000" w:sz="8" w:space="0"/>
            </w:tcBorders>
            <w:vAlign w:val="top"/>
          </w:tcPr>
          <w:p w14:paraId="41AE6045">
            <w:pPr>
              <w:pStyle w:val="23"/>
              <w:pageBreakBefore w:val="0"/>
              <w:kinsoku w:val="0"/>
              <w:wordWrap w:val="0"/>
              <w:overflowPunct/>
              <w:topLinePunct w:val="0"/>
              <w:autoSpaceDE/>
              <w:autoSpaceDN/>
              <w:bidi w:val="0"/>
              <w:spacing w:before="189" w:line="360" w:lineRule="auto"/>
              <w:ind w:left="54"/>
              <w:jc w:val="center"/>
              <w:rPr>
                <w:rFonts w:hint="eastAsia" w:ascii="黑体" w:hAnsi="黑体" w:eastAsia="黑体" w:cs="黑体"/>
                <w:snapToGrid w:val="0"/>
                <w:color w:val="auto"/>
                <w:spacing w:val="-5"/>
                <w:kern w:val="0"/>
                <w:sz w:val="24"/>
                <w:szCs w:val="24"/>
                <w:lang w:val="en-US" w:eastAsia="zh-CN" w:bidi="ar-SA"/>
              </w:rPr>
            </w:pPr>
            <w:r>
              <w:rPr>
                <w:rFonts w:hint="eastAsia" w:ascii="黑体" w:hAnsi="黑体" w:eastAsia="黑体" w:cs="黑体"/>
                <w:snapToGrid w:val="0"/>
                <w:color w:val="auto"/>
                <w:spacing w:val="-5"/>
                <w:kern w:val="0"/>
                <w:sz w:val="24"/>
                <w:szCs w:val="24"/>
                <w:lang w:val="en-US" w:eastAsia="zh-CN" w:bidi="ar-SA"/>
              </w:rPr>
              <w:t>27</w:t>
            </w:r>
          </w:p>
        </w:tc>
        <w:tc>
          <w:tcPr>
            <w:tcW w:w="7641" w:type="dxa"/>
            <w:tcBorders>
              <w:right w:val="single" w:color="000000" w:sz="8" w:space="0"/>
            </w:tcBorders>
            <w:vAlign w:val="top"/>
          </w:tcPr>
          <w:p w14:paraId="21410294">
            <w:pPr>
              <w:pStyle w:val="23"/>
              <w:pageBreakBefore w:val="0"/>
              <w:kinsoku w:val="0"/>
              <w:wordWrap w:val="0"/>
              <w:overflowPunct/>
              <w:topLinePunct w:val="0"/>
              <w:autoSpaceDE/>
              <w:autoSpaceDN/>
              <w:bidi w:val="0"/>
              <w:spacing w:before="189" w:line="360" w:lineRule="auto"/>
              <w:ind w:left="54"/>
              <w:rPr>
                <w:rFonts w:hint="eastAsia" w:ascii="黑体" w:hAnsi="黑体" w:eastAsia="黑体" w:cs="黑体"/>
                <w:snapToGrid w:val="0"/>
                <w:color w:val="auto"/>
                <w:spacing w:val="-5"/>
                <w:kern w:val="0"/>
                <w:sz w:val="24"/>
                <w:szCs w:val="24"/>
                <w:lang w:val="en-US" w:eastAsia="zh-CN" w:bidi="ar-SA"/>
              </w:rPr>
            </w:pPr>
            <w:r>
              <w:rPr>
                <w:rFonts w:hint="eastAsia" w:ascii="黑体" w:hAnsi="黑体" w:eastAsia="黑体" w:cs="黑体"/>
                <w:snapToGrid w:val="0"/>
                <w:color w:val="auto"/>
                <w:spacing w:val="-5"/>
                <w:kern w:val="0"/>
                <w:sz w:val="24"/>
                <w:szCs w:val="24"/>
                <w:lang w:val="en-US" w:eastAsia="zh-CN" w:bidi="ar-SA"/>
              </w:rPr>
              <w:t>推荐成交候选供应商的数量：</w:t>
            </w:r>
            <w:r>
              <w:rPr>
                <w:rFonts w:hint="eastAsia" w:ascii="黑体" w:hAnsi="黑体" w:eastAsia="黑体" w:cs="黑体"/>
                <w:snapToGrid w:val="0"/>
                <w:color w:val="auto"/>
                <w:spacing w:val="-5"/>
                <w:kern w:val="0"/>
                <w:sz w:val="24"/>
                <w:szCs w:val="24"/>
                <w:u w:val="single"/>
                <w:lang w:val="en-US" w:eastAsia="zh-CN" w:bidi="ar-SA"/>
              </w:rPr>
              <w:t>三名</w:t>
            </w:r>
          </w:p>
        </w:tc>
      </w:tr>
      <w:tr w14:paraId="2FC3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37" w:type="dxa"/>
            <w:tcBorders>
              <w:left w:val="single" w:color="000000" w:sz="8" w:space="0"/>
            </w:tcBorders>
            <w:vAlign w:val="top"/>
          </w:tcPr>
          <w:p w14:paraId="52D3441D">
            <w:pPr>
              <w:pStyle w:val="23"/>
              <w:pageBreakBefore w:val="0"/>
              <w:kinsoku w:val="0"/>
              <w:wordWrap w:val="0"/>
              <w:overflowPunct/>
              <w:topLinePunct w:val="0"/>
              <w:autoSpaceDE/>
              <w:autoSpaceDN/>
              <w:bidi w:val="0"/>
              <w:spacing w:before="250" w:line="360" w:lineRule="auto"/>
              <w:jc w:val="center"/>
              <w:rPr>
                <w:rFonts w:hint="eastAsia" w:ascii="黑体" w:hAnsi="黑体" w:eastAsia="黑体" w:cs="黑体"/>
                <w:color w:val="auto"/>
                <w:sz w:val="24"/>
                <w:szCs w:val="24"/>
              </w:rPr>
            </w:pPr>
            <w:r>
              <w:rPr>
                <w:rFonts w:hint="eastAsia" w:ascii="黑体" w:hAnsi="黑体" w:eastAsia="黑体" w:cs="黑体"/>
                <w:color w:val="auto"/>
                <w:spacing w:val="-5"/>
                <w:sz w:val="24"/>
                <w:szCs w:val="24"/>
              </w:rPr>
              <w:t>27.1</w:t>
            </w:r>
          </w:p>
        </w:tc>
        <w:tc>
          <w:tcPr>
            <w:tcW w:w="7641" w:type="dxa"/>
            <w:tcBorders>
              <w:right w:val="single" w:color="000000" w:sz="8" w:space="0"/>
            </w:tcBorders>
            <w:vAlign w:val="top"/>
          </w:tcPr>
          <w:p w14:paraId="79270976">
            <w:pPr>
              <w:pStyle w:val="23"/>
              <w:pageBreakBefore w:val="0"/>
              <w:kinsoku w:val="0"/>
              <w:wordWrap w:val="0"/>
              <w:overflowPunct/>
              <w:topLinePunct w:val="0"/>
              <w:autoSpaceDE/>
              <w:autoSpaceDN/>
              <w:bidi w:val="0"/>
              <w:spacing w:before="205" w:line="360" w:lineRule="auto"/>
              <w:ind w:left="45"/>
              <w:rPr>
                <w:rFonts w:hint="eastAsia" w:ascii="黑体" w:hAnsi="黑体" w:eastAsia="黑体" w:cs="黑体"/>
                <w:color w:val="auto"/>
                <w:sz w:val="24"/>
                <w:szCs w:val="24"/>
              </w:rPr>
            </w:pPr>
            <w:r>
              <w:rPr>
                <w:rFonts w:hint="eastAsia" w:ascii="黑体" w:hAnsi="黑体" w:eastAsia="黑体" w:cs="黑体"/>
                <w:snapToGrid w:val="0"/>
                <w:color w:val="auto"/>
                <w:spacing w:val="-5"/>
                <w:kern w:val="0"/>
                <w:sz w:val="24"/>
                <w:szCs w:val="24"/>
                <w:lang w:val="en-US" w:eastAsia="zh-CN" w:bidi="ar-SA"/>
              </w:rPr>
              <w:t>采购人是否委托评标委员会直接确定成交人</w:t>
            </w:r>
            <w:r>
              <w:rPr>
                <w:rFonts w:hint="eastAsia" w:ascii="黑体" w:hAnsi="黑体" w:eastAsia="黑体" w:cs="黑体"/>
                <w:color w:val="auto"/>
                <w:spacing w:val="-2"/>
                <w:sz w:val="24"/>
                <w:szCs w:val="24"/>
              </w:rPr>
              <w:t>：</w:t>
            </w:r>
            <w:r>
              <w:rPr>
                <w:rFonts w:hint="eastAsia" w:ascii="黑体" w:hAnsi="黑体" w:eastAsia="黑体" w:cs="黑体"/>
                <w:color w:val="auto"/>
                <w:spacing w:val="-2"/>
                <w:sz w:val="24"/>
                <w:szCs w:val="24"/>
                <w:u w:val="single" w:color="auto"/>
              </w:rPr>
              <w:t>否</w:t>
            </w:r>
            <w:r>
              <w:rPr>
                <w:rFonts w:hint="eastAsia" w:ascii="黑体" w:hAnsi="黑体" w:eastAsia="黑体" w:cs="黑体"/>
                <w:i/>
                <w:iCs/>
                <w:color w:val="auto"/>
                <w:spacing w:val="-2"/>
                <w:sz w:val="24"/>
                <w:szCs w:val="24"/>
              </w:rPr>
              <w:t>（是、否）</w:t>
            </w:r>
          </w:p>
        </w:tc>
      </w:tr>
      <w:tr w14:paraId="02CCD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37" w:type="dxa"/>
            <w:tcBorders>
              <w:left w:val="single" w:color="000000" w:sz="8" w:space="0"/>
            </w:tcBorders>
            <w:vAlign w:val="top"/>
          </w:tcPr>
          <w:p w14:paraId="41B0F660">
            <w:pPr>
              <w:pStyle w:val="23"/>
              <w:pageBreakBefore w:val="0"/>
              <w:kinsoku w:val="0"/>
              <w:wordWrap w:val="0"/>
              <w:overflowPunct/>
              <w:topLinePunct w:val="0"/>
              <w:autoSpaceDE/>
              <w:autoSpaceDN/>
              <w:bidi w:val="0"/>
              <w:spacing w:before="78" w:line="360" w:lineRule="auto"/>
              <w:jc w:val="center"/>
              <w:rPr>
                <w:rFonts w:hint="eastAsia" w:ascii="黑体" w:hAnsi="黑体" w:eastAsia="黑体" w:cs="黑体"/>
                <w:color w:val="auto"/>
                <w:sz w:val="24"/>
                <w:szCs w:val="24"/>
              </w:rPr>
            </w:pPr>
            <w:r>
              <w:rPr>
                <w:rFonts w:hint="eastAsia" w:ascii="黑体" w:hAnsi="黑体" w:eastAsia="黑体" w:cs="黑体"/>
                <w:color w:val="auto"/>
                <w:spacing w:val="-5"/>
                <w:sz w:val="24"/>
                <w:szCs w:val="24"/>
              </w:rPr>
              <w:t>31.1</w:t>
            </w:r>
          </w:p>
        </w:tc>
        <w:tc>
          <w:tcPr>
            <w:tcW w:w="7641" w:type="dxa"/>
            <w:tcBorders>
              <w:right w:val="single" w:color="000000" w:sz="8" w:space="0"/>
            </w:tcBorders>
            <w:vAlign w:val="top"/>
          </w:tcPr>
          <w:p w14:paraId="2E8BF9FA">
            <w:pPr>
              <w:pStyle w:val="23"/>
              <w:pageBreakBefore w:val="0"/>
              <w:kinsoku w:val="0"/>
              <w:wordWrap w:val="0"/>
              <w:overflowPunct/>
              <w:topLinePunct w:val="0"/>
              <w:autoSpaceDE/>
              <w:autoSpaceDN/>
              <w:bidi w:val="0"/>
              <w:spacing w:before="81" w:line="360" w:lineRule="auto"/>
              <w:ind w:left="50"/>
              <w:rPr>
                <w:rFonts w:hint="eastAsia" w:ascii="黑体" w:hAnsi="黑体" w:eastAsia="黑体" w:cs="黑体"/>
                <w:color w:val="auto"/>
                <w:sz w:val="24"/>
                <w:szCs w:val="24"/>
              </w:rPr>
            </w:pPr>
            <w:r>
              <w:rPr>
                <w:rFonts w:hint="eastAsia" w:ascii="黑体" w:hAnsi="黑体" w:eastAsia="黑体" w:cs="黑体"/>
                <w:color w:val="auto"/>
                <w:spacing w:val="-4"/>
                <w:sz w:val="24"/>
                <w:szCs w:val="24"/>
              </w:rPr>
              <w:t>履约保证金金额：合同总价的5%</w:t>
            </w:r>
            <w:r>
              <w:rPr>
                <w:rFonts w:hint="eastAsia" w:ascii="黑体" w:hAnsi="黑体" w:eastAsia="黑体" w:cs="黑体"/>
                <w:color w:val="auto"/>
                <w:spacing w:val="-3"/>
                <w:sz w:val="24"/>
                <w:szCs w:val="24"/>
              </w:rPr>
              <w:t>（不得超过政府采购合同金额的10%）</w:t>
            </w:r>
          </w:p>
          <w:p w14:paraId="23E4F083">
            <w:pPr>
              <w:pStyle w:val="23"/>
              <w:pageBreakBefore w:val="0"/>
              <w:kinsoku w:val="0"/>
              <w:wordWrap w:val="0"/>
              <w:overflowPunct/>
              <w:topLinePunct w:val="0"/>
              <w:autoSpaceDE/>
              <w:autoSpaceDN/>
              <w:bidi w:val="0"/>
              <w:spacing w:before="18" w:line="360" w:lineRule="auto"/>
              <w:ind w:left="50"/>
              <w:rPr>
                <w:rFonts w:hint="eastAsia" w:ascii="黑体" w:hAnsi="黑体" w:eastAsia="黑体" w:cs="黑体"/>
                <w:color w:val="auto"/>
                <w:spacing w:val="-2"/>
                <w:sz w:val="24"/>
                <w:szCs w:val="24"/>
                <w:lang w:val="en-US"/>
              </w:rPr>
            </w:pPr>
            <w:r>
              <w:rPr>
                <w:rFonts w:hint="eastAsia" w:ascii="黑体" w:hAnsi="黑体" w:eastAsia="黑体" w:cs="黑体"/>
                <w:color w:val="auto"/>
                <w:spacing w:val="-2"/>
                <w:sz w:val="24"/>
                <w:szCs w:val="24"/>
              </w:rPr>
              <w:t>履约保证金形式：</w:t>
            </w:r>
            <w:r>
              <w:rPr>
                <w:rFonts w:hint="eastAsia" w:ascii="黑体" w:hAnsi="黑体" w:eastAsia="黑体" w:cs="黑体"/>
                <w:color w:val="auto"/>
                <w:spacing w:val="-1"/>
                <w:sz w:val="24"/>
                <w:szCs w:val="24"/>
                <w:lang w:val="en-US" w:eastAsia="zh-CN"/>
              </w:rPr>
              <w:t>支票、汇票、本票、网银转账或者金融机构、担保机构出具的保函等非现金形式。</w:t>
            </w:r>
          </w:p>
          <w:p w14:paraId="32BBBFF8">
            <w:pPr>
              <w:pStyle w:val="23"/>
              <w:pageBreakBefore w:val="0"/>
              <w:kinsoku w:val="0"/>
              <w:wordWrap w:val="0"/>
              <w:overflowPunct/>
              <w:topLinePunct w:val="0"/>
              <w:autoSpaceDE/>
              <w:autoSpaceDN/>
              <w:bidi w:val="0"/>
              <w:spacing w:before="18" w:line="360" w:lineRule="auto"/>
              <w:ind w:left="50"/>
              <w:rPr>
                <w:rFonts w:hint="eastAsia" w:ascii="黑体" w:hAnsi="黑体" w:eastAsia="黑体" w:cs="黑体"/>
                <w:color w:val="auto"/>
                <w:sz w:val="24"/>
                <w:szCs w:val="24"/>
                <w:lang w:val="en-US" w:eastAsia="zh-CN"/>
              </w:rPr>
            </w:pPr>
            <w:r>
              <w:rPr>
                <w:rFonts w:hint="eastAsia" w:ascii="黑体" w:hAnsi="黑体" w:eastAsia="黑体" w:cs="黑体"/>
                <w:color w:val="auto"/>
                <w:spacing w:val="-9"/>
                <w:sz w:val="24"/>
                <w:szCs w:val="24"/>
              </w:rPr>
              <w:t>提交履约保证金的时间：</w:t>
            </w:r>
            <w:r>
              <w:rPr>
                <w:rFonts w:hint="eastAsia" w:ascii="黑体" w:hAnsi="黑体" w:eastAsia="黑体" w:cs="黑体"/>
                <w:color w:val="auto"/>
                <w:spacing w:val="-9"/>
                <w:sz w:val="24"/>
                <w:szCs w:val="24"/>
                <w:lang w:val="en-US" w:eastAsia="zh-CN"/>
              </w:rPr>
              <w:t>中标后</w:t>
            </w:r>
            <w:r>
              <w:rPr>
                <w:rFonts w:hint="eastAsia" w:ascii="黑体" w:hAnsi="黑体" w:eastAsia="黑体" w:cs="黑体"/>
                <w:color w:val="auto"/>
                <w:spacing w:val="-9"/>
                <w:sz w:val="24"/>
                <w:szCs w:val="24"/>
              </w:rPr>
              <w:t>5</w:t>
            </w:r>
            <w:r>
              <w:rPr>
                <w:rFonts w:hint="eastAsia" w:ascii="黑体" w:hAnsi="黑体" w:eastAsia="黑体" w:cs="黑体"/>
                <w:color w:val="auto"/>
                <w:spacing w:val="-9"/>
                <w:sz w:val="24"/>
                <w:szCs w:val="24"/>
                <w:lang w:val="en-US" w:eastAsia="zh-CN"/>
              </w:rPr>
              <w:t>个</w:t>
            </w:r>
            <w:r>
              <w:rPr>
                <w:rFonts w:hint="eastAsia" w:ascii="黑体" w:hAnsi="黑体" w:eastAsia="黑体" w:cs="黑体"/>
                <w:color w:val="auto"/>
                <w:spacing w:val="-9"/>
                <w:sz w:val="24"/>
                <w:szCs w:val="24"/>
              </w:rPr>
              <w:t>日历日</w:t>
            </w:r>
            <w:r>
              <w:rPr>
                <w:rFonts w:hint="eastAsia" w:ascii="黑体" w:hAnsi="黑体" w:eastAsia="黑体" w:cs="黑体"/>
                <w:color w:val="auto"/>
                <w:spacing w:val="-9"/>
                <w:sz w:val="24"/>
                <w:szCs w:val="24"/>
                <w:lang w:val="en-US" w:eastAsia="zh-CN"/>
              </w:rPr>
              <w:t>内</w:t>
            </w:r>
          </w:p>
        </w:tc>
      </w:tr>
      <w:tr w14:paraId="62904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937" w:type="dxa"/>
            <w:tcBorders>
              <w:left w:val="single" w:color="000000" w:sz="8" w:space="0"/>
            </w:tcBorders>
            <w:vAlign w:val="top"/>
          </w:tcPr>
          <w:p w14:paraId="432ADE8A">
            <w:pPr>
              <w:pageBreakBefore w:val="0"/>
              <w:kinsoku w:val="0"/>
              <w:wordWrap w:val="0"/>
              <w:overflowPunct/>
              <w:topLinePunct w:val="0"/>
              <w:autoSpaceDE/>
              <w:autoSpaceDN/>
              <w:bidi w:val="0"/>
              <w:spacing w:line="245" w:lineRule="auto"/>
              <w:jc w:val="both"/>
              <w:rPr>
                <w:rFonts w:hint="eastAsia" w:ascii="黑体" w:hAnsi="黑体" w:eastAsia="黑体" w:cs="黑体"/>
                <w:color w:val="auto"/>
                <w:sz w:val="24"/>
                <w:szCs w:val="24"/>
              </w:rPr>
            </w:pPr>
          </w:p>
          <w:p w14:paraId="79FED916">
            <w:pPr>
              <w:pageBreakBefore w:val="0"/>
              <w:kinsoku w:val="0"/>
              <w:wordWrap w:val="0"/>
              <w:overflowPunct/>
              <w:topLinePunct w:val="0"/>
              <w:autoSpaceDE/>
              <w:autoSpaceDN/>
              <w:bidi w:val="0"/>
              <w:spacing w:line="246" w:lineRule="auto"/>
              <w:jc w:val="both"/>
              <w:rPr>
                <w:rFonts w:hint="eastAsia" w:ascii="黑体" w:hAnsi="黑体" w:eastAsia="黑体" w:cs="黑体"/>
                <w:color w:val="auto"/>
                <w:sz w:val="24"/>
                <w:szCs w:val="24"/>
              </w:rPr>
            </w:pPr>
          </w:p>
          <w:p w14:paraId="62F753D4">
            <w:pPr>
              <w:pageBreakBefore w:val="0"/>
              <w:kinsoku w:val="0"/>
              <w:wordWrap w:val="0"/>
              <w:overflowPunct/>
              <w:topLinePunct w:val="0"/>
              <w:autoSpaceDE/>
              <w:autoSpaceDN/>
              <w:bidi w:val="0"/>
              <w:spacing w:line="246" w:lineRule="auto"/>
              <w:jc w:val="both"/>
              <w:rPr>
                <w:rFonts w:hint="eastAsia" w:ascii="黑体" w:hAnsi="黑体" w:eastAsia="黑体" w:cs="黑体"/>
                <w:color w:val="auto"/>
                <w:sz w:val="24"/>
                <w:szCs w:val="24"/>
              </w:rPr>
            </w:pPr>
          </w:p>
          <w:p w14:paraId="5C03CA91">
            <w:pPr>
              <w:pageBreakBefore w:val="0"/>
              <w:kinsoku w:val="0"/>
              <w:wordWrap w:val="0"/>
              <w:overflowPunct/>
              <w:topLinePunct w:val="0"/>
              <w:autoSpaceDE/>
              <w:autoSpaceDN/>
              <w:bidi w:val="0"/>
              <w:spacing w:line="246" w:lineRule="auto"/>
              <w:jc w:val="both"/>
              <w:rPr>
                <w:rFonts w:hint="eastAsia" w:ascii="黑体" w:hAnsi="黑体" w:eastAsia="黑体" w:cs="黑体"/>
                <w:color w:val="auto"/>
                <w:sz w:val="24"/>
                <w:szCs w:val="24"/>
              </w:rPr>
            </w:pPr>
          </w:p>
          <w:p w14:paraId="54CA869D">
            <w:pPr>
              <w:pStyle w:val="23"/>
              <w:pageBreakBefore w:val="0"/>
              <w:kinsoku w:val="0"/>
              <w:wordWrap w:val="0"/>
              <w:overflowPunct/>
              <w:topLinePunct w:val="0"/>
              <w:autoSpaceDE/>
              <w:autoSpaceDN/>
              <w:bidi w:val="0"/>
              <w:spacing w:before="72" w:line="181" w:lineRule="auto"/>
              <w:ind w:left="405"/>
              <w:jc w:val="both"/>
              <w:rPr>
                <w:rFonts w:hint="eastAsia" w:ascii="黑体" w:hAnsi="黑体" w:eastAsia="黑体" w:cs="黑体"/>
                <w:color w:val="auto"/>
                <w:sz w:val="24"/>
                <w:szCs w:val="24"/>
              </w:rPr>
            </w:pPr>
            <w:r>
              <w:rPr>
                <w:rFonts w:hint="eastAsia" w:ascii="黑体" w:hAnsi="黑体" w:eastAsia="黑体" w:cs="黑体"/>
                <w:color w:val="auto"/>
                <w:spacing w:val="-6"/>
                <w:sz w:val="24"/>
                <w:szCs w:val="24"/>
              </w:rPr>
              <w:t>32</w:t>
            </w:r>
          </w:p>
        </w:tc>
        <w:tc>
          <w:tcPr>
            <w:tcW w:w="7641" w:type="dxa"/>
            <w:tcBorders>
              <w:right w:val="single" w:color="000000" w:sz="8" w:space="0"/>
            </w:tcBorders>
            <w:vAlign w:val="top"/>
          </w:tcPr>
          <w:p w14:paraId="4061A447">
            <w:pPr>
              <w:pStyle w:val="23"/>
              <w:pageBreakBefore w:val="0"/>
              <w:kinsoku w:val="0"/>
              <w:wordWrap w:val="0"/>
              <w:overflowPunct/>
              <w:topLinePunct w:val="0"/>
              <w:autoSpaceDE/>
              <w:autoSpaceDN/>
              <w:bidi w:val="0"/>
              <w:spacing w:before="104" w:line="350" w:lineRule="auto"/>
              <w:ind w:left="122" w:right="16" w:hanging="76"/>
              <w:rPr>
                <w:rFonts w:hint="eastAsia" w:ascii="黑体" w:hAnsi="黑体" w:eastAsia="黑体" w:cs="黑体"/>
                <w:color w:val="auto"/>
                <w:spacing w:val="-2"/>
                <w:sz w:val="24"/>
                <w:szCs w:val="24"/>
              </w:rPr>
            </w:pPr>
            <w:r>
              <w:rPr>
                <w:rFonts w:hint="eastAsia" w:ascii="黑体" w:hAnsi="黑体" w:eastAsia="黑体" w:cs="黑体"/>
                <w:color w:val="auto"/>
                <w:spacing w:val="-6"/>
                <w:sz w:val="24"/>
                <w:szCs w:val="24"/>
              </w:rPr>
              <w:t>成交服务费：</w:t>
            </w:r>
            <w:r>
              <w:rPr>
                <w:rFonts w:hint="eastAsia" w:ascii="黑体" w:hAnsi="黑体" w:eastAsia="黑体" w:cs="黑体"/>
                <w:color w:val="auto"/>
                <w:spacing w:val="-6"/>
                <w:sz w:val="24"/>
                <w:szCs w:val="24"/>
                <w:lang w:val="en-US" w:eastAsia="zh-CN"/>
              </w:rPr>
              <w:t>参照【2024】4号</w:t>
            </w:r>
            <w:r>
              <w:rPr>
                <w:rFonts w:hint="eastAsia" w:ascii="黑体" w:hAnsi="黑体" w:eastAsia="黑体" w:cs="黑体"/>
                <w:color w:val="auto"/>
                <w:spacing w:val="-6"/>
                <w:sz w:val="22"/>
                <w:szCs w:val="22"/>
                <w:lang w:val="en-US" w:eastAsia="zh-CN"/>
              </w:rPr>
              <w:t>文计取</w:t>
            </w:r>
            <w:r>
              <w:rPr>
                <w:rFonts w:hint="eastAsia" w:ascii="黑体" w:hAnsi="黑体" w:eastAsia="黑体" w:cs="黑体"/>
                <w:color w:val="auto"/>
                <w:spacing w:val="-7"/>
                <w:sz w:val="24"/>
                <w:szCs w:val="24"/>
              </w:rPr>
              <w:t>，</w:t>
            </w:r>
            <w:r>
              <w:rPr>
                <w:rFonts w:hint="eastAsia" w:ascii="黑体" w:hAnsi="黑体" w:eastAsia="黑体" w:cs="黑体"/>
                <w:color w:val="auto"/>
                <w:spacing w:val="-7"/>
                <w:sz w:val="24"/>
                <w:szCs w:val="24"/>
                <w:lang w:val="en-US" w:eastAsia="zh-CN"/>
              </w:rPr>
              <w:t>由</w:t>
            </w:r>
            <w:r>
              <w:rPr>
                <w:rFonts w:hint="eastAsia" w:ascii="黑体" w:hAnsi="黑体" w:eastAsia="黑体" w:cs="黑体"/>
                <w:color w:val="auto"/>
                <w:spacing w:val="-7"/>
                <w:sz w:val="24"/>
                <w:szCs w:val="24"/>
              </w:rPr>
              <w:t>中标单</w:t>
            </w:r>
            <w:r>
              <w:rPr>
                <w:rFonts w:hint="eastAsia" w:ascii="黑体" w:hAnsi="黑体" w:eastAsia="黑体" w:cs="黑体"/>
                <w:color w:val="auto"/>
                <w:spacing w:val="-2"/>
                <w:sz w:val="24"/>
                <w:szCs w:val="24"/>
              </w:rPr>
              <w:t>位在领取中标通知书前向代理机构一次性支付。</w:t>
            </w:r>
          </w:p>
          <w:p w14:paraId="0FAB7E44">
            <w:pPr>
              <w:pStyle w:val="23"/>
              <w:pageBreakBefore w:val="0"/>
              <w:kinsoku w:val="0"/>
              <w:wordWrap w:val="0"/>
              <w:overflowPunct/>
              <w:topLinePunct w:val="0"/>
              <w:autoSpaceDE/>
              <w:autoSpaceDN/>
              <w:bidi w:val="0"/>
              <w:spacing w:before="104" w:line="350" w:lineRule="auto"/>
              <w:ind w:left="122" w:right="16" w:hanging="76"/>
              <w:rPr>
                <w:rFonts w:hint="eastAsia" w:ascii="黑体" w:hAnsi="黑体" w:eastAsia="黑体" w:cs="黑体"/>
                <w:color w:val="auto"/>
                <w:sz w:val="24"/>
                <w:szCs w:val="24"/>
                <w:lang w:eastAsia="zh-CN"/>
              </w:rPr>
            </w:pPr>
            <w:r>
              <w:rPr>
                <w:rFonts w:hint="eastAsia" w:ascii="黑体" w:hAnsi="黑体" w:eastAsia="黑体" w:cs="黑体"/>
                <w:color w:val="auto"/>
                <w:spacing w:val="-5"/>
                <w:sz w:val="24"/>
                <w:szCs w:val="24"/>
              </w:rPr>
              <w:t>支付形式：转账</w:t>
            </w:r>
            <w:r>
              <w:rPr>
                <w:rFonts w:hint="eastAsia" w:ascii="黑体" w:hAnsi="黑体" w:eastAsia="黑体" w:cs="黑体"/>
                <w:color w:val="auto"/>
                <w:spacing w:val="-5"/>
                <w:sz w:val="24"/>
                <w:szCs w:val="24"/>
                <w:lang w:val="en-US" w:eastAsia="zh-CN"/>
              </w:rPr>
              <w:t>或电汇</w:t>
            </w:r>
            <w:r>
              <w:rPr>
                <w:rFonts w:hint="eastAsia" w:ascii="黑体" w:hAnsi="黑体" w:eastAsia="黑体" w:cs="黑体"/>
                <w:color w:val="auto"/>
                <w:spacing w:val="-5"/>
                <w:sz w:val="24"/>
                <w:szCs w:val="24"/>
                <w:lang w:eastAsia="zh-CN"/>
              </w:rPr>
              <w:t>。</w:t>
            </w:r>
          </w:p>
          <w:p w14:paraId="4828DC83">
            <w:pPr>
              <w:pStyle w:val="23"/>
              <w:pageBreakBefore w:val="0"/>
              <w:kinsoku w:val="0"/>
              <w:wordWrap w:val="0"/>
              <w:overflowPunct/>
              <w:topLinePunct w:val="0"/>
              <w:autoSpaceDE/>
              <w:autoSpaceDN/>
              <w:bidi w:val="0"/>
              <w:spacing w:before="154" w:line="194" w:lineRule="auto"/>
              <w:ind w:left="40"/>
              <w:rPr>
                <w:rFonts w:hint="eastAsia" w:ascii="黑体" w:hAnsi="黑体" w:eastAsia="黑体" w:cs="黑体"/>
                <w:color w:val="auto"/>
                <w:sz w:val="24"/>
                <w:szCs w:val="24"/>
                <w:lang w:eastAsia="zh-CN"/>
              </w:rPr>
            </w:pPr>
            <w:r>
              <w:rPr>
                <w:rFonts w:hint="eastAsia" w:ascii="黑体" w:hAnsi="黑体" w:eastAsia="黑体" w:cs="黑体"/>
                <w:color w:val="auto"/>
                <w:spacing w:val="-3"/>
                <w:sz w:val="24"/>
                <w:szCs w:val="24"/>
              </w:rPr>
              <w:t>支付时间：领取成交通知书时</w:t>
            </w:r>
            <w:r>
              <w:rPr>
                <w:rFonts w:hint="eastAsia" w:ascii="黑体" w:hAnsi="黑体" w:eastAsia="黑体" w:cs="黑体"/>
                <w:color w:val="auto"/>
                <w:spacing w:val="-3"/>
                <w:sz w:val="24"/>
                <w:szCs w:val="24"/>
                <w:lang w:eastAsia="zh-CN"/>
              </w:rPr>
              <w:t>。</w:t>
            </w:r>
          </w:p>
        </w:tc>
      </w:tr>
      <w:tr w14:paraId="31F5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37" w:type="dxa"/>
            <w:tcBorders>
              <w:left w:val="single" w:color="000000" w:sz="8" w:space="0"/>
            </w:tcBorders>
            <w:vAlign w:val="top"/>
          </w:tcPr>
          <w:p w14:paraId="4FC5A342">
            <w:pPr>
              <w:pStyle w:val="23"/>
              <w:pageBreakBefore w:val="0"/>
              <w:kinsoku w:val="0"/>
              <w:wordWrap w:val="0"/>
              <w:overflowPunct/>
              <w:topLinePunct w:val="0"/>
              <w:autoSpaceDE/>
              <w:autoSpaceDN/>
              <w:bidi w:val="0"/>
              <w:spacing w:before="248" w:line="181" w:lineRule="auto"/>
              <w:ind w:left="279"/>
              <w:rPr>
                <w:rFonts w:hint="eastAsia" w:ascii="黑体" w:hAnsi="黑体" w:eastAsia="黑体" w:cs="黑体"/>
                <w:color w:val="auto"/>
                <w:sz w:val="24"/>
                <w:szCs w:val="24"/>
              </w:rPr>
            </w:pPr>
            <w:r>
              <w:rPr>
                <w:rFonts w:hint="eastAsia" w:ascii="黑体" w:hAnsi="黑体" w:eastAsia="黑体" w:cs="黑体"/>
                <w:color w:val="auto"/>
                <w:spacing w:val="-5"/>
                <w:sz w:val="24"/>
                <w:szCs w:val="24"/>
              </w:rPr>
              <w:t>33.1</w:t>
            </w:r>
          </w:p>
        </w:tc>
        <w:tc>
          <w:tcPr>
            <w:tcW w:w="7641" w:type="dxa"/>
            <w:tcBorders>
              <w:right w:val="single" w:color="000000" w:sz="8" w:space="0"/>
            </w:tcBorders>
            <w:vAlign w:val="top"/>
          </w:tcPr>
          <w:p w14:paraId="6265FA0F">
            <w:pPr>
              <w:pStyle w:val="23"/>
              <w:pageBreakBefore w:val="0"/>
              <w:kinsoku w:val="0"/>
              <w:wordWrap w:val="0"/>
              <w:overflowPunct/>
              <w:topLinePunct w:val="0"/>
              <w:autoSpaceDE/>
              <w:autoSpaceDN/>
              <w:bidi w:val="0"/>
              <w:spacing w:before="204" w:line="215" w:lineRule="auto"/>
              <w:ind w:left="41"/>
              <w:rPr>
                <w:rFonts w:hint="eastAsia" w:ascii="黑体" w:hAnsi="黑体" w:eastAsia="黑体" w:cs="黑体"/>
                <w:color w:val="auto"/>
                <w:sz w:val="24"/>
                <w:szCs w:val="24"/>
              </w:rPr>
            </w:pPr>
            <w:r>
              <w:rPr>
                <w:rFonts w:hint="eastAsia" w:ascii="黑体" w:hAnsi="黑体" w:eastAsia="黑体" w:cs="黑体"/>
                <w:color w:val="auto"/>
                <w:spacing w:val="4"/>
                <w:sz w:val="24"/>
                <w:szCs w:val="24"/>
              </w:rPr>
              <w:t>本项目是否属于信用担保试点范围：</w:t>
            </w:r>
            <w:r>
              <w:rPr>
                <w:rFonts w:hint="eastAsia" w:ascii="黑体" w:hAnsi="黑体" w:eastAsia="黑体" w:cs="黑体"/>
                <w:i/>
                <w:iCs/>
                <w:color w:val="auto"/>
                <w:spacing w:val="4"/>
                <w:sz w:val="24"/>
                <w:szCs w:val="24"/>
                <w:u w:val="single" w:color="auto"/>
              </w:rPr>
              <w:t>是</w:t>
            </w:r>
            <w:r>
              <w:rPr>
                <w:rFonts w:hint="eastAsia" w:ascii="黑体" w:hAnsi="黑体" w:eastAsia="黑体" w:cs="黑体"/>
                <w:i/>
                <w:iCs/>
                <w:color w:val="auto"/>
                <w:spacing w:val="4"/>
                <w:sz w:val="24"/>
                <w:szCs w:val="24"/>
              </w:rPr>
              <w:t>（是、</w:t>
            </w:r>
            <w:r>
              <w:rPr>
                <w:rFonts w:hint="eastAsia" w:ascii="黑体" w:hAnsi="黑体" w:eastAsia="黑体" w:cs="黑体"/>
                <w:i/>
                <w:iCs/>
                <w:color w:val="auto"/>
                <w:spacing w:val="3"/>
                <w:sz w:val="24"/>
                <w:szCs w:val="24"/>
              </w:rPr>
              <w:t>否）</w:t>
            </w:r>
          </w:p>
        </w:tc>
      </w:tr>
      <w:tr w14:paraId="3544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37" w:type="dxa"/>
            <w:tcBorders>
              <w:left w:val="single" w:color="000000" w:sz="8" w:space="0"/>
            </w:tcBorders>
            <w:vAlign w:val="center"/>
          </w:tcPr>
          <w:p w14:paraId="66CEAA0C">
            <w:pPr>
              <w:keepNext w:val="0"/>
              <w:keepLines w:val="0"/>
              <w:pageBreakBefore w:val="0"/>
              <w:kinsoku w:val="0"/>
              <w:wordWrap w:val="0"/>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5"/>
                <w:sz w:val="24"/>
                <w:szCs w:val="24"/>
              </w:rPr>
            </w:pPr>
            <w:r>
              <w:rPr>
                <w:rFonts w:hint="eastAsia" w:ascii="黑体" w:hAnsi="黑体" w:eastAsia="黑体" w:cs="黑体"/>
                <w:color w:val="auto"/>
                <w:sz w:val="24"/>
                <w:szCs w:val="24"/>
                <w:lang w:val="en-US" w:eastAsia="zh-CN"/>
              </w:rPr>
              <w:t>34</w:t>
            </w:r>
          </w:p>
        </w:tc>
        <w:tc>
          <w:tcPr>
            <w:tcW w:w="7641" w:type="dxa"/>
            <w:tcBorders>
              <w:right w:val="single" w:color="000000" w:sz="8" w:space="0"/>
            </w:tcBorders>
            <w:vAlign w:val="center"/>
          </w:tcPr>
          <w:p w14:paraId="7A027293">
            <w:pPr>
              <w:keepNext w:val="0"/>
              <w:keepLines w:val="0"/>
              <w:pageBreakBefore w:val="0"/>
              <w:kinsoku w:val="0"/>
              <w:wordWrap w:val="0"/>
              <w:overflowPunct/>
              <w:topLinePunct w:val="0"/>
              <w:autoSpaceDE/>
              <w:autoSpaceDN/>
              <w:bidi w:val="0"/>
              <w:adjustRightInd/>
              <w:snapToGrid/>
              <w:spacing w:line="360" w:lineRule="auto"/>
              <w:textAlignment w:val="auto"/>
              <w:rPr>
                <w:rFonts w:hint="eastAsia" w:ascii="黑体" w:hAnsi="黑体" w:eastAsia="黑体" w:cs="黑体"/>
                <w:color w:val="auto"/>
                <w:spacing w:val="4"/>
                <w:sz w:val="24"/>
                <w:szCs w:val="24"/>
              </w:rPr>
            </w:pPr>
            <w:r>
              <w:rPr>
                <w:rFonts w:hint="eastAsia" w:ascii="黑体" w:hAnsi="黑体" w:eastAsia="黑体" w:cs="黑体"/>
                <w:color w:val="auto"/>
                <w:sz w:val="24"/>
                <w:szCs w:val="24"/>
                <w:u w:val="none"/>
                <w:lang w:eastAsia="zh-CN"/>
              </w:rPr>
              <w:t>服务</w:t>
            </w:r>
            <w:r>
              <w:rPr>
                <w:rFonts w:hint="eastAsia" w:ascii="黑体" w:hAnsi="黑体" w:eastAsia="黑体" w:cs="黑体"/>
                <w:color w:val="auto"/>
                <w:sz w:val="24"/>
                <w:szCs w:val="24"/>
                <w:u w:val="none"/>
              </w:rPr>
              <w:t>期</w:t>
            </w:r>
            <w:r>
              <w:rPr>
                <w:rFonts w:hint="eastAsia" w:ascii="黑体" w:hAnsi="黑体" w:eastAsia="黑体" w:cs="黑体"/>
                <w:color w:val="auto"/>
                <w:sz w:val="24"/>
                <w:szCs w:val="24"/>
                <w:u w:val="none"/>
                <w:lang w:eastAsia="zh-CN"/>
              </w:rPr>
              <w:t>限：自签订合同后10个月内完成</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u w:val="none"/>
                <w:lang w:eastAsia="zh-CN"/>
              </w:rPr>
              <w:t>（具体以签订合同为准）</w:t>
            </w:r>
          </w:p>
        </w:tc>
      </w:tr>
      <w:tr w14:paraId="61DF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937" w:type="dxa"/>
            <w:tcBorders>
              <w:left w:val="single" w:color="000000" w:sz="8" w:space="0"/>
            </w:tcBorders>
            <w:vAlign w:val="center"/>
          </w:tcPr>
          <w:p w14:paraId="2C8D8C46">
            <w:pPr>
              <w:keepNext w:val="0"/>
              <w:keepLines w:val="0"/>
              <w:pageBreakBefore w:val="0"/>
              <w:kinsoku w:val="0"/>
              <w:wordWrap w:val="0"/>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5"/>
                <w:sz w:val="24"/>
                <w:szCs w:val="24"/>
              </w:rPr>
            </w:pPr>
            <w:r>
              <w:rPr>
                <w:rFonts w:hint="eastAsia" w:ascii="黑体" w:hAnsi="黑体" w:eastAsia="黑体" w:cs="黑体"/>
                <w:color w:val="auto"/>
                <w:sz w:val="24"/>
                <w:szCs w:val="24"/>
                <w:lang w:val="en-US" w:eastAsia="zh-CN"/>
              </w:rPr>
              <w:t>35</w:t>
            </w:r>
          </w:p>
        </w:tc>
        <w:tc>
          <w:tcPr>
            <w:tcW w:w="7641" w:type="dxa"/>
            <w:tcBorders>
              <w:right w:val="single" w:color="000000" w:sz="8" w:space="0"/>
            </w:tcBorders>
            <w:vAlign w:val="center"/>
          </w:tcPr>
          <w:p w14:paraId="7E0BE013">
            <w:pPr>
              <w:pStyle w:val="24"/>
              <w:keepNext w:val="0"/>
              <w:keepLines w:val="0"/>
              <w:pageBreakBefore w:val="0"/>
              <w:numPr>
                <w:ilvl w:val="0"/>
                <w:numId w:val="0"/>
              </w:numPr>
              <w:tabs>
                <w:tab w:val="left" w:pos="2095"/>
              </w:tabs>
              <w:kinsoku w:val="0"/>
              <w:wordWrap w:val="0"/>
              <w:overflowPunct/>
              <w:topLinePunct w:val="0"/>
              <w:autoSpaceDE/>
              <w:autoSpaceDN/>
              <w:bidi w:val="0"/>
              <w:adjustRightInd/>
              <w:snapToGrid/>
              <w:spacing w:after="0" w:line="360" w:lineRule="auto"/>
              <w:ind w:left="0" w:leftChars="0" w:right="0" w:rightChars="0" w:firstLine="0" w:firstLineChars="0"/>
              <w:jc w:val="left"/>
              <w:textAlignment w:val="auto"/>
              <w:rPr>
                <w:rFonts w:hint="eastAsia" w:ascii="黑体" w:hAnsi="黑体" w:eastAsia="黑体" w:cs="黑体"/>
                <w:color w:val="auto"/>
                <w:spacing w:val="4"/>
                <w:sz w:val="24"/>
                <w:szCs w:val="24"/>
              </w:rPr>
            </w:pPr>
            <w:r>
              <w:rPr>
                <w:rFonts w:hint="eastAsia" w:ascii="黑体" w:hAnsi="黑体" w:eastAsia="黑体" w:cs="黑体"/>
                <w:color w:val="auto"/>
                <w:sz w:val="24"/>
                <w:szCs w:val="24"/>
                <w:lang w:val="en-US" w:eastAsia="zh-CN"/>
              </w:rPr>
              <w:t>磋商文件中或有其它未尽事宜，以合同签订为准。</w:t>
            </w:r>
          </w:p>
        </w:tc>
      </w:tr>
      <w:tr w14:paraId="762E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578" w:type="dxa"/>
            <w:gridSpan w:val="2"/>
            <w:tcBorders>
              <w:left w:val="single" w:color="000000" w:sz="8" w:space="0"/>
              <w:right w:val="single" w:color="000000" w:sz="8" w:space="0"/>
            </w:tcBorders>
            <w:vAlign w:val="center"/>
          </w:tcPr>
          <w:p w14:paraId="5AFC4C06">
            <w:pPr>
              <w:pStyle w:val="24"/>
              <w:keepNext w:val="0"/>
              <w:keepLines w:val="0"/>
              <w:pageBreakBefore w:val="0"/>
              <w:numPr>
                <w:ilvl w:val="0"/>
                <w:numId w:val="0"/>
              </w:numPr>
              <w:tabs>
                <w:tab w:val="left" w:pos="2095"/>
              </w:tabs>
              <w:kinsoku w:val="0"/>
              <w:wordWrap w:val="0"/>
              <w:overflowPunct/>
              <w:topLinePunct w:val="0"/>
              <w:autoSpaceDE/>
              <w:autoSpaceDN/>
              <w:bidi w:val="0"/>
              <w:adjustRightInd/>
              <w:snapToGrid/>
              <w:spacing w:after="0" w:line="360" w:lineRule="auto"/>
              <w:ind w:left="0" w:leftChars="0" w:right="0" w:rightChars="0" w:firstLine="0" w:firstLineChars="0"/>
              <w:jc w:val="left"/>
              <w:textAlignment w:val="auto"/>
              <w:rPr>
                <w:rFonts w:hint="eastAsia" w:ascii="黑体" w:hAnsi="黑体" w:eastAsia="黑体" w:cs="黑体"/>
                <w:color w:val="auto"/>
                <w:spacing w:val="4"/>
                <w:sz w:val="24"/>
                <w:szCs w:val="24"/>
              </w:rPr>
            </w:pPr>
            <w:r>
              <w:rPr>
                <w:rFonts w:hint="eastAsia" w:ascii="黑体" w:hAnsi="黑体" w:eastAsia="黑体" w:cs="黑体"/>
                <w:b/>
                <w:bCs/>
                <w:color w:val="auto"/>
                <w:sz w:val="24"/>
                <w:szCs w:val="24"/>
              </w:rPr>
              <w:t>适用于本投标人须知的额外增加的变动：</w:t>
            </w:r>
          </w:p>
        </w:tc>
      </w:tr>
      <w:tr w14:paraId="0810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578" w:type="dxa"/>
            <w:gridSpan w:val="2"/>
            <w:tcBorders>
              <w:left w:val="single" w:color="000000" w:sz="8" w:space="0"/>
              <w:bottom w:val="single" w:color="000000" w:sz="8" w:space="0"/>
            </w:tcBorders>
            <w:vAlign w:val="center"/>
          </w:tcPr>
          <w:p w14:paraId="7CB5670B">
            <w:pPr>
              <w:pageBreakBefore w:val="0"/>
              <w:kinsoku w:val="0"/>
              <w:wordWrap w:val="0"/>
              <w:overflowPunct/>
              <w:topLinePunct w:val="0"/>
              <w:autoSpaceDE/>
              <w:autoSpaceDN/>
              <w:bidi w:val="0"/>
              <w:spacing w:line="360" w:lineRule="auto"/>
              <w:jc w:val="both"/>
              <w:textAlignment w:val="auto"/>
              <w:rPr>
                <w:rFonts w:hint="eastAsia" w:ascii="黑体" w:hAnsi="黑体" w:eastAsia="黑体" w:cs="黑体"/>
                <w:b/>
                <w:bCs/>
                <w:i w:val="0"/>
                <w:iCs w:val="0"/>
                <w:color w:val="auto"/>
                <w:sz w:val="24"/>
                <w:szCs w:val="24"/>
                <w:highlight w:val="none"/>
                <w:lang w:val="en-US" w:eastAsia="zh-CN"/>
              </w:rPr>
            </w:pPr>
            <w:r>
              <w:rPr>
                <w:rFonts w:hint="eastAsia" w:ascii="黑体" w:hAnsi="黑体" w:eastAsia="黑体" w:cs="黑体"/>
                <w:b/>
                <w:bCs/>
                <w:i w:val="0"/>
                <w:iCs w:val="0"/>
                <w:color w:val="auto"/>
                <w:sz w:val="24"/>
                <w:szCs w:val="24"/>
                <w:highlight w:val="none"/>
                <w:lang w:val="en-US" w:eastAsia="zh-CN"/>
              </w:rPr>
              <w:t>备注：</w:t>
            </w:r>
          </w:p>
          <w:p w14:paraId="174D140B">
            <w:pPr>
              <w:pageBreakBefore w:val="0"/>
              <w:kinsoku w:val="0"/>
              <w:wordWrap w:val="0"/>
              <w:overflowPunct/>
              <w:topLinePunct w:val="0"/>
              <w:autoSpaceDE/>
              <w:autoSpaceDN/>
              <w:bidi w:val="0"/>
              <w:spacing w:line="360" w:lineRule="auto"/>
              <w:jc w:val="both"/>
              <w:textAlignment w:val="auto"/>
              <w:rPr>
                <w:rFonts w:hint="eastAsia" w:ascii="黑体" w:hAnsi="黑体" w:eastAsia="黑体" w:cs="黑体"/>
                <w:b/>
                <w:bCs/>
                <w:i w:val="0"/>
                <w:iCs w:val="0"/>
                <w:color w:val="auto"/>
                <w:sz w:val="24"/>
                <w:szCs w:val="24"/>
                <w:highlight w:val="none"/>
                <w:lang w:val="en-US" w:eastAsia="zh-CN"/>
              </w:rPr>
            </w:pPr>
            <w:r>
              <w:rPr>
                <w:rFonts w:hint="eastAsia" w:ascii="黑体" w:hAnsi="黑体" w:eastAsia="黑体" w:cs="黑体"/>
                <w:b/>
                <w:bCs/>
                <w:i w:val="0"/>
                <w:iCs w:val="0"/>
                <w:color w:val="auto"/>
                <w:sz w:val="24"/>
                <w:szCs w:val="24"/>
                <w:highlight w:val="none"/>
                <w:lang w:val="en-US" w:eastAsia="zh-CN"/>
              </w:rPr>
              <w:t>1、本项目所属行业为：</w:t>
            </w:r>
            <w:r>
              <w:rPr>
                <w:rFonts w:hint="eastAsia" w:ascii="黑体" w:hAnsi="黑体" w:eastAsia="黑体" w:cs="黑体"/>
                <w:b/>
                <w:bCs w:val="0"/>
                <w:color w:val="auto"/>
                <w:kern w:val="0"/>
                <w:sz w:val="24"/>
                <w:szCs w:val="24"/>
                <w:highlight w:val="none"/>
              </w:rPr>
              <w:t>租赁和商务服务业</w:t>
            </w:r>
            <w:r>
              <w:rPr>
                <w:rFonts w:hint="eastAsia" w:ascii="黑体" w:hAnsi="黑体" w:eastAsia="黑体" w:cs="黑体"/>
                <w:b/>
                <w:bCs/>
                <w:i w:val="0"/>
                <w:iCs w:val="0"/>
                <w:color w:val="auto"/>
                <w:sz w:val="24"/>
                <w:szCs w:val="24"/>
                <w:highlight w:val="none"/>
                <w:lang w:val="en-US" w:eastAsia="zh-CN"/>
              </w:rPr>
              <w:t>。</w:t>
            </w:r>
          </w:p>
          <w:p w14:paraId="5E8A311D">
            <w:pPr>
              <w:pStyle w:val="24"/>
              <w:keepNext w:val="0"/>
              <w:keepLines w:val="0"/>
              <w:pageBreakBefore w:val="0"/>
              <w:numPr>
                <w:ilvl w:val="0"/>
                <w:numId w:val="0"/>
              </w:numPr>
              <w:tabs>
                <w:tab w:val="left" w:pos="2095"/>
              </w:tabs>
              <w:kinsoku w:val="0"/>
              <w:wordWrap w:val="0"/>
              <w:overflowPunct/>
              <w:topLinePunct w:val="0"/>
              <w:autoSpaceDE/>
              <w:autoSpaceDN/>
              <w:bidi w:val="0"/>
              <w:adjustRightInd/>
              <w:snapToGrid/>
              <w:spacing w:after="0" w:line="360" w:lineRule="auto"/>
              <w:ind w:right="0" w:rightChars="0"/>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2、本招标文件中出现前后矛盾不一致的，以投标人须知资料表为准。</w:t>
            </w:r>
          </w:p>
          <w:p w14:paraId="78C19BE9">
            <w:pPr>
              <w:pStyle w:val="24"/>
              <w:keepNext w:val="0"/>
              <w:keepLines w:val="0"/>
              <w:pageBreakBefore w:val="0"/>
              <w:numPr>
                <w:ilvl w:val="0"/>
                <w:numId w:val="0"/>
              </w:numPr>
              <w:tabs>
                <w:tab w:val="left" w:pos="2095"/>
              </w:tabs>
              <w:kinsoku w:val="0"/>
              <w:wordWrap w:val="0"/>
              <w:overflowPunct/>
              <w:topLinePunct w:val="0"/>
              <w:autoSpaceDE/>
              <w:autoSpaceDN/>
              <w:bidi w:val="0"/>
              <w:adjustRightInd/>
              <w:snapToGrid/>
              <w:spacing w:after="0" w:line="360" w:lineRule="auto"/>
              <w:ind w:right="0" w:rightChars="0"/>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3、其他未尽事宜中标人与采购人后期签订合同自行约定。</w:t>
            </w:r>
          </w:p>
          <w:p w14:paraId="67D34A23">
            <w:pPr>
              <w:pStyle w:val="24"/>
              <w:keepNext w:val="0"/>
              <w:keepLines w:val="0"/>
              <w:pageBreakBefore w:val="0"/>
              <w:numPr>
                <w:ilvl w:val="0"/>
                <w:numId w:val="0"/>
              </w:numPr>
              <w:tabs>
                <w:tab w:val="left" w:pos="2095"/>
              </w:tabs>
              <w:kinsoku w:val="0"/>
              <w:wordWrap w:val="0"/>
              <w:overflowPunct/>
              <w:topLinePunct w:val="0"/>
              <w:autoSpaceDE/>
              <w:autoSpaceDN/>
              <w:bidi w:val="0"/>
              <w:adjustRightInd/>
              <w:snapToGrid/>
              <w:spacing w:after="0" w:line="360" w:lineRule="auto"/>
              <w:ind w:left="0" w:leftChars="0" w:right="0" w:rightChars="0" w:firstLine="0" w:firstLineChars="0"/>
              <w:jc w:val="left"/>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4、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逾期不再接收。在法定质疑期内供应商针对同一采购程序环节的质疑应当一次性提出。</w:t>
            </w:r>
          </w:p>
        </w:tc>
      </w:tr>
    </w:tbl>
    <w:p w14:paraId="6DF43597">
      <w:pPr>
        <w:pageBreakBefore w:val="0"/>
        <w:kinsoku w:val="0"/>
        <w:wordWrap w:val="0"/>
        <w:overflowPunct/>
        <w:topLinePunct w:val="0"/>
        <w:autoSpaceDE/>
        <w:autoSpaceDN/>
        <w:bidi w:val="0"/>
        <w:rPr>
          <w:rFonts w:hint="eastAsia" w:ascii="黑体" w:hAnsi="黑体" w:eastAsia="黑体" w:cs="黑体"/>
          <w:color w:val="auto"/>
          <w:sz w:val="24"/>
          <w:szCs w:val="24"/>
        </w:rPr>
      </w:pPr>
    </w:p>
    <w:p w14:paraId="7A64EA35">
      <w:pPr>
        <w:pageBreakBefore w:val="0"/>
        <w:kinsoku w:val="0"/>
        <w:wordWrap w:val="0"/>
        <w:overflowPunct/>
        <w:topLinePunct w:val="0"/>
        <w:autoSpaceDE/>
        <w:autoSpaceDN/>
        <w:bidi w:val="0"/>
        <w:rPr>
          <w:rFonts w:hint="eastAsia" w:ascii="黑体" w:hAnsi="黑体" w:eastAsia="黑体" w:cs="黑体"/>
          <w:color w:val="auto"/>
          <w:sz w:val="21"/>
          <w:szCs w:val="21"/>
        </w:rPr>
        <w:sectPr>
          <w:footerReference r:id="rId29" w:type="default"/>
          <w:pgSz w:w="11906" w:h="16840"/>
          <w:pgMar w:top="1431" w:right="1553" w:bottom="1359" w:left="1753" w:header="0" w:footer="1145" w:gutter="0"/>
          <w:pgNumType w:fmt="decimal"/>
          <w:cols w:space="720" w:num="1"/>
        </w:sectPr>
      </w:pPr>
    </w:p>
    <w:p w14:paraId="24CCE051">
      <w:pPr>
        <w:pStyle w:val="3"/>
        <w:pageBreakBefore w:val="0"/>
        <w:numPr>
          <w:ilvl w:val="0"/>
          <w:numId w:val="20"/>
        </w:numPr>
        <w:kinsoku w:val="0"/>
        <w:wordWrap w:val="0"/>
        <w:overflowPunct/>
        <w:topLinePunct w:val="0"/>
        <w:autoSpaceDE/>
        <w:autoSpaceDN/>
        <w:bidi w:val="0"/>
        <w:spacing w:line="400" w:lineRule="exact"/>
        <w:jc w:val="center"/>
        <w:rPr>
          <w:rFonts w:hint="eastAsia" w:ascii="黑体" w:hAnsi="黑体" w:eastAsia="黑体" w:cs="黑体"/>
          <w:b/>
          <w:bCs/>
          <w:color w:val="auto"/>
          <w:spacing w:val="3"/>
          <w:sz w:val="28"/>
          <w:szCs w:val="28"/>
        </w:rPr>
      </w:pPr>
      <w:bookmarkStart w:id="23" w:name="_Toc11123"/>
      <w:r>
        <w:rPr>
          <w:rFonts w:hint="eastAsia" w:ascii="黑体" w:hAnsi="黑体" w:eastAsia="黑体" w:cs="黑体"/>
          <w:b/>
          <w:bCs/>
          <w:color w:val="auto"/>
          <w:spacing w:val="3"/>
          <w:sz w:val="28"/>
          <w:szCs w:val="28"/>
        </w:rPr>
        <w:t>项目服务内容及需求</w:t>
      </w:r>
      <w:bookmarkEnd w:id="23"/>
      <w:bookmarkStart w:id="24" w:name="_Toc125894756"/>
      <w:bookmarkStart w:id="25" w:name="_Toc1458935"/>
      <w:bookmarkStart w:id="26" w:name="_Toc76569058"/>
    </w:p>
    <w:p w14:paraId="777A9247">
      <w:pPr>
        <w:pStyle w:val="3"/>
        <w:pageBreakBefore w:val="0"/>
        <w:numPr>
          <w:ilvl w:val="0"/>
          <w:numId w:val="0"/>
        </w:numPr>
        <w:kinsoku w:val="0"/>
        <w:wordWrap w:val="0"/>
        <w:overflowPunct/>
        <w:topLinePunct w:val="0"/>
        <w:autoSpaceDE/>
        <w:autoSpaceDN/>
        <w:bidi w:val="0"/>
        <w:spacing w:line="480" w:lineRule="auto"/>
        <w:jc w:val="both"/>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一、</w:t>
      </w:r>
      <w:bookmarkEnd w:id="24"/>
      <w:bookmarkEnd w:id="25"/>
      <w:bookmarkEnd w:id="26"/>
      <w:r>
        <w:rPr>
          <w:rFonts w:hint="eastAsia" w:ascii="黑体" w:hAnsi="黑体" w:eastAsia="黑体" w:cs="黑体"/>
          <w:b/>
          <w:bCs/>
          <w:color w:val="auto"/>
          <w:kern w:val="0"/>
          <w:sz w:val="24"/>
          <w:szCs w:val="24"/>
          <w:highlight w:val="none"/>
          <w:lang w:val="en-US" w:eastAsia="zh-CN" w:bidi="ar-SA"/>
        </w:rPr>
        <w:t>项目简介</w:t>
      </w:r>
    </w:p>
    <w:p w14:paraId="00F52426">
      <w:pPr>
        <w:pStyle w:val="4"/>
        <w:pageBreakBefore w:val="0"/>
        <w:kinsoku w:val="0"/>
        <w:wordWrap w:val="0"/>
        <w:overflowPunct/>
        <w:topLinePunct w:val="0"/>
        <w:autoSpaceDE/>
        <w:autoSpaceDN/>
        <w:bidi w:val="0"/>
        <w:spacing w:before="0" w:after="0" w:line="480" w:lineRule="auto"/>
        <w:ind w:left="0" w:leftChars="0" w:firstLine="0" w:firstLineChars="0"/>
        <w:rPr>
          <w:rFonts w:hint="eastAsia" w:ascii="黑体" w:hAnsi="黑体" w:eastAsia="黑体" w:cs="黑体"/>
          <w:b w:val="0"/>
          <w:bCs/>
          <w:color w:val="auto"/>
          <w:u w:val="none"/>
          <w:lang w:val="en-US" w:eastAsia="zh-CN"/>
        </w:rPr>
      </w:pPr>
      <w:r>
        <w:rPr>
          <w:rFonts w:hint="eastAsia" w:ascii="黑体" w:hAnsi="黑体" w:eastAsia="黑体" w:cs="黑体"/>
          <w:b w:val="0"/>
          <w:bCs/>
          <w:color w:val="auto"/>
          <w:u w:val="none"/>
          <w:lang w:val="en-US" w:eastAsia="zh-CN"/>
        </w:rPr>
        <w:t>项目名称：巴楚县产业发展促进就业资助-特色产品推广和品牌营销项目</w:t>
      </w:r>
    </w:p>
    <w:p w14:paraId="479CED28">
      <w:pPr>
        <w:pageBreakBefore w:val="0"/>
        <w:numPr>
          <w:ilvl w:val="0"/>
          <w:numId w:val="0"/>
        </w:numPr>
        <w:kinsoku w:val="0"/>
        <w:wordWrap w:val="0"/>
        <w:overflowPunct/>
        <w:topLinePunct w:val="0"/>
        <w:autoSpaceDE/>
        <w:autoSpaceDN/>
        <w:bidi w:val="0"/>
        <w:spacing w:line="480" w:lineRule="auto"/>
        <w:ind w:left="0" w:leftChars="0" w:firstLine="0" w:firstLineChars="0"/>
        <w:rPr>
          <w:rFonts w:hint="eastAsia" w:ascii="黑体" w:hAnsi="黑体" w:eastAsia="黑体" w:cs="黑体"/>
          <w:b w:val="0"/>
          <w:bCs w:val="0"/>
          <w:color w:val="auto"/>
          <w:kern w:val="0"/>
          <w:sz w:val="24"/>
          <w:szCs w:val="24"/>
          <w:highlight w:val="none"/>
          <w:lang w:val="en-US" w:eastAsia="zh-CN" w:bidi="ar-SA"/>
        </w:rPr>
      </w:pPr>
      <w:r>
        <w:rPr>
          <w:rFonts w:hint="eastAsia" w:ascii="黑体" w:hAnsi="黑体" w:eastAsia="黑体" w:cs="黑体"/>
          <w:b w:val="0"/>
          <w:bCs w:val="0"/>
          <w:color w:val="auto"/>
          <w:kern w:val="0"/>
          <w:sz w:val="24"/>
          <w:szCs w:val="24"/>
          <w:highlight w:val="none"/>
          <w:lang w:val="en-US" w:eastAsia="zh-CN" w:bidi="ar-SA"/>
        </w:rPr>
        <w:t>服务地点:巴楚县</w:t>
      </w:r>
    </w:p>
    <w:p w14:paraId="5F1DD844">
      <w:pPr>
        <w:spacing w:line="480" w:lineRule="auto"/>
        <w:ind w:left="0" w:leftChars="0" w:firstLine="0" w:firstLineChars="0"/>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服务内容</w:t>
      </w:r>
      <w:r>
        <w:rPr>
          <w:rFonts w:hint="eastAsia" w:ascii="黑体" w:hAnsi="黑体" w:eastAsia="黑体" w:cs="黑体"/>
          <w:b w:val="0"/>
          <w:bCs w:val="0"/>
          <w:color w:val="auto"/>
          <w:sz w:val="24"/>
          <w:szCs w:val="24"/>
        </w:rPr>
        <w:t>：组织企业参加产品展销推介会，通过新媒体合作，推介县域特色产品，提升产品品牌知名度和销量；对巴楚县特色产品进行品牌建设和提升。</w:t>
      </w:r>
      <w:r>
        <w:rPr>
          <w:rFonts w:hint="eastAsia" w:ascii="黑体" w:hAnsi="黑体" w:eastAsia="黑体" w:cs="黑体"/>
          <w:b w:val="0"/>
          <w:bCs w:val="0"/>
          <w:color w:val="auto"/>
          <w:sz w:val="24"/>
          <w:szCs w:val="24"/>
          <w:lang w:val="en-US" w:eastAsia="zh-CN"/>
        </w:rPr>
        <w:t>(具体内容详见招标文件)</w:t>
      </w:r>
    </w:p>
    <w:p w14:paraId="3451BD8C">
      <w:pPr>
        <w:spacing w:line="480" w:lineRule="auto"/>
        <w:ind w:left="0" w:leftChars="0" w:firstLine="0" w:firstLineChars="0"/>
        <w:rPr>
          <w:rFonts w:hint="eastAsia" w:ascii="黑体" w:hAnsi="黑体" w:eastAsia="黑体" w:cs="黑体"/>
          <w:b w:val="0"/>
          <w:bCs w:val="0"/>
          <w:color w:val="auto"/>
          <w:sz w:val="24"/>
          <w:szCs w:val="24"/>
        </w:rPr>
      </w:pPr>
      <w:r>
        <w:rPr>
          <w:rFonts w:hint="eastAsia" w:ascii="黑体" w:hAnsi="黑体" w:eastAsia="黑体" w:cs="黑体"/>
          <w:b/>
          <w:bCs/>
          <w:snapToGrid w:val="0"/>
          <w:color w:val="auto"/>
          <w:kern w:val="0"/>
          <w:sz w:val="24"/>
          <w:szCs w:val="24"/>
          <w:lang w:val="en-US" w:eastAsia="zh-CN" w:bidi="ar-SA"/>
        </w:rPr>
        <w:t>二、</w:t>
      </w:r>
      <w:r>
        <w:rPr>
          <w:rFonts w:hint="eastAsia" w:ascii="黑体" w:hAnsi="黑体" w:eastAsia="黑体" w:cs="黑体"/>
          <w:b/>
          <w:bCs/>
          <w:color w:val="auto"/>
          <w:kern w:val="0"/>
          <w:sz w:val="24"/>
          <w:szCs w:val="24"/>
          <w:highlight w:val="none"/>
          <w:lang w:val="en-US" w:eastAsia="zh-CN" w:bidi="ar-SA"/>
        </w:rPr>
        <w:t>项目需求及服务内容：</w:t>
      </w:r>
      <w:r>
        <w:rPr>
          <w:rFonts w:hint="eastAsia" w:ascii="黑体" w:hAnsi="黑体" w:eastAsia="黑体" w:cs="黑体"/>
          <w:b w:val="0"/>
          <w:bCs w:val="0"/>
          <w:color w:val="auto"/>
          <w:sz w:val="24"/>
          <w:szCs w:val="24"/>
        </w:rPr>
        <w:t>（一）组织企业参加</w:t>
      </w:r>
      <w:r>
        <w:rPr>
          <w:rFonts w:hint="eastAsia" w:ascii="黑体" w:hAnsi="黑体" w:eastAsia="黑体" w:cs="黑体"/>
          <w:b w:val="0"/>
          <w:bCs w:val="0"/>
          <w:color w:val="auto"/>
          <w:sz w:val="24"/>
          <w:szCs w:val="24"/>
          <w:lang w:val="en-US" w:eastAsia="zh-CN"/>
        </w:rPr>
        <w:t>特色</w:t>
      </w:r>
      <w:r>
        <w:rPr>
          <w:rFonts w:hint="eastAsia" w:ascii="黑体" w:hAnsi="黑体" w:eastAsia="黑体" w:cs="黑体"/>
          <w:b w:val="0"/>
          <w:bCs w:val="0"/>
          <w:color w:val="auto"/>
          <w:sz w:val="24"/>
          <w:szCs w:val="24"/>
        </w:rPr>
        <w:t>产品展销推介会，通过新媒体合作，推介县域特色产品，提升</w:t>
      </w:r>
      <w:r>
        <w:rPr>
          <w:rFonts w:hint="eastAsia" w:ascii="黑体" w:hAnsi="黑体" w:eastAsia="黑体" w:cs="黑体"/>
          <w:b w:val="0"/>
          <w:bCs w:val="0"/>
          <w:color w:val="auto"/>
          <w:sz w:val="24"/>
          <w:szCs w:val="24"/>
          <w:lang w:val="en-US" w:eastAsia="zh-CN"/>
        </w:rPr>
        <w:t>县域</w:t>
      </w:r>
      <w:r>
        <w:rPr>
          <w:rFonts w:hint="eastAsia" w:ascii="黑体" w:hAnsi="黑体" w:eastAsia="黑体" w:cs="黑体"/>
          <w:b w:val="0"/>
          <w:bCs w:val="0"/>
          <w:color w:val="auto"/>
          <w:sz w:val="24"/>
          <w:szCs w:val="24"/>
        </w:rPr>
        <w:t>产品品牌知名度和销量</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特色产品经过各类展销会、推介会等渠道进行推广宣传，从而提升产品品牌知名度和销量的转化，提升产品品牌效应。组织疆内外参加8场展会和推介会。同时利用自媒体和新媒体等传播资源，进行宣传发布，充分发挥援疆资源优势，加强产销渠道对接，特别是对接各级工会组织，拓宽销售渠道，面向优质客户，提升产品回购率，形成矩阵传播效应。</w:t>
      </w:r>
    </w:p>
    <w:p w14:paraId="02D41DF8">
      <w:pPr>
        <w:spacing w:line="480" w:lineRule="auto"/>
        <w:ind w:left="0" w:leftChars="0" w:firstLine="0" w:firstLineChars="0"/>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val="0"/>
          <w:bCs w:val="0"/>
          <w:color w:val="auto"/>
          <w:sz w:val="24"/>
          <w:szCs w:val="24"/>
          <w:lang w:val="en-US" w:eastAsia="zh-CN"/>
        </w:rPr>
        <w:t>（二）对巴楚县特色产品进行品牌建设和提升。提升产品包装VI设计，开发网红产品，利用新媒体拓展内容营销渠道，并对产品包装进行品牌提升，对我县特色产品巴楚蘑菇、巴楚留香瓜、巴尔楚克羊等进行产品升级。</w:t>
      </w:r>
      <w:r>
        <w:rPr>
          <w:rFonts w:hint="eastAsia" w:ascii="黑体" w:hAnsi="黑体" w:eastAsia="黑体" w:cs="黑体"/>
          <w:b w:val="0"/>
          <w:bCs w:val="0"/>
          <w:color w:val="auto"/>
          <w:sz w:val="24"/>
          <w:szCs w:val="24"/>
        </w:rPr>
        <w:t>围绕</w:t>
      </w:r>
      <w:r>
        <w:rPr>
          <w:rFonts w:hint="eastAsia" w:ascii="黑体" w:hAnsi="黑体" w:eastAsia="黑体" w:cs="黑体"/>
          <w:b w:val="0"/>
          <w:bCs w:val="0"/>
          <w:color w:val="auto"/>
          <w:sz w:val="24"/>
          <w:szCs w:val="24"/>
          <w:lang w:eastAsia="zh-CN"/>
        </w:rPr>
        <w:t>巴楚县</w:t>
      </w:r>
      <w:r>
        <w:rPr>
          <w:rFonts w:hint="eastAsia" w:ascii="黑体" w:hAnsi="黑体" w:eastAsia="黑体" w:cs="黑体"/>
          <w:b w:val="0"/>
          <w:bCs w:val="0"/>
          <w:color w:val="auto"/>
          <w:sz w:val="24"/>
          <w:szCs w:val="24"/>
        </w:rPr>
        <w:t>区域优势产业，打造竞争力强、美誉度高的</w:t>
      </w:r>
      <w:r>
        <w:rPr>
          <w:rFonts w:hint="eastAsia" w:ascii="黑体" w:hAnsi="黑体" w:eastAsia="黑体" w:cs="黑体"/>
          <w:b w:val="0"/>
          <w:bCs w:val="0"/>
          <w:color w:val="auto"/>
          <w:sz w:val="24"/>
          <w:szCs w:val="24"/>
          <w:lang w:eastAsia="zh-CN"/>
        </w:rPr>
        <w:t>产品</w:t>
      </w:r>
      <w:r>
        <w:rPr>
          <w:rFonts w:hint="eastAsia" w:ascii="黑体" w:hAnsi="黑体" w:eastAsia="黑体" w:cs="黑体"/>
          <w:b w:val="0"/>
          <w:bCs w:val="0"/>
          <w:color w:val="auto"/>
          <w:sz w:val="24"/>
          <w:szCs w:val="24"/>
        </w:rPr>
        <w:t>区域品牌</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rPr>
        <w:t>宣传</w:t>
      </w:r>
      <w:r>
        <w:rPr>
          <w:rFonts w:hint="eastAsia" w:ascii="黑体" w:hAnsi="黑体" w:eastAsia="黑体" w:cs="黑体"/>
          <w:b w:val="0"/>
          <w:bCs w:val="0"/>
          <w:color w:val="auto"/>
          <w:sz w:val="24"/>
          <w:szCs w:val="24"/>
          <w:lang w:val="en-US" w:eastAsia="zh-CN"/>
        </w:rPr>
        <w:t>推介</w:t>
      </w:r>
      <w:r>
        <w:rPr>
          <w:rFonts w:hint="eastAsia" w:ascii="黑体" w:hAnsi="黑体" w:eastAsia="黑体" w:cs="黑体"/>
          <w:b w:val="0"/>
          <w:bCs w:val="0"/>
          <w:color w:val="auto"/>
          <w:sz w:val="24"/>
          <w:szCs w:val="24"/>
        </w:rPr>
        <w:t>区域品牌形象</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提升产品包装设计，升级巴楚蘑菇、巴楚留香瓜、巴尔楚克羊等特色产品的品牌包装。</w:t>
      </w:r>
    </w:p>
    <w:p w14:paraId="06AE3EE8">
      <w:pPr>
        <w:pageBreakBefore w:val="0"/>
        <w:numPr>
          <w:ilvl w:val="0"/>
          <w:numId w:val="0"/>
        </w:numPr>
        <w:kinsoku w:val="0"/>
        <w:wordWrap w:val="0"/>
        <w:overflowPunct/>
        <w:topLinePunct w:val="0"/>
        <w:autoSpaceDE/>
        <w:autoSpaceDN/>
        <w:bidi w:val="0"/>
        <w:spacing w:line="480" w:lineRule="auto"/>
        <w:ind w:leftChars="-20"/>
        <w:rPr>
          <w:rFonts w:hint="eastAsia" w:ascii="黑体" w:hAnsi="黑体" w:eastAsia="黑体" w:cs="黑体"/>
          <w:b w:val="0"/>
          <w:bCs w:val="0"/>
          <w:color w:val="auto"/>
          <w:sz w:val="24"/>
          <w:szCs w:val="24"/>
        </w:rPr>
      </w:pPr>
      <w:r>
        <w:rPr>
          <w:rFonts w:hint="eastAsia" w:ascii="黑体" w:hAnsi="黑体" w:eastAsia="黑体" w:cs="黑体"/>
          <w:b/>
          <w:bCs/>
          <w:color w:val="auto"/>
          <w:kern w:val="0"/>
          <w:sz w:val="24"/>
          <w:szCs w:val="24"/>
          <w:highlight w:val="none"/>
          <w:lang w:val="en-US" w:eastAsia="zh-CN" w:bidi="ar-SA"/>
        </w:rPr>
        <w:t>三、服务时间：</w:t>
      </w:r>
      <w:r>
        <w:rPr>
          <w:rFonts w:hint="eastAsia" w:ascii="黑体" w:hAnsi="黑体" w:eastAsia="黑体" w:cs="黑体"/>
          <w:color w:val="auto"/>
          <w:sz w:val="24"/>
          <w:szCs w:val="24"/>
          <w:u w:val="none"/>
          <w:lang w:eastAsia="zh-CN"/>
        </w:rPr>
        <w:t>自签订合同后10个月内完成</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u w:val="none"/>
          <w:lang w:eastAsia="zh-CN"/>
        </w:rPr>
        <w:t>（具体以签订合同为准）</w:t>
      </w:r>
    </w:p>
    <w:p w14:paraId="57F0FF1F">
      <w:pPr>
        <w:pageBreakBefore w:val="0"/>
        <w:numPr>
          <w:ilvl w:val="0"/>
          <w:numId w:val="0"/>
        </w:numPr>
        <w:kinsoku w:val="0"/>
        <w:wordWrap w:val="0"/>
        <w:overflowPunct/>
        <w:topLinePunct w:val="0"/>
        <w:autoSpaceDE/>
        <w:autoSpaceDN/>
        <w:bidi w:val="0"/>
        <w:spacing w:line="480" w:lineRule="auto"/>
        <w:rPr>
          <w:rFonts w:hint="eastAsia" w:ascii="黑体" w:hAnsi="黑体" w:eastAsia="黑体" w:cs="黑体"/>
          <w:b w:val="0"/>
          <w:bCs w:val="0"/>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en-US" w:eastAsia="zh-CN" w:bidi="ar-SA"/>
        </w:rPr>
        <w:t>四、付款方式：</w:t>
      </w:r>
      <w:r>
        <w:rPr>
          <w:rFonts w:hint="eastAsia" w:ascii="黑体" w:hAnsi="黑体" w:eastAsia="黑体" w:cs="黑体"/>
          <w:b w:val="0"/>
          <w:bCs w:val="0"/>
          <w:color w:val="auto"/>
          <w:kern w:val="0"/>
          <w:sz w:val="24"/>
          <w:szCs w:val="24"/>
          <w:highlight w:val="none"/>
          <w:lang w:val="en-US" w:eastAsia="zh-CN" w:bidi="ar-SA"/>
        </w:rPr>
        <w:t>甲方在收到乙方提交的履约保证金和乙方提交的预付款申请（含等额有效增值税普通发票）后向乙方预付合同总价款的30%；召开五场展会和推介会后，支付合同价款的40%，全部展会和推介会召开后支付剩余合同价款的30%。（具体以签订合同为准）</w:t>
      </w:r>
    </w:p>
    <w:p w14:paraId="321E0AC3">
      <w:pPr>
        <w:pageBreakBefore w:val="0"/>
        <w:tabs>
          <w:tab w:val="left" w:pos="6794"/>
        </w:tabs>
        <w:kinsoku w:val="0"/>
        <w:wordWrap w:val="0"/>
        <w:overflowPunct/>
        <w:topLinePunct w:val="0"/>
        <w:autoSpaceDE/>
        <w:autoSpaceDN/>
        <w:bidi w:val="0"/>
        <w:rPr>
          <w:rFonts w:hint="eastAsia" w:ascii="黑体" w:hAnsi="黑体" w:eastAsia="黑体" w:cs="黑体"/>
          <w:b/>
          <w:bCs/>
          <w:color w:val="auto"/>
          <w:spacing w:val="3"/>
          <w:sz w:val="28"/>
          <w:szCs w:val="28"/>
          <w:lang w:eastAsia="zh-CN"/>
        </w:rPr>
      </w:pPr>
      <w:bookmarkStart w:id="27" w:name="_Toc14748"/>
      <w:r>
        <w:rPr>
          <w:rFonts w:hint="eastAsia" w:ascii="黑体" w:hAnsi="黑体" w:eastAsia="黑体" w:cs="黑体"/>
          <w:b/>
          <w:bCs/>
          <w:color w:val="auto"/>
          <w:spacing w:val="3"/>
          <w:sz w:val="28"/>
          <w:szCs w:val="28"/>
          <w:lang w:eastAsia="zh-CN"/>
        </w:rPr>
        <w:tab/>
      </w:r>
    </w:p>
    <w:p w14:paraId="358774D4">
      <w:pPr>
        <w:pageBreakBefore w:val="0"/>
        <w:kinsoku w:val="0"/>
        <w:wordWrap w:val="0"/>
        <w:overflowPunct/>
        <w:topLinePunct w:val="0"/>
        <w:autoSpaceDE/>
        <w:autoSpaceDN/>
        <w:bidi w:val="0"/>
        <w:spacing w:line="360" w:lineRule="auto"/>
        <w:jc w:val="center"/>
        <w:outlineLvl w:val="0"/>
        <w:rPr>
          <w:rFonts w:hint="eastAsia" w:ascii="黑体" w:hAnsi="黑体" w:eastAsia="黑体" w:cs="黑体"/>
          <w:b/>
          <w:bCs/>
          <w:color w:val="auto"/>
          <w:spacing w:val="2"/>
          <w:sz w:val="30"/>
          <w:szCs w:val="30"/>
        </w:rPr>
      </w:pPr>
      <w:r>
        <w:rPr>
          <w:rFonts w:hint="eastAsia" w:ascii="黑体" w:hAnsi="黑体" w:eastAsia="黑体" w:cs="黑体"/>
          <w:b/>
          <w:bCs/>
          <w:color w:val="auto"/>
          <w:spacing w:val="3"/>
          <w:sz w:val="28"/>
          <w:szCs w:val="28"/>
          <w:lang w:eastAsia="zh-CN"/>
        </w:rPr>
        <w:t>第六章、</w:t>
      </w:r>
      <w:r>
        <w:rPr>
          <w:rFonts w:hint="eastAsia" w:ascii="黑体" w:hAnsi="黑体" w:eastAsia="黑体" w:cs="黑体"/>
          <w:b/>
          <w:bCs/>
          <w:color w:val="auto"/>
          <w:spacing w:val="3"/>
          <w:sz w:val="28"/>
          <w:szCs w:val="28"/>
        </w:rPr>
        <w:t>评标方法和标准</w:t>
      </w:r>
      <w:bookmarkEnd w:id="27"/>
    </w:p>
    <w:p w14:paraId="694473A9">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本项目将按照磋商文件第一章供应商须知中“五磋商开启及评审”、“六确定</w:t>
      </w:r>
      <w:r>
        <w:rPr>
          <w:rFonts w:hint="eastAsia" w:ascii="黑体" w:hAnsi="黑体" w:eastAsia="黑体" w:cs="黑体"/>
          <w:color w:val="auto"/>
          <w:spacing w:val="-3"/>
          <w:sz w:val="24"/>
          <w:szCs w:val="24"/>
          <w:lang w:eastAsia="zh-CN"/>
        </w:rPr>
        <w:t>中标</w:t>
      </w:r>
      <w:r>
        <w:rPr>
          <w:rFonts w:hint="eastAsia" w:ascii="黑体" w:hAnsi="黑体" w:eastAsia="黑体" w:cs="黑体"/>
          <w:color w:val="auto"/>
          <w:spacing w:val="-3"/>
          <w:sz w:val="24"/>
          <w:szCs w:val="24"/>
        </w:rPr>
        <w:t>”及本章的规定评标。</w:t>
      </w:r>
    </w:p>
    <w:p w14:paraId="7F811819">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一、项目基本情况</w:t>
      </w:r>
    </w:p>
    <w:p w14:paraId="61FE124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eastAsia="zh-CN"/>
        </w:rPr>
      </w:pPr>
      <w:r>
        <w:rPr>
          <w:rFonts w:hint="eastAsia" w:ascii="黑体" w:hAnsi="黑体" w:eastAsia="黑体" w:cs="黑体"/>
          <w:color w:val="auto"/>
          <w:spacing w:val="-3"/>
          <w:sz w:val="24"/>
          <w:szCs w:val="24"/>
          <w:lang w:val="en-US" w:eastAsia="zh-CN"/>
        </w:rPr>
        <w:t>项目名称：</w:t>
      </w:r>
      <w:r>
        <w:rPr>
          <w:rFonts w:hint="eastAsia" w:ascii="黑体" w:hAnsi="黑体" w:eastAsia="黑体" w:cs="黑体"/>
          <w:color w:val="auto"/>
          <w:spacing w:val="-3"/>
          <w:sz w:val="24"/>
          <w:szCs w:val="24"/>
          <w:lang w:eastAsia="zh-CN"/>
        </w:rPr>
        <w:t>巴楚县产业发展促进就业资助-特色产品推广和品牌营销项目</w:t>
      </w:r>
    </w:p>
    <w:p w14:paraId="6BA54CA1">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FF0000"/>
          <w:spacing w:val="-3"/>
          <w:sz w:val="24"/>
          <w:szCs w:val="24"/>
          <w:lang w:val="en-US" w:eastAsia="zh-CN"/>
        </w:rPr>
      </w:pPr>
      <w:r>
        <w:rPr>
          <w:rFonts w:hint="eastAsia" w:ascii="黑体" w:hAnsi="黑体" w:eastAsia="黑体" w:cs="黑体"/>
          <w:color w:val="auto"/>
          <w:spacing w:val="-3"/>
          <w:sz w:val="24"/>
          <w:szCs w:val="24"/>
          <w:lang w:val="en-US" w:eastAsia="zh-CN"/>
        </w:rPr>
        <w:t>响应文件提交截止时间：</w:t>
      </w:r>
      <w:r>
        <w:rPr>
          <w:rFonts w:hint="eastAsia" w:ascii="黑体" w:hAnsi="黑体" w:eastAsia="黑体" w:cs="黑体"/>
          <w:b w:val="0"/>
          <w:bCs w:val="0"/>
          <w:color w:val="auto"/>
          <w:sz w:val="24"/>
          <w:szCs w:val="24"/>
          <w:lang w:eastAsia="zh-CN"/>
        </w:rPr>
        <w:t>2024年08月26日</w:t>
      </w:r>
      <w:r>
        <w:rPr>
          <w:rFonts w:hint="eastAsia" w:ascii="黑体" w:hAnsi="黑体" w:eastAsia="黑体" w:cs="黑体"/>
          <w:color w:val="auto"/>
          <w:spacing w:val="-3"/>
          <w:sz w:val="24"/>
          <w:szCs w:val="24"/>
          <w:lang w:val="en-US" w:eastAsia="zh-CN"/>
        </w:rPr>
        <w:t>12：00（北京时间）</w:t>
      </w:r>
    </w:p>
    <w:p w14:paraId="4D6A1CC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地点：https://www.zcygov.cn</w:t>
      </w:r>
    </w:p>
    <w:p w14:paraId="46B68E5B">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采购方式：竞争性磋商</w:t>
      </w:r>
    </w:p>
    <w:p w14:paraId="19D6B8FB">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评标办法：综合评分法</w:t>
      </w:r>
    </w:p>
    <w:p w14:paraId="6C0C82F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eastAsia="zh-CN"/>
        </w:rPr>
      </w:pPr>
      <w:r>
        <w:rPr>
          <w:rFonts w:hint="eastAsia" w:ascii="黑体" w:hAnsi="黑体" w:eastAsia="黑体" w:cs="黑体"/>
          <w:color w:val="auto"/>
          <w:spacing w:val="-3"/>
          <w:sz w:val="24"/>
          <w:szCs w:val="24"/>
          <w:lang w:eastAsia="zh-CN"/>
        </w:rPr>
        <w:t>是指响应文件满足磋商文件全部实质性要求且按评审因素的量化指标评审得分最高的供应商为成交候选供应商的评审方法。</w:t>
      </w:r>
    </w:p>
    <w:p w14:paraId="0C5A6C40">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eastAsia="zh-CN"/>
        </w:rPr>
      </w:pPr>
      <w:r>
        <w:rPr>
          <w:rFonts w:hint="eastAsia" w:ascii="黑体" w:hAnsi="黑体" w:eastAsia="黑体" w:cs="黑体"/>
          <w:b/>
          <w:bCs/>
          <w:color w:val="auto"/>
          <w:spacing w:val="-3"/>
          <w:sz w:val="24"/>
          <w:szCs w:val="24"/>
          <w:lang w:val="en-US" w:eastAsia="zh-CN"/>
        </w:rPr>
        <w:t>二、</w:t>
      </w:r>
      <w:r>
        <w:rPr>
          <w:rFonts w:hint="eastAsia" w:ascii="黑体" w:hAnsi="黑体" w:eastAsia="黑体" w:cs="黑体"/>
          <w:b/>
          <w:bCs/>
          <w:color w:val="auto"/>
          <w:spacing w:val="-3"/>
          <w:sz w:val="24"/>
          <w:szCs w:val="24"/>
          <w:lang w:eastAsia="zh-CN"/>
        </w:rPr>
        <w:t>拒绝接收响应文件的情形</w:t>
      </w:r>
    </w:p>
    <w:p w14:paraId="099D80BF">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在递交</w:t>
      </w:r>
      <w:r>
        <w:rPr>
          <w:rFonts w:hint="eastAsia" w:ascii="黑体" w:hAnsi="黑体" w:eastAsia="黑体" w:cs="黑体"/>
          <w:color w:val="auto"/>
          <w:spacing w:val="-3"/>
          <w:sz w:val="24"/>
          <w:szCs w:val="24"/>
          <w:lang w:eastAsia="zh-CN"/>
        </w:rPr>
        <w:t>响应文件</w:t>
      </w:r>
      <w:r>
        <w:rPr>
          <w:rFonts w:hint="eastAsia" w:ascii="黑体" w:hAnsi="黑体" w:eastAsia="黑体" w:cs="黑体"/>
          <w:color w:val="auto"/>
          <w:spacing w:val="-3"/>
          <w:sz w:val="24"/>
          <w:szCs w:val="24"/>
        </w:rPr>
        <w:t>截止时间后</w:t>
      </w:r>
      <w:r>
        <w:rPr>
          <w:rFonts w:hint="eastAsia" w:ascii="黑体" w:hAnsi="黑体" w:eastAsia="黑体" w:cs="黑体"/>
          <w:color w:val="auto"/>
          <w:spacing w:val="-3"/>
          <w:sz w:val="24"/>
          <w:szCs w:val="24"/>
          <w:lang w:val="en-US" w:eastAsia="zh-CN"/>
        </w:rPr>
        <w:t>上传</w:t>
      </w:r>
      <w:r>
        <w:rPr>
          <w:rFonts w:hint="eastAsia" w:ascii="黑体" w:hAnsi="黑体" w:eastAsia="黑体" w:cs="黑体"/>
          <w:color w:val="auto"/>
          <w:spacing w:val="-3"/>
          <w:sz w:val="24"/>
          <w:szCs w:val="24"/>
        </w:rPr>
        <w:t>的</w:t>
      </w:r>
      <w:r>
        <w:rPr>
          <w:rFonts w:hint="eastAsia" w:ascii="黑体" w:hAnsi="黑体" w:eastAsia="黑体" w:cs="黑体"/>
          <w:color w:val="auto"/>
          <w:spacing w:val="-3"/>
          <w:sz w:val="24"/>
          <w:szCs w:val="24"/>
          <w:lang w:eastAsia="zh-CN"/>
        </w:rPr>
        <w:t>响应文件</w:t>
      </w:r>
      <w:r>
        <w:rPr>
          <w:rFonts w:hint="eastAsia" w:ascii="黑体" w:hAnsi="黑体" w:eastAsia="黑体" w:cs="黑体"/>
          <w:color w:val="auto"/>
          <w:spacing w:val="-3"/>
          <w:sz w:val="24"/>
          <w:szCs w:val="24"/>
        </w:rPr>
        <w:t>。</w:t>
      </w:r>
    </w:p>
    <w:p w14:paraId="3617006C">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三、不得开启响应文件的情形</w:t>
      </w:r>
    </w:p>
    <w:p w14:paraId="4617854C">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供应商不足3家的，不得开启</w:t>
      </w:r>
      <w:r>
        <w:rPr>
          <w:rFonts w:hint="eastAsia" w:ascii="黑体" w:hAnsi="黑体" w:eastAsia="黑体" w:cs="黑体"/>
          <w:color w:val="auto"/>
          <w:spacing w:val="-3"/>
          <w:sz w:val="24"/>
          <w:szCs w:val="24"/>
          <w:lang w:eastAsia="zh-CN"/>
        </w:rPr>
        <w:t>响应文件</w:t>
      </w:r>
      <w:r>
        <w:rPr>
          <w:rFonts w:hint="eastAsia" w:ascii="黑体" w:hAnsi="黑体" w:eastAsia="黑体" w:cs="黑体"/>
          <w:color w:val="auto"/>
          <w:spacing w:val="-3"/>
          <w:sz w:val="24"/>
          <w:szCs w:val="24"/>
        </w:rPr>
        <w:t>。</w:t>
      </w:r>
    </w:p>
    <w:p w14:paraId="29F158A0">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rPr>
      </w:pPr>
      <w:r>
        <w:rPr>
          <w:rFonts w:hint="eastAsia" w:ascii="黑体" w:hAnsi="黑体" w:eastAsia="黑体" w:cs="黑体"/>
          <w:b/>
          <w:bCs/>
          <w:color w:val="auto"/>
          <w:spacing w:val="-3"/>
          <w:sz w:val="24"/>
          <w:szCs w:val="24"/>
          <w:lang w:val="en-US" w:eastAsia="zh-CN"/>
        </w:rPr>
        <w:t>四</w:t>
      </w:r>
      <w:r>
        <w:rPr>
          <w:rFonts w:hint="eastAsia" w:ascii="黑体" w:hAnsi="黑体" w:eastAsia="黑体" w:cs="黑体"/>
          <w:b/>
          <w:bCs/>
          <w:color w:val="auto"/>
          <w:spacing w:val="-3"/>
          <w:sz w:val="24"/>
          <w:szCs w:val="24"/>
        </w:rPr>
        <w:t>.</w:t>
      </w:r>
      <w:r>
        <w:rPr>
          <w:rFonts w:hint="eastAsia" w:ascii="黑体" w:hAnsi="黑体" w:eastAsia="黑体" w:cs="黑体"/>
          <w:b/>
          <w:bCs/>
          <w:color w:val="auto"/>
          <w:spacing w:val="-3"/>
          <w:sz w:val="24"/>
          <w:szCs w:val="24"/>
          <w:lang w:val="en-US" w:eastAsia="zh-CN"/>
        </w:rPr>
        <w:t>响应文件</w:t>
      </w:r>
      <w:r>
        <w:rPr>
          <w:rFonts w:hint="eastAsia" w:ascii="黑体" w:hAnsi="黑体" w:eastAsia="黑体" w:cs="黑体"/>
          <w:b/>
          <w:bCs/>
          <w:color w:val="auto"/>
          <w:spacing w:val="-3"/>
          <w:sz w:val="24"/>
          <w:szCs w:val="24"/>
        </w:rPr>
        <w:t>无效的情形：</w:t>
      </w:r>
    </w:p>
    <w:p w14:paraId="5DE2BC33">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1.</w:t>
      </w:r>
      <w:r>
        <w:rPr>
          <w:rFonts w:hint="eastAsia" w:ascii="黑体" w:hAnsi="黑体" w:eastAsia="黑体" w:cs="黑体"/>
          <w:color w:val="auto"/>
          <w:spacing w:val="-3"/>
          <w:sz w:val="24"/>
          <w:szCs w:val="24"/>
        </w:rPr>
        <w:t>采购人或采购代理机构将在</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开启前1个工作日至递交响应文件截止</w:t>
      </w:r>
      <w:r>
        <w:rPr>
          <w:rFonts w:hint="eastAsia" w:ascii="黑体" w:hAnsi="黑体" w:eastAsia="黑体" w:cs="黑体"/>
          <w:color w:val="auto"/>
          <w:spacing w:val="-3"/>
          <w:sz w:val="24"/>
          <w:szCs w:val="24"/>
          <w:lang w:eastAsia="zh-CN"/>
        </w:rPr>
        <w:t>前</w:t>
      </w:r>
      <w:r>
        <w:rPr>
          <w:rFonts w:hint="eastAsia" w:ascii="黑体" w:hAnsi="黑体" w:eastAsia="黑体" w:cs="黑体"/>
          <w:color w:val="auto"/>
          <w:spacing w:val="-3"/>
          <w:sz w:val="24"/>
          <w:szCs w:val="24"/>
        </w:rPr>
        <w:t>查询</w:t>
      </w:r>
      <w:r>
        <w:rPr>
          <w:rFonts w:hint="eastAsia" w:ascii="黑体" w:hAnsi="黑体" w:eastAsia="黑体" w:cs="黑体"/>
          <w:color w:val="auto"/>
          <w:spacing w:val="-3"/>
          <w:sz w:val="24"/>
          <w:szCs w:val="24"/>
          <w:lang w:eastAsia="zh-CN"/>
        </w:rPr>
        <w:t>供应商</w:t>
      </w:r>
      <w:r>
        <w:rPr>
          <w:rFonts w:hint="eastAsia" w:ascii="黑体" w:hAnsi="黑体" w:eastAsia="黑体" w:cs="黑体"/>
          <w:color w:val="auto"/>
          <w:spacing w:val="-3"/>
          <w:sz w:val="24"/>
          <w:szCs w:val="24"/>
        </w:rPr>
        <w:t>的信用记录。</w:t>
      </w:r>
      <w:r>
        <w:rPr>
          <w:rFonts w:hint="eastAsia" w:ascii="黑体" w:hAnsi="黑体" w:eastAsia="黑体" w:cs="黑体"/>
          <w:color w:val="auto"/>
          <w:spacing w:val="-3"/>
          <w:sz w:val="24"/>
          <w:szCs w:val="24"/>
          <w:lang w:eastAsia="zh-CN"/>
        </w:rPr>
        <w:t>供应商</w:t>
      </w:r>
      <w:r>
        <w:rPr>
          <w:rFonts w:hint="eastAsia" w:ascii="黑体" w:hAnsi="黑体" w:eastAsia="黑体" w:cs="黑体"/>
          <w:color w:val="auto"/>
          <w:spacing w:val="-3"/>
          <w:sz w:val="24"/>
          <w:szCs w:val="24"/>
        </w:rPr>
        <w:t>存在不良信用记录的，其</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资格将被认定为无效。</w:t>
      </w:r>
    </w:p>
    <w:p w14:paraId="45B2721F">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2.</w:t>
      </w:r>
      <w:r>
        <w:rPr>
          <w:rFonts w:hint="eastAsia" w:ascii="黑体" w:hAnsi="黑体" w:eastAsia="黑体" w:cs="黑体"/>
          <w:color w:val="auto"/>
          <w:spacing w:val="-3"/>
          <w:sz w:val="24"/>
          <w:szCs w:val="24"/>
        </w:rPr>
        <w:t>如采购人所采购产品为政府强制采购的节能产品，供应商所投产品的品牌及型号必须为清单中有效期内产品并提供证明文件，否则其</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资格将被认定为无效。</w:t>
      </w:r>
    </w:p>
    <w:p w14:paraId="26A5B246">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3.</w:t>
      </w:r>
      <w:r>
        <w:rPr>
          <w:rFonts w:hint="eastAsia" w:ascii="黑体" w:hAnsi="黑体" w:eastAsia="黑体" w:cs="黑体"/>
          <w:color w:val="auto"/>
          <w:spacing w:val="-3"/>
          <w:sz w:val="24"/>
          <w:szCs w:val="24"/>
        </w:rPr>
        <w:t>在比较与评价之前，根据本须知的规定，</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小组要审查每份响应文件是否实质上响应了</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文件的要求。实质上响应的</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应该是与</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文件要求的全部条款、条件和规格相符，没有重大偏离的响应文件。对关键条款的偏离，将被认定为无效。供应商不得通过修正或撤销不符合要求的偏离，从而使其</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成为实质上响应的</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w:t>
      </w:r>
    </w:p>
    <w:p w14:paraId="47DE8246">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4.</w:t>
      </w:r>
      <w:r>
        <w:rPr>
          <w:rFonts w:hint="eastAsia" w:ascii="黑体" w:hAnsi="黑体" w:eastAsia="黑体" w:cs="黑体"/>
          <w:color w:val="auto"/>
          <w:spacing w:val="-3"/>
          <w:sz w:val="24"/>
          <w:szCs w:val="24"/>
        </w:rPr>
        <w:t>未按</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文件规定的形式和金额提交</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保证金的；</w:t>
      </w:r>
    </w:p>
    <w:p w14:paraId="441CF57F">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5.</w:t>
      </w:r>
      <w:r>
        <w:rPr>
          <w:rFonts w:hint="eastAsia" w:ascii="黑体" w:hAnsi="黑体" w:eastAsia="黑体" w:cs="黑体"/>
          <w:color w:val="auto"/>
          <w:spacing w:val="-3"/>
          <w:sz w:val="24"/>
          <w:szCs w:val="24"/>
        </w:rPr>
        <w:t>未按照</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文件规定要求签署、盖章的；</w:t>
      </w:r>
    </w:p>
    <w:p w14:paraId="50AC5C47">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6.</w:t>
      </w:r>
      <w:r>
        <w:rPr>
          <w:rFonts w:hint="eastAsia" w:ascii="黑体" w:hAnsi="黑体" w:eastAsia="黑体" w:cs="黑体"/>
          <w:color w:val="auto"/>
          <w:spacing w:val="-3"/>
          <w:sz w:val="24"/>
          <w:szCs w:val="24"/>
        </w:rPr>
        <w:t>未满足</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文件中技术条款的实质性要求；</w:t>
      </w:r>
    </w:p>
    <w:p w14:paraId="6B13E472">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7.</w:t>
      </w:r>
      <w:r>
        <w:rPr>
          <w:rFonts w:hint="eastAsia" w:ascii="黑体" w:hAnsi="黑体" w:eastAsia="黑体" w:cs="黑体"/>
          <w:color w:val="auto"/>
          <w:spacing w:val="-3"/>
          <w:sz w:val="24"/>
          <w:szCs w:val="24"/>
        </w:rPr>
        <w:t>与其他供应商串通参加</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，或者与采购人串通参加</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w:t>
      </w:r>
    </w:p>
    <w:p w14:paraId="6BBE7AD5">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8.</w:t>
      </w:r>
      <w:r>
        <w:rPr>
          <w:rFonts w:hint="eastAsia" w:ascii="黑体" w:hAnsi="黑体" w:eastAsia="黑体" w:cs="黑体"/>
          <w:color w:val="auto"/>
          <w:spacing w:val="-3"/>
          <w:sz w:val="24"/>
          <w:szCs w:val="24"/>
        </w:rPr>
        <w:t>属于</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文件规定的其他无效情形；</w:t>
      </w:r>
    </w:p>
    <w:p w14:paraId="1B4AA377">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9.</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小组认为供应商的报价明显低于其他通过符合性检查供应商的报价，有可能影响履约的，且供应商未按照规定证明其报价合理性的；</w:t>
      </w:r>
    </w:p>
    <w:p w14:paraId="4D3621D7">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10.</w:t>
      </w:r>
      <w:r>
        <w:rPr>
          <w:rFonts w:hint="eastAsia" w:ascii="黑体" w:hAnsi="黑体" w:eastAsia="黑体" w:cs="黑体"/>
          <w:color w:val="auto"/>
          <w:spacing w:val="-3"/>
          <w:sz w:val="24"/>
          <w:szCs w:val="24"/>
        </w:rPr>
        <w:t>响应文件含有采购人不能接受的附加条件的；</w:t>
      </w:r>
    </w:p>
    <w:p w14:paraId="43F4EB8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11.</w:t>
      </w:r>
      <w:r>
        <w:rPr>
          <w:rFonts w:hint="eastAsia" w:ascii="黑体" w:hAnsi="黑体" w:eastAsia="黑体" w:cs="黑体"/>
          <w:color w:val="auto"/>
          <w:spacing w:val="-3"/>
          <w:sz w:val="24"/>
          <w:szCs w:val="24"/>
        </w:rPr>
        <w:t>不符合法规和</w:t>
      </w:r>
      <w:r>
        <w:rPr>
          <w:rFonts w:hint="eastAsia" w:ascii="黑体" w:hAnsi="黑体" w:eastAsia="黑体" w:cs="黑体"/>
          <w:color w:val="auto"/>
          <w:spacing w:val="-3"/>
          <w:sz w:val="24"/>
          <w:szCs w:val="24"/>
          <w:lang w:eastAsia="zh-CN"/>
        </w:rPr>
        <w:t>磋商</w:t>
      </w:r>
      <w:r>
        <w:rPr>
          <w:rFonts w:hint="eastAsia" w:ascii="黑体" w:hAnsi="黑体" w:eastAsia="黑体" w:cs="黑体"/>
          <w:color w:val="auto"/>
          <w:spacing w:val="-3"/>
          <w:sz w:val="24"/>
          <w:szCs w:val="24"/>
        </w:rPr>
        <w:t>文件中规定的其他实质性要求的。</w:t>
      </w:r>
    </w:p>
    <w:p w14:paraId="1AA20D74">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rPr>
      </w:pPr>
      <w:r>
        <w:rPr>
          <w:rFonts w:hint="eastAsia" w:ascii="黑体" w:hAnsi="黑体" w:eastAsia="黑体" w:cs="黑体"/>
          <w:b/>
          <w:bCs/>
          <w:color w:val="auto"/>
          <w:spacing w:val="-3"/>
          <w:sz w:val="24"/>
          <w:szCs w:val="24"/>
          <w:lang w:val="en-US" w:eastAsia="zh-CN"/>
        </w:rPr>
        <w:t>五、响应文件的开启</w:t>
      </w:r>
    </w:p>
    <w:p w14:paraId="32400321">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开标</w:t>
      </w:r>
    </w:p>
    <w:p w14:paraId="2973B553">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开标在磋商文件确定的提交响应文件截止时间后进行。开标由采购代理主持,供采用电子投标的供应商应委派代表参加电子磋商会议。</w:t>
      </w:r>
    </w:p>
    <w:p w14:paraId="40674C13">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六、项目评审专家：</w:t>
      </w:r>
    </w:p>
    <w:p w14:paraId="730D52C8">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按照《中华人民共和国政府采购法》、《中华人民共和国政府采购法实施条例》、</w:t>
      </w:r>
      <w:r>
        <w:rPr>
          <w:rFonts w:hint="eastAsia" w:ascii="黑体" w:hAnsi="黑体" w:eastAsia="黑体" w:cs="黑体"/>
          <w:color w:val="auto"/>
          <w:spacing w:val="-3"/>
          <w:sz w:val="24"/>
          <w:szCs w:val="24"/>
          <w:lang w:eastAsia="zh-CN"/>
        </w:rPr>
        <w:t>《政府采购竞争性磋商采购方式管理暂行办法》</w:t>
      </w:r>
      <w:r>
        <w:rPr>
          <w:rFonts w:hint="eastAsia" w:ascii="黑体" w:hAnsi="黑体" w:eastAsia="黑体" w:cs="黑体"/>
          <w:color w:val="auto"/>
          <w:spacing w:val="-3"/>
          <w:sz w:val="24"/>
          <w:szCs w:val="24"/>
          <w:lang w:val="en-US" w:eastAsia="zh-CN"/>
        </w:rPr>
        <w:t>及本项目本级和上级财政部门的有关规定依法组建的评审小组，负责评审工作；本项目评审专家由3人组成。</w:t>
      </w:r>
    </w:p>
    <w:p w14:paraId="1D70159D">
      <w:pPr>
        <w:pStyle w:val="7"/>
        <w:pageBreakBefore w:val="0"/>
        <w:kinsoku w:val="0"/>
        <w:wordWrap w:val="0"/>
        <w:overflowPunct/>
        <w:topLinePunct w:val="0"/>
        <w:autoSpaceDE/>
        <w:autoSpaceDN/>
        <w:bidi w:val="0"/>
        <w:spacing w:line="360" w:lineRule="auto"/>
        <w:ind w:left="5"/>
        <w:rPr>
          <w:rFonts w:hint="eastAsia" w:ascii="黑体" w:hAnsi="黑体" w:eastAsia="黑体" w:cs="黑体"/>
          <w:b w:val="0"/>
          <w:bCs w:val="0"/>
          <w:color w:val="auto"/>
          <w:spacing w:val="-3"/>
          <w:sz w:val="24"/>
          <w:szCs w:val="24"/>
          <w:lang w:val="en-US" w:eastAsia="zh-CN"/>
        </w:rPr>
      </w:pPr>
      <w:r>
        <w:rPr>
          <w:rFonts w:hint="eastAsia" w:ascii="黑体" w:hAnsi="黑体" w:eastAsia="黑体" w:cs="黑体"/>
          <w:b w:val="0"/>
          <w:bCs w:val="0"/>
          <w:color w:val="auto"/>
          <w:spacing w:val="-3"/>
          <w:sz w:val="24"/>
          <w:szCs w:val="24"/>
          <w:lang w:val="en-US" w:eastAsia="zh-CN"/>
        </w:rPr>
        <w:t>评审专家要求：</w:t>
      </w:r>
    </w:p>
    <w:p w14:paraId="2A7714F9">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1.组织评标委员会推选评标组长，采购人代表不得担任组长；</w:t>
      </w:r>
    </w:p>
    <w:p w14:paraId="5EA47C93">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2.在评标期间采取必要的通讯管理措施，保证评标活动不受外界干扰，将手机关闭或调成静音交由现场项目监督人员统一保管；</w:t>
      </w:r>
    </w:p>
    <w:p w14:paraId="0CFCDFEF">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3.审查、评价响应文件是否符合招标文件的商务、技术等实质性要求；</w:t>
      </w:r>
    </w:p>
    <w:p w14:paraId="27046B38">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4.要求投标人对响应文件有关事项作出澄清或者说明；</w:t>
      </w:r>
    </w:p>
    <w:p w14:paraId="244D3FEF">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5.对响应文件进行比较和评价；</w:t>
      </w:r>
    </w:p>
    <w:p w14:paraId="3730CE10">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6.确定中标候选人名单，以及根据采购人委托直接确定中标人；</w:t>
      </w:r>
    </w:p>
    <w:p w14:paraId="41CE02F9">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7.向采购人、采购代理机构或者有关部门报告评标中发现的违法行为。</w:t>
      </w:r>
    </w:p>
    <w:p w14:paraId="3C885F2A">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七、</w:t>
      </w:r>
      <w:r>
        <w:rPr>
          <w:rFonts w:hint="eastAsia" w:ascii="黑体" w:hAnsi="黑体" w:eastAsia="黑体" w:cs="黑体"/>
          <w:b/>
          <w:bCs/>
          <w:color w:val="auto"/>
          <w:spacing w:val="-3"/>
          <w:sz w:val="24"/>
          <w:szCs w:val="24"/>
        </w:rPr>
        <w:t>评标</w:t>
      </w:r>
    </w:p>
    <w:p w14:paraId="01DAE208">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1、评标的依据为磋商文件和响应文件；</w:t>
      </w:r>
    </w:p>
    <w:p w14:paraId="5EC3D56C">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2、本项目采用综合评分法：总分100分，其中报价分值10分，商务及技术部分得分90分。</w:t>
      </w:r>
    </w:p>
    <w:p w14:paraId="172ECFB1">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3、磋商小组成员到齐后，推选磋商小组组长。依据招标文件和响应文件进行认真查阅。审查响应文件是否完整，是否有计算错误，要求的磋商保证金是否提供，文件是否恰当地签署；</w:t>
      </w:r>
    </w:p>
    <w:p w14:paraId="2C779C17">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4、在对响应文件进行详细评估前，依据投标方提供的资格证明文件审查投标方的财务、技术和服务能力。如果确定投标方无资格履行合同，其投标将被拒绝；</w:t>
      </w:r>
    </w:p>
    <w:p w14:paraId="754AC229">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14:paraId="40D44130">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对响应文件的评估和比较：</w:t>
      </w:r>
    </w:p>
    <w:p w14:paraId="056C2458">
      <w:pPr>
        <w:pStyle w:val="7"/>
        <w:pageBreakBefore w:val="0"/>
        <w:kinsoku w:val="0"/>
        <w:wordWrap w:val="0"/>
        <w:overflowPunct/>
        <w:topLinePunct w:val="0"/>
        <w:autoSpaceDE/>
        <w:autoSpaceDN/>
        <w:bidi w:val="0"/>
        <w:spacing w:line="360" w:lineRule="auto"/>
        <w:ind w:left="0" w:leftChars="0" w:firstLine="418" w:firstLineChars="179"/>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响应文件，除考虑投标价格外，还应考虑以下因素：响应文件中所报服务期及付款方式；服务的技术水平、性能和服务能力；服务的质量和适用性；配套产品的安全性、先进性；投标方为其所供服务提供零备件及售后服务的可能性；零备件、专用工具及相关服务的费用；磋商文件中所要求的有关服务费用；其他特殊要求因素（如节能、安全和环保等）。</w:t>
      </w:r>
    </w:p>
    <w:p w14:paraId="2DFB1FCA">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初步评审</w:t>
      </w:r>
    </w:p>
    <w:p w14:paraId="7E829178">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414" w:firstLineChars="177"/>
        <w:textAlignment w:val="baseline"/>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采购人或采购代理机构应当对投标人提交的响应文件进行资格性检查。</w:t>
      </w:r>
    </w:p>
    <w:p w14:paraId="1FA8E16E">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418" w:firstLineChars="179"/>
        <w:textAlignment w:val="baseline"/>
        <w:rPr>
          <w:rFonts w:hint="eastAsia" w:ascii="黑体" w:hAnsi="黑体" w:eastAsia="黑体" w:cs="黑体"/>
          <w:b w:val="0"/>
          <w:bCs w:val="0"/>
          <w:color w:val="auto"/>
          <w:spacing w:val="-3"/>
          <w:sz w:val="24"/>
          <w:szCs w:val="24"/>
          <w:lang w:val="en-US" w:eastAsia="zh-CN"/>
        </w:rPr>
      </w:pPr>
      <w:r>
        <w:rPr>
          <w:rFonts w:hint="eastAsia" w:ascii="黑体" w:hAnsi="黑体" w:eastAsia="黑体" w:cs="黑体"/>
          <w:b w:val="0"/>
          <w:bCs w:val="0"/>
          <w:color w:val="auto"/>
          <w:spacing w:val="-3"/>
          <w:sz w:val="24"/>
          <w:szCs w:val="24"/>
          <w:lang w:val="en-US" w:eastAsia="zh-CN"/>
        </w:rPr>
        <w:t>资格性检查：依据法律法规和招标文件的规定，对响应文件中的资格证明进行审查，以确定投标人是否具备投标资格。</w:t>
      </w:r>
    </w:p>
    <w:p w14:paraId="4C83F9F2">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418" w:firstLineChars="179"/>
        <w:textAlignment w:val="baseline"/>
        <w:rPr>
          <w:rFonts w:hint="eastAsia" w:ascii="黑体" w:hAnsi="黑体" w:eastAsia="黑体" w:cs="黑体"/>
          <w:color w:val="auto"/>
          <w:spacing w:val="-3"/>
          <w:sz w:val="24"/>
          <w:szCs w:val="24"/>
          <w:lang w:val="en-US" w:eastAsia="zh-CN"/>
        </w:rPr>
      </w:pPr>
      <w:r>
        <w:rPr>
          <w:rFonts w:hint="eastAsia" w:ascii="黑体" w:hAnsi="黑体" w:eastAsia="黑体" w:cs="黑体"/>
          <w:b w:val="0"/>
          <w:bCs w:val="0"/>
          <w:color w:val="auto"/>
          <w:spacing w:val="-3"/>
          <w:sz w:val="24"/>
          <w:szCs w:val="24"/>
          <w:lang w:val="en-US" w:eastAsia="zh-CN"/>
        </w:rPr>
        <w:t>响应文件的符合性审查：响应文件是</w:t>
      </w:r>
      <w:r>
        <w:rPr>
          <w:rFonts w:hint="eastAsia" w:ascii="黑体" w:hAnsi="黑体" w:eastAsia="黑体" w:cs="黑体"/>
          <w:color w:val="auto"/>
          <w:spacing w:val="-3"/>
          <w:sz w:val="24"/>
          <w:szCs w:val="24"/>
          <w:lang w:val="en-US" w:eastAsia="zh-CN"/>
        </w:rPr>
        <w:t>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14:paraId="6A01FAC1">
      <w:pPr>
        <w:pStyle w:val="7"/>
        <w:keepNext w:val="0"/>
        <w:keepLines w:val="0"/>
        <w:pageBreakBefore w:val="0"/>
        <w:widowControl/>
        <w:kinsoku w:val="0"/>
        <w:wordWrap w:val="0"/>
        <w:overflowPunct/>
        <w:topLinePunct w:val="0"/>
        <w:autoSpaceDE/>
        <w:autoSpaceDN/>
        <w:bidi w:val="0"/>
        <w:adjustRightInd w:val="0"/>
        <w:snapToGrid w:val="0"/>
        <w:spacing w:line="360" w:lineRule="auto"/>
        <w:ind w:left="0" w:leftChars="0" w:firstLine="414" w:firstLineChars="177"/>
        <w:textAlignment w:val="baseline"/>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1.未按规定由投标人的法定代表人或投标人代表签字，或未加盖投标人公章的，或签字人未经法定代表人有效授权委托的。</w:t>
      </w:r>
    </w:p>
    <w:p w14:paraId="691667E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2.投标有效期不满足磋商文件要求的；</w:t>
      </w:r>
    </w:p>
    <w:p w14:paraId="372340AB">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3.投标人提交的投标报价高于最高投标限价的；</w:t>
      </w:r>
    </w:p>
    <w:p w14:paraId="4ED0560C">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4.响应文件付款方式不能满足磋商文件要求的；</w:t>
      </w:r>
    </w:p>
    <w:p w14:paraId="50034E22">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5.响应文件的关键内容模糊、无法辨认的,或者响应文件中经修正的内容模糊难以辩认或者修改处未按规定签名盖章的；</w:t>
      </w:r>
    </w:p>
    <w:p w14:paraId="2FD5A849">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6.投标有效期、交货期、供货范围等商务条款不能满足磋商文件要求的；</w:t>
      </w:r>
    </w:p>
    <w:p w14:paraId="793850E7">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7.未实质性响应或者擅自改变招标文件要求或者响应文件有招标方不能接受的附加条件的。</w:t>
      </w:r>
    </w:p>
    <w:p w14:paraId="2DCC9A87">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详细评审</w:t>
      </w:r>
    </w:p>
    <w:p w14:paraId="4F99F108">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4A47FABA">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2、磋商结束后，磋商小组应当要求所有实质性响应的供应商在规定时间内提交最终报价，经磋商确定最终采购需求和提交最后报价的供应商后，由磋商小组采用综合评分法对提交最终报价的供应商的响应文件和最终报价进行综合评分。</w:t>
      </w:r>
    </w:p>
    <w:p w14:paraId="5D16E3DD">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3、采用综合评分法，即响应文件满足招标文件全部实质性要求，且按照评审因素的量化指标评审得分最高的投标人为成交候选人。</w:t>
      </w:r>
    </w:p>
    <w:p w14:paraId="333DE498">
      <w:pPr>
        <w:pStyle w:val="7"/>
        <w:pageBreakBefore w:val="0"/>
        <w:kinsoku w:val="0"/>
        <w:wordWrap w:val="0"/>
        <w:overflowPunct/>
        <w:topLinePunct w:val="0"/>
        <w:autoSpaceDE/>
        <w:autoSpaceDN/>
        <w:bidi w:val="0"/>
        <w:spacing w:line="360" w:lineRule="auto"/>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评标的保密性</w:t>
      </w:r>
    </w:p>
    <w:p w14:paraId="4B3CC5E8">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开标后，直到与投标商签订合同为止，凡属于审查、澄清、评价和比较的有关资料以及授标建议等磋商小组成员或参与评标的有关工作人员均不得向投标商或其他无关人员透露，违者给予警告、取消担任磋商小组成员的资格，不得再参加任何项目的评标。</w:t>
      </w:r>
    </w:p>
    <w:p w14:paraId="42C77286">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2、投标商在评标过程中，所进行的力图影响评标结果的不符合《政府采购法》、《政府采购竞争性磋商采购方式管理暂行办法》及本次项目中有关规定的活动，将被取消中标资格。</w:t>
      </w:r>
    </w:p>
    <w:p w14:paraId="6B43466D">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lang w:val="en-US" w:eastAsia="zh-CN"/>
        </w:rPr>
      </w:pPr>
      <w:r>
        <w:rPr>
          <w:rFonts w:hint="eastAsia" w:ascii="黑体" w:hAnsi="黑体" w:eastAsia="黑体" w:cs="黑体"/>
          <w:b/>
          <w:bCs/>
          <w:color w:val="auto"/>
          <w:spacing w:val="-3"/>
          <w:sz w:val="24"/>
          <w:szCs w:val="24"/>
          <w:lang w:val="en-US" w:eastAsia="zh-CN"/>
        </w:rPr>
        <w:t>八、确定中标</w:t>
      </w:r>
    </w:p>
    <w:p w14:paraId="6F1F2F1A">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1.确定标准</w:t>
      </w:r>
    </w:p>
    <w:p w14:paraId="58AFED1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（一）原则：招标人将依据本项目根据磋商小组推荐的成交候选人名单，按顺序确定中标人。</w:t>
      </w:r>
    </w:p>
    <w:p w14:paraId="25138E27">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（二）程序：</w:t>
      </w:r>
    </w:p>
    <w:p w14:paraId="74C20323">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1、采购代理机构在评审结束后2个工作日内将评审报告送采购人确认。</w:t>
      </w:r>
    </w:p>
    <w:p w14:paraId="595668C0">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60333256">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采购人与成交供应商应当在成交通知书发出之日起30日内，按照磋商文件确定的合同文本以及采购标的、规格型号、采购金额、采购数量、技术和服务要求等事项签订政府采购合同。</w:t>
      </w:r>
    </w:p>
    <w:p w14:paraId="0A0BBAEB">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3、采购单位不退回投标人响应文件和其他资料。</w:t>
      </w:r>
    </w:p>
    <w:p w14:paraId="589A8DD8">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lang w:val="en-US" w:eastAsia="zh-CN"/>
        </w:rPr>
      </w:pPr>
      <w:r>
        <w:rPr>
          <w:rFonts w:hint="eastAsia" w:ascii="黑体" w:hAnsi="黑体" w:eastAsia="黑体" w:cs="黑体"/>
          <w:color w:val="auto"/>
          <w:spacing w:val="-3"/>
          <w:sz w:val="24"/>
          <w:szCs w:val="24"/>
          <w:lang w:val="en-US" w:eastAsia="zh-CN"/>
        </w:rPr>
        <w:t>成交候选人并列式时的处理方式：</w:t>
      </w:r>
    </w:p>
    <w:p w14:paraId="0526D084">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u w:val="single"/>
          <w:lang w:val="en-US" w:eastAsia="zh-CN"/>
        </w:rPr>
      </w:pPr>
      <w:r>
        <w:rPr>
          <w:rFonts w:hint="eastAsia" w:ascii="黑体" w:hAnsi="黑体" w:eastAsia="黑体" w:cs="黑体"/>
          <w:color w:val="auto"/>
          <w:spacing w:val="-3"/>
          <w:sz w:val="24"/>
          <w:szCs w:val="24"/>
          <w:lang w:val="en-US" w:eastAsia="zh-CN"/>
        </w:rPr>
        <w:t>采用综合评标法，则：</w:t>
      </w:r>
      <w:r>
        <w:rPr>
          <w:rFonts w:hint="eastAsia" w:ascii="黑体" w:hAnsi="黑体" w:eastAsia="黑体" w:cs="黑体"/>
          <w:color w:val="auto"/>
          <w:spacing w:val="-3"/>
          <w:sz w:val="24"/>
          <w:szCs w:val="24"/>
          <w:u w:val="single"/>
          <w:lang w:val="en-US" w:eastAsia="zh-CN"/>
        </w:rPr>
        <w:t>（1）评标结果按评审后得分由高到低顺序排列。得分相同的，按投标报价由低到高顺序排列。得分且投标报价相同的并列。响应文件满足招标文件全部实质性要求，按技术指标优劣顺序排列</w:t>
      </w:r>
      <w:r>
        <w:rPr>
          <w:rFonts w:hint="eastAsia" w:ascii="黑体" w:hAnsi="黑体" w:eastAsia="黑体" w:cs="黑体"/>
          <w:color w:val="auto"/>
          <w:spacing w:val="-3"/>
          <w:sz w:val="24"/>
          <w:szCs w:val="24"/>
          <w:u w:val="none"/>
          <w:lang w:val="en-US" w:eastAsia="zh-CN"/>
        </w:rPr>
        <w:t>。</w:t>
      </w:r>
    </w:p>
    <w:p w14:paraId="6698A791">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u w:val="single"/>
          <w:lang w:val="en-US" w:eastAsia="zh-CN"/>
        </w:rPr>
      </w:pPr>
      <w:r>
        <w:rPr>
          <w:rFonts w:hint="eastAsia" w:ascii="黑体" w:hAnsi="黑体" w:eastAsia="黑体" w:cs="黑体"/>
          <w:color w:val="auto"/>
          <w:spacing w:val="-3"/>
          <w:sz w:val="24"/>
          <w:szCs w:val="24"/>
          <w:lang w:val="en-US" w:eastAsia="zh-CN"/>
        </w:rPr>
        <w:t>（2）</w:t>
      </w:r>
      <w:r>
        <w:rPr>
          <w:rFonts w:hint="eastAsia" w:ascii="黑体" w:hAnsi="黑体" w:eastAsia="黑体" w:cs="黑体"/>
          <w:color w:val="auto"/>
          <w:spacing w:val="-3"/>
          <w:sz w:val="24"/>
          <w:szCs w:val="24"/>
          <w:u w:val="single"/>
          <w:lang w:val="en-US" w:eastAsia="zh-CN"/>
        </w:rPr>
        <w:t>评标结果按评审后得分由高到低顺序排列。得分不同的，最高分供应商为排名第一的中标候选人</w:t>
      </w:r>
      <w:r>
        <w:rPr>
          <w:rFonts w:hint="eastAsia" w:ascii="黑体" w:hAnsi="黑体" w:eastAsia="黑体" w:cs="黑体"/>
          <w:color w:val="auto"/>
          <w:spacing w:val="-3"/>
          <w:sz w:val="24"/>
          <w:szCs w:val="24"/>
          <w:u w:val="none"/>
          <w:lang w:val="en-US" w:eastAsia="zh-CN"/>
        </w:rPr>
        <w:t>。</w:t>
      </w:r>
    </w:p>
    <w:p w14:paraId="6F76AB3A">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中标候选人并列式时的处理方式：</w:t>
      </w:r>
    </w:p>
    <w:p w14:paraId="66540841">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采用综合评标法，则：</w:t>
      </w:r>
      <w:r>
        <w:rPr>
          <w:rFonts w:hint="eastAsia" w:ascii="黑体" w:hAnsi="黑体" w:eastAsia="黑体" w:cs="黑体"/>
          <w:color w:val="auto"/>
          <w:spacing w:val="-3"/>
          <w:sz w:val="24"/>
          <w:szCs w:val="24"/>
          <w:u w:val="single"/>
        </w:rPr>
        <w:t>评标结果按评审后得分由高到低顺序排列。得分相同的，按投标报价由低到高顺序排列。得分且投标报价相同的并列。</w:t>
      </w:r>
      <w:r>
        <w:rPr>
          <w:rFonts w:hint="eastAsia" w:ascii="黑体" w:hAnsi="黑体" w:eastAsia="黑体" w:cs="黑体"/>
          <w:color w:val="auto"/>
          <w:spacing w:val="-3"/>
          <w:sz w:val="24"/>
          <w:szCs w:val="24"/>
          <w:u w:val="single"/>
          <w:lang w:eastAsia="zh-CN"/>
        </w:rPr>
        <w:t>响应文件</w:t>
      </w:r>
      <w:r>
        <w:rPr>
          <w:rFonts w:hint="eastAsia" w:ascii="黑体" w:hAnsi="黑体" w:eastAsia="黑体" w:cs="黑体"/>
          <w:color w:val="auto"/>
          <w:spacing w:val="-3"/>
          <w:sz w:val="24"/>
          <w:szCs w:val="24"/>
          <w:u w:val="single"/>
        </w:rPr>
        <w:t>满足招标文件全部实质性要求，</w:t>
      </w:r>
      <w:r>
        <w:rPr>
          <w:rFonts w:hint="eastAsia" w:ascii="黑体" w:hAnsi="黑体" w:eastAsia="黑体" w:cs="黑体"/>
          <w:color w:val="auto"/>
          <w:spacing w:val="-3"/>
          <w:sz w:val="24"/>
          <w:szCs w:val="24"/>
          <w:u w:val="single"/>
          <w:lang w:val="en-US" w:eastAsia="zh-CN"/>
        </w:rPr>
        <w:t>按技术指标优劣顺序排列</w:t>
      </w:r>
      <w:r>
        <w:rPr>
          <w:rFonts w:hint="eastAsia" w:ascii="黑体" w:hAnsi="黑体" w:eastAsia="黑体" w:cs="黑体"/>
          <w:color w:val="auto"/>
          <w:spacing w:val="-3"/>
          <w:sz w:val="24"/>
          <w:szCs w:val="24"/>
          <w:u w:val="none"/>
          <w:lang w:val="en-US" w:eastAsia="zh-CN"/>
        </w:rPr>
        <w:t>。</w:t>
      </w:r>
    </w:p>
    <w:p w14:paraId="7F595A01">
      <w:pPr>
        <w:pStyle w:val="7"/>
        <w:pageBreakBefore w:val="0"/>
        <w:kinsoku w:val="0"/>
        <w:wordWrap w:val="0"/>
        <w:overflowPunct/>
        <w:topLinePunct w:val="0"/>
        <w:autoSpaceDE/>
        <w:autoSpaceDN/>
        <w:bidi w:val="0"/>
        <w:spacing w:line="360" w:lineRule="auto"/>
        <w:ind w:left="5"/>
        <w:rPr>
          <w:rFonts w:hint="eastAsia" w:ascii="黑体" w:hAnsi="黑体" w:eastAsia="黑体" w:cs="黑体"/>
          <w:b/>
          <w:bCs/>
          <w:color w:val="auto"/>
          <w:spacing w:val="-3"/>
          <w:sz w:val="24"/>
          <w:szCs w:val="24"/>
        </w:rPr>
      </w:pPr>
      <w:r>
        <w:rPr>
          <w:rFonts w:hint="eastAsia" w:ascii="黑体" w:hAnsi="黑体" w:eastAsia="黑体" w:cs="黑体"/>
          <w:b/>
          <w:bCs/>
          <w:color w:val="auto"/>
          <w:spacing w:val="-3"/>
          <w:sz w:val="24"/>
          <w:szCs w:val="24"/>
          <w:lang w:val="en-US" w:eastAsia="zh-CN"/>
        </w:rPr>
        <w:t>九、中小企业落实政策</w:t>
      </w:r>
    </w:p>
    <w:p w14:paraId="205D5329">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本项目为专门面向中小企业采购，潜在投标企业属于中小微企业的，请在投标文件中提供“中小企业声明函”，如果未提供或提供虛假的“中小企业声明函”，投标企业将承担由此造成的一切不利后果。</w:t>
      </w:r>
    </w:p>
    <w:p w14:paraId="36F6EBCD">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1.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w:t>
      </w:r>
      <w:r>
        <w:rPr>
          <w:rFonts w:hint="eastAsia" w:ascii="黑体" w:hAnsi="黑体" w:eastAsia="黑体" w:cs="黑体"/>
          <w:color w:val="auto"/>
          <w:spacing w:val="-3"/>
          <w:sz w:val="24"/>
          <w:szCs w:val="24"/>
          <w:lang w:eastAsia="zh-CN"/>
        </w:rPr>
        <w:t>响应文件</w:t>
      </w:r>
      <w:r>
        <w:rPr>
          <w:rFonts w:hint="eastAsia" w:ascii="黑体" w:hAnsi="黑体" w:eastAsia="黑体" w:cs="黑体"/>
          <w:color w:val="auto"/>
          <w:spacing w:val="-3"/>
          <w:sz w:val="24"/>
          <w:szCs w:val="24"/>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ascii="黑体" w:hAnsi="黑体" w:eastAsia="黑体" w:cs="黑体"/>
          <w:color w:val="auto"/>
          <w:spacing w:val="-3"/>
          <w:sz w:val="24"/>
          <w:szCs w:val="24"/>
          <w:u w:val="single"/>
          <w:lang w:val="en-US" w:eastAsia="zh-CN"/>
        </w:rPr>
        <w:t>/</w:t>
      </w:r>
      <w:r>
        <w:rPr>
          <w:rFonts w:hint="eastAsia" w:ascii="黑体" w:hAnsi="黑体" w:eastAsia="黑体" w:cs="黑体"/>
          <w:color w:val="auto"/>
          <w:spacing w:val="-3"/>
          <w:sz w:val="24"/>
          <w:szCs w:val="24"/>
          <w:u w:val="single"/>
        </w:rPr>
        <w:t>%</w:t>
      </w:r>
      <w:r>
        <w:rPr>
          <w:rFonts w:hint="eastAsia" w:ascii="黑体" w:hAnsi="黑体" w:eastAsia="黑体" w:cs="黑体"/>
          <w:color w:val="auto"/>
          <w:spacing w:val="-3"/>
          <w:sz w:val="24"/>
          <w:szCs w:val="24"/>
        </w:rPr>
        <w:t>后参与评审</w:t>
      </w:r>
      <w:r>
        <w:rPr>
          <w:rFonts w:hint="eastAsia" w:ascii="黑体" w:hAnsi="黑体" w:eastAsia="黑体" w:cs="黑体"/>
          <w:color w:val="auto"/>
          <w:spacing w:val="-3"/>
          <w:sz w:val="24"/>
          <w:szCs w:val="24"/>
          <w:lang w:eastAsia="zh-CN"/>
        </w:rPr>
        <w:t>。</w:t>
      </w:r>
      <w:r>
        <w:rPr>
          <w:rFonts w:hint="eastAsia" w:ascii="黑体" w:hAnsi="黑体" w:eastAsia="黑体" w:cs="黑体"/>
          <w:color w:val="auto"/>
          <w:spacing w:val="-3"/>
          <w:sz w:val="24"/>
          <w:szCs w:val="24"/>
        </w:rPr>
        <w:t>对于同时属于小微企业、监狱企业残疾人福利性单位的，不重复进行投标报价扣除。</w:t>
      </w:r>
    </w:p>
    <w:p w14:paraId="7B882500">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2</w:t>
      </w:r>
      <w:r>
        <w:rPr>
          <w:rFonts w:hint="eastAsia" w:ascii="黑体" w:hAnsi="黑体" w:eastAsia="黑体" w:cs="黑体"/>
          <w:color w:val="auto"/>
          <w:spacing w:val="-3"/>
          <w:sz w:val="24"/>
          <w:szCs w:val="24"/>
        </w:rPr>
        <w:t>.投标人所投产品如被列入财政部与国家主管部门颁发的节能产品目录或环境标志产品目录或无线局域网产品目录，应提供相关证明，在评标时予以优先采购，具体优惠措施为：</w:t>
      </w:r>
      <w:r>
        <w:rPr>
          <w:rFonts w:hint="eastAsia" w:ascii="黑体" w:hAnsi="黑体" w:eastAsia="黑体" w:cs="黑体"/>
          <w:color w:val="auto"/>
          <w:spacing w:val="-3"/>
          <w:sz w:val="24"/>
          <w:szCs w:val="24"/>
          <w:u w:val="single"/>
        </w:rPr>
        <w:t>无</w:t>
      </w:r>
    </w:p>
    <w:p w14:paraId="719E0356">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lang w:val="en-US" w:eastAsia="zh-CN"/>
        </w:rPr>
        <w:t>3</w:t>
      </w:r>
      <w:r>
        <w:rPr>
          <w:rFonts w:hint="eastAsia" w:ascii="黑体" w:hAnsi="黑体" w:eastAsia="黑体" w:cs="黑体"/>
          <w:color w:val="auto"/>
          <w:spacing w:val="-3"/>
          <w:sz w:val="24"/>
          <w:szCs w:val="24"/>
        </w:rPr>
        <w:t>.如采购人所采购产品为政府强制采购的节能产品，投标人所投产品的品牌及型号必须为清单中有效期内产品并提供证明文件，否则其投标将被认定为投标无效。</w:t>
      </w:r>
    </w:p>
    <w:p w14:paraId="6094C5FD">
      <w:pPr>
        <w:pStyle w:val="7"/>
        <w:pageBreakBefore w:val="0"/>
        <w:kinsoku w:val="0"/>
        <w:wordWrap w:val="0"/>
        <w:overflowPunct/>
        <w:topLinePunct w:val="0"/>
        <w:autoSpaceDE/>
        <w:autoSpaceDN/>
        <w:bidi w:val="0"/>
        <w:spacing w:line="360" w:lineRule="auto"/>
        <w:ind w:left="5" w:leftChars="0" w:firstLine="414" w:firstLineChars="177"/>
        <w:rPr>
          <w:rFonts w:hint="eastAsia" w:ascii="黑体" w:hAnsi="黑体" w:eastAsia="黑体" w:cs="黑体"/>
          <w:color w:val="auto"/>
          <w:spacing w:val="-3"/>
          <w:sz w:val="24"/>
          <w:szCs w:val="24"/>
        </w:rPr>
        <w:sectPr>
          <w:footerReference r:id="rId30" w:type="default"/>
          <w:pgSz w:w="11906" w:h="16840"/>
          <w:pgMar w:top="1415" w:right="1271" w:bottom="1359" w:left="1653" w:header="0" w:footer="1145" w:gutter="0"/>
          <w:pgNumType w:fmt="decimal"/>
          <w:cols w:space="720" w:num="1"/>
        </w:sectPr>
      </w:pPr>
      <w:r>
        <w:rPr>
          <w:rFonts w:hint="eastAsia" w:ascii="黑体" w:hAnsi="黑体" w:eastAsia="黑体" w:cs="黑体"/>
          <w:color w:val="auto"/>
          <w:spacing w:val="-3"/>
          <w:sz w:val="24"/>
          <w:szCs w:val="24"/>
          <w:lang w:val="en-US" w:eastAsia="zh-CN"/>
        </w:rPr>
        <w:t>4</w:t>
      </w:r>
      <w:r>
        <w:rPr>
          <w:rFonts w:hint="eastAsia" w:ascii="黑体" w:hAnsi="黑体" w:eastAsia="黑体" w:cs="黑体"/>
          <w:color w:val="auto"/>
          <w:spacing w:val="-3"/>
          <w:sz w:val="24"/>
          <w:szCs w:val="24"/>
        </w:rPr>
        <w:t>.对创新产品或创新性企业的优惠措施为：</w:t>
      </w:r>
      <w:r>
        <w:rPr>
          <w:rFonts w:hint="eastAsia" w:ascii="黑体" w:hAnsi="黑体" w:eastAsia="黑体" w:cs="黑体"/>
          <w:color w:val="auto"/>
          <w:spacing w:val="-3"/>
          <w:sz w:val="24"/>
          <w:szCs w:val="24"/>
          <w:u w:val="single"/>
        </w:rPr>
        <w:t>无</w:t>
      </w:r>
    </w:p>
    <w:p w14:paraId="079553D8">
      <w:pPr>
        <w:pStyle w:val="7"/>
        <w:pageBreakBefore w:val="0"/>
        <w:kinsoku w:val="0"/>
        <w:wordWrap w:val="0"/>
        <w:overflowPunct/>
        <w:topLinePunct w:val="0"/>
        <w:autoSpaceDE/>
        <w:autoSpaceDN/>
        <w:bidi w:val="0"/>
        <w:spacing w:before="113" w:line="226" w:lineRule="auto"/>
        <w:jc w:val="center"/>
        <w:rPr>
          <w:rFonts w:hint="eastAsia" w:ascii="黑体" w:hAnsi="黑体" w:eastAsia="黑体" w:cs="黑体"/>
          <w:color w:val="auto"/>
          <w:sz w:val="30"/>
          <w:szCs w:val="30"/>
        </w:rPr>
      </w:pPr>
      <w:r>
        <w:rPr>
          <w:rFonts w:hint="eastAsia" w:ascii="黑体" w:hAnsi="黑体" w:eastAsia="黑体" w:cs="黑体"/>
          <w:b/>
          <w:bCs/>
          <w:color w:val="auto"/>
          <w:spacing w:val="2"/>
          <w:sz w:val="30"/>
          <w:szCs w:val="30"/>
        </w:rPr>
        <w:t>资格性审查表</w:t>
      </w:r>
    </w:p>
    <w:tbl>
      <w:tblPr>
        <w:tblStyle w:val="22"/>
        <w:tblW w:w="10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7098"/>
        <w:gridCol w:w="650"/>
        <w:gridCol w:w="838"/>
        <w:gridCol w:w="806"/>
      </w:tblGrid>
      <w:tr w14:paraId="763D2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766" w:type="dxa"/>
            <w:vMerge w:val="restart"/>
            <w:tcBorders>
              <w:bottom w:val="nil"/>
            </w:tcBorders>
            <w:vAlign w:val="top"/>
          </w:tcPr>
          <w:p w14:paraId="52254DB4">
            <w:pPr>
              <w:pStyle w:val="23"/>
              <w:pageBreakBefore w:val="0"/>
              <w:kinsoku w:val="0"/>
              <w:wordWrap w:val="0"/>
              <w:overflowPunct/>
              <w:topLinePunct w:val="0"/>
              <w:autoSpaceDE/>
              <w:autoSpaceDN/>
              <w:bidi w:val="0"/>
              <w:spacing w:before="134" w:line="240" w:lineRule="auto"/>
              <w:rPr>
                <w:rFonts w:hint="eastAsia" w:ascii="黑体" w:hAnsi="黑体" w:eastAsia="黑体" w:cs="黑体"/>
                <w:b/>
                <w:bCs/>
                <w:color w:val="auto"/>
                <w:spacing w:val="-3"/>
              </w:rPr>
            </w:pPr>
          </w:p>
          <w:p w14:paraId="0B0B7E40">
            <w:pPr>
              <w:pStyle w:val="23"/>
              <w:pageBreakBefore w:val="0"/>
              <w:kinsoku w:val="0"/>
              <w:wordWrap w:val="0"/>
              <w:overflowPunct/>
              <w:topLinePunct w:val="0"/>
              <w:autoSpaceDE/>
              <w:autoSpaceDN/>
              <w:bidi w:val="0"/>
              <w:spacing w:before="134" w:line="240" w:lineRule="auto"/>
              <w:jc w:val="center"/>
              <w:rPr>
                <w:rFonts w:hint="eastAsia" w:ascii="黑体" w:hAnsi="黑体" w:eastAsia="黑体" w:cs="黑体"/>
                <w:color w:val="auto"/>
              </w:rPr>
            </w:pPr>
            <w:r>
              <w:rPr>
                <w:rFonts w:hint="eastAsia" w:ascii="黑体" w:hAnsi="黑体" w:eastAsia="黑体" w:cs="黑体"/>
                <w:b/>
                <w:bCs/>
                <w:color w:val="auto"/>
                <w:spacing w:val="-3"/>
              </w:rPr>
              <w:t>序号</w:t>
            </w:r>
          </w:p>
        </w:tc>
        <w:tc>
          <w:tcPr>
            <w:tcW w:w="7098" w:type="dxa"/>
            <w:vMerge w:val="restart"/>
            <w:tcBorders>
              <w:bottom w:val="nil"/>
            </w:tcBorders>
            <w:vAlign w:val="top"/>
          </w:tcPr>
          <w:p w14:paraId="7298DB77">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7BBB94DF">
            <w:pPr>
              <w:pStyle w:val="23"/>
              <w:pageBreakBefore w:val="0"/>
              <w:kinsoku w:val="0"/>
              <w:wordWrap w:val="0"/>
              <w:overflowPunct/>
              <w:topLinePunct w:val="0"/>
              <w:autoSpaceDE/>
              <w:autoSpaceDN/>
              <w:bidi w:val="0"/>
              <w:spacing w:before="78" w:line="240" w:lineRule="auto"/>
              <w:ind w:left="3157"/>
              <w:rPr>
                <w:rFonts w:hint="eastAsia" w:ascii="黑体" w:hAnsi="黑体" w:eastAsia="黑体" w:cs="黑体"/>
                <w:color w:val="auto"/>
              </w:rPr>
            </w:pPr>
            <w:r>
              <w:rPr>
                <w:rFonts w:hint="eastAsia" w:ascii="黑体" w:hAnsi="黑体" w:eastAsia="黑体" w:cs="黑体"/>
                <w:b/>
                <w:bCs/>
                <w:color w:val="auto"/>
                <w:spacing w:val="-10"/>
              </w:rPr>
              <w:t>评审内容</w:t>
            </w:r>
          </w:p>
        </w:tc>
        <w:tc>
          <w:tcPr>
            <w:tcW w:w="2294" w:type="dxa"/>
            <w:gridSpan w:val="3"/>
            <w:vAlign w:val="top"/>
          </w:tcPr>
          <w:p w14:paraId="63D46566">
            <w:pPr>
              <w:pStyle w:val="23"/>
              <w:pageBreakBefore w:val="0"/>
              <w:kinsoku w:val="0"/>
              <w:wordWrap w:val="0"/>
              <w:overflowPunct/>
              <w:topLinePunct w:val="0"/>
              <w:autoSpaceDE/>
              <w:autoSpaceDN/>
              <w:bidi w:val="0"/>
              <w:spacing w:before="106" w:line="240" w:lineRule="auto"/>
              <w:ind w:left="878"/>
              <w:rPr>
                <w:rFonts w:hint="eastAsia" w:ascii="黑体" w:hAnsi="黑体" w:eastAsia="黑体" w:cs="黑体"/>
                <w:color w:val="auto"/>
              </w:rPr>
            </w:pPr>
            <w:r>
              <w:rPr>
                <w:rFonts w:hint="eastAsia" w:ascii="黑体" w:hAnsi="黑体" w:eastAsia="黑体" w:cs="黑体"/>
                <w:b/>
                <w:bCs/>
                <w:color w:val="auto"/>
                <w:spacing w:val="-11"/>
              </w:rPr>
              <w:t>供应商</w:t>
            </w:r>
          </w:p>
        </w:tc>
      </w:tr>
      <w:tr w14:paraId="01E41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jc w:val="center"/>
        </w:trPr>
        <w:tc>
          <w:tcPr>
            <w:tcW w:w="766" w:type="dxa"/>
            <w:vMerge w:val="continue"/>
            <w:tcBorders>
              <w:top w:val="nil"/>
            </w:tcBorders>
            <w:textDirection w:val="tbRlV"/>
            <w:vAlign w:val="top"/>
          </w:tcPr>
          <w:p w14:paraId="3D4C31D4">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7098" w:type="dxa"/>
            <w:vMerge w:val="continue"/>
            <w:tcBorders>
              <w:top w:val="nil"/>
            </w:tcBorders>
            <w:vAlign w:val="top"/>
          </w:tcPr>
          <w:p w14:paraId="5D50DAEF">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650" w:type="dxa"/>
            <w:vAlign w:val="top"/>
          </w:tcPr>
          <w:p w14:paraId="20143B8C">
            <w:pPr>
              <w:pStyle w:val="23"/>
              <w:pageBreakBefore w:val="0"/>
              <w:kinsoku w:val="0"/>
              <w:wordWrap w:val="0"/>
              <w:overflowPunct/>
              <w:topLinePunct w:val="0"/>
              <w:autoSpaceDE/>
              <w:autoSpaceDN/>
              <w:bidi w:val="0"/>
              <w:spacing w:before="83" w:line="240" w:lineRule="auto"/>
              <w:jc w:val="center"/>
              <w:rPr>
                <w:rFonts w:hint="eastAsia" w:ascii="黑体" w:hAnsi="黑体" w:eastAsia="黑体" w:cs="黑体"/>
                <w:color w:val="auto"/>
              </w:rPr>
            </w:pPr>
            <w:r>
              <w:rPr>
                <w:rFonts w:hint="eastAsia" w:ascii="黑体" w:hAnsi="黑体" w:eastAsia="黑体" w:cs="黑体"/>
                <w:color w:val="auto"/>
                <w:spacing w:val="-14"/>
              </w:rPr>
              <w:t>是否</w:t>
            </w:r>
            <w:r>
              <w:rPr>
                <w:rFonts w:hint="eastAsia" w:ascii="黑体" w:hAnsi="黑体" w:eastAsia="黑体" w:cs="黑体"/>
                <w:color w:val="auto"/>
                <w:spacing w:val="-18"/>
              </w:rPr>
              <w:t>合格</w:t>
            </w:r>
          </w:p>
        </w:tc>
        <w:tc>
          <w:tcPr>
            <w:tcW w:w="838" w:type="dxa"/>
            <w:vAlign w:val="top"/>
          </w:tcPr>
          <w:p w14:paraId="223CEEE7">
            <w:pPr>
              <w:pStyle w:val="23"/>
              <w:pageBreakBefore w:val="0"/>
              <w:kinsoku w:val="0"/>
              <w:wordWrap w:val="0"/>
              <w:overflowPunct/>
              <w:topLinePunct w:val="0"/>
              <w:autoSpaceDE/>
              <w:autoSpaceDN/>
              <w:bidi w:val="0"/>
              <w:spacing w:before="80" w:line="240" w:lineRule="auto"/>
              <w:ind w:right="163"/>
              <w:jc w:val="center"/>
              <w:rPr>
                <w:rFonts w:hint="eastAsia" w:ascii="黑体" w:hAnsi="黑体" w:eastAsia="黑体" w:cs="黑体"/>
                <w:color w:val="auto"/>
              </w:rPr>
            </w:pPr>
            <w:r>
              <w:rPr>
                <w:rFonts w:hint="eastAsia" w:ascii="黑体" w:hAnsi="黑体" w:eastAsia="黑体" w:cs="黑体"/>
                <w:color w:val="auto"/>
                <w:spacing w:val="-14"/>
              </w:rPr>
              <w:t>是否</w:t>
            </w:r>
            <w:r>
              <w:rPr>
                <w:rFonts w:hint="eastAsia" w:ascii="黑体" w:hAnsi="黑体" w:eastAsia="黑体" w:cs="黑体"/>
                <w:color w:val="auto"/>
                <w:spacing w:val="-18"/>
              </w:rPr>
              <w:t>合格</w:t>
            </w:r>
          </w:p>
        </w:tc>
        <w:tc>
          <w:tcPr>
            <w:tcW w:w="806" w:type="dxa"/>
            <w:vAlign w:val="top"/>
          </w:tcPr>
          <w:p w14:paraId="28A231C1">
            <w:pPr>
              <w:pStyle w:val="23"/>
              <w:pageBreakBefore w:val="0"/>
              <w:kinsoku w:val="0"/>
              <w:wordWrap w:val="0"/>
              <w:overflowPunct/>
              <w:topLinePunct w:val="0"/>
              <w:autoSpaceDE/>
              <w:autoSpaceDN/>
              <w:bidi w:val="0"/>
              <w:spacing w:before="109" w:line="240" w:lineRule="auto"/>
              <w:ind w:right="150"/>
              <w:jc w:val="center"/>
              <w:rPr>
                <w:rFonts w:hint="eastAsia" w:ascii="黑体" w:hAnsi="黑体" w:eastAsia="黑体" w:cs="黑体"/>
                <w:color w:val="auto"/>
              </w:rPr>
            </w:pPr>
            <w:r>
              <w:rPr>
                <w:rFonts w:hint="eastAsia" w:ascii="黑体" w:hAnsi="黑体" w:eastAsia="黑体" w:cs="黑体"/>
                <w:color w:val="auto"/>
                <w:spacing w:val="-14"/>
              </w:rPr>
              <w:t>是否</w:t>
            </w:r>
            <w:r>
              <w:rPr>
                <w:rFonts w:hint="eastAsia" w:ascii="黑体" w:hAnsi="黑体" w:eastAsia="黑体" w:cs="黑体"/>
                <w:color w:val="auto"/>
                <w:spacing w:val="-18"/>
              </w:rPr>
              <w:t>合格</w:t>
            </w:r>
          </w:p>
        </w:tc>
      </w:tr>
      <w:tr w14:paraId="05213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66" w:type="dxa"/>
            <w:vAlign w:val="top"/>
          </w:tcPr>
          <w:p w14:paraId="0DA7FBC8">
            <w:pPr>
              <w:pStyle w:val="23"/>
              <w:pageBreakBefore w:val="0"/>
              <w:kinsoku w:val="0"/>
              <w:wordWrap w:val="0"/>
              <w:overflowPunct/>
              <w:topLinePunct w:val="0"/>
              <w:autoSpaceDE/>
              <w:autoSpaceDN/>
              <w:bidi w:val="0"/>
              <w:spacing w:before="169" w:line="240" w:lineRule="auto"/>
              <w:ind w:left="250"/>
              <w:rPr>
                <w:rFonts w:hint="eastAsia" w:ascii="黑体" w:hAnsi="黑体" w:eastAsia="黑体" w:cs="黑体"/>
                <w:color w:val="auto"/>
              </w:rPr>
            </w:pPr>
            <w:r>
              <w:rPr>
                <w:rFonts w:hint="eastAsia" w:ascii="黑体" w:hAnsi="黑体" w:eastAsia="黑体" w:cs="黑体"/>
                <w:color w:val="auto"/>
              </w:rPr>
              <w:t>1</w:t>
            </w:r>
          </w:p>
        </w:tc>
        <w:tc>
          <w:tcPr>
            <w:tcW w:w="7098" w:type="dxa"/>
            <w:vAlign w:val="top"/>
          </w:tcPr>
          <w:p w14:paraId="0C1BA312">
            <w:pPr>
              <w:pStyle w:val="23"/>
              <w:pageBreakBefore w:val="0"/>
              <w:kinsoku w:val="0"/>
              <w:wordWrap w:val="0"/>
              <w:overflowPunct/>
              <w:topLinePunct w:val="0"/>
              <w:autoSpaceDE/>
              <w:autoSpaceDN/>
              <w:bidi w:val="0"/>
              <w:spacing w:before="131" w:line="240" w:lineRule="auto"/>
              <w:ind w:left="138"/>
              <w:rPr>
                <w:rFonts w:hint="eastAsia" w:ascii="黑体" w:hAnsi="黑体" w:eastAsia="黑体" w:cs="黑体"/>
                <w:color w:val="auto"/>
              </w:rPr>
            </w:pPr>
            <w:r>
              <w:rPr>
                <w:rFonts w:hint="eastAsia" w:ascii="黑体" w:hAnsi="黑体" w:eastAsia="黑体" w:cs="黑体"/>
                <w:color w:val="auto"/>
                <w:spacing w:val="-5"/>
                <w:lang w:eastAsia="zh-CN"/>
              </w:rPr>
              <w:t>有效的营业执照等证明文件；</w:t>
            </w:r>
          </w:p>
        </w:tc>
        <w:tc>
          <w:tcPr>
            <w:tcW w:w="650" w:type="dxa"/>
            <w:vAlign w:val="top"/>
          </w:tcPr>
          <w:p w14:paraId="1922FDA5">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4E41F851">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32C08682">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183D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766" w:type="dxa"/>
            <w:vAlign w:val="top"/>
          </w:tcPr>
          <w:p w14:paraId="019B3EBA">
            <w:pPr>
              <w:pStyle w:val="23"/>
              <w:pageBreakBefore w:val="0"/>
              <w:kinsoku w:val="0"/>
              <w:wordWrap w:val="0"/>
              <w:overflowPunct/>
              <w:topLinePunct w:val="0"/>
              <w:autoSpaceDE/>
              <w:autoSpaceDN/>
              <w:bidi w:val="0"/>
              <w:spacing w:before="226" w:line="240" w:lineRule="auto"/>
              <w:ind w:left="221"/>
              <w:rPr>
                <w:rFonts w:hint="eastAsia" w:ascii="黑体" w:hAnsi="黑体" w:eastAsia="黑体" w:cs="黑体"/>
                <w:color w:val="auto"/>
              </w:rPr>
            </w:pPr>
            <w:r>
              <w:rPr>
                <w:rFonts w:hint="eastAsia" w:ascii="黑体" w:hAnsi="黑体" w:eastAsia="黑体" w:cs="黑体"/>
                <w:color w:val="auto"/>
              </w:rPr>
              <w:t>2</w:t>
            </w:r>
          </w:p>
        </w:tc>
        <w:tc>
          <w:tcPr>
            <w:tcW w:w="7098" w:type="dxa"/>
            <w:vAlign w:val="top"/>
          </w:tcPr>
          <w:p w14:paraId="246CE652">
            <w:pPr>
              <w:pStyle w:val="23"/>
              <w:pageBreakBefore w:val="0"/>
              <w:kinsoku w:val="0"/>
              <w:wordWrap w:val="0"/>
              <w:overflowPunct/>
              <w:topLinePunct w:val="0"/>
              <w:autoSpaceDE/>
              <w:autoSpaceDN/>
              <w:bidi w:val="0"/>
              <w:spacing w:before="187" w:line="240" w:lineRule="auto"/>
              <w:ind w:left="147"/>
              <w:rPr>
                <w:rFonts w:hint="eastAsia" w:ascii="黑体" w:hAnsi="黑体" w:eastAsia="黑体" w:cs="黑体"/>
                <w:color w:val="auto"/>
              </w:rPr>
            </w:pPr>
            <w:r>
              <w:rPr>
                <w:rFonts w:hint="eastAsia" w:ascii="黑体" w:hAnsi="黑体" w:eastAsia="黑体" w:cs="黑体"/>
                <w:color w:val="auto"/>
                <w:spacing w:val="-5"/>
                <w:lang w:eastAsia="zh-CN"/>
              </w:rPr>
              <w:t>法定代表人身份证明或法定代表人授权委托书；</w:t>
            </w:r>
          </w:p>
        </w:tc>
        <w:tc>
          <w:tcPr>
            <w:tcW w:w="650" w:type="dxa"/>
            <w:vAlign w:val="top"/>
          </w:tcPr>
          <w:p w14:paraId="4313FA04">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3E7DF1F7">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0ACF1C81">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50336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66" w:type="dxa"/>
            <w:vAlign w:val="top"/>
          </w:tcPr>
          <w:p w14:paraId="18E6EDBB">
            <w:pPr>
              <w:pStyle w:val="23"/>
              <w:pageBreakBefore w:val="0"/>
              <w:kinsoku w:val="0"/>
              <w:wordWrap w:val="0"/>
              <w:overflowPunct/>
              <w:topLinePunct w:val="0"/>
              <w:autoSpaceDE/>
              <w:autoSpaceDN/>
              <w:bidi w:val="0"/>
              <w:spacing w:before="200" w:line="240" w:lineRule="auto"/>
              <w:ind w:left="225"/>
              <w:rPr>
                <w:rFonts w:hint="eastAsia" w:ascii="黑体" w:hAnsi="黑体" w:eastAsia="黑体" w:cs="黑体"/>
                <w:color w:val="auto"/>
              </w:rPr>
            </w:pPr>
            <w:r>
              <w:rPr>
                <w:rFonts w:hint="eastAsia" w:ascii="黑体" w:hAnsi="黑体" w:eastAsia="黑体" w:cs="黑体"/>
                <w:color w:val="auto"/>
              </w:rPr>
              <w:t>3</w:t>
            </w:r>
          </w:p>
        </w:tc>
        <w:tc>
          <w:tcPr>
            <w:tcW w:w="7098" w:type="dxa"/>
            <w:vAlign w:val="top"/>
          </w:tcPr>
          <w:p w14:paraId="48268F80">
            <w:pPr>
              <w:pStyle w:val="23"/>
              <w:pageBreakBefore w:val="0"/>
              <w:kinsoku w:val="0"/>
              <w:wordWrap w:val="0"/>
              <w:overflowPunct/>
              <w:topLinePunct w:val="0"/>
              <w:autoSpaceDE/>
              <w:autoSpaceDN/>
              <w:bidi w:val="0"/>
              <w:spacing w:before="161" w:line="240" w:lineRule="auto"/>
              <w:ind w:left="134"/>
              <w:rPr>
                <w:rFonts w:hint="eastAsia" w:ascii="黑体" w:hAnsi="黑体" w:eastAsia="黑体" w:cs="黑体"/>
                <w:color w:val="auto"/>
              </w:rPr>
            </w:pPr>
            <w:r>
              <w:rPr>
                <w:rFonts w:hint="eastAsia" w:ascii="黑体" w:hAnsi="黑体" w:eastAsia="黑体" w:cs="黑体"/>
                <w:color w:val="auto"/>
                <w:spacing w:val="-5"/>
                <w:lang w:eastAsia="zh-CN"/>
              </w:rPr>
              <w:t>提供本单位缴纳的近六个月任意一个月社保缴纳证明；</w:t>
            </w:r>
          </w:p>
        </w:tc>
        <w:tc>
          <w:tcPr>
            <w:tcW w:w="650" w:type="dxa"/>
            <w:vAlign w:val="top"/>
          </w:tcPr>
          <w:p w14:paraId="231B92BE">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561249FA">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678014EA">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37A4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766" w:type="dxa"/>
            <w:vAlign w:val="top"/>
          </w:tcPr>
          <w:p w14:paraId="63F76563">
            <w:pPr>
              <w:pStyle w:val="23"/>
              <w:pageBreakBefore w:val="0"/>
              <w:kinsoku w:val="0"/>
              <w:wordWrap w:val="0"/>
              <w:overflowPunct/>
              <w:topLinePunct w:val="0"/>
              <w:autoSpaceDE/>
              <w:autoSpaceDN/>
              <w:bidi w:val="0"/>
              <w:spacing w:before="195" w:line="240" w:lineRule="auto"/>
              <w:ind w:left="214"/>
              <w:rPr>
                <w:rFonts w:hint="eastAsia" w:ascii="黑体" w:hAnsi="黑体" w:eastAsia="黑体" w:cs="黑体"/>
                <w:color w:val="auto"/>
              </w:rPr>
            </w:pPr>
            <w:r>
              <w:rPr>
                <w:rFonts w:hint="eastAsia" w:ascii="黑体" w:hAnsi="黑体" w:eastAsia="黑体" w:cs="黑体"/>
                <w:color w:val="auto"/>
              </w:rPr>
              <w:t>4</w:t>
            </w:r>
          </w:p>
        </w:tc>
        <w:tc>
          <w:tcPr>
            <w:tcW w:w="7098" w:type="dxa"/>
            <w:vAlign w:val="top"/>
          </w:tcPr>
          <w:p w14:paraId="23FAA0CC">
            <w:pPr>
              <w:pStyle w:val="23"/>
              <w:pageBreakBefore w:val="0"/>
              <w:kinsoku w:val="0"/>
              <w:wordWrap w:val="0"/>
              <w:overflowPunct/>
              <w:topLinePunct w:val="0"/>
              <w:autoSpaceDE/>
              <w:autoSpaceDN/>
              <w:bidi w:val="0"/>
              <w:spacing w:line="240" w:lineRule="auto"/>
              <w:ind w:left="150"/>
              <w:rPr>
                <w:rFonts w:hint="eastAsia" w:ascii="黑体" w:hAnsi="黑体" w:eastAsia="黑体" w:cs="黑体"/>
                <w:color w:val="auto"/>
              </w:rPr>
            </w:pPr>
            <w:r>
              <w:rPr>
                <w:rFonts w:hint="eastAsia" w:ascii="黑体" w:hAnsi="黑体" w:eastAsia="黑体" w:cs="黑体"/>
                <w:color w:val="auto"/>
                <w:spacing w:val="-5"/>
                <w:lang w:eastAsia="zh-CN"/>
              </w:rPr>
              <w:t>提供近六个月任意一个月税务局开具的完税证明；（完税证明或税务部门出具的其他证明，非社会保险类）；</w:t>
            </w:r>
          </w:p>
        </w:tc>
        <w:tc>
          <w:tcPr>
            <w:tcW w:w="650" w:type="dxa"/>
            <w:vAlign w:val="top"/>
          </w:tcPr>
          <w:p w14:paraId="52359E6F">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276BD54D">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33A2FA24">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70F0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6" w:type="dxa"/>
            <w:vAlign w:val="top"/>
          </w:tcPr>
          <w:p w14:paraId="02FC52FF">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105B93E5">
            <w:pPr>
              <w:pStyle w:val="23"/>
              <w:pageBreakBefore w:val="0"/>
              <w:kinsoku w:val="0"/>
              <w:wordWrap w:val="0"/>
              <w:overflowPunct/>
              <w:topLinePunct w:val="0"/>
              <w:autoSpaceDE/>
              <w:autoSpaceDN/>
              <w:bidi w:val="0"/>
              <w:spacing w:before="78" w:line="240" w:lineRule="auto"/>
              <w:ind w:left="225"/>
              <w:rPr>
                <w:rFonts w:hint="eastAsia" w:ascii="黑体" w:hAnsi="黑体" w:eastAsia="黑体" w:cs="黑体"/>
                <w:color w:val="auto"/>
              </w:rPr>
            </w:pPr>
            <w:r>
              <w:rPr>
                <w:rFonts w:hint="eastAsia" w:ascii="黑体" w:hAnsi="黑体" w:eastAsia="黑体" w:cs="黑体"/>
                <w:color w:val="auto"/>
              </w:rPr>
              <w:t>5</w:t>
            </w:r>
          </w:p>
        </w:tc>
        <w:tc>
          <w:tcPr>
            <w:tcW w:w="7098" w:type="dxa"/>
            <w:vAlign w:val="top"/>
          </w:tcPr>
          <w:p w14:paraId="44447D68">
            <w:pPr>
              <w:pStyle w:val="23"/>
              <w:pageBreakBefore w:val="0"/>
              <w:tabs>
                <w:tab w:val="left" w:pos="7140"/>
              </w:tabs>
              <w:kinsoku w:val="0"/>
              <w:wordWrap w:val="0"/>
              <w:overflowPunct/>
              <w:topLinePunct w:val="0"/>
              <w:autoSpaceDE/>
              <w:autoSpaceDN/>
              <w:bidi w:val="0"/>
              <w:spacing w:before="111" w:line="240" w:lineRule="auto"/>
              <w:ind w:left="162" w:right="-44" w:rightChars="0" w:hanging="32"/>
              <w:rPr>
                <w:rFonts w:hint="eastAsia" w:ascii="黑体" w:hAnsi="黑体" w:eastAsia="黑体" w:cs="黑体"/>
                <w:color w:val="auto"/>
              </w:rPr>
            </w:pPr>
            <w:r>
              <w:rPr>
                <w:rFonts w:hint="eastAsia" w:ascii="黑体" w:hAnsi="黑体" w:eastAsia="黑体" w:cs="黑体"/>
                <w:color w:val="auto"/>
                <w:spacing w:val="-5"/>
                <w:lang w:eastAsia="zh-CN"/>
              </w:rPr>
              <w:t>提供2023年度财务审计报告（新成立未满一年的公司需提供有效的银行资信证明）；</w:t>
            </w:r>
          </w:p>
        </w:tc>
        <w:tc>
          <w:tcPr>
            <w:tcW w:w="650" w:type="dxa"/>
            <w:vAlign w:val="top"/>
          </w:tcPr>
          <w:p w14:paraId="51FBEB1C">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54D7DC5B">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678D22CE">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4175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jc w:val="center"/>
        </w:trPr>
        <w:tc>
          <w:tcPr>
            <w:tcW w:w="766" w:type="dxa"/>
            <w:vAlign w:val="top"/>
          </w:tcPr>
          <w:p w14:paraId="51017EE8">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47713D2A">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3E39A463">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0E6FEFB3">
            <w:pPr>
              <w:pStyle w:val="23"/>
              <w:pageBreakBefore w:val="0"/>
              <w:kinsoku w:val="0"/>
              <w:wordWrap w:val="0"/>
              <w:overflowPunct/>
              <w:topLinePunct w:val="0"/>
              <w:autoSpaceDE/>
              <w:autoSpaceDN/>
              <w:bidi w:val="0"/>
              <w:spacing w:before="78" w:line="240" w:lineRule="auto"/>
              <w:ind w:left="217"/>
              <w:rPr>
                <w:rFonts w:hint="eastAsia" w:ascii="黑体" w:hAnsi="黑体" w:eastAsia="黑体" w:cs="黑体"/>
                <w:color w:val="auto"/>
              </w:rPr>
            </w:pPr>
            <w:r>
              <w:rPr>
                <w:rFonts w:hint="eastAsia" w:ascii="黑体" w:hAnsi="黑体" w:eastAsia="黑体" w:cs="黑体"/>
                <w:color w:val="auto"/>
              </w:rPr>
              <w:t>6</w:t>
            </w:r>
          </w:p>
        </w:tc>
        <w:tc>
          <w:tcPr>
            <w:tcW w:w="7098" w:type="dxa"/>
            <w:vAlign w:val="top"/>
          </w:tcPr>
          <w:p w14:paraId="58E428BA">
            <w:pPr>
              <w:pStyle w:val="23"/>
              <w:pageBreakBefore w:val="0"/>
              <w:kinsoku w:val="0"/>
              <w:wordWrap w:val="0"/>
              <w:overflowPunct/>
              <w:topLinePunct w:val="0"/>
              <w:autoSpaceDE/>
              <w:autoSpaceDN/>
              <w:bidi w:val="0"/>
              <w:spacing w:before="71" w:line="240" w:lineRule="auto"/>
              <w:ind w:left="133" w:right="100"/>
              <w:jc w:val="both"/>
              <w:rPr>
                <w:rFonts w:hint="eastAsia" w:ascii="黑体" w:hAnsi="黑体" w:eastAsia="黑体" w:cs="黑体"/>
                <w:color w:val="auto"/>
                <w:lang w:val="en-US"/>
              </w:rPr>
            </w:pPr>
            <w:r>
              <w:rPr>
                <w:rFonts w:hint="eastAsia" w:ascii="黑体" w:hAnsi="黑体" w:eastAsia="黑体" w:cs="黑体"/>
                <w:color w:val="auto"/>
                <w:lang w:val="en-US" w:eastAsia="zh-CN"/>
              </w:rPr>
              <w:t>投标单位近三年内（2021年08月至今）在“信用中国”（www.creditchina.gov.cn）和中国政府采购网（www.ccgp.gov.cn）网站上未列入重大税收违法失信主体、严重失信主体名单查询，中国政府采购网严重违法失信行为记录名单；（以采购人或代理机构现场查询为准）</w:t>
            </w:r>
          </w:p>
        </w:tc>
        <w:tc>
          <w:tcPr>
            <w:tcW w:w="650" w:type="dxa"/>
            <w:vAlign w:val="top"/>
          </w:tcPr>
          <w:p w14:paraId="63DADD56">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1B54034B">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09F410B5">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06742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766" w:type="dxa"/>
            <w:vAlign w:val="top"/>
          </w:tcPr>
          <w:p w14:paraId="4E0A53BB">
            <w:pPr>
              <w:pStyle w:val="23"/>
              <w:pageBreakBefore w:val="0"/>
              <w:kinsoku w:val="0"/>
              <w:wordWrap w:val="0"/>
              <w:overflowPunct/>
              <w:topLinePunct w:val="0"/>
              <w:autoSpaceDE/>
              <w:autoSpaceDN/>
              <w:bidi w:val="0"/>
              <w:spacing w:before="136" w:line="240" w:lineRule="auto"/>
              <w:ind w:left="216"/>
              <w:rPr>
                <w:rFonts w:hint="eastAsia" w:ascii="黑体" w:hAnsi="黑体" w:eastAsia="黑体" w:cs="黑体"/>
                <w:color w:val="auto"/>
                <w:lang w:eastAsia="zh-CN"/>
              </w:rPr>
            </w:pPr>
            <w:r>
              <w:rPr>
                <w:rFonts w:hint="eastAsia" w:ascii="黑体" w:hAnsi="黑体" w:eastAsia="黑体" w:cs="黑体"/>
                <w:color w:val="auto"/>
                <w:lang w:val="en-US" w:eastAsia="zh-CN"/>
              </w:rPr>
              <w:t>7</w:t>
            </w:r>
          </w:p>
        </w:tc>
        <w:tc>
          <w:tcPr>
            <w:tcW w:w="7098" w:type="dxa"/>
            <w:vAlign w:val="top"/>
          </w:tcPr>
          <w:p w14:paraId="3DA46510">
            <w:pPr>
              <w:pStyle w:val="23"/>
              <w:pageBreakBefore w:val="0"/>
              <w:kinsoku w:val="0"/>
              <w:wordWrap w:val="0"/>
              <w:overflowPunct/>
              <w:topLinePunct w:val="0"/>
              <w:autoSpaceDE/>
              <w:autoSpaceDN/>
              <w:bidi w:val="0"/>
              <w:spacing w:before="94" w:line="240" w:lineRule="auto"/>
              <w:ind w:left="132"/>
              <w:rPr>
                <w:rFonts w:hint="eastAsia" w:ascii="黑体" w:hAnsi="黑体" w:eastAsia="黑体" w:cs="黑体"/>
                <w:color w:val="auto"/>
              </w:rPr>
            </w:pPr>
            <w:r>
              <w:rPr>
                <w:rFonts w:hint="eastAsia" w:ascii="黑体" w:hAnsi="黑体" w:eastAsia="黑体" w:cs="黑体"/>
                <w:color w:val="auto"/>
                <w:spacing w:val="-5"/>
                <w:lang w:eastAsia="zh-CN"/>
              </w:rPr>
              <w:t>供应商提供针对本次项目《反商业贿赂承诺书》；</w:t>
            </w:r>
          </w:p>
        </w:tc>
        <w:tc>
          <w:tcPr>
            <w:tcW w:w="650" w:type="dxa"/>
            <w:vAlign w:val="top"/>
          </w:tcPr>
          <w:p w14:paraId="5CA55D2D">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2AC4BA92">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60287099">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0E3A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766" w:type="dxa"/>
            <w:vAlign w:val="top"/>
          </w:tcPr>
          <w:p w14:paraId="7C827D09">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p w14:paraId="7B324FEE">
            <w:pPr>
              <w:pStyle w:val="23"/>
              <w:pageBreakBefore w:val="0"/>
              <w:kinsoku w:val="0"/>
              <w:wordWrap w:val="0"/>
              <w:overflowPunct/>
              <w:topLinePunct w:val="0"/>
              <w:autoSpaceDE/>
              <w:autoSpaceDN/>
              <w:bidi w:val="0"/>
              <w:spacing w:before="78" w:line="240" w:lineRule="auto"/>
              <w:ind w:left="190"/>
              <w:rPr>
                <w:rFonts w:hint="eastAsia" w:ascii="黑体" w:hAnsi="黑体" w:eastAsia="黑体" w:cs="黑体"/>
                <w:color w:val="auto"/>
                <w:lang w:eastAsia="zh-CN"/>
              </w:rPr>
            </w:pPr>
            <w:r>
              <w:rPr>
                <w:rFonts w:hint="eastAsia" w:ascii="黑体" w:hAnsi="黑体" w:eastAsia="黑体" w:cs="黑体"/>
                <w:color w:val="auto"/>
                <w:spacing w:val="-14"/>
                <w:lang w:val="en-US" w:eastAsia="zh-CN"/>
              </w:rPr>
              <w:t>8</w:t>
            </w:r>
          </w:p>
        </w:tc>
        <w:tc>
          <w:tcPr>
            <w:tcW w:w="7098" w:type="dxa"/>
            <w:vAlign w:val="top"/>
          </w:tcPr>
          <w:p w14:paraId="0F42C52C">
            <w:pPr>
              <w:pStyle w:val="23"/>
              <w:pageBreakBefore w:val="0"/>
              <w:kinsoku w:val="0"/>
              <w:wordWrap w:val="0"/>
              <w:overflowPunct/>
              <w:topLinePunct w:val="0"/>
              <w:autoSpaceDE/>
              <w:autoSpaceDN/>
              <w:bidi w:val="0"/>
              <w:spacing w:before="51" w:line="240" w:lineRule="auto"/>
              <w:ind w:left="133" w:right="-44" w:rightChars="0"/>
              <w:rPr>
                <w:rFonts w:hint="eastAsia" w:ascii="黑体" w:hAnsi="黑体" w:eastAsia="黑体" w:cs="黑体"/>
                <w:color w:val="auto"/>
              </w:rPr>
            </w:pPr>
            <w:r>
              <w:rPr>
                <w:rFonts w:hint="eastAsia" w:ascii="黑体" w:hAnsi="黑体" w:eastAsia="黑体" w:cs="黑体"/>
                <w:color w:val="auto"/>
                <w:lang w:eastAsia="zh-CN"/>
              </w:rPr>
              <w:t>供应商参加政府采购活动（2021年</w:t>
            </w:r>
            <w:r>
              <w:rPr>
                <w:rFonts w:hint="eastAsia" w:ascii="黑体" w:hAnsi="黑体" w:eastAsia="黑体" w:cs="黑体"/>
                <w:color w:val="auto"/>
                <w:lang w:val="en-US" w:eastAsia="zh-CN"/>
              </w:rPr>
              <w:t>08</w:t>
            </w:r>
            <w:r>
              <w:rPr>
                <w:rFonts w:hint="eastAsia" w:ascii="黑体" w:hAnsi="黑体" w:eastAsia="黑体" w:cs="黑体"/>
                <w:color w:val="auto"/>
                <w:lang w:eastAsia="zh-CN"/>
              </w:rPr>
              <w:t>月至今）在经营活动中没有重大违法违规记录的书面声明；</w:t>
            </w:r>
          </w:p>
        </w:tc>
        <w:tc>
          <w:tcPr>
            <w:tcW w:w="650" w:type="dxa"/>
            <w:vAlign w:val="top"/>
          </w:tcPr>
          <w:p w14:paraId="3EE0340D">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3B2572A3">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472667A4">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07F3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766" w:type="dxa"/>
            <w:vAlign w:val="top"/>
          </w:tcPr>
          <w:p w14:paraId="3CD44022">
            <w:pPr>
              <w:pStyle w:val="23"/>
              <w:pageBreakBefore w:val="0"/>
              <w:kinsoku w:val="0"/>
              <w:wordWrap w:val="0"/>
              <w:overflowPunct/>
              <w:topLinePunct w:val="0"/>
              <w:autoSpaceDE/>
              <w:autoSpaceDN/>
              <w:bidi w:val="0"/>
              <w:spacing w:before="78" w:line="240" w:lineRule="auto"/>
              <w:ind w:left="190"/>
              <w:rPr>
                <w:rFonts w:hint="eastAsia" w:ascii="黑体" w:hAnsi="黑体" w:eastAsia="黑体" w:cs="黑体"/>
                <w:color w:val="auto"/>
                <w:spacing w:val="-14"/>
                <w:lang w:val="en-US" w:eastAsia="zh-CN"/>
              </w:rPr>
            </w:pPr>
            <w:r>
              <w:rPr>
                <w:rFonts w:hint="eastAsia" w:ascii="黑体" w:hAnsi="黑体" w:eastAsia="黑体" w:cs="黑体"/>
                <w:color w:val="auto"/>
                <w:spacing w:val="-14"/>
                <w:lang w:val="en-US" w:eastAsia="zh-CN"/>
              </w:rPr>
              <w:t>9</w:t>
            </w:r>
          </w:p>
        </w:tc>
        <w:tc>
          <w:tcPr>
            <w:tcW w:w="7098" w:type="dxa"/>
            <w:vAlign w:val="top"/>
          </w:tcPr>
          <w:p w14:paraId="162ECB8D">
            <w:pPr>
              <w:pStyle w:val="23"/>
              <w:pageBreakBefore w:val="0"/>
              <w:kinsoku w:val="0"/>
              <w:wordWrap w:val="0"/>
              <w:overflowPunct/>
              <w:topLinePunct w:val="0"/>
              <w:autoSpaceDE/>
              <w:autoSpaceDN/>
              <w:bidi w:val="0"/>
              <w:spacing w:before="51" w:line="240" w:lineRule="auto"/>
              <w:ind w:left="133" w:right="172"/>
              <w:rPr>
                <w:rFonts w:hint="eastAsia" w:ascii="黑体" w:hAnsi="黑体" w:eastAsia="黑体" w:cs="黑体"/>
                <w:color w:val="auto"/>
                <w:lang w:eastAsia="zh-CN"/>
              </w:rPr>
            </w:pPr>
            <w:r>
              <w:rPr>
                <w:rFonts w:hint="eastAsia" w:ascii="黑体" w:hAnsi="黑体" w:eastAsia="黑体" w:cs="黑体"/>
                <w:color w:val="auto"/>
                <w:spacing w:val="-5"/>
                <w:lang w:eastAsia="zh-CN"/>
              </w:rPr>
              <w:t>磋商保证金的有效缴纳凭证；</w:t>
            </w:r>
          </w:p>
        </w:tc>
        <w:tc>
          <w:tcPr>
            <w:tcW w:w="650" w:type="dxa"/>
            <w:vAlign w:val="top"/>
          </w:tcPr>
          <w:p w14:paraId="2A16907F">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2F9EAA1D">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4AEA109E">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71F2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766" w:type="dxa"/>
            <w:vAlign w:val="top"/>
          </w:tcPr>
          <w:p w14:paraId="0F1A2BC4">
            <w:pPr>
              <w:pStyle w:val="23"/>
              <w:pageBreakBefore w:val="0"/>
              <w:kinsoku w:val="0"/>
              <w:wordWrap w:val="0"/>
              <w:overflowPunct/>
              <w:topLinePunct w:val="0"/>
              <w:autoSpaceDE/>
              <w:autoSpaceDN/>
              <w:bidi w:val="0"/>
              <w:spacing w:before="139" w:line="240" w:lineRule="auto"/>
              <w:ind w:left="190"/>
              <w:rPr>
                <w:rFonts w:hint="default" w:ascii="黑体" w:hAnsi="黑体" w:eastAsia="黑体" w:cs="黑体"/>
                <w:color w:val="auto"/>
                <w:lang w:val="en-US" w:eastAsia="zh-CN"/>
              </w:rPr>
            </w:pPr>
            <w:r>
              <w:rPr>
                <w:rFonts w:hint="eastAsia" w:ascii="黑体" w:hAnsi="黑体" w:eastAsia="黑体" w:cs="黑体"/>
                <w:color w:val="auto"/>
                <w:lang w:val="en-US" w:eastAsia="zh-CN"/>
              </w:rPr>
              <w:t>10</w:t>
            </w:r>
          </w:p>
        </w:tc>
        <w:tc>
          <w:tcPr>
            <w:tcW w:w="7098" w:type="dxa"/>
            <w:vAlign w:val="top"/>
          </w:tcPr>
          <w:p w14:paraId="58033D11">
            <w:pPr>
              <w:pStyle w:val="23"/>
              <w:pageBreakBefore w:val="0"/>
              <w:kinsoku w:val="0"/>
              <w:wordWrap w:val="0"/>
              <w:overflowPunct/>
              <w:topLinePunct w:val="0"/>
              <w:autoSpaceDE/>
              <w:autoSpaceDN/>
              <w:bidi w:val="0"/>
              <w:spacing w:before="100" w:line="240" w:lineRule="auto"/>
              <w:ind w:left="134"/>
              <w:rPr>
                <w:rFonts w:hint="eastAsia" w:ascii="黑体" w:hAnsi="黑体" w:eastAsia="黑体" w:cs="黑体"/>
                <w:color w:val="auto"/>
              </w:rPr>
            </w:pPr>
            <w:r>
              <w:rPr>
                <w:rFonts w:hint="eastAsia" w:ascii="黑体" w:hAnsi="黑体" w:eastAsia="黑体" w:cs="黑体"/>
                <w:color w:val="auto"/>
                <w:spacing w:val="-4"/>
              </w:rPr>
              <w:t>提供中小企业声明函；</w:t>
            </w:r>
          </w:p>
        </w:tc>
        <w:tc>
          <w:tcPr>
            <w:tcW w:w="650" w:type="dxa"/>
            <w:vAlign w:val="top"/>
          </w:tcPr>
          <w:p w14:paraId="3AEFD1F4">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5DE3D8B7">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5A9C770C">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r w14:paraId="3BCB5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766" w:type="dxa"/>
            <w:vAlign w:val="top"/>
          </w:tcPr>
          <w:p w14:paraId="0F496FB9">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7098" w:type="dxa"/>
            <w:vAlign w:val="top"/>
          </w:tcPr>
          <w:p w14:paraId="54F64C97">
            <w:pPr>
              <w:pStyle w:val="23"/>
              <w:pageBreakBefore w:val="0"/>
              <w:kinsoku w:val="0"/>
              <w:wordWrap w:val="0"/>
              <w:overflowPunct/>
              <w:topLinePunct w:val="0"/>
              <w:autoSpaceDE/>
              <w:autoSpaceDN/>
              <w:bidi w:val="0"/>
              <w:spacing w:before="101" w:line="240" w:lineRule="auto"/>
              <w:ind w:left="142"/>
              <w:rPr>
                <w:rFonts w:hint="eastAsia" w:ascii="黑体" w:hAnsi="黑体" w:eastAsia="黑体" w:cs="黑体"/>
                <w:color w:val="auto"/>
              </w:rPr>
            </w:pPr>
            <w:r>
              <w:rPr>
                <w:rFonts w:hint="eastAsia" w:ascii="黑体" w:hAnsi="黑体" w:eastAsia="黑体" w:cs="黑体"/>
                <w:color w:val="auto"/>
                <w:spacing w:val="-11"/>
              </w:rPr>
              <w:t>结论</w:t>
            </w:r>
          </w:p>
        </w:tc>
        <w:tc>
          <w:tcPr>
            <w:tcW w:w="650" w:type="dxa"/>
            <w:vAlign w:val="top"/>
          </w:tcPr>
          <w:p w14:paraId="1BEF825F">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38" w:type="dxa"/>
            <w:vAlign w:val="top"/>
          </w:tcPr>
          <w:p w14:paraId="73BA20C7">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c>
          <w:tcPr>
            <w:tcW w:w="806" w:type="dxa"/>
            <w:vAlign w:val="top"/>
          </w:tcPr>
          <w:p w14:paraId="230E6E70">
            <w:pPr>
              <w:pageBreakBefore w:val="0"/>
              <w:kinsoku w:val="0"/>
              <w:wordWrap w:val="0"/>
              <w:overflowPunct/>
              <w:topLinePunct w:val="0"/>
              <w:autoSpaceDE/>
              <w:autoSpaceDN/>
              <w:bidi w:val="0"/>
              <w:spacing w:line="240" w:lineRule="auto"/>
              <w:rPr>
                <w:rFonts w:hint="eastAsia" w:ascii="黑体" w:hAnsi="黑体" w:eastAsia="黑体" w:cs="黑体"/>
                <w:color w:val="auto"/>
                <w:sz w:val="21"/>
              </w:rPr>
            </w:pPr>
          </w:p>
        </w:tc>
      </w:tr>
    </w:tbl>
    <w:p w14:paraId="25060575">
      <w:pPr>
        <w:pStyle w:val="7"/>
        <w:pageBreakBefore w:val="0"/>
        <w:kinsoku w:val="0"/>
        <w:wordWrap w:val="0"/>
        <w:overflowPunct/>
        <w:topLinePunct w:val="0"/>
        <w:autoSpaceDE/>
        <w:autoSpaceDN/>
        <w:bidi w:val="0"/>
        <w:spacing w:before="113" w:line="226" w:lineRule="auto"/>
        <w:ind w:left="16" w:leftChars="0" w:hanging="16" w:hangingChars="7"/>
        <w:rPr>
          <w:rFonts w:hint="eastAsia" w:ascii="黑体" w:hAnsi="黑体" w:eastAsia="黑体" w:cs="黑体"/>
          <w:snapToGrid w:val="0"/>
          <w:color w:val="auto"/>
          <w:kern w:val="0"/>
          <w:sz w:val="24"/>
          <w:szCs w:val="21"/>
          <w:highlight w:val="none"/>
          <w:lang w:val="en-US" w:eastAsia="en-US" w:bidi="ar"/>
        </w:rPr>
      </w:pPr>
      <w:r>
        <w:rPr>
          <w:rFonts w:hint="eastAsia" w:ascii="黑体" w:hAnsi="黑体" w:eastAsia="黑体" w:cs="黑体"/>
          <w:snapToGrid w:val="0"/>
          <w:color w:val="auto"/>
          <w:kern w:val="0"/>
          <w:sz w:val="24"/>
          <w:szCs w:val="21"/>
          <w:highlight w:val="none"/>
          <w:lang w:val="en-US" w:eastAsia="en-US" w:bidi="ar"/>
        </w:rPr>
        <w:t>说明：</w:t>
      </w:r>
    </w:p>
    <w:p w14:paraId="04211517">
      <w:pPr>
        <w:pStyle w:val="7"/>
        <w:pageBreakBefore w:val="0"/>
        <w:kinsoku w:val="0"/>
        <w:wordWrap w:val="0"/>
        <w:overflowPunct/>
        <w:topLinePunct w:val="0"/>
        <w:autoSpaceDE/>
        <w:autoSpaceDN/>
        <w:bidi w:val="0"/>
        <w:spacing w:before="113" w:line="226" w:lineRule="auto"/>
        <w:ind w:left="16" w:leftChars="0" w:hanging="16" w:hangingChars="7"/>
        <w:rPr>
          <w:rFonts w:hint="eastAsia" w:ascii="黑体" w:hAnsi="黑体" w:eastAsia="黑体" w:cs="黑体"/>
          <w:snapToGrid w:val="0"/>
          <w:color w:val="auto"/>
          <w:kern w:val="0"/>
          <w:sz w:val="24"/>
          <w:szCs w:val="21"/>
          <w:highlight w:val="none"/>
          <w:lang w:val="en-US" w:eastAsia="en-US" w:bidi="ar"/>
        </w:rPr>
      </w:pPr>
      <w:r>
        <w:rPr>
          <w:rFonts w:hint="eastAsia" w:ascii="黑体" w:hAnsi="黑体" w:eastAsia="黑体" w:cs="黑体"/>
          <w:snapToGrid w:val="0"/>
          <w:color w:val="auto"/>
          <w:kern w:val="0"/>
          <w:sz w:val="24"/>
          <w:szCs w:val="21"/>
          <w:highlight w:val="none"/>
          <w:lang w:val="en-US" w:eastAsia="en-US" w:bidi="ar"/>
        </w:rPr>
        <w:t>（1）上述各项中用“√”表示是，“×”表示否；</w:t>
      </w:r>
    </w:p>
    <w:p w14:paraId="5A9FAEEE">
      <w:pPr>
        <w:pStyle w:val="7"/>
        <w:pageBreakBefore w:val="0"/>
        <w:kinsoku w:val="0"/>
        <w:wordWrap w:val="0"/>
        <w:overflowPunct/>
        <w:topLinePunct w:val="0"/>
        <w:autoSpaceDE/>
        <w:autoSpaceDN/>
        <w:bidi w:val="0"/>
        <w:spacing w:before="113" w:line="226" w:lineRule="auto"/>
        <w:ind w:left="16" w:leftChars="0" w:hanging="16" w:hangingChars="7"/>
        <w:rPr>
          <w:rFonts w:hint="eastAsia" w:ascii="黑体" w:hAnsi="黑体" w:eastAsia="黑体" w:cs="黑体"/>
          <w:snapToGrid w:val="0"/>
          <w:color w:val="auto"/>
          <w:kern w:val="0"/>
          <w:sz w:val="24"/>
          <w:szCs w:val="21"/>
          <w:highlight w:val="none"/>
          <w:lang w:val="en-US" w:eastAsia="en-US" w:bidi="ar"/>
        </w:rPr>
      </w:pPr>
      <w:r>
        <w:rPr>
          <w:rFonts w:hint="eastAsia" w:ascii="黑体" w:hAnsi="黑体" w:eastAsia="黑体" w:cs="黑体"/>
          <w:snapToGrid w:val="0"/>
          <w:color w:val="auto"/>
          <w:kern w:val="0"/>
          <w:sz w:val="24"/>
          <w:szCs w:val="21"/>
          <w:highlight w:val="none"/>
          <w:lang w:val="en-US" w:eastAsia="en-US" w:bidi="ar"/>
        </w:rPr>
        <w:t>（2）上述各项中如有一项为“×”，则结论为“不通过”，表示该响应文件中存在重大偏差，不能通过初步评审；评委对某一分项评审认为不合格时，必须要写明原因。</w:t>
      </w:r>
    </w:p>
    <w:p w14:paraId="348F8CAC">
      <w:pPr>
        <w:pStyle w:val="7"/>
        <w:pageBreakBefore w:val="0"/>
        <w:kinsoku w:val="0"/>
        <w:wordWrap w:val="0"/>
        <w:overflowPunct/>
        <w:topLinePunct w:val="0"/>
        <w:autoSpaceDE/>
        <w:autoSpaceDN/>
        <w:bidi w:val="0"/>
        <w:spacing w:before="113" w:line="226" w:lineRule="auto"/>
        <w:ind w:left="16" w:leftChars="0" w:hanging="16" w:hangingChars="7"/>
        <w:rPr>
          <w:rFonts w:hint="eastAsia" w:ascii="黑体" w:hAnsi="黑体" w:eastAsia="黑体" w:cs="黑体"/>
          <w:snapToGrid w:val="0"/>
          <w:color w:val="auto"/>
          <w:kern w:val="0"/>
          <w:sz w:val="24"/>
          <w:szCs w:val="21"/>
          <w:highlight w:val="none"/>
          <w:lang w:val="en-US" w:eastAsia="en-US" w:bidi="ar"/>
        </w:rPr>
      </w:pPr>
      <w:r>
        <w:rPr>
          <w:rFonts w:hint="eastAsia" w:ascii="黑体" w:hAnsi="黑体" w:eastAsia="黑体" w:cs="黑体"/>
          <w:snapToGrid w:val="0"/>
          <w:color w:val="auto"/>
          <w:kern w:val="0"/>
          <w:sz w:val="24"/>
          <w:szCs w:val="21"/>
          <w:highlight w:val="none"/>
          <w:lang w:val="en-US" w:eastAsia="en-US" w:bidi="ar"/>
        </w:rPr>
        <w:t>（3）磋商文件最终合格与否，以所有评委的评审意见中少数服从多数为原则定论。备注：如果磋商文件中有一项未通过上述审查标准，采购人将认定整个响应文件未响应磋商文件而予以无效处理。</w:t>
      </w:r>
    </w:p>
    <w:p w14:paraId="1176947A">
      <w:pPr>
        <w:pageBreakBefore w:val="0"/>
        <w:kinsoku w:val="0"/>
        <w:wordWrap w:val="0"/>
        <w:overflowPunct/>
        <w:topLinePunct w:val="0"/>
        <w:autoSpaceDE/>
        <w:autoSpaceDN/>
        <w:bidi w:val="0"/>
        <w:rPr>
          <w:rFonts w:hint="eastAsia" w:ascii="黑体" w:hAnsi="黑体" w:eastAsia="黑体" w:cs="黑体"/>
          <w:snapToGrid w:val="0"/>
          <w:color w:val="auto"/>
          <w:kern w:val="0"/>
          <w:sz w:val="24"/>
          <w:szCs w:val="21"/>
          <w:highlight w:val="none"/>
          <w:lang w:val="en-US" w:eastAsia="en-US" w:bidi="ar"/>
        </w:rPr>
      </w:pPr>
      <w:r>
        <w:rPr>
          <w:rFonts w:hint="eastAsia" w:ascii="黑体" w:hAnsi="黑体" w:eastAsia="黑体" w:cs="黑体"/>
          <w:snapToGrid w:val="0"/>
          <w:color w:val="auto"/>
          <w:kern w:val="0"/>
          <w:sz w:val="24"/>
          <w:szCs w:val="21"/>
          <w:highlight w:val="none"/>
          <w:lang w:val="en-US" w:eastAsia="en-US" w:bidi="ar"/>
        </w:rPr>
        <w:br w:type="page"/>
      </w:r>
    </w:p>
    <w:p w14:paraId="0FDD48EF">
      <w:pPr>
        <w:pStyle w:val="7"/>
        <w:pageBreakBefore w:val="0"/>
        <w:kinsoku w:val="0"/>
        <w:wordWrap w:val="0"/>
        <w:overflowPunct/>
        <w:topLinePunct w:val="0"/>
        <w:autoSpaceDE/>
        <w:autoSpaceDN/>
        <w:bidi w:val="0"/>
        <w:spacing w:before="113" w:line="226" w:lineRule="auto"/>
        <w:ind w:left="20" w:leftChars="0" w:hanging="20" w:hangingChars="7"/>
        <w:jc w:val="center"/>
        <w:rPr>
          <w:rFonts w:hint="eastAsia" w:ascii="黑体" w:hAnsi="黑体" w:eastAsia="黑体" w:cs="黑体"/>
          <w:b/>
          <w:bCs/>
          <w:snapToGrid w:val="0"/>
          <w:color w:val="auto"/>
          <w:kern w:val="0"/>
          <w:sz w:val="28"/>
          <w:szCs w:val="22"/>
          <w:highlight w:val="none"/>
          <w:lang w:val="en-US" w:eastAsia="en-US" w:bidi="ar"/>
        </w:rPr>
      </w:pPr>
      <w:r>
        <w:rPr>
          <w:rFonts w:hint="eastAsia" w:ascii="黑体" w:hAnsi="黑体" w:eastAsia="黑体" w:cs="黑体"/>
          <w:b/>
          <w:bCs/>
          <w:snapToGrid w:val="0"/>
          <w:color w:val="auto"/>
          <w:kern w:val="0"/>
          <w:sz w:val="28"/>
          <w:szCs w:val="22"/>
          <w:highlight w:val="none"/>
          <w:lang w:val="en-US" w:eastAsia="en-US" w:bidi="ar"/>
        </w:rPr>
        <w:t>初步评审—符合性审查</w:t>
      </w:r>
    </w:p>
    <w:p w14:paraId="1CBF57BD">
      <w:pPr>
        <w:pageBreakBefore w:val="0"/>
        <w:kinsoku w:val="0"/>
        <w:wordWrap w:val="0"/>
        <w:overflowPunct/>
        <w:topLinePunct w:val="0"/>
        <w:autoSpaceDE/>
        <w:autoSpaceDN/>
        <w:bidi w:val="0"/>
        <w:spacing w:line="226" w:lineRule="exact"/>
        <w:rPr>
          <w:rFonts w:hint="eastAsia" w:ascii="黑体" w:hAnsi="黑体" w:eastAsia="黑体" w:cs="黑体"/>
          <w:color w:val="auto"/>
        </w:rPr>
      </w:pPr>
    </w:p>
    <w:tbl>
      <w:tblPr>
        <w:tblStyle w:val="22"/>
        <w:tblW w:w="90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7015"/>
        <w:gridCol w:w="1173"/>
      </w:tblGrid>
      <w:tr w14:paraId="6121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7869" w:type="dxa"/>
            <w:gridSpan w:val="2"/>
            <w:vAlign w:val="top"/>
          </w:tcPr>
          <w:p w14:paraId="69E5B8AA">
            <w:pPr>
              <w:pStyle w:val="23"/>
              <w:pageBreakBefore w:val="0"/>
              <w:kinsoku w:val="0"/>
              <w:wordWrap w:val="0"/>
              <w:overflowPunct/>
              <w:topLinePunct w:val="0"/>
              <w:autoSpaceDE/>
              <w:autoSpaceDN/>
              <w:bidi w:val="0"/>
              <w:spacing w:before="293" w:line="222" w:lineRule="auto"/>
              <w:jc w:val="center"/>
              <w:rPr>
                <w:rFonts w:hint="eastAsia" w:ascii="黑体" w:hAnsi="黑体" w:eastAsia="黑体" w:cs="黑体"/>
                <w:color w:val="auto"/>
              </w:rPr>
            </w:pPr>
            <w:r>
              <w:rPr>
                <w:rFonts w:hint="eastAsia" w:ascii="黑体" w:hAnsi="黑体" w:eastAsia="黑体" w:cs="黑体"/>
                <w:b/>
                <w:bCs/>
                <w:color w:val="auto"/>
                <w:spacing w:val="-11"/>
              </w:rPr>
              <w:t>评审内容</w:t>
            </w:r>
          </w:p>
        </w:tc>
        <w:tc>
          <w:tcPr>
            <w:tcW w:w="1173" w:type="dxa"/>
            <w:vAlign w:val="top"/>
          </w:tcPr>
          <w:p w14:paraId="42C78DF7">
            <w:pPr>
              <w:pStyle w:val="23"/>
              <w:pageBreakBefore w:val="0"/>
              <w:kinsoku w:val="0"/>
              <w:wordWrap w:val="0"/>
              <w:overflowPunct/>
              <w:topLinePunct w:val="0"/>
              <w:autoSpaceDE/>
              <w:autoSpaceDN/>
              <w:bidi w:val="0"/>
              <w:spacing w:before="114" w:line="244" w:lineRule="auto"/>
              <w:ind w:right="147"/>
              <w:jc w:val="center"/>
              <w:rPr>
                <w:rFonts w:hint="eastAsia" w:ascii="黑体" w:hAnsi="黑体" w:eastAsia="黑体" w:cs="黑体"/>
                <w:color w:val="auto"/>
              </w:rPr>
            </w:pPr>
            <w:r>
              <w:rPr>
                <w:rFonts w:hint="eastAsia" w:ascii="黑体" w:hAnsi="黑体" w:eastAsia="黑体" w:cs="黑体"/>
                <w:b/>
                <w:bCs/>
                <w:color w:val="auto"/>
                <w:spacing w:val="-13"/>
              </w:rPr>
              <w:t>评审意</w:t>
            </w:r>
            <w:r>
              <w:rPr>
                <w:rFonts w:hint="eastAsia" w:ascii="黑体" w:hAnsi="黑体" w:eastAsia="黑体" w:cs="黑体"/>
                <w:b/>
                <w:bCs/>
                <w:color w:val="auto"/>
                <w:spacing w:val="-3"/>
              </w:rPr>
              <w:t>见</w:t>
            </w:r>
          </w:p>
        </w:tc>
      </w:tr>
      <w:tr w14:paraId="08CA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54" w:type="dxa"/>
            <w:vAlign w:val="top"/>
          </w:tcPr>
          <w:p w14:paraId="262A55C0">
            <w:pPr>
              <w:pStyle w:val="23"/>
              <w:pageBreakBefore w:val="0"/>
              <w:kinsoku w:val="0"/>
              <w:wordWrap w:val="0"/>
              <w:overflowPunct/>
              <w:topLinePunct w:val="0"/>
              <w:autoSpaceDE/>
              <w:autoSpaceDN/>
              <w:bidi w:val="0"/>
              <w:spacing w:before="287" w:line="222" w:lineRule="auto"/>
              <w:ind w:left="215"/>
              <w:rPr>
                <w:rFonts w:hint="eastAsia" w:ascii="黑体" w:hAnsi="黑体" w:eastAsia="黑体" w:cs="黑体"/>
                <w:color w:val="auto"/>
              </w:rPr>
            </w:pPr>
            <w:r>
              <w:rPr>
                <w:rFonts w:hint="eastAsia" w:ascii="黑体" w:hAnsi="黑体" w:eastAsia="黑体" w:cs="黑体"/>
                <w:color w:val="auto"/>
                <w:spacing w:val="-8"/>
              </w:rPr>
              <w:t>序号</w:t>
            </w:r>
          </w:p>
        </w:tc>
        <w:tc>
          <w:tcPr>
            <w:tcW w:w="7015" w:type="dxa"/>
            <w:vAlign w:val="top"/>
          </w:tcPr>
          <w:p w14:paraId="7E0C7C9E">
            <w:pPr>
              <w:pageBreakBefore w:val="0"/>
              <w:kinsoku w:val="0"/>
              <w:wordWrap w:val="0"/>
              <w:overflowPunct/>
              <w:topLinePunct w:val="0"/>
              <w:autoSpaceDE/>
              <w:autoSpaceDN/>
              <w:bidi w:val="0"/>
              <w:rPr>
                <w:rFonts w:hint="eastAsia" w:ascii="黑体" w:hAnsi="黑体" w:eastAsia="黑体" w:cs="黑体"/>
                <w:color w:val="auto"/>
                <w:sz w:val="21"/>
              </w:rPr>
            </w:pPr>
          </w:p>
        </w:tc>
        <w:tc>
          <w:tcPr>
            <w:tcW w:w="1173" w:type="dxa"/>
            <w:vAlign w:val="top"/>
          </w:tcPr>
          <w:p w14:paraId="4C9B9BA1">
            <w:pPr>
              <w:pStyle w:val="23"/>
              <w:pageBreakBefore w:val="0"/>
              <w:kinsoku w:val="0"/>
              <w:wordWrap w:val="0"/>
              <w:overflowPunct/>
              <w:topLinePunct w:val="0"/>
              <w:autoSpaceDE/>
              <w:autoSpaceDN/>
              <w:bidi w:val="0"/>
              <w:spacing w:before="80" w:line="401" w:lineRule="exact"/>
              <w:ind w:left="305"/>
              <w:rPr>
                <w:rFonts w:hint="eastAsia" w:ascii="黑体" w:hAnsi="黑体" w:eastAsia="黑体" w:cs="黑体"/>
                <w:color w:val="auto"/>
              </w:rPr>
            </w:pPr>
            <w:r>
              <w:rPr>
                <w:rFonts w:hint="eastAsia" w:ascii="黑体" w:hAnsi="黑体" w:eastAsia="黑体" w:cs="黑体"/>
                <w:color w:val="auto"/>
                <w:spacing w:val="-9"/>
                <w:position w:val="11"/>
              </w:rPr>
              <w:t>是否</w:t>
            </w:r>
          </w:p>
          <w:p w14:paraId="34F75BCC">
            <w:pPr>
              <w:pStyle w:val="23"/>
              <w:pageBreakBefore w:val="0"/>
              <w:kinsoku w:val="0"/>
              <w:wordWrap w:val="0"/>
              <w:overflowPunct/>
              <w:topLinePunct w:val="0"/>
              <w:autoSpaceDE/>
              <w:autoSpaceDN/>
              <w:bidi w:val="0"/>
              <w:spacing w:line="222" w:lineRule="auto"/>
              <w:ind w:left="318"/>
              <w:rPr>
                <w:rFonts w:hint="eastAsia" w:ascii="黑体" w:hAnsi="黑体" w:eastAsia="黑体" w:cs="黑体"/>
                <w:color w:val="auto"/>
              </w:rPr>
            </w:pPr>
            <w:r>
              <w:rPr>
                <w:rFonts w:hint="eastAsia" w:ascii="黑体" w:hAnsi="黑体" w:eastAsia="黑体" w:cs="黑体"/>
                <w:color w:val="auto"/>
                <w:spacing w:val="-12"/>
              </w:rPr>
              <w:t>合格</w:t>
            </w:r>
          </w:p>
        </w:tc>
      </w:tr>
      <w:tr w14:paraId="287A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54" w:type="dxa"/>
            <w:vAlign w:val="center"/>
          </w:tcPr>
          <w:p w14:paraId="710A3B6B">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1</w:t>
            </w:r>
          </w:p>
        </w:tc>
        <w:tc>
          <w:tcPr>
            <w:tcW w:w="7015" w:type="dxa"/>
            <w:vAlign w:val="center"/>
          </w:tcPr>
          <w:p w14:paraId="3F3D799B">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bidi="ar"/>
              </w:rPr>
              <w:t>投标报价高于预算金额；</w:t>
            </w:r>
          </w:p>
        </w:tc>
        <w:tc>
          <w:tcPr>
            <w:tcW w:w="1173" w:type="dxa"/>
            <w:vAlign w:val="top"/>
          </w:tcPr>
          <w:p w14:paraId="54D1B8C5">
            <w:pPr>
              <w:pageBreakBefore w:val="0"/>
              <w:kinsoku w:val="0"/>
              <w:wordWrap w:val="0"/>
              <w:overflowPunct/>
              <w:topLinePunct w:val="0"/>
              <w:autoSpaceDE/>
              <w:autoSpaceDN/>
              <w:bidi w:val="0"/>
              <w:rPr>
                <w:rFonts w:hint="eastAsia" w:ascii="黑体" w:hAnsi="黑体" w:eastAsia="黑体" w:cs="黑体"/>
                <w:color w:val="auto"/>
                <w:sz w:val="21"/>
              </w:rPr>
            </w:pPr>
          </w:p>
        </w:tc>
      </w:tr>
      <w:tr w14:paraId="6C45B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54" w:type="dxa"/>
            <w:vAlign w:val="center"/>
          </w:tcPr>
          <w:p w14:paraId="161181EB">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2</w:t>
            </w:r>
          </w:p>
        </w:tc>
        <w:tc>
          <w:tcPr>
            <w:tcW w:w="7015" w:type="dxa"/>
            <w:vAlign w:val="center"/>
          </w:tcPr>
          <w:p w14:paraId="5FF41781">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eastAsia="zh-CN" w:bidi="ar"/>
              </w:rPr>
              <w:t>供应商</w:t>
            </w:r>
            <w:r>
              <w:rPr>
                <w:rFonts w:hint="eastAsia" w:ascii="黑体" w:hAnsi="黑体" w:eastAsia="黑体" w:cs="黑体"/>
                <w:color w:val="auto"/>
                <w:kern w:val="0"/>
                <w:sz w:val="24"/>
                <w:highlight w:val="none"/>
                <w:lang w:bidi="ar"/>
              </w:rPr>
              <w:t>之间或者</w:t>
            </w:r>
            <w:r>
              <w:rPr>
                <w:rFonts w:hint="eastAsia" w:ascii="黑体" w:hAnsi="黑体" w:eastAsia="黑体" w:cs="黑体"/>
                <w:color w:val="auto"/>
                <w:kern w:val="0"/>
                <w:sz w:val="24"/>
                <w:highlight w:val="none"/>
                <w:lang w:eastAsia="zh-CN" w:bidi="ar"/>
              </w:rPr>
              <w:t>供应商</w:t>
            </w:r>
            <w:r>
              <w:rPr>
                <w:rFonts w:hint="eastAsia" w:ascii="黑体" w:hAnsi="黑体" w:eastAsia="黑体" w:cs="黑体"/>
                <w:color w:val="auto"/>
                <w:kern w:val="0"/>
                <w:sz w:val="24"/>
                <w:highlight w:val="none"/>
                <w:lang w:bidi="ar"/>
              </w:rPr>
              <w:t>与采购人串通投标的；</w:t>
            </w:r>
          </w:p>
        </w:tc>
        <w:tc>
          <w:tcPr>
            <w:tcW w:w="1173" w:type="dxa"/>
            <w:vAlign w:val="top"/>
          </w:tcPr>
          <w:p w14:paraId="40C2FC2E">
            <w:pPr>
              <w:pageBreakBefore w:val="0"/>
              <w:kinsoku w:val="0"/>
              <w:wordWrap w:val="0"/>
              <w:overflowPunct/>
              <w:topLinePunct w:val="0"/>
              <w:autoSpaceDE/>
              <w:autoSpaceDN/>
              <w:bidi w:val="0"/>
              <w:rPr>
                <w:rFonts w:hint="eastAsia" w:ascii="黑体" w:hAnsi="黑体" w:eastAsia="黑体" w:cs="黑体"/>
                <w:color w:val="auto"/>
                <w:sz w:val="21"/>
              </w:rPr>
            </w:pPr>
          </w:p>
        </w:tc>
      </w:tr>
      <w:tr w14:paraId="27C7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4" w:type="dxa"/>
            <w:vAlign w:val="center"/>
          </w:tcPr>
          <w:p w14:paraId="356F23DA">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3</w:t>
            </w:r>
          </w:p>
        </w:tc>
        <w:tc>
          <w:tcPr>
            <w:tcW w:w="7015" w:type="dxa"/>
            <w:vAlign w:val="center"/>
          </w:tcPr>
          <w:p w14:paraId="61146ED2">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bidi="ar"/>
              </w:rPr>
              <w:t>以行贿手段谋取</w:t>
            </w:r>
            <w:r>
              <w:rPr>
                <w:rFonts w:hint="eastAsia" w:ascii="黑体" w:hAnsi="黑体" w:eastAsia="黑体" w:cs="黑体"/>
                <w:color w:val="auto"/>
                <w:kern w:val="0"/>
                <w:sz w:val="24"/>
                <w:highlight w:val="none"/>
                <w:lang w:eastAsia="zh-CN" w:bidi="ar"/>
              </w:rPr>
              <w:t>成交</w:t>
            </w:r>
            <w:r>
              <w:rPr>
                <w:rFonts w:hint="eastAsia" w:ascii="黑体" w:hAnsi="黑体" w:eastAsia="黑体" w:cs="黑体"/>
                <w:color w:val="auto"/>
                <w:kern w:val="0"/>
                <w:sz w:val="24"/>
                <w:highlight w:val="none"/>
                <w:lang w:bidi="ar"/>
              </w:rPr>
              <w:t>或者以其他弄虚作假方式投标的；</w:t>
            </w:r>
          </w:p>
        </w:tc>
        <w:tc>
          <w:tcPr>
            <w:tcW w:w="1173" w:type="dxa"/>
            <w:vAlign w:val="top"/>
          </w:tcPr>
          <w:p w14:paraId="5776D515">
            <w:pPr>
              <w:pageBreakBefore w:val="0"/>
              <w:kinsoku w:val="0"/>
              <w:wordWrap w:val="0"/>
              <w:overflowPunct/>
              <w:topLinePunct w:val="0"/>
              <w:autoSpaceDE/>
              <w:autoSpaceDN/>
              <w:bidi w:val="0"/>
              <w:rPr>
                <w:rFonts w:hint="eastAsia" w:ascii="黑体" w:hAnsi="黑体" w:eastAsia="黑体" w:cs="黑体"/>
                <w:color w:val="auto"/>
                <w:sz w:val="21"/>
              </w:rPr>
            </w:pPr>
          </w:p>
        </w:tc>
      </w:tr>
      <w:tr w14:paraId="3497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54" w:type="dxa"/>
            <w:vAlign w:val="center"/>
          </w:tcPr>
          <w:p w14:paraId="7E7CAAC5">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4</w:t>
            </w:r>
          </w:p>
        </w:tc>
        <w:tc>
          <w:tcPr>
            <w:tcW w:w="7015" w:type="dxa"/>
            <w:vAlign w:val="center"/>
          </w:tcPr>
          <w:p w14:paraId="37EF97D8">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bidi="ar"/>
              </w:rPr>
              <w:t>评标委员会共同确定有实质上不响应</w:t>
            </w:r>
            <w:r>
              <w:rPr>
                <w:rFonts w:hint="eastAsia" w:ascii="黑体" w:hAnsi="黑体" w:eastAsia="黑体" w:cs="黑体"/>
                <w:color w:val="auto"/>
                <w:kern w:val="0"/>
                <w:sz w:val="24"/>
                <w:highlight w:val="none"/>
                <w:lang w:eastAsia="zh-CN" w:bidi="ar"/>
              </w:rPr>
              <w:t>磋商文件</w:t>
            </w:r>
            <w:r>
              <w:rPr>
                <w:rFonts w:hint="eastAsia" w:ascii="黑体" w:hAnsi="黑体" w:eastAsia="黑体" w:cs="黑体"/>
                <w:color w:val="auto"/>
                <w:kern w:val="0"/>
                <w:sz w:val="24"/>
                <w:highlight w:val="none"/>
                <w:lang w:bidi="ar"/>
              </w:rPr>
              <w:t>要求的；</w:t>
            </w:r>
          </w:p>
        </w:tc>
        <w:tc>
          <w:tcPr>
            <w:tcW w:w="1173" w:type="dxa"/>
            <w:vAlign w:val="top"/>
          </w:tcPr>
          <w:p w14:paraId="076039E1">
            <w:pPr>
              <w:pageBreakBefore w:val="0"/>
              <w:kinsoku w:val="0"/>
              <w:wordWrap w:val="0"/>
              <w:overflowPunct/>
              <w:topLinePunct w:val="0"/>
              <w:autoSpaceDE/>
              <w:autoSpaceDN/>
              <w:bidi w:val="0"/>
              <w:rPr>
                <w:rFonts w:hint="eastAsia" w:ascii="黑体" w:hAnsi="黑体" w:eastAsia="黑体" w:cs="黑体"/>
                <w:color w:val="auto"/>
                <w:sz w:val="21"/>
              </w:rPr>
            </w:pPr>
          </w:p>
        </w:tc>
      </w:tr>
      <w:tr w14:paraId="1B61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54" w:type="dxa"/>
            <w:vAlign w:val="center"/>
          </w:tcPr>
          <w:p w14:paraId="67B9F62E">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5</w:t>
            </w:r>
          </w:p>
        </w:tc>
        <w:tc>
          <w:tcPr>
            <w:tcW w:w="7015" w:type="dxa"/>
            <w:vAlign w:val="center"/>
          </w:tcPr>
          <w:p w14:paraId="7F50798B">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eastAsia="zh-CN" w:bidi="ar"/>
              </w:rPr>
              <w:t>响应文件</w:t>
            </w:r>
            <w:r>
              <w:rPr>
                <w:rFonts w:hint="eastAsia" w:ascii="黑体" w:hAnsi="黑体" w:eastAsia="黑体" w:cs="黑体"/>
                <w:color w:val="auto"/>
                <w:kern w:val="0"/>
                <w:sz w:val="24"/>
                <w:highlight w:val="none"/>
                <w:lang w:bidi="ar"/>
              </w:rPr>
              <w:t>没有投标单位法定代表人或其授权代表签字（章）和加盖投标单位公章的；</w:t>
            </w:r>
          </w:p>
        </w:tc>
        <w:tc>
          <w:tcPr>
            <w:tcW w:w="1173" w:type="dxa"/>
            <w:vAlign w:val="top"/>
          </w:tcPr>
          <w:p w14:paraId="039CD1BC">
            <w:pPr>
              <w:pageBreakBefore w:val="0"/>
              <w:kinsoku w:val="0"/>
              <w:wordWrap w:val="0"/>
              <w:overflowPunct/>
              <w:topLinePunct w:val="0"/>
              <w:autoSpaceDE/>
              <w:autoSpaceDN/>
              <w:bidi w:val="0"/>
              <w:rPr>
                <w:rFonts w:hint="eastAsia" w:ascii="黑体" w:hAnsi="黑体" w:eastAsia="黑体" w:cs="黑体"/>
                <w:color w:val="auto"/>
                <w:sz w:val="21"/>
              </w:rPr>
            </w:pPr>
          </w:p>
        </w:tc>
      </w:tr>
      <w:tr w14:paraId="12C6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54" w:type="dxa"/>
            <w:vAlign w:val="center"/>
          </w:tcPr>
          <w:p w14:paraId="0BBFD6C7">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6</w:t>
            </w:r>
          </w:p>
        </w:tc>
        <w:tc>
          <w:tcPr>
            <w:tcW w:w="7015" w:type="dxa"/>
            <w:vAlign w:val="center"/>
          </w:tcPr>
          <w:p w14:paraId="7843505A">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bidi="ar"/>
              </w:rPr>
              <w:t>投标的政府采购项目完成期限超过</w:t>
            </w:r>
            <w:r>
              <w:rPr>
                <w:rFonts w:hint="eastAsia" w:ascii="黑体" w:hAnsi="黑体" w:eastAsia="黑体" w:cs="黑体"/>
                <w:color w:val="auto"/>
                <w:kern w:val="0"/>
                <w:sz w:val="24"/>
                <w:highlight w:val="none"/>
                <w:lang w:eastAsia="zh-CN" w:bidi="ar"/>
              </w:rPr>
              <w:t>磋商文件</w:t>
            </w:r>
            <w:r>
              <w:rPr>
                <w:rFonts w:hint="eastAsia" w:ascii="黑体" w:hAnsi="黑体" w:eastAsia="黑体" w:cs="黑体"/>
                <w:color w:val="auto"/>
                <w:kern w:val="0"/>
                <w:sz w:val="24"/>
                <w:highlight w:val="none"/>
                <w:lang w:bidi="ar"/>
              </w:rPr>
              <w:t>规定期限的；</w:t>
            </w:r>
          </w:p>
        </w:tc>
        <w:tc>
          <w:tcPr>
            <w:tcW w:w="1173" w:type="dxa"/>
            <w:vAlign w:val="top"/>
          </w:tcPr>
          <w:p w14:paraId="1C223E77">
            <w:pPr>
              <w:pageBreakBefore w:val="0"/>
              <w:kinsoku w:val="0"/>
              <w:wordWrap w:val="0"/>
              <w:overflowPunct/>
              <w:topLinePunct w:val="0"/>
              <w:autoSpaceDE/>
              <w:autoSpaceDN/>
              <w:bidi w:val="0"/>
              <w:rPr>
                <w:rFonts w:hint="eastAsia" w:ascii="黑体" w:hAnsi="黑体" w:eastAsia="黑体" w:cs="黑体"/>
                <w:color w:val="auto"/>
                <w:sz w:val="21"/>
              </w:rPr>
            </w:pPr>
          </w:p>
        </w:tc>
      </w:tr>
      <w:tr w14:paraId="1BE0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4" w:type="dxa"/>
            <w:vAlign w:val="center"/>
          </w:tcPr>
          <w:p w14:paraId="75ED6DA7">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7</w:t>
            </w:r>
          </w:p>
        </w:tc>
        <w:tc>
          <w:tcPr>
            <w:tcW w:w="7015" w:type="dxa"/>
            <w:vAlign w:val="center"/>
          </w:tcPr>
          <w:p w14:paraId="463F77A3">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eastAsia="zh-CN" w:bidi="ar"/>
              </w:rPr>
              <w:t>响应文件</w:t>
            </w:r>
            <w:r>
              <w:rPr>
                <w:rFonts w:hint="eastAsia" w:ascii="黑体" w:hAnsi="黑体" w:eastAsia="黑体" w:cs="黑体"/>
                <w:color w:val="auto"/>
                <w:kern w:val="0"/>
                <w:sz w:val="24"/>
                <w:highlight w:val="none"/>
                <w:lang w:bidi="ar"/>
              </w:rPr>
              <w:t>载明的技术规格、技术标准、</w:t>
            </w:r>
            <w:r>
              <w:rPr>
                <w:rFonts w:hint="eastAsia" w:ascii="黑体" w:hAnsi="黑体" w:eastAsia="黑体" w:cs="黑体"/>
                <w:color w:val="auto"/>
                <w:kern w:val="0"/>
                <w:sz w:val="24"/>
                <w:highlight w:val="none"/>
                <w:lang w:eastAsia="zh-CN" w:bidi="ar"/>
              </w:rPr>
              <w:t>服务</w:t>
            </w:r>
            <w:r>
              <w:rPr>
                <w:rFonts w:hint="eastAsia" w:ascii="黑体" w:hAnsi="黑体" w:eastAsia="黑体" w:cs="黑体"/>
                <w:color w:val="auto"/>
                <w:kern w:val="0"/>
                <w:sz w:val="24"/>
                <w:highlight w:val="none"/>
                <w:lang w:bidi="ar"/>
              </w:rPr>
              <w:t>方式、检验标准和方法等，不符合</w:t>
            </w:r>
            <w:r>
              <w:rPr>
                <w:rFonts w:hint="eastAsia" w:ascii="黑体" w:hAnsi="黑体" w:eastAsia="黑体" w:cs="黑体"/>
                <w:color w:val="auto"/>
                <w:kern w:val="0"/>
                <w:sz w:val="24"/>
                <w:highlight w:val="none"/>
                <w:lang w:eastAsia="zh-CN" w:bidi="ar"/>
              </w:rPr>
              <w:t>磋商文件</w:t>
            </w:r>
            <w:r>
              <w:rPr>
                <w:rFonts w:hint="eastAsia" w:ascii="黑体" w:hAnsi="黑体" w:eastAsia="黑体" w:cs="黑体"/>
                <w:color w:val="auto"/>
                <w:kern w:val="0"/>
                <w:sz w:val="24"/>
                <w:highlight w:val="none"/>
                <w:lang w:bidi="ar"/>
              </w:rPr>
              <w:t>要求的；</w:t>
            </w:r>
          </w:p>
        </w:tc>
        <w:tc>
          <w:tcPr>
            <w:tcW w:w="1173" w:type="dxa"/>
            <w:vAlign w:val="top"/>
          </w:tcPr>
          <w:p w14:paraId="7D9AC62A">
            <w:pPr>
              <w:pageBreakBefore w:val="0"/>
              <w:kinsoku w:val="0"/>
              <w:wordWrap w:val="0"/>
              <w:overflowPunct/>
              <w:topLinePunct w:val="0"/>
              <w:autoSpaceDE/>
              <w:autoSpaceDN/>
              <w:bidi w:val="0"/>
              <w:rPr>
                <w:rFonts w:hint="eastAsia" w:ascii="黑体" w:hAnsi="黑体" w:eastAsia="黑体" w:cs="黑体"/>
                <w:color w:val="auto"/>
                <w:sz w:val="21"/>
              </w:rPr>
            </w:pPr>
          </w:p>
        </w:tc>
      </w:tr>
      <w:tr w14:paraId="144D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4" w:type="dxa"/>
            <w:vAlign w:val="center"/>
          </w:tcPr>
          <w:p w14:paraId="24A3F694">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8</w:t>
            </w:r>
          </w:p>
        </w:tc>
        <w:tc>
          <w:tcPr>
            <w:tcW w:w="7015" w:type="dxa"/>
            <w:vAlign w:val="center"/>
          </w:tcPr>
          <w:p w14:paraId="2715E4E0">
            <w:pPr>
              <w:pageBreakBefore w:val="0"/>
              <w:widowControl/>
              <w:kinsoku w:val="0"/>
              <w:wordWrap w:val="0"/>
              <w:overflowPunct/>
              <w:topLinePunct w:val="0"/>
              <w:autoSpaceDE/>
              <w:autoSpaceDN/>
              <w:bidi w:val="0"/>
              <w:spacing w:line="360" w:lineRule="auto"/>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eastAsia="zh-CN" w:bidi="ar"/>
              </w:rPr>
              <w:t>响应文件</w:t>
            </w:r>
            <w:r>
              <w:rPr>
                <w:rFonts w:hint="eastAsia" w:ascii="黑体" w:hAnsi="黑体" w:eastAsia="黑体" w:cs="黑体"/>
                <w:color w:val="auto"/>
                <w:kern w:val="0"/>
                <w:sz w:val="24"/>
                <w:highlight w:val="none"/>
                <w:lang w:bidi="ar"/>
              </w:rPr>
              <w:t>附有采购人不能接受条件的；</w:t>
            </w:r>
          </w:p>
        </w:tc>
        <w:tc>
          <w:tcPr>
            <w:tcW w:w="1173" w:type="dxa"/>
            <w:vAlign w:val="top"/>
          </w:tcPr>
          <w:p w14:paraId="2350CCDF">
            <w:pPr>
              <w:pageBreakBefore w:val="0"/>
              <w:kinsoku w:val="0"/>
              <w:wordWrap w:val="0"/>
              <w:overflowPunct/>
              <w:topLinePunct w:val="0"/>
              <w:autoSpaceDE/>
              <w:autoSpaceDN/>
              <w:bidi w:val="0"/>
              <w:rPr>
                <w:rFonts w:hint="eastAsia" w:ascii="黑体" w:hAnsi="黑体" w:eastAsia="黑体" w:cs="黑体"/>
                <w:color w:val="auto"/>
                <w:sz w:val="21"/>
              </w:rPr>
            </w:pPr>
          </w:p>
        </w:tc>
      </w:tr>
      <w:tr w14:paraId="2E44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4" w:type="dxa"/>
            <w:vAlign w:val="center"/>
          </w:tcPr>
          <w:p w14:paraId="679CEDF3">
            <w:pPr>
              <w:pageBreakBefore w:val="0"/>
              <w:kinsoku w:val="0"/>
              <w:wordWrap w:val="0"/>
              <w:overflowPunct/>
              <w:topLinePunct w:val="0"/>
              <w:autoSpaceDE/>
              <w:autoSpaceDN/>
              <w:bidi w:val="0"/>
              <w:spacing w:line="360" w:lineRule="auto"/>
              <w:jc w:val="center"/>
              <w:rPr>
                <w:rFonts w:hint="eastAsia" w:ascii="黑体" w:hAnsi="黑体" w:eastAsia="黑体" w:cs="黑体"/>
                <w:color w:val="auto"/>
              </w:rPr>
            </w:pPr>
            <w:r>
              <w:rPr>
                <w:rFonts w:hint="eastAsia" w:ascii="黑体" w:hAnsi="黑体" w:eastAsia="黑体" w:cs="黑体"/>
                <w:color w:val="auto"/>
                <w:sz w:val="24"/>
                <w:highlight w:val="none"/>
              </w:rPr>
              <w:t>9</w:t>
            </w:r>
          </w:p>
        </w:tc>
        <w:tc>
          <w:tcPr>
            <w:tcW w:w="7015" w:type="dxa"/>
            <w:vAlign w:val="center"/>
          </w:tcPr>
          <w:p w14:paraId="07C15CA9">
            <w:pPr>
              <w:pageBreakBefore w:val="0"/>
              <w:widowControl/>
              <w:kinsoku w:val="0"/>
              <w:wordWrap w:val="0"/>
              <w:overflowPunct/>
              <w:topLinePunct w:val="0"/>
              <w:autoSpaceDE/>
              <w:autoSpaceDN/>
              <w:bidi w:val="0"/>
              <w:spacing w:line="360" w:lineRule="auto"/>
              <w:jc w:val="left"/>
              <w:textAlignment w:val="center"/>
              <w:rPr>
                <w:rFonts w:hint="eastAsia" w:ascii="黑体" w:hAnsi="黑体" w:eastAsia="黑体" w:cs="黑体"/>
                <w:color w:val="auto"/>
              </w:rPr>
            </w:pPr>
            <w:r>
              <w:rPr>
                <w:rFonts w:hint="eastAsia" w:ascii="黑体" w:hAnsi="黑体" w:eastAsia="黑体" w:cs="黑体"/>
                <w:color w:val="auto"/>
                <w:kern w:val="0"/>
                <w:sz w:val="24"/>
                <w:highlight w:val="none"/>
                <w:lang w:bidi="ar"/>
              </w:rPr>
              <w:t>不满足</w:t>
            </w:r>
            <w:r>
              <w:rPr>
                <w:rFonts w:hint="eastAsia" w:ascii="黑体" w:hAnsi="黑体" w:eastAsia="黑体" w:cs="黑体"/>
                <w:color w:val="auto"/>
                <w:kern w:val="0"/>
                <w:sz w:val="24"/>
                <w:highlight w:val="none"/>
                <w:lang w:eastAsia="zh-CN" w:bidi="ar"/>
              </w:rPr>
              <w:t>磋商文件</w:t>
            </w:r>
            <w:r>
              <w:rPr>
                <w:rFonts w:hint="eastAsia" w:ascii="黑体" w:hAnsi="黑体" w:eastAsia="黑体" w:cs="黑体"/>
                <w:color w:val="auto"/>
                <w:kern w:val="0"/>
                <w:sz w:val="24"/>
                <w:highlight w:val="none"/>
                <w:lang w:bidi="ar"/>
              </w:rPr>
              <w:t>实质性要求的其他情形</w:t>
            </w:r>
            <w:r>
              <w:rPr>
                <w:rFonts w:hint="eastAsia" w:ascii="黑体" w:hAnsi="黑体" w:eastAsia="黑体" w:cs="黑体"/>
                <w:color w:val="auto"/>
                <w:kern w:val="0"/>
                <w:sz w:val="24"/>
                <w:highlight w:val="none"/>
                <w:lang w:eastAsia="zh-CN" w:bidi="ar"/>
              </w:rPr>
              <w:t>。</w:t>
            </w:r>
          </w:p>
        </w:tc>
        <w:tc>
          <w:tcPr>
            <w:tcW w:w="1173" w:type="dxa"/>
            <w:vAlign w:val="top"/>
          </w:tcPr>
          <w:p w14:paraId="75837884">
            <w:pPr>
              <w:pageBreakBefore w:val="0"/>
              <w:kinsoku w:val="0"/>
              <w:wordWrap w:val="0"/>
              <w:overflowPunct/>
              <w:topLinePunct w:val="0"/>
              <w:autoSpaceDE/>
              <w:autoSpaceDN/>
              <w:bidi w:val="0"/>
              <w:rPr>
                <w:rFonts w:hint="eastAsia" w:ascii="黑体" w:hAnsi="黑体" w:eastAsia="黑体" w:cs="黑体"/>
                <w:color w:val="auto"/>
                <w:sz w:val="21"/>
              </w:rPr>
            </w:pPr>
          </w:p>
        </w:tc>
      </w:tr>
      <w:tr w14:paraId="7642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869" w:type="dxa"/>
            <w:gridSpan w:val="2"/>
            <w:vAlign w:val="top"/>
          </w:tcPr>
          <w:p w14:paraId="6011754B">
            <w:pPr>
              <w:pStyle w:val="23"/>
              <w:pageBreakBefore w:val="0"/>
              <w:kinsoku w:val="0"/>
              <w:wordWrap w:val="0"/>
              <w:overflowPunct/>
              <w:topLinePunct w:val="0"/>
              <w:autoSpaceDE/>
              <w:autoSpaceDN/>
              <w:bidi w:val="0"/>
              <w:spacing w:before="172" w:line="222" w:lineRule="auto"/>
              <w:ind w:left="572"/>
              <w:rPr>
                <w:rFonts w:hint="eastAsia" w:ascii="黑体" w:hAnsi="黑体" w:eastAsia="黑体" w:cs="黑体"/>
                <w:color w:val="auto"/>
              </w:rPr>
            </w:pPr>
            <w:r>
              <w:rPr>
                <w:rFonts w:hint="eastAsia" w:ascii="黑体" w:hAnsi="黑体" w:eastAsia="黑体" w:cs="黑体"/>
                <w:color w:val="auto"/>
                <w:spacing w:val="-9"/>
              </w:rPr>
              <w:t>结论：通过评审打“√”，未通过评审打“×”</w:t>
            </w:r>
          </w:p>
        </w:tc>
        <w:tc>
          <w:tcPr>
            <w:tcW w:w="1173" w:type="dxa"/>
            <w:vAlign w:val="top"/>
          </w:tcPr>
          <w:p w14:paraId="724B7EFA">
            <w:pPr>
              <w:pageBreakBefore w:val="0"/>
              <w:kinsoku w:val="0"/>
              <w:wordWrap w:val="0"/>
              <w:overflowPunct/>
              <w:topLinePunct w:val="0"/>
              <w:autoSpaceDE/>
              <w:autoSpaceDN/>
              <w:bidi w:val="0"/>
              <w:rPr>
                <w:rFonts w:hint="eastAsia" w:ascii="黑体" w:hAnsi="黑体" w:eastAsia="黑体" w:cs="黑体"/>
                <w:color w:val="auto"/>
                <w:sz w:val="21"/>
              </w:rPr>
            </w:pPr>
          </w:p>
        </w:tc>
      </w:tr>
    </w:tbl>
    <w:p w14:paraId="262DA888">
      <w:pPr>
        <w:pStyle w:val="7"/>
        <w:pageBreakBefore w:val="0"/>
        <w:kinsoku w:val="0"/>
        <w:wordWrap w:val="0"/>
        <w:overflowPunct/>
        <w:topLinePunct w:val="0"/>
        <w:autoSpaceDE/>
        <w:autoSpaceDN/>
        <w:bidi w:val="0"/>
        <w:spacing w:before="78" w:line="360" w:lineRule="auto"/>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pacing w:val="-9"/>
          <w:sz w:val="24"/>
          <w:szCs w:val="24"/>
        </w:rPr>
        <w:t>说明：</w:t>
      </w:r>
    </w:p>
    <w:p w14:paraId="6827266B">
      <w:pPr>
        <w:pStyle w:val="7"/>
        <w:pageBreakBefore w:val="0"/>
        <w:kinsoku w:val="0"/>
        <w:wordWrap w:val="0"/>
        <w:overflowPunct/>
        <w:topLinePunct w:val="0"/>
        <w:autoSpaceDE/>
        <w:autoSpaceDN/>
        <w:bidi w:val="0"/>
        <w:spacing w:before="80" w:line="360" w:lineRule="auto"/>
        <w:ind w:left="0" w:leftChars="0" w:firstLine="0" w:firstLineChars="0"/>
        <w:rPr>
          <w:rFonts w:hint="eastAsia" w:ascii="黑体" w:hAnsi="黑体" w:eastAsia="黑体" w:cs="黑体"/>
          <w:color w:val="auto"/>
          <w:sz w:val="22"/>
          <w:szCs w:val="22"/>
        </w:rPr>
      </w:pPr>
      <w:r>
        <w:rPr>
          <w:rFonts w:hint="eastAsia" w:ascii="黑体" w:hAnsi="黑体" w:eastAsia="黑体" w:cs="黑体"/>
          <w:color w:val="auto"/>
          <w:spacing w:val="-12"/>
          <w:sz w:val="22"/>
          <w:szCs w:val="22"/>
        </w:rPr>
        <w:t>（1）上述各项中用“√”表示是，“×</w:t>
      </w:r>
      <w:r>
        <w:rPr>
          <w:rFonts w:hint="eastAsia" w:ascii="黑体" w:hAnsi="黑体" w:eastAsia="黑体" w:cs="黑体"/>
          <w:color w:val="auto"/>
          <w:spacing w:val="-13"/>
          <w:sz w:val="22"/>
          <w:szCs w:val="22"/>
        </w:rPr>
        <w:t>”表示否；</w:t>
      </w:r>
    </w:p>
    <w:p w14:paraId="789BC523">
      <w:pPr>
        <w:pStyle w:val="7"/>
        <w:pageBreakBefore w:val="0"/>
        <w:kinsoku w:val="0"/>
        <w:wordWrap w:val="0"/>
        <w:overflowPunct/>
        <w:topLinePunct w:val="0"/>
        <w:autoSpaceDE/>
        <w:autoSpaceDN/>
        <w:bidi w:val="0"/>
        <w:spacing w:before="109" w:line="360" w:lineRule="auto"/>
        <w:ind w:left="0" w:leftChars="0" w:firstLine="0" w:firstLineChars="0"/>
        <w:rPr>
          <w:rFonts w:hint="eastAsia" w:ascii="黑体" w:hAnsi="黑体" w:eastAsia="黑体" w:cs="黑体"/>
          <w:color w:val="auto"/>
          <w:sz w:val="22"/>
          <w:szCs w:val="22"/>
        </w:rPr>
      </w:pPr>
      <w:r>
        <w:rPr>
          <w:rFonts w:hint="eastAsia" w:ascii="黑体" w:hAnsi="黑体" w:eastAsia="黑体" w:cs="黑体"/>
          <w:color w:val="auto"/>
          <w:spacing w:val="-12"/>
          <w:sz w:val="22"/>
          <w:szCs w:val="22"/>
        </w:rPr>
        <w:t>（2）上述各项中如有一项为“×”，则结论为“不通过”，表示该响应文件中存在重</w:t>
      </w:r>
      <w:r>
        <w:rPr>
          <w:rFonts w:hint="eastAsia" w:ascii="黑体" w:hAnsi="黑体" w:eastAsia="黑体" w:cs="黑体"/>
          <w:color w:val="auto"/>
          <w:spacing w:val="-13"/>
          <w:sz w:val="22"/>
          <w:szCs w:val="22"/>
        </w:rPr>
        <w:t>大偏差，</w:t>
      </w:r>
      <w:r>
        <w:rPr>
          <w:rFonts w:hint="eastAsia" w:ascii="黑体" w:hAnsi="黑体" w:eastAsia="黑体" w:cs="黑体"/>
          <w:color w:val="auto"/>
          <w:spacing w:val="-2"/>
          <w:sz w:val="22"/>
          <w:szCs w:val="22"/>
        </w:rPr>
        <w:t>不能通过初步评审；评委对某一分项评审认为不合格时，必须要写明原因。</w:t>
      </w:r>
    </w:p>
    <w:p w14:paraId="46BEFD08">
      <w:pPr>
        <w:pStyle w:val="7"/>
        <w:pageBreakBefore w:val="0"/>
        <w:kinsoku w:val="0"/>
        <w:wordWrap w:val="0"/>
        <w:overflowPunct/>
        <w:topLinePunct w:val="0"/>
        <w:autoSpaceDE/>
        <w:autoSpaceDN/>
        <w:bidi w:val="0"/>
        <w:spacing w:before="126" w:line="360" w:lineRule="auto"/>
        <w:ind w:left="0" w:leftChars="0" w:firstLine="0" w:firstLineChars="0"/>
        <w:rPr>
          <w:rFonts w:hint="eastAsia" w:ascii="黑体" w:hAnsi="黑体" w:eastAsia="黑体" w:cs="黑体"/>
          <w:color w:val="auto"/>
          <w:sz w:val="22"/>
          <w:szCs w:val="22"/>
        </w:rPr>
      </w:pPr>
      <w:r>
        <w:rPr>
          <w:rFonts w:hint="eastAsia" w:ascii="黑体" w:hAnsi="黑体" w:eastAsia="黑体" w:cs="黑体"/>
          <w:color w:val="auto"/>
          <w:spacing w:val="-1"/>
          <w:sz w:val="22"/>
          <w:szCs w:val="22"/>
        </w:rPr>
        <w:t>（3）磋商文件最终合格与否，以所有评委的评审意见中少数服从多数为原则定论。</w:t>
      </w:r>
    </w:p>
    <w:p w14:paraId="48853FED">
      <w:pPr>
        <w:pStyle w:val="7"/>
        <w:pageBreakBefore w:val="0"/>
        <w:kinsoku w:val="0"/>
        <w:wordWrap w:val="0"/>
        <w:overflowPunct/>
        <w:topLinePunct w:val="0"/>
        <w:autoSpaceDE/>
        <w:autoSpaceDN/>
        <w:bidi w:val="0"/>
        <w:spacing w:before="108" w:line="360" w:lineRule="auto"/>
        <w:ind w:left="0" w:leftChars="0" w:right="114" w:firstLine="0" w:firstLineChars="0"/>
        <w:rPr>
          <w:rFonts w:hint="eastAsia" w:ascii="黑体" w:hAnsi="黑体" w:eastAsia="黑体" w:cs="黑体"/>
          <w:color w:val="auto"/>
          <w:sz w:val="22"/>
          <w:szCs w:val="22"/>
        </w:rPr>
        <w:sectPr>
          <w:footerReference r:id="rId31" w:type="default"/>
          <w:pgSz w:w="11906" w:h="16840"/>
          <w:pgMar w:top="1431" w:right="1260" w:bottom="1359" w:left="1427" w:header="0" w:footer="1145" w:gutter="0"/>
          <w:pgNumType w:fmt="decimal"/>
          <w:cols w:space="720" w:num="1"/>
        </w:sectPr>
      </w:pPr>
      <w:r>
        <w:rPr>
          <w:rFonts w:hint="eastAsia" w:ascii="黑体" w:hAnsi="黑体" w:eastAsia="黑体" w:cs="黑体"/>
          <w:b/>
          <w:bCs/>
          <w:color w:val="auto"/>
          <w:spacing w:val="-5"/>
          <w:sz w:val="22"/>
          <w:szCs w:val="22"/>
        </w:rPr>
        <w:t>备注：如果磋商文件中有一项未通过上述审查标准，评标委员会将认定整个响应</w:t>
      </w:r>
      <w:r>
        <w:rPr>
          <w:rFonts w:hint="eastAsia" w:ascii="黑体" w:hAnsi="黑体" w:eastAsia="黑体" w:cs="黑体"/>
          <w:b/>
          <w:bCs/>
          <w:color w:val="auto"/>
          <w:spacing w:val="-6"/>
          <w:sz w:val="22"/>
          <w:szCs w:val="22"/>
        </w:rPr>
        <w:t>文件未响应磋商文件而予以无效处理。</w:t>
      </w:r>
    </w:p>
    <w:p w14:paraId="480AC8D2">
      <w:pPr>
        <w:pageBreakBefore w:val="0"/>
        <w:kinsoku w:val="0"/>
        <w:wordWrap w:val="0"/>
        <w:overflowPunct/>
        <w:topLinePunct w:val="0"/>
        <w:autoSpaceDE/>
        <w:autoSpaceDN/>
        <w:bidi w:val="0"/>
        <w:jc w:val="center"/>
        <w:rPr>
          <w:rFonts w:hint="eastAsia" w:ascii="黑体" w:hAnsi="黑体" w:eastAsia="黑体" w:cs="黑体"/>
          <w:b/>
          <w:bCs/>
          <w:color w:val="auto"/>
          <w:sz w:val="28"/>
          <w:szCs w:val="28"/>
        </w:rPr>
      </w:pPr>
      <w:r>
        <w:rPr>
          <w:rFonts w:hint="eastAsia" w:ascii="黑体" w:hAnsi="黑体" w:eastAsia="黑体" w:cs="黑体"/>
          <w:b/>
          <w:bCs/>
          <w:color w:val="auto"/>
          <w:sz w:val="28"/>
          <w:szCs w:val="28"/>
        </w:rPr>
        <w:t>评分办法（综合评分法）及评分标准</w:t>
      </w:r>
    </w:p>
    <w:tbl>
      <w:tblPr>
        <w:tblStyle w:val="15"/>
        <w:tblpPr w:leftFromText="180" w:rightFromText="180" w:vertAnchor="text" w:horzAnchor="page" w:tblpX="1762"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162"/>
        <w:gridCol w:w="1096"/>
        <w:gridCol w:w="4786"/>
      </w:tblGrid>
      <w:tr w14:paraId="1663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08" w:type="dxa"/>
            <w:noWrap w:val="0"/>
            <w:vAlign w:val="center"/>
          </w:tcPr>
          <w:p w14:paraId="2B081C18">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color w:val="auto"/>
                <w:kern w:val="2"/>
                <w:sz w:val="28"/>
                <w:szCs w:val="28"/>
                <w:highlight w:val="none"/>
                <w:lang w:val="en-US" w:eastAsia="zh-CN" w:bidi="ar-SA"/>
              </w:rPr>
            </w:pPr>
            <w:bookmarkStart w:id="28" w:name="_Toc14746_WPSOffice_Level1"/>
            <w:bookmarkStart w:id="29" w:name="_Toc9909_WPSOffice_Level1"/>
            <w:r>
              <w:rPr>
                <w:rFonts w:hint="eastAsia" w:ascii="黑体" w:hAnsi="黑体" w:eastAsia="黑体" w:cs="黑体"/>
                <w:b/>
                <w:bCs/>
                <w:color w:val="auto"/>
                <w:kern w:val="2"/>
                <w:sz w:val="28"/>
                <w:szCs w:val="28"/>
                <w:highlight w:val="none"/>
                <w:lang w:val="en-US" w:eastAsia="zh-CN" w:bidi="ar-SA"/>
              </w:rPr>
              <w:t>内容</w:t>
            </w:r>
          </w:p>
        </w:tc>
        <w:tc>
          <w:tcPr>
            <w:tcW w:w="1162" w:type="dxa"/>
            <w:noWrap w:val="0"/>
            <w:vAlign w:val="center"/>
          </w:tcPr>
          <w:p w14:paraId="1568892E">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评分项</w:t>
            </w:r>
          </w:p>
        </w:tc>
        <w:tc>
          <w:tcPr>
            <w:tcW w:w="1096" w:type="dxa"/>
            <w:noWrap w:val="0"/>
            <w:vAlign w:val="center"/>
          </w:tcPr>
          <w:p w14:paraId="5C88094C">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分值</w:t>
            </w:r>
          </w:p>
        </w:tc>
        <w:tc>
          <w:tcPr>
            <w:tcW w:w="4786" w:type="dxa"/>
            <w:noWrap w:val="0"/>
            <w:vAlign w:val="center"/>
          </w:tcPr>
          <w:p w14:paraId="2F1911A4">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评分标准</w:t>
            </w:r>
          </w:p>
        </w:tc>
      </w:tr>
      <w:tr w14:paraId="2F50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08" w:type="dxa"/>
            <w:noWrap w:val="0"/>
            <w:vAlign w:val="center"/>
          </w:tcPr>
          <w:p w14:paraId="7DD4C455">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价格部分</w:t>
            </w:r>
          </w:p>
          <w:p w14:paraId="0661B798">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（10分）</w:t>
            </w:r>
          </w:p>
        </w:tc>
        <w:tc>
          <w:tcPr>
            <w:tcW w:w="1162" w:type="dxa"/>
            <w:noWrap w:val="0"/>
            <w:vAlign w:val="center"/>
          </w:tcPr>
          <w:p w14:paraId="29C79F2E">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价格分</w:t>
            </w:r>
          </w:p>
        </w:tc>
        <w:tc>
          <w:tcPr>
            <w:tcW w:w="1096" w:type="dxa"/>
            <w:noWrap w:val="0"/>
            <w:vAlign w:val="center"/>
          </w:tcPr>
          <w:p w14:paraId="52A7110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10分</w:t>
            </w:r>
          </w:p>
        </w:tc>
        <w:tc>
          <w:tcPr>
            <w:tcW w:w="4786" w:type="dxa"/>
            <w:noWrap w:val="0"/>
            <w:vAlign w:val="center"/>
          </w:tcPr>
          <w:p w14:paraId="2BB8AB35">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color w:val="auto"/>
                <w:spacing w:val="7"/>
                <w:position w:val="13"/>
                <w:sz w:val="24"/>
                <w:szCs w:val="24"/>
                <w:lang w:val="en-US" w:eastAsia="zh-CN"/>
              </w:rPr>
              <w:t>价格分采用低价优先法计算，即满足招标文件要求且投标价格最低的投标报价为评标基准价，其价格分为满分。其他投标人的价格分统一按照下列公式计算：投标报价得分=（评标基准价/投标报价）×价格权值×100（计算分值时，百分比按四舍五入原则，保留小数点后二位数）</w:t>
            </w:r>
          </w:p>
        </w:tc>
      </w:tr>
      <w:tr w14:paraId="315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508" w:type="dxa"/>
            <w:vMerge w:val="restart"/>
            <w:noWrap w:val="0"/>
            <w:vAlign w:val="center"/>
          </w:tcPr>
          <w:p w14:paraId="7B16A08C">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商务部分（25分）</w:t>
            </w:r>
          </w:p>
        </w:tc>
        <w:tc>
          <w:tcPr>
            <w:tcW w:w="1162" w:type="dxa"/>
            <w:noWrap w:val="0"/>
            <w:vAlign w:val="center"/>
          </w:tcPr>
          <w:p w14:paraId="2642AB7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业绩</w:t>
            </w:r>
          </w:p>
        </w:tc>
        <w:tc>
          <w:tcPr>
            <w:tcW w:w="1096" w:type="dxa"/>
            <w:noWrap w:val="0"/>
            <w:vAlign w:val="center"/>
          </w:tcPr>
          <w:p w14:paraId="08E3EDCD">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5分</w:t>
            </w:r>
          </w:p>
        </w:tc>
        <w:tc>
          <w:tcPr>
            <w:tcW w:w="4786" w:type="dxa"/>
            <w:noWrap w:val="0"/>
            <w:vAlign w:val="center"/>
          </w:tcPr>
          <w:p w14:paraId="57F081ED">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color w:val="auto"/>
                <w:spacing w:val="7"/>
                <w:position w:val="13"/>
                <w:sz w:val="24"/>
                <w:szCs w:val="24"/>
                <w:lang w:val="en-US" w:eastAsia="zh-CN"/>
              </w:rPr>
              <w:t>供应商需提供近三年（2021年08月至今）类似项目业绩，每提供1个同类业绩得2.5分，最高得5分；</w:t>
            </w:r>
          </w:p>
        </w:tc>
      </w:tr>
      <w:tr w14:paraId="557F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08" w:type="dxa"/>
            <w:vMerge w:val="continue"/>
            <w:noWrap w:val="0"/>
            <w:vAlign w:val="center"/>
          </w:tcPr>
          <w:p w14:paraId="259C185F">
            <w:pPr>
              <w:keepNext w:val="0"/>
              <w:keepLines w:val="0"/>
              <w:pageBreakBefore w:val="0"/>
              <w:widowControl/>
              <w:kinsoku w:val="0"/>
              <w:wordWrap w:val="0"/>
              <w:overflowPunct/>
              <w:topLinePunct w:val="0"/>
              <w:autoSpaceDE/>
              <w:autoSpaceDN/>
              <w:bidi w:val="0"/>
              <w:adjustRightInd/>
              <w:snapToGrid/>
              <w:spacing w:line="500" w:lineRule="atLeast"/>
              <w:ind w:right="0"/>
              <w:jc w:val="left"/>
              <w:textAlignment w:val="auto"/>
              <w:rPr>
                <w:rFonts w:hint="eastAsia" w:ascii="黑体" w:hAnsi="黑体" w:eastAsia="黑体" w:cs="黑体"/>
                <w:b/>
                <w:bCs/>
                <w:color w:val="auto"/>
                <w:kern w:val="2"/>
                <w:sz w:val="28"/>
                <w:szCs w:val="28"/>
                <w:highlight w:val="none"/>
                <w:lang w:val="en-US" w:eastAsia="zh-CN" w:bidi="ar-SA"/>
              </w:rPr>
            </w:pPr>
          </w:p>
        </w:tc>
        <w:tc>
          <w:tcPr>
            <w:tcW w:w="1162" w:type="dxa"/>
            <w:noWrap w:val="0"/>
            <w:vAlign w:val="center"/>
          </w:tcPr>
          <w:p w14:paraId="35F18B44">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default" w:ascii="黑体" w:hAnsi="黑体" w:eastAsia="黑体" w:cs="黑体"/>
                <w:b/>
                <w:bCs/>
                <w:color w:val="auto"/>
                <w:kern w:val="2"/>
                <w:sz w:val="28"/>
                <w:szCs w:val="28"/>
                <w:highlight w:val="none"/>
                <w:lang w:val="en-US" w:eastAsia="zh-CN" w:bidi="ar-SA"/>
              </w:rPr>
            </w:pPr>
            <w:r>
              <w:rPr>
                <w:rFonts w:hint="default" w:ascii="黑体" w:hAnsi="黑体" w:eastAsia="黑体" w:cs="黑体"/>
                <w:b/>
                <w:bCs/>
                <w:color w:val="auto"/>
                <w:kern w:val="2"/>
                <w:sz w:val="28"/>
                <w:szCs w:val="28"/>
                <w:highlight w:val="none"/>
                <w:lang w:val="en-US" w:eastAsia="zh-CN" w:bidi="ar-SA"/>
              </w:rPr>
              <w:t>展会和推介会</w:t>
            </w:r>
          </w:p>
        </w:tc>
        <w:tc>
          <w:tcPr>
            <w:tcW w:w="1096" w:type="dxa"/>
            <w:noWrap w:val="0"/>
            <w:vAlign w:val="center"/>
          </w:tcPr>
          <w:p w14:paraId="6FDA659F">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10分</w:t>
            </w:r>
          </w:p>
        </w:tc>
        <w:tc>
          <w:tcPr>
            <w:tcW w:w="4786" w:type="dxa"/>
            <w:noWrap w:val="0"/>
            <w:vAlign w:val="center"/>
          </w:tcPr>
          <w:p w14:paraId="19988A21">
            <w:pPr>
              <w:keepNext w:val="0"/>
              <w:keepLines w:val="0"/>
              <w:pageBreakBefore w:val="0"/>
              <w:widowControl/>
              <w:numPr>
                <w:ilvl w:val="0"/>
                <w:numId w:val="0"/>
              </w:numPr>
              <w:kinsoku w:val="0"/>
              <w:wordWrap w:val="0"/>
              <w:overflowPunct/>
              <w:topLinePunct w:val="0"/>
              <w:autoSpaceDE/>
              <w:autoSpaceDN/>
              <w:bidi w:val="0"/>
              <w:adjustRightInd w:val="0"/>
              <w:snapToGrid w:val="0"/>
              <w:spacing w:line="500" w:lineRule="atLeast"/>
              <w:ind w:right="0"/>
              <w:jc w:val="both"/>
              <w:textAlignment w:val="baseline"/>
              <w:rPr>
                <w:rFonts w:hint="default"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color w:val="auto"/>
                <w:spacing w:val="7"/>
                <w:position w:val="13"/>
                <w:sz w:val="24"/>
                <w:szCs w:val="24"/>
                <w:lang w:val="en-US" w:eastAsia="zh-CN"/>
              </w:rPr>
              <w:t>供应商根据对项目的前期调研和对本项目需求的理解程度、本项目的工作认识等，组织疆内外参加8场展会和推介会，满足招标文件要求的，得5分；每增加一次加2.5分，最高加5分。</w:t>
            </w:r>
          </w:p>
        </w:tc>
      </w:tr>
      <w:tr w14:paraId="6020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08" w:type="dxa"/>
            <w:vMerge w:val="continue"/>
            <w:noWrap w:val="0"/>
            <w:vAlign w:val="center"/>
          </w:tcPr>
          <w:p w14:paraId="7FDA5166">
            <w:pPr>
              <w:keepNext w:val="0"/>
              <w:keepLines w:val="0"/>
              <w:pageBreakBefore w:val="0"/>
              <w:widowControl/>
              <w:kinsoku w:val="0"/>
              <w:wordWrap w:val="0"/>
              <w:overflowPunct/>
              <w:topLinePunct w:val="0"/>
              <w:autoSpaceDE/>
              <w:autoSpaceDN/>
              <w:bidi w:val="0"/>
              <w:adjustRightInd/>
              <w:snapToGrid/>
              <w:spacing w:line="500" w:lineRule="atLeast"/>
              <w:ind w:right="0"/>
              <w:jc w:val="left"/>
              <w:textAlignment w:val="auto"/>
              <w:rPr>
                <w:rFonts w:hint="eastAsia" w:ascii="黑体" w:hAnsi="黑体" w:eastAsia="黑体" w:cs="黑体"/>
                <w:b/>
                <w:bCs/>
                <w:color w:val="auto"/>
                <w:kern w:val="2"/>
                <w:sz w:val="28"/>
                <w:szCs w:val="28"/>
                <w:highlight w:val="none"/>
                <w:lang w:val="en-US" w:eastAsia="zh-CN" w:bidi="ar-SA"/>
              </w:rPr>
            </w:pPr>
          </w:p>
        </w:tc>
        <w:tc>
          <w:tcPr>
            <w:tcW w:w="1162" w:type="dxa"/>
            <w:noWrap w:val="0"/>
            <w:vAlign w:val="center"/>
          </w:tcPr>
          <w:p w14:paraId="019DC1A8">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default"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产品认证</w:t>
            </w:r>
          </w:p>
        </w:tc>
        <w:tc>
          <w:tcPr>
            <w:tcW w:w="1096" w:type="dxa"/>
            <w:noWrap w:val="0"/>
            <w:vAlign w:val="center"/>
          </w:tcPr>
          <w:p w14:paraId="60B2D9E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10分</w:t>
            </w:r>
          </w:p>
        </w:tc>
        <w:tc>
          <w:tcPr>
            <w:tcW w:w="4786" w:type="dxa"/>
            <w:noWrap w:val="0"/>
            <w:vAlign w:val="center"/>
          </w:tcPr>
          <w:p w14:paraId="5CAEFCDF">
            <w:pPr>
              <w:keepNext w:val="0"/>
              <w:keepLines w:val="0"/>
              <w:pageBreakBefore w:val="0"/>
              <w:widowControl/>
              <w:numPr>
                <w:ilvl w:val="0"/>
                <w:numId w:val="0"/>
              </w:numPr>
              <w:kinsoku w:val="0"/>
              <w:wordWrap w:val="0"/>
              <w:overflowPunct/>
              <w:topLinePunct w:val="0"/>
              <w:autoSpaceDE/>
              <w:autoSpaceDN/>
              <w:bidi w:val="0"/>
              <w:adjustRightInd w:val="0"/>
              <w:snapToGrid w:val="0"/>
              <w:spacing w:line="500" w:lineRule="atLeast"/>
              <w:ind w:right="0"/>
              <w:jc w:val="both"/>
              <w:textAlignment w:val="baseline"/>
              <w:rPr>
                <w:rFonts w:hint="default" w:ascii="黑体" w:hAnsi="黑体" w:eastAsia="黑体" w:cs="黑体"/>
                <w:b w:val="0"/>
                <w:bCs w:val="0"/>
                <w:color w:val="auto"/>
                <w:spacing w:val="7"/>
                <w:position w:val="13"/>
                <w:sz w:val="24"/>
                <w:szCs w:val="24"/>
                <w:highlight w:val="none"/>
                <w:lang w:val="en-US" w:eastAsia="zh-CN"/>
              </w:rPr>
            </w:pPr>
            <w:r>
              <w:rPr>
                <w:rFonts w:hint="eastAsia" w:ascii="黑体" w:hAnsi="黑体" w:eastAsia="黑体" w:cs="黑体"/>
                <w:b w:val="0"/>
                <w:bCs w:val="0"/>
                <w:color w:val="auto"/>
                <w:spacing w:val="7"/>
                <w:position w:val="13"/>
                <w:sz w:val="24"/>
                <w:szCs w:val="24"/>
                <w:highlight w:val="none"/>
                <w:lang w:val="en-US" w:eastAsia="zh-CN"/>
              </w:rPr>
              <w:t>取得相关特色农副产品地理标志认证、绿色认证、有机认证、生态原产地认证、气候好产品等相关认证，一个产品得5分。</w:t>
            </w:r>
          </w:p>
        </w:tc>
      </w:tr>
      <w:tr w14:paraId="448D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508" w:type="dxa"/>
            <w:vMerge w:val="restart"/>
            <w:noWrap w:val="0"/>
            <w:vAlign w:val="center"/>
          </w:tcPr>
          <w:p w14:paraId="6CDB028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技术部分（65分）</w:t>
            </w:r>
          </w:p>
        </w:tc>
        <w:tc>
          <w:tcPr>
            <w:tcW w:w="1162" w:type="dxa"/>
            <w:noWrap w:val="0"/>
            <w:vAlign w:val="center"/>
          </w:tcPr>
          <w:p w14:paraId="679A2678">
            <w:pPr>
              <w:pStyle w:val="12"/>
              <w:keepNext w:val="0"/>
              <w:keepLines w:val="0"/>
              <w:pageBreakBefore w:val="0"/>
              <w:widowControl/>
              <w:overflowPunct/>
              <w:topLinePunct w:val="0"/>
              <w:bidi w:val="0"/>
              <w:spacing w:line="500" w:lineRule="atLeast"/>
              <w:ind w:left="0" w:leftChars="0" w:right="0" w:firstLine="0" w:firstLineChars="0"/>
              <w:jc w:val="center"/>
              <w:rPr>
                <w:rFonts w:hint="eastAsia" w:ascii="黑体" w:hAnsi="黑体" w:eastAsia="黑体" w:cs="黑体"/>
                <w:b w:val="0"/>
                <w:bCs w:val="0"/>
                <w:snapToGrid w:val="0"/>
                <w:color w:val="auto"/>
                <w:spacing w:val="7"/>
                <w:kern w:val="0"/>
                <w:position w:val="13"/>
                <w:sz w:val="24"/>
                <w:szCs w:val="24"/>
                <w:highlight w:val="none"/>
                <w:lang w:val="en-US" w:eastAsia="zh-CN" w:bidi="ar-SA"/>
              </w:rPr>
            </w:pPr>
            <w:r>
              <w:rPr>
                <w:rFonts w:hint="default" w:ascii="黑体" w:hAnsi="黑体" w:eastAsia="黑体" w:cs="黑体"/>
                <w:b/>
                <w:bCs/>
                <w:snapToGrid w:val="0"/>
                <w:color w:val="auto"/>
                <w:spacing w:val="7"/>
                <w:kern w:val="0"/>
                <w:position w:val="13"/>
                <w:sz w:val="28"/>
                <w:szCs w:val="28"/>
                <w:highlight w:val="none"/>
                <w:lang w:val="en-US" w:eastAsia="zh-CN" w:bidi="ar-SA"/>
              </w:rPr>
              <w:t>服务大纲及服务方案</w:t>
            </w:r>
          </w:p>
        </w:tc>
        <w:tc>
          <w:tcPr>
            <w:tcW w:w="1096" w:type="dxa"/>
            <w:noWrap w:val="0"/>
            <w:vAlign w:val="center"/>
          </w:tcPr>
          <w:p w14:paraId="3DCE42F4">
            <w:pPr>
              <w:pStyle w:val="30"/>
              <w:keepNext w:val="0"/>
              <w:keepLines w:val="0"/>
              <w:pageBreakBefore w:val="0"/>
              <w:widowControl/>
              <w:overflowPunct/>
              <w:topLinePunct w:val="0"/>
              <w:bidi w:val="0"/>
              <w:spacing w:line="500" w:lineRule="atLeast"/>
              <w:ind w:right="0"/>
              <w:jc w:val="center"/>
              <w:rPr>
                <w:rFonts w:hint="eastAsia" w:ascii="黑体" w:hAnsi="黑体" w:eastAsia="黑体" w:cs="黑体"/>
                <w:b w:val="0"/>
                <w:bCs w:val="0"/>
                <w:snapToGrid w:val="0"/>
                <w:color w:val="auto"/>
                <w:spacing w:val="7"/>
                <w:kern w:val="0"/>
                <w:position w:val="13"/>
                <w:sz w:val="24"/>
                <w:szCs w:val="24"/>
                <w:highlight w:val="none"/>
                <w:lang w:val="en-US" w:eastAsia="zh-CN" w:bidi="ar-SA"/>
              </w:rPr>
            </w:pPr>
            <w:r>
              <w:rPr>
                <w:rFonts w:hint="eastAsia" w:ascii="黑体" w:hAnsi="黑体" w:eastAsia="黑体" w:cs="黑体"/>
                <w:snapToGrid w:val="0"/>
                <w:color w:val="auto"/>
                <w:kern w:val="2"/>
                <w:sz w:val="28"/>
                <w:szCs w:val="28"/>
                <w:highlight w:val="none"/>
                <w:lang w:val="en-US" w:eastAsia="zh-CN" w:bidi="ar-SA"/>
              </w:rPr>
              <w:t>30分</w:t>
            </w:r>
          </w:p>
        </w:tc>
        <w:tc>
          <w:tcPr>
            <w:tcW w:w="4786" w:type="dxa"/>
            <w:noWrap w:val="0"/>
            <w:vAlign w:val="top"/>
          </w:tcPr>
          <w:p w14:paraId="23C76B63">
            <w:pPr>
              <w:pStyle w:val="31"/>
              <w:keepNext w:val="0"/>
              <w:keepLines w:val="0"/>
              <w:pageBreakBefore w:val="0"/>
              <w:widowControl/>
              <w:numPr>
                <w:ilvl w:val="0"/>
                <w:numId w:val="0"/>
              </w:numPr>
              <w:kinsoku/>
              <w:wordWrap/>
              <w:overflowPunct/>
              <w:topLinePunct w:val="0"/>
              <w:autoSpaceDE/>
              <w:autoSpaceDN/>
              <w:bidi w:val="0"/>
              <w:adjustRightInd/>
              <w:snapToGrid/>
              <w:spacing w:line="500" w:lineRule="atLeast"/>
              <w:ind w:right="0" w:rightChars="0"/>
              <w:jc w:val="both"/>
              <w:textAlignment w:val="auto"/>
              <w:rPr>
                <w:rFonts w:hint="eastAsia" w:ascii="黑体" w:hAnsi="黑体" w:eastAsia="黑体" w:cs="黑体"/>
                <w:b w:val="0"/>
                <w:bCs w:val="0"/>
                <w:snapToGrid w:val="0"/>
                <w:color w:val="auto"/>
                <w:spacing w:val="7"/>
                <w:kern w:val="0"/>
                <w:position w:val="13"/>
                <w:sz w:val="24"/>
                <w:szCs w:val="24"/>
                <w:highlight w:val="none"/>
                <w:lang w:val="en-US" w:eastAsia="zh-CN" w:bidi="ar-SA"/>
              </w:rPr>
            </w:pPr>
            <w:r>
              <w:rPr>
                <w:rFonts w:hint="eastAsia" w:ascii="黑体" w:hAnsi="黑体" w:eastAsia="黑体" w:cs="黑体"/>
                <w:b w:val="0"/>
                <w:bCs w:val="0"/>
                <w:snapToGrid w:val="0"/>
                <w:color w:val="auto"/>
                <w:spacing w:val="7"/>
                <w:kern w:val="0"/>
                <w:position w:val="13"/>
                <w:sz w:val="24"/>
                <w:szCs w:val="24"/>
                <w:highlight w:val="none"/>
                <w:lang w:val="en-US" w:eastAsia="zh-CN" w:bidi="ar-SA"/>
              </w:rPr>
              <w:t>对巴楚县特色产品进行品牌建设和提升（1）提升产品包装VI设计；（2）开发网红产品;（3）对巴楚县特色产品巴楚蘑菇、巴楚留香瓜、巴尔楚克羊等进行产品升级；（4）围绕巴楚县区域优势产业，打造竞争力强、美誉度高的产品区域品牌，宣传推介区域品牌形象；（5）升级巴楚蘑菇、巴楚留香瓜、巴尔楚克羊等特色产品的品牌包装；（6）加强产销渠道对接；针对以上分项编制计划、说明、实施措施和实施方案等。</w:t>
            </w:r>
          </w:p>
          <w:p w14:paraId="5409C981">
            <w:pPr>
              <w:pStyle w:val="31"/>
              <w:keepNext w:val="0"/>
              <w:keepLines w:val="0"/>
              <w:pageBreakBefore w:val="0"/>
              <w:widowControl/>
              <w:numPr>
                <w:ilvl w:val="0"/>
                <w:numId w:val="0"/>
              </w:numPr>
              <w:kinsoku/>
              <w:wordWrap/>
              <w:overflowPunct/>
              <w:topLinePunct w:val="0"/>
              <w:autoSpaceDE/>
              <w:autoSpaceDN/>
              <w:bidi w:val="0"/>
              <w:adjustRightInd/>
              <w:snapToGrid/>
              <w:spacing w:line="500" w:lineRule="atLeast"/>
              <w:ind w:left="0" w:leftChars="0" w:right="0" w:rightChars="0" w:firstLine="0" w:firstLineChars="0"/>
              <w:jc w:val="both"/>
              <w:textAlignment w:val="auto"/>
              <w:rPr>
                <w:rFonts w:hint="eastAsia" w:ascii="黑体" w:hAnsi="黑体" w:eastAsia="黑体" w:cs="黑体"/>
                <w:b w:val="0"/>
                <w:bCs w:val="0"/>
                <w:snapToGrid w:val="0"/>
                <w:color w:val="auto"/>
                <w:spacing w:val="7"/>
                <w:kern w:val="0"/>
                <w:position w:val="13"/>
                <w:sz w:val="24"/>
                <w:szCs w:val="24"/>
                <w:highlight w:val="none"/>
                <w:lang w:val="en-US" w:eastAsia="zh-CN" w:bidi="ar-SA"/>
              </w:rPr>
            </w:pPr>
            <w:r>
              <w:rPr>
                <w:rFonts w:hint="eastAsia" w:ascii="黑体" w:hAnsi="黑体" w:eastAsia="黑体" w:cs="黑体"/>
                <w:b w:val="0"/>
                <w:bCs w:val="0"/>
                <w:snapToGrid w:val="0"/>
                <w:color w:val="auto"/>
                <w:spacing w:val="7"/>
                <w:kern w:val="0"/>
                <w:position w:val="13"/>
                <w:sz w:val="24"/>
                <w:szCs w:val="24"/>
                <w:highlight w:val="none"/>
                <w:lang w:val="en-US" w:eastAsia="zh-CN" w:bidi="ar-SA"/>
              </w:rPr>
              <w:t>以上各分项内容完全满足采购项目且能保障本项目顺利完成的得30分。每项5分，每缺一项扣5分，每项有一处内容不完善或存在缺陷的扣2分，每项分值扣完为止。</w:t>
            </w:r>
            <w:r>
              <w:rPr>
                <w:rFonts w:hint="eastAsia" w:ascii="黑体" w:hAnsi="黑体" w:eastAsia="黑体" w:cs="黑体"/>
                <w:b/>
                <w:bCs/>
                <w:snapToGrid w:val="0"/>
                <w:color w:val="auto"/>
                <w:spacing w:val="7"/>
                <w:kern w:val="0"/>
                <w:position w:val="13"/>
                <w:sz w:val="24"/>
                <w:szCs w:val="24"/>
                <w:highlight w:val="none"/>
                <w:lang w:val="en-US" w:eastAsia="zh-CN" w:bidi="ar-SA"/>
              </w:rPr>
              <w:t>备注:内容有误或存在缺陷指内容与实际情况不符、内容与项目无关、内容前后表达矛盾、内容表述歧义或错误、项目理解偏差或错误内容存在不能实现、不符合本项目涉及的相关规范或标准要求的任意一种情形。</w:t>
            </w:r>
          </w:p>
        </w:tc>
      </w:tr>
      <w:tr w14:paraId="1698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trPr>
        <w:tc>
          <w:tcPr>
            <w:tcW w:w="1508" w:type="dxa"/>
            <w:vMerge w:val="continue"/>
            <w:noWrap w:val="0"/>
            <w:vAlign w:val="center"/>
          </w:tcPr>
          <w:p w14:paraId="4970567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p>
        </w:tc>
        <w:tc>
          <w:tcPr>
            <w:tcW w:w="1162" w:type="dxa"/>
            <w:noWrap w:val="0"/>
            <w:vAlign w:val="center"/>
          </w:tcPr>
          <w:p w14:paraId="26CA3915">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项目时间进度计划</w:t>
            </w:r>
          </w:p>
        </w:tc>
        <w:tc>
          <w:tcPr>
            <w:tcW w:w="1096" w:type="dxa"/>
            <w:noWrap w:val="0"/>
            <w:vAlign w:val="center"/>
          </w:tcPr>
          <w:p w14:paraId="19E318D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10分</w:t>
            </w:r>
          </w:p>
        </w:tc>
        <w:tc>
          <w:tcPr>
            <w:tcW w:w="4786" w:type="dxa"/>
            <w:noWrap w:val="0"/>
            <w:vAlign w:val="center"/>
          </w:tcPr>
          <w:p w14:paraId="45D0EC6C">
            <w:pPr>
              <w:keepNext w:val="0"/>
              <w:keepLines w:val="0"/>
              <w:pageBreakBefore w:val="0"/>
              <w:widowControl/>
              <w:kinsoku w:val="0"/>
              <w:wordWrap w:val="0"/>
              <w:overflowPunct/>
              <w:topLinePunct w:val="0"/>
              <w:autoSpaceDE/>
              <w:autoSpaceDN/>
              <w:bidi w:val="0"/>
              <w:adjustRightInd w:val="0"/>
              <w:snapToGrid w:val="0"/>
              <w:spacing w:line="500" w:lineRule="atLeast"/>
              <w:ind w:right="0"/>
              <w:jc w:val="both"/>
              <w:textAlignment w:val="baseline"/>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color w:val="auto"/>
                <w:spacing w:val="7"/>
                <w:position w:val="13"/>
                <w:sz w:val="24"/>
                <w:szCs w:val="24"/>
                <w:lang w:val="en-US" w:eastAsia="zh-CN"/>
              </w:rPr>
              <w:t>合理规划项目进度且符合竞争性磋商文件需求，进度计划科学合理且有进度控制计划表：</w:t>
            </w:r>
          </w:p>
          <w:p w14:paraId="00DC2DC3">
            <w:pPr>
              <w:keepNext w:val="0"/>
              <w:keepLines w:val="0"/>
              <w:pageBreakBefore w:val="0"/>
              <w:widowControl/>
              <w:numPr>
                <w:ilvl w:val="0"/>
                <w:numId w:val="0"/>
              </w:numPr>
              <w:kinsoku w:val="0"/>
              <w:wordWrap w:val="0"/>
              <w:overflowPunct/>
              <w:topLinePunct w:val="0"/>
              <w:autoSpaceDE/>
              <w:autoSpaceDN/>
              <w:bidi w:val="0"/>
              <w:adjustRightInd w:val="0"/>
              <w:snapToGrid w:val="0"/>
              <w:spacing w:line="500" w:lineRule="atLeast"/>
              <w:ind w:right="0"/>
              <w:jc w:val="both"/>
              <w:textAlignment w:val="baseline"/>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snapToGrid w:val="0"/>
                <w:color w:val="auto"/>
                <w:spacing w:val="7"/>
                <w:kern w:val="0"/>
                <w:position w:val="13"/>
                <w:sz w:val="24"/>
                <w:szCs w:val="24"/>
                <w:lang w:val="en-US" w:eastAsia="zh-CN" w:bidi="ar-SA"/>
              </w:rPr>
              <w:t>1、</w:t>
            </w:r>
            <w:r>
              <w:rPr>
                <w:rFonts w:hint="eastAsia" w:ascii="黑体" w:hAnsi="黑体" w:eastAsia="黑体" w:cs="黑体"/>
                <w:b w:val="0"/>
                <w:bCs w:val="0"/>
                <w:color w:val="auto"/>
                <w:spacing w:val="7"/>
                <w:position w:val="13"/>
                <w:sz w:val="24"/>
                <w:szCs w:val="24"/>
                <w:lang w:val="en-US" w:eastAsia="zh-CN"/>
              </w:rPr>
              <w:t>项目实施进度计划控制措施科学合理，满足采购需求，确保工作优质、高效、如期完成的，得10分；</w:t>
            </w:r>
          </w:p>
          <w:p w14:paraId="6F6B6A7D">
            <w:pPr>
              <w:keepNext w:val="0"/>
              <w:keepLines w:val="0"/>
              <w:pageBreakBefore w:val="0"/>
              <w:widowControl/>
              <w:numPr>
                <w:ilvl w:val="0"/>
                <w:numId w:val="0"/>
              </w:numPr>
              <w:kinsoku w:val="0"/>
              <w:wordWrap w:val="0"/>
              <w:overflowPunct/>
              <w:topLinePunct w:val="0"/>
              <w:autoSpaceDE/>
              <w:autoSpaceDN/>
              <w:bidi w:val="0"/>
              <w:adjustRightInd w:val="0"/>
              <w:snapToGrid w:val="0"/>
              <w:spacing w:line="500" w:lineRule="atLeast"/>
              <w:ind w:right="0"/>
              <w:jc w:val="both"/>
              <w:textAlignment w:val="baseline"/>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snapToGrid w:val="0"/>
                <w:color w:val="auto"/>
                <w:spacing w:val="7"/>
                <w:kern w:val="0"/>
                <w:position w:val="13"/>
                <w:sz w:val="24"/>
                <w:szCs w:val="24"/>
                <w:lang w:val="en-US" w:eastAsia="zh-CN" w:bidi="ar-SA"/>
              </w:rPr>
              <w:t>2、</w:t>
            </w:r>
            <w:r>
              <w:rPr>
                <w:rFonts w:hint="eastAsia" w:ascii="黑体" w:hAnsi="黑体" w:eastAsia="黑体" w:cs="黑体"/>
                <w:b w:val="0"/>
                <w:bCs w:val="0"/>
                <w:color w:val="auto"/>
                <w:spacing w:val="7"/>
                <w:position w:val="13"/>
                <w:sz w:val="24"/>
                <w:szCs w:val="24"/>
                <w:lang w:val="en-US" w:eastAsia="zh-CN"/>
              </w:rPr>
              <w:t>进度控制方法可行、控制措施部分合理，基本能完成工作任务的，得7分；</w:t>
            </w:r>
          </w:p>
          <w:p w14:paraId="5810E9A7">
            <w:pPr>
              <w:keepNext w:val="0"/>
              <w:keepLines w:val="0"/>
              <w:pageBreakBefore w:val="0"/>
              <w:widowControl/>
              <w:numPr>
                <w:ilvl w:val="0"/>
                <w:numId w:val="0"/>
              </w:numPr>
              <w:kinsoku w:val="0"/>
              <w:wordWrap w:val="0"/>
              <w:overflowPunct/>
              <w:topLinePunct w:val="0"/>
              <w:autoSpaceDE/>
              <w:autoSpaceDN/>
              <w:bidi w:val="0"/>
              <w:adjustRightInd w:val="0"/>
              <w:snapToGrid w:val="0"/>
              <w:spacing w:line="500" w:lineRule="atLeast"/>
              <w:ind w:right="0"/>
              <w:jc w:val="both"/>
              <w:textAlignment w:val="baseline"/>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snapToGrid w:val="0"/>
                <w:color w:val="auto"/>
                <w:spacing w:val="7"/>
                <w:kern w:val="0"/>
                <w:position w:val="13"/>
                <w:sz w:val="24"/>
                <w:szCs w:val="24"/>
                <w:lang w:val="en-US" w:eastAsia="zh-CN" w:bidi="ar-SA"/>
              </w:rPr>
              <w:t>3、</w:t>
            </w:r>
            <w:r>
              <w:rPr>
                <w:rFonts w:hint="eastAsia" w:ascii="黑体" w:hAnsi="黑体" w:eastAsia="黑体" w:cs="黑体"/>
                <w:b w:val="0"/>
                <w:bCs w:val="0"/>
                <w:color w:val="auto"/>
                <w:spacing w:val="7"/>
                <w:position w:val="13"/>
                <w:sz w:val="24"/>
                <w:szCs w:val="24"/>
                <w:lang w:val="en-US" w:eastAsia="zh-CN"/>
              </w:rPr>
              <w:t>进度控制不合理，措施内容不详实的，得3分。其他不得分。</w:t>
            </w:r>
          </w:p>
        </w:tc>
      </w:tr>
      <w:tr w14:paraId="68C0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508" w:type="dxa"/>
            <w:vMerge w:val="continue"/>
            <w:noWrap w:val="0"/>
            <w:vAlign w:val="center"/>
          </w:tcPr>
          <w:p w14:paraId="696C9773">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p>
        </w:tc>
        <w:tc>
          <w:tcPr>
            <w:tcW w:w="1162" w:type="dxa"/>
            <w:noWrap w:val="0"/>
            <w:vAlign w:val="center"/>
          </w:tcPr>
          <w:p w14:paraId="38D8951D">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安全保障措施</w:t>
            </w:r>
          </w:p>
        </w:tc>
        <w:tc>
          <w:tcPr>
            <w:tcW w:w="1096" w:type="dxa"/>
            <w:noWrap w:val="0"/>
            <w:vAlign w:val="center"/>
          </w:tcPr>
          <w:p w14:paraId="1392F8B3">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10分</w:t>
            </w:r>
          </w:p>
        </w:tc>
        <w:tc>
          <w:tcPr>
            <w:tcW w:w="4786" w:type="dxa"/>
            <w:noWrap w:val="0"/>
            <w:vAlign w:val="center"/>
          </w:tcPr>
          <w:p w14:paraId="029BBE81">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color w:val="auto"/>
                <w:spacing w:val="7"/>
                <w:position w:val="13"/>
                <w:sz w:val="24"/>
                <w:szCs w:val="24"/>
                <w:lang w:val="en-US" w:eastAsia="zh-CN"/>
              </w:rPr>
            </w:pPr>
            <w:r>
              <w:rPr>
                <w:rFonts w:hint="eastAsia" w:ascii="黑体" w:hAnsi="黑体" w:eastAsia="黑体" w:cs="黑体"/>
                <w:b w:val="0"/>
                <w:bCs w:val="0"/>
                <w:color w:val="auto"/>
                <w:spacing w:val="7"/>
                <w:position w:val="13"/>
                <w:sz w:val="24"/>
                <w:szCs w:val="24"/>
                <w:lang w:val="en-US" w:eastAsia="zh-CN"/>
              </w:rPr>
              <w:t>供应商针对本项目制定的安全管理措施包括但不限于：①安全管理制度；②安全管理体系；③安全教育及培训方案；以上方案内容完整清晰明确且科学合理有针对性并满足采购需求的，得10分，每缺少一项内容扣4分；每有一项内容不完整或不具有针对性或逻辑性错误扣2分；扣完为止。</w:t>
            </w:r>
          </w:p>
        </w:tc>
      </w:tr>
      <w:tr w14:paraId="102E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508" w:type="dxa"/>
            <w:vMerge w:val="continue"/>
            <w:noWrap w:val="0"/>
            <w:vAlign w:val="center"/>
          </w:tcPr>
          <w:p w14:paraId="68A3013E">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p>
        </w:tc>
        <w:tc>
          <w:tcPr>
            <w:tcW w:w="1162" w:type="dxa"/>
            <w:noWrap w:val="0"/>
            <w:vAlign w:val="center"/>
          </w:tcPr>
          <w:p w14:paraId="1DD6A2C1">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snapToGrid w:val="0"/>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应急保障措施</w:t>
            </w:r>
          </w:p>
        </w:tc>
        <w:tc>
          <w:tcPr>
            <w:tcW w:w="1096" w:type="dxa"/>
            <w:noWrap w:val="0"/>
            <w:vAlign w:val="center"/>
          </w:tcPr>
          <w:p w14:paraId="1D836E93">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snapToGrid w:val="0"/>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10分</w:t>
            </w:r>
          </w:p>
        </w:tc>
        <w:tc>
          <w:tcPr>
            <w:tcW w:w="4786" w:type="dxa"/>
            <w:noWrap w:val="0"/>
            <w:vAlign w:val="center"/>
          </w:tcPr>
          <w:p w14:paraId="618B70D5">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snapToGrid w:val="0"/>
                <w:color w:val="auto"/>
                <w:spacing w:val="7"/>
                <w:kern w:val="0"/>
                <w:position w:val="13"/>
                <w:sz w:val="24"/>
                <w:szCs w:val="24"/>
                <w:lang w:val="en-US" w:eastAsia="zh-CN" w:bidi="ar-SA"/>
              </w:rPr>
            </w:pPr>
            <w:r>
              <w:rPr>
                <w:rFonts w:hint="eastAsia" w:ascii="黑体" w:hAnsi="黑体" w:eastAsia="黑体" w:cs="黑体"/>
                <w:b w:val="0"/>
                <w:bCs w:val="0"/>
                <w:color w:val="auto"/>
                <w:spacing w:val="7"/>
                <w:position w:val="13"/>
                <w:sz w:val="24"/>
                <w:szCs w:val="24"/>
                <w:lang w:val="en-US" w:eastAsia="zh-CN"/>
              </w:rPr>
              <w:t>各类应急事件处置措施内容包括：①预防措施；②应急突发状况；③应急响应；④处理方案。每有一项得2.5分，最多得10分。每缺少一项内容扣2.5分；表述不清、论述不全或不详尽的每处扣2分，扣完为止。</w:t>
            </w:r>
          </w:p>
        </w:tc>
      </w:tr>
      <w:tr w14:paraId="314B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508" w:type="dxa"/>
            <w:noWrap w:val="0"/>
            <w:vAlign w:val="center"/>
          </w:tcPr>
          <w:p w14:paraId="0B0E3A8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en-US" w:eastAsia="zh-CN" w:bidi="ar-SA"/>
              </w:rPr>
            </w:pPr>
          </w:p>
        </w:tc>
        <w:tc>
          <w:tcPr>
            <w:tcW w:w="1162" w:type="dxa"/>
            <w:noWrap w:val="0"/>
            <w:vAlign w:val="center"/>
          </w:tcPr>
          <w:p w14:paraId="10323E0B">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color w:val="auto"/>
                <w:kern w:val="2"/>
                <w:sz w:val="28"/>
                <w:szCs w:val="28"/>
                <w:highlight w:val="none"/>
                <w:lang w:val="zh-CN" w:eastAsia="zh-CN" w:bidi="ar-SA"/>
              </w:rPr>
            </w:pPr>
            <w:r>
              <w:rPr>
                <w:rFonts w:hint="eastAsia" w:ascii="黑体" w:hAnsi="黑体" w:eastAsia="黑体" w:cs="黑体"/>
                <w:b/>
                <w:bCs/>
                <w:color w:val="auto"/>
                <w:kern w:val="2"/>
                <w:sz w:val="28"/>
                <w:szCs w:val="28"/>
                <w:highlight w:val="none"/>
                <w:lang w:val="zh-CN" w:eastAsia="zh-CN" w:bidi="ar-SA"/>
              </w:rPr>
              <w:t>质量保证措施</w:t>
            </w:r>
          </w:p>
          <w:p w14:paraId="6A5ED66A">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b/>
                <w:bCs/>
                <w:snapToGrid w:val="0"/>
                <w:color w:val="auto"/>
                <w:kern w:val="2"/>
                <w:sz w:val="28"/>
                <w:szCs w:val="28"/>
                <w:highlight w:val="none"/>
                <w:lang w:val="en-US" w:eastAsia="zh-CN" w:bidi="ar-SA"/>
              </w:rPr>
            </w:pPr>
          </w:p>
        </w:tc>
        <w:tc>
          <w:tcPr>
            <w:tcW w:w="1096" w:type="dxa"/>
            <w:noWrap w:val="0"/>
            <w:vAlign w:val="center"/>
          </w:tcPr>
          <w:p w14:paraId="4A95FD28">
            <w:pPr>
              <w:keepNext w:val="0"/>
              <w:keepLines w:val="0"/>
              <w:pageBreakBefore w:val="0"/>
              <w:widowControl/>
              <w:kinsoku w:val="0"/>
              <w:wordWrap w:val="0"/>
              <w:overflowPunct/>
              <w:topLinePunct w:val="0"/>
              <w:autoSpaceDE/>
              <w:autoSpaceDN/>
              <w:bidi w:val="0"/>
              <w:adjustRightInd/>
              <w:snapToGrid/>
              <w:spacing w:line="500" w:lineRule="atLeast"/>
              <w:ind w:right="0"/>
              <w:jc w:val="center"/>
              <w:textAlignment w:val="auto"/>
              <w:rPr>
                <w:rFonts w:hint="eastAsia" w:ascii="黑体" w:hAnsi="黑体" w:eastAsia="黑体" w:cs="黑体"/>
                <w:snapToGrid w:val="0"/>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5分</w:t>
            </w:r>
          </w:p>
        </w:tc>
        <w:tc>
          <w:tcPr>
            <w:tcW w:w="4786" w:type="dxa"/>
            <w:noWrap w:val="0"/>
            <w:vAlign w:val="center"/>
          </w:tcPr>
          <w:p w14:paraId="7F672BBA">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color w:val="auto"/>
                <w:spacing w:val="7"/>
                <w:position w:val="13"/>
                <w:sz w:val="24"/>
                <w:szCs w:val="24"/>
                <w:lang w:val="zh-CN" w:eastAsia="zh-CN"/>
              </w:rPr>
            </w:pPr>
            <w:r>
              <w:rPr>
                <w:rFonts w:hint="eastAsia" w:ascii="黑体" w:hAnsi="黑体" w:eastAsia="黑体" w:cs="黑体"/>
                <w:b w:val="0"/>
                <w:bCs w:val="0"/>
                <w:color w:val="auto"/>
                <w:spacing w:val="7"/>
                <w:position w:val="13"/>
                <w:sz w:val="24"/>
                <w:szCs w:val="24"/>
                <w:lang w:val="zh-CN" w:eastAsia="zh-CN"/>
              </w:rPr>
              <w:t>1、供应商</w:t>
            </w:r>
            <w:r>
              <w:rPr>
                <w:rFonts w:hint="eastAsia" w:ascii="黑体" w:hAnsi="黑体" w:eastAsia="黑体" w:cs="黑体"/>
                <w:b w:val="0"/>
                <w:bCs w:val="0"/>
                <w:color w:val="auto"/>
                <w:spacing w:val="7"/>
                <w:position w:val="13"/>
                <w:sz w:val="24"/>
                <w:szCs w:val="24"/>
                <w:lang w:val="en-US" w:eastAsia="zh-CN"/>
              </w:rPr>
              <w:t>针对本项目</w:t>
            </w:r>
            <w:r>
              <w:rPr>
                <w:rFonts w:hint="eastAsia" w:ascii="黑体" w:hAnsi="黑体" w:eastAsia="黑体" w:cs="黑体"/>
                <w:b w:val="0"/>
                <w:bCs w:val="0"/>
                <w:color w:val="auto"/>
                <w:spacing w:val="7"/>
                <w:position w:val="13"/>
                <w:sz w:val="24"/>
                <w:szCs w:val="24"/>
                <w:lang w:val="zh-CN" w:eastAsia="zh-CN"/>
              </w:rPr>
              <w:t>的特色产品推广和品牌营销质量保证措施科学性、可行性、合理性、针对性等方面</w:t>
            </w:r>
            <w:r>
              <w:rPr>
                <w:rFonts w:hint="eastAsia" w:ascii="黑体" w:hAnsi="黑体" w:eastAsia="黑体" w:cs="黑体"/>
                <w:b w:val="0"/>
                <w:bCs w:val="0"/>
                <w:color w:val="auto"/>
                <w:spacing w:val="7"/>
                <w:position w:val="13"/>
                <w:sz w:val="24"/>
                <w:szCs w:val="24"/>
                <w:lang w:val="en-US" w:eastAsia="zh-CN"/>
              </w:rPr>
              <w:t>非常详细的</w:t>
            </w:r>
            <w:r>
              <w:rPr>
                <w:rFonts w:hint="eastAsia" w:ascii="黑体" w:hAnsi="黑体" w:eastAsia="黑体" w:cs="黑体"/>
                <w:b w:val="0"/>
                <w:bCs w:val="0"/>
                <w:color w:val="auto"/>
                <w:spacing w:val="7"/>
                <w:position w:val="13"/>
                <w:sz w:val="24"/>
                <w:szCs w:val="24"/>
                <w:lang w:val="zh-CN" w:eastAsia="zh-CN"/>
              </w:rPr>
              <w:t>得</w:t>
            </w:r>
            <w:r>
              <w:rPr>
                <w:rFonts w:hint="eastAsia" w:ascii="黑体" w:hAnsi="黑体" w:eastAsia="黑体" w:cs="黑体"/>
                <w:b w:val="0"/>
                <w:bCs w:val="0"/>
                <w:color w:val="auto"/>
                <w:spacing w:val="7"/>
                <w:position w:val="13"/>
                <w:sz w:val="24"/>
                <w:szCs w:val="24"/>
                <w:lang w:val="en-US" w:eastAsia="zh-CN"/>
              </w:rPr>
              <w:t>5</w:t>
            </w:r>
            <w:r>
              <w:rPr>
                <w:rFonts w:hint="eastAsia" w:ascii="黑体" w:hAnsi="黑体" w:eastAsia="黑体" w:cs="黑体"/>
                <w:b w:val="0"/>
                <w:bCs w:val="0"/>
                <w:color w:val="auto"/>
                <w:spacing w:val="7"/>
                <w:position w:val="13"/>
                <w:sz w:val="24"/>
                <w:szCs w:val="24"/>
                <w:lang w:val="zh-CN" w:eastAsia="zh-CN"/>
              </w:rPr>
              <w:t>分；</w:t>
            </w:r>
          </w:p>
          <w:p w14:paraId="2840C7B4">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color w:val="auto"/>
                <w:spacing w:val="7"/>
                <w:position w:val="13"/>
                <w:sz w:val="24"/>
                <w:szCs w:val="24"/>
                <w:lang w:val="zh-CN" w:eastAsia="zh-CN"/>
              </w:rPr>
            </w:pPr>
            <w:r>
              <w:rPr>
                <w:rFonts w:hint="eastAsia" w:ascii="黑体" w:hAnsi="黑体" w:eastAsia="黑体" w:cs="黑体"/>
                <w:b w:val="0"/>
                <w:bCs w:val="0"/>
                <w:color w:val="auto"/>
                <w:spacing w:val="7"/>
                <w:position w:val="13"/>
                <w:sz w:val="24"/>
                <w:szCs w:val="24"/>
                <w:lang w:val="zh-CN" w:eastAsia="zh-CN"/>
              </w:rPr>
              <w:t>2、供应商</w:t>
            </w:r>
            <w:r>
              <w:rPr>
                <w:rFonts w:hint="eastAsia" w:ascii="黑体" w:hAnsi="黑体" w:eastAsia="黑体" w:cs="黑体"/>
                <w:b w:val="0"/>
                <w:bCs w:val="0"/>
                <w:color w:val="auto"/>
                <w:spacing w:val="7"/>
                <w:position w:val="13"/>
                <w:sz w:val="24"/>
                <w:szCs w:val="24"/>
                <w:lang w:val="en-US" w:eastAsia="zh-CN"/>
              </w:rPr>
              <w:t>针对本项目</w:t>
            </w:r>
            <w:r>
              <w:rPr>
                <w:rFonts w:hint="eastAsia" w:ascii="黑体" w:hAnsi="黑体" w:eastAsia="黑体" w:cs="黑体"/>
                <w:b w:val="0"/>
                <w:bCs w:val="0"/>
                <w:color w:val="auto"/>
                <w:spacing w:val="7"/>
                <w:position w:val="13"/>
                <w:sz w:val="24"/>
                <w:szCs w:val="24"/>
                <w:lang w:val="zh-CN" w:eastAsia="zh-CN"/>
              </w:rPr>
              <w:t>的特色产品推广和品牌营销质量保证措施科学性、可行性、合理性、针对性等方面</w:t>
            </w:r>
            <w:r>
              <w:rPr>
                <w:rFonts w:hint="eastAsia" w:ascii="黑体" w:hAnsi="黑体" w:eastAsia="黑体" w:cs="黑体"/>
                <w:b w:val="0"/>
                <w:bCs w:val="0"/>
                <w:color w:val="auto"/>
                <w:spacing w:val="7"/>
                <w:position w:val="13"/>
                <w:sz w:val="24"/>
                <w:szCs w:val="24"/>
                <w:lang w:val="en-US" w:eastAsia="zh-CN"/>
              </w:rPr>
              <w:t>存在缺漏但不影响项目主体内容</w:t>
            </w:r>
            <w:r>
              <w:rPr>
                <w:rFonts w:hint="eastAsia" w:ascii="黑体" w:hAnsi="黑体" w:eastAsia="黑体" w:cs="黑体"/>
                <w:b w:val="0"/>
                <w:bCs w:val="0"/>
                <w:color w:val="auto"/>
                <w:spacing w:val="7"/>
                <w:position w:val="13"/>
                <w:sz w:val="24"/>
                <w:szCs w:val="24"/>
                <w:lang w:val="zh-CN" w:eastAsia="zh-CN"/>
              </w:rPr>
              <w:t>得</w:t>
            </w:r>
            <w:r>
              <w:rPr>
                <w:rFonts w:hint="eastAsia" w:ascii="黑体" w:hAnsi="黑体" w:eastAsia="黑体" w:cs="黑体"/>
                <w:b w:val="0"/>
                <w:bCs w:val="0"/>
                <w:color w:val="auto"/>
                <w:spacing w:val="7"/>
                <w:position w:val="13"/>
                <w:sz w:val="24"/>
                <w:szCs w:val="24"/>
                <w:lang w:val="en-US" w:eastAsia="zh-CN"/>
              </w:rPr>
              <w:t>3</w:t>
            </w:r>
            <w:r>
              <w:rPr>
                <w:rFonts w:hint="eastAsia" w:ascii="黑体" w:hAnsi="黑体" w:eastAsia="黑体" w:cs="黑体"/>
                <w:b w:val="0"/>
                <w:bCs w:val="0"/>
                <w:color w:val="auto"/>
                <w:spacing w:val="7"/>
                <w:position w:val="13"/>
                <w:sz w:val="24"/>
                <w:szCs w:val="24"/>
                <w:lang w:val="zh-CN" w:eastAsia="zh-CN"/>
              </w:rPr>
              <w:t>分；</w:t>
            </w:r>
          </w:p>
          <w:p w14:paraId="7E08E99C">
            <w:pPr>
              <w:keepNext w:val="0"/>
              <w:keepLines w:val="0"/>
              <w:pageBreakBefore w:val="0"/>
              <w:widowControl/>
              <w:kinsoku w:val="0"/>
              <w:wordWrap w:val="0"/>
              <w:overflowPunct/>
              <w:topLinePunct w:val="0"/>
              <w:autoSpaceDE/>
              <w:autoSpaceDN/>
              <w:bidi w:val="0"/>
              <w:spacing w:line="500" w:lineRule="atLeast"/>
              <w:ind w:right="0"/>
              <w:jc w:val="both"/>
              <w:rPr>
                <w:rFonts w:hint="eastAsia" w:ascii="黑体" w:hAnsi="黑体" w:eastAsia="黑体" w:cs="黑体"/>
                <w:b w:val="0"/>
                <w:bCs w:val="0"/>
                <w:snapToGrid w:val="0"/>
                <w:color w:val="auto"/>
                <w:spacing w:val="7"/>
                <w:kern w:val="0"/>
                <w:position w:val="13"/>
                <w:sz w:val="24"/>
                <w:szCs w:val="24"/>
                <w:lang w:val="en-US" w:eastAsia="zh-CN" w:bidi="ar-SA"/>
              </w:rPr>
            </w:pPr>
            <w:r>
              <w:rPr>
                <w:rFonts w:hint="eastAsia" w:ascii="黑体" w:hAnsi="黑体" w:eastAsia="黑体" w:cs="黑体"/>
                <w:b w:val="0"/>
                <w:bCs w:val="0"/>
                <w:color w:val="auto"/>
                <w:spacing w:val="7"/>
                <w:position w:val="13"/>
                <w:sz w:val="24"/>
                <w:szCs w:val="24"/>
                <w:lang w:val="zh-CN" w:eastAsia="zh-CN"/>
              </w:rPr>
              <w:t>3、供应商</w:t>
            </w:r>
            <w:r>
              <w:rPr>
                <w:rFonts w:hint="eastAsia" w:ascii="黑体" w:hAnsi="黑体" w:eastAsia="黑体" w:cs="黑体"/>
                <w:b w:val="0"/>
                <w:bCs w:val="0"/>
                <w:color w:val="auto"/>
                <w:spacing w:val="7"/>
                <w:position w:val="13"/>
                <w:sz w:val="24"/>
                <w:szCs w:val="24"/>
                <w:lang w:val="en-US" w:eastAsia="zh-CN"/>
              </w:rPr>
              <w:t>针对本项目</w:t>
            </w:r>
            <w:r>
              <w:rPr>
                <w:rFonts w:hint="eastAsia" w:ascii="黑体" w:hAnsi="黑体" w:eastAsia="黑体" w:cs="黑体"/>
                <w:b w:val="0"/>
                <w:bCs w:val="0"/>
                <w:color w:val="auto"/>
                <w:spacing w:val="7"/>
                <w:position w:val="13"/>
                <w:sz w:val="24"/>
                <w:szCs w:val="24"/>
                <w:lang w:val="zh-CN" w:eastAsia="zh-CN"/>
              </w:rPr>
              <w:t>的特色产品推广和品牌营销质量保证措施</w:t>
            </w:r>
            <w:r>
              <w:rPr>
                <w:rFonts w:hint="eastAsia" w:ascii="黑体" w:hAnsi="黑体" w:eastAsia="黑体" w:cs="黑体"/>
                <w:b w:val="0"/>
                <w:bCs w:val="0"/>
                <w:color w:val="auto"/>
                <w:spacing w:val="7"/>
                <w:position w:val="13"/>
                <w:sz w:val="24"/>
                <w:szCs w:val="24"/>
                <w:lang w:val="en-US" w:eastAsia="zh-CN"/>
              </w:rPr>
              <w:t>科学性、可行性、合理性、针对性等方面不完整</w:t>
            </w:r>
            <w:r>
              <w:rPr>
                <w:rFonts w:hint="eastAsia" w:ascii="黑体" w:hAnsi="黑体" w:eastAsia="黑体" w:cs="黑体"/>
                <w:b w:val="0"/>
                <w:bCs w:val="0"/>
                <w:color w:val="auto"/>
                <w:spacing w:val="7"/>
                <w:position w:val="13"/>
                <w:sz w:val="24"/>
                <w:szCs w:val="24"/>
                <w:lang w:val="zh-CN" w:eastAsia="zh-CN"/>
              </w:rPr>
              <w:t>得</w:t>
            </w:r>
            <w:r>
              <w:rPr>
                <w:rFonts w:hint="eastAsia" w:ascii="黑体" w:hAnsi="黑体" w:eastAsia="黑体" w:cs="黑体"/>
                <w:b w:val="0"/>
                <w:bCs w:val="0"/>
                <w:color w:val="auto"/>
                <w:spacing w:val="7"/>
                <w:position w:val="13"/>
                <w:sz w:val="24"/>
                <w:szCs w:val="24"/>
                <w:lang w:val="en-US" w:eastAsia="zh-CN"/>
              </w:rPr>
              <w:t>1</w:t>
            </w:r>
            <w:r>
              <w:rPr>
                <w:rFonts w:hint="eastAsia" w:ascii="黑体" w:hAnsi="黑体" w:eastAsia="黑体" w:cs="黑体"/>
                <w:b w:val="0"/>
                <w:bCs w:val="0"/>
                <w:color w:val="auto"/>
                <w:spacing w:val="7"/>
                <w:position w:val="13"/>
                <w:sz w:val="24"/>
                <w:szCs w:val="24"/>
                <w:lang w:val="zh-CN" w:eastAsia="zh-CN"/>
              </w:rPr>
              <w:t>分。</w:t>
            </w:r>
          </w:p>
        </w:tc>
      </w:tr>
      <w:bookmarkEnd w:id="28"/>
      <w:bookmarkEnd w:id="29"/>
    </w:tbl>
    <w:p w14:paraId="6440A44C">
      <w:pPr>
        <w:pStyle w:val="20"/>
        <w:pageBreakBefore w:val="0"/>
        <w:kinsoku w:val="0"/>
        <w:wordWrap w:val="0"/>
        <w:overflowPunct/>
        <w:topLinePunct w:val="0"/>
        <w:autoSpaceDE/>
        <w:autoSpaceDN/>
        <w:bidi w:val="0"/>
        <w:rPr>
          <w:rFonts w:hint="eastAsia" w:ascii="黑体" w:hAnsi="黑体" w:eastAsia="黑体" w:cs="黑体"/>
          <w:color w:val="auto"/>
        </w:rPr>
      </w:pPr>
    </w:p>
    <w:p w14:paraId="519CB458">
      <w:pPr>
        <w:pStyle w:val="6"/>
        <w:pageBreakBefore w:val="0"/>
        <w:kinsoku w:val="0"/>
        <w:wordWrap w:val="0"/>
        <w:overflowPunct/>
        <w:topLinePunct w:val="0"/>
        <w:autoSpaceDE/>
        <w:autoSpaceDN/>
        <w:bidi w:val="0"/>
        <w:rPr>
          <w:rFonts w:hint="eastAsia" w:ascii="黑体" w:hAnsi="黑体" w:eastAsia="黑体" w:cs="黑体"/>
          <w:color w:val="auto"/>
        </w:rPr>
      </w:pPr>
    </w:p>
    <w:p w14:paraId="535834AB">
      <w:pPr>
        <w:pageBreakBefore w:val="0"/>
        <w:numPr>
          <w:ilvl w:val="0"/>
          <w:numId w:val="0"/>
        </w:numPr>
        <w:kinsoku w:val="0"/>
        <w:wordWrap w:val="0"/>
        <w:overflowPunct/>
        <w:topLinePunct w:val="0"/>
        <w:autoSpaceDE/>
        <w:autoSpaceDN/>
        <w:bidi w:val="0"/>
        <w:jc w:val="both"/>
        <w:rPr>
          <w:rFonts w:hint="eastAsia" w:ascii="黑体" w:hAnsi="黑体" w:eastAsia="黑体" w:cs="黑体"/>
          <w:b w:val="0"/>
          <w:bCs w:val="0"/>
          <w:color w:val="auto"/>
          <w:spacing w:val="7"/>
          <w:position w:val="13"/>
          <w:sz w:val="24"/>
          <w:szCs w:val="24"/>
        </w:rPr>
      </w:pPr>
      <w:r>
        <w:rPr>
          <w:rFonts w:hint="eastAsia" w:ascii="黑体" w:hAnsi="黑体" w:eastAsia="黑体" w:cs="黑体"/>
          <w:b w:val="0"/>
          <w:bCs w:val="0"/>
          <w:snapToGrid w:val="0"/>
          <w:color w:val="auto"/>
          <w:spacing w:val="7"/>
          <w:kern w:val="0"/>
          <w:position w:val="13"/>
          <w:sz w:val="24"/>
          <w:szCs w:val="24"/>
          <w:lang w:val="en-US" w:eastAsia="en-US" w:bidi="ar-SA"/>
        </w:rPr>
        <w:t>（1）</w:t>
      </w:r>
      <w:r>
        <w:rPr>
          <w:rFonts w:hint="eastAsia" w:ascii="黑体" w:hAnsi="黑体" w:eastAsia="黑体" w:cs="黑体"/>
          <w:b w:val="0"/>
          <w:bCs w:val="0"/>
          <w:color w:val="auto"/>
          <w:spacing w:val="7"/>
          <w:position w:val="13"/>
          <w:sz w:val="24"/>
          <w:szCs w:val="24"/>
        </w:rPr>
        <w:t>供应商的评审得分是指所有磋商小组成员对其评分的算术平均值。</w:t>
      </w:r>
    </w:p>
    <w:p w14:paraId="675B43C6">
      <w:pPr>
        <w:pageBreakBefore w:val="0"/>
        <w:numPr>
          <w:ilvl w:val="0"/>
          <w:numId w:val="0"/>
        </w:numPr>
        <w:kinsoku w:val="0"/>
        <w:wordWrap w:val="0"/>
        <w:overflowPunct/>
        <w:topLinePunct w:val="0"/>
        <w:autoSpaceDE/>
        <w:autoSpaceDN/>
        <w:bidi w:val="0"/>
        <w:jc w:val="both"/>
        <w:rPr>
          <w:rFonts w:hint="eastAsia" w:ascii="黑体" w:hAnsi="黑体" w:eastAsia="黑体" w:cs="黑体"/>
          <w:b w:val="0"/>
          <w:bCs w:val="0"/>
          <w:color w:val="auto"/>
          <w:spacing w:val="7"/>
          <w:position w:val="13"/>
          <w:sz w:val="24"/>
          <w:szCs w:val="24"/>
          <w:lang w:eastAsia="zh-CN"/>
        </w:rPr>
      </w:pPr>
      <w:r>
        <w:rPr>
          <w:rFonts w:hint="eastAsia" w:ascii="黑体" w:hAnsi="黑体" w:eastAsia="黑体" w:cs="黑体"/>
          <w:b w:val="0"/>
          <w:bCs w:val="0"/>
          <w:color w:val="auto"/>
          <w:spacing w:val="7"/>
          <w:position w:val="13"/>
          <w:sz w:val="24"/>
          <w:szCs w:val="24"/>
        </w:rPr>
        <w:t>(2)计算过程中，算术平均值保留2位小数(百分比亦取2位小数)，第三位小数四舍五入。</w:t>
      </w:r>
    </w:p>
    <w:p w14:paraId="0C30BC9C">
      <w:pPr>
        <w:pageBreakBefore w:val="0"/>
        <w:numPr>
          <w:ilvl w:val="0"/>
          <w:numId w:val="0"/>
        </w:numPr>
        <w:kinsoku w:val="0"/>
        <w:wordWrap w:val="0"/>
        <w:overflowPunct/>
        <w:topLinePunct w:val="0"/>
        <w:autoSpaceDE/>
        <w:autoSpaceDN/>
        <w:bidi w:val="0"/>
        <w:jc w:val="both"/>
        <w:rPr>
          <w:rFonts w:hint="eastAsia" w:ascii="黑体" w:hAnsi="黑体" w:eastAsia="黑体" w:cs="黑体"/>
          <w:b w:val="0"/>
          <w:bCs w:val="0"/>
          <w:color w:val="auto"/>
          <w:spacing w:val="7"/>
          <w:position w:val="13"/>
          <w:sz w:val="24"/>
          <w:szCs w:val="24"/>
          <w:lang w:eastAsia="zh-CN"/>
        </w:rPr>
      </w:pPr>
    </w:p>
    <w:p w14:paraId="50760B5C">
      <w:pPr>
        <w:pageBreakBefore w:val="0"/>
        <w:kinsoku w:val="0"/>
        <w:wordWrap w:val="0"/>
        <w:overflowPunct/>
        <w:topLinePunct w:val="0"/>
        <w:autoSpaceDE/>
        <w:autoSpaceDN/>
        <w:bidi w:val="0"/>
        <w:rPr>
          <w:rFonts w:hint="eastAsia" w:ascii="黑体" w:hAnsi="黑体" w:eastAsia="黑体" w:cs="黑体"/>
          <w:b/>
          <w:bCs/>
          <w:color w:val="auto"/>
          <w:spacing w:val="7"/>
          <w:position w:val="13"/>
          <w:sz w:val="34"/>
          <w:szCs w:val="34"/>
        </w:rPr>
      </w:pPr>
      <w:r>
        <w:rPr>
          <w:rFonts w:hint="eastAsia" w:ascii="黑体" w:hAnsi="黑体" w:eastAsia="黑体" w:cs="黑体"/>
          <w:b/>
          <w:bCs/>
          <w:color w:val="auto"/>
          <w:spacing w:val="7"/>
          <w:position w:val="13"/>
          <w:sz w:val="34"/>
          <w:szCs w:val="34"/>
        </w:rPr>
        <w:br w:type="page"/>
      </w:r>
    </w:p>
    <w:tbl>
      <w:tblPr>
        <w:tblStyle w:val="15"/>
        <w:tblpPr w:leftFromText="180" w:rightFromText="180" w:vertAnchor="text" w:horzAnchor="page" w:tblpX="1767" w:tblpY="301"/>
        <w:tblOverlap w:val="never"/>
        <w:tblW w:w="8360" w:type="dxa"/>
        <w:tblInd w:w="0" w:type="dxa"/>
        <w:tblLayout w:type="fixed"/>
        <w:tblCellMar>
          <w:top w:w="0" w:type="dxa"/>
          <w:left w:w="0" w:type="dxa"/>
          <w:bottom w:w="0" w:type="dxa"/>
          <w:right w:w="0" w:type="dxa"/>
        </w:tblCellMar>
      </w:tblPr>
      <w:tblGrid>
        <w:gridCol w:w="2286"/>
        <w:gridCol w:w="6074"/>
      </w:tblGrid>
      <w:tr w14:paraId="55248FDA">
        <w:tblPrEx>
          <w:tblCellMar>
            <w:top w:w="0" w:type="dxa"/>
            <w:left w:w="0" w:type="dxa"/>
            <w:bottom w:w="0" w:type="dxa"/>
            <w:right w:w="0" w:type="dxa"/>
          </w:tblCellMar>
        </w:tblPrEx>
        <w:trPr>
          <w:trHeight w:val="528" w:hRule="atLeast"/>
        </w:trPr>
        <w:tc>
          <w:tcPr>
            <w:tcW w:w="8360" w:type="dxa"/>
            <w:gridSpan w:val="2"/>
            <w:tcBorders>
              <w:top w:val="nil"/>
              <w:left w:val="nil"/>
              <w:bottom w:val="nil"/>
              <w:right w:val="nil"/>
            </w:tcBorders>
            <w:noWrap/>
            <w:tcMar>
              <w:top w:w="12" w:type="dxa"/>
              <w:left w:w="12" w:type="dxa"/>
              <w:right w:w="12" w:type="dxa"/>
            </w:tcMar>
            <w:vAlign w:val="center"/>
          </w:tcPr>
          <w:p w14:paraId="48000731">
            <w:pPr>
              <w:pStyle w:val="4"/>
              <w:pageBreakBefore w:val="0"/>
              <w:kinsoku w:val="0"/>
              <w:wordWrap w:val="0"/>
              <w:overflowPunct/>
              <w:topLinePunct w:val="0"/>
              <w:autoSpaceDE/>
              <w:autoSpaceDN/>
              <w:bidi w:val="0"/>
              <w:jc w:val="center"/>
              <w:rPr>
                <w:rFonts w:hint="eastAsia" w:ascii="黑体" w:hAnsi="黑体" w:eastAsia="黑体" w:cs="黑体"/>
                <w:b/>
                <w:i w:val="0"/>
                <w:color w:val="auto"/>
                <w:sz w:val="40"/>
                <w:szCs w:val="40"/>
                <w:highlight w:val="none"/>
                <w:u w:val="none"/>
              </w:rPr>
            </w:pPr>
            <w:r>
              <w:rPr>
                <w:rFonts w:hint="eastAsia" w:ascii="黑体" w:hAnsi="黑体" w:eastAsia="黑体" w:cs="黑体"/>
                <w:b/>
                <w:color w:val="auto"/>
                <w:sz w:val="32"/>
                <w:szCs w:val="32"/>
                <w:highlight w:val="none"/>
              </w:rPr>
              <w:br w:type="page"/>
            </w:r>
            <w:r>
              <w:rPr>
                <w:rFonts w:hint="eastAsia" w:ascii="黑体" w:hAnsi="黑体" w:eastAsia="黑体" w:cs="黑体"/>
                <w:b/>
                <w:color w:val="auto"/>
                <w:sz w:val="32"/>
                <w:szCs w:val="32"/>
                <w:highlight w:val="none"/>
              </w:rPr>
              <w:br w:type="page"/>
            </w:r>
            <w:r>
              <w:rPr>
                <w:rFonts w:hint="eastAsia" w:ascii="黑体" w:hAnsi="黑体" w:eastAsia="黑体" w:cs="黑体"/>
                <w:b/>
                <w:color w:val="auto"/>
                <w:sz w:val="32"/>
                <w:szCs w:val="32"/>
                <w:highlight w:val="none"/>
              </w:rPr>
              <w:br w:type="page"/>
            </w:r>
            <w:bookmarkStart w:id="30" w:name="_Toc13035"/>
            <w:bookmarkStart w:id="31" w:name="_Toc19151"/>
            <w:r>
              <w:rPr>
                <w:rFonts w:hint="eastAsia" w:ascii="黑体" w:hAnsi="黑体" w:eastAsia="黑体" w:cs="黑体"/>
                <w:b/>
                <w:i w:val="0"/>
                <w:color w:val="auto"/>
                <w:kern w:val="0"/>
                <w:sz w:val="32"/>
                <w:szCs w:val="32"/>
                <w:highlight w:val="none"/>
                <w:u w:val="none"/>
                <w:lang w:val="en-US" w:eastAsia="zh-CN" w:bidi="ar"/>
              </w:rPr>
              <w:t>磋商最终报价单</w:t>
            </w:r>
            <w:bookmarkEnd w:id="30"/>
            <w:bookmarkEnd w:id="31"/>
          </w:p>
        </w:tc>
      </w:tr>
      <w:tr w14:paraId="1DF1B2F5">
        <w:tblPrEx>
          <w:tblCellMar>
            <w:top w:w="0" w:type="dxa"/>
            <w:left w:w="0" w:type="dxa"/>
            <w:bottom w:w="0" w:type="dxa"/>
            <w:right w:w="0" w:type="dxa"/>
          </w:tblCellMar>
        </w:tblPrEx>
        <w:trPr>
          <w:trHeight w:val="594" w:hRule="atLeast"/>
        </w:trPr>
        <w:tc>
          <w:tcPr>
            <w:tcW w:w="8360" w:type="dxa"/>
            <w:gridSpan w:val="2"/>
            <w:tcBorders>
              <w:top w:val="nil"/>
              <w:left w:val="nil"/>
              <w:bottom w:val="nil"/>
              <w:right w:val="nil"/>
            </w:tcBorders>
            <w:noWrap w:val="0"/>
            <w:tcMar>
              <w:top w:w="12" w:type="dxa"/>
              <w:left w:w="12" w:type="dxa"/>
              <w:right w:w="12" w:type="dxa"/>
            </w:tcMar>
            <w:vAlign w:val="center"/>
          </w:tcPr>
          <w:p w14:paraId="633D3EA4">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项目名称：</w:t>
            </w:r>
          </w:p>
        </w:tc>
      </w:tr>
      <w:tr w14:paraId="38735787">
        <w:tblPrEx>
          <w:tblCellMar>
            <w:top w:w="0" w:type="dxa"/>
            <w:left w:w="0" w:type="dxa"/>
            <w:bottom w:w="0" w:type="dxa"/>
            <w:right w:w="0" w:type="dxa"/>
          </w:tblCellMar>
        </w:tblPrEx>
        <w:trPr>
          <w:trHeight w:val="441" w:hRule="atLeast"/>
        </w:trPr>
        <w:tc>
          <w:tcPr>
            <w:tcW w:w="8360" w:type="dxa"/>
            <w:gridSpan w:val="2"/>
            <w:tcBorders>
              <w:top w:val="nil"/>
              <w:left w:val="nil"/>
              <w:bottom w:val="nil"/>
              <w:right w:val="nil"/>
            </w:tcBorders>
            <w:noWrap/>
            <w:tcMar>
              <w:top w:w="12" w:type="dxa"/>
              <w:left w:w="12" w:type="dxa"/>
              <w:right w:w="12" w:type="dxa"/>
            </w:tcMar>
            <w:vAlign w:val="center"/>
          </w:tcPr>
          <w:p w14:paraId="7F0BDF44">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lang w:val="en-US"/>
              </w:rPr>
            </w:pPr>
            <w:r>
              <w:rPr>
                <w:rFonts w:hint="eastAsia" w:ascii="黑体" w:hAnsi="黑体" w:eastAsia="黑体" w:cs="黑体"/>
                <w:i w:val="0"/>
                <w:color w:val="auto"/>
                <w:kern w:val="0"/>
                <w:sz w:val="24"/>
                <w:szCs w:val="24"/>
                <w:highlight w:val="none"/>
                <w:u w:val="none"/>
                <w:lang w:val="en-US" w:eastAsia="zh-CN" w:bidi="ar"/>
              </w:rPr>
              <w:t>项目编号：</w:t>
            </w:r>
          </w:p>
        </w:tc>
      </w:tr>
      <w:tr w14:paraId="7A1C12A6">
        <w:tblPrEx>
          <w:tblCellMar>
            <w:top w:w="0" w:type="dxa"/>
            <w:left w:w="0" w:type="dxa"/>
            <w:bottom w:w="0" w:type="dxa"/>
            <w:right w:w="0" w:type="dxa"/>
          </w:tblCellMar>
        </w:tblPrEx>
        <w:trPr>
          <w:trHeight w:val="500" w:hRule="atLeast"/>
        </w:trPr>
        <w:tc>
          <w:tcPr>
            <w:tcW w:w="8360" w:type="dxa"/>
            <w:gridSpan w:val="2"/>
            <w:tcBorders>
              <w:top w:val="nil"/>
              <w:left w:val="nil"/>
              <w:bottom w:val="nil"/>
              <w:right w:val="nil"/>
            </w:tcBorders>
            <w:noWrap w:val="0"/>
            <w:tcMar>
              <w:top w:w="12" w:type="dxa"/>
              <w:left w:w="12" w:type="dxa"/>
              <w:right w:w="12" w:type="dxa"/>
            </w:tcMar>
            <w:vAlign w:val="center"/>
          </w:tcPr>
          <w:p w14:paraId="25E80406">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磋商时间：  年  月  日  时（北京时间）</w:t>
            </w:r>
          </w:p>
        </w:tc>
      </w:tr>
      <w:tr w14:paraId="34FAAE18">
        <w:tblPrEx>
          <w:tblCellMar>
            <w:top w:w="0" w:type="dxa"/>
            <w:left w:w="0" w:type="dxa"/>
            <w:bottom w:w="0" w:type="dxa"/>
            <w:right w:w="0" w:type="dxa"/>
          </w:tblCellMar>
        </w:tblPrEx>
        <w:trPr>
          <w:trHeight w:val="562" w:hRule="atLeast"/>
        </w:trPr>
        <w:tc>
          <w:tcPr>
            <w:tcW w:w="8360" w:type="dxa"/>
            <w:gridSpan w:val="2"/>
            <w:tcBorders>
              <w:top w:val="nil"/>
              <w:left w:val="nil"/>
              <w:bottom w:val="nil"/>
              <w:right w:val="nil"/>
            </w:tcBorders>
            <w:noWrap/>
            <w:tcMar>
              <w:top w:w="12" w:type="dxa"/>
              <w:left w:w="12" w:type="dxa"/>
              <w:right w:w="12" w:type="dxa"/>
            </w:tcMar>
            <w:vAlign w:val="center"/>
          </w:tcPr>
          <w:p w14:paraId="181753E7">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lang w:val="en-US"/>
              </w:rPr>
            </w:pPr>
            <w:r>
              <w:rPr>
                <w:rFonts w:hint="eastAsia" w:ascii="黑体" w:hAnsi="黑体" w:eastAsia="黑体" w:cs="黑体"/>
                <w:i w:val="0"/>
                <w:color w:val="auto"/>
                <w:kern w:val="0"/>
                <w:sz w:val="24"/>
                <w:szCs w:val="24"/>
                <w:highlight w:val="none"/>
                <w:u w:val="none"/>
                <w:lang w:val="en-US" w:eastAsia="zh-CN" w:bidi="ar"/>
              </w:rPr>
              <w:t>磋商地点:</w:t>
            </w:r>
          </w:p>
        </w:tc>
      </w:tr>
      <w:tr w14:paraId="529F7DD3">
        <w:tblPrEx>
          <w:tblCellMar>
            <w:top w:w="0" w:type="dxa"/>
            <w:left w:w="0" w:type="dxa"/>
            <w:bottom w:w="0" w:type="dxa"/>
            <w:right w:w="0" w:type="dxa"/>
          </w:tblCellMar>
        </w:tblPrEx>
        <w:trPr>
          <w:trHeight w:val="1046" w:hRule="atLeast"/>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7F3E77">
            <w:pPr>
              <w:keepNext w:val="0"/>
              <w:keepLines w:val="0"/>
              <w:pageBreakBefore w:val="0"/>
              <w:widowControl/>
              <w:suppressLineNumbers w:val="0"/>
              <w:kinsoku w:val="0"/>
              <w:wordWrap w:val="0"/>
              <w:overflowPunct/>
              <w:topLinePunct w:val="0"/>
              <w:autoSpaceDE/>
              <w:autoSpaceDN/>
              <w:bidi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供应商：</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14:paraId="6A18C07D">
            <w:pPr>
              <w:pageBreakBefore w:val="0"/>
              <w:kinsoku w:val="0"/>
              <w:wordWrap w:val="0"/>
              <w:overflowPunct/>
              <w:topLinePunct w:val="0"/>
              <w:autoSpaceDE/>
              <w:autoSpaceDN/>
              <w:bidi w:val="0"/>
              <w:rPr>
                <w:rFonts w:hint="eastAsia" w:ascii="黑体" w:hAnsi="黑体" w:eastAsia="黑体" w:cs="黑体"/>
                <w:i w:val="0"/>
                <w:color w:val="auto"/>
                <w:sz w:val="24"/>
                <w:szCs w:val="24"/>
                <w:highlight w:val="none"/>
                <w:u w:val="none"/>
              </w:rPr>
            </w:pPr>
          </w:p>
        </w:tc>
      </w:tr>
      <w:tr w14:paraId="73D4B649">
        <w:tblPrEx>
          <w:tblCellMar>
            <w:top w:w="0" w:type="dxa"/>
            <w:left w:w="0" w:type="dxa"/>
            <w:bottom w:w="0" w:type="dxa"/>
            <w:right w:w="0" w:type="dxa"/>
          </w:tblCellMar>
        </w:tblPrEx>
        <w:trPr>
          <w:trHeight w:val="852" w:hRule="atLeast"/>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3B76DF">
            <w:pPr>
              <w:keepNext w:val="0"/>
              <w:keepLines w:val="0"/>
              <w:pageBreakBefore w:val="0"/>
              <w:widowControl/>
              <w:suppressLineNumbers w:val="0"/>
              <w:kinsoku w:val="0"/>
              <w:wordWrap w:val="0"/>
              <w:overflowPunct/>
              <w:topLinePunct w:val="0"/>
              <w:autoSpaceDE/>
              <w:autoSpaceDN/>
              <w:bidi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磋商总报价</w:t>
            </w:r>
          </w:p>
        </w:tc>
        <w:tc>
          <w:tcPr>
            <w:tcW w:w="607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14:paraId="1420D12F">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小写：大写：</w:t>
            </w:r>
          </w:p>
        </w:tc>
      </w:tr>
      <w:tr w14:paraId="3A64F5C8">
        <w:tblPrEx>
          <w:tblCellMar>
            <w:top w:w="0" w:type="dxa"/>
            <w:left w:w="0" w:type="dxa"/>
            <w:bottom w:w="0" w:type="dxa"/>
            <w:right w:w="0" w:type="dxa"/>
          </w:tblCellMar>
        </w:tblPrEx>
        <w:trPr>
          <w:trHeight w:val="783" w:hRule="atLeast"/>
        </w:trPr>
        <w:tc>
          <w:tcPr>
            <w:tcW w:w="22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4ED940">
            <w:pPr>
              <w:keepNext w:val="0"/>
              <w:keepLines w:val="0"/>
              <w:pageBreakBefore w:val="0"/>
              <w:widowControl/>
              <w:suppressLineNumbers w:val="0"/>
              <w:kinsoku w:val="0"/>
              <w:wordWrap w:val="0"/>
              <w:overflowPunct/>
              <w:topLinePunct w:val="0"/>
              <w:autoSpaceDE/>
              <w:autoSpaceDN/>
              <w:bidi w:val="0"/>
              <w:jc w:val="center"/>
              <w:textAlignment w:val="center"/>
              <w:rPr>
                <w:rFonts w:hint="eastAsia" w:ascii="黑体" w:hAnsi="黑体" w:eastAsia="黑体" w:cs="黑体"/>
                <w:i w:val="0"/>
                <w:color w:val="auto"/>
                <w:sz w:val="24"/>
                <w:szCs w:val="24"/>
                <w:highlight w:val="none"/>
                <w:u w:val="none"/>
                <w:lang w:val="en-US"/>
              </w:rPr>
            </w:pPr>
            <w:r>
              <w:rPr>
                <w:rFonts w:hint="eastAsia" w:ascii="黑体" w:hAnsi="黑体" w:eastAsia="黑体" w:cs="黑体"/>
                <w:i w:val="0"/>
                <w:color w:val="auto"/>
                <w:kern w:val="0"/>
                <w:sz w:val="24"/>
                <w:szCs w:val="24"/>
                <w:highlight w:val="none"/>
                <w:u w:val="none"/>
                <w:lang w:val="en-US" w:eastAsia="zh-CN" w:bidi="ar"/>
              </w:rPr>
              <w:t>服务期限/完成期限</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E4123B7">
            <w:pPr>
              <w:pageBreakBefore w:val="0"/>
              <w:kinsoku w:val="0"/>
              <w:wordWrap w:val="0"/>
              <w:overflowPunct/>
              <w:topLinePunct w:val="0"/>
              <w:autoSpaceDE/>
              <w:autoSpaceDN/>
              <w:bidi w:val="0"/>
              <w:jc w:val="left"/>
              <w:rPr>
                <w:rFonts w:hint="eastAsia" w:ascii="黑体" w:hAnsi="黑体" w:eastAsia="黑体" w:cs="黑体"/>
                <w:i w:val="0"/>
                <w:color w:val="auto"/>
                <w:sz w:val="24"/>
                <w:szCs w:val="24"/>
                <w:highlight w:val="none"/>
                <w:u w:val="none"/>
                <w:lang w:val="en-US" w:eastAsia="zh-CN"/>
              </w:rPr>
            </w:pPr>
          </w:p>
        </w:tc>
      </w:tr>
      <w:tr w14:paraId="79524F3F">
        <w:tblPrEx>
          <w:tblCellMar>
            <w:top w:w="0" w:type="dxa"/>
            <w:left w:w="0" w:type="dxa"/>
            <w:bottom w:w="0" w:type="dxa"/>
            <w:right w:w="0" w:type="dxa"/>
          </w:tblCellMar>
        </w:tblPrEx>
        <w:trPr>
          <w:trHeight w:val="1133" w:hRule="atLeast"/>
        </w:trPr>
        <w:tc>
          <w:tcPr>
            <w:tcW w:w="22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3E715">
            <w:pPr>
              <w:keepNext w:val="0"/>
              <w:keepLines w:val="0"/>
              <w:pageBreakBefore w:val="0"/>
              <w:widowControl/>
              <w:suppressLineNumbers w:val="0"/>
              <w:kinsoku w:val="0"/>
              <w:wordWrap w:val="0"/>
              <w:overflowPunct/>
              <w:topLinePunct w:val="0"/>
              <w:autoSpaceDE/>
              <w:autoSpaceDN/>
              <w:bidi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磋商有效期</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DC9BF3">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single"/>
              </w:rPr>
            </w:pPr>
            <w:r>
              <w:rPr>
                <w:rFonts w:hint="eastAsia" w:ascii="黑体" w:hAnsi="黑体" w:eastAsia="黑体" w:cs="黑体"/>
                <w:i w:val="0"/>
                <w:color w:val="auto"/>
                <w:kern w:val="0"/>
                <w:sz w:val="24"/>
                <w:szCs w:val="24"/>
                <w:highlight w:val="none"/>
                <w:u w:val="none"/>
                <w:lang w:val="en-US" w:eastAsia="zh-CN" w:bidi="ar"/>
              </w:rPr>
              <w:t>日历日</w:t>
            </w:r>
          </w:p>
        </w:tc>
      </w:tr>
      <w:tr w14:paraId="2295CDF8">
        <w:tblPrEx>
          <w:tblCellMar>
            <w:top w:w="0" w:type="dxa"/>
            <w:left w:w="0" w:type="dxa"/>
            <w:bottom w:w="0" w:type="dxa"/>
            <w:right w:w="0" w:type="dxa"/>
          </w:tblCellMar>
        </w:tblPrEx>
        <w:trPr>
          <w:trHeight w:val="2141" w:hRule="atLeast"/>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CF08C5">
            <w:pPr>
              <w:keepNext w:val="0"/>
              <w:keepLines w:val="0"/>
              <w:pageBreakBefore w:val="0"/>
              <w:widowControl/>
              <w:suppressLineNumbers w:val="0"/>
              <w:kinsoku w:val="0"/>
              <w:wordWrap w:val="0"/>
              <w:overflowPunct/>
              <w:topLinePunct w:val="0"/>
              <w:autoSpaceDE/>
              <w:autoSpaceDN/>
              <w:bidi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承诺：</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14:paraId="6A1DD3CC">
            <w:pPr>
              <w:pageBreakBefore w:val="0"/>
              <w:kinsoku w:val="0"/>
              <w:wordWrap w:val="0"/>
              <w:overflowPunct/>
              <w:topLinePunct w:val="0"/>
              <w:autoSpaceDE/>
              <w:autoSpaceDN/>
              <w:bidi w:val="0"/>
              <w:rPr>
                <w:rFonts w:hint="eastAsia" w:ascii="黑体" w:hAnsi="黑体" w:eastAsia="黑体" w:cs="黑体"/>
                <w:i w:val="0"/>
                <w:color w:val="auto"/>
                <w:sz w:val="24"/>
                <w:szCs w:val="24"/>
                <w:highlight w:val="none"/>
                <w:u w:val="none"/>
              </w:rPr>
            </w:pPr>
          </w:p>
        </w:tc>
      </w:tr>
      <w:tr w14:paraId="099E8EB0">
        <w:tblPrEx>
          <w:tblCellMar>
            <w:top w:w="0" w:type="dxa"/>
            <w:left w:w="0" w:type="dxa"/>
            <w:bottom w:w="0" w:type="dxa"/>
            <w:right w:w="0" w:type="dxa"/>
          </w:tblCellMar>
        </w:tblPrEx>
        <w:trPr>
          <w:trHeight w:val="604" w:hRule="atLeast"/>
        </w:trPr>
        <w:tc>
          <w:tcPr>
            <w:tcW w:w="2286" w:type="dxa"/>
            <w:tcBorders>
              <w:top w:val="nil"/>
              <w:left w:val="nil"/>
              <w:bottom w:val="nil"/>
              <w:right w:val="nil"/>
            </w:tcBorders>
            <w:noWrap/>
            <w:tcMar>
              <w:top w:w="12" w:type="dxa"/>
              <w:left w:w="12" w:type="dxa"/>
              <w:right w:w="12" w:type="dxa"/>
            </w:tcMar>
            <w:vAlign w:val="center"/>
          </w:tcPr>
          <w:p w14:paraId="511A9ACE">
            <w:pPr>
              <w:pageBreakBefore w:val="0"/>
              <w:kinsoku w:val="0"/>
              <w:wordWrap w:val="0"/>
              <w:overflowPunct/>
              <w:topLinePunct w:val="0"/>
              <w:autoSpaceDE/>
              <w:autoSpaceDN/>
              <w:bidi w:val="0"/>
              <w:rPr>
                <w:rFonts w:hint="eastAsia" w:ascii="黑体" w:hAnsi="黑体" w:eastAsia="黑体" w:cs="黑体"/>
                <w:i w:val="0"/>
                <w:color w:val="auto"/>
                <w:sz w:val="24"/>
                <w:szCs w:val="24"/>
                <w:highlight w:val="none"/>
                <w:u w:val="none"/>
              </w:rPr>
            </w:pPr>
          </w:p>
        </w:tc>
        <w:tc>
          <w:tcPr>
            <w:tcW w:w="6074" w:type="dxa"/>
            <w:tcBorders>
              <w:top w:val="nil"/>
              <w:left w:val="nil"/>
              <w:bottom w:val="nil"/>
              <w:right w:val="nil"/>
            </w:tcBorders>
            <w:noWrap/>
            <w:tcMar>
              <w:top w:w="12" w:type="dxa"/>
              <w:left w:w="12" w:type="dxa"/>
              <w:right w:w="12" w:type="dxa"/>
            </w:tcMar>
            <w:vAlign w:val="center"/>
          </w:tcPr>
          <w:p w14:paraId="14FF8753">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供应商：（加盖公章）</w:t>
            </w:r>
          </w:p>
        </w:tc>
      </w:tr>
      <w:tr w14:paraId="2F40394C">
        <w:tblPrEx>
          <w:tblCellMar>
            <w:top w:w="0" w:type="dxa"/>
            <w:left w:w="0" w:type="dxa"/>
            <w:bottom w:w="0" w:type="dxa"/>
            <w:right w:w="0" w:type="dxa"/>
          </w:tblCellMar>
        </w:tblPrEx>
        <w:trPr>
          <w:trHeight w:val="552" w:hRule="atLeast"/>
        </w:trPr>
        <w:tc>
          <w:tcPr>
            <w:tcW w:w="2286" w:type="dxa"/>
            <w:tcBorders>
              <w:top w:val="nil"/>
              <w:left w:val="nil"/>
              <w:bottom w:val="nil"/>
              <w:right w:val="nil"/>
            </w:tcBorders>
            <w:noWrap/>
            <w:tcMar>
              <w:top w:w="12" w:type="dxa"/>
              <w:left w:w="12" w:type="dxa"/>
              <w:right w:w="12" w:type="dxa"/>
            </w:tcMar>
            <w:vAlign w:val="center"/>
          </w:tcPr>
          <w:p w14:paraId="5EC073B1">
            <w:pPr>
              <w:pageBreakBefore w:val="0"/>
              <w:kinsoku w:val="0"/>
              <w:wordWrap w:val="0"/>
              <w:overflowPunct/>
              <w:topLinePunct w:val="0"/>
              <w:autoSpaceDE/>
              <w:autoSpaceDN/>
              <w:bidi w:val="0"/>
              <w:rPr>
                <w:rFonts w:hint="eastAsia" w:ascii="黑体" w:hAnsi="黑体" w:eastAsia="黑体" w:cs="黑体"/>
                <w:i w:val="0"/>
                <w:color w:val="auto"/>
                <w:sz w:val="24"/>
                <w:szCs w:val="24"/>
                <w:highlight w:val="none"/>
                <w:u w:val="none"/>
              </w:rPr>
            </w:pPr>
          </w:p>
        </w:tc>
        <w:tc>
          <w:tcPr>
            <w:tcW w:w="6074" w:type="dxa"/>
            <w:tcBorders>
              <w:top w:val="nil"/>
              <w:left w:val="nil"/>
              <w:bottom w:val="nil"/>
              <w:right w:val="nil"/>
            </w:tcBorders>
            <w:noWrap/>
            <w:tcMar>
              <w:top w:w="12" w:type="dxa"/>
              <w:left w:w="12" w:type="dxa"/>
              <w:right w:w="12" w:type="dxa"/>
            </w:tcMar>
            <w:vAlign w:val="center"/>
          </w:tcPr>
          <w:p w14:paraId="253C75D3">
            <w:pPr>
              <w:keepNext w:val="0"/>
              <w:keepLines w:val="0"/>
              <w:pageBreakBefore w:val="0"/>
              <w:widowControl/>
              <w:suppressLineNumbers w:val="0"/>
              <w:kinsoku w:val="0"/>
              <w:wordWrap w:val="0"/>
              <w:overflowPunct/>
              <w:topLinePunct w:val="0"/>
              <w:autoSpaceDE/>
              <w:autoSpaceDN/>
              <w:bidi w:val="0"/>
              <w:jc w:val="left"/>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法定代表人或其授权委托人：（签字）</w:t>
            </w:r>
          </w:p>
        </w:tc>
      </w:tr>
      <w:tr w14:paraId="7EE0702B">
        <w:tblPrEx>
          <w:tblCellMar>
            <w:top w:w="0" w:type="dxa"/>
            <w:left w:w="0" w:type="dxa"/>
            <w:bottom w:w="0" w:type="dxa"/>
            <w:right w:w="0" w:type="dxa"/>
          </w:tblCellMar>
        </w:tblPrEx>
        <w:trPr>
          <w:trHeight w:val="479" w:hRule="atLeast"/>
        </w:trPr>
        <w:tc>
          <w:tcPr>
            <w:tcW w:w="2286" w:type="dxa"/>
            <w:tcBorders>
              <w:top w:val="nil"/>
              <w:left w:val="nil"/>
              <w:bottom w:val="nil"/>
              <w:right w:val="nil"/>
            </w:tcBorders>
            <w:noWrap/>
            <w:tcMar>
              <w:top w:w="12" w:type="dxa"/>
              <w:left w:w="12" w:type="dxa"/>
              <w:right w:w="12" w:type="dxa"/>
            </w:tcMar>
            <w:vAlign w:val="center"/>
          </w:tcPr>
          <w:p w14:paraId="29CA3375">
            <w:pPr>
              <w:pageBreakBefore w:val="0"/>
              <w:kinsoku w:val="0"/>
              <w:wordWrap w:val="0"/>
              <w:overflowPunct/>
              <w:topLinePunct w:val="0"/>
              <w:autoSpaceDE/>
              <w:autoSpaceDN/>
              <w:bidi w:val="0"/>
              <w:rPr>
                <w:rFonts w:hint="eastAsia" w:ascii="黑体" w:hAnsi="黑体" w:eastAsia="黑体" w:cs="黑体"/>
                <w:i w:val="0"/>
                <w:color w:val="auto"/>
                <w:sz w:val="24"/>
                <w:szCs w:val="24"/>
                <w:highlight w:val="none"/>
                <w:u w:val="none"/>
              </w:rPr>
            </w:pPr>
          </w:p>
        </w:tc>
        <w:tc>
          <w:tcPr>
            <w:tcW w:w="6074" w:type="dxa"/>
            <w:tcBorders>
              <w:top w:val="nil"/>
              <w:left w:val="nil"/>
              <w:bottom w:val="nil"/>
              <w:right w:val="nil"/>
            </w:tcBorders>
            <w:noWrap/>
            <w:tcMar>
              <w:top w:w="12" w:type="dxa"/>
              <w:left w:w="12" w:type="dxa"/>
              <w:right w:w="12" w:type="dxa"/>
            </w:tcMar>
            <w:vAlign w:val="center"/>
          </w:tcPr>
          <w:p w14:paraId="5181D99C">
            <w:pPr>
              <w:keepNext w:val="0"/>
              <w:keepLines w:val="0"/>
              <w:pageBreakBefore w:val="0"/>
              <w:widowControl/>
              <w:suppressLineNumbers w:val="0"/>
              <w:kinsoku w:val="0"/>
              <w:wordWrap w:val="0"/>
              <w:overflowPunct/>
              <w:topLinePunct w:val="0"/>
              <w:autoSpaceDE/>
              <w:autoSpaceDN/>
              <w:bidi w:val="0"/>
              <w:ind w:firstLine="480" w:firstLineChars="200"/>
              <w:jc w:val="left"/>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i w:val="0"/>
                <w:color w:val="auto"/>
                <w:kern w:val="0"/>
                <w:sz w:val="24"/>
                <w:szCs w:val="24"/>
                <w:highlight w:val="none"/>
                <w:u w:val="none"/>
                <w:lang w:val="en-US" w:eastAsia="zh-CN" w:bidi="ar"/>
              </w:rPr>
              <w:t>年  月  日</w:t>
            </w:r>
          </w:p>
        </w:tc>
      </w:tr>
    </w:tbl>
    <w:p w14:paraId="405F5A51">
      <w:pPr>
        <w:pageBreakBefore w:val="0"/>
        <w:kinsoku w:val="0"/>
        <w:wordWrap w:val="0"/>
        <w:overflowPunct/>
        <w:topLinePunct w:val="0"/>
        <w:autoSpaceDE/>
        <w:autoSpaceDN/>
        <w:bidi w:val="0"/>
        <w:rPr>
          <w:rFonts w:hint="eastAsia" w:ascii="黑体" w:hAnsi="黑体" w:eastAsia="黑体" w:cs="黑体"/>
          <w:b/>
          <w:bCs/>
          <w:snapToGrid w:val="0"/>
          <w:color w:val="auto"/>
          <w:spacing w:val="4"/>
          <w:kern w:val="0"/>
          <w:sz w:val="34"/>
          <w:szCs w:val="34"/>
          <w:lang w:val="en-US" w:eastAsia="zh-CN" w:bidi="ar-SA"/>
        </w:rPr>
      </w:pPr>
      <w:r>
        <w:rPr>
          <w:rFonts w:hint="eastAsia" w:ascii="黑体" w:hAnsi="黑体" w:eastAsia="黑体" w:cs="黑体"/>
          <w:b/>
          <w:bCs/>
          <w:snapToGrid w:val="0"/>
          <w:color w:val="auto"/>
          <w:spacing w:val="4"/>
          <w:kern w:val="0"/>
          <w:sz w:val="34"/>
          <w:szCs w:val="34"/>
          <w:lang w:val="en-US" w:eastAsia="zh-CN" w:bidi="ar-SA"/>
        </w:rPr>
        <w:br w:type="page"/>
      </w:r>
    </w:p>
    <w:p w14:paraId="3697BF11">
      <w:pPr>
        <w:pageBreakBefore w:val="0"/>
        <w:kinsoku w:val="0"/>
        <w:wordWrap w:val="0"/>
        <w:overflowPunct/>
        <w:topLinePunct w:val="0"/>
        <w:autoSpaceDE/>
        <w:autoSpaceDN/>
        <w:bidi w:val="0"/>
        <w:spacing w:line="360" w:lineRule="auto"/>
        <w:jc w:val="center"/>
        <w:rPr>
          <w:rFonts w:hint="eastAsia" w:ascii="黑体" w:hAnsi="黑体" w:eastAsia="黑体" w:cs="黑体"/>
          <w:color w:val="auto"/>
          <w:sz w:val="34"/>
          <w:szCs w:val="34"/>
        </w:rPr>
      </w:pPr>
      <w:r>
        <w:rPr>
          <w:rFonts w:hint="eastAsia" w:ascii="黑体" w:hAnsi="黑体" w:eastAsia="黑体" w:cs="黑体"/>
          <w:b/>
          <w:bCs/>
          <w:snapToGrid w:val="0"/>
          <w:color w:val="auto"/>
          <w:spacing w:val="4"/>
          <w:kern w:val="0"/>
          <w:sz w:val="34"/>
          <w:szCs w:val="34"/>
          <w:lang w:val="en-US" w:eastAsia="zh-CN" w:bidi="ar-SA"/>
        </w:rPr>
        <w:t>巴楚县产业发展促进就业资助-特色产品推广和品牌营销项目</w:t>
      </w:r>
      <w:r>
        <w:rPr>
          <w:rFonts w:hint="eastAsia" w:ascii="黑体" w:hAnsi="黑体" w:eastAsia="黑体" w:cs="黑体"/>
          <w:b/>
          <w:bCs/>
          <w:color w:val="auto"/>
          <w:spacing w:val="4"/>
          <w:sz w:val="34"/>
          <w:szCs w:val="34"/>
        </w:rPr>
        <w:t>竞争性磋商文件</w:t>
      </w:r>
    </w:p>
    <w:p w14:paraId="5D775884">
      <w:pPr>
        <w:pageBreakBefore w:val="0"/>
        <w:kinsoku w:val="0"/>
        <w:wordWrap w:val="0"/>
        <w:overflowPunct/>
        <w:topLinePunct w:val="0"/>
        <w:autoSpaceDE/>
        <w:autoSpaceDN/>
        <w:bidi w:val="0"/>
        <w:spacing w:line="298" w:lineRule="auto"/>
        <w:rPr>
          <w:rFonts w:hint="eastAsia" w:ascii="黑体" w:hAnsi="黑体" w:eastAsia="黑体" w:cs="黑体"/>
          <w:color w:val="auto"/>
          <w:sz w:val="21"/>
        </w:rPr>
      </w:pPr>
    </w:p>
    <w:p w14:paraId="44E78DC9">
      <w:pPr>
        <w:pageBreakBefore w:val="0"/>
        <w:kinsoku w:val="0"/>
        <w:wordWrap w:val="0"/>
        <w:overflowPunct/>
        <w:topLinePunct w:val="0"/>
        <w:autoSpaceDE/>
        <w:autoSpaceDN/>
        <w:bidi w:val="0"/>
        <w:spacing w:line="298" w:lineRule="auto"/>
        <w:rPr>
          <w:rFonts w:hint="eastAsia" w:ascii="黑体" w:hAnsi="黑体" w:eastAsia="黑体" w:cs="黑体"/>
          <w:color w:val="auto"/>
          <w:sz w:val="21"/>
        </w:rPr>
      </w:pPr>
    </w:p>
    <w:p w14:paraId="46B9F11D">
      <w:pPr>
        <w:pageBreakBefore w:val="0"/>
        <w:kinsoku w:val="0"/>
        <w:wordWrap w:val="0"/>
        <w:overflowPunct/>
        <w:topLinePunct w:val="0"/>
        <w:autoSpaceDE/>
        <w:autoSpaceDN/>
        <w:bidi w:val="0"/>
        <w:spacing w:line="299" w:lineRule="auto"/>
        <w:rPr>
          <w:rFonts w:hint="eastAsia" w:ascii="黑体" w:hAnsi="黑体" w:eastAsia="黑体" w:cs="黑体"/>
          <w:color w:val="auto"/>
          <w:sz w:val="21"/>
        </w:rPr>
      </w:pPr>
    </w:p>
    <w:p w14:paraId="1F2DDECB">
      <w:pPr>
        <w:pageBreakBefore w:val="0"/>
        <w:kinsoku w:val="0"/>
        <w:wordWrap w:val="0"/>
        <w:overflowPunct/>
        <w:topLinePunct w:val="0"/>
        <w:autoSpaceDE/>
        <w:autoSpaceDN/>
        <w:bidi w:val="0"/>
        <w:spacing w:line="299" w:lineRule="auto"/>
        <w:rPr>
          <w:rFonts w:hint="eastAsia" w:ascii="黑体" w:hAnsi="黑体" w:eastAsia="黑体" w:cs="黑体"/>
          <w:color w:val="auto"/>
          <w:sz w:val="21"/>
        </w:rPr>
      </w:pPr>
    </w:p>
    <w:p w14:paraId="5810BDDE">
      <w:pPr>
        <w:pStyle w:val="7"/>
        <w:pageBreakBefore w:val="0"/>
        <w:kinsoku w:val="0"/>
        <w:wordWrap w:val="0"/>
        <w:overflowPunct/>
        <w:topLinePunct w:val="0"/>
        <w:autoSpaceDE/>
        <w:autoSpaceDN/>
        <w:bidi w:val="0"/>
        <w:spacing w:before="91" w:line="624" w:lineRule="exact"/>
        <w:jc w:val="center"/>
        <w:rPr>
          <w:rFonts w:hint="eastAsia" w:ascii="黑体" w:hAnsi="黑体" w:eastAsia="黑体" w:cs="黑体"/>
          <w:b/>
          <w:bCs/>
          <w:color w:val="auto"/>
          <w:spacing w:val="-6"/>
          <w:position w:val="9"/>
          <w:sz w:val="28"/>
          <w:szCs w:val="28"/>
        </w:rPr>
      </w:pPr>
    </w:p>
    <w:p w14:paraId="217299C3">
      <w:pPr>
        <w:pStyle w:val="7"/>
        <w:pageBreakBefore w:val="0"/>
        <w:kinsoku w:val="0"/>
        <w:wordWrap w:val="0"/>
        <w:overflowPunct/>
        <w:topLinePunct w:val="0"/>
        <w:autoSpaceDE/>
        <w:autoSpaceDN/>
        <w:bidi w:val="0"/>
        <w:spacing w:before="91" w:line="624" w:lineRule="exact"/>
        <w:jc w:val="center"/>
        <w:rPr>
          <w:rFonts w:hint="eastAsia" w:ascii="黑体" w:hAnsi="黑体" w:eastAsia="黑体" w:cs="黑体"/>
          <w:color w:val="auto"/>
          <w:sz w:val="32"/>
          <w:szCs w:val="32"/>
          <w:lang w:val="en-US" w:eastAsia="zh-CN"/>
        </w:rPr>
      </w:pPr>
      <w:r>
        <w:rPr>
          <w:rFonts w:hint="eastAsia" w:ascii="黑体" w:hAnsi="黑体" w:eastAsia="黑体" w:cs="黑体"/>
          <w:b/>
          <w:bCs/>
          <w:color w:val="auto"/>
          <w:spacing w:val="-6"/>
          <w:position w:val="9"/>
          <w:sz w:val="32"/>
          <w:szCs w:val="32"/>
        </w:rPr>
        <w:t>项目编号：</w:t>
      </w:r>
      <w:r>
        <w:rPr>
          <w:rFonts w:hint="eastAsia" w:ascii="黑体" w:hAnsi="黑体" w:eastAsia="黑体" w:cs="黑体"/>
          <w:b/>
          <w:bCs/>
          <w:color w:val="auto"/>
          <w:spacing w:val="-6"/>
          <w:position w:val="9"/>
          <w:sz w:val="32"/>
          <w:szCs w:val="32"/>
          <w:lang w:eastAsia="zh-CN"/>
        </w:rPr>
        <w:t>ZBGJBCX(CS)2024-04</w:t>
      </w:r>
    </w:p>
    <w:p w14:paraId="5D8C58F5">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02CEBF9D">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15320C65">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2616B6CF">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2998B227">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01D38CFB">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1AB9566B">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3C0ADD90">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7E937452">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345903AB">
      <w:pPr>
        <w:pageBreakBefore w:val="0"/>
        <w:kinsoku w:val="0"/>
        <w:wordWrap w:val="0"/>
        <w:overflowPunct/>
        <w:topLinePunct w:val="0"/>
        <w:autoSpaceDE/>
        <w:autoSpaceDN/>
        <w:bidi w:val="0"/>
        <w:spacing w:line="247" w:lineRule="auto"/>
        <w:rPr>
          <w:rFonts w:hint="eastAsia" w:ascii="黑体" w:hAnsi="黑体" w:eastAsia="黑体" w:cs="黑体"/>
          <w:color w:val="auto"/>
          <w:sz w:val="21"/>
        </w:rPr>
      </w:pPr>
    </w:p>
    <w:p w14:paraId="6B16B99F">
      <w:pPr>
        <w:pStyle w:val="7"/>
        <w:pageBreakBefore w:val="0"/>
        <w:kinsoku w:val="0"/>
        <w:wordWrap w:val="0"/>
        <w:overflowPunct/>
        <w:topLinePunct w:val="0"/>
        <w:autoSpaceDE/>
        <w:autoSpaceDN/>
        <w:bidi w:val="0"/>
        <w:spacing w:before="111" w:line="228" w:lineRule="auto"/>
        <w:jc w:val="center"/>
        <w:rPr>
          <w:rFonts w:hint="eastAsia" w:ascii="黑体" w:hAnsi="黑体" w:eastAsia="黑体" w:cs="黑体"/>
          <w:color w:val="auto"/>
          <w:sz w:val="34"/>
          <w:szCs w:val="34"/>
        </w:rPr>
      </w:pPr>
      <w:r>
        <w:rPr>
          <w:rFonts w:hint="eastAsia" w:ascii="黑体" w:hAnsi="黑体" w:eastAsia="黑体" w:cs="黑体"/>
          <w:b/>
          <w:bCs/>
          <w:color w:val="auto"/>
          <w:spacing w:val="-10"/>
          <w:sz w:val="34"/>
          <w:szCs w:val="34"/>
        </w:rPr>
        <w:t>第三册</w:t>
      </w:r>
    </w:p>
    <w:p w14:paraId="2215FA9B">
      <w:pPr>
        <w:pageBreakBefore w:val="0"/>
        <w:kinsoku w:val="0"/>
        <w:wordWrap w:val="0"/>
        <w:overflowPunct/>
        <w:topLinePunct w:val="0"/>
        <w:autoSpaceDE/>
        <w:autoSpaceDN/>
        <w:bidi w:val="0"/>
        <w:spacing w:line="253" w:lineRule="auto"/>
        <w:rPr>
          <w:rFonts w:hint="eastAsia" w:ascii="黑体" w:hAnsi="黑体" w:eastAsia="黑体" w:cs="黑体"/>
          <w:color w:val="auto"/>
          <w:sz w:val="21"/>
        </w:rPr>
      </w:pPr>
    </w:p>
    <w:p w14:paraId="3F449419">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70BBDE94">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231C227F">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77B5782E">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44759C67">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6C414EB8">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526158DC">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382B2029">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6126B122">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0A8CB059">
      <w:pPr>
        <w:pageBreakBefore w:val="0"/>
        <w:kinsoku w:val="0"/>
        <w:wordWrap w:val="0"/>
        <w:overflowPunct/>
        <w:topLinePunct w:val="0"/>
        <w:autoSpaceDE/>
        <w:autoSpaceDN/>
        <w:bidi w:val="0"/>
        <w:spacing w:line="254" w:lineRule="auto"/>
        <w:rPr>
          <w:rFonts w:hint="eastAsia" w:ascii="黑体" w:hAnsi="黑体" w:eastAsia="黑体" w:cs="黑体"/>
          <w:color w:val="auto"/>
          <w:sz w:val="21"/>
        </w:rPr>
      </w:pPr>
    </w:p>
    <w:p w14:paraId="2C96BF0E">
      <w:pPr>
        <w:pStyle w:val="7"/>
        <w:pageBreakBefore w:val="0"/>
        <w:kinsoku w:val="0"/>
        <w:wordWrap w:val="0"/>
        <w:overflowPunct/>
        <w:topLinePunct w:val="0"/>
        <w:autoSpaceDE/>
        <w:autoSpaceDN/>
        <w:bidi w:val="0"/>
        <w:spacing w:before="91" w:line="624" w:lineRule="exact"/>
        <w:jc w:val="center"/>
        <w:rPr>
          <w:rFonts w:hint="eastAsia" w:ascii="黑体" w:hAnsi="黑体" w:eastAsia="黑体" w:cs="黑体"/>
          <w:b/>
          <w:bCs/>
          <w:color w:val="auto"/>
          <w:spacing w:val="-6"/>
          <w:position w:val="9"/>
          <w:sz w:val="28"/>
          <w:szCs w:val="28"/>
          <w:lang w:val="en-US" w:eastAsia="zh-CN"/>
        </w:rPr>
      </w:pPr>
    </w:p>
    <w:p w14:paraId="6F1E50BD">
      <w:pPr>
        <w:pStyle w:val="7"/>
        <w:pageBreakBefore w:val="0"/>
        <w:kinsoku w:val="0"/>
        <w:wordWrap w:val="0"/>
        <w:overflowPunct/>
        <w:topLinePunct w:val="0"/>
        <w:autoSpaceDE/>
        <w:autoSpaceDN/>
        <w:bidi w:val="0"/>
        <w:spacing w:before="91" w:line="624" w:lineRule="exact"/>
        <w:jc w:val="center"/>
        <w:rPr>
          <w:rFonts w:hint="eastAsia" w:ascii="黑体" w:hAnsi="黑体" w:eastAsia="黑体" w:cs="黑体"/>
          <w:b/>
          <w:bCs/>
          <w:color w:val="auto"/>
          <w:spacing w:val="-6"/>
          <w:position w:val="9"/>
          <w:sz w:val="28"/>
          <w:szCs w:val="28"/>
          <w:lang w:val="en-US" w:eastAsia="zh-CN"/>
        </w:rPr>
      </w:pPr>
    </w:p>
    <w:p w14:paraId="2252511B">
      <w:pPr>
        <w:pStyle w:val="7"/>
        <w:pageBreakBefore w:val="0"/>
        <w:kinsoku w:val="0"/>
        <w:wordWrap w:val="0"/>
        <w:overflowPunct/>
        <w:topLinePunct w:val="0"/>
        <w:autoSpaceDE/>
        <w:autoSpaceDN/>
        <w:bidi w:val="0"/>
        <w:spacing w:before="91" w:line="624" w:lineRule="exact"/>
        <w:jc w:val="center"/>
        <w:rPr>
          <w:rFonts w:hint="eastAsia" w:ascii="黑体" w:hAnsi="黑体" w:eastAsia="黑体" w:cs="黑体"/>
          <w:color w:val="auto"/>
          <w:sz w:val="30"/>
          <w:szCs w:val="30"/>
        </w:rPr>
        <w:sectPr>
          <w:footerReference r:id="rId32" w:type="default"/>
          <w:pgSz w:w="11906" w:h="16840"/>
          <w:pgMar w:top="1431" w:right="1785" w:bottom="1359" w:left="1785" w:header="0" w:footer="1145" w:gutter="0"/>
          <w:pgNumType w:fmt="decimal"/>
          <w:cols w:space="720" w:num="1"/>
        </w:sectPr>
      </w:pPr>
      <w:r>
        <w:rPr>
          <w:rFonts w:hint="eastAsia" w:ascii="黑体" w:hAnsi="黑体" w:eastAsia="黑体" w:cs="黑体"/>
          <w:b/>
          <w:bCs/>
          <w:color w:val="auto"/>
          <w:spacing w:val="-6"/>
          <w:position w:val="9"/>
          <w:sz w:val="28"/>
          <w:szCs w:val="28"/>
          <w:lang w:val="en-US" w:eastAsia="zh-CN"/>
        </w:rPr>
        <w:t>2024年08月</w:t>
      </w:r>
    </w:p>
    <w:p w14:paraId="557570E9">
      <w:pPr>
        <w:pStyle w:val="7"/>
        <w:pageBreakBefore w:val="0"/>
        <w:kinsoku w:val="0"/>
        <w:wordWrap w:val="0"/>
        <w:overflowPunct/>
        <w:topLinePunct w:val="0"/>
        <w:autoSpaceDE/>
        <w:autoSpaceDN/>
        <w:bidi w:val="0"/>
        <w:spacing w:line="240" w:lineRule="auto"/>
        <w:jc w:val="center"/>
        <w:outlineLvl w:val="0"/>
        <w:rPr>
          <w:rFonts w:hint="eastAsia" w:ascii="黑体" w:hAnsi="黑体" w:eastAsia="黑体" w:cs="黑体"/>
          <w:color w:val="auto"/>
          <w:sz w:val="30"/>
          <w:szCs w:val="30"/>
        </w:rPr>
      </w:pPr>
      <w:bookmarkStart w:id="32" w:name="_Toc19865"/>
      <w:r>
        <w:rPr>
          <w:rFonts w:hint="eastAsia" w:ascii="黑体" w:hAnsi="黑体" w:eastAsia="黑体" w:cs="黑体"/>
          <w:b/>
          <w:bCs/>
          <w:color w:val="auto"/>
          <w:spacing w:val="-2"/>
          <w:sz w:val="30"/>
          <w:szCs w:val="30"/>
        </w:rPr>
        <w:t>第七章采购合同</w:t>
      </w:r>
      <w:bookmarkEnd w:id="32"/>
    </w:p>
    <w:p w14:paraId="5553DE5B">
      <w:pPr>
        <w:pageBreakBefore w:val="0"/>
        <w:kinsoku w:val="0"/>
        <w:wordWrap w:val="0"/>
        <w:overflowPunct/>
        <w:topLinePunct w:val="0"/>
        <w:autoSpaceDE/>
        <w:autoSpaceDN/>
        <w:bidi w:val="0"/>
        <w:rPr>
          <w:rFonts w:hint="eastAsia" w:ascii="黑体" w:hAnsi="黑体" w:eastAsia="黑体" w:cs="黑体"/>
          <w:color w:val="auto"/>
          <w:sz w:val="24"/>
          <w:highlight w:val="none"/>
        </w:rPr>
      </w:pPr>
    </w:p>
    <w:p w14:paraId="4C826BEB">
      <w:pPr>
        <w:pageBreakBefore w:val="0"/>
        <w:kinsoku w:val="0"/>
        <w:wordWrap w:val="0"/>
        <w:overflowPunct/>
        <w:topLinePunct w:val="0"/>
        <w:autoSpaceDE/>
        <w:autoSpaceDN/>
        <w:bidi w:val="0"/>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合同编号：</w:t>
      </w:r>
    </w:p>
    <w:p w14:paraId="0DEC0ECB">
      <w:pPr>
        <w:pageBreakBefore w:val="0"/>
        <w:kinsoku w:val="0"/>
        <w:wordWrap w:val="0"/>
        <w:overflowPunct/>
        <w:topLinePunct w:val="0"/>
        <w:autoSpaceDE/>
        <w:autoSpaceDN/>
        <w:bidi w:val="0"/>
        <w:spacing w:line="480" w:lineRule="auto"/>
        <w:jc w:val="center"/>
        <w:rPr>
          <w:rFonts w:hint="eastAsia" w:ascii="黑体" w:hAnsi="黑体" w:eastAsia="黑体" w:cs="黑体"/>
          <w:b/>
          <w:color w:val="auto"/>
          <w:sz w:val="44"/>
          <w:szCs w:val="44"/>
          <w:highlight w:val="none"/>
        </w:rPr>
      </w:pPr>
    </w:p>
    <w:p w14:paraId="5B9F6EB8">
      <w:pPr>
        <w:pageBreakBefore w:val="0"/>
        <w:kinsoku w:val="0"/>
        <w:wordWrap w:val="0"/>
        <w:overflowPunct/>
        <w:topLinePunct w:val="0"/>
        <w:autoSpaceDE/>
        <w:autoSpaceDN/>
        <w:bidi w:val="0"/>
        <w:spacing w:line="480" w:lineRule="auto"/>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政府采购合同参考范本</w:t>
      </w:r>
    </w:p>
    <w:p w14:paraId="41AE5092">
      <w:pPr>
        <w:pageBreakBefore w:val="0"/>
        <w:kinsoku w:val="0"/>
        <w:wordWrap w:val="0"/>
        <w:overflowPunct/>
        <w:topLinePunct w:val="0"/>
        <w:autoSpaceDE/>
        <w:autoSpaceDN/>
        <w:bidi w:val="0"/>
        <w:spacing w:line="480" w:lineRule="auto"/>
        <w:jc w:val="center"/>
        <w:rPr>
          <w:rFonts w:hint="eastAsia" w:ascii="黑体" w:hAnsi="黑体" w:eastAsia="黑体" w:cs="黑体"/>
          <w:b/>
          <w:color w:val="auto"/>
          <w:sz w:val="24"/>
          <w:highlight w:val="none"/>
        </w:rPr>
      </w:pPr>
      <w:r>
        <w:rPr>
          <w:rFonts w:hint="eastAsia" w:ascii="黑体" w:hAnsi="黑体" w:eastAsia="黑体" w:cs="黑体"/>
          <w:b/>
          <w:color w:val="auto"/>
          <w:sz w:val="24"/>
          <w:highlight w:val="none"/>
        </w:rPr>
        <w:t>（服务类）</w:t>
      </w:r>
    </w:p>
    <w:p w14:paraId="2E62B64C">
      <w:pPr>
        <w:pStyle w:val="27"/>
        <w:pageBreakBefore w:val="0"/>
        <w:kinsoku w:val="0"/>
        <w:wordWrap w:val="0"/>
        <w:overflowPunct/>
        <w:topLinePunct w:val="0"/>
        <w:autoSpaceDE/>
        <w:autoSpaceDN/>
        <w:bidi w:val="0"/>
        <w:ind w:firstLine="0"/>
        <w:rPr>
          <w:rFonts w:hint="eastAsia" w:ascii="黑体" w:hAnsi="黑体" w:eastAsia="黑体" w:cs="黑体"/>
          <w:color w:val="auto"/>
          <w:szCs w:val="24"/>
          <w:highlight w:val="none"/>
        </w:rPr>
      </w:pPr>
    </w:p>
    <w:p w14:paraId="0048EC3E">
      <w:pPr>
        <w:pStyle w:val="27"/>
        <w:pageBreakBefore w:val="0"/>
        <w:kinsoku w:val="0"/>
        <w:wordWrap w:val="0"/>
        <w:overflowPunct/>
        <w:topLinePunct w:val="0"/>
        <w:autoSpaceDE/>
        <w:autoSpaceDN/>
        <w:bidi w:val="0"/>
        <w:ind w:firstLine="0"/>
        <w:rPr>
          <w:rFonts w:hint="eastAsia" w:ascii="黑体" w:hAnsi="黑体" w:eastAsia="黑体" w:cs="黑体"/>
          <w:color w:val="auto"/>
          <w:szCs w:val="24"/>
          <w:highlight w:val="none"/>
        </w:rPr>
      </w:pPr>
    </w:p>
    <w:p w14:paraId="51317AF2">
      <w:pPr>
        <w:pStyle w:val="27"/>
        <w:pageBreakBefore w:val="0"/>
        <w:kinsoku w:val="0"/>
        <w:wordWrap w:val="0"/>
        <w:overflowPunct/>
        <w:topLinePunct w:val="0"/>
        <w:autoSpaceDE/>
        <w:autoSpaceDN/>
        <w:bidi w:val="0"/>
        <w:ind w:firstLine="0"/>
        <w:rPr>
          <w:rFonts w:hint="eastAsia" w:ascii="黑体" w:hAnsi="黑体" w:eastAsia="黑体" w:cs="黑体"/>
          <w:color w:val="auto"/>
          <w:szCs w:val="24"/>
          <w:highlight w:val="none"/>
        </w:rPr>
      </w:pPr>
    </w:p>
    <w:p w14:paraId="098A1626">
      <w:pPr>
        <w:pStyle w:val="27"/>
        <w:pageBreakBefore w:val="0"/>
        <w:kinsoku w:val="0"/>
        <w:wordWrap w:val="0"/>
        <w:overflowPunct/>
        <w:topLinePunct w:val="0"/>
        <w:autoSpaceDE/>
        <w:autoSpaceDN/>
        <w:bidi w:val="0"/>
        <w:ind w:firstLine="0"/>
        <w:jc w:val="center"/>
        <w:rPr>
          <w:rFonts w:hint="eastAsia" w:ascii="黑体" w:hAnsi="黑体" w:eastAsia="黑体" w:cs="黑体"/>
          <w:b/>
          <w:color w:val="auto"/>
          <w:szCs w:val="24"/>
          <w:highlight w:val="none"/>
        </w:rPr>
      </w:pPr>
      <w:r>
        <w:rPr>
          <w:rFonts w:hint="eastAsia" w:ascii="黑体" w:hAnsi="黑体" w:eastAsia="黑体" w:cs="黑体"/>
          <w:b/>
          <w:color w:val="auto"/>
          <w:szCs w:val="24"/>
          <w:highlight w:val="none"/>
        </w:rPr>
        <w:t>第一部分合同书</w:t>
      </w:r>
    </w:p>
    <w:p w14:paraId="00838148">
      <w:pPr>
        <w:pStyle w:val="27"/>
        <w:pageBreakBefore w:val="0"/>
        <w:kinsoku w:val="0"/>
        <w:wordWrap w:val="0"/>
        <w:overflowPunct/>
        <w:topLinePunct w:val="0"/>
        <w:autoSpaceDE/>
        <w:autoSpaceDN/>
        <w:bidi w:val="0"/>
        <w:ind w:firstLine="0"/>
        <w:rPr>
          <w:rFonts w:hint="eastAsia" w:ascii="黑体" w:hAnsi="黑体" w:eastAsia="黑体" w:cs="黑体"/>
          <w:color w:val="auto"/>
          <w:szCs w:val="24"/>
          <w:highlight w:val="none"/>
        </w:rPr>
      </w:pPr>
    </w:p>
    <w:p w14:paraId="793B25AA">
      <w:pPr>
        <w:pStyle w:val="27"/>
        <w:pageBreakBefore w:val="0"/>
        <w:kinsoku w:val="0"/>
        <w:wordWrap w:val="0"/>
        <w:overflowPunct/>
        <w:topLinePunct w:val="0"/>
        <w:autoSpaceDE/>
        <w:autoSpaceDN/>
        <w:bidi w:val="0"/>
        <w:ind w:firstLine="0"/>
        <w:rPr>
          <w:rFonts w:hint="eastAsia" w:ascii="黑体" w:hAnsi="黑体" w:eastAsia="黑体" w:cs="黑体"/>
          <w:color w:val="auto"/>
          <w:szCs w:val="24"/>
          <w:highlight w:val="none"/>
        </w:rPr>
      </w:pPr>
    </w:p>
    <w:p w14:paraId="5777A0FC">
      <w:pPr>
        <w:pageBreakBefore w:val="0"/>
        <w:kinsoku w:val="0"/>
        <w:wordWrap w:val="0"/>
        <w:overflowPunct/>
        <w:topLinePunct w:val="0"/>
        <w:autoSpaceDE/>
        <w:autoSpaceDN/>
        <w:bidi w:val="0"/>
        <w:spacing w:before="120" w:line="22" w:lineRule="atLeast"/>
        <w:rPr>
          <w:rFonts w:hint="eastAsia" w:ascii="黑体" w:hAnsi="黑体" w:eastAsia="黑体" w:cs="黑体"/>
          <w:color w:val="auto"/>
          <w:sz w:val="24"/>
          <w:highlight w:val="none"/>
        </w:rPr>
      </w:pPr>
    </w:p>
    <w:p w14:paraId="4DF08884">
      <w:pPr>
        <w:pageBreakBefore w:val="0"/>
        <w:kinsoku w:val="0"/>
        <w:wordWrap w:val="0"/>
        <w:overflowPunct/>
        <w:topLinePunct w:val="0"/>
        <w:autoSpaceDE/>
        <w:autoSpaceDN/>
        <w:bidi w:val="0"/>
        <w:spacing w:line="360" w:lineRule="auto"/>
        <w:ind w:left="1058" w:leftChars="504" w:firstLine="0" w:firstLineChars="0"/>
        <w:jc w:val="left"/>
        <w:rPr>
          <w:rFonts w:hint="eastAsia" w:ascii="黑体" w:hAnsi="黑体" w:eastAsia="黑体" w:cs="黑体"/>
          <w:color w:val="auto"/>
          <w:szCs w:val="24"/>
          <w:highlight w:val="none"/>
          <w:u w:val="single"/>
        </w:rPr>
      </w:pPr>
      <w:r>
        <w:rPr>
          <w:rFonts w:hint="eastAsia" w:ascii="黑体" w:hAnsi="黑体" w:eastAsia="黑体" w:cs="黑体"/>
          <w:color w:val="auto"/>
          <w:sz w:val="24"/>
          <w:highlight w:val="none"/>
          <w:u w:val="none"/>
        </w:rPr>
        <w:t>项目名称：</w:t>
      </w:r>
      <w:r>
        <w:rPr>
          <w:rFonts w:hint="eastAsia" w:ascii="黑体" w:hAnsi="黑体" w:eastAsia="黑体" w:cs="黑体"/>
          <w:b w:val="0"/>
          <w:bCs w:val="0"/>
          <w:color w:val="auto"/>
          <w:sz w:val="24"/>
          <w:szCs w:val="24"/>
          <w:u w:val="single"/>
          <w:lang w:eastAsia="zh-CN"/>
        </w:rPr>
        <w:t>巴楚县产业发展促进就业资助-特色产品推广和品牌营销项目</w:t>
      </w:r>
    </w:p>
    <w:p w14:paraId="3E3614C9">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u w:val="single"/>
          <w:lang w:eastAsia="zh-CN"/>
        </w:rPr>
      </w:pPr>
      <w:r>
        <w:rPr>
          <w:rFonts w:hint="eastAsia" w:ascii="黑体" w:hAnsi="黑体" w:eastAsia="黑体" w:cs="黑体"/>
          <w:color w:val="auto"/>
          <w:sz w:val="24"/>
          <w:highlight w:val="none"/>
        </w:rPr>
        <w:t>甲方：</w:t>
      </w:r>
      <w:r>
        <w:rPr>
          <w:rFonts w:hint="eastAsia" w:ascii="黑体" w:hAnsi="黑体" w:eastAsia="黑体" w:cs="黑体"/>
          <w:b w:val="0"/>
          <w:bCs w:val="0"/>
          <w:color w:val="auto"/>
          <w:sz w:val="24"/>
          <w:szCs w:val="24"/>
          <w:u w:val="single"/>
          <w:lang w:eastAsia="zh-CN"/>
        </w:rPr>
        <w:t>巴楚县商务和工业信息化局</w:t>
      </w:r>
    </w:p>
    <w:p w14:paraId="0473C713">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rPr>
      </w:pPr>
    </w:p>
    <w:p w14:paraId="78BD22DD">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u w:val="none"/>
        </w:rPr>
      </w:pPr>
      <w:r>
        <w:rPr>
          <w:rFonts w:hint="eastAsia" w:ascii="黑体" w:hAnsi="黑体" w:eastAsia="黑体" w:cs="黑体"/>
          <w:color w:val="auto"/>
          <w:sz w:val="24"/>
          <w:highlight w:val="none"/>
        </w:rPr>
        <w:t>乙方：</w:t>
      </w:r>
    </w:p>
    <w:p w14:paraId="79709A47">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rPr>
      </w:pPr>
    </w:p>
    <w:p w14:paraId="3A7BC0D0">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签订地：</w:t>
      </w:r>
    </w:p>
    <w:p w14:paraId="13F6023D">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rPr>
      </w:pPr>
    </w:p>
    <w:p w14:paraId="0D069C56">
      <w:pPr>
        <w:pageBreakBefore w:val="0"/>
        <w:kinsoku w:val="0"/>
        <w:wordWrap w:val="0"/>
        <w:overflowPunct/>
        <w:topLinePunct w:val="0"/>
        <w:autoSpaceDE/>
        <w:autoSpaceDN/>
        <w:bidi w:val="0"/>
        <w:spacing w:before="120" w:line="22" w:lineRule="atLeast"/>
        <w:ind w:left="1058" w:leftChars="504" w:firstLine="0" w:firstLineChars="0"/>
        <w:rPr>
          <w:rFonts w:hint="eastAsia" w:ascii="黑体" w:hAnsi="黑体" w:eastAsia="黑体" w:cs="黑体"/>
          <w:color w:val="auto"/>
          <w:sz w:val="24"/>
          <w:highlight w:val="none"/>
          <w:u w:val="single"/>
        </w:rPr>
      </w:pPr>
      <w:r>
        <w:rPr>
          <w:rFonts w:hint="eastAsia" w:ascii="黑体" w:hAnsi="黑体" w:eastAsia="黑体" w:cs="黑体"/>
          <w:color w:val="auto"/>
          <w:sz w:val="24"/>
          <w:highlight w:val="none"/>
        </w:rPr>
        <w:t>签订日期：</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rPr>
        <w:t>年</w:t>
      </w:r>
      <w:r>
        <w:rPr>
          <w:rFonts w:hint="eastAsia" w:ascii="黑体" w:hAnsi="黑体" w:eastAsia="黑体" w:cs="黑体"/>
          <w:color w:val="auto"/>
          <w:sz w:val="24"/>
          <w:highlight w:val="none"/>
          <w:lang w:val="en-US" w:eastAsia="zh-CN"/>
        </w:rPr>
        <w:t xml:space="preserve"> </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rPr>
        <w:t>月</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rPr>
        <w:t>日</w:t>
      </w:r>
    </w:p>
    <w:p w14:paraId="6FFF31A6">
      <w:pPr>
        <w:rPr>
          <w:rFonts w:hint="eastAsia" w:ascii="黑体" w:hAnsi="黑体" w:eastAsia="黑体" w:cs="黑体"/>
          <w:color w:val="auto"/>
          <w:spacing w:val="-4"/>
          <w:sz w:val="24"/>
          <w:szCs w:val="24"/>
          <w:u w:val="single" w:color="auto"/>
        </w:rPr>
      </w:pPr>
      <w:r>
        <w:rPr>
          <w:rFonts w:hint="eastAsia" w:ascii="黑体" w:hAnsi="黑体" w:eastAsia="黑体" w:cs="黑体"/>
          <w:color w:val="auto"/>
          <w:spacing w:val="-4"/>
          <w:sz w:val="24"/>
          <w:szCs w:val="24"/>
          <w:u w:val="single" w:color="auto"/>
        </w:rPr>
        <w:br w:type="page"/>
      </w:r>
    </w:p>
    <w:p w14:paraId="2F8EA15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82" w:firstLineChars="165"/>
        <w:rPr>
          <w:rFonts w:hint="eastAsia" w:ascii="黑体" w:hAnsi="黑体" w:eastAsia="黑体" w:cs="黑体"/>
          <w:color w:val="auto"/>
          <w:spacing w:val="-2"/>
          <w:sz w:val="24"/>
          <w:szCs w:val="24"/>
        </w:rPr>
      </w:pP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5"/>
          <w:sz w:val="24"/>
          <w:szCs w:val="24"/>
        </w:rPr>
        <w:t xml:space="preserve"> </w:t>
      </w:r>
      <w:r>
        <w:rPr>
          <w:rFonts w:hint="eastAsia" w:ascii="黑体" w:hAnsi="黑体" w:eastAsia="黑体" w:cs="黑体"/>
          <w:color w:val="auto"/>
          <w:spacing w:val="-1"/>
          <w:sz w:val="24"/>
          <w:szCs w:val="24"/>
        </w:rPr>
        <w:t>年</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5"/>
          <w:sz w:val="24"/>
          <w:szCs w:val="24"/>
        </w:rPr>
        <w:t xml:space="preserve"> </w:t>
      </w:r>
      <w:r>
        <w:rPr>
          <w:rFonts w:hint="eastAsia" w:ascii="黑体" w:hAnsi="黑体" w:eastAsia="黑体" w:cs="黑体"/>
          <w:color w:val="auto"/>
          <w:spacing w:val="-1"/>
          <w:sz w:val="24"/>
          <w:szCs w:val="24"/>
        </w:rPr>
        <w:t>月</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5"/>
          <w:sz w:val="24"/>
          <w:szCs w:val="24"/>
        </w:rPr>
        <w:t xml:space="preserve"> </w:t>
      </w:r>
      <w:r>
        <w:rPr>
          <w:rFonts w:hint="eastAsia" w:ascii="黑体" w:hAnsi="黑体" w:eastAsia="黑体" w:cs="黑体"/>
          <w:color w:val="auto"/>
          <w:spacing w:val="-1"/>
          <w:sz w:val="24"/>
          <w:szCs w:val="24"/>
        </w:rPr>
        <w:t xml:space="preserve">日， </w:t>
      </w:r>
      <w:r>
        <w:rPr>
          <w:rFonts w:hint="eastAsia" w:ascii="黑体" w:hAnsi="黑体" w:eastAsia="黑体" w:cs="黑体"/>
          <w:color w:val="auto"/>
          <w:spacing w:val="-1"/>
          <w:sz w:val="24"/>
          <w:szCs w:val="24"/>
          <w:lang w:val="en-US" w:eastAsia="zh-CN"/>
        </w:rPr>
        <w:t xml:space="preserve"> </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5"/>
          <w:sz w:val="24"/>
          <w:szCs w:val="24"/>
        </w:rPr>
        <w:t xml:space="preserve"> </w:t>
      </w:r>
      <w:r>
        <w:rPr>
          <w:rFonts w:hint="eastAsia" w:ascii="黑体" w:hAnsi="黑体" w:eastAsia="黑体" w:cs="黑体"/>
          <w:color w:val="auto"/>
          <w:spacing w:val="-1"/>
          <w:sz w:val="24"/>
          <w:szCs w:val="24"/>
          <w:lang w:val="en-US" w:eastAsia="zh-CN"/>
        </w:rPr>
        <w:t xml:space="preserve"> </w:t>
      </w:r>
      <w:r>
        <w:rPr>
          <w:rFonts w:hint="eastAsia" w:ascii="黑体" w:hAnsi="黑体" w:eastAsia="黑体" w:cs="黑体"/>
          <w:color w:val="auto"/>
          <w:spacing w:val="-1"/>
          <w:sz w:val="24"/>
          <w:szCs w:val="24"/>
        </w:rPr>
        <w:t xml:space="preserve">(采购人)  以 </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5"/>
          <w:sz w:val="24"/>
          <w:szCs w:val="24"/>
        </w:rPr>
        <w:t xml:space="preserve"> </w:t>
      </w:r>
      <w:r>
        <w:rPr>
          <w:rFonts w:hint="eastAsia" w:ascii="黑体" w:hAnsi="黑体" w:eastAsia="黑体" w:cs="黑体"/>
          <w:color w:val="auto"/>
          <w:spacing w:val="-1"/>
          <w:sz w:val="24"/>
          <w:szCs w:val="24"/>
        </w:rPr>
        <w:t xml:space="preserve"> （采购方式）对</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1"/>
          <w:sz w:val="24"/>
          <w:szCs w:val="24"/>
        </w:rPr>
        <w:t>（项目名称）进行了采购。经评标委员会评定，</w:t>
      </w:r>
      <w:r>
        <w:rPr>
          <w:rFonts w:hint="eastAsia" w:ascii="黑体" w:hAnsi="黑体" w:eastAsia="黑体" w:cs="黑体"/>
          <w:color w:val="auto"/>
          <w:spacing w:val="-1"/>
          <w:sz w:val="24"/>
          <w:szCs w:val="24"/>
          <w:u w:val="single"/>
        </w:rPr>
        <w:t xml:space="preserve">         公司 </w:t>
      </w:r>
      <w:r>
        <w:rPr>
          <w:rFonts w:hint="eastAsia" w:ascii="黑体" w:hAnsi="黑体" w:eastAsia="黑体" w:cs="黑体"/>
          <w:color w:val="auto"/>
          <w:spacing w:val="-1"/>
          <w:sz w:val="24"/>
          <w:szCs w:val="24"/>
        </w:rPr>
        <w:t>为该项</w:t>
      </w:r>
      <w:r>
        <w:rPr>
          <w:rFonts w:hint="eastAsia" w:ascii="黑体" w:hAnsi="黑体" w:eastAsia="黑体" w:cs="黑体"/>
          <w:color w:val="auto"/>
          <w:spacing w:val="-4"/>
          <w:sz w:val="24"/>
          <w:szCs w:val="24"/>
        </w:rPr>
        <w:t>目中标供应商。现于</w:t>
      </w:r>
      <w:r>
        <w:rPr>
          <w:rFonts w:hint="eastAsia" w:ascii="黑体" w:hAnsi="黑体" w:eastAsia="黑体" w:cs="黑体"/>
          <w:color w:val="auto"/>
          <w:spacing w:val="-1"/>
          <w:sz w:val="24"/>
          <w:szCs w:val="24"/>
        </w:rPr>
        <w:t>中标通知书发出之日起三十日内，按照采购文件确定的事</w:t>
      </w:r>
      <w:r>
        <w:rPr>
          <w:rFonts w:hint="eastAsia" w:ascii="黑体" w:hAnsi="黑体" w:eastAsia="黑体" w:cs="黑体"/>
          <w:color w:val="auto"/>
          <w:spacing w:val="-2"/>
          <w:sz w:val="24"/>
          <w:szCs w:val="24"/>
        </w:rPr>
        <w:t>项签订本合同。</w:t>
      </w:r>
    </w:p>
    <w:p w14:paraId="09F793D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96" w:firstLineChars="165"/>
        <w:rPr>
          <w:rFonts w:hint="eastAsia" w:ascii="黑体" w:hAnsi="黑体" w:eastAsia="黑体" w:cs="黑体"/>
          <w:color w:val="auto"/>
          <w:sz w:val="24"/>
          <w:szCs w:val="24"/>
        </w:rPr>
      </w:pPr>
      <w:r>
        <w:rPr>
          <w:rFonts w:hint="eastAsia" w:ascii="黑体" w:hAnsi="黑体" w:eastAsia="黑体" w:cs="黑体"/>
          <w:color w:val="auto"/>
          <w:sz w:val="24"/>
          <w:szCs w:val="24"/>
        </w:rPr>
        <w:t>根据《中华人民共和国合同法》、《中华人民共和国政府采购法》等相关法律法</w:t>
      </w:r>
      <w:r>
        <w:rPr>
          <w:rFonts w:hint="eastAsia" w:ascii="黑体" w:hAnsi="黑体" w:eastAsia="黑体" w:cs="黑体"/>
          <w:color w:val="auto"/>
          <w:spacing w:val="-1"/>
          <w:sz w:val="24"/>
          <w:szCs w:val="24"/>
        </w:rPr>
        <w:t>规之规定，</w:t>
      </w:r>
      <w:r>
        <w:rPr>
          <w:rFonts w:hint="eastAsia" w:ascii="黑体" w:hAnsi="黑体" w:eastAsia="黑体" w:cs="黑体"/>
          <w:color w:val="auto"/>
          <w:sz w:val="24"/>
          <w:szCs w:val="24"/>
        </w:rPr>
        <w:t xml:space="preserve"> </w:t>
      </w:r>
      <w:r>
        <w:rPr>
          <w:rFonts w:hint="eastAsia" w:ascii="黑体" w:hAnsi="黑体" w:eastAsia="黑体" w:cs="黑体"/>
          <w:color w:val="auto"/>
          <w:spacing w:val="-4"/>
          <w:sz w:val="24"/>
          <w:szCs w:val="24"/>
        </w:rPr>
        <w:t>按照平等、</w:t>
      </w:r>
      <w:r>
        <w:rPr>
          <w:rFonts w:hint="eastAsia" w:ascii="黑体" w:hAnsi="黑体" w:eastAsia="黑体" w:cs="黑体"/>
          <w:color w:val="auto"/>
          <w:spacing w:val="-41"/>
          <w:sz w:val="24"/>
          <w:szCs w:val="24"/>
        </w:rPr>
        <w:t xml:space="preserve"> </w:t>
      </w:r>
      <w:r>
        <w:rPr>
          <w:rFonts w:hint="eastAsia" w:ascii="黑体" w:hAnsi="黑体" w:eastAsia="黑体" w:cs="黑体"/>
          <w:color w:val="auto"/>
          <w:spacing w:val="-4"/>
          <w:sz w:val="24"/>
          <w:szCs w:val="24"/>
        </w:rPr>
        <w:t>自愿、公平和诚实信用的原则，经</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5"/>
          <w:sz w:val="24"/>
          <w:szCs w:val="24"/>
        </w:rPr>
        <w:t xml:space="preserve"> </w:t>
      </w:r>
      <w:r>
        <w:rPr>
          <w:rFonts w:hint="eastAsia" w:ascii="黑体" w:hAnsi="黑体" w:eastAsia="黑体" w:cs="黑体"/>
          <w:color w:val="auto"/>
          <w:spacing w:val="-4"/>
          <w:sz w:val="24"/>
          <w:szCs w:val="24"/>
        </w:rPr>
        <w:t>(以下简称：甲方)和</w:t>
      </w:r>
      <w:r>
        <w:rPr>
          <w:rFonts w:hint="eastAsia" w:ascii="黑体" w:hAnsi="黑体" w:eastAsia="黑体" w:cs="黑体"/>
          <w:color w:val="auto"/>
          <w:spacing w:val="-4"/>
          <w:sz w:val="24"/>
          <w:szCs w:val="24"/>
          <w:u w:val="single" w:color="auto"/>
        </w:rPr>
        <w:t xml:space="preserve">     </w:t>
      </w:r>
      <w:r>
        <w:rPr>
          <w:rFonts w:hint="eastAsia" w:ascii="黑体" w:hAnsi="黑体" w:eastAsia="黑体" w:cs="黑体"/>
          <w:color w:val="auto"/>
          <w:spacing w:val="-66"/>
          <w:sz w:val="24"/>
          <w:szCs w:val="24"/>
        </w:rPr>
        <w:t xml:space="preserve"> </w:t>
      </w:r>
      <w:r>
        <w:rPr>
          <w:rFonts w:hint="eastAsia" w:ascii="黑体" w:hAnsi="黑体" w:eastAsia="黑体" w:cs="黑体"/>
          <w:color w:val="auto"/>
          <w:spacing w:val="-4"/>
          <w:sz w:val="24"/>
          <w:szCs w:val="24"/>
        </w:rPr>
        <w:t>(以下简称：乙方)</w:t>
      </w:r>
      <w:r>
        <w:rPr>
          <w:rFonts w:hint="eastAsia" w:ascii="黑体" w:hAnsi="黑体" w:eastAsia="黑体" w:cs="黑体"/>
          <w:color w:val="auto"/>
          <w:spacing w:val="-1"/>
          <w:sz w:val="24"/>
          <w:szCs w:val="24"/>
        </w:rPr>
        <w:t>协商一致，约定以下合同条款，以兹共同遵守、全面履行。</w:t>
      </w:r>
    </w:p>
    <w:p w14:paraId="248F3D3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pacing w:val="-2"/>
          <w:sz w:val="24"/>
          <w:szCs w:val="24"/>
        </w:rPr>
        <w:t>1.1 合同组成部分</w:t>
      </w:r>
    </w:p>
    <w:p w14:paraId="3E33F0C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1"/>
        <w:jc w:val="both"/>
        <w:rPr>
          <w:rFonts w:hint="eastAsia" w:ascii="黑体" w:hAnsi="黑体" w:eastAsia="黑体" w:cs="黑体"/>
          <w:color w:val="auto"/>
          <w:sz w:val="24"/>
          <w:szCs w:val="24"/>
        </w:rPr>
      </w:pPr>
      <w:r>
        <w:rPr>
          <w:rFonts w:hint="eastAsia" w:ascii="黑体" w:hAnsi="黑体" w:eastAsia="黑体" w:cs="黑体"/>
          <w:color w:val="auto"/>
          <w:sz w:val="24"/>
          <w:szCs w:val="24"/>
        </w:rPr>
        <w:t>下列文件为本合同的组成部分，并构成一个整体，</w:t>
      </w:r>
      <w:r>
        <w:rPr>
          <w:rFonts w:hint="eastAsia" w:ascii="黑体" w:hAnsi="黑体" w:eastAsia="黑体" w:cs="黑体"/>
          <w:color w:val="auto"/>
          <w:spacing w:val="-1"/>
          <w:sz w:val="24"/>
          <w:szCs w:val="24"/>
        </w:rPr>
        <w:t>需综合解释、相互补充。如果下列文件内</w:t>
      </w:r>
      <w:r>
        <w:rPr>
          <w:rFonts w:hint="eastAsia" w:ascii="黑体" w:hAnsi="黑体" w:eastAsia="黑体" w:cs="黑体"/>
          <w:color w:val="auto"/>
          <w:sz w:val="24"/>
          <w:szCs w:val="24"/>
        </w:rPr>
        <w:t xml:space="preserve"> 容出现不一致的情形，那么在保证按照采购文件确定的事项的前提下，组成本合</w:t>
      </w:r>
      <w:r>
        <w:rPr>
          <w:rFonts w:hint="eastAsia" w:ascii="黑体" w:hAnsi="黑体" w:eastAsia="黑体" w:cs="黑体"/>
          <w:color w:val="auto"/>
          <w:spacing w:val="-1"/>
          <w:sz w:val="24"/>
          <w:szCs w:val="24"/>
        </w:rPr>
        <w:t>同的多个文件的优先适用顺序如下：</w:t>
      </w:r>
    </w:p>
    <w:p w14:paraId="38154FF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rPr>
      </w:pPr>
      <w:r>
        <w:rPr>
          <w:rFonts w:hint="eastAsia" w:ascii="黑体" w:hAnsi="黑体" w:eastAsia="黑体" w:cs="黑体"/>
          <w:color w:val="auto"/>
          <w:spacing w:val="-1"/>
          <w:sz w:val="24"/>
          <w:szCs w:val="24"/>
        </w:rPr>
        <w:t>1.1.1 本合同及其补充合同、变更协议；</w:t>
      </w:r>
    </w:p>
    <w:p w14:paraId="2DC9345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1" w:firstLineChars="176"/>
        <w:rPr>
          <w:rFonts w:hint="eastAsia" w:ascii="黑体" w:hAnsi="黑体" w:eastAsia="黑体" w:cs="黑体"/>
          <w:color w:val="auto"/>
          <w:sz w:val="24"/>
          <w:szCs w:val="24"/>
        </w:rPr>
      </w:pPr>
      <w:r>
        <w:rPr>
          <w:rFonts w:hint="eastAsia" w:ascii="黑体" w:hAnsi="黑体" w:eastAsia="黑体" w:cs="黑体"/>
          <w:color w:val="auto"/>
          <w:spacing w:val="-6"/>
          <w:sz w:val="24"/>
          <w:szCs w:val="24"/>
        </w:rPr>
        <w:t>1.1.2</w:t>
      </w:r>
      <w:r>
        <w:rPr>
          <w:rFonts w:hint="eastAsia" w:ascii="黑体" w:hAnsi="黑体" w:eastAsia="黑体" w:cs="黑体"/>
          <w:color w:val="auto"/>
          <w:spacing w:val="43"/>
          <w:sz w:val="24"/>
          <w:szCs w:val="24"/>
        </w:rPr>
        <w:t xml:space="preserve"> </w:t>
      </w:r>
      <w:r>
        <w:rPr>
          <w:rFonts w:hint="eastAsia" w:ascii="黑体" w:hAnsi="黑体" w:eastAsia="黑体" w:cs="黑体"/>
          <w:color w:val="auto"/>
          <w:spacing w:val="-6"/>
          <w:sz w:val="24"/>
          <w:szCs w:val="24"/>
        </w:rPr>
        <w:t>中标通知书；</w:t>
      </w:r>
    </w:p>
    <w:p w14:paraId="1CFDA15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1.1.3 投标文件（含澄清或者说明文件</w:t>
      </w:r>
      <w:r>
        <w:rPr>
          <w:rFonts w:hint="eastAsia" w:ascii="黑体" w:hAnsi="黑体" w:eastAsia="黑体" w:cs="黑体"/>
          <w:color w:val="auto"/>
          <w:spacing w:val="8"/>
          <w:sz w:val="24"/>
          <w:szCs w:val="24"/>
        </w:rPr>
        <w:t>）；</w:t>
      </w:r>
    </w:p>
    <w:p w14:paraId="49241CF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1.1.4 招标文件（含澄清或者修改文件</w:t>
      </w:r>
      <w:r>
        <w:rPr>
          <w:rFonts w:hint="eastAsia" w:ascii="黑体" w:hAnsi="黑体" w:eastAsia="黑体" w:cs="黑体"/>
          <w:color w:val="auto"/>
          <w:spacing w:val="8"/>
          <w:sz w:val="24"/>
          <w:szCs w:val="24"/>
        </w:rPr>
        <w:t>）；</w:t>
      </w:r>
    </w:p>
    <w:p w14:paraId="60895DC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1.1.5 其他相关采购文件。</w:t>
      </w:r>
    </w:p>
    <w:p w14:paraId="4DA08D8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1" w:firstLineChars="176"/>
        <w:outlineLvl w:val="0"/>
        <w:rPr>
          <w:rFonts w:hint="eastAsia" w:ascii="黑体" w:hAnsi="黑体" w:eastAsia="黑体" w:cs="黑体"/>
          <w:color w:val="auto"/>
          <w:sz w:val="24"/>
          <w:szCs w:val="24"/>
        </w:rPr>
      </w:pPr>
      <w:r>
        <w:rPr>
          <w:rFonts w:hint="eastAsia" w:ascii="黑体" w:hAnsi="黑体" w:eastAsia="黑体" w:cs="黑体"/>
          <w:color w:val="auto"/>
          <w:spacing w:val="-6"/>
          <w:sz w:val="24"/>
          <w:szCs w:val="24"/>
        </w:rPr>
        <w:t>1.2</w:t>
      </w:r>
      <w:r>
        <w:rPr>
          <w:rFonts w:hint="eastAsia" w:ascii="黑体" w:hAnsi="黑体" w:eastAsia="黑体" w:cs="黑体"/>
          <w:color w:val="auto"/>
          <w:spacing w:val="9"/>
          <w:sz w:val="24"/>
          <w:szCs w:val="24"/>
        </w:rPr>
        <w:t xml:space="preserve"> </w:t>
      </w:r>
      <w:r>
        <w:rPr>
          <w:rFonts w:hint="eastAsia" w:ascii="黑体" w:hAnsi="黑体" w:eastAsia="黑体" w:cs="黑体"/>
          <w:color w:val="auto"/>
          <w:spacing w:val="-6"/>
          <w:sz w:val="24"/>
          <w:szCs w:val="24"/>
        </w:rPr>
        <w:t>标的</w:t>
      </w:r>
    </w:p>
    <w:p w14:paraId="67C2848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rPr>
          <w:rFonts w:hint="eastAsia" w:ascii="黑体" w:hAnsi="黑体" w:eastAsia="黑体" w:cs="黑体"/>
          <w:color w:val="auto"/>
          <w:sz w:val="24"/>
          <w:szCs w:val="24"/>
        </w:rPr>
      </w:pPr>
      <w:r>
        <w:rPr>
          <w:rFonts w:hint="eastAsia" w:ascii="黑体" w:hAnsi="黑体" w:eastAsia="黑体" w:cs="黑体"/>
          <w:color w:val="auto"/>
          <w:spacing w:val="-3"/>
          <w:sz w:val="24"/>
          <w:szCs w:val="24"/>
        </w:rPr>
        <w:t>1.2.1 标的名称</w:t>
      </w:r>
      <w:r>
        <w:rPr>
          <w:rFonts w:hint="eastAsia" w:ascii="黑体" w:hAnsi="黑体" w:eastAsia="黑体" w:cs="黑体"/>
          <w:color w:val="auto"/>
          <w:spacing w:val="3"/>
          <w:sz w:val="24"/>
          <w:szCs w:val="24"/>
        </w:rPr>
        <w:t>：</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single"/>
        </w:rPr>
        <w:t xml:space="preserve"> </w:t>
      </w:r>
      <w:r>
        <w:rPr>
          <w:rFonts w:hint="eastAsia" w:ascii="黑体" w:hAnsi="黑体" w:eastAsia="黑体" w:cs="黑体"/>
          <w:color w:val="auto"/>
          <w:spacing w:val="3"/>
          <w:sz w:val="24"/>
          <w:szCs w:val="24"/>
        </w:rPr>
        <w:t>；</w:t>
      </w:r>
    </w:p>
    <w:p w14:paraId="6CD6D54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rPr>
      </w:pPr>
      <w:r>
        <w:rPr>
          <w:rFonts w:hint="eastAsia" w:ascii="黑体" w:hAnsi="黑体" w:eastAsia="黑体" w:cs="黑体"/>
          <w:color w:val="auto"/>
          <w:sz w:val="24"/>
          <w:szCs w:val="24"/>
        </w:rPr>
        <w:t>1.2.2 标的数量：</w:t>
      </w:r>
      <w:r>
        <w:rPr>
          <w:rFonts w:hint="eastAsia" w:ascii="黑体" w:hAnsi="黑体" w:eastAsia="黑体" w:cs="黑体"/>
          <w:color w:val="auto"/>
          <w:sz w:val="24"/>
          <w:szCs w:val="24"/>
          <w:u w:val="single" w:color="auto"/>
        </w:rPr>
        <w:t xml:space="preserve">见明细                    </w:t>
      </w:r>
      <w:r>
        <w:rPr>
          <w:rFonts w:hint="eastAsia" w:ascii="黑体" w:hAnsi="黑体" w:eastAsia="黑体" w:cs="黑体"/>
          <w:color w:val="auto"/>
          <w:spacing w:val="-1"/>
          <w:sz w:val="24"/>
          <w:szCs w:val="24"/>
          <w:u w:val="single" w:color="auto"/>
        </w:rPr>
        <w:t xml:space="preserve">                      </w:t>
      </w:r>
      <w:r>
        <w:rPr>
          <w:rFonts w:hint="eastAsia" w:ascii="黑体" w:hAnsi="黑体" w:eastAsia="黑体" w:cs="黑体"/>
          <w:color w:val="auto"/>
          <w:spacing w:val="-1"/>
          <w:sz w:val="24"/>
          <w:szCs w:val="24"/>
        </w:rPr>
        <w:t>；</w:t>
      </w:r>
    </w:p>
    <w:p w14:paraId="0334D61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1.2.3 标的质量：</w:t>
      </w:r>
      <w:r>
        <w:rPr>
          <w:rFonts w:hint="eastAsia" w:ascii="黑体" w:hAnsi="黑体" w:eastAsia="黑体" w:cs="黑体"/>
          <w:color w:val="auto"/>
          <w:sz w:val="24"/>
          <w:szCs w:val="24"/>
          <w:u w:val="single" w:color="auto"/>
        </w:rPr>
        <w:t xml:space="preserve">                                                </w:t>
      </w:r>
      <w:r>
        <w:rPr>
          <w:rFonts w:hint="eastAsia" w:ascii="黑体" w:hAnsi="黑体" w:eastAsia="黑体" w:cs="黑体"/>
          <w:color w:val="auto"/>
          <w:spacing w:val="-2"/>
          <w:sz w:val="24"/>
          <w:szCs w:val="24"/>
        </w:rPr>
        <w:t>。</w:t>
      </w:r>
    </w:p>
    <w:p w14:paraId="76558F4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4" w:firstLineChars="176"/>
        <w:outlineLvl w:val="0"/>
        <w:rPr>
          <w:rFonts w:hint="eastAsia" w:ascii="黑体" w:hAnsi="黑体" w:eastAsia="黑体" w:cs="黑体"/>
          <w:color w:val="auto"/>
          <w:sz w:val="24"/>
          <w:szCs w:val="24"/>
        </w:rPr>
      </w:pPr>
      <w:r>
        <w:rPr>
          <w:rFonts w:hint="eastAsia" w:ascii="黑体" w:hAnsi="黑体" w:eastAsia="黑体" w:cs="黑体"/>
          <w:color w:val="auto"/>
          <w:spacing w:val="-5"/>
          <w:sz w:val="24"/>
          <w:szCs w:val="24"/>
        </w:rPr>
        <w:t>1.3</w:t>
      </w:r>
      <w:r>
        <w:rPr>
          <w:rFonts w:hint="eastAsia" w:ascii="黑体" w:hAnsi="黑体" w:eastAsia="黑体" w:cs="黑体"/>
          <w:color w:val="auto"/>
          <w:spacing w:val="7"/>
          <w:sz w:val="24"/>
          <w:szCs w:val="24"/>
        </w:rPr>
        <w:t xml:space="preserve"> </w:t>
      </w:r>
      <w:r>
        <w:rPr>
          <w:rFonts w:hint="eastAsia" w:ascii="黑体" w:hAnsi="黑体" w:eastAsia="黑体" w:cs="黑体"/>
          <w:color w:val="auto"/>
          <w:spacing w:val="-5"/>
          <w:sz w:val="24"/>
          <w:szCs w:val="24"/>
        </w:rPr>
        <w:t>价款</w:t>
      </w:r>
    </w:p>
    <w:p w14:paraId="7B50402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376" w:firstLineChars="176"/>
        <w:rPr>
          <w:rFonts w:hint="eastAsia" w:ascii="黑体" w:hAnsi="黑体" w:eastAsia="黑体" w:cs="黑体"/>
          <w:color w:val="auto"/>
          <w:sz w:val="24"/>
          <w:szCs w:val="24"/>
        </w:rPr>
      </w:pPr>
      <w:r>
        <w:rPr>
          <w:rFonts w:hint="eastAsia" w:ascii="黑体" w:hAnsi="黑体" w:eastAsia="黑体" w:cs="黑体"/>
          <w:color w:val="auto"/>
          <w:spacing w:val="-13"/>
          <w:sz w:val="24"/>
          <w:szCs w:val="24"/>
        </w:rPr>
        <w:t>本合同总价为：</w:t>
      </w:r>
      <w:r>
        <w:rPr>
          <w:rFonts w:hint="eastAsia" w:ascii="黑体" w:hAnsi="黑体" w:eastAsia="黑体" w:cs="黑体"/>
          <w:color w:val="auto"/>
          <w:spacing w:val="-55"/>
          <w:sz w:val="24"/>
          <w:szCs w:val="24"/>
        </w:rPr>
        <w:t xml:space="preserve"> </w:t>
      </w:r>
      <w:r>
        <w:rPr>
          <w:rFonts w:hint="eastAsia" w:ascii="黑体" w:hAnsi="黑体" w:eastAsia="黑体" w:cs="黑体"/>
          <w:color w:val="auto"/>
          <w:spacing w:val="-13"/>
          <w:sz w:val="24"/>
          <w:szCs w:val="24"/>
        </w:rPr>
        <w:t>￥</w:t>
      </w:r>
      <w:r>
        <w:rPr>
          <w:rFonts w:hint="eastAsia" w:ascii="黑体" w:hAnsi="黑体" w:eastAsia="黑体" w:cs="黑体"/>
          <w:color w:val="auto"/>
          <w:spacing w:val="-56"/>
          <w:sz w:val="24"/>
          <w:szCs w:val="24"/>
        </w:rPr>
        <w:t xml:space="preserve"> </w:t>
      </w:r>
      <w:r>
        <w:rPr>
          <w:rFonts w:hint="eastAsia" w:ascii="黑体" w:hAnsi="黑体" w:eastAsia="黑体" w:cs="黑体"/>
          <w:color w:val="auto"/>
          <w:sz w:val="24"/>
          <w:szCs w:val="24"/>
          <w:u w:val="single" w:color="auto"/>
        </w:rPr>
        <w:t xml:space="preserve">       </w:t>
      </w:r>
      <w:r>
        <w:rPr>
          <w:rFonts w:hint="eastAsia" w:ascii="黑体" w:hAnsi="黑体" w:eastAsia="黑体" w:cs="黑体"/>
          <w:color w:val="auto"/>
          <w:spacing w:val="-98"/>
          <w:sz w:val="24"/>
          <w:szCs w:val="24"/>
        </w:rPr>
        <w:t xml:space="preserve"> </w:t>
      </w:r>
      <w:r>
        <w:rPr>
          <w:rFonts w:hint="eastAsia" w:ascii="黑体" w:hAnsi="黑体" w:eastAsia="黑体" w:cs="黑体"/>
          <w:color w:val="auto"/>
          <w:spacing w:val="-13"/>
          <w:sz w:val="24"/>
          <w:szCs w:val="24"/>
        </w:rPr>
        <w:t>元（大写</w:t>
      </w:r>
      <w:r>
        <w:rPr>
          <w:rFonts w:hint="eastAsia" w:ascii="黑体" w:hAnsi="黑体" w:eastAsia="黑体" w:cs="黑体"/>
          <w:color w:val="auto"/>
          <w:spacing w:val="-14"/>
          <w:sz w:val="24"/>
          <w:szCs w:val="24"/>
        </w:rPr>
        <w:t>：</w:t>
      </w:r>
      <w:r>
        <w:rPr>
          <w:rFonts w:hint="eastAsia" w:ascii="黑体" w:hAnsi="黑体" w:eastAsia="黑体" w:cs="黑体"/>
          <w:color w:val="auto"/>
          <w:sz w:val="24"/>
          <w:szCs w:val="24"/>
          <w:u w:val="single" w:color="auto"/>
        </w:rPr>
        <w:t xml:space="preserve">         </w:t>
      </w:r>
      <w:r>
        <w:rPr>
          <w:rFonts w:hint="eastAsia" w:ascii="黑体" w:hAnsi="黑体" w:eastAsia="黑体" w:cs="黑体"/>
          <w:color w:val="auto"/>
          <w:spacing w:val="-93"/>
          <w:sz w:val="24"/>
          <w:szCs w:val="24"/>
        </w:rPr>
        <w:t xml:space="preserve"> </w:t>
      </w:r>
      <w:r>
        <w:rPr>
          <w:rFonts w:hint="eastAsia" w:ascii="黑体" w:hAnsi="黑体" w:eastAsia="黑体" w:cs="黑体"/>
          <w:color w:val="auto"/>
          <w:spacing w:val="-14"/>
          <w:sz w:val="24"/>
          <w:szCs w:val="24"/>
        </w:rPr>
        <w:t>）</w:t>
      </w:r>
      <w:r>
        <w:rPr>
          <w:rFonts w:hint="eastAsia" w:ascii="黑体" w:hAnsi="黑体" w:eastAsia="黑体" w:cs="黑体"/>
          <w:color w:val="auto"/>
          <w:spacing w:val="-13"/>
          <w:sz w:val="24"/>
          <w:szCs w:val="24"/>
        </w:rPr>
        <w:t>。</w:t>
      </w:r>
    </w:p>
    <w:p w14:paraId="3088E6C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outlineLvl w:val="0"/>
        <w:rPr>
          <w:rFonts w:hint="eastAsia" w:ascii="黑体" w:hAnsi="黑体" w:eastAsia="黑体" w:cs="黑体"/>
          <w:color w:val="auto"/>
          <w:spacing w:val="-3"/>
          <w:sz w:val="24"/>
          <w:szCs w:val="24"/>
        </w:rPr>
      </w:pPr>
      <w:r>
        <w:rPr>
          <w:rFonts w:hint="eastAsia" w:ascii="黑体" w:hAnsi="黑体" w:eastAsia="黑体" w:cs="黑体"/>
          <w:color w:val="auto"/>
          <w:spacing w:val="-3"/>
          <w:sz w:val="24"/>
          <w:szCs w:val="24"/>
        </w:rPr>
        <w:t>分项价格为：</w:t>
      </w:r>
    </w:p>
    <w:p w14:paraId="5F21F21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outlineLvl w:val="0"/>
        <w:rPr>
          <w:rFonts w:hint="eastAsia" w:ascii="黑体" w:hAnsi="黑体" w:eastAsia="黑体" w:cs="黑体"/>
          <w:color w:val="auto"/>
          <w:sz w:val="24"/>
          <w:szCs w:val="24"/>
        </w:rPr>
      </w:pPr>
      <w:r>
        <w:rPr>
          <w:rFonts w:hint="eastAsia" w:ascii="黑体" w:hAnsi="黑体" w:eastAsia="黑体" w:cs="黑体"/>
          <w:color w:val="auto"/>
          <w:spacing w:val="-1"/>
          <w:sz w:val="24"/>
          <w:szCs w:val="24"/>
        </w:rPr>
        <w:t>1.4 付款方式和发票开具方式</w:t>
      </w:r>
    </w:p>
    <w:p w14:paraId="5ED0C77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1.4.1</w:t>
      </w:r>
      <w:r>
        <w:rPr>
          <w:rFonts w:hint="eastAsia" w:ascii="黑体" w:hAnsi="黑体" w:eastAsia="黑体" w:cs="黑体"/>
          <w:color w:val="auto"/>
          <w:spacing w:val="-52"/>
          <w:sz w:val="24"/>
          <w:szCs w:val="24"/>
        </w:rPr>
        <w:t xml:space="preserve"> </w:t>
      </w:r>
      <w:r>
        <w:rPr>
          <w:rFonts w:hint="eastAsia" w:ascii="黑体" w:hAnsi="黑体" w:eastAsia="黑体" w:cs="黑体"/>
          <w:color w:val="auto"/>
          <w:spacing w:val="-2"/>
          <w:sz w:val="24"/>
          <w:szCs w:val="24"/>
        </w:rPr>
        <w:t>付款方式：</w:t>
      </w:r>
      <w:r>
        <w:rPr>
          <w:rFonts w:hint="eastAsia" w:ascii="黑体" w:hAnsi="黑体" w:eastAsia="黑体" w:cs="黑体"/>
          <w:color w:val="auto"/>
          <w:spacing w:val="-2"/>
          <w:sz w:val="24"/>
          <w:szCs w:val="24"/>
          <w:u w:val="single" w:color="auto"/>
          <w:lang w:val="en-US" w:eastAsia="zh-CN"/>
        </w:rPr>
        <w:t>甲乙双方签订合同时约定</w:t>
      </w:r>
      <w:r>
        <w:rPr>
          <w:rFonts w:hint="eastAsia" w:ascii="黑体" w:hAnsi="黑体" w:eastAsia="黑体" w:cs="黑体"/>
          <w:color w:val="auto"/>
          <w:spacing w:val="-91"/>
          <w:sz w:val="24"/>
          <w:szCs w:val="24"/>
          <w:u w:val="single" w:color="auto"/>
        </w:rPr>
        <w:t xml:space="preserve"> </w:t>
      </w:r>
      <w:r>
        <w:rPr>
          <w:rFonts w:hint="eastAsia" w:ascii="黑体" w:hAnsi="黑体" w:eastAsia="黑体" w:cs="黑体"/>
          <w:color w:val="auto"/>
          <w:spacing w:val="-79"/>
          <w:sz w:val="24"/>
          <w:szCs w:val="24"/>
        </w:rPr>
        <w:t xml:space="preserve"> </w:t>
      </w:r>
      <w:r>
        <w:rPr>
          <w:rFonts w:hint="eastAsia" w:ascii="黑体" w:hAnsi="黑体" w:eastAsia="黑体" w:cs="黑体"/>
          <w:color w:val="auto"/>
          <w:spacing w:val="3"/>
          <w:sz w:val="24"/>
          <w:szCs w:val="24"/>
        </w:rPr>
        <w:t>;</w:t>
      </w:r>
    </w:p>
    <w:p w14:paraId="0B16E12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1.4.2 发票开具方式：</w:t>
      </w:r>
      <w:r>
        <w:rPr>
          <w:rFonts w:hint="eastAsia" w:ascii="黑体" w:hAnsi="黑体" w:eastAsia="黑体" w:cs="黑体"/>
          <w:color w:val="auto"/>
          <w:sz w:val="24"/>
          <w:szCs w:val="24"/>
          <w:u w:val="single" w:color="auto"/>
        </w:rPr>
        <w:t xml:space="preserve">                                             </w:t>
      </w:r>
      <w:r>
        <w:rPr>
          <w:rFonts w:hint="eastAsia" w:ascii="黑体" w:hAnsi="黑体" w:eastAsia="黑体" w:cs="黑体"/>
          <w:color w:val="auto"/>
          <w:spacing w:val="-2"/>
          <w:sz w:val="24"/>
          <w:szCs w:val="24"/>
        </w:rPr>
        <w:t>。</w:t>
      </w:r>
    </w:p>
    <w:p w14:paraId="16064BD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outlineLvl w:val="0"/>
        <w:rPr>
          <w:rFonts w:hint="eastAsia" w:ascii="黑体" w:hAnsi="黑体" w:eastAsia="黑体" w:cs="黑体"/>
          <w:color w:val="auto"/>
          <w:sz w:val="24"/>
          <w:szCs w:val="24"/>
        </w:rPr>
      </w:pPr>
      <w:r>
        <w:rPr>
          <w:rFonts w:hint="eastAsia" w:ascii="黑体" w:hAnsi="黑体" w:eastAsia="黑体" w:cs="黑体"/>
          <w:color w:val="auto"/>
          <w:spacing w:val="-1"/>
          <w:sz w:val="24"/>
          <w:szCs w:val="24"/>
        </w:rPr>
        <w:t>1.5 履行期限、地点和方式</w:t>
      </w:r>
    </w:p>
    <w:p w14:paraId="2E00B8E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1" w:firstLineChars="176"/>
        <w:rPr>
          <w:rFonts w:hint="eastAsia" w:ascii="黑体" w:hAnsi="黑体" w:eastAsia="黑体" w:cs="黑体"/>
          <w:color w:val="auto"/>
          <w:sz w:val="24"/>
          <w:szCs w:val="24"/>
        </w:rPr>
      </w:pPr>
      <w:r>
        <w:rPr>
          <w:rFonts w:hint="eastAsia" w:ascii="黑体" w:hAnsi="黑体" w:eastAsia="黑体" w:cs="黑体"/>
          <w:color w:val="auto"/>
          <w:spacing w:val="-3"/>
          <w:sz w:val="24"/>
          <w:szCs w:val="24"/>
        </w:rPr>
        <w:t>1.5.1 履行期限</w:t>
      </w:r>
      <w:r>
        <w:rPr>
          <w:rFonts w:hint="eastAsia" w:ascii="黑体" w:hAnsi="黑体" w:eastAsia="黑体" w:cs="黑体"/>
          <w:color w:val="auto"/>
          <w:spacing w:val="3"/>
          <w:sz w:val="24"/>
          <w:szCs w:val="24"/>
        </w:rPr>
        <w:t>：</w:t>
      </w:r>
      <w:r>
        <w:rPr>
          <w:rFonts w:hint="eastAsia" w:ascii="黑体" w:hAnsi="黑体" w:eastAsia="黑体" w:cs="黑体"/>
          <w:color w:val="auto"/>
          <w:sz w:val="24"/>
          <w:szCs w:val="24"/>
          <w:u w:val="single" w:color="auto"/>
        </w:rPr>
        <w:t xml:space="preserve"> </w:t>
      </w:r>
      <w:r>
        <w:rPr>
          <w:rFonts w:hint="eastAsia" w:ascii="黑体" w:hAnsi="黑体" w:eastAsia="黑体" w:cs="黑体"/>
          <w:color w:val="auto"/>
          <w:sz w:val="24"/>
          <w:szCs w:val="24"/>
          <w:u w:val="single" w:color="auto"/>
          <w:lang w:val="en-US" w:eastAsia="zh-CN"/>
        </w:rPr>
        <w:t>自签订合同之日起15个日历日</w:t>
      </w:r>
      <w:r>
        <w:rPr>
          <w:rFonts w:hint="eastAsia" w:ascii="黑体" w:hAnsi="黑体" w:eastAsia="黑体" w:cs="黑体"/>
          <w:color w:val="auto"/>
          <w:sz w:val="24"/>
          <w:szCs w:val="24"/>
          <w:u w:val="single" w:color="auto"/>
        </w:rPr>
        <w:t xml:space="preserve">               </w:t>
      </w:r>
      <w:r>
        <w:rPr>
          <w:rFonts w:hint="eastAsia" w:ascii="黑体" w:hAnsi="黑体" w:eastAsia="黑体" w:cs="黑体"/>
          <w:color w:val="auto"/>
          <w:sz w:val="24"/>
          <w:szCs w:val="24"/>
          <w:u w:val="single" w:color="auto"/>
          <w:lang w:val="en-US" w:eastAsia="zh-CN"/>
        </w:rPr>
        <w:t xml:space="preserve">     </w:t>
      </w:r>
      <w:r>
        <w:rPr>
          <w:rFonts w:hint="eastAsia" w:ascii="黑体" w:hAnsi="黑体" w:eastAsia="黑体" w:cs="黑体"/>
          <w:color w:val="auto"/>
          <w:spacing w:val="3"/>
          <w:sz w:val="24"/>
          <w:szCs w:val="24"/>
        </w:rPr>
        <w:t>；</w:t>
      </w:r>
    </w:p>
    <w:p w14:paraId="5F0AB66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rPr>
      </w:pPr>
      <w:r>
        <w:rPr>
          <w:rFonts w:hint="eastAsia" w:ascii="黑体" w:hAnsi="黑体" w:eastAsia="黑体" w:cs="黑体"/>
          <w:color w:val="auto"/>
          <w:sz w:val="24"/>
          <w:szCs w:val="24"/>
        </w:rPr>
        <w:t>1.5.2 履行地点：</w:t>
      </w:r>
      <w:r>
        <w:rPr>
          <w:rFonts w:hint="eastAsia" w:ascii="黑体" w:hAnsi="黑体" w:eastAsia="黑体" w:cs="黑体"/>
          <w:color w:val="auto"/>
          <w:sz w:val="24"/>
          <w:szCs w:val="24"/>
          <w:u w:val="single" w:color="auto"/>
        </w:rPr>
        <w:t xml:space="preserve">甲方指定地点              </w:t>
      </w:r>
      <w:r>
        <w:rPr>
          <w:rFonts w:hint="eastAsia" w:ascii="黑体" w:hAnsi="黑体" w:eastAsia="黑体" w:cs="黑体"/>
          <w:color w:val="auto"/>
          <w:spacing w:val="-1"/>
          <w:sz w:val="24"/>
          <w:szCs w:val="24"/>
          <w:u w:val="single" w:color="auto"/>
        </w:rPr>
        <w:t xml:space="preserve">                      </w:t>
      </w:r>
      <w:r>
        <w:rPr>
          <w:rFonts w:hint="eastAsia" w:ascii="黑体" w:hAnsi="黑体" w:eastAsia="黑体" w:cs="黑体"/>
          <w:color w:val="auto"/>
          <w:spacing w:val="-1"/>
          <w:sz w:val="24"/>
          <w:szCs w:val="24"/>
        </w:rPr>
        <w:t>；</w:t>
      </w:r>
    </w:p>
    <w:p w14:paraId="4B139A2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6"/>
        <w:rPr>
          <w:rFonts w:hint="eastAsia" w:ascii="黑体" w:hAnsi="黑体" w:eastAsia="黑体" w:cs="黑体"/>
          <w:color w:val="auto"/>
          <w:sz w:val="24"/>
          <w:szCs w:val="24"/>
        </w:rPr>
      </w:pPr>
      <w:r>
        <w:rPr>
          <w:rFonts w:hint="eastAsia" w:ascii="黑体" w:hAnsi="黑体" w:eastAsia="黑体" w:cs="黑体"/>
          <w:color w:val="auto"/>
          <w:sz w:val="24"/>
          <w:szCs w:val="24"/>
        </w:rPr>
        <w:t>1.5.3 履行方式：</w:t>
      </w:r>
      <w:r>
        <w:rPr>
          <w:rFonts w:hint="eastAsia" w:ascii="黑体" w:hAnsi="黑体" w:eastAsia="黑体" w:cs="黑体"/>
          <w:color w:val="auto"/>
          <w:sz w:val="24"/>
          <w:szCs w:val="24"/>
          <w:u w:val="single" w:color="auto"/>
        </w:rPr>
        <w:t xml:space="preserve">甲方指定方式              </w:t>
      </w:r>
      <w:r>
        <w:rPr>
          <w:rFonts w:hint="eastAsia" w:ascii="黑体" w:hAnsi="黑体" w:eastAsia="黑体" w:cs="黑体"/>
          <w:color w:val="auto"/>
          <w:spacing w:val="-1"/>
          <w:sz w:val="24"/>
          <w:szCs w:val="24"/>
          <w:u w:val="single" w:color="auto"/>
        </w:rPr>
        <w:t xml:space="preserve">                      </w:t>
      </w:r>
      <w:r>
        <w:rPr>
          <w:rFonts w:hint="eastAsia" w:ascii="黑体" w:hAnsi="黑体" w:eastAsia="黑体" w:cs="黑体"/>
          <w:color w:val="auto"/>
          <w:spacing w:val="-1"/>
          <w:sz w:val="24"/>
          <w:szCs w:val="24"/>
        </w:rPr>
        <w:t>。</w:t>
      </w:r>
    </w:p>
    <w:p w14:paraId="3C699723">
      <w:pPr>
        <w:keepNext w:val="0"/>
        <w:keepLines w:val="0"/>
        <w:pageBreakBefore w:val="0"/>
        <w:widowControl/>
        <w:kinsoku/>
        <w:wordWrap w:val="0"/>
        <w:overflowPunct/>
        <w:topLinePunct w:val="0"/>
        <w:autoSpaceDE/>
        <w:autoSpaceDN/>
        <w:bidi w:val="0"/>
        <w:adjustRightInd w:val="0"/>
        <w:snapToGrid w:val="0"/>
        <w:spacing w:line="360" w:lineRule="auto"/>
        <w:ind w:left="74" w:leftChars="0" w:right="0" w:hanging="74" w:hangingChars="32"/>
        <w:outlineLvl w:val="0"/>
        <w:rPr>
          <w:rFonts w:hint="eastAsia" w:ascii="黑体" w:hAnsi="黑体" w:eastAsia="黑体" w:cs="黑体"/>
          <w:color w:val="auto"/>
          <w:sz w:val="24"/>
          <w:szCs w:val="24"/>
        </w:rPr>
      </w:pPr>
      <w:r>
        <w:rPr>
          <w:rFonts w:hint="eastAsia" w:ascii="黑体" w:hAnsi="黑体" w:eastAsia="黑体" w:cs="黑体"/>
          <w:color w:val="auto"/>
          <w:spacing w:val="-3"/>
          <w:sz w:val="24"/>
          <w:szCs w:val="24"/>
        </w:rPr>
        <w:t>1.6 违约责任</w:t>
      </w:r>
    </w:p>
    <w:p w14:paraId="7B67ED7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7"/>
        <w:jc w:val="both"/>
        <w:rPr>
          <w:rFonts w:hint="eastAsia" w:ascii="黑体" w:hAnsi="黑体" w:eastAsia="黑体" w:cs="黑体"/>
          <w:color w:val="auto"/>
          <w:sz w:val="24"/>
          <w:szCs w:val="24"/>
        </w:rPr>
      </w:pPr>
      <w:r>
        <w:rPr>
          <w:rFonts w:hint="eastAsia" w:ascii="黑体" w:hAnsi="黑体" w:eastAsia="黑体" w:cs="黑体"/>
          <w:color w:val="auto"/>
          <w:sz w:val="24"/>
          <w:szCs w:val="24"/>
        </w:rPr>
        <w:t>1.6.1 除不可抗力外，任何一方未能履</w:t>
      </w:r>
      <w:r>
        <w:rPr>
          <w:rFonts w:hint="eastAsia" w:ascii="黑体" w:hAnsi="黑体" w:eastAsia="黑体" w:cs="黑体"/>
          <w:color w:val="auto"/>
          <w:spacing w:val="-1"/>
          <w:sz w:val="24"/>
          <w:szCs w:val="24"/>
        </w:rPr>
        <w:t>行本合同约定的其他主要义务，经催告后在合理期限</w:t>
      </w:r>
      <w:r>
        <w:rPr>
          <w:rFonts w:hint="eastAsia" w:ascii="黑体" w:hAnsi="黑体" w:eastAsia="黑体" w:cs="黑体"/>
          <w:color w:val="auto"/>
          <w:sz w:val="24"/>
          <w:szCs w:val="24"/>
        </w:rPr>
        <w:t xml:space="preserve"> 内仍未履行的，或者任何一方有其他违约行为致使不能实现合同目的的，或者任何一</w:t>
      </w:r>
      <w:r>
        <w:rPr>
          <w:rFonts w:hint="eastAsia" w:ascii="黑体" w:hAnsi="黑体" w:eastAsia="黑体" w:cs="黑体"/>
          <w:color w:val="auto"/>
          <w:spacing w:val="-1"/>
          <w:sz w:val="24"/>
          <w:szCs w:val="24"/>
        </w:rPr>
        <w:t>方有腐败行</w:t>
      </w:r>
      <w:r>
        <w:rPr>
          <w:rFonts w:hint="eastAsia" w:ascii="黑体" w:hAnsi="黑体" w:eastAsia="黑体" w:cs="黑体"/>
          <w:color w:val="auto"/>
          <w:sz w:val="24"/>
          <w:szCs w:val="24"/>
        </w:rPr>
        <w:t xml:space="preserve"> 为（即：提供或给予或接受或索取任何财物或其他好处或者采取其他不正当手段来影</w:t>
      </w:r>
      <w:r>
        <w:rPr>
          <w:rFonts w:hint="eastAsia" w:ascii="黑体" w:hAnsi="黑体" w:eastAsia="黑体" w:cs="黑体"/>
          <w:color w:val="auto"/>
          <w:spacing w:val="-1"/>
          <w:sz w:val="24"/>
          <w:szCs w:val="24"/>
        </w:rPr>
        <w:t>响对方当事</w:t>
      </w:r>
      <w:r>
        <w:rPr>
          <w:rFonts w:hint="eastAsia" w:ascii="黑体" w:hAnsi="黑体" w:eastAsia="黑体" w:cs="黑体"/>
          <w:color w:val="auto"/>
          <w:sz w:val="24"/>
          <w:szCs w:val="24"/>
        </w:rPr>
        <w:t xml:space="preserve"> 人在合同签订、履行过程中的行为）或者欺诈行为（即：以谎报事实或隐瞒真相的方</w:t>
      </w:r>
      <w:r>
        <w:rPr>
          <w:rFonts w:hint="eastAsia" w:ascii="黑体" w:hAnsi="黑体" w:eastAsia="黑体" w:cs="黑体"/>
          <w:color w:val="auto"/>
          <w:spacing w:val="-1"/>
          <w:sz w:val="24"/>
          <w:szCs w:val="24"/>
        </w:rPr>
        <w:t>法来影响对</w:t>
      </w:r>
      <w:r>
        <w:rPr>
          <w:rFonts w:hint="eastAsia" w:ascii="黑体" w:hAnsi="黑体" w:eastAsia="黑体" w:cs="黑体"/>
          <w:color w:val="auto"/>
          <w:sz w:val="24"/>
          <w:szCs w:val="24"/>
        </w:rPr>
        <w:t>方当事人在合同签订、履行过程中的行为）的，</w:t>
      </w:r>
      <w:r>
        <w:rPr>
          <w:rFonts w:hint="eastAsia" w:ascii="黑体" w:hAnsi="黑体" w:eastAsia="黑体" w:cs="黑体"/>
          <w:color w:val="auto"/>
          <w:spacing w:val="-1"/>
          <w:sz w:val="24"/>
          <w:szCs w:val="24"/>
        </w:rPr>
        <w:t>对方当事人可以书面通知违约方解除本合同；</w:t>
      </w:r>
    </w:p>
    <w:p w14:paraId="79117A5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0"/>
        <w:jc w:val="both"/>
        <w:rPr>
          <w:rFonts w:hint="eastAsia" w:ascii="黑体" w:hAnsi="黑体" w:eastAsia="黑体" w:cs="黑体"/>
          <w:color w:val="auto"/>
          <w:sz w:val="24"/>
          <w:szCs w:val="24"/>
        </w:rPr>
      </w:pPr>
      <w:r>
        <w:rPr>
          <w:rFonts w:hint="eastAsia" w:ascii="黑体" w:hAnsi="黑体" w:eastAsia="黑体" w:cs="黑体"/>
          <w:color w:val="auto"/>
          <w:spacing w:val="-1"/>
          <w:sz w:val="24"/>
          <w:szCs w:val="24"/>
        </w:rPr>
        <w:t>1</w:t>
      </w:r>
      <w:r>
        <w:rPr>
          <w:rFonts w:hint="eastAsia" w:ascii="黑体" w:hAnsi="黑体" w:eastAsia="黑体" w:cs="黑体"/>
          <w:color w:val="auto"/>
          <w:sz w:val="24"/>
          <w:szCs w:val="24"/>
        </w:rPr>
        <w:t>.6.2 任何一方按照前述约定要求违约方</w:t>
      </w:r>
      <w:r>
        <w:rPr>
          <w:rFonts w:hint="eastAsia" w:ascii="黑体" w:hAnsi="黑体" w:eastAsia="黑体" w:cs="黑体"/>
          <w:color w:val="auto"/>
          <w:spacing w:val="-1"/>
          <w:sz w:val="24"/>
          <w:szCs w:val="24"/>
        </w:rPr>
        <w:t>支付违约金的同时，仍有权要求违约方继续履行</w:t>
      </w:r>
      <w:r>
        <w:rPr>
          <w:rFonts w:hint="eastAsia" w:ascii="黑体" w:hAnsi="黑体" w:eastAsia="黑体" w:cs="黑体"/>
          <w:color w:val="auto"/>
          <w:sz w:val="24"/>
          <w:szCs w:val="24"/>
        </w:rPr>
        <w:t>合 同、采取补救措施，并有权按照己方实际损失情况要求违约方赔偿</w:t>
      </w:r>
      <w:r>
        <w:rPr>
          <w:rFonts w:hint="eastAsia" w:ascii="黑体" w:hAnsi="黑体" w:eastAsia="黑体" w:cs="黑体"/>
          <w:color w:val="auto"/>
          <w:spacing w:val="-1"/>
          <w:sz w:val="24"/>
          <w:szCs w:val="24"/>
        </w:rPr>
        <w:t>损失；任何一方按照前述约定</w:t>
      </w:r>
      <w:r>
        <w:rPr>
          <w:rFonts w:hint="eastAsia" w:ascii="黑体" w:hAnsi="黑体" w:eastAsia="黑体" w:cs="黑体"/>
          <w:color w:val="auto"/>
          <w:sz w:val="24"/>
          <w:szCs w:val="24"/>
        </w:rPr>
        <w:t xml:space="preserve"> 要求解除本合同的同时，仍有权要求违约方支付违约金和按照己方</w:t>
      </w:r>
      <w:r>
        <w:rPr>
          <w:rFonts w:hint="eastAsia" w:ascii="黑体" w:hAnsi="黑体" w:eastAsia="黑体" w:cs="黑体"/>
          <w:color w:val="auto"/>
          <w:spacing w:val="-1"/>
          <w:sz w:val="24"/>
          <w:szCs w:val="24"/>
        </w:rPr>
        <w:t>实际损失情况要求违约方赔偿</w:t>
      </w:r>
      <w:r>
        <w:rPr>
          <w:rFonts w:hint="eastAsia" w:ascii="黑体" w:hAnsi="黑体" w:eastAsia="黑体" w:cs="黑体"/>
          <w:color w:val="auto"/>
          <w:sz w:val="24"/>
          <w:szCs w:val="24"/>
        </w:rPr>
        <w:t>损失；且守约方行使的任何权利救济方式均不视为其放弃了其他</w:t>
      </w:r>
      <w:r>
        <w:rPr>
          <w:rFonts w:hint="eastAsia" w:ascii="黑体" w:hAnsi="黑体" w:eastAsia="黑体" w:cs="黑体"/>
          <w:color w:val="auto"/>
          <w:spacing w:val="-1"/>
          <w:sz w:val="24"/>
          <w:szCs w:val="24"/>
        </w:rPr>
        <w:t>法定或者约定的权利救济方式；</w:t>
      </w:r>
    </w:p>
    <w:p w14:paraId="0F14A1A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1"/>
        <w:jc w:val="both"/>
        <w:rPr>
          <w:rFonts w:hint="eastAsia" w:ascii="黑体" w:hAnsi="黑体" w:eastAsia="黑体" w:cs="黑体"/>
          <w:color w:val="auto"/>
          <w:spacing w:val="-1"/>
          <w:sz w:val="24"/>
          <w:szCs w:val="24"/>
        </w:rPr>
      </w:pPr>
      <w:r>
        <w:rPr>
          <w:rFonts w:hint="eastAsia" w:ascii="黑体" w:hAnsi="黑体" w:eastAsia="黑体" w:cs="黑体"/>
          <w:color w:val="auto"/>
          <w:sz w:val="24"/>
          <w:szCs w:val="24"/>
        </w:rPr>
        <w:t>1.6.3 除前述约定外，除不可抗力外，</w:t>
      </w:r>
      <w:r>
        <w:rPr>
          <w:rFonts w:hint="eastAsia" w:ascii="黑体" w:hAnsi="黑体" w:eastAsia="黑体" w:cs="黑体"/>
          <w:color w:val="auto"/>
          <w:spacing w:val="-1"/>
          <w:sz w:val="24"/>
          <w:szCs w:val="24"/>
        </w:rPr>
        <w:t>任何一方未能履行本合同约定的义务，对方当事人均</w:t>
      </w:r>
      <w:r>
        <w:rPr>
          <w:rFonts w:hint="eastAsia" w:ascii="黑体" w:hAnsi="黑体" w:eastAsia="黑体" w:cs="黑体"/>
          <w:color w:val="auto"/>
          <w:sz w:val="24"/>
          <w:szCs w:val="24"/>
        </w:rPr>
        <w:t xml:space="preserve"> 有权要求继续履行、采取补救措施或者赔偿损失等，且对方当事人行</w:t>
      </w:r>
      <w:r>
        <w:rPr>
          <w:rFonts w:hint="eastAsia" w:ascii="黑体" w:hAnsi="黑体" w:eastAsia="黑体" w:cs="黑体"/>
          <w:color w:val="auto"/>
          <w:spacing w:val="-1"/>
          <w:sz w:val="24"/>
          <w:szCs w:val="24"/>
        </w:rPr>
        <w:t>使的任何权利救济方式均不视为其放弃了其他法定或者约定的权利救济方式；</w:t>
      </w:r>
    </w:p>
    <w:p w14:paraId="0C2FCC8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pacing w:val="-3"/>
          <w:sz w:val="24"/>
          <w:szCs w:val="24"/>
        </w:rPr>
      </w:pPr>
      <w:r>
        <w:rPr>
          <w:rFonts w:hint="eastAsia" w:ascii="黑体" w:hAnsi="黑体" w:eastAsia="黑体" w:cs="黑体"/>
          <w:color w:val="auto"/>
          <w:sz w:val="24"/>
          <w:szCs w:val="24"/>
        </w:rPr>
        <w:t>1.6.4 如果出现政府采购监督管理部门</w:t>
      </w:r>
      <w:r>
        <w:rPr>
          <w:rFonts w:hint="eastAsia" w:ascii="黑体" w:hAnsi="黑体" w:eastAsia="黑体" w:cs="黑体"/>
          <w:color w:val="auto"/>
          <w:spacing w:val="-1"/>
          <w:sz w:val="24"/>
          <w:szCs w:val="24"/>
        </w:rPr>
        <w:t>在处理投诉事项期间，书面通知甲方暂停采购活动的</w:t>
      </w:r>
      <w:r>
        <w:rPr>
          <w:rFonts w:hint="eastAsia" w:ascii="黑体" w:hAnsi="黑体" w:eastAsia="黑体" w:cs="黑体"/>
          <w:color w:val="auto"/>
          <w:sz w:val="24"/>
          <w:szCs w:val="24"/>
        </w:rPr>
        <w:t xml:space="preserve"> 情形，或者询问或质疑事项可能影响中标结果</w:t>
      </w:r>
      <w:r>
        <w:rPr>
          <w:rFonts w:hint="eastAsia" w:ascii="黑体" w:hAnsi="黑体" w:eastAsia="黑体" w:cs="黑体"/>
          <w:color w:val="auto"/>
          <w:spacing w:val="-1"/>
          <w:sz w:val="24"/>
          <w:szCs w:val="24"/>
        </w:rPr>
        <w:t>的，导致甲方中止履行合同的情形，均不视为甲方</w:t>
      </w:r>
      <w:r>
        <w:rPr>
          <w:rFonts w:hint="eastAsia" w:ascii="黑体" w:hAnsi="黑体" w:eastAsia="黑体" w:cs="黑体"/>
          <w:color w:val="auto"/>
          <w:spacing w:val="-3"/>
          <w:sz w:val="24"/>
          <w:szCs w:val="24"/>
        </w:rPr>
        <w:t>违约。</w:t>
      </w:r>
    </w:p>
    <w:p w14:paraId="7E8C9F6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3" w:firstLineChars="175"/>
        <w:jc w:val="both"/>
        <w:rPr>
          <w:rFonts w:hint="eastAsia" w:ascii="黑体" w:hAnsi="黑体" w:eastAsia="黑体" w:cs="黑体"/>
          <w:color w:val="auto"/>
          <w:sz w:val="24"/>
          <w:szCs w:val="24"/>
        </w:rPr>
      </w:pPr>
      <w:r>
        <w:rPr>
          <w:rFonts w:hint="eastAsia" w:ascii="黑体" w:hAnsi="黑体" w:eastAsia="黑体" w:cs="黑体"/>
          <w:color w:val="auto"/>
          <w:spacing w:val="-2"/>
          <w:sz w:val="24"/>
          <w:szCs w:val="24"/>
        </w:rPr>
        <w:t>1.7 合同争议的解决</w:t>
      </w:r>
    </w:p>
    <w:p w14:paraId="494C926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91"/>
        <w:jc w:val="both"/>
        <w:rPr>
          <w:rFonts w:hint="eastAsia" w:ascii="黑体" w:hAnsi="黑体" w:eastAsia="黑体" w:cs="黑体"/>
          <w:color w:val="auto"/>
          <w:sz w:val="24"/>
          <w:szCs w:val="24"/>
        </w:rPr>
      </w:pPr>
      <w:r>
        <w:rPr>
          <w:rFonts w:hint="eastAsia" w:ascii="黑体" w:hAnsi="黑体" w:eastAsia="黑体" w:cs="黑体"/>
          <w:color w:val="auto"/>
          <w:sz w:val="24"/>
          <w:szCs w:val="24"/>
        </w:rPr>
        <w:t>本合同履行过程中发生的任何争议，双方当事人均可通过和解或者调解解决；不愿和解、调解或者和解、调解不成的，可以选择下列第二种方式解决：</w:t>
      </w:r>
    </w:p>
    <w:p w14:paraId="65EBFA4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rPr>
      </w:pPr>
      <w:r>
        <w:rPr>
          <w:rFonts w:hint="eastAsia" w:ascii="黑体" w:hAnsi="黑体" w:eastAsia="黑体" w:cs="黑体"/>
          <w:color w:val="auto"/>
          <w:spacing w:val="-1"/>
          <w:sz w:val="24"/>
          <w:szCs w:val="24"/>
        </w:rPr>
        <w:t>1.7.1 将争议提交</w:t>
      </w:r>
      <w:r>
        <w:rPr>
          <w:rFonts w:hint="eastAsia" w:ascii="黑体" w:hAnsi="黑体" w:eastAsia="黑体" w:cs="黑体"/>
          <w:color w:val="auto"/>
          <w:spacing w:val="-1"/>
          <w:sz w:val="24"/>
          <w:szCs w:val="24"/>
          <w:u w:val="single" w:color="auto"/>
        </w:rPr>
        <w:t xml:space="preserve">     </w:t>
      </w:r>
      <w:r>
        <w:rPr>
          <w:rFonts w:hint="eastAsia" w:ascii="黑体" w:hAnsi="黑体" w:eastAsia="黑体" w:cs="黑体"/>
          <w:color w:val="auto"/>
          <w:spacing w:val="-1"/>
          <w:sz w:val="24"/>
          <w:szCs w:val="24"/>
          <w:u w:val="single" w:color="auto"/>
          <w:lang w:val="en-US" w:eastAsia="zh-CN"/>
        </w:rPr>
        <w:t xml:space="preserve">       </w:t>
      </w:r>
      <w:r>
        <w:rPr>
          <w:rFonts w:hint="eastAsia" w:ascii="黑体" w:hAnsi="黑体" w:eastAsia="黑体" w:cs="黑体"/>
          <w:color w:val="auto"/>
          <w:spacing w:val="-103"/>
          <w:sz w:val="24"/>
          <w:szCs w:val="24"/>
        </w:rPr>
        <w:t xml:space="preserve"> </w:t>
      </w:r>
      <w:r>
        <w:rPr>
          <w:rFonts w:hint="eastAsia" w:ascii="黑体" w:hAnsi="黑体" w:eastAsia="黑体" w:cs="黑体"/>
          <w:color w:val="auto"/>
          <w:spacing w:val="-1"/>
          <w:sz w:val="24"/>
          <w:szCs w:val="24"/>
        </w:rPr>
        <w:t>仲裁委员会依申请仲裁时其现行有效的仲裁规则裁决；</w:t>
      </w:r>
    </w:p>
    <w:p w14:paraId="3892459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rPr>
      </w:pPr>
      <w:r>
        <w:rPr>
          <w:rFonts w:hint="eastAsia" w:ascii="黑体" w:hAnsi="黑体" w:eastAsia="黑体" w:cs="黑体"/>
          <w:color w:val="auto"/>
          <w:spacing w:val="-2"/>
          <w:sz w:val="24"/>
          <w:szCs w:val="24"/>
        </w:rPr>
        <w:t>1.7.2 向</w:t>
      </w:r>
      <w:r>
        <w:rPr>
          <w:rFonts w:hint="eastAsia" w:ascii="黑体" w:hAnsi="黑体" w:eastAsia="黑体" w:cs="黑体"/>
          <w:color w:val="auto"/>
          <w:spacing w:val="-2"/>
          <w:sz w:val="24"/>
          <w:szCs w:val="24"/>
          <w:u w:val="single" w:color="auto"/>
        </w:rPr>
        <w:t>合同履行地</w:t>
      </w:r>
      <w:r>
        <w:rPr>
          <w:rFonts w:hint="eastAsia" w:ascii="黑体" w:hAnsi="黑体" w:eastAsia="黑体" w:cs="黑体"/>
          <w:color w:val="auto"/>
          <w:spacing w:val="-2"/>
          <w:sz w:val="24"/>
          <w:szCs w:val="24"/>
        </w:rPr>
        <w:t>人民法院起诉。</w:t>
      </w:r>
    </w:p>
    <w:p w14:paraId="4F93260E">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pacing w:val="-3"/>
          <w:sz w:val="24"/>
          <w:szCs w:val="24"/>
        </w:rPr>
        <w:t>1.8 合同生效</w:t>
      </w:r>
    </w:p>
    <w:p w14:paraId="76BEEBA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rPr>
      </w:pPr>
      <w:r>
        <w:rPr>
          <w:rFonts w:hint="eastAsia" w:ascii="黑体" w:hAnsi="黑体" w:eastAsia="黑体" w:cs="黑体"/>
          <w:color w:val="auto"/>
          <w:spacing w:val="-1"/>
          <w:sz w:val="24"/>
          <w:szCs w:val="24"/>
        </w:rPr>
        <w:t>本合同自双方当事人盖章或者签字时生效。</w:t>
      </w:r>
    </w:p>
    <w:p w14:paraId="4902B7C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rPr>
      </w:pPr>
    </w:p>
    <w:p w14:paraId="3B901C5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rPr>
        <w:sectPr>
          <w:headerReference r:id="rId33" w:type="default"/>
          <w:footerReference r:id="rId34" w:type="default"/>
          <w:pgSz w:w="12240" w:h="15840"/>
          <w:pgMar w:top="1083" w:right="1080" w:bottom="1083" w:left="1085" w:header="0" w:footer="831" w:gutter="0"/>
          <w:pgBorders>
            <w:top w:val="none" w:sz="0" w:space="0"/>
            <w:left w:val="none" w:sz="0" w:space="0"/>
            <w:bottom w:val="none" w:sz="0" w:space="0"/>
            <w:right w:val="none" w:sz="0" w:space="0"/>
          </w:pgBorders>
          <w:pgNumType w:fmt="decimal"/>
          <w:cols w:space="720" w:num="1"/>
        </w:sectPr>
      </w:pPr>
    </w:p>
    <w:p w14:paraId="0CC7F482">
      <w:pPr>
        <w:rPr>
          <w:rFonts w:hint="eastAsia" w:ascii="黑体" w:hAnsi="黑体" w:eastAsia="黑体" w:cs="黑体"/>
          <w:color w:val="auto"/>
          <w:spacing w:val="-14"/>
          <w:sz w:val="24"/>
          <w:szCs w:val="24"/>
        </w:rPr>
      </w:pPr>
      <w:r>
        <w:rPr>
          <w:rFonts w:hint="eastAsia" w:ascii="黑体" w:hAnsi="黑体" w:eastAsia="黑体" w:cs="黑体"/>
          <w:color w:val="auto"/>
          <w:spacing w:val="-14"/>
          <w:sz w:val="24"/>
          <w:szCs w:val="24"/>
        </w:rPr>
        <w:br w:type="page"/>
      </w:r>
    </w:p>
    <w:p w14:paraId="61E65DD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816" w:firstLineChars="385"/>
        <w:rPr>
          <w:rFonts w:hint="eastAsia" w:ascii="黑体" w:hAnsi="黑体" w:eastAsia="黑体" w:cs="黑体"/>
          <w:color w:val="auto"/>
          <w:sz w:val="24"/>
          <w:szCs w:val="24"/>
        </w:rPr>
      </w:pPr>
      <w:r>
        <w:rPr>
          <w:rFonts w:hint="eastAsia" w:ascii="黑体" w:hAnsi="黑体" w:eastAsia="黑体" w:cs="黑体"/>
          <w:color w:val="auto"/>
          <w:spacing w:val="-14"/>
          <w:sz w:val="24"/>
          <w:szCs w:val="24"/>
        </w:rPr>
        <w:t>甲方：</w:t>
      </w:r>
    </w:p>
    <w:p w14:paraId="10B7F67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position w:val="23"/>
          <w:sz w:val="24"/>
          <w:szCs w:val="24"/>
        </w:rPr>
        <w:t>统一社会信用代码：</w:t>
      </w:r>
    </w:p>
    <w:p w14:paraId="2D1522F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rPr>
      </w:pPr>
      <w:r>
        <w:rPr>
          <w:rFonts w:hint="eastAsia" w:ascii="黑体" w:hAnsi="黑体" w:eastAsia="黑体" w:cs="黑体"/>
          <w:color w:val="auto"/>
          <w:spacing w:val="-2"/>
          <w:sz w:val="24"/>
          <w:szCs w:val="24"/>
        </w:rPr>
        <w:t>住所：</w:t>
      </w:r>
    </w:p>
    <w:p w14:paraId="212A33D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57" w:firstLineChars="286"/>
        <w:rPr>
          <w:rFonts w:hint="eastAsia" w:ascii="黑体" w:hAnsi="黑体" w:eastAsia="黑体" w:cs="黑体"/>
          <w:color w:val="auto"/>
          <w:sz w:val="24"/>
          <w:szCs w:val="24"/>
        </w:rPr>
      </w:pPr>
      <w:r>
        <w:rPr>
          <w:rFonts w:hint="eastAsia" w:ascii="黑体" w:hAnsi="黑体" w:eastAsia="黑体" w:cs="黑体"/>
          <w:color w:val="auto"/>
          <w:spacing w:val="-5"/>
          <w:sz w:val="24"/>
          <w:szCs w:val="24"/>
        </w:rPr>
        <w:t>法定代表人或</w:t>
      </w:r>
    </w:p>
    <w:p w14:paraId="49B592C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rPr>
      </w:pPr>
      <w:r>
        <w:rPr>
          <w:rFonts w:hint="eastAsia" w:ascii="黑体" w:hAnsi="黑体" w:eastAsia="黑体" w:cs="黑体"/>
          <w:color w:val="auto"/>
          <w:spacing w:val="-2"/>
          <w:position w:val="24"/>
          <w:sz w:val="24"/>
          <w:szCs w:val="24"/>
        </w:rPr>
        <w:t>授权代表（签字</w:t>
      </w:r>
      <w:r>
        <w:rPr>
          <w:rFonts w:hint="eastAsia" w:ascii="黑体" w:hAnsi="黑体" w:eastAsia="黑体" w:cs="黑体"/>
          <w:color w:val="auto"/>
          <w:position w:val="24"/>
          <w:sz w:val="24"/>
          <w:szCs w:val="24"/>
        </w:rPr>
        <w:t>）：</w:t>
      </w:r>
    </w:p>
    <w:p w14:paraId="1683951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rPr>
      </w:pPr>
      <w:r>
        <w:rPr>
          <w:rFonts w:hint="eastAsia" w:ascii="黑体" w:hAnsi="黑体" w:eastAsia="黑体" w:cs="黑体"/>
          <w:color w:val="auto"/>
          <w:spacing w:val="-2"/>
          <w:sz w:val="24"/>
          <w:szCs w:val="24"/>
        </w:rPr>
        <w:t>联系人：</w:t>
      </w:r>
    </w:p>
    <w:p w14:paraId="6691801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rPr>
      </w:pPr>
      <w:r>
        <w:rPr>
          <w:rFonts w:hint="eastAsia" w:ascii="黑体" w:hAnsi="黑体" w:eastAsia="黑体" w:cs="黑体"/>
          <w:color w:val="auto"/>
          <w:spacing w:val="-4"/>
          <w:position w:val="24"/>
          <w:sz w:val="24"/>
          <w:szCs w:val="24"/>
        </w:rPr>
        <w:t>约定送达地址：</w:t>
      </w:r>
    </w:p>
    <w:p w14:paraId="3FBFF14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rPr>
      </w:pPr>
      <w:r>
        <w:rPr>
          <w:rFonts w:hint="eastAsia" w:ascii="黑体" w:hAnsi="黑体" w:eastAsia="黑体" w:cs="黑体"/>
          <w:color w:val="auto"/>
          <w:spacing w:val="-4"/>
          <w:sz w:val="24"/>
          <w:szCs w:val="24"/>
        </w:rPr>
        <w:t>邮政编码：</w:t>
      </w:r>
    </w:p>
    <w:p w14:paraId="2553278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23" w:firstLineChars="286"/>
        <w:rPr>
          <w:rFonts w:hint="eastAsia" w:ascii="黑体" w:hAnsi="黑体" w:eastAsia="黑体" w:cs="黑体"/>
          <w:color w:val="auto"/>
          <w:sz w:val="24"/>
          <w:szCs w:val="24"/>
        </w:rPr>
      </w:pPr>
      <w:r>
        <w:rPr>
          <w:rFonts w:hint="eastAsia" w:ascii="黑体" w:hAnsi="黑体" w:eastAsia="黑体" w:cs="黑体"/>
          <w:color w:val="auto"/>
          <w:spacing w:val="-11"/>
          <w:sz w:val="24"/>
          <w:szCs w:val="24"/>
        </w:rPr>
        <w:t>电话:</w:t>
      </w:r>
    </w:p>
    <w:p w14:paraId="08F8737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sz w:val="24"/>
          <w:szCs w:val="24"/>
        </w:rPr>
        <w:t>传真:</w:t>
      </w:r>
    </w:p>
    <w:p w14:paraId="3370F4B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46" w:firstLineChars="286"/>
        <w:rPr>
          <w:rFonts w:hint="eastAsia" w:ascii="黑体" w:hAnsi="黑体" w:eastAsia="黑体" w:cs="黑体"/>
          <w:color w:val="auto"/>
          <w:sz w:val="24"/>
          <w:szCs w:val="24"/>
        </w:rPr>
      </w:pPr>
      <w:r>
        <w:rPr>
          <w:rFonts w:hint="eastAsia" w:ascii="黑体" w:hAnsi="黑体" w:eastAsia="黑体" w:cs="黑体"/>
          <w:color w:val="auto"/>
          <w:spacing w:val="-7"/>
          <w:position w:val="24"/>
          <w:sz w:val="24"/>
          <w:szCs w:val="24"/>
        </w:rPr>
        <w:t>电子邮箱：</w:t>
      </w:r>
    </w:p>
    <w:p w14:paraId="10E2EDE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sz w:val="24"/>
          <w:szCs w:val="24"/>
        </w:rPr>
        <w:t>开户银行：</w:t>
      </w:r>
    </w:p>
    <w:p w14:paraId="7602A028">
      <w:pPr>
        <w:pStyle w:val="7"/>
        <w:keepNext w:val="0"/>
        <w:keepLines w:val="0"/>
        <w:pageBreakBefore w:val="0"/>
        <w:widowControl/>
        <w:tabs>
          <w:tab w:val="left" w:pos="567"/>
        </w:tabs>
        <w:kinsoku/>
        <w:wordWrap w:val="0"/>
        <w:overflowPunct/>
        <w:topLinePunct w:val="0"/>
        <w:autoSpaceDE/>
        <w:autoSpaceDN/>
        <w:bidi w:val="0"/>
        <w:adjustRightInd w:val="0"/>
        <w:snapToGrid w:val="0"/>
        <w:spacing w:line="360" w:lineRule="auto"/>
        <w:ind w:left="0" w:leftChars="0" w:right="0" w:firstLine="57" w:firstLineChars="286"/>
        <w:rPr>
          <w:rFonts w:hint="eastAsia" w:ascii="黑体" w:hAnsi="黑体" w:eastAsia="黑体" w:cs="黑体"/>
          <w:color w:val="auto"/>
          <w:sz w:val="2"/>
        </w:rPr>
      </w:pPr>
      <w:r>
        <w:rPr>
          <w:rFonts w:hint="eastAsia" w:ascii="黑体" w:hAnsi="黑体" w:eastAsia="黑体" w:cs="黑体"/>
          <w:color w:val="auto"/>
          <w:sz w:val="2"/>
          <w:szCs w:val="2"/>
        </w:rPr>
        <w:br w:type="column"/>
      </w:r>
    </w:p>
    <w:p w14:paraId="53AF154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12" w:firstLineChars="286"/>
        <w:rPr>
          <w:rFonts w:hint="eastAsia" w:ascii="黑体" w:hAnsi="黑体" w:eastAsia="黑体" w:cs="黑体"/>
          <w:color w:val="auto"/>
          <w:sz w:val="24"/>
          <w:szCs w:val="24"/>
        </w:rPr>
      </w:pPr>
      <w:r>
        <w:rPr>
          <w:rFonts w:hint="eastAsia" w:ascii="黑体" w:hAnsi="黑体" w:eastAsia="黑体" w:cs="黑体"/>
          <w:color w:val="auto"/>
          <w:spacing w:val="-13"/>
          <w:sz w:val="24"/>
          <w:szCs w:val="24"/>
        </w:rPr>
        <w:t>乙方：</w:t>
      </w:r>
    </w:p>
    <w:p w14:paraId="3BCE123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rPr>
      </w:pPr>
      <w:r>
        <w:rPr>
          <w:rFonts w:hint="eastAsia" w:ascii="黑体" w:hAnsi="黑体" w:eastAsia="黑体" w:cs="黑体"/>
          <w:color w:val="auto"/>
          <w:spacing w:val="-2"/>
          <w:position w:val="24"/>
          <w:sz w:val="24"/>
          <w:szCs w:val="24"/>
        </w:rPr>
        <w:t>统一社会信用代码或身份证号码：</w:t>
      </w:r>
    </w:p>
    <w:p w14:paraId="3E41318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rPr>
      </w:pPr>
      <w:r>
        <w:rPr>
          <w:rFonts w:hint="eastAsia" w:ascii="黑体" w:hAnsi="黑体" w:eastAsia="黑体" w:cs="黑体"/>
          <w:color w:val="auto"/>
          <w:spacing w:val="-2"/>
          <w:sz w:val="24"/>
          <w:szCs w:val="24"/>
        </w:rPr>
        <w:t>住所：</w:t>
      </w:r>
    </w:p>
    <w:p w14:paraId="02D235A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52" w:firstLineChars="286"/>
        <w:rPr>
          <w:rFonts w:hint="eastAsia" w:ascii="黑体" w:hAnsi="黑体" w:eastAsia="黑体" w:cs="黑体"/>
          <w:color w:val="auto"/>
          <w:sz w:val="24"/>
          <w:szCs w:val="24"/>
        </w:rPr>
      </w:pPr>
      <w:r>
        <w:rPr>
          <w:rFonts w:hint="eastAsia" w:ascii="黑体" w:hAnsi="黑体" w:eastAsia="黑体" w:cs="黑体"/>
          <w:color w:val="auto"/>
          <w:spacing w:val="-6"/>
          <w:sz w:val="24"/>
          <w:szCs w:val="24"/>
        </w:rPr>
        <w:t>法定代表人</w:t>
      </w:r>
    </w:p>
    <w:p w14:paraId="434268E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97" w:firstLineChars="286"/>
        <w:rPr>
          <w:rFonts w:hint="eastAsia" w:ascii="黑体" w:hAnsi="黑体" w:eastAsia="黑体" w:cs="黑体"/>
          <w:color w:val="auto"/>
          <w:sz w:val="24"/>
          <w:szCs w:val="24"/>
        </w:rPr>
      </w:pPr>
      <w:r>
        <w:rPr>
          <w:rFonts w:hint="eastAsia" w:ascii="黑体" w:hAnsi="黑体" w:eastAsia="黑体" w:cs="黑体"/>
          <w:color w:val="auto"/>
          <w:spacing w:val="2"/>
          <w:position w:val="24"/>
          <w:sz w:val="24"/>
          <w:szCs w:val="24"/>
        </w:rPr>
        <w:t>或授权代表（签字）:</w:t>
      </w:r>
    </w:p>
    <w:p w14:paraId="0617CF1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74" w:firstLineChars="286"/>
        <w:rPr>
          <w:rFonts w:hint="eastAsia" w:ascii="黑体" w:hAnsi="黑体" w:eastAsia="黑体" w:cs="黑体"/>
          <w:color w:val="auto"/>
          <w:sz w:val="24"/>
          <w:szCs w:val="24"/>
        </w:rPr>
      </w:pPr>
      <w:r>
        <w:rPr>
          <w:rFonts w:hint="eastAsia" w:ascii="黑体" w:hAnsi="黑体" w:eastAsia="黑体" w:cs="黑体"/>
          <w:color w:val="auto"/>
          <w:spacing w:val="-2"/>
          <w:sz w:val="24"/>
          <w:szCs w:val="24"/>
        </w:rPr>
        <w:t>联系人：</w:t>
      </w:r>
    </w:p>
    <w:p w14:paraId="74A1A92C">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rPr>
      </w:pPr>
      <w:r>
        <w:rPr>
          <w:rFonts w:hint="eastAsia" w:ascii="黑体" w:hAnsi="黑体" w:eastAsia="黑体" w:cs="黑体"/>
          <w:color w:val="auto"/>
          <w:spacing w:val="-4"/>
          <w:position w:val="24"/>
          <w:sz w:val="24"/>
          <w:szCs w:val="24"/>
        </w:rPr>
        <w:t>约定送达地址：</w:t>
      </w:r>
    </w:p>
    <w:p w14:paraId="45631AF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3" w:firstLineChars="286"/>
        <w:rPr>
          <w:rFonts w:hint="eastAsia" w:ascii="黑体" w:hAnsi="黑体" w:eastAsia="黑体" w:cs="黑体"/>
          <w:color w:val="auto"/>
          <w:sz w:val="24"/>
          <w:szCs w:val="24"/>
        </w:rPr>
      </w:pPr>
      <w:r>
        <w:rPr>
          <w:rFonts w:hint="eastAsia" w:ascii="黑体" w:hAnsi="黑体" w:eastAsia="黑体" w:cs="黑体"/>
          <w:color w:val="auto"/>
          <w:spacing w:val="-4"/>
          <w:sz w:val="24"/>
          <w:szCs w:val="24"/>
        </w:rPr>
        <w:t>邮政编码：</w:t>
      </w:r>
    </w:p>
    <w:p w14:paraId="6476AFB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23" w:firstLineChars="286"/>
        <w:rPr>
          <w:rFonts w:hint="eastAsia" w:ascii="黑体" w:hAnsi="黑体" w:eastAsia="黑体" w:cs="黑体"/>
          <w:color w:val="auto"/>
          <w:sz w:val="24"/>
          <w:szCs w:val="24"/>
        </w:rPr>
      </w:pPr>
      <w:r>
        <w:rPr>
          <w:rFonts w:hint="eastAsia" w:ascii="黑体" w:hAnsi="黑体" w:eastAsia="黑体" w:cs="黑体"/>
          <w:color w:val="auto"/>
          <w:spacing w:val="-11"/>
          <w:sz w:val="24"/>
          <w:szCs w:val="24"/>
        </w:rPr>
        <w:t>电话:</w:t>
      </w:r>
    </w:p>
    <w:p w14:paraId="4CAEF9C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sz w:val="24"/>
          <w:szCs w:val="24"/>
        </w:rPr>
        <w:t>传真:</w:t>
      </w:r>
    </w:p>
    <w:p w14:paraId="4525916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46" w:firstLineChars="286"/>
        <w:rPr>
          <w:rFonts w:hint="eastAsia" w:ascii="黑体" w:hAnsi="黑体" w:eastAsia="黑体" w:cs="黑体"/>
          <w:color w:val="auto"/>
          <w:sz w:val="24"/>
          <w:szCs w:val="24"/>
        </w:rPr>
      </w:pPr>
      <w:r>
        <w:rPr>
          <w:rFonts w:hint="eastAsia" w:ascii="黑体" w:hAnsi="黑体" w:eastAsia="黑体" w:cs="黑体"/>
          <w:color w:val="auto"/>
          <w:spacing w:val="-7"/>
          <w:position w:val="24"/>
          <w:sz w:val="24"/>
          <w:szCs w:val="24"/>
        </w:rPr>
        <w:t>电子邮箱：</w:t>
      </w:r>
    </w:p>
    <w:p w14:paraId="434F3DE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sz w:val="24"/>
          <w:szCs w:val="24"/>
        </w:rPr>
        <w:t>开户银行：</w:t>
      </w:r>
    </w:p>
    <w:p w14:paraId="3F75A38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86" w:firstLineChars="286"/>
        <w:rPr>
          <w:rFonts w:hint="eastAsia" w:ascii="黑体" w:hAnsi="黑体" w:eastAsia="黑体" w:cs="黑体"/>
          <w:color w:val="auto"/>
          <w:sz w:val="24"/>
          <w:szCs w:val="24"/>
        </w:rPr>
        <w:sectPr>
          <w:type w:val="continuous"/>
          <w:pgSz w:w="12240" w:h="15840"/>
          <w:pgMar w:top="400" w:right="1080" w:bottom="995" w:left="1085" w:header="0" w:footer="831" w:gutter="0"/>
          <w:pgBorders>
            <w:top w:val="none" w:sz="0" w:space="0"/>
            <w:left w:val="none" w:sz="0" w:space="0"/>
            <w:bottom w:val="none" w:sz="0" w:space="0"/>
            <w:right w:val="none" w:sz="0" w:space="0"/>
          </w:pgBorders>
          <w:pgNumType w:fmt="decimal"/>
          <w:cols w:equalWidth="0" w:num="2">
            <w:col w:w="4858" w:space="100"/>
            <w:col w:w="5117"/>
          </w:cols>
        </w:sectPr>
      </w:pPr>
    </w:p>
    <w:p w14:paraId="32B68A6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position w:val="24"/>
          <w:sz w:val="24"/>
          <w:szCs w:val="24"/>
        </w:rPr>
        <w:t>开户名称：</w:t>
      </w:r>
    </w:p>
    <w:p w14:paraId="5A35D25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sz w:val="24"/>
          <w:szCs w:val="24"/>
        </w:rPr>
        <w:t>开户账号：</w:t>
      </w:r>
    </w:p>
    <w:p w14:paraId="38596043">
      <w:pPr>
        <w:pStyle w:val="7"/>
        <w:keepNext w:val="0"/>
        <w:keepLines w:val="0"/>
        <w:pageBreakBefore w:val="0"/>
        <w:widowControl/>
        <w:tabs>
          <w:tab w:val="left" w:pos="567"/>
        </w:tabs>
        <w:kinsoku/>
        <w:wordWrap w:val="0"/>
        <w:overflowPunct/>
        <w:topLinePunct w:val="0"/>
        <w:autoSpaceDE/>
        <w:autoSpaceDN/>
        <w:bidi w:val="0"/>
        <w:adjustRightInd w:val="0"/>
        <w:snapToGrid w:val="0"/>
        <w:spacing w:line="360" w:lineRule="auto"/>
        <w:ind w:left="0" w:leftChars="0" w:right="0" w:firstLine="57" w:firstLineChars="286"/>
        <w:rPr>
          <w:rFonts w:hint="eastAsia" w:ascii="黑体" w:hAnsi="黑体" w:eastAsia="黑体" w:cs="黑体"/>
          <w:color w:val="auto"/>
          <w:sz w:val="2"/>
        </w:rPr>
      </w:pPr>
      <w:r>
        <w:rPr>
          <w:rFonts w:hint="eastAsia" w:ascii="黑体" w:hAnsi="黑体" w:eastAsia="黑体" w:cs="黑体"/>
          <w:color w:val="auto"/>
          <w:sz w:val="2"/>
          <w:szCs w:val="2"/>
        </w:rPr>
        <w:br w:type="column"/>
      </w:r>
    </w:p>
    <w:p w14:paraId="1B1004C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position w:val="24"/>
          <w:sz w:val="24"/>
          <w:szCs w:val="24"/>
        </w:rPr>
        <w:t>开户名称：</w:t>
      </w:r>
    </w:p>
    <w:p w14:paraId="095BE3E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69" w:firstLineChars="286"/>
        <w:rPr>
          <w:rFonts w:hint="eastAsia" w:ascii="黑体" w:hAnsi="黑体" w:eastAsia="黑体" w:cs="黑体"/>
          <w:color w:val="auto"/>
          <w:sz w:val="24"/>
          <w:szCs w:val="24"/>
        </w:rPr>
      </w:pPr>
      <w:r>
        <w:rPr>
          <w:rFonts w:hint="eastAsia" w:ascii="黑体" w:hAnsi="黑体" w:eastAsia="黑体" w:cs="黑体"/>
          <w:color w:val="auto"/>
          <w:spacing w:val="-3"/>
          <w:sz w:val="24"/>
          <w:szCs w:val="24"/>
        </w:rPr>
        <w:t>开户账号：</w:t>
      </w:r>
    </w:p>
    <w:p w14:paraId="027B4A4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686" w:firstLineChars="286"/>
        <w:rPr>
          <w:rFonts w:hint="eastAsia" w:ascii="黑体" w:hAnsi="黑体" w:eastAsia="黑体" w:cs="黑体"/>
          <w:color w:val="auto"/>
          <w:sz w:val="24"/>
          <w:szCs w:val="24"/>
        </w:rPr>
        <w:sectPr>
          <w:footerReference r:id="rId35" w:type="default"/>
          <w:type w:val="continuous"/>
          <w:pgSz w:w="12240" w:h="15840"/>
          <w:pgMar w:top="400" w:right="1080" w:bottom="995" w:left="1084" w:header="0" w:footer="831" w:gutter="0"/>
          <w:pgBorders>
            <w:top w:val="none" w:sz="0" w:space="0"/>
            <w:left w:val="none" w:sz="0" w:space="0"/>
            <w:bottom w:val="none" w:sz="0" w:space="0"/>
            <w:right w:val="none" w:sz="0" w:space="0"/>
          </w:pgBorders>
          <w:pgNumType w:fmt="decimal"/>
          <w:cols w:equalWidth="0" w:num="2">
            <w:col w:w="4947" w:space="100"/>
            <w:col w:w="5029"/>
          </w:cols>
        </w:sectPr>
      </w:pPr>
    </w:p>
    <w:p w14:paraId="4791E947">
      <w:pPr>
        <w:pStyle w:val="7"/>
        <w:keepNext w:val="0"/>
        <w:keepLines w:val="0"/>
        <w:pageBreakBefore w:val="0"/>
        <w:widowControl/>
        <w:tabs>
          <w:tab w:val="left" w:pos="567"/>
        </w:tabs>
        <w:kinsoku/>
        <w:wordWrap w:val="0"/>
        <w:overflowPunct/>
        <w:topLinePunct w:val="0"/>
        <w:autoSpaceDE/>
        <w:autoSpaceDN/>
        <w:bidi w:val="0"/>
        <w:adjustRightInd w:val="0"/>
        <w:snapToGrid w:val="0"/>
        <w:spacing w:line="360" w:lineRule="auto"/>
        <w:ind w:left="0" w:leftChars="0" w:right="0" w:firstLine="772" w:firstLineChars="286"/>
        <w:rPr>
          <w:rFonts w:hint="eastAsia" w:ascii="黑体" w:hAnsi="黑体" w:eastAsia="黑体" w:cs="黑体"/>
          <w:color w:val="auto"/>
        </w:rPr>
      </w:pPr>
    </w:p>
    <w:p w14:paraId="09F9F49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jc w:val="center"/>
        <w:rPr>
          <w:rFonts w:hint="eastAsia" w:ascii="黑体" w:hAnsi="黑体" w:eastAsia="黑体" w:cs="黑体"/>
          <w:color w:val="auto"/>
          <w:sz w:val="24"/>
          <w:szCs w:val="24"/>
        </w:rPr>
      </w:pPr>
      <w:r>
        <w:rPr>
          <w:rFonts w:hint="eastAsia" w:ascii="黑体" w:hAnsi="黑体" w:eastAsia="黑体" w:cs="黑体"/>
          <w:b/>
          <w:bCs/>
          <w:color w:val="auto"/>
          <w:spacing w:val="-2"/>
          <w:sz w:val="28"/>
          <w:szCs w:val="28"/>
        </w:rPr>
        <w:t>第二部分 合同一般条款</w:t>
      </w:r>
    </w:p>
    <w:p w14:paraId="07B2D92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 定义</w:t>
      </w:r>
    </w:p>
    <w:p w14:paraId="16410F00">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本合同中的下列词语应按以下内容进行解释：</w:t>
      </w:r>
    </w:p>
    <w:p w14:paraId="3801192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2.1.1“合同”系指采购人和中标供应商签订的载明双方当事人所达成的协议，并包括所有的附件、附录和构成合同的其他文件。</w:t>
      </w:r>
    </w:p>
    <w:p w14:paraId="5E17C71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2.1.2“合同价”系指根据合同约定，中标供应商在完全履行合同义务后，采购人应支付给中标供应商的价格。</w:t>
      </w:r>
    </w:p>
    <w:p w14:paraId="24880F0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rPr>
      </w:pPr>
      <w:r>
        <w:rPr>
          <w:rFonts w:hint="eastAsia" w:ascii="黑体" w:hAnsi="黑体" w:eastAsia="黑体" w:cs="黑体"/>
          <w:color w:val="auto"/>
          <w:spacing w:val="-1"/>
          <w:sz w:val="24"/>
          <w:szCs w:val="24"/>
        </w:rPr>
        <w:t>2.1.3“服务”系指中标供应商根据合同约定应向采购人履行的除货物和工程以外的其他政府采购对象，包括采购人自身需要</w:t>
      </w:r>
      <w:r>
        <w:rPr>
          <w:rFonts w:hint="eastAsia" w:ascii="黑体" w:hAnsi="黑体" w:eastAsia="黑体" w:cs="黑体"/>
          <w:color w:val="auto"/>
          <w:sz w:val="24"/>
          <w:szCs w:val="24"/>
        </w:rPr>
        <w:t>的服务和向社会公众提供</w:t>
      </w:r>
      <w:r>
        <w:rPr>
          <w:rFonts w:hint="eastAsia" w:ascii="黑体" w:hAnsi="黑体" w:eastAsia="黑体" w:cs="黑体"/>
          <w:color w:val="auto"/>
          <w:spacing w:val="-1"/>
          <w:sz w:val="24"/>
          <w:szCs w:val="24"/>
        </w:rPr>
        <w:t>的公共服务。</w:t>
      </w:r>
    </w:p>
    <w:p w14:paraId="46CE06E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2.1.4“甲方”系指与中标供应商签署合同的采购人；采购人委托采购代理机构代表其与乙</w:t>
      </w:r>
      <w:r>
        <w:rPr>
          <w:rFonts w:hint="eastAsia" w:ascii="黑体" w:hAnsi="黑体" w:eastAsia="黑体" w:cs="黑体"/>
          <w:color w:val="auto"/>
          <w:spacing w:val="-1"/>
          <w:sz w:val="24"/>
          <w:szCs w:val="24"/>
        </w:rPr>
        <w:t>方签订合同的，采购人的授权委托书作为合同附件。</w:t>
      </w:r>
    </w:p>
    <w:p w14:paraId="42546B3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2.1.5“乙方”系指根据合同约定提供服务的中标供应商；两个以上的自然人、法人或者其他组织组成一个联合体，以一个供应商的身份共同参加政府采购的，</w:t>
      </w:r>
      <w:r>
        <w:rPr>
          <w:rFonts w:hint="eastAsia" w:ascii="黑体" w:hAnsi="黑体" w:eastAsia="黑体" w:cs="黑体"/>
          <w:color w:val="auto"/>
          <w:spacing w:val="-1"/>
          <w:sz w:val="24"/>
          <w:szCs w:val="24"/>
        </w:rPr>
        <w:t>联合体各方均应为乙方或者与乙方相同地位的合同当事人，并就合同约定的事项对甲方承担连带责任。</w:t>
      </w:r>
    </w:p>
    <w:p w14:paraId="21707EB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2.1.6“现场”系指合同约定提供服务的地点。</w:t>
      </w:r>
    </w:p>
    <w:p w14:paraId="14CFE28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2.2技术规范</w:t>
      </w:r>
    </w:p>
    <w:p w14:paraId="5692FC0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76" w:firstLineChars="20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服务所应遵守的技术规范应与采购文件规定的技术规范和技术规范附件(如果有的话)及其技术规范偏差表(如果被甲方接受的话)相一致；如果采购文件中没有</w:t>
      </w:r>
      <w:r>
        <w:rPr>
          <w:rFonts w:hint="eastAsia" w:ascii="黑体" w:hAnsi="黑体" w:eastAsia="黑体" w:cs="黑体"/>
          <w:color w:val="auto"/>
          <w:spacing w:val="-1"/>
          <w:sz w:val="24"/>
          <w:szCs w:val="24"/>
        </w:rPr>
        <w:t>技术规范的相应说明，那么应以国家有关部门最新颁布的相应标准和规范为准。</w:t>
      </w:r>
    </w:p>
    <w:p w14:paraId="11D6E5C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2.3知识产权</w:t>
      </w:r>
    </w:p>
    <w:p w14:paraId="7E420FF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2.3.1乙方应保证其提供的服务不受任何第三方提出的侵犯其著作权、商标权、专利权等知识产权方面的起诉；如果任何第三方提出侵权指控，那么乙方须与该第三方</w:t>
      </w:r>
      <w:r>
        <w:rPr>
          <w:rFonts w:hint="eastAsia" w:ascii="黑体" w:hAnsi="黑体" w:eastAsia="黑体" w:cs="黑体"/>
          <w:color w:val="auto"/>
          <w:spacing w:val="-1"/>
          <w:sz w:val="24"/>
          <w:szCs w:val="24"/>
        </w:rPr>
        <w:t>交涉并承担由此发生的一切责任、费用和赔偿；</w:t>
      </w:r>
    </w:p>
    <w:p w14:paraId="6DF920E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2.3.2 合同涉及技术成果的归属和收益的分成办法的，详见合同专用条款。</w:t>
      </w:r>
    </w:p>
    <w:p w14:paraId="1C36A49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2.4 履约检查和问题反馈</w:t>
      </w:r>
    </w:p>
    <w:p w14:paraId="3039E51C">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417" w:firstLineChars="177"/>
        <w:textAlignment w:val="baseline"/>
        <w:rPr>
          <w:rFonts w:hint="eastAsia" w:ascii="黑体" w:hAnsi="黑体" w:eastAsia="黑体" w:cs="黑体"/>
          <w:color w:val="auto"/>
          <w:spacing w:val="-5"/>
          <w:sz w:val="24"/>
          <w:szCs w:val="24"/>
        </w:rPr>
      </w:pPr>
      <w:r>
        <w:rPr>
          <w:rFonts w:hint="eastAsia" w:ascii="黑体" w:hAnsi="黑体" w:eastAsia="黑体" w:cs="黑体"/>
          <w:color w:val="auto"/>
          <w:spacing w:val="-2"/>
          <w:sz w:val="24"/>
          <w:szCs w:val="24"/>
        </w:rPr>
        <w:t>2.4.1甲方有权在其认为必要时，对乙方是否能够按照合同约定提供服务进行履约检查，以</w:t>
      </w:r>
      <w:r>
        <w:rPr>
          <w:rFonts w:hint="eastAsia" w:ascii="黑体" w:hAnsi="黑体" w:eastAsia="黑体" w:cs="黑体"/>
          <w:color w:val="auto"/>
          <w:spacing w:val="-1"/>
          <w:sz w:val="24"/>
          <w:szCs w:val="24"/>
        </w:rPr>
        <w:t>确保乙方所提供的服务能够依约满足甲方之项目需</w:t>
      </w:r>
      <w:r>
        <w:rPr>
          <w:rFonts w:hint="eastAsia" w:ascii="黑体" w:hAnsi="黑体" w:eastAsia="黑体" w:cs="黑体"/>
          <w:color w:val="auto"/>
          <w:spacing w:val="-2"/>
          <w:sz w:val="24"/>
          <w:szCs w:val="24"/>
        </w:rPr>
        <w:t>求，但不得因履约检查妨碍乙方的正常工作，</w:t>
      </w:r>
      <w:r>
        <w:rPr>
          <w:rFonts w:hint="eastAsia" w:ascii="黑体" w:hAnsi="黑体" w:eastAsia="黑体" w:cs="黑体"/>
          <w:color w:val="auto"/>
          <w:spacing w:val="-5"/>
          <w:sz w:val="24"/>
          <w:szCs w:val="24"/>
        </w:rPr>
        <w:t>乙方应予积极配合；</w:t>
      </w:r>
    </w:p>
    <w:p w14:paraId="5B365897">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421" w:firstLineChars="177"/>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2.4.2合同履行期间，甲方有权将履行过程中出现的问题反馈给乙方，双方当事人应以书面形式约定需要完善和改进的内容。</w:t>
      </w:r>
    </w:p>
    <w:p w14:paraId="35AE836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2.5 结算方式和付款条件</w:t>
      </w:r>
    </w:p>
    <w:p w14:paraId="7691560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Pr>
          <w:rFonts w:hint="eastAsia" w:ascii="黑体" w:hAnsi="黑体" w:eastAsia="黑体" w:cs="黑体"/>
          <w:color w:val="auto"/>
          <w:sz w:val="24"/>
          <w:szCs w:val="24"/>
        </w:rPr>
      </w:pPr>
      <w:r>
        <w:rPr>
          <w:rFonts w:hint="eastAsia" w:ascii="黑体" w:hAnsi="黑体" w:eastAsia="黑体" w:cs="黑体"/>
          <w:color w:val="auto"/>
          <w:sz w:val="24"/>
          <w:szCs w:val="24"/>
        </w:rPr>
        <w:t>详见</w:t>
      </w:r>
      <w:r>
        <w:rPr>
          <w:rFonts w:hint="eastAsia" w:ascii="黑体" w:hAnsi="黑体" w:eastAsia="黑体" w:cs="黑体"/>
          <w:i/>
          <w:iCs/>
          <w:color w:val="auto"/>
          <w:sz w:val="25"/>
          <w:szCs w:val="25"/>
          <w:u w:val="single" w:color="000000"/>
        </w:rPr>
        <w:t>合同专用条款</w:t>
      </w:r>
      <w:r>
        <w:rPr>
          <w:rFonts w:hint="eastAsia" w:ascii="黑体" w:hAnsi="黑体" w:eastAsia="黑体" w:cs="黑体"/>
          <w:color w:val="auto"/>
          <w:sz w:val="24"/>
          <w:szCs w:val="24"/>
        </w:rPr>
        <w:t>。</w:t>
      </w:r>
    </w:p>
    <w:p w14:paraId="6809694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2.6 技术资料和保密义务</w:t>
      </w:r>
    </w:p>
    <w:p w14:paraId="1DBC475D">
      <w:pPr>
        <w:keepNext w:val="0"/>
        <w:keepLines w:val="0"/>
        <w:pageBreakBefore w:val="0"/>
        <w:widowControl w:val="0"/>
        <w:kinsoku w:val="0"/>
        <w:wordWrap w:val="0"/>
        <w:overflowPunct/>
        <w:topLinePunct w:val="0"/>
        <w:autoSpaceDE/>
        <w:autoSpaceDN/>
        <w:bidi w:val="0"/>
        <w:adjustRightInd w:val="0"/>
        <w:snapToGrid w:val="0"/>
        <w:spacing w:line="360" w:lineRule="auto"/>
        <w:ind w:left="0" w:leftChars="0" w:right="0" w:firstLine="418" w:firstLineChars="176"/>
        <w:textAlignment w:val="baseline"/>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2.6.1 乙方有权依据合同约定和项目需要，向甲方了解有关情况，调阅有关资料等，甲方应予积极配合；</w:t>
      </w:r>
    </w:p>
    <w:p w14:paraId="0AF9D76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5" w:firstLineChars="176"/>
        <w:rPr>
          <w:rFonts w:hint="eastAsia" w:ascii="黑体" w:hAnsi="黑体" w:eastAsia="黑体" w:cs="黑体"/>
          <w:color w:val="auto"/>
          <w:sz w:val="24"/>
          <w:szCs w:val="24"/>
        </w:rPr>
      </w:pPr>
      <w:r>
        <w:rPr>
          <w:rFonts w:hint="eastAsia" w:ascii="黑体" w:hAnsi="黑体" w:eastAsia="黑体" w:cs="黑体"/>
          <w:color w:val="auto"/>
          <w:spacing w:val="-2"/>
          <w:sz w:val="24"/>
          <w:szCs w:val="24"/>
        </w:rPr>
        <w:t>2.6.2</w:t>
      </w:r>
      <w:r>
        <w:rPr>
          <w:rFonts w:hint="eastAsia" w:ascii="黑体" w:hAnsi="黑体" w:eastAsia="黑体" w:cs="黑体"/>
          <w:color w:val="auto"/>
          <w:spacing w:val="55"/>
          <w:sz w:val="24"/>
          <w:szCs w:val="24"/>
        </w:rPr>
        <w:t xml:space="preserve"> </w:t>
      </w:r>
      <w:r>
        <w:rPr>
          <w:rFonts w:hint="eastAsia" w:ascii="黑体" w:hAnsi="黑体" w:eastAsia="黑体" w:cs="黑体"/>
          <w:color w:val="auto"/>
          <w:spacing w:val="-2"/>
          <w:sz w:val="24"/>
          <w:szCs w:val="24"/>
        </w:rPr>
        <w:t>乙方有义务妥善保管和保护由甲方提供的前款信息和资料等；</w:t>
      </w:r>
    </w:p>
    <w:p w14:paraId="58BC645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z w:val="24"/>
          <w:szCs w:val="24"/>
        </w:rPr>
      </w:pPr>
      <w:r>
        <w:rPr>
          <w:rFonts w:hint="eastAsia" w:ascii="黑体" w:hAnsi="黑体" w:eastAsia="黑体" w:cs="黑体"/>
          <w:color w:val="auto"/>
          <w:spacing w:val="-1"/>
          <w:sz w:val="24"/>
          <w:szCs w:val="24"/>
        </w:rPr>
        <w:t>2</w:t>
      </w:r>
      <w:r>
        <w:rPr>
          <w:rFonts w:hint="eastAsia" w:ascii="黑体" w:hAnsi="黑体" w:eastAsia="黑体" w:cs="黑体"/>
          <w:color w:val="auto"/>
          <w:sz w:val="24"/>
          <w:szCs w:val="24"/>
        </w:rPr>
        <w:t>.6.3 除非依照法律规定或者对方当事人的书面同意，任何一方均应保证</w:t>
      </w:r>
      <w:r>
        <w:rPr>
          <w:rFonts w:hint="eastAsia" w:ascii="黑体" w:hAnsi="黑体" w:eastAsia="黑体" w:cs="黑体"/>
          <w:color w:val="auto"/>
          <w:spacing w:val="-1"/>
          <w:sz w:val="24"/>
          <w:szCs w:val="24"/>
        </w:rPr>
        <w:t>不向任何第三方</w:t>
      </w:r>
      <w:r>
        <w:rPr>
          <w:rFonts w:hint="eastAsia" w:ascii="黑体" w:hAnsi="黑体" w:eastAsia="黑体" w:cs="黑体"/>
          <w:color w:val="auto"/>
          <w:sz w:val="24"/>
          <w:szCs w:val="24"/>
        </w:rPr>
        <w:t>提 供或披露有关合同的或者履行合同过程中知悉的对方当事人任何未公开的信息和资料，包括但不限于技术情报、技术资料、商业秘密和商业信息等，并采取一切合理和必要措施和方式防止任何</w:t>
      </w:r>
      <w:r>
        <w:rPr>
          <w:rFonts w:hint="eastAsia" w:ascii="黑体" w:hAnsi="黑体" w:eastAsia="黑体" w:cs="黑体"/>
          <w:color w:val="auto"/>
          <w:spacing w:val="-1"/>
          <w:sz w:val="24"/>
          <w:szCs w:val="24"/>
        </w:rPr>
        <w:t>第三方接触到对方当事人的上述保密信息和资</w:t>
      </w:r>
      <w:r>
        <w:rPr>
          <w:rFonts w:hint="eastAsia" w:ascii="黑体" w:hAnsi="黑体" w:eastAsia="黑体" w:cs="黑体"/>
          <w:color w:val="auto"/>
          <w:spacing w:val="-2"/>
          <w:sz w:val="24"/>
          <w:szCs w:val="24"/>
        </w:rPr>
        <w:t>料。</w:t>
      </w:r>
    </w:p>
    <w:p w14:paraId="3EB330AE">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z w:val="24"/>
          <w:szCs w:val="24"/>
        </w:rPr>
      </w:pPr>
      <w:r>
        <w:rPr>
          <w:rFonts w:hint="eastAsia" w:ascii="黑体" w:hAnsi="黑体" w:eastAsia="黑体" w:cs="黑体"/>
          <w:color w:val="auto"/>
          <w:sz w:val="24"/>
          <w:szCs w:val="24"/>
        </w:rPr>
        <w:t>2.7 质量保证</w:t>
      </w:r>
    </w:p>
    <w:p w14:paraId="444A422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rPr>
      </w:pPr>
      <w:r>
        <w:rPr>
          <w:rFonts w:hint="eastAsia" w:ascii="黑体" w:hAnsi="黑体" w:eastAsia="黑体" w:cs="黑体"/>
          <w:color w:val="auto"/>
          <w:sz w:val="24"/>
          <w:szCs w:val="24"/>
        </w:rPr>
        <w:t>2.7.1 乙方应建立和完善履行合同的内部质量保证体系，并提供相关内部规章制度给甲方，以便甲方进行监督检查；</w:t>
      </w:r>
    </w:p>
    <w:p w14:paraId="167AC87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rPr>
      </w:pPr>
      <w:r>
        <w:rPr>
          <w:rFonts w:hint="eastAsia" w:ascii="黑体" w:hAnsi="黑体" w:eastAsia="黑体" w:cs="黑体"/>
          <w:color w:val="auto"/>
          <w:sz w:val="24"/>
          <w:szCs w:val="24"/>
        </w:rPr>
        <w:t>2.7.2 乙方应保证履行合同的人员数量和素质、软件和硬件设备的配置、场地、环境和设施等满足全面履行合同的要求，并应接受甲方的监督检查。</w:t>
      </w:r>
    </w:p>
    <w:p w14:paraId="39336E29">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z w:val="24"/>
          <w:szCs w:val="24"/>
        </w:rPr>
      </w:pPr>
      <w:r>
        <w:rPr>
          <w:rFonts w:hint="eastAsia" w:ascii="黑体" w:hAnsi="黑体" w:eastAsia="黑体" w:cs="黑体"/>
          <w:color w:val="auto"/>
          <w:sz w:val="24"/>
          <w:szCs w:val="24"/>
        </w:rPr>
        <w:t>2.8 延迟履行</w:t>
      </w:r>
    </w:p>
    <w:p w14:paraId="4C93211B">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z w:val="24"/>
          <w:szCs w:val="24"/>
        </w:rPr>
      </w:pPr>
      <w:r>
        <w:rPr>
          <w:rFonts w:hint="eastAsia" w:ascii="黑体" w:hAnsi="黑体" w:eastAsia="黑体" w:cs="黑体"/>
          <w:color w:val="auto"/>
          <w:sz w:val="24"/>
          <w:szCs w:val="24"/>
        </w:rPr>
        <w:t>在合同履行过程中，如果乙方遇到不能按时提供服务的情况，应及时以书面形</w:t>
      </w:r>
      <w:r>
        <w:rPr>
          <w:rFonts w:hint="eastAsia" w:ascii="黑体" w:hAnsi="黑体" w:eastAsia="黑体" w:cs="黑体"/>
          <w:color w:val="auto"/>
          <w:spacing w:val="-1"/>
          <w:sz w:val="24"/>
          <w:szCs w:val="24"/>
        </w:rPr>
        <w:t>式将不能按时</w:t>
      </w:r>
      <w:r>
        <w:rPr>
          <w:rFonts w:hint="eastAsia" w:ascii="黑体" w:hAnsi="黑体" w:eastAsia="黑体" w:cs="黑体"/>
          <w:color w:val="auto"/>
          <w:sz w:val="24"/>
          <w:szCs w:val="24"/>
        </w:rPr>
        <w:t xml:space="preserve"> 提供服务的理由、预期延误时间通知甲方；甲方收到乙方通知后，认为其理由正当的</w:t>
      </w:r>
      <w:r>
        <w:rPr>
          <w:rFonts w:hint="eastAsia" w:ascii="黑体" w:hAnsi="黑体" w:eastAsia="黑体" w:cs="黑体"/>
          <w:color w:val="auto"/>
          <w:spacing w:val="-1"/>
          <w:sz w:val="24"/>
          <w:szCs w:val="24"/>
        </w:rPr>
        <w:t>，可以书面形式酌情同意乙方可以延长履行的具体时间。</w:t>
      </w:r>
    </w:p>
    <w:p w14:paraId="04C2DDA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pacing w:val="-1"/>
          <w:sz w:val="24"/>
          <w:szCs w:val="24"/>
        </w:rPr>
        <w:t>2.9 合同变更</w:t>
      </w:r>
    </w:p>
    <w:p w14:paraId="4905DAC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rPr>
      </w:pPr>
      <w:r>
        <w:rPr>
          <w:rFonts w:hint="eastAsia" w:ascii="黑体" w:hAnsi="黑体" w:eastAsia="黑体" w:cs="黑体"/>
          <w:color w:val="auto"/>
          <w:sz w:val="24"/>
          <w:szCs w:val="24"/>
        </w:rPr>
        <w:t>2.9.1 双方当事人协商一致，可以签订书面补充合同的形式变更合同，</w:t>
      </w:r>
      <w:r>
        <w:rPr>
          <w:rFonts w:hint="eastAsia" w:ascii="黑体" w:hAnsi="黑体" w:eastAsia="黑体" w:cs="黑体"/>
          <w:color w:val="auto"/>
          <w:spacing w:val="-1"/>
          <w:sz w:val="24"/>
          <w:szCs w:val="24"/>
        </w:rPr>
        <w:t>但不得违背采购文件</w:t>
      </w:r>
      <w:r>
        <w:rPr>
          <w:rFonts w:hint="eastAsia" w:ascii="黑体" w:hAnsi="黑体" w:eastAsia="黑体" w:cs="黑体"/>
          <w:color w:val="auto"/>
          <w:sz w:val="24"/>
          <w:szCs w:val="24"/>
        </w:rPr>
        <w:t xml:space="preserve"> 确定的事项，且如果系追加与合同标的相同的服务的，那么所有补充合同的采购金额</w:t>
      </w:r>
      <w:r>
        <w:rPr>
          <w:rFonts w:hint="eastAsia" w:ascii="黑体" w:hAnsi="黑体" w:eastAsia="黑体" w:cs="黑体"/>
          <w:color w:val="auto"/>
          <w:spacing w:val="-1"/>
          <w:sz w:val="24"/>
          <w:szCs w:val="24"/>
        </w:rPr>
        <w:t>不得超过原</w:t>
      </w:r>
      <w:r>
        <w:rPr>
          <w:rFonts w:hint="eastAsia" w:ascii="黑体" w:hAnsi="黑体" w:eastAsia="黑体" w:cs="黑体"/>
          <w:color w:val="auto"/>
          <w:spacing w:val="-4"/>
          <w:sz w:val="24"/>
          <w:szCs w:val="24"/>
        </w:rPr>
        <w:t>合同价的</w:t>
      </w:r>
      <w:r>
        <w:rPr>
          <w:rFonts w:hint="eastAsia" w:ascii="黑体" w:hAnsi="黑体" w:eastAsia="黑体" w:cs="黑体"/>
          <w:color w:val="auto"/>
          <w:spacing w:val="-34"/>
          <w:sz w:val="24"/>
          <w:szCs w:val="24"/>
        </w:rPr>
        <w:t xml:space="preserve"> </w:t>
      </w:r>
      <w:r>
        <w:rPr>
          <w:rFonts w:hint="eastAsia" w:ascii="黑体" w:hAnsi="黑体" w:eastAsia="黑体" w:cs="黑体"/>
          <w:color w:val="auto"/>
          <w:spacing w:val="-4"/>
          <w:sz w:val="24"/>
          <w:szCs w:val="24"/>
        </w:rPr>
        <w:t>10%；</w:t>
      </w:r>
    </w:p>
    <w:p w14:paraId="252FC88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jc w:val="both"/>
        <w:rPr>
          <w:rFonts w:hint="eastAsia" w:ascii="黑体" w:hAnsi="黑体" w:eastAsia="黑体" w:cs="黑体"/>
          <w:color w:val="auto"/>
          <w:sz w:val="24"/>
          <w:szCs w:val="24"/>
        </w:rPr>
      </w:pPr>
      <w:r>
        <w:rPr>
          <w:rFonts w:hint="eastAsia" w:ascii="黑体" w:hAnsi="黑体" w:eastAsia="黑体" w:cs="黑体"/>
          <w:color w:val="auto"/>
          <w:sz w:val="24"/>
          <w:szCs w:val="24"/>
        </w:rPr>
        <w:t>2.9.2 合同继续履行将损害国家利益和社会公共利益的，双方当事人应当以书面形式变更合同。有过错的一方应当承担赔偿责任，双方当事人都有过错的，各自承担相应的责任。</w:t>
      </w:r>
    </w:p>
    <w:p w14:paraId="7FE4153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2.10 合同转让和分包</w:t>
      </w:r>
    </w:p>
    <w:p w14:paraId="66B40D2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rPr>
      </w:pPr>
      <w:r>
        <w:rPr>
          <w:rFonts w:hint="eastAsia" w:ascii="黑体" w:hAnsi="黑体" w:eastAsia="黑体" w:cs="黑体"/>
          <w:color w:val="auto"/>
          <w:sz w:val="24"/>
          <w:szCs w:val="24"/>
        </w:rPr>
        <w:t>合同的权利义务依法不得转让，但经甲方同意，乙方可以依法采取分包方式履</w:t>
      </w:r>
      <w:r>
        <w:rPr>
          <w:rFonts w:hint="eastAsia" w:ascii="黑体" w:hAnsi="黑体" w:eastAsia="黑体" w:cs="黑体"/>
          <w:color w:val="auto"/>
          <w:spacing w:val="-1"/>
          <w:sz w:val="24"/>
          <w:szCs w:val="24"/>
        </w:rPr>
        <w:t>行合同，即：</w:t>
      </w:r>
      <w:bookmarkStart w:id="34" w:name="_GoBack"/>
      <w:bookmarkEnd w:id="34"/>
      <w:r>
        <w:rPr>
          <w:rFonts w:hint="eastAsia" w:ascii="黑体" w:hAnsi="黑体" w:eastAsia="黑体" w:cs="黑体"/>
          <w:color w:val="auto"/>
          <w:sz w:val="24"/>
          <w:szCs w:val="24"/>
        </w:rPr>
        <w:t>依法可以将合同项下的部分非主体、非关键性工作分包给他人完成，接受分包的人应当具备相应的资格条件，并不得再次分包，且乙方应就分包项目向甲方负责，并与分包供应商就分包项目向</w:t>
      </w:r>
      <w:r>
        <w:rPr>
          <w:rFonts w:hint="eastAsia" w:ascii="黑体" w:hAnsi="黑体" w:eastAsia="黑体" w:cs="黑体"/>
          <w:color w:val="auto"/>
          <w:spacing w:val="-5"/>
          <w:sz w:val="24"/>
          <w:szCs w:val="24"/>
        </w:rPr>
        <w:t>甲方承担连带责任。</w:t>
      </w:r>
    </w:p>
    <w:p w14:paraId="5D19AF06">
      <w:pPr>
        <w:keepNext w:val="0"/>
        <w:keepLines w:val="0"/>
        <w:pageBreakBefore w:val="0"/>
        <w:widowControl/>
        <w:kinsoku/>
        <w:wordWrap w:val="0"/>
        <w:overflowPunct/>
        <w:topLinePunct w:val="0"/>
        <w:autoSpaceDE/>
        <w:autoSpaceDN/>
        <w:bidi w:val="0"/>
        <w:adjustRightInd w:val="0"/>
        <w:snapToGrid w:val="0"/>
        <w:spacing w:line="360" w:lineRule="auto"/>
        <w:ind w:right="0"/>
        <w:rPr>
          <w:rFonts w:hint="eastAsia" w:ascii="黑体" w:hAnsi="黑体" w:eastAsia="黑体" w:cs="黑体"/>
          <w:color w:val="auto"/>
          <w:sz w:val="24"/>
          <w:szCs w:val="24"/>
        </w:rPr>
      </w:pPr>
      <w:r>
        <w:rPr>
          <w:rFonts w:hint="eastAsia" w:ascii="黑体" w:hAnsi="黑体" w:eastAsia="黑体" w:cs="黑体"/>
          <w:color w:val="auto"/>
          <w:sz w:val="24"/>
          <w:szCs w:val="24"/>
        </w:rPr>
        <w:t>2.11 不可抗力</w:t>
      </w:r>
    </w:p>
    <w:p w14:paraId="6E3E827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rPr>
      </w:pPr>
      <w:r>
        <w:rPr>
          <w:rFonts w:hint="eastAsia" w:ascii="黑体" w:hAnsi="黑体" w:eastAsia="黑体" w:cs="黑体"/>
          <w:color w:val="auto"/>
          <w:sz w:val="24"/>
          <w:szCs w:val="24"/>
        </w:rPr>
        <w:t>2.11.1 如果任何一方遭遇法律规定的不可抗力，致使合同履行受阻时，履行合同的期限应予延长，延长的期限应相当于不可抗力所影响的时间；</w:t>
      </w:r>
    </w:p>
    <w:p w14:paraId="09D6EEC5">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rPr>
      </w:pPr>
      <w:r>
        <w:rPr>
          <w:rFonts w:hint="eastAsia" w:ascii="黑体" w:hAnsi="黑体" w:eastAsia="黑体" w:cs="黑体"/>
          <w:color w:val="auto"/>
          <w:sz w:val="24"/>
          <w:szCs w:val="24"/>
        </w:rPr>
        <w:t>2.11.2 因不可抗力致使不能实现合同目的的，当事人可以解除合同；</w:t>
      </w:r>
    </w:p>
    <w:p w14:paraId="70F140EA">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rPr>
      </w:pPr>
      <w:r>
        <w:rPr>
          <w:rFonts w:hint="eastAsia" w:ascii="黑体" w:hAnsi="黑体" w:eastAsia="黑体" w:cs="黑体"/>
          <w:color w:val="auto"/>
          <w:sz w:val="24"/>
          <w:szCs w:val="24"/>
        </w:rPr>
        <w:t>2.11.3 因不可抗力致使合同有变更必要的，双方当事人应在合同专用条款约定时间内以书面形式变更合同；</w:t>
      </w:r>
    </w:p>
    <w:p w14:paraId="578B9E17">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z w:val="24"/>
          <w:szCs w:val="24"/>
        </w:rPr>
      </w:pPr>
      <w:r>
        <w:rPr>
          <w:rFonts w:hint="eastAsia" w:ascii="黑体" w:hAnsi="黑体" w:eastAsia="黑体" w:cs="黑体"/>
          <w:color w:val="auto"/>
          <w:sz w:val="24"/>
          <w:szCs w:val="24"/>
        </w:rPr>
        <w:t>2.11.4 受不可抗力影响的一方在不可抗力发生后，应在合同专用条款约定时间内以书面形式通知对方当事人，并在合同专用条款约定时间内，将有关部门出具的证明文件送达对方当事人。</w:t>
      </w:r>
    </w:p>
    <w:p w14:paraId="54594AA2">
      <w:pPr>
        <w:keepNext w:val="0"/>
        <w:keepLines w:val="0"/>
        <w:pageBreakBefore w:val="0"/>
        <w:widowControl/>
        <w:kinsoku/>
        <w:wordWrap w:val="0"/>
        <w:overflowPunct/>
        <w:topLinePunct w:val="0"/>
        <w:autoSpaceDE/>
        <w:autoSpaceDN/>
        <w:bidi w:val="0"/>
        <w:adjustRightInd w:val="0"/>
        <w:snapToGrid w:val="0"/>
        <w:spacing w:line="360" w:lineRule="auto"/>
        <w:ind w:right="0"/>
        <w:rPr>
          <w:rFonts w:hint="eastAsia" w:ascii="黑体" w:hAnsi="黑体" w:eastAsia="黑体" w:cs="黑体"/>
          <w:color w:val="auto"/>
          <w:sz w:val="24"/>
          <w:szCs w:val="24"/>
        </w:rPr>
      </w:pPr>
      <w:r>
        <w:rPr>
          <w:rFonts w:hint="eastAsia" w:ascii="黑体" w:hAnsi="黑体" w:eastAsia="黑体" w:cs="黑体"/>
          <w:color w:val="auto"/>
          <w:sz w:val="24"/>
          <w:szCs w:val="24"/>
        </w:rPr>
        <w:t>2.12 税费</w:t>
      </w:r>
      <w:r>
        <w:rPr>
          <w:rFonts w:hint="eastAsia" w:ascii="黑体" w:hAnsi="黑体" w:eastAsia="黑体" w:cs="黑体"/>
          <w:color w:val="auto"/>
          <w:spacing w:val="-1"/>
          <w:sz w:val="24"/>
          <w:szCs w:val="24"/>
        </w:rPr>
        <w:t>与合同有关的一切税费，均按照中华人民共和国法律的相关规定缴纳。</w:t>
      </w:r>
    </w:p>
    <w:p w14:paraId="16AC7C8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pacing w:val="-6"/>
          <w:sz w:val="24"/>
          <w:szCs w:val="24"/>
        </w:rPr>
        <w:t>2.13</w:t>
      </w:r>
      <w:r>
        <w:rPr>
          <w:rFonts w:hint="eastAsia" w:ascii="黑体" w:hAnsi="黑体" w:eastAsia="黑体" w:cs="黑体"/>
          <w:color w:val="auto"/>
          <w:spacing w:val="46"/>
          <w:sz w:val="24"/>
          <w:szCs w:val="24"/>
        </w:rPr>
        <w:t xml:space="preserve"> </w:t>
      </w:r>
      <w:r>
        <w:rPr>
          <w:rFonts w:hint="eastAsia" w:ascii="黑体" w:hAnsi="黑体" w:eastAsia="黑体" w:cs="黑体"/>
          <w:color w:val="auto"/>
          <w:spacing w:val="-6"/>
          <w:sz w:val="24"/>
          <w:szCs w:val="24"/>
        </w:rPr>
        <w:t>乙方破产</w:t>
      </w:r>
    </w:p>
    <w:p w14:paraId="704B68D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z w:val="24"/>
          <w:szCs w:val="24"/>
        </w:rPr>
      </w:pPr>
      <w:r>
        <w:rPr>
          <w:rFonts w:hint="eastAsia" w:ascii="黑体" w:hAnsi="黑体" w:eastAsia="黑体" w:cs="黑体"/>
          <w:color w:val="auto"/>
          <w:spacing w:val="-1"/>
          <w:sz w:val="24"/>
          <w:szCs w:val="24"/>
        </w:rPr>
        <w:t xml:space="preserve">如果乙方破产导致合同无法履行时，甲方可以书面形式通知乙方终止合同且不给予乙方任何 </w:t>
      </w:r>
      <w:r>
        <w:rPr>
          <w:rFonts w:hint="eastAsia" w:ascii="黑体" w:hAnsi="黑体" w:eastAsia="黑体" w:cs="黑体"/>
          <w:color w:val="auto"/>
          <w:spacing w:val="-4"/>
          <w:sz w:val="24"/>
          <w:szCs w:val="24"/>
        </w:rPr>
        <w:t>补偿和赔偿，但合同的终止不损害或不影响甲方已经采取或将要采取的任何要求乙方支付违约金、</w:t>
      </w:r>
      <w:r>
        <w:rPr>
          <w:rFonts w:hint="eastAsia" w:ascii="黑体" w:hAnsi="黑体" w:eastAsia="黑体" w:cs="黑体"/>
          <w:color w:val="auto"/>
          <w:spacing w:val="-1"/>
          <w:sz w:val="24"/>
          <w:szCs w:val="24"/>
        </w:rPr>
        <w:t>赔偿损失等的行动或补救措施的权利。</w:t>
      </w:r>
    </w:p>
    <w:p w14:paraId="4894207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2.14 合同中止、终止</w:t>
      </w:r>
    </w:p>
    <w:p w14:paraId="51A0AD0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rPr>
      </w:pPr>
      <w:r>
        <w:rPr>
          <w:rFonts w:hint="eastAsia" w:ascii="黑体" w:hAnsi="黑体" w:eastAsia="黑体" w:cs="黑体"/>
          <w:color w:val="auto"/>
          <w:spacing w:val="-1"/>
          <w:sz w:val="24"/>
          <w:szCs w:val="24"/>
        </w:rPr>
        <w:t>2.14.1 双方当事人不得擅自中止或者终止合同；</w:t>
      </w:r>
    </w:p>
    <w:p w14:paraId="7E87629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jc w:val="both"/>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2.14.2 合同继续履行将损害国家利益和社会公共利益的，双方当事人应当中止或者终止合同。有过错的一方应当承担赔偿责任，双方当事人都有过错的，各自承担相应的责任。</w:t>
      </w:r>
    </w:p>
    <w:p w14:paraId="1DAF4D0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2.15 检验和验收</w:t>
      </w:r>
    </w:p>
    <w:p w14:paraId="5D7106D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9" w:firstLineChars="181"/>
        <w:rPr>
          <w:rFonts w:hint="eastAsia" w:ascii="黑体" w:hAnsi="黑体" w:eastAsia="黑体" w:cs="黑体"/>
          <w:color w:val="auto"/>
          <w:sz w:val="24"/>
          <w:szCs w:val="24"/>
        </w:rPr>
      </w:pPr>
      <w:r>
        <w:rPr>
          <w:rFonts w:hint="eastAsia" w:ascii="黑体" w:hAnsi="黑体" w:eastAsia="黑体" w:cs="黑体"/>
          <w:color w:val="auto"/>
          <w:spacing w:val="-4"/>
          <w:sz w:val="24"/>
          <w:szCs w:val="24"/>
        </w:rPr>
        <w:t>2.15.1</w:t>
      </w:r>
      <w:r>
        <w:rPr>
          <w:rFonts w:hint="eastAsia" w:ascii="黑体" w:hAnsi="黑体" w:eastAsia="黑体" w:cs="黑体"/>
          <w:color w:val="auto"/>
          <w:spacing w:val="51"/>
          <w:sz w:val="24"/>
          <w:szCs w:val="24"/>
        </w:rPr>
        <w:t xml:space="preserve"> </w:t>
      </w:r>
      <w:r>
        <w:rPr>
          <w:rFonts w:hint="eastAsia" w:ascii="黑体" w:hAnsi="黑体" w:eastAsia="黑体" w:cs="黑体"/>
          <w:color w:val="auto"/>
          <w:spacing w:val="-4"/>
          <w:sz w:val="24"/>
          <w:szCs w:val="24"/>
        </w:rPr>
        <w:t>乙方按照</w:t>
      </w:r>
      <w:r>
        <w:rPr>
          <w:rFonts w:hint="eastAsia" w:ascii="黑体" w:hAnsi="黑体" w:eastAsia="黑体" w:cs="黑体"/>
          <w:i/>
          <w:iCs/>
          <w:color w:val="auto"/>
          <w:spacing w:val="-4"/>
          <w:sz w:val="25"/>
          <w:szCs w:val="25"/>
          <w:u w:val="single" w:color="000000"/>
        </w:rPr>
        <w:t>合同专用条款</w:t>
      </w:r>
      <w:r>
        <w:rPr>
          <w:rFonts w:hint="eastAsia" w:ascii="黑体" w:hAnsi="黑体" w:eastAsia="黑体" w:cs="黑体"/>
          <w:color w:val="auto"/>
          <w:spacing w:val="-4"/>
          <w:sz w:val="24"/>
          <w:szCs w:val="24"/>
        </w:rPr>
        <w:t>的约定，定期提交服务报告，甲方按照</w:t>
      </w:r>
      <w:r>
        <w:rPr>
          <w:rFonts w:hint="eastAsia" w:ascii="黑体" w:hAnsi="黑体" w:eastAsia="黑体" w:cs="黑体"/>
          <w:i/>
          <w:iCs/>
          <w:color w:val="auto"/>
          <w:spacing w:val="-4"/>
          <w:sz w:val="25"/>
          <w:szCs w:val="25"/>
          <w:u w:val="single" w:color="000000"/>
        </w:rPr>
        <w:t>合同专用条款</w:t>
      </w:r>
      <w:r>
        <w:rPr>
          <w:rFonts w:hint="eastAsia" w:ascii="黑体" w:hAnsi="黑体" w:eastAsia="黑体" w:cs="黑体"/>
          <w:color w:val="auto"/>
          <w:spacing w:val="-4"/>
          <w:sz w:val="24"/>
          <w:szCs w:val="24"/>
        </w:rPr>
        <w:t>的约定</w:t>
      </w:r>
      <w:r>
        <w:rPr>
          <w:rFonts w:hint="eastAsia" w:ascii="黑体" w:hAnsi="黑体" w:eastAsia="黑体" w:cs="黑体"/>
          <w:color w:val="auto"/>
          <w:spacing w:val="-1"/>
          <w:sz w:val="24"/>
          <w:szCs w:val="24"/>
        </w:rPr>
        <w:t>进行定期验收；</w:t>
      </w:r>
    </w:p>
    <w:p w14:paraId="70F1BD58">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3" w:firstLineChars="181"/>
        <w:rPr>
          <w:rFonts w:hint="eastAsia" w:ascii="黑体" w:hAnsi="黑体" w:eastAsia="黑体" w:cs="黑体"/>
          <w:color w:val="auto"/>
          <w:sz w:val="24"/>
          <w:szCs w:val="24"/>
        </w:rPr>
      </w:pPr>
      <w:r>
        <w:rPr>
          <w:rFonts w:hint="eastAsia" w:ascii="黑体" w:hAnsi="黑体" w:eastAsia="黑体" w:cs="黑体"/>
          <w:color w:val="auto"/>
          <w:spacing w:val="-3"/>
          <w:sz w:val="24"/>
          <w:szCs w:val="24"/>
        </w:rPr>
        <w:t>2.15.2 合同期满或者履行完毕后，甲方有权组织（包括依法邀请国家认可的质量检测机构参</w:t>
      </w:r>
      <w:r>
        <w:rPr>
          <w:rFonts w:hint="eastAsia" w:ascii="黑体" w:hAnsi="黑体" w:eastAsia="黑体" w:cs="黑体"/>
          <w:color w:val="auto"/>
          <w:spacing w:val="3"/>
          <w:sz w:val="24"/>
          <w:szCs w:val="24"/>
        </w:rPr>
        <w:t xml:space="preserve"> </w:t>
      </w:r>
      <w:r>
        <w:rPr>
          <w:rFonts w:hint="eastAsia" w:ascii="黑体" w:hAnsi="黑体" w:eastAsia="黑体" w:cs="黑体"/>
          <w:color w:val="auto"/>
          <w:spacing w:val="-4"/>
          <w:sz w:val="24"/>
          <w:szCs w:val="24"/>
        </w:rPr>
        <w:t>加）对乙方履约的验收，即：按照合同约定的标准，组织对乙方履约情况的验收，并出具验收书；</w:t>
      </w:r>
      <w:r>
        <w:rPr>
          <w:rFonts w:hint="eastAsia" w:ascii="黑体" w:hAnsi="黑体" w:eastAsia="黑体" w:cs="黑体"/>
          <w:color w:val="auto"/>
          <w:sz w:val="24"/>
          <w:szCs w:val="24"/>
        </w:rPr>
        <w:t xml:space="preserve"> 向社会公众提供的公共服务项目，验收时应当邀请服务对象参与并出具意见，验收结</w:t>
      </w:r>
      <w:r>
        <w:rPr>
          <w:rFonts w:hint="eastAsia" w:ascii="黑体" w:hAnsi="黑体" w:eastAsia="黑体" w:cs="黑体"/>
          <w:color w:val="auto"/>
          <w:spacing w:val="-1"/>
          <w:sz w:val="24"/>
          <w:szCs w:val="24"/>
        </w:rPr>
        <w:t>果应当向社会公告；</w:t>
      </w:r>
    </w:p>
    <w:p w14:paraId="23B35C2B">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34" w:firstLineChars="181"/>
        <w:rPr>
          <w:rFonts w:hint="eastAsia" w:ascii="黑体" w:hAnsi="黑体" w:eastAsia="黑体" w:cs="黑体"/>
          <w:color w:val="auto"/>
          <w:sz w:val="25"/>
          <w:szCs w:val="25"/>
        </w:rPr>
      </w:pPr>
      <w:r>
        <w:rPr>
          <w:rFonts w:hint="eastAsia" w:ascii="黑体" w:hAnsi="黑体" w:eastAsia="黑体" w:cs="黑体"/>
          <w:color w:val="auto"/>
          <w:sz w:val="24"/>
          <w:szCs w:val="24"/>
        </w:rPr>
        <w:t>2.15.3 检验和验收标准、程序等具体内容以及前述验收书的效力详见</w:t>
      </w:r>
      <w:r>
        <w:rPr>
          <w:rFonts w:hint="eastAsia" w:ascii="黑体" w:hAnsi="黑体" w:eastAsia="黑体" w:cs="黑体"/>
          <w:i/>
          <w:iCs/>
          <w:color w:val="auto"/>
          <w:sz w:val="25"/>
          <w:szCs w:val="25"/>
          <w:u w:val="single" w:color="000000"/>
        </w:rPr>
        <w:t>合同专用条款</w:t>
      </w:r>
      <w:r>
        <w:rPr>
          <w:rFonts w:hint="eastAsia" w:ascii="黑体" w:hAnsi="黑体" w:eastAsia="黑体" w:cs="黑体"/>
          <w:i/>
          <w:iCs/>
          <w:color w:val="auto"/>
          <w:sz w:val="25"/>
          <w:szCs w:val="25"/>
        </w:rPr>
        <w:t>。</w:t>
      </w:r>
    </w:p>
    <w:p w14:paraId="78B4A98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2.16 通知和送达</w:t>
      </w:r>
    </w:p>
    <w:p w14:paraId="09906FBD">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0" w:firstLineChars="175"/>
        <w:rPr>
          <w:rFonts w:hint="eastAsia" w:ascii="黑体" w:hAnsi="黑体" w:eastAsia="黑体" w:cs="黑体"/>
          <w:color w:val="auto"/>
          <w:spacing w:val="-2"/>
          <w:sz w:val="24"/>
          <w:szCs w:val="24"/>
        </w:rPr>
      </w:pPr>
      <w:r>
        <w:rPr>
          <w:rFonts w:hint="eastAsia" w:ascii="黑体" w:hAnsi="黑体" w:eastAsia="黑体" w:cs="黑体"/>
          <w:color w:val="auto"/>
          <w:sz w:val="24"/>
          <w:szCs w:val="24"/>
        </w:rPr>
        <w:t>2.16.1 任何一方因履行合同而以合同第一部分尾部所列明的</w:t>
      </w:r>
      <w:r>
        <w:rPr>
          <w:rFonts w:hint="eastAsia" w:ascii="黑体" w:hAnsi="黑体" w:eastAsia="黑体" w:cs="黑体"/>
          <w:color w:val="auto"/>
          <w:sz w:val="24"/>
          <w:szCs w:val="24"/>
          <w:u w:val="single" w:color="auto"/>
        </w:rPr>
        <w:t>合同履行</w:t>
      </w:r>
      <w:r>
        <w:rPr>
          <w:rFonts w:hint="eastAsia" w:ascii="黑体" w:hAnsi="黑体" w:eastAsia="黑体" w:cs="黑体"/>
          <w:color w:val="auto"/>
          <w:spacing w:val="-1"/>
          <w:sz w:val="24"/>
          <w:szCs w:val="24"/>
          <w:u w:val="single" w:color="auto"/>
        </w:rPr>
        <w:t>地人民法院</w:t>
      </w:r>
      <w:r>
        <w:rPr>
          <w:rFonts w:hint="eastAsia" w:ascii="黑体" w:hAnsi="黑体" w:eastAsia="黑体" w:cs="黑体"/>
          <w:color w:val="auto"/>
          <w:spacing w:val="-1"/>
          <w:sz w:val="24"/>
          <w:szCs w:val="24"/>
        </w:rPr>
        <w:t>发出的所</w:t>
      </w:r>
      <w:r>
        <w:rPr>
          <w:rFonts w:hint="eastAsia" w:ascii="黑体" w:hAnsi="黑体" w:eastAsia="黑体" w:cs="黑体"/>
          <w:color w:val="auto"/>
          <w:sz w:val="24"/>
          <w:szCs w:val="24"/>
        </w:rPr>
        <w:t>有通知、文件、材料，均视为已向对方当事人送达；任何一方变更上述送达方式</w:t>
      </w:r>
      <w:r>
        <w:rPr>
          <w:rFonts w:hint="eastAsia" w:ascii="黑体" w:hAnsi="黑体" w:eastAsia="黑体" w:cs="黑体"/>
          <w:color w:val="auto"/>
          <w:spacing w:val="-1"/>
          <w:sz w:val="24"/>
          <w:szCs w:val="24"/>
        </w:rPr>
        <w:t>或者地址的，应</w:t>
      </w:r>
      <w:bookmarkStart w:id="33" w:name="bookmark9"/>
      <w:bookmarkEnd w:id="33"/>
      <w:r>
        <w:rPr>
          <w:rFonts w:hint="eastAsia" w:ascii="黑体" w:hAnsi="黑体" w:eastAsia="黑体" w:cs="黑体"/>
          <w:color w:val="auto"/>
          <w:spacing w:val="-1"/>
          <w:sz w:val="24"/>
          <w:szCs w:val="24"/>
        </w:rPr>
        <w:t>于</w:t>
      </w:r>
      <w:r>
        <w:rPr>
          <w:rFonts w:hint="eastAsia" w:ascii="黑体" w:hAnsi="黑体" w:eastAsia="黑体" w:cs="黑体"/>
          <w:color w:val="auto"/>
          <w:spacing w:val="-45"/>
          <w:sz w:val="24"/>
          <w:szCs w:val="24"/>
        </w:rPr>
        <w:t xml:space="preserve"> </w:t>
      </w:r>
      <w:r>
        <w:rPr>
          <w:rFonts w:hint="eastAsia" w:ascii="黑体" w:hAnsi="黑体" w:eastAsia="黑体" w:cs="黑体"/>
          <w:color w:val="auto"/>
          <w:spacing w:val="-1"/>
          <w:sz w:val="24"/>
          <w:szCs w:val="24"/>
          <w:u w:val="single" w:color="auto"/>
        </w:rPr>
        <w:t>3</w:t>
      </w:r>
      <w:r>
        <w:rPr>
          <w:rFonts w:hint="eastAsia" w:ascii="黑体" w:hAnsi="黑体" w:eastAsia="黑体" w:cs="黑体"/>
          <w:color w:val="auto"/>
          <w:spacing w:val="-55"/>
          <w:sz w:val="24"/>
          <w:szCs w:val="24"/>
          <w:u w:val="single" w:color="auto"/>
        </w:rPr>
        <w:t xml:space="preserve"> </w:t>
      </w:r>
      <w:r>
        <w:rPr>
          <w:rFonts w:hint="eastAsia" w:ascii="黑体" w:hAnsi="黑体" w:eastAsia="黑体" w:cs="黑体"/>
          <w:color w:val="auto"/>
          <w:spacing w:val="-1"/>
          <w:sz w:val="24"/>
          <w:szCs w:val="24"/>
        </w:rPr>
        <w:t>个工作日内书面通知对方当事人，在对方当事人收到有关变更通知之前，变更前的约定送达</w:t>
      </w:r>
      <w:r>
        <w:rPr>
          <w:rFonts w:hint="eastAsia" w:ascii="黑体" w:hAnsi="黑体" w:eastAsia="黑体" w:cs="黑体"/>
          <w:color w:val="auto"/>
          <w:spacing w:val="-2"/>
          <w:sz w:val="24"/>
          <w:szCs w:val="24"/>
        </w:rPr>
        <w:t>方式或者地址仍视为有效。</w:t>
      </w:r>
    </w:p>
    <w:p w14:paraId="5C918F83">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9" w:firstLineChars="175"/>
        <w:rPr>
          <w:rFonts w:hint="eastAsia" w:ascii="黑体" w:hAnsi="黑体" w:eastAsia="黑体" w:cs="黑体"/>
          <w:color w:val="auto"/>
          <w:spacing w:val="-2"/>
          <w:sz w:val="24"/>
          <w:szCs w:val="24"/>
        </w:rPr>
      </w:pPr>
      <w:r>
        <w:rPr>
          <w:rFonts w:hint="eastAsia" w:ascii="黑体" w:hAnsi="黑体" w:eastAsia="黑体" w:cs="黑体"/>
          <w:color w:val="auto"/>
          <w:spacing w:val="-3"/>
          <w:sz w:val="24"/>
          <w:szCs w:val="24"/>
        </w:rPr>
        <w:t>2.16.2 以当面交付方式送达的，交付之时视为送达；以电子邮件方式送达的，发出电子邮件</w:t>
      </w:r>
      <w:r>
        <w:rPr>
          <w:rFonts w:hint="eastAsia" w:ascii="黑体" w:hAnsi="黑体" w:eastAsia="黑体" w:cs="黑体"/>
          <w:color w:val="auto"/>
          <w:spacing w:val="3"/>
          <w:sz w:val="24"/>
          <w:szCs w:val="24"/>
        </w:rPr>
        <w:t xml:space="preserve"> </w:t>
      </w:r>
      <w:r>
        <w:rPr>
          <w:rFonts w:hint="eastAsia" w:ascii="黑体" w:hAnsi="黑体" w:eastAsia="黑体" w:cs="黑体"/>
          <w:color w:val="auto"/>
          <w:sz w:val="24"/>
          <w:szCs w:val="24"/>
        </w:rPr>
        <w:t>之时视为送达；以传真方式送达的，发出传真之时视为送达；以邮寄</w:t>
      </w:r>
      <w:r>
        <w:rPr>
          <w:rFonts w:hint="eastAsia" w:ascii="黑体" w:hAnsi="黑体" w:eastAsia="黑体" w:cs="黑体"/>
          <w:color w:val="auto"/>
          <w:spacing w:val="-1"/>
          <w:sz w:val="24"/>
          <w:szCs w:val="24"/>
        </w:rPr>
        <w:t>方式送达的，邮件挂号寄出</w:t>
      </w:r>
      <w:r>
        <w:rPr>
          <w:rFonts w:hint="eastAsia" w:ascii="黑体" w:hAnsi="黑体" w:eastAsia="黑体" w:cs="黑体"/>
          <w:color w:val="auto"/>
          <w:spacing w:val="-2"/>
          <w:sz w:val="24"/>
          <w:szCs w:val="24"/>
        </w:rPr>
        <w:t>或者交邮之日之次日视为送达。</w:t>
      </w:r>
    </w:p>
    <w:p w14:paraId="2663D083">
      <w:pPr>
        <w:keepNext w:val="0"/>
        <w:keepLines w:val="0"/>
        <w:pageBreakBefore w:val="0"/>
        <w:widowControl/>
        <w:kinsoku/>
        <w:wordWrap w:val="0"/>
        <w:overflowPunct/>
        <w:topLinePunct w:val="0"/>
        <w:autoSpaceDE/>
        <w:autoSpaceDN/>
        <w:bidi w:val="0"/>
        <w:adjustRightInd w:val="0"/>
        <w:snapToGrid w:val="0"/>
        <w:spacing w:line="360" w:lineRule="auto"/>
        <w:ind w:right="0"/>
        <w:rPr>
          <w:rFonts w:hint="eastAsia" w:ascii="黑体" w:hAnsi="黑体" w:eastAsia="黑体" w:cs="黑体"/>
          <w:color w:val="auto"/>
          <w:sz w:val="24"/>
          <w:szCs w:val="24"/>
        </w:rPr>
      </w:pPr>
      <w:r>
        <w:rPr>
          <w:rFonts w:hint="eastAsia" w:ascii="黑体" w:hAnsi="黑体" w:eastAsia="黑体" w:cs="黑体"/>
          <w:color w:val="auto"/>
          <w:sz w:val="24"/>
          <w:szCs w:val="24"/>
        </w:rPr>
        <w:t>2.17 合同使用的文字和适用的法律</w:t>
      </w:r>
    </w:p>
    <w:p w14:paraId="29D6EAA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rPr>
      </w:pPr>
      <w:r>
        <w:rPr>
          <w:rFonts w:hint="eastAsia" w:ascii="黑体" w:hAnsi="黑体" w:eastAsia="黑体" w:cs="黑体"/>
          <w:color w:val="auto"/>
          <w:spacing w:val="-1"/>
          <w:sz w:val="24"/>
          <w:szCs w:val="24"/>
        </w:rPr>
        <w:t>2.17.1 合同使用汉语书就、变更和解释；</w:t>
      </w:r>
    </w:p>
    <w:p w14:paraId="43760DA1">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6"/>
        <w:rPr>
          <w:rFonts w:hint="eastAsia" w:ascii="黑体" w:hAnsi="黑体" w:eastAsia="黑体" w:cs="黑体"/>
          <w:color w:val="auto"/>
          <w:sz w:val="24"/>
          <w:szCs w:val="24"/>
        </w:rPr>
      </w:pPr>
      <w:r>
        <w:rPr>
          <w:rFonts w:hint="eastAsia" w:ascii="黑体" w:hAnsi="黑体" w:eastAsia="黑体" w:cs="黑体"/>
          <w:color w:val="auto"/>
          <w:spacing w:val="-1"/>
          <w:sz w:val="24"/>
          <w:szCs w:val="24"/>
        </w:rPr>
        <w:t>2.17.2 合同适用中华人民共和国法律。</w:t>
      </w:r>
    </w:p>
    <w:p w14:paraId="28C35512">
      <w:pPr>
        <w:keepNext w:val="0"/>
        <w:keepLines w:val="0"/>
        <w:pageBreakBefore w:val="0"/>
        <w:widowControl/>
        <w:kinsoku/>
        <w:wordWrap w:val="0"/>
        <w:overflowPunct/>
        <w:topLinePunct w:val="0"/>
        <w:autoSpaceDE/>
        <w:autoSpaceDN/>
        <w:bidi w:val="0"/>
        <w:adjustRightInd w:val="0"/>
        <w:snapToGrid w:val="0"/>
        <w:spacing w:line="360" w:lineRule="auto"/>
        <w:ind w:left="0" w:leftChars="0" w:right="0"/>
        <w:outlineLvl w:val="0"/>
        <w:rPr>
          <w:rFonts w:hint="eastAsia" w:ascii="黑体" w:hAnsi="黑体" w:eastAsia="黑体" w:cs="黑体"/>
          <w:color w:val="auto"/>
          <w:sz w:val="24"/>
          <w:szCs w:val="24"/>
        </w:rPr>
      </w:pPr>
      <w:r>
        <w:rPr>
          <w:rFonts w:hint="eastAsia" w:ascii="黑体" w:hAnsi="黑体" w:eastAsia="黑体" w:cs="黑体"/>
          <w:color w:val="auto"/>
          <w:sz w:val="24"/>
          <w:szCs w:val="24"/>
        </w:rPr>
        <w:t>2.18 履约保证金</w:t>
      </w:r>
    </w:p>
    <w:p w14:paraId="0DC32CD9">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7" w:firstLineChars="177"/>
        <w:jc w:val="both"/>
        <w:rPr>
          <w:rFonts w:hint="eastAsia" w:ascii="黑体" w:hAnsi="黑体" w:eastAsia="黑体" w:cs="黑体"/>
          <w:color w:val="auto"/>
          <w:sz w:val="24"/>
          <w:szCs w:val="24"/>
        </w:rPr>
      </w:pPr>
      <w:r>
        <w:rPr>
          <w:rFonts w:hint="eastAsia" w:ascii="黑体" w:hAnsi="黑体" w:eastAsia="黑体" w:cs="黑体"/>
          <w:color w:val="auto"/>
          <w:spacing w:val="-2"/>
          <w:sz w:val="24"/>
          <w:szCs w:val="24"/>
        </w:rPr>
        <w:t>2.18.1采购文件要求乙方提交履约保证金的</w:t>
      </w:r>
      <w:r>
        <w:rPr>
          <w:rFonts w:hint="eastAsia" w:ascii="黑体" w:hAnsi="黑体" w:eastAsia="黑体" w:cs="黑体"/>
          <w:color w:val="auto"/>
          <w:spacing w:val="-3"/>
          <w:sz w:val="24"/>
          <w:szCs w:val="24"/>
        </w:rPr>
        <w:t>，乙方应按</w:t>
      </w:r>
      <w:r>
        <w:rPr>
          <w:rFonts w:hint="eastAsia" w:ascii="黑体" w:hAnsi="黑体" w:eastAsia="黑体" w:cs="黑体"/>
          <w:i/>
          <w:iCs/>
          <w:color w:val="auto"/>
          <w:spacing w:val="-3"/>
          <w:sz w:val="25"/>
          <w:szCs w:val="25"/>
          <w:u w:val="single" w:color="000000"/>
        </w:rPr>
        <w:t>合同专用条款</w:t>
      </w:r>
      <w:r>
        <w:rPr>
          <w:rFonts w:hint="eastAsia" w:ascii="黑体" w:hAnsi="黑体" w:eastAsia="黑体" w:cs="黑体"/>
          <w:color w:val="auto"/>
          <w:spacing w:val="-3"/>
          <w:sz w:val="24"/>
          <w:szCs w:val="24"/>
        </w:rPr>
        <w:t>约定的方式，以支票、</w:t>
      </w:r>
      <w:r>
        <w:rPr>
          <w:rFonts w:hint="eastAsia" w:ascii="黑体" w:hAnsi="黑体" w:eastAsia="黑体" w:cs="黑体"/>
          <w:color w:val="auto"/>
          <w:spacing w:val="-2"/>
          <w:sz w:val="24"/>
          <w:szCs w:val="24"/>
        </w:rPr>
        <w:t>汇票、本票或者金融机构、担保机构出具的保函等非现金形式，提交合同总价的</w:t>
      </w:r>
      <w:r>
        <w:rPr>
          <w:rFonts w:hint="eastAsia" w:ascii="黑体" w:hAnsi="黑体" w:eastAsia="黑体" w:cs="黑体"/>
          <w:color w:val="auto"/>
          <w:spacing w:val="-2"/>
          <w:sz w:val="24"/>
          <w:szCs w:val="24"/>
          <w:u w:val="single" w:color="auto"/>
        </w:rPr>
        <w:t>5%</w:t>
      </w:r>
      <w:r>
        <w:rPr>
          <w:rFonts w:hint="eastAsia" w:ascii="黑体" w:hAnsi="黑体" w:eastAsia="黑体" w:cs="黑体"/>
          <w:color w:val="auto"/>
          <w:spacing w:val="-2"/>
          <w:sz w:val="24"/>
          <w:szCs w:val="24"/>
        </w:rPr>
        <w:t>作</w:t>
      </w:r>
      <w:r>
        <w:rPr>
          <w:rFonts w:hint="eastAsia" w:ascii="黑体" w:hAnsi="黑体" w:eastAsia="黑体" w:cs="黑体"/>
          <w:color w:val="auto"/>
          <w:spacing w:val="-3"/>
          <w:sz w:val="24"/>
          <w:szCs w:val="24"/>
        </w:rPr>
        <w:t>为履约</w:t>
      </w:r>
      <w:r>
        <w:rPr>
          <w:rFonts w:hint="eastAsia" w:ascii="黑体" w:hAnsi="黑体" w:eastAsia="黑体" w:cs="黑体"/>
          <w:color w:val="auto"/>
          <w:spacing w:val="-1"/>
          <w:sz w:val="24"/>
          <w:szCs w:val="24"/>
        </w:rPr>
        <w:t>保证金；</w:t>
      </w:r>
    </w:p>
    <w:p w14:paraId="566DE4BF">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00" w:firstLineChars="177"/>
        <w:jc w:val="both"/>
        <w:rPr>
          <w:rFonts w:hint="eastAsia" w:ascii="黑体" w:hAnsi="黑体" w:eastAsia="黑体" w:cs="黑体"/>
          <w:color w:val="auto"/>
          <w:spacing w:val="-2"/>
          <w:sz w:val="24"/>
          <w:szCs w:val="24"/>
        </w:rPr>
      </w:pPr>
      <w:r>
        <w:rPr>
          <w:rFonts w:hint="eastAsia" w:ascii="黑体" w:hAnsi="黑体" w:eastAsia="黑体" w:cs="黑体"/>
          <w:color w:val="auto"/>
          <w:spacing w:val="-7"/>
          <w:sz w:val="24"/>
          <w:szCs w:val="24"/>
        </w:rPr>
        <w:t>2.18.2如果乙方不履行合同，履约保证金不予退还；如果乙方未能按合同约定全面履行义务，</w:t>
      </w:r>
      <w:r>
        <w:rPr>
          <w:rFonts w:hint="eastAsia" w:ascii="黑体" w:hAnsi="黑体" w:eastAsia="黑体" w:cs="黑体"/>
          <w:color w:val="auto"/>
          <w:sz w:val="24"/>
          <w:szCs w:val="24"/>
        </w:rPr>
        <w:t>那么甲方有权从履约保证金中取得补偿或赔偿，同时不影响甲方要求乙方承</w:t>
      </w:r>
      <w:r>
        <w:rPr>
          <w:rFonts w:hint="eastAsia" w:ascii="黑体" w:hAnsi="黑体" w:eastAsia="黑体" w:cs="黑体"/>
          <w:color w:val="auto"/>
          <w:spacing w:val="-1"/>
          <w:sz w:val="24"/>
          <w:szCs w:val="24"/>
        </w:rPr>
        <w:t>担合同约定的超过履</w:t>
      </w:r>
      <w:r>
        <w:rPr>
          <w:rFonts w:hint="eastAsia" w:ascii="黑体" w:hAnsi="黑体" w:eastAsia="黑体" w:cs="黑体"/>
          <w:color w:val="auto"/>
          <w:spacing w:val="-2"/>
          <w:sz w:val="24"/>
          <w:szCs w:val="24"/>
        </w:rPr>
        <w:t>约保证金的违约责任的权利。</w:t>
      </w:r>
    </w:p>
    <w:p w14:paraId="50B84CE8">
      <w:pPr>
        <w:keepNext w:val="0"/>
        <w:keepLines w:val="0"/>
        <w:pageBreakBefore w:val="0"/>
        <w:widowControl/>
        <w:kinsoku/>
        <w:wordWrap w:val="0"/>
        <w:overflowPunct/>
        <w:topLinePunct w:val="0"/>
        <w:autoSpaceDE/>
        <w:autoSpaceDN/>
        <w:bidi w:val="0"/>
        <w:adjustRightInd w:val="0"/>
        <w:snapToGrid w:val="0"/>
        <w:spacing w:line="360" w:lineRule="auto"/>
        <w:ind w:right="0"/>
        <w:jc w:val="both"/>
        <w:rPr>
          <w:rFonts w:hint="eastAsia" w:ascii="黑体" w:hAnsi="黑体" w:eastAsia="黑体" w:cs="黑体"/>
          <w:color w:val="auto"/>
          <w:spacing w:val="-1"/>
          <w:sz w:val="24"/>
          <w:szCs w:val="24"/>
        </w:rPr>
      </w:pPr>
      <w:r>
        <w:rPr>
          <w:rFonts w:hint="eastAsia" w:ascii="黑体" w:hAnsi="黑体" w:eastAsia="黑体" w:cs="黑体"/>
          <w:color w:val="auto"/>
          <w:spacing w:val="-1"/>
          <w:sz w:val="24"/>
          <w:szCs w:val="24"/>
        </w:rPr>
        <w:t>2.19 合同份数</w:t>
      </w:r>
    </w:p>
    <w:p w14:paraId="3A699876">
      <w:pPr>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18" w:firstLineChars="179"/>
        <w:jc w:val="both"/>
        <w:rPr>
          <w:rFonts w:hint="eastAsia" w:ascii="黑体" w:hAnsi="黑体" w:eastAsia="黑体" w:cs="黑体"/>
          <w:color w:val="auto"/>
          <w:sz w:val="24"/>
          <w:szCs w:val="24"/>
        </w:rPr>
      </w:pPr>
      <w:r>
        <w:rPr>
          <w:rFonts w:hint="eastAsia" w:ascii="黑体" w:hAnsi="黑体" w:eastAsia="黑体" w:cs="黑体"/>
          <w:color w:val="auto"/>
          <w:spacing w:val="-3"/>
          <w:sz w:val="24"/>
          <w:szCs w:val="24"/>
        </w:rPr>
        <w:t>合同份数按</w:t>
      </w:r>
      <w:r>
        <w:rPr>
          <w:rFonts w:hint="eastAsia" w:ascii="黑体" w:hAnsi="黑体" w:eastAsia="黑体" w:cs="黑体"/>
          <w:i/>
          <w:iCs/>
          <w:color w:val="auto"/>
          <w:spacing w:val="-3"/>
          <w:sz w:val="25"/>
          <w:szCs w:val="25"/>
          <w:u w:val="single" w:color="000000"/>
        </w:rPr>
        <w:t>合同专用条款</w:t>
      </w:r>
      <w:r>
        <w:rPr>
          <w:rFonts w:hint="eastAsia" w:ascii="黑体" w:hAnsi="黑体" w:eastAsia="黑体" w:cs="黑体"/>
          <w:color w:val="auto"/>
          <w:spacing w:val="-3"/>
          <w:sz w:val="24"/>
          <w:szCs w:val="24"/>
        </w:rPr>
        <w:t>规定，每份均具有同等法律效力。</w:t>
      </w:r>
    </w:p>
    <w:p w14:paraId="30D28D98">
      <w:pPr>
        <w:pStyle w:val="6"/>
        <w:keepNext w:val="0"/>
        <w:keepLines w:val="0"/>
        <w:pageBreakBefore w:val="0"/>
        <w:widowControl/>
        <w:kinsoku/>
        <w:wordWrap w:val="0"/>
        <w:overflowPunct/>
        <w:topLinePunct w:val="0"/>
        <w:autoSpaceDE/>
        <w:autoSpaceDN/>
        <w:bidi w:val="0"/>
        <w:adjustRightInd w:val="0"/>
        <w:snapToGrid w:val="0"/>
        <w:spacing w:line="360" w:lineRule="auto"/>
        <w:ind w:left="0" w:leftChars="0" w:right="0" w:firstLine="422" w:firstLineChars="175"/>
        <w:textAlignment w:val="auto"/>
        <w:rPr>
          <w:rFonts w:hint="eastAsia" w:ascii="黑体" w:hAnsi="黑体" w:eastAsia="黑体" w:cs="黑体"/>
          <w:i w:val="0"/>
          <w:iCs w:val="0"/>
          <w:color w:val="auto"/>
          <w:sz w:val="28"/>
        </w:rPr>
      </w:pPr>
      <w:r>
        <w:rPr>
          <w:rFonts w:hint="eastAsia" w:ascii="黑体" w:hAnsi="黑体" w:eastAsia="黑体" w:cs="黑体"/>
          <w:b/>
          <w:color w:val="auto"/>
          <w:sz w:val="24"/>
        </w:rPr>
        <w:t>备注：最终签订合同以与甲方签订合同为准。</w:t>
      </w:r>
    </w:p>
    <w:sectPr>
      <w:headerReference r:id="rId36" w:type="default"/>
      <w:footerReference r:id="rId37" w:type="default"/>
      <w:pgSz w:w="11907" w:h="16840"/>
      <w:pgMar w:top="1134" w:right="1417" w:bottom="1134" w:left="1417" w:header="851" w:footer="851" w:gutter="0"/>
      <w:pgNumType w:fmt="decimal"/>
      <w:cols w:space="720" w:num="1"/>
      <w:rtlGutter w:val="0"/>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F39C">
    <w:pPr>
      <w:spacing w:line="208" w:lineRule="auto"/>
      <w:ind w:left="3443"/>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C49E">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CCCB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0CCCB1">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520E">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FD200">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DFD200">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4C8E">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5FF82">
                          <w:pPr>
                            <w:pStyle w:val="1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95FF82">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E28E">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DF7A8">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77DF7A8">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C7BC">
    <w:pPr>
      <w:spacing w:line="209" w:lineRule="auto"/>
      <w:ind w:left="4178"/>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EC125">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FEC125">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8925">
    <w:pPr>
      <w:spacing w:line="209" w:lineRule="auto"/>
      <w:ind w:left="3459"/>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3D5B1">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B93D5B1">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2280">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20BA5">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E720BA5">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3D8B">
    <w:pPr>
      <w:spacing w:line="209" w:lineRule="auto"/>
      <w:ind w:left="381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E9C1D">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78E9C1D">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C545">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26397">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0526397">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9DEF">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3BE78">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CD3BE78">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48B3">
    <w:pPr>
      <w:spacing w:line="209" w:lineRule="auto"/>
      <w:ind w:left="3476"/>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1AC9">
    <w:pPr>
      <w:spacing w:line="209" w:lineRule="auto"/>
      <w:ind w:left="3443"/>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D3279">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11D3279">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35AE">
    <w:pPr>
      <w:spacing w:line="209" w:lineRule="auto"/>
      <w:ind w:left="3570"/>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0AA86">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ED0AA86">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8297">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51D8E">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C351D8E">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ED5C">
    <w:pPr>
      <w:spacing w:line="209" w:lineRule="auto"/>
      <w:ind w:left="401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4A5BE">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464A5BE">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C2FF">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8C487">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C78C487">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DD988">
    <w:pPr>
      <w:spacing w:line="209" w:lineRule="auto"/>
      <w:ind w:left="3542"/>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48C1C">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4948C1C">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1881">
    <w:pPr>
      <w:spacing w:line="209" w:lineRule="auto"/>
      <w:ind w:left="3758"/>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B01C2">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98B01C2">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4516">
    <w:pPr>
      <w:spacing w:line="209" w:lineRule="auto"/>
      <w:ind w:left="3871"/>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F3AFE">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B0F3AFE">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BC01">
    <w:pPr>
      <w:spacing w:line="209" w:lineRule="auto"/>
      <w:ind w:left="3575"/>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409C7">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13409C7">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525D">
    <w:pPr>
      <w:spacing w:line="168" w:lineRule="auto"/>
      <w:ind w:left="4947"/>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F4BC5">
                          <w:pPr>
                            <w:pStyle w:val="10"/>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nGzcoBAACb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fUuK4xYmff/44//pz/v2d&#10;oA8F6gPUmHcfMDMN7/yAazP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nGzcoBAACbAwAADgAAAAAAAAABACAAAAAeAQAAZHJzL2Uyb0Rv&#10;Yy54bWxQSwUGAAAAAAYABgBZAQAAWgUAAAAA&#10;">
              <v:fill on="f" focussize="0,0"/>
              <v:stroke on="f"/>
              <v:imagedata o:title=""/>
              <o:lock v:ext="edit" aspectratio="f"/>
              <v:textbox inset="0mm,0mm,0mm,0mm" style="mso-fit-shape-to-text:t;">
                <w:txbxContent>
                  <w:p w14:paraId="02CF4BC5">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376FC">
    <w:pPr>
      <w:spacing w:line="209" w:lineRule="auto"/>
      <w:ind w:left="347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64DCA">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264DCA">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5954">
    <w:pPr>
      <w:spacing w:line="168" w:lineRule="auto"/>
      <w:ind w:left="4948"/>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8512AA">
                          <w:pPr>
                            <w:pStyle w:val="10"/>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ZB/M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iJI5bnPj554/zr8fzw3eC&#10;PhSoD1Bj3l3AzDS89wOuzewHdGbeg4o2f5ERwThinS7yyiERkR+tlqtVhSGBsfmC+OzpeYiQPkhv&#10;STYaGnF+RVZ+/ARpTJ1TcjXnb7UxZYbG/eVAzOxhufexx2ylYTdMhHa+PSGfHkffUIebTon56FBZ&#10;7C/NRpyN3WwcQtT7rqxRrgfh3SFhE6W3XGGEnQrjzAq7ab/yUvx5L1lP/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FkH8yQEAAJsDAAAOAAAAAAAAAAEAIAAAAB4BAABkcnMvZTJvRG9j&#10;LnhtbFBLBQYAAAAABgAGAFkBAABZBQAAAAA=&#10;">
              <v:fill on="f" focussize="0,0"/>
              <v:stroke on="f"/>
              <v:imagedata o:title=""/>
              <o:lock v:ext="edit" aspectratio="f"/>
              <v:textbox inset="0mm,0mm,0mm,0mm" style="mso-fit-shape-to-text:t;">
                <w:txbxContent>
                  <w:p w14:paraId="538512AA">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BFB1">
    <w:pPr>
      <w:pStyle w:val="1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6C6E6">
                          <w:pPr>
                            <w:pStyle w:val="10"/>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WEL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C&#10;PhSoD1Bj3kPAzDTc+QHXZv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dYQtyQEAAJsDAAAOAAAAAAAAAAEAIAAAAB4BAABkcnMvZTJvRG9j&#10;LnhtbFBLBQYAAAAABgAGAFkBAABZBQAAAAA=&#10;">
              <v:fill on="f" focussize="0,0"/>
              <v:stroke on="f"/>
              <v:imagedata o:title=""/>
              <o:lock v:ext="edit" aspectratio="f"/>
              <v:textbox inset="0mm,0mm,0mm,0mm" style="mso-fit-shape-to-text:t;">
                <w:txbxContent>
                  <w:p w14:paraId="3A56C6E6">
                    <w:pPr>
                      <w:pStyle w:val="10"/>
                    </w:pPr>
                    <w:r>
                      <w:fldChar w:fldCharType="begin"/>
                    </w:r>
                    <w:r>
                      <w:instrText xml:space="preserve"> PAGE  \* MERGEFORMAT </w:instrText>
                    </w:r>
                    <w:r>
                      <w:fldChar w:fldCharType="separate"/>
                    </w:r>
                    <w:r>
                      <w:t>73</w:t>
                    </w:r>
                    <w:r>
                      <w:fldChar w:fldCharType="end"/>
                    </w:r>
                  </w:p>
                </w:txbxContent>
              </v:textbox>
            </v:shape>
          </w:pict>
        </mc:Fallback>
      </mc:AlternateContent>
    </w:r>
  </w:p>
  <w:p w14:paraId="0577ECC8">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D374">
    <w:pPr>
      <w:spacing w:line="209" w:lineRule="auto"/>
      <w:ind w:left="3505"/>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F0EFF">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2F0EFF">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E6AA">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A26E6">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3A26E6">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2C41">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F5BF5">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6F5BF5">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8867">
    <w:pPr>
      <w:spacing w:line="209" w:lineRule="auto"/>
      <w:ind w:left="382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A0891">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CA0891">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2009">
    <w:pPr>
      <w:spacing w:line="209" w:lineRule="auto"/>
      <w:ind w:left="3409"/>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58B4">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3D58B4">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615C">
    <w:pPr>
      <w:spacing w:line="209" w:lineRule="auto"/>
      <w:ind w:left="3898"/>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4224E">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54224E">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7B1B">
    <w:pPr>
      <w:pStyle w:val="7"/>
      <w:tabs>
        <w:tab w:val="left" w:pos="567"/>
      </w:tabs>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50E9">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C575"/>
    <w:multiLevelType w:val="singleLevel"/>
    <w:tmpl w:val="83AEC575"/>
    <w:lvl w:ilvl="0" w:tentative="0">
      <w:start w:val="7"/>
      <w:numFmt w:val="decimal"/>
      <w:suff w:val="nothing"/>
      <w:lvlText w:val="%1、"/>
      <w:lvlJc w:val="left"/>
    </w:lvl>
  </w:abstractNum>
  <w:abstractNum w:abstractNumId="1">
    <w:nsid w:val="8D491900"/>
    <w:multiLevelType w:val="singleLevel"/>
    <w:tmpl w:val="8D491900"/>
    <w:lvl w:ilvl="0" w:tentative="0">
      <w:start w:val="4"/>
      <w:numFmt w:val="decimal"/>
      <w:lvlText w:val="%1."/>
      <w:lvlJc w:val="left"/>
      <w:pPr>
        <w:tabs>
          <w:tab w:val="left" w:pos="312"/>
        </w:tabs>
      </w:pPr>
    </w:lvl>
  </w:abstractNum>
  <w:abstractNum w:abstractNumId="2">
    <w:nsid w:val="96866BC7"/>
    <w:multiLevelType w:val="singleLevel"/>
    <w:tmpl w:val="96866BC7"/>
    <w:lvl w:ilvl="0" w:tentative="0">
      <w:start w:val="4"/>
      <w:numFmt w:val="chineseCounting"/>
      <w:suff w:val="nothing"/>
      <w:lvlText w:val="%1、"/>
      <w:lvlJc w:val="left"/>
      <w:rPr>
        <w:rFonts w:hint="eastAsia"/>
      </w:rPr>
    </w:lvl>
  </w:abstractNum>
  <w:abstractNum w:abstractNumId="3">
    <w:nsid w:val="9945019D"/>
    <w:multiLevelType w:val="singleLevel"/>
    <w:tmpl w:val="9945019D"/>
    <w:lvl w:ilvl="0" w:tentative="0">
      <w:start w:val="1"/>
      <w:numFmt w:val="decimal"/>
      <w:lvlText w:val="（%1)"/>
      <w:lvlJc w:val="left"/>
      <w:pPr>
        <w:tabs>
          <w:tab w:val="left" w:pos="312"/>
        </w:tabs>
        <w:ind w:left="-76"/>
      </w:pPr>
    </w:lvl>
  </w:abstractNum>
  <w:abstractNum w:abstractNumId="4">
    <w:nsid w:val="B6CE0E0A"/>
    <w:multiLevelType w:val="singleLevel"/>
    <w:tmpl w:val="B6CE0E0A"/>
    <w:lvl w:ilvl="0" w:tentative="0">
      <w:start w:val="2"/>
      <w:numFmt w:val="decimal"/>
      <w:suff w:val="nothing"/>
      <w:lvlText w:val="（%1）"/>
      <w:lvlJc w:val="left"/>
    </w:lvl>
  </w:abstractNum>
  <w:abstractNum w:abstractNumId="5">
    <w:nsid w:val="BD9610B5"/>
    <w:multiLevelType w:val="singleLevel"/>
    <w:tmpl w:val="BD9610B5"/>
    <w:lvl w:ilvl="0" w:tentative="0">
      <w:start w:val="13"/>
      <w:numFmt w:val="decimal"/>
      <w:lvlText w:val="%1."/>
      <w:lvlJc w:val="left"/>
      <w:pPr>
        <w:tabs>
          <w:tab w:val="left" w:pos="312"/>
        </w:tabs>
      </w:pPr>
    </w:lvl>
  </w:abstractNum>
  <w:abstractNum w:abstractNumId="6">
    <w:nsid w:val="C8232FB5"/>
    <w:multiLevelType w:val="singleLevel"/>
    <w:tmpl w:val="C8232FB5"/>
    <w:lvl w:ilvl="0" w:tentative="0">
      <w:start w:val="2"/>
      <w:numFmt w:val="decimal"/>
      <w:lvlText w:val="%1."/>
      <w:lvlJc w:val="left"/>
      <w:pPr>
        <w:tabs>
          <w:tab w:val="left" w:pos="312"/>
        </w:tabs>
      </w:pPr>
    </w:lvl>
  </w:abstractNum>
  <w:abstractNum w:abstractNumId="7">
    <w:nsid w:val="CF3CE2E2"/>
    <w:multiLevelType w:val="singleLevel"/>
    <w:tmpl w:val="CF3CE2E2"/>
    <w:lvl w:ilvl="0" w:tentative="0">
      <w:start w:val="3"/>
      <w:numFmt w:val="chineseCounting"/>
      <w:suff w:val="nothing"/>
      <w:lvlText w:val="%1、"/>
      <w:lvlJc w:val="left"/>
      <w:rPr>
        <w:rFonts w:hint="eastAsia"/>
      </w:rPr>
    </w:lvl>
  </w:abstractNum>
  <w:abstractNum w:abstractNumId="8">
    <w:nsid w:val="D05C1D31"/>
    <w:multiLevelType w:val="singleLevel"/>
    <w:tmpl w:val="D05C1D31"/>
    <w:lvl w:ilvl="0" w:tentative="0">
      <w:start w:val="5"/>
      <w:numFmt w:val="decimal"/>
      <w:suff w:val="nothing"/>
      <w:lvlText w:val="%1、"/>
      <w:lvlJc w:val="left"/>
    </w:lvl>
  </w:abstractNum>
  <w:abstractNum w:abstractNumId="9">
    <w:nsid w:val="D9F94F26"/>
    <w:multiLevelType w:val="singleLevel"/>
    <w:tmpl w:val="D9F94F26"/>
    <w:lvl w:ilvl="0" w:tentative="0">
      <w:start w:val="3"/>
      <w:numFmt w:val="decimal"/>
      <w:suff w:val="nothing"/>
      <w:lvlText w:val="（%1）"/>
      <w:lvlJc w:val="left"/>
    </w:lvl>
  </w:abstractNum>
  <w:abstractNum w:abstractNumId="10">
    <w:nsid w:val="DB7D8823"/>
    <w:multiLevelType w:val="singleLevel"/>
    <w:tmpl w:val="DB7D8823"/>
    <w:lvl w:ilvl="0" w:tentative="0">
      <w:start w:val="15"/>
      <w:numFmt w:val="decimal"/>
      <w:lvlText w:val="%1."/>
      <w:lvlJc w:val="left"/>
      <w:pPr>
        <w:tabs>
          <w:tab w:val="left" w:pos="312"/>
        </w:tabs>
      </w:pPr>
    </w:lvl>
  </w:abstractNum>
  <w:abstractNum w:abstractNumId="11">
    <w:nsid w:val="DE0B7A4B"/>
    <w:multiLevelType w:val="singleLevel"/>
    <w:tmpl w:val="DE0B7A4B"/>
    <w:lvl w:ilvl="0" w:tentative="0">
      <w:start w:val="1"/>
      <w:numFmt w:val="decimal"/>
      <w:suff w:val="nothing"/>
      <w:lvlText w:val="（%1）"/>
      <w:lvlJc w:val="left"/>
    </w:lvl>
  </w:abstractNum>
  <w:abstractNum w:abstractNumId="12">
    <w:nsid w:val="F54B9B0F"/>
    <w:multiLevelType w:val="singleLevel"/>
    <w:tmpl w:val="F54B9B0F"/>
    <w:lvl w:ilvl="0" w:tentative="0">
      <w:start w:val="7"/>
      <w:numFmt w:val="chineseCounting"/>
      <w:suff w:val="nothing"/>
      <w:lvlText w:val="%1、"/>
      <w:lvlJc w:val="left"/>
      <w:rPr>
        <w:rFonts w:hint="eastAsia"/>
      </w:rPr>
    </w:lvl>
  </w:abstractNum>
  <w:abstractNum w:abstractNumId="13">
    <w:nsid w:val="FD7694CB"/>
    <w:multiLevelType w:val="singleLevel"/>
    <w:tmpl w:val="FD7694CB"/>
    <w:lvl w:ilvl="0" w:tentative="0">
      <w:start w:val="35"/>
      <w:numFmt w:val="decimal"/>
      <w:lvlText w:val="%1."/>
      <w:lvlJc w:val="left"/>
      <w:pPr>
        <w:tabs>
          <w:tab w:val="left" w:pos="312"/>
        </w:tabs>
      </w:pPr>
      <w:rPr>
        <w:rFonts w:hint="default"/>
        <w:b/>
        <w:bCs/>
      </w:rPr>
    </w:lvl>
  </w:abstractNum>
  <w:abstractNum w:abstractNumId="14">
    <w:nsid w:val="0482F020"/>
    <w:multiLevelType w:val="singleLevel"/>
    <w:tmpl w:val="0482F020"/>
    <w:lvl w:ilvl="0" w:tentative="0">
      <w:start w:val="24"/>
      <w:numFmt w:val="decimal"/>
      <w:lvlText w:val="%1."/>
      <w:lvlJc w:val="left"/>
      <w:pPr>
        <w:tabs>
          <w:tab w:val="left" w:pos="312"/>
        </w:tabs>
      </w:pPr>
    </w:lvl>
  </w:abstractNum>
  <w:abstractNum w:abstractNumId="15">
    <w:nsid w:val="19E004D6"/>
    <w:multiLevelType w:val="singleLevel"/>
    <w:tmpl w:val="19E004D6"/>
    <w:lvl w:ilvl="0" w:tentative="0">
      <w:start w:val="1"/>
      <w:numFmt w:val="chineseCounting"/>
      <w:suff w:val="nothing"/>
      <w:lvlText w:val="（%1）"/>
      <w:lvlJc w:val="left"/>
      <w:rPr>
        <w:rFonts w:hint="eastAsia"/>
      </w:rPr>
    </w:lvl>
  </w:abstractNum>
  <w:abstractNum w:abstractNumId="16">
    <w:nsid w:val="1AEE4626"/>
    <w:multiLevelType w:val="singleLevel"/>
    <w:tmpl w:val="1AEE4626"/>
    <w:lvl w:ilvl="0" w:tentative="0">
      <w:start w:val="5"/>
      <w:numFmt w:val="chineseCounting"/>
      <w:suff w:val="space"/>
      <w:lvlText w:val="第%1章"/>
      <w:lvlJc w:val="left"/>
      <w:rPr>
        <w:rFonts w:hint="eastAsia"/>
      </w:rPr>
    </w:lvl>
  </w:abstractNum>
  <w:abstractNum w:abstractNumId="17">
    <w:nsid w:val="32049E9C"/>
    <w:multiLevelType w:val="singleLevel"/>
    <w:tmpl w:val="32049E9C"/>
    <w:lvl w:ilvl="0" w:tentative="0">
      <w:start w:val="18"/>
      <w:numFmt w:val="decimal"/>
      <w:lvlText w:val="%1."/>
      <w:lvlJc w:val="left"/>
      <w:pPr>
        <w:tabs>
          <w:tab w:val="left" w:pos="312"/>
        </w:tabs>
      </w:pPr>
    </w:lvl>
  </w:abstractNum>
  <w:abstractNum w:abstractNumId="18">
    <w:nsid w:val="490FBB39"/>
    <w:multiLevelType w:val="singleLevel"/>
    <w:tmpl w:val="490FBB39"/>
    <w:lvl w:ilvl="0" w:tentative="0">
      <w:start w:val="1"/>
      <w:numFmt w:val="chineseCounting"/>
      <w:suff w:val="nothing"/>
      <w:lvlText w:val="（%1）"/>
      <w:lvlJc w:val="left"/>
      <w:rPr>
        <w:rFonts w:hint="eastAsia"/>
      </w:rPr>
    </w:lvl>
  </w:abstractNum>
  <w:abstractNum w:abstractNumId="19">
    <w:nsid w:val="62E3B025"/>
    <w:multiLevelType w:val="singleLevel"/>
    <w:tmpl w:val="62E3B025"/>
    <w:lvl w:ilvl="0" w:tentative="0">
      <w:start w:val="1"/>
      <w:numFmt w:val="decimal"/>
      <w:lvlText w:val="%1."/>
      <w:lvlJc w:val="left"/>
      <w:pPr>
        <w:tabs>
          <w:tab w:val="left" w:pos="312"/>
        </w:tabs>
      </w:pPr>
    </w:lvl>
  </w:abstractNum>
  <w:num w:numId="1">
    <w:abstractNumId w:val="19"/>
  </w:num>
  <w:num w:numId="2">
    <w:abstractNumId w:val="1"/>
  </w:num>
  <w:num w:numId="3">
    <w:abstractNumId w:val="5"/>
  </w:num>
  <w:num w:numId="4">
    <w:abstractNumId w:val="10"/>
  </w:num>
  <w:num w:numId="5">
    <w:abstractNumId w:val="9"/>
  </w:num>
  <w:num w:numId="6">
    <w:abstractNumId w:val="17"/>
  </w:num>
  <w:num w:numId="7">
    <w:abstractNumId w:val="14"/>
  </w:num>
  <w:num w:numId="8">
    <w:abstractNumId w:val="3"/>
  </w:num>
  <w:num w:numId="9">
    <w:abstractNumId w:val="4"/>
  </w:num>
  <w:num w:numId="10">
    <w:abstractNumId w:val="13"/>
  </w:num>
  <w:num w:numId="11">
    <w:abstractNumId w:val="18"/>
  </w:num>
  <w:num w:numId="12">
    <w:abstractNumId w:val="15"/>
  </w:num>
  <w:num w:numId="13">
    <w:abstractNumId w:val="7"/>
  </w:num>
  <w:num w:numId="14">
    <w:abstractNumId w:val="0"/>
  </w:num>
  <w:num w:numId="15">
    <w:abstractNumId w:val="8"/>
  </w:num>
  <w:num w:numId="16">
    <w:abstractNumId w:val="11"/>
  </w:num>
  <w:num w:numId="17">
    <w:abstractNumId w:val="6"/>
  </w:num>
  <w:num w:numId="18">
    <w:abstractNumId w:val="2"/>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g2Y2NhZjQzMDY1MGJhOGVjMmQzOTMzZGUxMTVmZDYifQ=="/>
  </w:docVars>
  <w:rsids>
    <w:rsidRoot w:val="00000000"/>
    <w:rsid w:val="001024B8"/>
    <w:rsid w:val="001641B9"/>
    <w:rsid w:val="001669D4"/>
    <w:rsid w:val="0018274C"/>
    <w:rsid w:val="002410F1"/>
    <w:rsid w:val="00351550"/>
    <w:rsid w:val="00411CA3"/>
    <w:rsid w:val="006911F9"/>
    <w:rsid w:val="008D4EE8"/>
    <w:rsid w:val="00953D9C"/>
    <w:rsid w:val="009F4C1B"/>
    <w:rsid w:val="00BD7A8D"/>
    <w:rsid w:val="00EF5BA2"/>
    <w:rsid w:val="00FC206D"/>
    <w:rsid w:val="011253ED"/>
    <w:rsid w:val="011E3D92"/>
    <w:rsid w:val="01207B0A"/>
    <w:rsid w:val="012A6BDB"/>
    <w:rsid w:val="013730A5"/>
    <w:rsid w:val="013B2B96"/>
    <w:rsid w:val="013B5B09"/>
    <w:rsid w:val="018345E4"/>
    <w:rsid w:val="018A7679"/>
    <w:rsid w:val="01B21059"/>
    <w:rsid w:val="01D32DCE"/>
    <w:rsid w:val="01DF79C5"/>
    <w:rsid w:val="01E515B4"/>
    <w:rsid w:val="01FB40D3"/>
    <w:rsid w:val="02070CCA"/>
    <w:rsid w:val="02263013"/>
    <w:rsid w:val="023C41F5"/>
    <w:rsid w:val="02A4476B"/>
    <w:rsid w:val="02C1531D"/>
    <w:rsid w:val="02E1776D"/>
    <w:rsid w:val="02FA25DD"/>
    <w:rsid w:val="030516AD"/>
    <w:rsid w:val="03125B78"/>
    <w:rsid w:val="035148F2"/>
    <w:rsid w:val="0381685A"/>
    <w:rsid w:val="03871047"/>
    <w:rsid w:val="038D2887"/>
    <w:rsid w:val="03C230FA"/>
    <w:rsid w:val="03D96842"/>
    <w:rsid w:val="040A2CF3"/>
    <w:rsid w:val="040D3BC9"/>
    <w:rsid w:val="0410030A"/>
    <w:rsid w:val="041B280B"/>
    <w:rsid w:val="04297A88"/>
    <w:rsid w:val="04842AA6"/>
    <w:rsid w:val="0495080F"/>
    <w:rsid w:val="04A10F62"/>
    <w:rsid w:val="04A96068"/>
    <w:rsid w:val="04DC643E"/>
    <w:rsid w:val="052140F8"/>
    <w:rsid w:val="0530445B"/>
    <w:rsid w:val="05355B4E"/>
    <w:rsid w:val="05500BDA"/>
    <w:rsid w:val="055E32F7"/>
    <w:rsid w:val="05A0746B"/>
    <w:rsid w:val="05AD3936"/>
    <w:rsid w:val="05AE2765"/>
    <w:rsid w:val="05B64EE1"/>
    <w:rsid w:val="05C3315A"/>
    <w:rsid w:val="05E11832"/>
    <w:rsid w:val="05E25CD6"/>
    <w:rsid w:val="05E57574"/>
    <w:rsid w:val="05E76E48"/>
    <w:rsid w:val="063B3638"/>
    <w:rsid w:val="066D36C2"/>
    <w:rsid w:val="0680729D"/>
    <w:rsid w:val="06AC0092"/>
    <w:rsid w:val="06B37672"/>
    <w:rsid w:val="06C21663"/>
    <w:rsid w:val="077458BD"/>
    <w:rsid w:val="07762B7A"/>
    <w:rsid w:val="07854B6B"/>
    <w:rsid w:val="07A31495"/>
    <w:rsid w:val="07AC659B"/>
    <w:rsid w:val="07BB76CD"/>
    <w:rsid w:val="07BE04A7"/>
    <w:rsid w:val="07FB4E2D"/>
    <w:rsid w:val="08036C4D"/>
    <w:rsid w:val="08602EE2"/>
    <w:rsid w:val="089D7C92"/>
    <w:rsid w:val="08A54D99"/>
    <w:rsid w:val="08E21B49"/>
    <w:rsid w:val="090C4E18"/>
    <w:rsid w:val="092959CA"/>
    <w:rsid w:val="092B6A44"/>
    <w:rsid w:val="092B7994"/>
    <w:rsid w:val="0935611C"/>
    <w:rsid w:val="093956E0"/>
    <w:rsid w:val="09502F56"/>
    <w:rsid w:val="09630EDC"/>
    <w:rsid w:val="09704F57"/>
    <w:rsid w:val="09AB4631"/>
    <w:rsid w:val="09B2776D"/>
    <w:rsid w:val="09B63701"/>
    <w:rsid w:val="09C120A6"/>
    <w:rsid w:val="09D122E9"/>
    <w:rsid w:val="09D26061"/>
    <w:rsid w:val="0A00672A"/>
    <w:rsid w:val="0A346390"/>
    <w:rsid w:val="0A4F1460"/>
    <w:rsid w:val="0A570314"/>
    <w:rsid w:val="0A8A2498"/>
    <w:rsid w:val="0A8A693C"/>
    <w:rsid w:val="0A8D3D36"/>
    <w:rsid w:val="0AA52BCC"/>
    <w:rsid w:val="0AA7129C"/>
    <w:rsid w:val="0ACE7A48"/>
    <w:rsid w:val="0B005469"/>
    <w:rsid w:val="0B0B35D9"/>
    <w:rsid w:val="0B310B66"/>
    <w:rsid w:val="0B3348DE"/>
    <w:rsid w:val="0B61144B"/>
    <w:rsid w:val="0B6251C3"/>
    <w:rsid w:val="0B7A42BB"/>
    <w:rsid w:val="0BB2614A"/>
    <w:rsid w:val="0BEA7692"/>
    <w:rsid w:val="0BFE313E"/>
    <w:rsid w:val="0C0F70F9"/>
    <w:rsid w:val="0C122745"/>
    <w:rsid w:val="0C1421E9"/>
    <w:rsid w:val="0C2D757F"/>
    <w:rsid w:val="0C2F779B"/>
    <w:rsid w:val="0C477D9B"/>
    <w:rsid w:val="0C4A0131"/>
    <w:rsid w:val="0C4A6383"/>
    <w:rsid w:val="0C607954"/>
    <w:rsid w:val="0C790A16"/>
    <w:rsid w:val="0C7E7DDA"/>
    <w:rsid w:val="0C9B6BDE"/>
    <w:rsid w:val="0CAF4438"/>
    <w:rsid w:val="0CBB2DDD"/>
    <w:rsid w:val="0CCC6D98"/>
    <w:rsid w:val="0CD21ED4"/>
    <w:rsid w:val="0CE265BB"/>
    <w:rsid w:val="0CFD51A3"/>
    <w:rsid w:val="0D156991"/>
    <w:rsid w:val="0D1D0BA0"/>
    <w:rsid w:val="0D660F9A"/>
    <w:rsid w:val="0D6FB21B"/>
    <w:rsid w:val="0D755FDB"/>
    <w:rsid w:val="0D95362E"/>
    <w:rsid w:val="0D98311E"/>
    <w:rsid w:val="0D9A0C44"/>
    <w:rsid w:val="0DA43871"/>
    <w:rsid w:val="0DC12675"/>
    <w:rsid w:val="0DC43F13"/>
    <w:rsid w:val="0DCD2DC7"/>
    <w:rsid w:val="0DDA3736"/>
    <w:rsid w:val="0DDF2AFB"/>
    <w:rsid w:val="0DF90060"/>
    <w:rsid w:val="0E0E518E"/>
    <w:rsid w:val="0E15476E"/>
    <w:rsid w:val="0E1704E7"/>
    <w:rsid w:val="0E19425F"/>
    <w:rsid w:val="0E2624D8"/>
    <w:rsid w:val="0E355127"/>
    <w:rsid w:val="0E372937"/>
    <w:rsid w:val="0E415563"/>
    <w:rsid w:val="0E476157"/>
    <w:rsid w:val="0E4F1A2E"/>
    <w:rsid w:val="0E6D45AA"/>
    <w:rsid w:val="0EB421D9"/>
    <w:rsid w:val="0ECE0C1D"/>
    <w:rsid w:val="0EFA4090"/>
    <w:rsid w:val="0EFD592E"/>
    <w:rsid w:val="0F227143"/>
    <w:rsid w:val="0F2E3D3A"/>
    <w:rsid w:val="0F3F1AA3"/>
    <w:rsid w:val="0F556680"/>
    <w:rsid w:val="0F692FC4"/>
    <w:rsid w:val="0FA1450C"/>
    <w:rsid w:val="0FBA55CD"/>
    <w:rsid w:val="0FBC1346"/>
    <w:rsid w:val="0FCD3553"/>
    <w:rsid w:val="0FE20680"/>
    <w:rsid w:val="0FF3288D"/>
    <w:rsid w:val="100B7BD7"/>
    <w:rsid w:val="1021562A"/>
    <w:rsid w:val="10246EEB"/>
    <w:rsid w:val="102B2027"/>
    <w:rsid w:val="103A04BC"/>
    <w:rsid w:val="10685029"/>
    <w:rsid w:val="107A08AF"/>
    <w:rsid w:val="109565B0"/>
    <w:rsid w:val="10B169D0"/>
    <w:rsid w:val="10E34B45"/>
    <w:rsid w:val="112076B2"/>
    <w:rsid w:val="112F6814"/>
    <w:rsid w:val="1131366D"/>
    <w:rsid w:val="11491CA2"/>
    <w:rsid w:val="11820082"/>
    <w:rsid w:val="11C6025A"/>
    <w:rsid w:val="11CC3AC0"/>
    <w:rsid w:val="121A67F7"/>
    <w:rsid w:val="121C431D"/>
    <w:rsid w:val="121F5BBC"/>
    <w:rsid w:val="124B69B1"/>
    <w:rsid w:val="124D097B"/>
    <w:rsid w:val="12744159"/>
    <w:rsid w:val="12901120"/>
    <w:rsid w:val="129465AA"/>
    <w:rsid w:val="12B409FA"/>
    <w:rsid w:val="12C10A21"/>
    <w:rsid w:val="12E7492B"/>
    <w:rsid w:val="12EB3CF0"/>
    <w:rsid w:val="13182D37"/>
    <w:rsid w:val="134753CA"/>
    <w:rsid w:val="13664E83"/>
    <w:rsid w:val="136C3083"/>
    <w:rsid w:val="13727D5F"/>
    <w:rsid w:val="137912FC"/>
    <w:rsid w:val="139B5716"/>
    <w:rsid w:val="13A85C38"/>
    <w:rsid w:val="13CE7899"/>
    <w:rsid w:val="13E46BC2"/>
    <w:rsid w:val="13ED55A8"/>
    <w:rsid w:val="14186D67"/>
    <w:rsid w:val="143F2545"/>
    <w:rsid w:val="14BC76F2"/>
    <w:rsid w:val="14C32B7C"/>
    <w:rsid w:val="151E03AD"/>
    <w:rsid w:val="1550037A"/>
    <w:rsid w:val="15655FDB"/>
    <w:rsid w:val="15681628"/>
    <w:rsid w:val="15714980"/>
    <w:rsid w:val="15747FCD"/>
    <w:rsid w:val="158F6B4C"/>
    <w:rsid w:val="15FA2BC8"/>
    <w:rsid w:val="160332FE"/>
    <w:rsid w:val="16070E41"/>
    <w:rsid w:val="161672D6"/>
    <w:rsid w:val="162163A6"/>
    <w:rsid w:val="16273291"/>
    <w:rsid w:val="16491459"/>
    <w:rsid w:val="1666200B"/>
    <w:rsid w:val="16826719"/>
    <w:rsid w:val="16AA3997"/>
    <w:rsid w:val="16B70AB9"/>
    <w:rsid w:val="16E318AE"/>
    <w:rsid w:val="16E66CA8"/>
    <w:rsid w:val="16F05D79"/>
    <w:rsid w:val="17306175"/>
    <w:rsid w:val="17885FB1"/>
    <w:rsid w:val="17C52D61"/>
    <w:rsid w:val="17D0041E"/>
    <w:rsid w:val="17DB4333"/>
    <w:rsid w:val="180E5AF8"/>
    <w:rsid w:val="183A374F"/>
    <w:rsid w:val="183B3024"/>
    <w:rsid w:val="18702CCD"/>
    <w:rsid w:val="18992736"/>
    <w:rsid w:val="18BE612E"/>
    <w:rsid w:val="18E84F59"/>
    <w:rsid w:val="19235F91"/>
    <w:rsid w:val="193B23CF"/>
    <w:rsid w:val="196B16E7"/>
    <w:rsid w:val="197301CE"/>
    <w:rsid w:val="1977452F"/>
    <w:rsid w:val="19874772"/>
    <w:rsid w:val="198C1D89"/>
    <w:rsid w:val="19960E59"/>
    <w:rsid w:val="199E1ABC"/>
    <w:rsid w:val="19CD180A"/>
    <w:rsid w:val="19D41982"/>
    <w:rsid w:val="19D68EDC"/>
    <w:rsid w:val="19E13BA7"/>
    <w:rsid w:val="19E219A9"/>
    <w:rsid w:val="1A5A3C35"/>
    <w:rsid w:val="1A604FC3"/>
    <w:rsid w:val="1A880339"/>
    <w:rsid w:val="1A954C6D"/>
    <w:rsid w:val="1AA17AB6"/>
    <w:rsid w:val="1AB64BE3"/>
    <w:rsid w:val="1AB71087"/>
    <w:rsid w:val="1ABB736F"/>
    <w:rsid w:val="1ABF4656"/>
    <w:rsid w:val="1AD339E7"/>
    <w:rsid w:val="1ADF238C"/>
    <w:rsid w:val="1ADF413A"/>
    <w:rsid w:val="1AEB0D31"/>
    <w:rsid w:val="1B214753"/>
    <w:rsid w:val="1B3F2E2B"/>
    <w:rsid w:val="1B7E1BA5"/>
    <w:rsid w:val="1B9118D8"/>
    <w:rsid w:val="1BF65BDF"/>
    <w:rsid w:val="1BF6798D"/>
    <w:rsid w:val="1BFF85DF"/>
    <w:rsid w:val="1C0D4CD7"/>
    <w:rsid w:val="1C316C17"/>
    <w:rsid w:val="1C8C20A0"/>
    <w:rsid w:val="1CAC2742"/>
    <w:rsid w:val="1CB82E95"/>
    <w:rsid w:val="1CC61A56"/>
    <w:rsid w:val="1D0C481B"/>
    <w:rsid w:val="1D1B676C"/>
    <w:rsid w:val="1D291FE4"/>
    <w:rsid w:val="1D6B6159"/>
    <w:rsid w:val="1D774AFE"/>
    <w:rsid w:val="1D813CEF"/>
    <w:rsid w:val="1D8B05A9"/>
    <w:rsid w:val="1D927B8A"/>
    <w:rsid w:val="1DB55626"/>
    <w:rsid w:val="1DDF8FC6"/>
    <w:rsid w:val="1DF95513"/>
    <w:rsid w:val="1E4126EE"/>
    <w:rsid w:val="1E62130A"/>
    <w:rsid w:val="1E625AE5"/>
    <w:rsid w:val="1E9D2342"/>
    <w:rsid w:val="1EB853CE"/>
    <w:rsid w:val="1EBF49AE"/>
    <w:rsid w:val="1EE066D3"/>
    <w:rsid w:val="1EF26B32"/>
    <w:rsid w:val="1F0423C1"/>
    <w:rsid w:val="1F095C2A"/>
    <w:rsid w:val="1F0C571A"/>
    <w:rsid w:val="1F122D30"/>
    <w:rsid w:val="1F1545CE"/>
    <w:rsid w:val="1F206AAA"/>
    <w:rsid w:val="1F5A6485"/>
    <w:rsid w:val="1F7237CF"/>
    <w:rsid w:val="1F9279CD"/>
    <w:rsid w:val="1F974FE3"/>
    <w:rsid w:val="1FC92A5C"/>
    <w:rsid w:val="1FD73772"/>
    <w:rsid w:val="1FDC2AC7"/>
    <w:rsid w:val="1FF99ACD"/>
    <w:rsid w:val="201E5A8D"/>
    <w:rsid w:val="20322F5E"/>
    <w:rsid w:val="20541126"/>
    <w:rsid w:val="20735A50"/>
    <w:rsid w:val="20847B91"/>
    <w:rsid w:val="20907734"/>
    <w:rsid w:val="209459C7"/>
    <w:rsid w:val="20A43E5C"/>
    <w:rsid w:val="20AC32C6"/>
    <w:rsid w:val="20FF1092"/>
    <w:rsid w:val="210668C5"/>
    <w:rsid w:val="211B1C44"/>
    <w:rsid w:val="21246D4B"/>
    <w:rsid w:val="212E1977"/>
    <w:rsid w:val="213A656E"/>
    <w:rsid w:val="21466CC1"/>
    <w:rsid w:val="216E446A"/>
    <w:rsid w:val="219C4B33"/>
    <w:rsid w:val="21B87493"/>
    <w:rsid w:val="21D249F9"/>
    <w:rsid w:val="21D95D87"/>
    <w:rsid w:val="21E87D78"/>
    <w:rsid w:val="22124DF5"/>
    <w:rsid w:val="222B5EB7"/>
    <w:rsid w:val="224D22D1"/>
    <w:rsid w:val="22590C76"/>
    <w:rsid w:val="22731D51"/>
    <w:rsid w:val="227E06DD"/>
    <w:rsid w:val="22A5210D"/>
    <w:rsid w:val="22B81E40"/>
    <w:rsid w:val="22D62D35"/>
    <w:rsid w:val="230230BC"/>
    <w:rsid w:val="23052BAC"/>
    <w:rsid w:val="2305495A"/>
    <w:rsid w:val="230E4C02"/>
    <w:rsid w:val="231D1CA3"/>
    <w:rsid w:val="231E77CA"/>
    <w:rsid w:val="2322550C"/>
    <w:rsid w:val="23270D74"/>
    <w:rsid w:val="235C6C70"/>
    <w:rsid w:val="236C49D9"/>
    <w:rsid w:val="237646A6"/>
    <w:rsid w:val="23955CDE"/>
    <w:rsid w:val="23C860B3"/>
    <w:rsid w:val="23D22A8E"/>
    <w:rsid w:val="23D305B4"/>
    <w:rsid w:val="23D42CAA"/>
    <w:rsid w:val="23E10F23"/>
    <w:rsid w:val="23FA3D93"/>
    <w:rsid w:val="23FF13A9"/>
    <w:rsid w:val="240E783E"/>
    <w:rsid w:val="24140A51"/>
    <w:rsid w:val="24155071"/>
    <w:rsid w:val="24172B97"/>
    <w:rsid w:val="241A2687"/>
    <w:rsid w:val="241E0F46"/>
    <w:rsid w:val="242B219E"/>
    <w:rsid w:val="24511112"/>
    <w:rsid w:val="24635E36"/>
    <w:rsid w:val="247955FF"/>
    <w:rsid w:val="24DE1906"/>
    <w:rsid w:val="24F26A21"/>
    <w:rsid w:val="24F2724B"/>
    <w:rsid w:val="25140E84"/>
    <w:rsid w:val="251B0465"/>
    <w:rsid w:val="254774AC"/>
    <w:rsid w:val="255816B9"/>
    <w:rsid w:val="257F6C45"/>
    <w:rsid w:val="25AB3597"/>
    <w:rsid w:val="25E847EB"/>
    <w:rsid w:val="25FF7D86"/>
    <w:rsid w:val="26064C71"/>
    <w:rsid w:val="26244900"/>
    <w:rsid w:val="262B46D7"/>
    <w:rsid w:val="263317DE"/>
    <w:rsid w:val="26377520"/>
    <w:rsid w:val="264D0AF2"/>
    <w:rsid w:val="26561413"/>
    <w:rsid w:val="265A4FBD"/>
    <w:rsid w:val="265C2AE3"/>
    <w:rsid w:val="26793695"/>
    <w:rsid w:val="267C3185"/>
    <w:rsid w:val="267E811B"/>
    <w:rsid w:val="26906C30"/>
    <w:rsid w:val="26BE554B"/>
    <w:rsid w:val="26D42FC1"/>
    <w:rsid w:val="271E423C"/>
    <w:rsid w:val="2727075A"/>
    <w:rsid w:val="27710810"/>
    <w:rsid w:val="27C44DE4"/>
    <w:rsid w:val="27E234BC"/>
    <w:rsid w:val="27FF5F98"/>
    <w:rsid w:val="28212236"/>
    <w:rsid w:val="282E6701"/>
    <w:rsid w:val="284F3511"/>
    <w:rsid w:val="285D2B42"/>
    <w:rsid w:val="286839C1"/>
    <w:rsid w:val="28795ABD"/>
    <w:rsid w:val="287C121A"/>
    <w:rsid w:val="28920A3E"/>
    <w:rsid w:val="2899001E"/>
    <w:rsid w:val="28BC3D0D"/>
    <w:rsid w:val="28CA01D8"/>
    <w:rsid w:val="28ED036A"/>
    <w:rsid w:val="2916341D"/>
    <w:rsid w:val="296C74E1"/>
    <w:rsid w:val="298E7457"/>
    <w:rsid w:val="29C27101"/>
    <w:rsid w:val="29D60DFE"/>
    <w:rsid w:val="29EC0622"/>
    <w:rsid w:val="29FA2D3E"/>
    <w:rsid w:val="2A1D07DB"/>
    <w:rsid w:val="2A314286"/>
    <w:rsid w:val="2A4B359A"/>
    <w:rsid w:val="2A522B7B"/>
    <w:rsid w:val="2A6E1037"/>
    <w:rsid w:val="2A902A6F"/>
    <w:rsid w:val="2A9C2048"/>
    <w:rsid w:val="2ACA2711"/>
    <w:rsid w:val="2AD215C5"/>
    <w:rsid w:val="2AE15CAC"/>
    <w:rsid w:val="2AE61515"/>
    <w:rsid w:val="2AEA270C"/>
    <w:rsid w:val="2AF11DE2"/>
    <w:rsid w:val="2B1240B8"/>
    <w:rsid w:val="2B125E66"/>
    <w:rsid w:val="2B3C1135"/>
    <w:rsid w:val="2B5272C3"/>
    <w:rsid w:val="2B5D17D7"/>
    <w:rsid w:val="2B5F515B"/>
    <w:rsid w:val="2B6F5066"/>
    <w:rsid w:val="2B836D64"/>
    <w:rsid w:val="2B870602"/>
    <w:rsid w:val="2B91322F"/>
    <w:rsid w:val="2B9D34E6"/>
    <w:rsid w:val="2BDB094E"/>
    <w:rsid w:val="2BE30425"/>
    <w:rsid w:val="2C550700"/>
    <w:rsid w:val="2C646B95"/>
    <w:rsid w:val="2C792640"/>
    <w:rsid w:val="2C82701B"/>
    <w:rsid w:val="2C9A25B7"/>
    <w:rsid w:val="2C9C632F"/>
    <w:rsid w:val="2CA3146B"/>
    <w:rsid w:val="2CA46F92"/>
    <w:rsid w:val="2CB01DDA"/>
    <w:rsid w:val="2CB43679"/>
    <w:rsid w:val="2CBD0053"/>
    <w:rsid w:val="2CC15D95"/>
    <w:rsid w:val="2CC43900"/>
    <w:rsid w:val="2CC633AC"/>
    <w:rsid w:val="2CDC497D"/>
    <w:rsid w:val="2CE53D2B"/>
    <w:rsid w:val="2D2500D2"/>
    <w:rsid w:val="2D2B320F"/>
    <w:rsid w:val="2D2D51D9"/>
    <w:rsid w:val="2D4367AA"/>
    <w:rsid w:val="2D652BC5"/>
    <w:rsid w:val="2D8868B3"/>
    <w:rsid w:val="2D8D3ECA"/>
    <w:rsid w:val="2D9C5EBB"/>
    <w:rsid w:val="2DA01E4F"/>
    <w:rsid w:val="2DB476A8"/>
    <w:rsid w:val="2E1B3283"/>
    <w:rsid w:val="2E2C723F"/>
    <w:rsid w:val="2E2E751B"/>
    <w:rsid w:val="2E44449B"/>
    <w:rsid w:val="2E5D2B73"/>
    <w:rsid w:val="2E6D7F83"/>
    <w:rsid w:val="2E6F43B8"/>
    <w:rsid w:val="2EC90F31"/>
    <w:rsid w:val="2EF51D26"/>
    <w:rsid w:val="2EF75A9F"/>
    <w:rsid w:val="2F191EB9"/>
    <w:rsid w:val="2F3B1E2F"/>
    <w:rsid w:val="2F603644"/>
    <w:rsid w:val="2F6F7D2B"/>
    <w:rsid w:val="2F923A19"/>
    <w:rsid w:val="2F9E6EAD"/>
    <w:rsid w:val="2FA12C90"/>
    <w:rsid w:val="2FAA0D63"/>
    <w:rsid w:val="2FC55B9D"/>
    <w:rsid w:val="2FC7645C"/>
    <w:rsid w:val="2FDC6A42"/>
    <w:rsid w:val="2FFC58BE"/>
    <w:rsid w:val="30000983"/>
    <w:rsid w:val="301112D5"/>
    <w:rsid w:val="307A26B9"/>
    <w:rsid w:val="307D0225"/>
    <w:rsid w:val="3082583C"/>
    <w:rsid w:val="3095556F"/>
    <w:rsid w:val="30DB3BE2"/>
    <w:rsid w:val="30E12562"/>
    <w:rsid w:val="30F009F7"/>
    <w:rsid w:val="30F93D50"/>
    <w:rsid w:val="3115220C"/>
    <w:rsid w:val="312863E3"/>
    <w:rsid w:val="31434FCB"/>
    <w:rsid w:val="31610DB6"/>
    <w:rsid w:val="317E24A7"/>
    <w:rsid w:val="3186310A"/>
    <w:rsid w:val="31A16195"/>
    <w:rsid w:val="31D77279"/>
    <w:rsid w:val="31EA18EB"/>
    <w:rsid w:val="31EC5663"/>
    <w:rsid w:val="31EE097A"/>
    <w:rsid w:val="31F6028F"/>
    <w:rsid w:val="322F79DB"/>
    <w:rsid w:val="324C7EAF"/>
    <w:rsid w:val="32582CF8"/>
    <w:rsid w:val="32902492"/>
    <w:rsid w:val="329F0927"/>
    <w:rsid w:val="32A25E73"/>
    <w:rsid w:val="32BA750F"/>
    <w:rsid w:val="32E30C38"/>
    <w:rsid w:val="32E97DF4"/>
    <w:rsid w:val="33150BE9"/>
    <w:rsid w:val="334B63B9"/>
    <w:rsid w:val="335214F5"/>
    <w:rsid w:val="3381002D"/>
    <w:rsid w:val="338B0EAB"/>
    <w:rsid w:val="33BF2903"/>
    <w:rsid w:val="33C87A09"/>
    <w:rsid w:val="33FB503E"/>
    <w:rsid w:val="341F67E7"/>
    <w:rsid w:val="343D03F7"/>
    <w:rsid w:val="34784F8C"/>
    <w:rsid w:val="34A00986"/>
    <w:rsid w:val="34B63D06"/>
    <w:rsid w:val="34B87A7E"/>
    <w:rsid w:val="34CB5A03"/>
    <w:rsid w:val="34E645EB"/>
    <w:rsid w:val="34EF0FC6"/>
    <w:rsid w:val="34FA62E8"/>
    <w:rsid w:val="35150A2C"/>
    <w:rsid w:val="351F18AB"/>
    <w:rsid w:val="35215623"/>
    <w:rsid w:val="352D221A"/>
    <w:rsid w:val="35415CC5"/>
    <w:rsid w:val="354B444E"/>
    <w:rsid w:val="35571045"/>
    <w:rsid w:val="35597D15"/>
    <w:rsid w:val="356E3C0C"/>
    <w:rsid w:val="35A5268E"/>
    <w:rsid w:val="35A87AF3"/>
    <w:rsid w:val="35AF70D3"/>
    <w:rsid w:val="35D1576D"/>
    <w:rsid w:val="35EB79DF"/>
    <w:rsid w:val="363C023B"/>
    <w:rsid w:val="363D46DF"/>
    <w:rsid w:val="36407D2B"/>
    <w:rsid w:val="3647730B"/>
    <w:rsid w:val="36AC716F"/>
    <w:rsid w:val="36BD312A"/>
    <w:rsid w:val="36BF37DB"/>
    <w:rsid w:val="36CA5847"/>
    <w:rsid w:val="36F84234"/>
    <w:rsid w:val="371F5B92"/>
    <w:rsid w:val="37667C65"/>
    <w:rsid w:val="37677539"/>
    <w:rsid w:val="376932B2"/>
    <w:rsid w:val="37873738"/>
    <w:rsid w:val="37A91900"/>
    <w:rsid w:val="37C90943"/>
    <w:rsid w:val="37C91FA2"/>
    <w:rsid w:val="37E32F01"/>
    <w:rsid w:val="37E666B0"/>
    <w:rsid w:val="37EDA7BF"/>
    <w:rsid w:val="37FF3012"/>
    <w:rsid w:val="381476C1"/>
    <w:rsid w:val="38207E14"/>
    <w:rsid w:val="38325D99"/>
    <w:rsid w:val="384B63B0"/>
    <w:rsid w:val="384D672F"/>
    <w:rsid w:val="385E093C"/>
    <w:rsid w:val="386F66A6"/>
    <w:rsid w:val="38795776"/>
    <w:rsid w:val="389D76B7"/>
    <w:rsid w:val="38E01351"/>
    <w:rsid w:val="3902751A"/>
    <w:rsid w:val="3905525C"/>
    <w:rsid w:val="39113C01"/>
    <w:rsid w:val="391B4A7F"/>
    <w:rsid w:val="392F746D"/>
    <w:rsid w:val="393022D9"/>
    <w:rsid w:val="3949339B"/>
    <w:rsid w:val="39504729"/>
    <w:rsid w:val="398443D3"/>
    <w:rsid w:val="398E5251"/>
    <w:rsid w:val="398F6251"/>
    <w:rsid w:val="39981C2C"/>
    <w:rsid w:val="39B952CE"/>
    <w:rsid w:val="39C742BF"/>
    <w:rsid w:val="39E82BB3"/>
    <w:rsid w:val="39EB6200"/>
    <w:rsid w:val="39F96B6F"/>
    <w:rsid w:val="3A0177D1"/>
    <w:rsid w:val="3A127ACC"/>
    <w:rsid w:val="3A176FF5"/>
    <w:rsid w:val="3A3B7187"/>
    <w:rsid w:val="3A4678DA"/>
    <w:rsid w:val="3A500759"/>
    <w:rsid w:val="3AAD1707"/>
    <w:rsid w:val="3AAF1923"/>
    <w:rsid w:val="3AC54CA3"/>
    <w:rsid w:val="3AED5FCA"/>
    <w:rsid w:val="3B0357CB"/>
    <w:rsid w:val="3B070E17"/>
    <w:rsid w:val="3B07350D"/>
    <w:rsid w:val="3B2E2848"/>
    <w:rsid w:val="3B3D6F2F"/>
    <w:rsid w:val="3B5D312D"/>
    <w:rsid w:val="3B6049CB"/>
    <w:rsid w:val="3B8B7C9A"/>
    <w:rsid w:val="3BA50630"/>
    <w:rsid w:val="3BB32D4D"/>
    <w:rsid w:val="3BB6283D"/>
    <w:rsid w:val="3BBB7E54"/>
    <w:rsid w:val="3BF03FA1"/>
    <w:rsid w:val="3BF33B9D"/>
    <w:rsid w:val="3C073099"/>
    <w:rsid w:val="3C3C0F95"/>
    <w:rsid w:val="3C6F3118"/>
    <w:rsid w:val="3C7F0E81"/>
    <w:rsid w:val="3C917532"/>
    <w:rsid w:val="3CB11983"/>
    <w:rsid w:val="3CCD6091"/>
    <w:rsid w:val="3CE433F0"/>
    <w:rsid w:val="3CF36A2A"/>
    <w:rsid w:val="3CFE624A"/>
    <w:rsid w:val="3D39141D"/>
    <w:rsid w:val="3D516CC2"/>
    <w:rsid w:val="3D65451B"/>
    <w:rsid w:val="3DAD6FF1"/>
    <w:rsid w:val="3DD0408A"/>
    <w:rsid w:val="3DDF607B"/>
    <w:rsid w:val="3DEE42CC"/>
    <w:rsid w:val="3DFF227A"/>
    <w:rsid w:val="3E10092B"/>
    <w:rsid w:val="3E1A3557"/>
    <w:rsid w:val="3E1F0B6E"/>
    <w:rsid w:val="3E247F32"/>
    <w:rsid w:val="3E2D5039"/>
    <w:rsid w:val="3E2E7003"/>
    <w:rsid w:val="3E6447D3"/>
    <w:rsid w:val="3E691C6B"/>
    <w:rsid w:val="3E7F33BB"/>
    <w:rsid w:val="3E8B6203"/>
    <w:rsid w:val="3E9A6446"/>
    <w:rsid w:val="3EA66B99"/>
    <w:rsid w:val="3EAB41B0"/>
    <w:rsid w:val="3EBB0897"/>
    <w:rsid w:val="3EBE9EFE"/>
    <w:rsid w:val="3ED01E68"/>
    <w:rsid w:val="3EDB4A95"/>
    <w:rsid w:val="3F4A39C9"/>
    <w:rsid w:val="3F6F51DD"/>
    <w:rsid w:val="3F7F1AB4"/>
    <w:rsid w:val="3F8AC08C"/>
    <w:rsid w:val="3FBB0422"/>
    <w:rsid w:val="3FC714BD"/>
    <w:rsid w:val="3FC77ACA"/>
    <w:rsid w:val="3FED0C99"/>
    <w:rsid w:val="3FFBB288"/>
    <w:rsid w:val="3FFEB72D"/>
    <w:rsid w:val="40181D19"/>
    <w:rsid w:val="401D10DD"/>
    <w:rsid w:val="40273D0A"/>
    <w:rsid w:val="40295CD4"/>
    <w:rsid w:val="404228F2"/>
    <w:rsid w:val="405C7E57"/>
    <w:rsid w:val="406D5BC1"/>
    <w:rsid w:val="40704F1F"/>
    <w:rsid w:val="40730CFD"/>
    <w:rsid w:val="408F1FDB"/>
    <w:rsid w:val="40BC08F6"/>
    <w:rsid w:val="40D65BD0"/>
    <w:rsid w:val="410A1661"/>
    <w:rsid w:val="413E130B"/>
    <w:rsid w:val="41406E31"/>
    <w:rsid w:val="414F176A"/>
    <w:rsid w:val="41635215"/>
    <w:rsid w:val="41A05B22"/>
    <w:rsid w:val="41D63C39"/>
    <w:rsid w:val="42366486"/>
    <w:rsid w:val="423A6E3C"/>
    <w:rsid w:val="42497F67"/>
    <w:rsid w:val="425012F6"/>
    <w:rsid w:val="425C413F"/>
    <w:rsid w:val="42784CF1"/>
    <w:rsid w:val="429531AD"/>
    <w:rsid w:val="42C271ED"/>
    <w:rsid w:val="43087E22"/>
    <w:rsid w:val="430F11B1"/>
    <w:rsid w:val="430F2F5F"/>
    <w:rsid w:val="43122A4F"/>
    <w:rsid w:val="431542ED"/>
    <w:rsid w:val="433C187A"/>
    <w:rsid w:val="436808C1"/>
    <w:rsid w:val="43A629DE"/>
    <w:rsid w:val="43C30DEE"/>
    <w:rsid w:val="43DB72E5"/>
    <w:rsid w:val="43F9776B"/>
    <w:rsid w:val="44370514"/>
    <w:rsid w:val="4439400C"/>
    <w:rsid w:val="4461309E"/>
    <w:rsid w:val="447D214A"/>
    <w:rsid w:val="44A678F3"/>
    <w:rsid w:val="44A91191"/>
    <w:rsid w:val="44C77869"/>
    <w:rsid w:val="44D77AAC"/>
    <w:rsid w:val="44E0053D"/>
    <w:rsid w:val="44E1092B"/>
    <w:rsid w:val="44E328F5"/>
    <w:rsid w:val="44E4041B"/>
    <w:rsid w:val="44F20D8A"/>
    <w:rsid w:val="450A738C"/>
    <w:rsid w:val="45237196"/>
    <w:rsid w:val="45294080"/>
    <w:rsid w:val="45352A25"/>
    <w:rsid w:val="454B3FF6"/>
    <w:rsid w:val="45967968"/>
    <w:rsid w:val="459D41A5"/>
    <w:rsid w:val="459E05CA"/>
    <w:rsid w:val="459E4A6E"/>
    <w:rsid w:val="45A8769B"/>
    <w:rsid w:val="45F428E0"/>
    <w:rsid w:val="46113492"/>
    <w:rsid w:val="46184820"/>
    <w:rsid w:val="46222FA9"/>
    <w:rsid w:val="46236D21"/>
    <w:rsid w:val="463902F3"/>
    <w:rsid w:val="46445615"/>
    <w:rsid w:val="46470C62"/>
    <w:rsid w:val="46492C2C"/>
    <w:rsid w:val="467D28D5"/>
    <w:rsid w:val="4695798A"/>
    <w:rsid w:val="46A165C4"/>
    <w:rsid w:val="46B06807"/>
    <w:rsid w:val="46BC3D38"/>
    <w:rsid w:val="46C329DE"/>
    <w:rsid w:val="46E44703"/>
    <w:rsid w:val="46FC1A4C"/>
    <w:rsid w:val="47176886"/>
    <w:rsid w:val="472471F5"/>
    <w:rsid w:val="475278BE"/>
    <w:rsid w:val="475F1FDB"/>
    <w:rsid w:val="477E6905"/>
    <w:rsid w:val="477FB67B"/>
    <w:rsid w:val="47941C85"/>
    <w:rsid w:val="479779C7"/>
    <w:rsid w:val="47AB6FCE"/>
    <w:rsid w:val="47B740A2"/>
    <w:rsid w:val="47D44777"/>
    <w:rsid w:val="47E250E6"/>
    <w:rsid w:val="47FE17F4"/>
    <w:rsid w:val="481B63B6"/>
    <w:rsid w:val="48396CD0"/>
    <w:rsid w:val="484A2C8B"/>
    <w:rsid w:val="48741AB6"/>
    <w:rsid w:val="48B85E47"/>
    <w:rsid w:val="48DD3AFF"/>
    <w:rsid w:val="48DD765B"/>
    <w:rsid w:val="4915066C"/>
    <w:rsid w:val="491F5EC6"/>
    <w:rsid w:val="49345DA0"/>
    <w:rsid w:val="49523BA5"/>
    <w:rsid w:val="49777E24"/>
    <w:rsid w:val="4989333F"/>
    <w:rsid w:val="498D1081"/>
    <w:rsid w:val="499C3073"/>
    <w:rsid w:val="49AB1508"/>
    <w:rsid w:val="49B54134"/>
    <w:rsid w:val="49D92519"/>
    <w:rsid w:val="49E05655"/>
    <w:rsid w:val="49ED1B20"/>
    <w:rsid w:val="49EF5898"/>
    <w:rsid w:val="49F11610"/>
    <w:rsid w:val="49F20EE5"/>
    <w:rsid w:val="4A1452FF"/>
    <w:rsid w:val="4A1E22DB"/>
    <w:rsid w:val="4A315EB1"/>
    <w:rsid w:val="4A446121"/>
    <w:rsid w:val="4A5120AF"/>
    <w:rsid w:val="4A5E47CC"/>
    <w:rsid w:val="4A6E2C61"/>
    <w:rsid w:val="4A873D23"/>
    <w:rsid w:val="4AB83EDC"/>
    <w:rsid w:val="4AD351BA"/>
    <w:rsid w:val="4ADB406F"/>
    <w:rsid w:val="4AE44CD1"/>
    <w:rsid w:val="4AE90539"/>
    <w:rsid w:val="4AF13892"/>
    <w:rsid w:val="4AF64A04"/>
    <w:rsid w:val="4B074E64"/>
    <w:rsid w:val="4B0C247A"/>
    <w:rsid w:val="4B1F21AD"/>
    <w:rsid w:val="4B4439C2"/>
    <w:rsid w:val="4B5D2E6D"/>
    <w:rsid w:val="4B616322"/>
    <w:rsid w:val="4B873109"/>
    <w:rsid w:val="4B877630"/>
    <w:rsid w:val="4BAD1567"/>
    <w:rsid w:val="4BD016F9"/>
    <w:rsid w:val="4BEE392E"/>
    <w:rsid w:val="4BF76C86"/>
    <w:rsid w:val="4C172E84"/>
    <w:rsid w:val="4C1C049B"/>
    <w:rsid w:val="4C416153"/>
    <w:rsid w:val="4C5B7215"/>
    <w:rsid w:val="4CAF130F"/>
    <w:rsid w:val="4CB46925"/>
    <w:rsid w:val="4CD03232"/>
    <w:rsid w:val="4CD174D7"/>
    <w:rsid w:val="4CD40D75"/>
    <w:rsid w:val="4D135D42"/>
    <w:rsid w:val="4D2E2B7B"/>
    <w:rsid w:val="4D575F0B"/>
    <w:rsid w:val="4D722A68"/>
    <w:rsid w:val="4D853892"/>
    <w:rsid w:val="4D88228C"/>
    <w:rsid w:val="4DAB5F7A"/>
    <w:rsid w:val="4DB7491F"/>
    <w:rsid w:val="4DB869F4"/>
    <w:rsid w:val="4DC112FA"/>
    <w:rsid w:val="4DCF4404"/>
    <w:rsid w:val="4DE17402"/>
    <w:rsid w:val="4DFC4A28"/>
    <w:rsid w:val="4E37780E"/>
    <w:rsid w:val="4E6C395B"/>
    <w:rsid w:val="4E772300"/>
    <w:rsid w:val="4E8D38D2"/>
    <w:rsid w:val="4EB87C67"/>
    <w:rsid w:val="4EBE3A8B"/>
    <w:rsid w:val="4EC45545"/>
    <w:rsid w:val="4EE0467E"/>
    <w:rsid w:val="4F22401A"/>
    <w:rsid w:val="4F275AD4"/>
    <w:rsid w:val="4F3124AF"/>
    <w:rsid w:val="4F377912"/>
    <w:rsid w:val="4F3B332E"/>
    <w:rsid w:val="4F5F0DCA"/>
    <w:rsid w:val="4F672375"/>
    <w:rsid w:val="4F6F4D85"/>
    <w:rsid w:val="4F7426F5"/>
    <w:rsid w:val="4FA03191"/>
    <w:rsid w:val="4FAD5FDA"/>
    <w:rsid w:val="5043693E"/>
    <w:rsid w:val="505446A7"/>
    <w:rsid w:val="50574197"/>
    <w:rsid w:val="505A4E96"/>
    <w:rsid w:val="505E1082"/>
    <w:rsid w:val="50770396"/>
    <w:rsid w:val="5085442F"/>
    <w:rsid w:val="509E45A4"/>
    <w:rsid w:val="50A06E47"/>
    <w:rsid w:val="50AF5D81"/>
    <w:rsid w:val="50D13F4A"/>
    <w:rsid w:val="50D6330E"/>
    <w:rsid w:val="50EC2B32"/>
    <w:rsid w:val="50F9524E"/>
    <w:rsid w:val="511B3417"/>
    <w:rsid w:val="513149E8"/>
    <w:rsid w:val="513C3318"/>
    <w:rsid w:val="51556929"/>
    <w:rsid w:val="51595CED"/>
    <w:rsid w:val="516A1CA8"/>
    <w:rsid w:val="51A258E6"/>
    <w:rsid w:val="51A90A23"/>
    <w:rsid w:val="51D6733E"/>
    <w:rsid w:val="51DD06CC"/>
    <w:rsid w:val="51E97071"/>
    <w:rsid w:val="51F93F80"/>
    <w:rsid w:val="521A547C"/>
    <w:rsid w:val="52232583"/>
    <w:rsid w:val="524167AA"/>
    <w:rsid w:val="528172AA"/>
    <w:rsid w:val="528F7C18"/>
    <w:rsid w:val="52AA4A52"/>
    <w:rsid w:val="52AA6800"/>
    <w:rsid w:val="52AB4326"/>
    <w:rsid w:val="52BC4786"/>
    <w:rsid w:val="52E8287A"/>
    <w:rsid w:val="52E87DC3"/>
    <w:rsid w:val="53035F10"/>
    <w:rsid w:val="53204D14"/>
    <w:rsid w:val="53220A8C"/>
    <w:rsid w:val="5325232B"/>
    <w:rsid w:val="532F4F57"/>
    <w:rsid w:val="5354676C"/>
    <w:rsid w:val="53560736"/>
    <w:rsid w:val="53590226"/>
    <w:rsid w:val="53591FD4"/>
    <w:rsid w:val="538708F0"/>
    <w:rsid w:val="53B65679"/>
    <w:rsid w:val="53B86CFB"/>
    <w:rsid w:val="53D0673A"/>
    <w:rsid w:val="53E775E0"/>
    <w:rsid w:val="53E977FC"/>
    <w:rsid w:val="54136627"/>
    <w:rsid w:val="54640C31"/>
    <w:rsid w:val="54A379AB"/>
    <w:rsid w:val="54F90031"/>
    <w:rsid w:val="55342CF9"/>
    <w:rsid w:val="55572544"/>
    <w:rsid w:val="557F15E8"/>
    <w:rsid w:val="55983288"/>
    <w:rsid w:val="55A90FF1"/>
    <w:rsid w:val="55BD684B"/>
    <w:rsid w:val="55DD1C64"/>
    <w:rsid w:val="55FF9E3B"/>
    <w:rsid w:val="561346BC"/>
    <w:rsid w:val="56327239"/>
    <w:rsid w:val="56446F6C"/>
    <w:rsid w:val="564927D4"/>
    <w:rsid w:val="56737851"/>
    <w:rsid w:val="567C0FC9"/>
    <w:rsid w:val="569F23F4"/>
    <w:rsid w:val="56E30533"/>
    <w:rsid w:val="56F444EE"/>
    <w:rsid w:val="56F73FDE"/>
    <w:rsid w:val="572172AD"/>
    <w:rsid w:val="57454D4A"/>
    <w:rsid w:val="57772E69"/>
    <w:rsid w:val="577963D9"/>
    <w:rsid w:val="579A702B"/>
    <w:rsid w:val="57A53A3A"/>
    <w:rsid w:val="57BB838A"/>
    <w:rsid w:val="57BE1FBB"/>
    <w:rsid w:val="57C739B1"/>
    <w:rsid w:val="57D85BBE"/>
    <w:rsid w:val="57E44562"/>
    <w:rsid w:val="584E7C2E"/>
    <w:rsid w:val="585316E8"/>
    <w:rsid w:val="58535244"/>
    <w:rsid w:val="589812B0"/>
    <w:rsid w:val="58C148A4"/>
    <w:rsid w:val="58D345D7"/>
    <w:rsid w:val="58D565A1"/>
    <w:rsid w:val="58E81E30"/>
    <w:rsid w:val="58EC1CF3"/>
    <w:rsid w:val="58FF7111"/>
    <w:rsid w:val="596A0A97"/>
    <w:rsid w:val="59945B14"/>
    <w:rsid w:val="59BB1E9E"/>
    <w:rsid w:val="59DB3743"/>
    <w:rsid w:val="59E95CA5"/>
    <w:rsid w:val="5A0C5FF2"/>
    <w:rsid w:val="5A1629CD"/>
    <w:rsid w:val="5A1F7AD4"/>
    <w:rsid w:val="5A3D43FE"/>
    <w:rsid w:val="5A427C66"/>
    <w:rsid w:val="5A517EA9"/>
    <w:rsid w:val="5A7140A7"/>
    <w:rsid w:val="5A7A11AE"/>
    <w:rsid w:val="5A9A35FE"/>
    <w:rsid w:val="5A9F29C3"/>
    <w:rsid w:val="5AAB75B9"/>
    <w:rsid w:val="5AB107D2"/>
    <w:rsid w:val="5AB7345F"/>
    <w:rsid w:val="5ABFE1CD"/>
    <w:rsid w:val="5ADA39FB"/>
    <w:rsid w:val="5ADF54B5"/>
    <w:rsid w:val="5AE64A95"/>
    <w:rsid w:val="5AF727FF"/>
    <w:rsid w:val="5B4B2B4A"/>
    <w:rsid w:val="5B6339F0"/>
    <w:rsid w:val="5B667984"/>
    <w:rsid w:val="5B7976B8"/>
    <w:rsid w:val="5B8816A9"/>
    <w:rsid w:val="5BBE50CA"/>
    <w:rsid w:val="5BEC7E8A"/>
    <w:rsid w:val="5BF62AB6"/>
    <w:rsid w:val="5C3D2493"/>
    <w:rsid w:val="5C4A2E02"/>
    <w:rsid w:val="5C4C0928"/>
    <w:rsid w:val="5C515F3F"/>
    <w:rsid w:val="5C537F09"/>
    <w:rsid w:val="5C5679F9"/>
    <w:rsid w:val="5C606182"/>
    <w:rsid w:val="5C645C72"/>
    <w:rsid w:val="5C8005D2"/>
    <w:rsid w:val="5CB14C2F"/>
    <w:rsid w:val="5D064F7B"/>
    <w:rsid w:val="5D1C479E"/>
    <w:rsid w:val="5D1D5C5B"/>
    <w:rsid w:val="5D284EF1"/>
    <w:rsid w:val="5D487342"/>
    <w:rsid w:val="5D5A7BEB"/>
    <w:rsid w:val="5D5F28DD"/>
    <w:rsid w:val="5D6D6DA8"/>
    <w:rsid w:val="5D720862"/>
    <w:rsid w:val="5D9C143B"/>
    <w:rsid w:val="5DB26EB1"/>
    <w:rsid w:val="5DEF3C61"/>
    <w:rsid w:val="5DFB81C6"/>
    <w:rsid w:val="5DFFC993"/>
    <w:rsid w:val="5E231B5D"/>
    <w:rsid w:val="5E3C677A"/>
    <w:rsid w:val="5E40626B"/>
    <w:rsid w:val="5E56783C"/>
    <w:rsid w:val="5E875C48"/>
    <w:rsid w:val="5E987E55"/>
    <w:rsid w:val="5EA66A16"/>
    <w:rsid w:val="5EA93E10"/>
    <w:rsid w:val="5ECA3D86"/>
    <w:rsid w:val="5ED05841"/>
    <w:rsid w:val="5EE27322"/>
    <w:rsid w:val="5EEA61D6"/>
    <w:rsid w:val="5F2FCB6C"/>
    <w:rsid w:val="5F3A715E"/>
    <w:rsid w:val="5F716456"/>
    <w:rsid w:val="5F7F1EFB"/>
    <w:rsid w:val="5F88611B"/>
    <w:rsid w:val="5FA171DD"/>
    <w:rsid w:val="5FC30F01"/>
    <w:rsid w:val="5FDCAC5A"/>
    <w:rsid w:val="5FDE21DF"/>
    <w:rsid w:val="5FF92C3C"/>
    <w:rsid w:val="5FFE982A"/>
    <w:rsid w:val="5FFF6BD0"/>
    <w:rsid w:val="60193217"/>
    <w:rsid w:val="6062696C"/>
    <w:rsid w:val="606F1089"/>
    <w:rsid w:val="609E54CA"/>
    <w:rsid w:val="60A56859"/>
    <w:rsid w:val="60A96349"/>
    <w:rsid w:val="60D1764E"/>
    <w:rsid w:val="610E43FE"/>
    <w:rsid w:val="611063C8"/>
    <w:rsid w:val="61300818"/>
    <w:rsid w:val="613C540F"/>
    <w:rsid w:val="6142679E"/>
    <w:rsid w:val="61665FE8"/>
    <w:rsid w:val="61750921"/>
    <w:rsid w:val="617C3A5E"/>
    <w:rsid w:val="617C580C"/>
    <w:rsid w:val="617E77D6"/>
    <w:rsid w:val="61AF611D"/>
    <w:rsid w:val="61C96577"/>
    <w:rsid w:val="61DA7EB5"/>
    <w:rsid w:val="621974FF"/>
    <w:rsid w:val="622B7232"/>
    <w:rsid w:val="62505B15"/>
    <w:rsid w:val="62740BD9"/>
    <w:rsid w:val="62960B4F"/>
    <w:rsid w:val="62F835B8"/>
    <w:rsid w:val="6324615B"/>
    <w:rsid w:val="635A7DCF"/>
    <w:rsid w:val="636E73D6"/>
    <w:rsid w:val="637013A0"/>
    <w:rsid w:val="637D1D0F"/>
    <w:rsid w:val="639A01CB"/>
    <w:rsid w:val="639C03E7"/>
    <w:rsid w:val="63B70D7D"/>
    <w:rsid w:val="63D731CD"/>
    <w:rsid w:val="63E90547"/>
    <w:rsid w:val="63EE6769"/>
    <w:rsid w:val="63FF44D2"/>
    <w:rsid w:val="640B731B"/>
    <w:rsid w:val="643B19AE"/>
    <w:rsid w:val="645760BC"/>
    <w:rsid w:val="64613830"/>
    <w:rsid w:val="648D7D30"/>
    <w:rsid w:val="64966BE4"/>
    <w:rsid w:val="64B17EC2"/>
    <w:rsid w:val="64FB7A3D"/>
    <w:rsid w:val="65297A59"/>
    <w:rsid w:val="6535464F"/>
    <w:rsid w:val="656B62C3"/>
    <w:rsid w:val="65B01F28"/>
    <w:rsid w:val="65B31A18"/>
    <w:rsid w:val="65BD4645"/>
    <w:rsid w:val="65C9123C"/>
    <w:rsid w:val="65D73958"/>
    <w:rsid w:val="65D8147F"/>
    <w:rsid w:val="65EB11B2"/>
    <w:rsid w:val="65F53DDF"/>
    <w:rsid w:val="66134265"/>
    <w:rsid w:val="662B15AE"/>
    <w:rsid w:val="6642629C"/>
    <w:rsid w:val="6646288C"/>
    <w:rsid w:val="66524D8D"/>
    <w:rsid w:val="665E3732"/>
    <w:rsid w:val="66613222"/>
    <w:rsid w:val="6667702B"/>
    <w:rsid w:val="66703465"/>
    <w:rsid w:val="66742F55"/>
    <w:rsid w:val="66A80E51"/>
    <w:rsid w:val="66AF0431"/>
    <w:rsid w:val="66EF082E"/>
    <w:rsid w:val="6703252B"/>
    <w:rsid w:val="67136C12"/>
    <w:rsid w:val="672C7CD4"/>
    <w:rsid w:val="6747066A"/>
    <w:rsid w:val="676C00D0"/>
    <w:rsid w:val="676C6322"/>
    <w:rsid w:val="677A7474"/>
    <w:rsid w:val="677A7ACA"/>
    <w:rsid w:val="67987117"/>
    <w:rsid w:val="67CB3049"/>
    <w:rsid w:val="67ED7463"/>
    <w:rsid w:val="67EF4302"/>
    <w:rsid w:val="67FC1454"/>
    <w:rsid w:val="683926A8"/>
    <w:rsid w:val="68464DC5"/>
    <w:rsid w:val="68490412"/>
    <w:rsid w:val="68514968"/>
    <w:rsid w:val="6852376A"/>
    <w:rsid w:val="68633281"/>
    <w:rsid w:val="68BE495C"/>
    <w:rsid w:val="68D45F2D"/>
    <w:rsid w:val="68E819D9"/>
    <w:rsid w:val="68F00A95"/>
    <w:rsid w:val="690125AA"/>
    <w:rsid w:val="69224EEB"/>
    <w:rsid w:val="692769A5"/>
    <w:rsid w:val="697D65C5"/>
    <w:rsid w:val="69A753F0"/>
    <w:rsid w:val="69B55D5F"/>
    <w:rsid w:val="69C73CE4"/>
    <w:rsid w:val="69F820EF"/>
    <w:rsid w:val="6A164324"/>
    <w:rsid w:val="6A2627B9"/>
    <w:rsid w:val="6A3C6480"/>
    <w:rsid w:val="6A484E25"/>
    <w:rsid w:val="6AB204F0"/>
    <w:rsid w:val="6AC00E5F"/>
    <w:rsid w:val="6AC10733"/>
    <w:rsid w:val="6AC65D4A"/>
    <w:rsid w:val="6AC975E8"/>
    <w:rsid w:val="6B0B19AE"/>
    <w:rsid w:val="6B0B7C00"/>
    <w:rsid w:val="6B113469"/>
    <w:rsid w:val="6B26541A"/>
    <w:rsid w:val="6B413622"/>
    <w:rsid w:val="6B7D0AFE"/>
    <w:rsid w:val="6B7E184A"/>
    <w:rsid w:val="6BBE467E"/>
    <w:rsid w:val="6BCF6E80"/>
    <w:rsid w:val="6BD050D2"/>
    <w:rsid w:val="6BE20961"/>
    <w:rsid w:val="6BF608B1"/>
    <w:rsid w:val="6C021003"/>
    <w:rsid w:val="6C517895"/>
    <w:rsid w:val="6C7672FB"/>
    <w:rsid w:val="6CC62031"/>
    <w:rsid w:val="6CDF4209"/>
    <w:rsid w:val="6CF92406"/>
    <w:rsid w:val="6D433682"/>
    <w:rsid w:val="6D45564C"/>
    <w:rsid w:val="6D604233"/>
    <w:rsid w:val="6D6A3304"/>
    <w:rsid w:val="6D8C5028"/>
    <w:rsid w:val="6DA33260"/>
    <w:rsid w:val="6DD30EA9"/>
    <w:rsid w:val="6DE36C13"/>
    <w:rsid w:val="6DE76703"/>
    <w:rsid w:val="6E3B25AB"/>
    <w:rsid w:val="6E657628"/>
    <w:rsid w:val="6E6F8E20"/>
    <w:rsid w:val="6E712470"/>
    <w:rsid w:val="6E7A1325"/>
    <w:rsid w:val="6E7C32EF"/>
    <w:rsid w:val="6E865F1C"/>
    <w:rsid w:val="6EB13FAC"/>
    <w:rsid w:val="6EE60768"/>
    <w:rsid w:val="6EE90259"/>
    <w:rsid w:val="6EEF1D13"/>
    <w:rsid w:val="6EF07839"/>
    <w:rsid w:val="6F367B7A"/>
    <w:rsid w:val="6F3C65DA"/>
    <w:rsid w:val="6F5E0C47"/>
    <w:rsid w:val="6F773AB6"/>
    <w:rsid w:val="6F800BBD"/>
    <w:rsid w:val="6F857F81"/>
    <w:rsid w:val="6F887A72"/>
    <w:rsid w:val="6FB62831"/>
    <w:rsid w:val="6FCC795E"/>
    <w:rsid w:val="6FD92E48"/>
    <w:rsid w:val="6FF033C7"/>
    <w:rsid w:val="6FFFD817"/>
    <w:rsid w:val="70001CFE"/>
    <w:rsid w:val="701A2DBF"/>
    <w:rsid w:val="70425E72"/>
    <w:rsid w:val="70497201"/>
    <w:rsid w:val="705B5186"/>
    <w:rsid w:val="706E310B"/>
    <w:rsid w:val="7073427E"/>
    <w:rsid w:val="707F7F53"/>
    <w:rsid w:val="70CB5E68"/>
    <w:rsid w:val="70CF151C"/>
    <w:rsid w:val="70DC62C7"/>
    <w:rsid w:val="70DD3DED"/>
    <w:rsid w:val="70F01D72"/>
    <w:rsid w:val="70F353BF"/>
    <w:rsid w:val="70F829D5"/>
    <w:rsid w:val="711D243B"/>
    <w:rsid w:val="7120788E"/>
    <w:rsid w:val="71347EB1"/>
    <w:rsid w:val="714B51FB"/>
    <w:rsid w:val="715B3EF4"/>
    <w:rsid w:val="715B67A3"/>
    <w:rsid w:val="716562BC"/>
    <w:rsid w:val="716F0EE9"/>
    <w:rsid w:val="71704C61"/>
    <w:rsid w:val="718304F0"/>
    <w:rsid w:val="7190371E"/>
    <w:rsid w:val="71C01745"/>
    <w:rsid w:val="71C50D8A"/>
    <w:rsid w:val="71C77772"/>
    <w:rsid w:val="71DB367D"/>
    <w:rsid w:val="71ED62B2"/>
    <w:rsid w:val="72174BBD"/>
    <w:rsid w:val="722872EA"/>
    <w:rsid w:val="72442376"/>
    <w:rsid w:val="7251239D"/>
    <w:rsid w:val="7285473C"/>
    <w:rsid w:val="729B7ABC"/>
    <w:rsid w:val="73010267"/>
    <w:rsid w:val="730438B3"/>
    <w:rsid w:val="73165394"/>
    <w:rsid w:val="731C0BFD"/>
    <w:rsid w:val="733C0CEE"/>
    <w:rsid w:val="734939BC"/>
    <w:rsid w:val="7357440E"/>
    <w:rsid w:val="73814F04"/>
    <w:rsid w:val="739015EB"/>
    <w:rsid w:val="73A33420"/>
    <w:rsid w:val="73E07E7C"/>
    <w:rsid w:val="740C0C71"/>
    <w:rsid w:val="74393A30"/>
    <w:rsid w:val="7440091B"/>
    <w:rsid w:val="74597C2E"/>
    <w:rsid w:val="74820F33"/>
    <w:rsid w:val="74842EFD"/>
    <w:rsid w:val="748A603A"/>
    <w:rsid w:val="74AA048A"/>
    <w:rsid w:val="74B135C7"/>
    <w:rsid w:val="74BB2697"/>
    <w:rsid w:val="74C27582"/>
    <w:rsid w:val="74D13525"/>
    <w:rsid w:val="74D16A0F"/>
    <w:rsid w:val="74D340BC"/>
    <w:rsid w:val="74E92D60"/>
    <w:rsid w:val="74FE7ABF"/>
    <w:rsid w:val="74FF4332"/>
    <w:rsid w:val="751122B7"/>
    <w:rsid w:val="75170692"/>
    <w:rsid w:val="75502DDF"/>
    <w:rsid w:val="756E14B8"/>
    <w:rsid w:val="757B8B91"/>
    <w:rsid w:val="757C5983"/>
    <w:rsid w:val="758B206A"/>
    <w:rsid w:val="75A03D67"/>
    <w:rsid w:val="75D457BF"/>
    <w:rsid w:val="75E83018"/>
    <w:rsid w:val="75ED6880"/>
    <w:rsid w:val="762D3121"/>
    <w:rsid w:val="763149BF"/>
    <w:rsid w:val="765863F0"/>
    <w:rsid w:val="76742AFE"/>
    <w:rsid w:val="7693567A"/>
    <w:rsid w:val="769F401E"/>
    <w:rsid w:val="76CE0460"/>
    <w:rsid w:val="76D87530"/>
    <w:rsid w:val="7711659E"/>
    <w:rsid w:val="772E7150"/>
    <w:rsid w:val="773B361B"/>
    <w:rsid w:val="776668EA"/>
    <w:rsid w:val="777059BB"/>
    <w:rsid w:val="77A613DD"/>
    <w:rsid w:val="77A64F39"/>
    <w:rsid w:val="77AF6099"/>
    <w:rsid w:val="77C80CDB"/>
    <w:rsid w:val="77C81353"/>
    <w:rsid w:val="77C96E79"/>
    <w:rsid w:val="77DD7880"/>
    <w:rsid w:val="77DE0382"/>
    <w:rsid w:val="77EF0934"/>
    <w:rsid w:val="77EFF6DA"/>
    <w:rsid w:val="77FF4FE7"/>
    <w:rsid w:val="77FFF7AF"/>
    <w:rsid w:val="78012B4C"/>
    <w:rsid w:val="780A371A"/>
    <w:rsid w:val="78142364"/>
    <w:rsid w:val="78412EB3"/>
    <w:rsid w:val="785E3A65"/>
    <w:rsid w:val="785E75C1"/>
    <w:rsid w:val="788259A6"/>
    <w:rsid w:val="78850FF2"/>
    <w:rsid w:val="789D458E"/>
    <w:rsid w:val="78D635FC"/>
    <w:rsid w:val="78E90E66"/>
    <w:rsid w:val="78F13B18"/>
    <w:rsid w:val="790A7749"/>
    <w:rsid w:val="790C526F"/>
    <w:rsid w:val="791505C8"/>
    <w:rsid w:val="79352A18"/>
    <w:rsid w:val="795F7A95"/>
    <w:rsid w:val="796D2246"/>
    <w:rsid w:val="797352EE"/>
    <w:rsid w:val="797B41A3"/>
    <w:rsid w:val="79AB40C9"/>
    <w:rsid w:val="79B06543"/>
    <w:rsid w:val="79BD2A0E"/>
    <w:rsid w:val="79DF2984"/>
    <w:rsid w:val="7A0423EA"/>
    <w:rsid w:val="7A083C89"/>
    <w:rsid w:val="7A342CD0"/>
    <w:rsid w:val="7A454EDD"/>
    <w:rsid w:val="7A4A24F3"/>
    <w:rsid w:val="7A88301C"/>
    <w:rsid w:val="7A9C2623"/>
    <w:rsid w:val="7ABC69F3"/>
    <w:rsid w:val="7ABF3760"/>
    <w:rsid w:val="7AD1051F"/>
    <w:rsid w:val="7AEF309B"/>
    <w:rsid w:val="7AF4245F"/>
    <w:rsid w:val="7B187EFC"/>
    <w:rsid w:val="7B3542CF"/>
    <w:rsid w:val="7B3F192C"/>
    <w:rsid w:val="7B424F78"/>
    <w:rsid w:val="7B4707E1"/>
    <w:rsid w:val="7B4A207F"/>
    <w:rsid w:val="7B5FFEA2"/>
    <w:rsid w:val="7B737828"/>
    <w:rsid w:val="7B8F3F36"/>
    <w:rsid w:val="7B95154C"/>
    <w:rsid w:val="7B98728E"/>
    <w:rsid w:val="7B9F23CB"/>
    <w:rsid w:val="7BA73EBB"/>
    <w:rsid w:val="7BAFD3BD"/>
    <w:rsid w:val="7BDBF221"/>
    <w:rsid w:val="7BE82EDD"/>
    <w:rsid w:val="7BF94EBB"/>
    <w:rsid w:val="7BFEFB3D"/>
    <w:rsid w:val="7C09018C"/>
    <w:rsid w:val="7C1C7EBF"/>
    <w:rsid w:val="7C3945CD"/>
    <w:rsid w:val="7C413482"/>
    <w:rsid w:val="7C5E4034"/>
    <w:rsid w:val="7C6158D2"/>
    <w:rsid w:val="7C653614"/>
    <w:rsid w:val="7C686C61"/>
    <w:rsid w:val="7CDC13FD"/>
    <w:rsid w:val="7CDE33C7"/>
    <w:rsid w:val="7CF93D5D"/>
    <w:rsid w:val="7D104C2E"/>
    <w:rsid w:val="7D170C92"/>
    <w:rsid w:val="7D23702C"/>
    <w:rsid w:val="7D382AD7"/>
    <w:rsid w:val="7DC46119"/>
    <w:rsid w:val="7DDA1DE0"/>
    <w:rsid w:val="7DE40569"/>
    <w:rsid w:val="7DF565E3"/>
    <w:rsid w:val="7DF7C791"/>
    <w:rsid w:val="7DFE688F"/>
    <w:rsid w:val="7E1A042F"/>
    <w:rsid w:val="7E3E236F"/>
    <w:rsid w:val="7E521976"/>
    <w:rsid w:val="7E5C45A3"/>
    <w:rsid w:val="7E720471"/>
    <w:rsid w:val="7E722019"/>
    <w:rsid w:val="7E75762F"/>
    <w:rsid w:val="7E8004B4"/>
    <w:rsid w:val="7E8E6727"/>
    <w:rsid w:val="7EA83A6D"/>
    <w:rsid w:val="7EADF39F"/>
    <w:rsid w:val="7EAF0B77"/>
    <w:rsid w:val="7EB73ECF"/>
    <w:rsid w:val="7EBE525E"/>
    <w:rsid w:val="7F3D6873"/>
    <w:rsid w:val="7F49F9FB"/>
    <w:rsid w:val="7F62204B"/>
    <w:rsid w:val="7F6A9D74"/>
    <w:rsid w:val="7F7E349D"/>
    <w:rsid w:val="7F9F9076"/>
    <w:rsid w:val="7FB65B26"/>
    <w:rsid w:val="7FBF78A8"/>
    <w:rsid w:val="7FC748CF"/>
    <w:rsid w:val="7FDDDDD6"/>
    <w:rsid w:val="7FDE95E1"/>
    <w:rsid w:val="7FDFBD1F"/>
    <w:rsid w:val="7FE73A5B"/>
    <w:rsid w:val="7FEAE7D7"/>
    <w:rsid w:val="7FFE20A5"/>
    <w:rsid w:val="8BDFADD5"/>
    <w:rsid w:val="9443AA8B"/>
    <w:rsid w:val="95675015"/>
    <w:rsid w:val="977BC8FA"/>
    <w:rsid w:val="A26FC6D8"/>
    <w:rsid w:val="A6AB6981"/>
    <w:rsid w:val="A6BF5A70"/>
    <w:rsid w:val="A9DF48B6"/>
    <w:rsid w:val="AB7DABDA"/>
    <w:rsid w:val="B6C0216D"/>
    <w:rsid w:val="B7FEEDDA"/>
    <w:rsid w:val="B9FF18BB"/>
    <w:rsid w:val="BDF936D0"/>
    <w:rsid w:val="BEA9AD2E"/>
    <w:rsid w:val="BF9F961E"/>
    <w:rsid w:val="BFBAF35A"/>
    <w:rsid w:val="BFBBB534"/>
    <w:rsid w:val="BFDF4932"/>
    <w:rsid w:val="BFFBBA5E"/>
    <w:rsid w:val="C7DF243F"/>
    <w:rsid w:val="C7FB29C3"/>
    <w:rsid w:val="CB7F0237"/>
    <w:rsid w:val="CBBE7D5E"/>
    <w:rsid w:val="CEBDF57C"/>
    <w:rsid w:val="D1FCBD4C"/>
    <w:rsid w:val="D7668DB6"/>
    <w:rsid w:val="D7B50707"/>
    <w:rsid w:val="DBD7B297"/>
    <w:rsid w:val="DD7F8909"/>
    <w:rsid w:val="DD9D5377"/>
    <w:rsid w:val="DDF27926"/>
    <w:rsid w:val="DEEED913"/>
    <w:rsid w:val="DFBD945A"/>
    <w:rsid w:val="DFE550E3"/>
    <w:rsid w:val="DFEFC6F4"/>
    <w:rsid w:val="DFFB6A7B"/>
    <w:rsid w:val="DFFEE8BD"/>
    <w:rsid w:val="E2DDF694"/>
    <w:rsid w:val="E77F0497"/>
    <w:rsid w:val="E85634C1"/>
    <w:rsid w:val="EADB58A1"/>
    <w:rsid w:val="EBE61B90"/>
    <w:rsid w:val="EBFF83BC"/>
    <w:rsid w:val="EDF2125C"/>
    <w:rsid w:val="EDF7EE77"/>
    <w:rsid w:val="EEFDEE8F"/>
    <w:rsid w:val="EF1A1B4A"/>
    <w:rsid w:val="EF1E98AE"/>
    <w:rsid w:val="EFCF662A"/>
    <w:rsid w:val="EFDF1A7F"/>
    <w:rsid w:val="EFFFAA07"/>
    <w:rsid w:val="F1FE9C50"/>
    <w:rsid w:val="F3744B0A"/>
    <w:rsid w:val="F3DE9359"/>
    <w:rsid w:val="F4FD31E2"/>
    <w:rsid w:val="F5CB038B"/>
    <w:rsid w:val="F5DBCE0C"/>
    <w:rsid w:val="F6BAEA3B"/>
    <w:rsid w:val="F6FA5704"/>
    <w:rsid w:val="F6FF16FE"/>
    <w:rsid w:val="F77B8BD3"/>
    <w:rsid w:val="F7E3CB40"/>
    <w:rsid w:val="F7F953C5"/>
    <w:rsid w:val="F9BE3C87"/>
    <w:rsid w:val="F9F45931"/>
    <w:rsid w:val="FB970A05"/>
    <w:rsid w:val="FBAB0877"/>
    <w:rsid w:val="FBF73569"/>
    <w:rsid w:val="FBFFEA0C"/>
    <w:rsid w:val="FDAFD17D"/>
    <w:rsid w:val="FDFE09B6"/>
    <w:rsid w:val="FE7D0F93"/>
    <w:rsid w:val="FE7F2C1F"/>
    <w:rsid w:val="FE7F7C65"/>
    <w:rsid w:val="FE7FD930"/>
    <w:rsid w:val="FED9C7DD"/>
    <w:rsid w:val="FEFB9C4E"/>
    <w:rsid w:val="FF30C876"/>
    <w:rsid w:val="FFA5AFB9"/>
    <w:rsid w:val="FFAE040C"/>
    <w:rsid w:val="FFE676D1"/>
    <w:rsid w:val="FFEE2428"/>
    <w:rsid w:val="FFF305FE"/>
    <w:rsid w:val="FFF34F3E"/>
    <w:rsid w:val="FFFB264A"/>
    <w:rsid w:val="FFFBECE5"/>
    <w:rsid w:val="FFFD6E7D"/>
    <w:rsid w:val="FFFF36D5"/>
    <w:rsid w:val="FFFF681A"/>
    <w:rsid w:val="FFFFC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hAnsi="Times New Roman"/>
      <w:b/>
      <w:kern w:val="0"/>
      <w:sz w:val="24"/>
      <w:szCs w:val="20"/>
      <w:u w:val="single"/>
    </w:rPr>
  </w:style>
  <w:style w:type="paragraph" w:styleId="5">
    <w:name w:val="heading 4"/>
    <w:basedOn w:val="1"/>
    <w:next w:val="1"/>
    <w:autoRedefine/>
    <w:qFormat/>
    <w:uiPriority w:val="0"/>
    <w:pPr>
      <w:keepNext/>
      <w:keepLines/>
      <w:widowControl w:val="0"/>
      <w:spacing w:before="280" w:beforeLines="0" w:after="290" w:afterLines="0" w:line="376" w:lineRule="auto"/>
      <w:jc w:val="both"/>
      <w:outlineLvl w:val="3"/>
    </w:pPr>
    <w:rPr>
      <w:rFonts w:hint="default" w:ascii="Arial" w:hAnsi="Arial" w:eastAsia="黑体"/>
      <w:b/>
      <w:bCs/>
      <w:kern w:val="2"/>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8"/>
    <w:autoRedefine/>
    <w:semiHidden/>
    <w:qFormat/>
    <w:uiPriority w:val="0"/>
    <w:rPr>
      <w:rFonts w:ascii="仿宋" w:hAnsi="仿宋" w:eastAsia="仿宋" w:cs="仿宋"/>
      <w:sz w:val="27"/>
      <w:szCs w:val="27"/>
      <w:lang w:val="en-US" w:eastAsia="en-US" w:bidi="ar-SA"/>
    </w:rPr>
  </w:style>
  <w:style w:type="paragraph" w:styleId="8">
    <w:name w:val="Body Text First Indent"/>
    <w:basedOn w:val="7"/>
    <w:next w:val="1"/>
    <w:autoRedefine/>
    <w:qFormat/>
    <w:uiPriority w:val="99"/>
    <w:pPr>
      <w:tabs>
        <w:tab w:val="left" w:pos="567"/>
      </w:tabs>
      <w:autoSpaceDE w:val="0"/>
      <w:autoSpaceDN w:val="0"/>
      <w:adjustRightInd w:val="0"/>
      <w:spacing w:line="312" w:lineRule="atLeast"/>
      <w:ind w:firstLine="420"/>
    </w:pPr>
    <w:rPr>
      <w:kern w:val="0"/>
    </w:rPr>
  </w:style>
  <w:style w:type="paragraph" w:styleId="9">
    <w:name w:val="Plain Text"/>
    <w:basedOn w:val="1"/>
    <w:next w:val="1"/>
    <w:autoRedefine/>
    <w:qFormat/>
    <w:uiPriority w:val="0"/>
    <w:rPr>
      <w:rFonts w:ascii="宋体" w:hAnsi="Courier New"/>
      <w:szCs w:val="20"/>
    </w:rPr>
  </w:style>
  <w:style w:type="paragraph" w:styleId="10">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13">
    <w:name w:val="footnote text"/>
    <w:basedOn w:val="1"/>
    <w:next w:val="7"/>
    <w:autoRedefine/>
    <w:qFormat/>
    <w:uiPriority w:val="0"/>
    <w:pPr>
      <w:snapToGrid w:val="0"/>
      <w:jc w:val="left"/>
    </w:pPr>
    <w:rPr>
      <w:sz w:val="18"/>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1">
    <w:name w:val="正文+首行缩进2字符"/>
    <w:basedOn w:val="1"/>
    <w:autoRedefine/>
    <w:qFormat/>
    <w:uiPriority w:val="0"/>
    <w:pPr>
      <w:ind w:firstLine="20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仿宋" w:hAnsi="仿宋" w:eastAsia="仿宋" w:cs="仿宋"/>
      <w:sz w:val="24"/>
      <w:szCs w:val="24"/>
      <w:lang w:val="en-US" w:eastAsia="en-US" w:bidi="ar-SA"/>
    </w:rPr>
  </w:style>
  <w:style w:type="paragraph" w:styleId="24">
    <w:name w:val="List Paragraph"/>
    <w:basedOn w:val="1"/>
    <w:qFormat/>
    <w:uiPriority w:val="34"/>
    <w:pPr>
      <w:widowControl/>
      <w:ind w:firstLine="420" w:firstLineChars="200"/>
      <w:jc w:val="left"/>
    </w:pPr>
    <w:rPr>
      <w:kern w:val="0"/>
      <w:sz w:val="24"/>
    </w:rPr>
  </w:style>
  <w:style w:type="paragraph" w:customStyle="1" w:styleId="2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6">
    <w:name w:val="WPSOffice手动目录 1"/>
    <w:qFormat/>
    <w:uiPriority w:val="0"/>
    <w:pPr>
      <w:ind w:leftChars="0"/>
    </w:pPr>
    <w:rPr>
      <w:rFonts w:ascii="Arial" w:hAnsi="Arial" w:eastAsia="Arial" w:cs="Arial"/>
      <w:sz w:val="20"/>
      <w:szCs w:val="20"/>
    </w:rPr>
  </w:style>
  <w:style w:type="paragraph" w:customStyle="1" w:styleId="27">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Normal"/>
    <w:qFormat/>
    <w:uiPriority w:val="7"/>
    <w:rPr>
      <w:rFonts w:ascii="Times New Roman" w:hAnsi="Times New Roman" w:eastAsia="Times New Roman" w:cs="Times New Roman"/>
      <w:sz w:val="24"/>
      <w:szCs w:val="24"/>
      <w:lang w:val="en-US" w:eastAsia="zh-CN" w:bidi="ar-SA"/>
    </w:rPr>
  </w:style>
  <w:style w:type="paragraph" w:customStyle="1" w:styleId="31">
    <w:name w:val="Table Paragraph"/>
    <w:basedOn w:val="1"/>
    <w:qFormat/>
    <w:uiPriority w:val="1"/>
    <w:pPr>
      <w:widowControl/>
      <w:jc w:val="left"/>
    </w:pPr>
    <w:rPr>
      <w:rFonts w:ascii="宋体" w:hAnsi="宋体" w:cs="宋体"/>
      <w:kern w:val="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31.xml"/><Relationship Id="rId36" Type="http://schemas.openxmlformats.org/officeDocument/2006/relationships/header" Target="header2.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header" Target="header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35227</Words>
  <Characters>37407</Characters>
  <TotalTime>28</TotalTime>
  <ScaleCrop>false</ScaleCrop>
  <LinksUpToDate>false</LinksUpToDate>
  <CharactersWithSpaces>39877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2024-01-04T13:04:00Z</dcterms:created>
  <dc:creator>Kingsoft-PDF</dc:creator>
  <cp:lastModifiedBy>静静</cp:lastModifiedBy>
  <dcterms:modified xsi:type="dcterms:W3CDTF">2024-08-13T02:06:20Z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2024-01-02T13:04:30Z</vt:filetime>
  </property>
  <property fmtid="{D5CDD505-2E9C-101B-9397-08002B2CF9AE}" pid="4" name="UsrData">
    <vt:lpwstr>6593994fd022c6001f5cae1dwl</vt:lpwstr>
  </property>
  <property fmtid="{D5CDD505-2E9C-101B-9397-08002B2CF9AE}" pid="5" name="KSOProductBuildVer">
    <vt:lpwstr>2052-12.1.0.17827</vt:lpwstr>
  </property>
  <property fmtid="{D5CDD505-2E9C-101B-9397-08002B2CF9AE}" pid="6" name="ICV">
    <vt:lpwstr>691B03FCADAB40709F8CD9F16D18CD0A_13</vt:lpwstr>
  </property>
</Properties>
</file>