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A7CB0FE">
      <w:pPr>
        <w:pStyle w:val="2"/>
        <w:bidi w:val="0"/>
        <w:jc w:val="center"/>
        <w:rPr>
          <w:rFonts w:hint="eastAsia" w:ascii="宋体" w:hAnsi="宋体" w:eastAsia="宋体" w:cs="宋体"/>
          <w:b/>
          <w:bCs w:val="0"/>
          <w:kern w:val="2"/>
          <w:sz w:val="44"/>
          <w:szCs w:val="44"/>
          <w:lang w:val="en-US" w:eastAsia="zh-CN" w:bidi="ar-SA"/>
        </w:rPr>
      </w:pPr>
      <w:r>
        <w:rPr>
          <w:rFonts w:hint="eastAsia" w:ascii="宋体" w:hAnsi="宋体" w:cs="宋体"/>
          <w:b/>
          <w:bCs w:val="0"/>
          <w:kern w:val="2"/>
          <w:sz w:val="44"/>
          <w:szCs w:val="44"/>
          <w:lang w:val="en-US" w:eastAsia="zh-CN" w:bidi="ar-SA"/>
        </w:rPr>
        <w:t>乌苏市八十四户乡墩买里农村污水管网建设项目</w:t>
      </w:r>
    </w:p>
    <w:p w14:paraId="1C21A8A3">
      <w:pPr>
        <w:pStyle w:val="2"/>
        <w:bidi w:val="0"/>
        <w:jc w:val="center"/>
        <w:rPr>
          <w:rFonts w:hint="eastAsia" w:ascii="宋体" w:hAnsi="宋体"/>
          <w:b/>
          <w:sz w:val="28"/>
        </w:rPr>
      </w:pPr>
      <w:r>
        <w:rPr>
          <w:rFonts w:hint="eastAsia" w:ascii="宋体" w:hAnsi="宋体" w:cs="宋体"/>
          <w:b/>
          <w:bCs w:val="0"/>
          <w:sz w:val="32"/>
          <w:szCs w:val="32"/>
          <w:lang w:val="en-US" w:eastAsia="zh-CN"/>
        </w:rPr>
        <w:t>清单</w:t>
      </w:r>
      <w:r>
        <w:rPr>
          <w:rFonts w:hint="eastAsia" w:ascii="宋体" w:hAnsi="宋体" w:eastAsia="宋体" w:cs="宋体"/>
          <w:b/>
          <w:bCs w:val="0"/>
          <w:sz w:val="32"/>
          <w:szCs w:val="32"/>
          <w:lang w:eastAsia="zh-CN"/>
        </w:rPr>
        <w:t>编制说明</w:t>
      </w:r>
      <w:bookmarkStart w:id="0" w:name="_GoBack"/>
      <w:bookmarkEnd w:id="0"/>
    </w:p>
    <w:p w14:paraId="30E79FAF">
      <w:pPr>
        <w:keepNext w:val="0"/>
        <w:keepLines w:val="0"/>
        <w:pageBreakBefore w:val="0"/>
        <w:kinsoku/>
        <w:wordWrap/>
        <w:overflowPunct/>
        <w:topLinePunct w:val="0"/>
        <w:autoSpaceDE/>
        <w:autoSpaceDN/>
        <w:bidi w:val="0"/>
        <w:adjustRightInd/>
        <w:snapToGrid/>
        <w:spacing w:line="360" w:lineRule="auto"/>
        <w:textAlignment w:val="auto"/>
        <w:rPr>
          <w:rFonts w:hint="eastAsia" w:ascii="楷体" w:hAnsi="楷体" w:eastAsia="楷体" w:cs="楷体"/>
          <w:b/>
          <w:bCs/>
          <w:sz w:val="28"/>
          <w:szCs w:val="28"/>
        </w:rPr>
      </w:pPr>
      <w:r>
        <w:rPr>
          <w:rFonts w:hint="eastAsia" w:ascii="楷体" w:hAnsi="楷体" w:eastAsia="楷体" w:cs="楷体"/>
          <w:b/>
          <w:bCs/>
          <w:sz w:val="28"/>
          <w:szCs w:val="28"/>
        </w:rPr>
        <w:t>一、工程概况</w:t>
      </w:r>
    </w:p>
    <w:p w14:paraId="487E8DCE">
      <w:pPr>
        <w:keepNext w:val="0"/>
        <w:keepLines w:val="0"/>
        <w:pageBreakBefore w:val="0"/>
        <w:widowControl/>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Times New Roman"/>
          <w:kern w:val="2"/>
          <w:sz w:val="28"/>
          <w:szCs w:val="28"/>
          <w:lang w:val="en-US" w:eastAsia="zh-CN" w:bidi="ar-SA"/>
        </w:rPr>
      </w:pPr>
      <w:r>
        <w:rPr>
          <w:rFonts w:hint="eastAsia" w:ascii="宋体" w:hAnsi="宋体" w:cs="Times New Roman"/>
          <w:kern w:val="2"/>
          <w:sz w:val="28"/>
          <w:szCs w:val="28"/>
          <w:lang w:val="en-US" w:eastAsia="zh-CN" w:bidi="ar-SA"/>
        </w:rPr>
        <w:t>工程名称：乌苏市八十四户乡墩买里农村污水管网建设项目</w:t>
      </w:r>
      <w:r>
        <w:rPr>
          <w:rFonts w:hint="eastAsia" w:ascii="宋体" w:hAnsi="宋体" w:eastAsia="宋体" w:cs="Times New Roman"/>
          <w:kern w:val="2"/>
          <w:sz w:val="28"/>
          <w:szCs w:val="28"/>
          <w:lang w:val="en-US" w:eastAsia="zh-CN" w:bidi="ar-SA"/>
        </w:rPr>
        <w:t>。</w:t>
      </w:r>
    </w:p>
    <w:p w14:paraId="1FAC6DA2">
      <w:pPr>
        <w:keepNext w:val="0"/>
        <w:keepLines w:val="0"/>
        <w:pageBreakBefore w:val="0"/>
        <w:widowControl/>
        <w:kinsoku/>
        <w:wordWrap/>
        <w:overflowPunct/>
        <w:topLinePunct w:val="0"/>
        <w:autoSpaceDE/>
        <w:autoSpaceDN/>
        <w:bidi w:val="0"/>
        <w:adjustRightInd/>
        <w:snapToGrid/>
        <w:spacing w:line="360" w:lineRule="auto"/>
        <w:ind w:firstLine="560" w:firstLineChars="200"/>
        <w:jc w:val="left"/>
        <w:textAlignment w:val="auto"/>
        <w:rPr>
          <w:rFonts w:hint="default" w:ascii="宋体" w:hAnsi="宋体" w:eastAsia="宋体" w:cs="Times New Roman"/>
          <w:kern w:val="2"/>
          <w:sz w:val="28"/>
          <w:szCs w:val="28"/>
          <w:lang w:val="en-US" w:eastAsia="zh-CN" w:bidi="ar-SA"/>
        </w:rPr>
      </w:pPr>
      <w:r>
        <w:rPr>
          <w:rFonts w:hint="eastAsia" w:ascii="宋体" w:hAnsi="宋体" w:eastAsia="宋体" w:cs="Times New Roman"/>
          <w:kern w:val="2"/>
          <w:sz w:val="28"/>
          <w:szCs w:val="28"/>
          <w:lang w:val="en-US" w:eastAsia="zh-CN" w:bidi="ar-SA"/>
        </w:rPr>
        <w:t>建设规模：</w:t>
      </w:r>
      <w:r>
        <w:rPr>
          <w:rFonts w:hint="eastAsia" w:ascii="宋体" w:hAnsi="宋体" w:cs="Times New Roman"/>
          <w:kern w:val="2"/>
          <w:sz w:val="28"/>
          <w:szCs w:val="28"/>
          <w:lang w:val="en-US" w:eastAsia="zh-CN" w:bidi="ar-SA"/>
        </w:rPr>
        <w:t>新建排水管网工程，配套化粪池相关附属工程</w:t>
      </w:r>
      <w:r>
        <w:rPr>
          <w:rFonts w:hint="eastAsia" w:ascii="宋体" w:hAnsi="宋体" w:eastAsia="宋体" w:cs="Times New Roman"/>
          <w:kern w:val="2"/>
          <w:sz w:val="28"/>
          <w:szCs w:val="28"/>
          <w:lang w:val="en-US" w:eastAsia="zh-CN" w:bidi="ar-SA"/>
        </w:rPr>
        <w:t>。</w:t>
      </w:r>
    </w:p>
    <w:p w14:paraId="6798817A">
      <w:pPr>
        <w:keepNext w:val="0"/>
        <w:keepLines w:val="0"/>
        <w:pageBreakBefore w:val="0"/>
        <w:kinsoku/>
        <w:wordWrap/>
        <w:overflowPunct/>
        <w:topLinePunct w:val="0"/>
        <w:autoSpaceDE/>
        <w:autoSpaceDN/>
        <w:bidi w:val="0"/>
        <w:adjustRightInd/>
        <w:snapToGrid/>
        <w:spacing w:line="360" w:lineRule="auto"/>
        <w:textAlignment w:val="auto"/>
        <w:rPr>
          <w:rFonts w:hint="eastAsia" w:ascii="楷体" w:hAnsi="楷体" w:eastAsia="楷体" w:cs="楷体"/>
          <w:b/>
          <w:bCs/>
          <w:sz w:val="28"/>
          <w:szCs w:val="28"/>
        </w:rPr>
      </w:pPr>
      <w:r>
        <w:rPr>
          <w:rFonts w:hint="eastAsia" w:ascii="楷体" w:hAnsi="楷体" w:eastAsia="楷体" w:cs="楷体"/>
          <w:b/>
          <w:bCs/>
          <w:sz w:val="28"/>
          <w:szCs w:val="28"/>
        </w:rPr>
        <w:t>二、编制范围</w:t>
      </w:r>
    </w:p>
    <w:p w14:paraId="5A75C420">
      <w:pPr>
        <w:keepNext w:val="0"/>
        <w:keepLines w:val="0"/>
        <w:pageBreakBefore w:val="0"/>
        <w:widowControl/>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Times New Roman"/>
          <w:kern w:val="2"/>
          <w:sz w:val="28"/>
          <w:szCs w:val="28"/>
          <w:lang w:val="en-US" w:eastAsia="zh-CN" w:bidi="ar-SA"/>
        </w:rPr>
      </w:pPr>
      <w:r>
        <w:rPr>
          <w:rFonts w:hint="eastAsia" w:ascii="宋体" w:hAnsi="宋体" w:eastAsia="宋体" w:cs="Times New Roman"/>
          <w:kern w:val="2"/>
          <w:sz w:val="28"/>
          <w:szCs w:val="28"/>
          <w:lang w:val="en-US" w:eastAsia="zh-CN" w:bidi="ar-SA"/>
        </w:rPr>
        <w:t>1、本报告编制范围为:建设单位提供的</w:t>
      </w:r>
      <w:r>
        <w:rPr>
          <w:rFonts w:hint="eastAsia" w:ascii="宋体" w:hAnsi="宋体" w:cs="Times New Roman"/>
          <w:kern w:val="2"/>
          <w:sz w:val="28"/>
          <w:szCs w:val="28"/>
          <w:lang w:val="en-US" w:eastAsia="zh-CN" w:bidi="ar-SA"/>
        </w:rPr>
        <w:t>由皓筠工程设计有限公司设计的《乌苏市八十四户乡墩买里农村污水管网建设项目》图纸</w:t>
      </w:r>
      <w:r>
        <w:rPr>
          <w:rFonts w:hint="eastAsia" w:ascii="宋体" w:hAnsi="宋体" w:eastAsia="宋体" w:cs="Times New Roman"/>
          <w:kern w:val="2"/>
          <w:sz w:val="28"/>
          <w:szCs w:val="28"/>
          <w:lang w:val="en-US" w:eastAsia="zh-CN" w:bidi="ar-SA"/>
        </w:rPr>
        <w:t>的全部内容。</w:t>
      </w:r>
    </w:p>
    <w:p w14:paraId="78931943">
      <w:pPr>
        <w:keepNext w:val="0"/>
        <w:keepLines w:val="0"/>
        <w:pageBreakBefore w:val="0"/>
        <w:kinsoku/>
        <w:wordWrap/>
        <w:overflowPunct/>
        <w:topLinePunct w:val="0"/>
        <w:autoSpaceDE/>
        <w:autoSpaceDN/>
        <w:bidi w:val="0"/>
        <w:adjustRightInd/>
        <w:snapToGrid/>
        <w:spacing w:line="360" w:lineRule="auto"/>
        <w:textAlignment w:val="auto"/>
        <w:rPr>
          <w:rFonts w:hint="eastAsia" w:ascii="楷体" w:hAnsi="楷体" w:eastAsia="楷体" w:cs="楷体"/>
          <w:b/>
          <w:bCs/>
          <w:sz w:val="28"/>
          <w:szCs w:val="28"/>
        </w:rPr>
      </w:pPr>
      <w:r>
        <w:rPr>
          <w:rFonts w:hint="eastAsia" w:ascii="楷体" w:hAnsi="楷体" w:eastAsia="楷体" w:cs="楷体"/>
          <w:b/>
          <w:bCs/>
          <w:sz w:val="28"/>
          <w:szCs w:val="28"/>
        </w:rPr>
        <w:t>三、编制依据</w:t>
      </w:r>
    </w:p>
    <w:p w14:paraId="260B985E">
      <w:pPr>
        <w:keepNext w:val="0"/>
        <w:keepLines w:val="0"/>
        <w:pageBreakBefore w:val="0"/>
        <w:widowControl/>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Times New Roman"/>
          <w:kern w:val="2"/>
          <w:sz w:val="28"/>
          <w:szCs w:val="28"/>
          <w:lang w:val="en-US" w:eastAsia="zh-CN" w:bidi="ar-SA"/>
        </w:rPr>
      </w:pPr>
      <w:r>
        <w:rPr>
          <w:rFonts w:hint="eastAsia" w:ascii="宋体" w:hAnsi="宋体" w:eastAsia="宋体" w:cs="Times New Roman"/>
          <w:kern w:val="2"/>
          <w:sz w:val="28"/>
          <w:szCs w:val="28"/>
          <w:lang w:val="en-US" w:eastAsia="zh-CN" w:bidi="ar-SA"/>
        </w:rPr>
        <w:t>1、《建设工程工程量</w:t>
      </w:r>
      <w:r>
        <w:rPr>
          <w:rFonts w:hint="eastAsia" w:ascii="宋体" w:hAnsi="宋体" w:cs="Times New Roman"/>
          <w:kern w:val="2"/>
          <w:sz w:val="28"/>
          <w:szCs w:val="28"/>
          <w:lang w:val="en-US" w:eastAsia="zh-CN" w:bidi="ar-SA"/>
        </w:rPr>
        <w:t>清单</w:t>
      </w:r>
      <w:r>
        <w:rPr>
          <w:rFonts w:hint="eastAsia" w:ascii="宋体" w:hAnsi="宋体" w:eastAsia="宋体" w:cs="Times New Roman"/>
          <w:kern w:val="2"/>
          <w:sz w:val="28"/>
          <w:szCs w:val="28"/>
          <w:lang w:val="en-US" w:eastAsia="zh-CN" w:bidi="ar-SA"/>
        </w:rPr>
        <w:t>计价规范》(GB50500-2013)；《市政工程工程量计算规范》(GB50857-2013)；《构筑物工程工程量计算规范》（GB50860-2013）及解释；</w:t>
      </w:r>
    </w:p>
    <w:p w14:paraId="0ABE3342">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Times New Roman"/>
          <w:kern w:val="2"/>
          <w:sz w:val="28"/>
          <w:szCs w:val="28"/>
          <w:lang w:val="en-US" w:eastAsia="zh-CN" w:bidi="ar-SA"/>
        </w:rPr>
      </w:pPr>
      <w:r>
        <w:rPr>
          <w:rFonts w:hint="eastAsia" w:ascii="宋体" w:hAnsi="宋体" w:eastAsia="宋体" w:cs="Times New Roman"/>
          <w:kern w:val="2"/>
          <w:sz w:val="28"/>
          <w:szCs w:val="28"/>
          <w:lang w:val="en-US" w:eastAsia="zh-CN" w:bidi="ar-SA"/>
        </w:rPr>
        <w:t>2、国家或省级、行业建设主管部门颁发的计价定额和计价办法。</w:t>
      </w:r>
    </w:p>
    <w:p w14:paraId="77A7909F">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Times New Roman"/>
          <w:kern w:val="2"/>
          <w:sz w:val="28"/>
          <w:szCs w:val="28"/>
          <w:lang w:val="en-US" w:eastAsia="zh-CN" w:bidi="ar-SA"/>
        </w:rPr>
      </w:pPr>
      <w:r>
        <w:rPr>
          <w:rFonts w:hint="eastAsia" w:ascii="宋体" w:hAnsi="宋体" w:eastAsia="宋体" w:cs="Times New Roman"/>
          <w:kern w:val="2"/>
          <w:sz w:val="28"/>
          <w:szCs w:val="28"/>
          <w:lang w:val="en-US" w:eastAsia="zh-CN" w:bidi="ar-SA"/>
        </w:rPr>
        <w:t>3、业主提供的设计图纸。</w:t>
      </w:r>
    </w:p>
    <w:p w14:paraId="47BA0D6C">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Times New Roman"/>
          <w:kern w:val="2"/>
          <w:sz w:val="28"/>
          <w:szCs w:val="28"/>
          <w:lang w:val="en-US" w:eastAsia="zh-CN" w:bidi="ar-SA"/>
        </w:rPr>
      </w:pPr>
      <w:r>
        <w:rPr>
          <w:rFonts w:hint="eastAsia" w:ascii="宋体" w:hAnsi="宋体" w:eastAsia="宋体" w:cs="Times New Roman"/>
          <w:kern w:val="2"/>
          <w:sz w:val="28"/>
          <w:szCs w:val="28"/>
          <w:lang w:val="en-US" w:eastAsia="zh-CN" w:bidi="ar-SA"/>
        </w:rPr>
        <w:t>4、拟定的招标文件、招标工程量</w:t>
      </w:r>
      <w:r>
        <w:rPr>
          <w:rFonts w:hint="eastAsia" w:ascii="宋体" w:hAnsi="宋体" w:cs="Times New Roman"/>
          <w:kern w:val="2"/>
          <w:sz w:val="28"/>
          <w:szCs w:val="28"/>
          <w:lang w:val="en-US" w:eastAsia="zh-CN" w:bidi="ar-SA"/>
        </w:rPr>
        <w:t>清单</w:t>
      </w:r>
      <w:r>
        <w:rPr>
          <w:rFonts w:hint="eastAsia" w:ascii="宋体" w:hAnsi="宋体" w:eastAsia="宋体" w:cs="Times New Roman"/>
          <w:kern w:val="2"/>
          <w:sz w:val="28"/>
          <w:szCs w:val="28"/>
          <w:lang w:val="en-US" w:eastAsia="zh-CN" w:bidi="ar-SA"/>
        </w:rPr>
        <w:t>及有关计价的要求及答疑。</w:t>
      </w:r>
    </w:p>
    <w:p w14:paraId="27114241">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Times New Roman"/>
          <w:kern w:val="2"/>
          <w:sz w:val="28"/>
          <w:szCs w:val="28"/>
          <w:lang w:val="en-US" w:eastAsia="zh-CN" w:bidi="ar-SA"/>
        </w:rPr>
      </w:pPr>
      <w:r>
        <w:rPr>
          <w:rFonts w:hint="eastAsia" w:ascii="宋体" w:hAnsi="宋体" w:eastAsia="宋体" w:cs="Times New Roman"/>
          <w:kern w:val="2"/>
          <w:sz w:val="28"/>
          <w:szCs w:val="28"/>
          <w:lang w:val="en-US" w:eastAsia="zh-CN" w:bidi="ar-SA"/>
        </w:rPr>
        <w:t>5、与本工程有关的标准（包括标准图集）、规范、技术资料。</w:t>
      </w:r>
    </w:p>
    <w:p w14:paraId="04CA6D39">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Times New Roman"/>
          <w:kern w:val="2"/>
          <w:sz w:val="28"/>
          <w:szCs w:val="28"/>
          <w:lang w:val="en-US" w:eastAsia="zh-CN" w:bidi="ar-SA"/>
        </w:rPr>
      </w:pPr>
      <w:r>
        <w:rPr>
          <w:rFonts w:hint="eastAsia" w:ascii="宋体" w:hAnsi="宋体" w:eastAsia="宋体" w:cs="Times New Roman"/>
          <w:kern w:val="2"/>
          <w:sz w:val="28"/>
          <w:szCs w:val="28"/>
          <w:lang w:val="en-US" w:eastAsia="zh-CN" w:bidi="ar-SA"/>
        </w:rPr>
        <w:t>6、施工现场情况、工程特点及常规施工方案。</w:t>
      </w:r>
    </w:p>
    <w:p w14:paraId="527384F4">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宋体" w:hAnsi="宋体" w:eastAsia="宋体" w:cs="Times New Roman"/>
          <w:kern w:val="2"/>
          <w:sz w:val="28"/>
          <w:szCs w:val="28"/>
          <w:lang w:val="en-US" w:eastAsia="zh-CN" w:bidi="ar-SA"/>
        </w:rPr>
      </w:pPr>
      <w:r>
        <w:rPr>
          <w:rFonts w:hint="eastAsia" w:ascii="宋体" w:hAnsi="宋体" w:eastAsia="宋体" w:cs="Times New Roman"/>
          <w:kern w:val="2"/>
          <w:sz w:val="28"/>
          <w:szCs w:val="28"/>
          <w:lang w:val="en-US" w:eastAsia="zh-CN" w:bidi="ar-SA"/>
        </w:rPr>
        <w:t>7、其他有关文件、资料。</w:t>
      </w:r>
    </w:p>
    <w:p w14:paraId="07C41E72">
      <w:pPr>
        <w:keepNext w:val="0"/>
        <w:keepLines w:val="0"/>
        <w:pageBreakBefore w:val="0"/>
        <w:kinsoku/>
        <w:wordWrap/>
        <w:overflowPunct/>
        <w:topLinePunct w:val="0"/>
        <w:autoSpaceDE/>
        <w:autoSpaceDN/>
        <w:bidi w:val="0"/>
        <w:adjustRightInd/>
        <w:snapToGrid/>
        <w:spacing w:line="360" w:lineRule="auto"/>
        <w:textAlignment w:val="auto"/>
        <w:rPr>
          <w:rFonts w:hint="eastAsia" w:ascii="楷体" w:hAnsi="楷体" w:eastAsia="楷体" w:cs="楷体"/>
          <w:b/>
          <w:bCs/>
          <w:sz w:val="28"/>
          <w:szCs w:val="28"/>
        </w:rPr>
      </w:pPr>
      <w:r>
        <w:rPr>
          <w:rFonts w:hint="eastAsia" w:ascii="楷体" w:hAnsi="楷体" w:eastAsia="楷体" w:cs="楷体"/>
          <w:b/>
          <w:bCs/>
          <w:sz w:val="28"/>
          <w:szCs w:val="28"/>
        </w:rPr>
        <w:t>四、计价依据</w:t>
      </w:r>
    </w:p>
    <w:p w14:paraId="5A36FCC5">
      <w:pPr>
        <w:pStyle w:val="5"/>
        <w:keepNext w:val="0"/>
        <w:keepLines w:val="0"/>
        <w:pageBreakBefore w:val="0"/>
        <w:widowControl w:val="0"/>
        <w:kinsoku/>
        <w:wordWrap/>
        <w:overflowPunct/>
        <w:topLinePunct w:val="0"/>
        <w:autoSpaceDE w:val="0"/>
        <w:autoSpaceDN w:val="0"/>
        <w:bidi w:val="0"/>
        <w:spacing w:line="360" w:lineRule="auto"/>
        <w:textAlignment w:val="auto"/>
        <w:outlineLvl w:val="9"/>
        <w:rPr>
          <w:rFonts w:hint="eastAsia" w:ascii="宋体" w:hAnsi="宋体" w:eastAsia="宋体"/>
          <w:sz w:val="28"/>
          <w:szCs w:val="28"/>
          <w:lang w:eastAsia="zh-CN"/>
        </w:rPr>
      </w:pPr>
      <w:r>
        <w:rPr>
          <w:rFonts w:hint="eastAsia" w:ascii="宋体" w:hAnsi="宋体" w:eastAsia="宋体"/>
          <w:sz w:val="28"/>
          <w:szCs w:val="28"/>
          <w:lang w:val="en-US" w:eastAsia="zh-CN"/>
        </w:rPr>
        <w:t>1、</w:t>
      </w:r>
      <w:r>
        <w:rPr>
          <w:rFonts w:hint="eastAsia" w:ascii="宋体" w:hAnsi="宋体" w:eastAsia="宋体"/>
          <w:sz w:val="28"/>
          <w:szCs w:val="28"/>
        </w:rPr>
        <w:t>定额依据：2020版新疆维吾尔自治区房屋建筑与装饰工程消耗量定额（上</w:t>
      </w:r>
      <w:r>
        <w:rPr>
          <w:rFonts w:hint="eastAsia" w:ascii="宋体" w:hAnsi="宋体"/>
          <w:sz w:val="28"/>
          <w:szCs w:val="28"/>
          <w:lang w:eastAsia="zh-CN"/>
        </w:rPr>
        <w:t>、</w:t>
      </w:r>
      <w:r>
        <w:rPr>
          <w:rFonts w:hint="eastAsia" w:ascii="宋体" w:hAnsi="宋体"/>
          <w:sz w:val="28"/>
          <w:szCs w:val="28"/>
          <w:lang w:val="en-US" w:eastAsia="zh-CN"/>
        </w:rPr>
        <w:t>下</w:t>
      </w:r>
      <w:r>
        <w:rPr>
          <w:rFonts w:hint="eastAsia" w:ascii="宋体" w:hAnsi="宋体" w:eastAsia="宋体"/>
          <w:sz w:val="28"/>
          <w:szCs w:val="28"/>
        </w:rPr>
        <w:t>册）、2020版新疆维吾尔自治区市政工程消耗量定额（一</w:t>
      </w:r>
      <w:r>
        <w:rPr>
          <w:rFonts w:hint="eastAsia" w:ascii="宋体" w:hAnsi="宋体"/>
          <w:sz w:val="28"/>
          <w:szCs w:val="28"/>
          <w:lang w:val="en-US" w:eastAsia="zh-CN"/>
        </w:rPr>
        <w:t>-五册</w:t>
      </w:r>
      <w:r>
        <w:rPr>
          <w:rFonts w:hint="eastAsia" w:ascii="宋体" w:hAnsi="宋体" w:eastAsia="宋体"/>
          <w:sz w:val="28"/>
          <w:szCs w:val="28"/>
        </w:rPr>
        <w:t>）</w:t>
      </w:r>
      <w:r>
        <w:rPr>
          <w:rFonts w:hint="eastAsia" w:ascii="宋体" w:hAnsi="宋体"/>
          <w:sz w:val="28"/>
          <w:szCs w:val="28"/>
          <w:lang w:eastAsia="zh-CN"/>
        </w:rPr>
        <w:t>、</w:t>
      </w:r>
      <w:r>
        <w:rPr>
          <w:rFonts w:hint="eastAsia" w:ascii="宋体" w:hAnsi="宋体" w:eastAsia="宋体"/>
          <w:sz w:val="28"/>
          <w:szCs w:val="28"/>
        </w:rPr>
        <w:t>2020版新疆维吾尔自治区房屋建筑与装饰工程消耗量定额及所附工程量计算规则和相关解释</w:t>
      </w:r>
      <w:r>
        <w:rPr>
          <w:rFonts w:hint="eastAsia" w:ascii="宋体" w:hAnsi="宋体" w:eastAsia="宋体"/>
          <w:sz w:val="28"/>
          <w:szCs w:val="28"/>
          <w:lang w:eastAsia="zh-CN"/>
        </w:rPr>
        <w:t>。</w:t>
      </w:r>
    </w:p>
    <w:p w14:paraId="5CD358C0">
      <w:pPr>
        <w:pStyle w:val="5"/>
        <w:keepNext w:val="0"/>
        <w:keepLines w:val="0"/>
        <w:pageBreakBefore w:val="0"/>
        <w:widowControl w:val="0"/>
        <w:kinsoku/>
        <w:wordWrap/>
        <w:overflowPunct/>
        <w:topLinePunct w:val="0"/>
        <w:autoSpaceDE w:val="0"/>
        <w:autoSpaceDN w:val="0"/>
        <w:bidi w:val="0"/>
        <w:spacing w:line="360" w:lineRule="auto"/>
        <w:textAlignment w:val="auto"/>
        <w:outlineLvl w:val="9"/>
        <w:rPr>
          <w:rFonts w:hint="eastAsia" w:ascii="宋体" w:hAnsi="宋体" w:eastAsia="宋体"/>
          <w:sz w:val="28"/>
          <w:szCs w:val="28"/>
        </w:rPr>
      </w:pPr>
      <w:r>
        <w:rPr>
          <w:rFonts w:hint="eastAsia" w:ascii="宋体" w:hAnsi="宋体" w:eastAsia="宋体"/>
          <w:sz w:val="28"/>
          <w:szCs w:val="28"/>
        </w:rPr>
        <w:t>2、税金调整执行塔地住建发〔2019〕71号文《关于调整我区建设工程计价依据增值税税率的通知》，税率为9%。</w:t>
      </w:r>
    </w:p>
    <w:p w14:paraId="1BB2C425">
      <w:pPr>
        <w:pStyle w:val="5"/>
        <w:keepNext w:val="0"/>
        <w:keepLines w:val="0"/>
        <w:pageBreakBefore w:val="0"/>
        <w:widowControl w:val="0"/>
        <w:kinsoku/>
        <w:wordWrap/>
        <w:overflowPunct/>
        <w:topLinePunct w:val="0"/>
        <w:autoSpaceDE w:val="0"/>
        <w:autoSpaceDN w:val="0"/>
        <w:bidi w:val="0"/>
        <w:spacing w:line="360" w:lineRule="auto"/>
        <w:textAlignment w:val="auto"/>
        <w:outlineLvl w:val="9"/>
        <w:rPr>
          <w:rFonts w:hint="eastAsia" w:ascii="宋体" w:hAnsi="宋体" w:eastAsia="宋体"/>
          <w:sz w:val="28"/>
          <w:szCs w:val="28"/>
          <w:lang w:eastAsia="zh-CN"/>
        </w:rPr>
      </w:pPr>
      <w:r>
        <w:rPr>
          <w:rFonts w:hint="eastAsia" w:ascii="宋体" w:hAnsi="宋体"/>
          <w:sz w:val="28"/>
          <w:szCs w:val="28"/>
          <w:lang w:val="en-US" w:eastAsia="zh-CN"/>
        </w:rPr>
        <w:t>3</w:t>
      </w:r>
      <w:r>
        <w:rPr>
          <w:rFonts w:hint="eastAsia" w:ascii="宋体" w:hAnsi="宋体" w:eastAsia="宋体"/>
          <w:sz w:val="28"/>
          <w:szCs w:val="28"/>
        </w:rPr>
        <w:t>、费用定额依据：临时设施费为可竞争费用，</w:t>
      </w:r>
      <w:r>
        <w:rPr>
          <w:rFonts w:hint="eastAsia" w:ascii="宋体" w:hAnsi="宋体"/>
          <w:sz w:val="28"/>
          <w:szCs w:val="28"/>
          <w:lang w:eastAsia="zh-CN"/>
        </w:rPr>
        <w:t>清单</w:t>
      </w:r>
      <w:r>
        <w:rPr>
          <w:rFonts w:hint="eastAsia" w:ascii="宋体" w:hAnsi="宋体" w:eastAsia="宋体"/>
          <w:sz w:val="28"/>
          <w:szCs w:val="28"/>
        </w:rPr>
        <w:t>中已按规定费率记取，投标人报价时可在规定范围浮动</w:t>
      </w:r>
      <w:r>
        <w:rPr>
          <w:rFonts w:hint="eastAsia" w:ascii="宋体" w:hAnsi="宋体" w:eastAsia="宋体"/>
          <w:sz w:val="28"/>
          <w:szCs w:val="28"/>
          <w:lang w:eastAsia="zh-CN"/>
        </w:rPr>
        <w:t>。</w:t>
      </w:r>
    </w:p>
    <w:p w14:paraId="64E41013">
      <w:pPr>
        <w:keepNext w:val="0"/>
        <w:keepLines w:val="0"/>
        <w:pageBreakBefore w:val="0"/>
        <w:kinsoku/>
        <w:wordWrap/>
        <w:overflowPunct/>
        <w:topLinePunct w:val="0"/>
        <w:autoSpaceDE/>
        <w:autoSpaceDN/>
        <w:bidi w:val="0"/>
        <w:adjustRightInd/>
        <w:snapToGrid/>
        <w:spacing w:line="360" w:lineRule="auto"/>
        <w:textAlignment w:val="auto"/>
        <w:rPr>
          <w:rFonts w:hint="eastAsia" w:ascii="楷体" w:hAnsi="楷体" w:eastAsia="楷体" w:cs="楷体"/>
          <w:b/>
          <w:bCs/>
          <w:sz w:val="28"/>
          <w:szCs w:val="28"/>
          <w:lang w:val="en-US" w:eastAsia="zh-CN"/>
        </w:rPr>
      </w:pPr>
      <w:r>
        <w:rPr>
          <w:rFonts w:hint="eastAsia" w:ascii="楷体" w:hAnsi="楷体" w:eastAsia="楷体" w:cs="楷体"/>
          <w:b/>
          <w:bCs/>
          <w:sz w:val="28"/>
          <w:szCs w:val="28"/>
          <w:lang w:val="en-US" w:eastAsia="zh-CN"/>
        </w:rPr>
        <w:t>五</w:t>
      </w:r>
      <w:r>
        <w:rPr>
          <w:rFonts w:hint="eastAsia" w:ascii="楷体" w:hAnsi="楷体" w:eastAsia="楷体" w:cs="楷体"/>
          <w:b/>
          <w:bCs/>
          <w:sz w:val="28"/>
          <w:szCs w:val="28"/>
        </w:rPr>
        <w:t>、</w:t>
      </w:r>
      <w:r>
        <w:rPr>
          <w:rFonts w:hint="eastAsia" w:ascii="楷体" w:hAnsi="楷体" w:eastAsia="楷体" w:cs="楷体"/>
          <w:b/>
          <w:bCs/>
          <w:sz w:val="28"/>
          <w:szCs w:val="28"/>
          <w:lang w:val="en-US" w:eastAsia="zh-CN"/>
        </w:rPr>
        <w:t>其他</w:t>
      </w:r>
    </w:p>
    <w:p w14:paraId="1269D40F">
      <w:pPr>
        <w:pStyle w:val="5"/>
        <w:keepNext w:val="0"/>
        <w:keepLines w:val="0"/>
        <w:pageBreakBefore w:val="0"/>
        <w:widowControl w:val="0"/>
        <w:kinsoku/>
        <w:wordWrap/>
        <w:overflowPunct/>
        <w:topLinePunct w:val="0"/>
        <w:autoSpaceDE w:val="0"/>
        <w:autoSpaceDN w:val="0"/>
        <w:bidi w:val="0"/>
        <w:spacing w:line="360" w:lineRule="auto"/>
        <w:textAlignment w:val="auto"/>
        <w:outlineLvl w:val="9"/>
        <w:rPr>
          <w:rFonts w:hint="eastAsia" w:ascii="宋体" w:hAnsi="宋体"/>
          <w:sz w:val="28"/>
          <w:szCs w:val="28"/>
          <w:lang w:val="en-US" w:eastAsia="zh-CN"/>
        </w:rPr>
      </w:pPr>
      <w:r>
        <w:rPr>
          <w:rFonts w:hint="eastAsia" w:ascii="宋体" w:hAnsi="宋体" w:eastAsia="宋体"/>
          <w:sz w:val="28"/>
          <w:szCs w:val="28"/>
          <w:lang w:val="en-US" w:eastAsia="zh-CN"/>
        </w:rPr>
        <w:t>1、本工程暂列金（不含税）：</w:t>
      </w:r>
      <w:r>
        <w:rPr>
          <w:rFonts w:hint="eastAsia" w:ascii="宋体" w:hAnsi="宋体"/>
          <w:sz w:val="28"/>
          <w:szCs w:val="28"/>
          <w:lang w:val="en-US" w:eastAsia="zh-CN"/>
        </w:rPr>
        <w:t>270000元</w:t>
      </w:r>
    </w:p>
    <w:p w14:paraId="3A10315E">
      <w:pPr>
        <w:pStyle w:val="5"/>
        <w:keepNext w:val="0"/>
        <w:keepLines w:val="0"/>
        <w:pageBreakBefore w:val="0"/>
        <w:widowControl w:val="0"/>
        <w:kinsoku/>
        <w:wordWrap/>
        <w:overflowPunct/>
        <w:topLinePunct w:val="0"/>
        <w:autoSpaceDE w:val="0"/>
        <w:autoSpaceDN w:val="0"/>
        <w:bidi w:val="0"/>
        <w:spacing w:line="360" w:lineRule="auto"/>
        <w:textAlignment w:val="auto"/>
        <w:outlineLvl w:val="9"/>
        <w:rPr>
          <w:rFonts w:hint="eastAsia" w:asciiTheme="minorEastAsia" w:hAnsiTheme="minorEastAsia" w:eastAsiaTheme="minorEastAsia" w:cstheme="minorEastAsia"/>
          <w:color w:val="000000" w:themeColor="text1"/>
          <w:sz w:val="28"/>
          <w:szCs w:val="28"/>
        </w:rPr>
      </w:pPr>
      <w:r>
        <w:rPr>
          <w:rFonts w:hint="eastAsia" w:asciiTheme="minorEastAsia" w:hAnsiTheme="minorEastAsia" w:eastAsiaTheme="minorEastAsia" w:cstheme="minorEastAsia"/>
          <w:color w:val="000000" w:themeColor="text1"/>
          <w:sz w:val="28"/>
          <w:szCs w:val="28"/>
          <w:lang w:val="en-US" w:eastAsia="zh-CN"/>
        </w:rPr>
        <w:t>2、根据现场实际情况本工程不考虑智慧工地费用，如发生按实计算。</w:t>
      </w:r>
    </w:p>
    <w:p w14:paraId="325AABDC">
      <w:pPr>
        <w:pStyle w:val="5"/>
        <w:keepNext w:val="0"/>
        <w:keepLines w:val="0"/>
        <w:pageBreakBefore w:val="0"/>
        <w:widowControl w:val="0"/>
        <w:kinsoku/>
        <w:wordWrap/>
        <w:overflowPunct/>
        <w:topLinePunct w:val="0"/>
        <w:autoSpaceDE w:val="0"/>
        <w:autoSpaceDN w:val="0"/>
        <w:bidi w:val="0"/>
        <w:spacing w:line="360" w:lineRule="auto"/>
        <w:textAlignment w:val="auto"/>
        <w:outlineLvl w:val="9"/>
        <w:rPr>
          <w:rFonts w:hint="default" w:ascii="宋体" w:hAnsi="宋体" w:eastAsia="宋体"/>
          <w:sz w:val="28"/>
          <w:szCs w:val="28"/>
          <w:lang w:val="en-US" w:eastAsia="zh-CN"/>
        </w:rPr>
      </w:pPr>
    </w:p>
    <w:p w14:paraId="322B3A71">
      <w:pPr>
        <w:pStyle w:val="7"/>
        <w:keepNext w:val="0"/>
        <w:keepLines w:val="0"/>
        <w:widowControl/>
        <w:suppressLineNumbers w:val="0"/>
        <w:spacing w:before="0" w:beforeAutospacing="0" w:after="0" w:afterAutospacing="0"/>
        <w:ind w:left="0" w:right="0" w:firstLine="0"/>
        <w:rPr>
          <w:rFonts w:hint="eastAsia" w:ascii="宋体" w:hAnsi="宋体" w:eastAsia="宋体" w:cs="宋体"/>
          <w:sz w:val="24"/>
          <w:szCs w:val="24"/>
        </w:rPr>
      </w:pPr>
      <w:r>
        <w:rPr>
          <w:rFonts w:hint="eastAsia" w:asciiTheme="majorEastAsia" w:hAnsiTheme="majorEastAsia" w:eastAsiaTheme="majorEastAsia" w:cstheme="majorEastAsia"/>
          <w:kern w:val="2"/>
          <w:sz w:val="24"/>
          <w:szCs w:val="24"/>
          <w:lang w:val="en-US" w:eastAsia="zh-CN" w:bidi="ar-SA"/>
        </w:rPr>
        <w:t xml:space="preserve">               </w:t>
      </w:r>
    </w:p>
    <w:p w14:paraId="7C58D12A">
      <w:pPr>
        <w:keepNext w:val="0"/>
        <w:keepLines w:val="0"/>
        <w:pageBreakBefore w:val="0"/>
        <w:kinsoku/>
        <w:wordWrap/>
        <w:overflowPunct/>
        <w:topLinePunct w:val="0"/>
        <w:autoSpaceDE/>
        <w:autoSpaceDN/>
        <w:bidi w:val="0"/>
        <w:adjustRightInd/>
        <w:snapToGrid/>
        <w:spacing w:line="360" w:lineRule="auto"/>
        <w:jc w:val="right"/>
        <w:textAlignment w:val="auto"/>
        <w:rPr>
          <w:rFonts w:hint="eastAsia" w:ascii="宋体" w:hAnsi="宋体" w:eastAsia="宋体" w:cs="宋体"/>
          <w:sz w:val="24"/>
          <w:szCs w:val="24"/>
        </w:rPr>
      </w:pPr>
    </w:p>
    <w:p w14:paraId="104EF9D8">
      <w:pPr>
        <w:keepNext w:val="0"/>
        <w:keepLines w:val="0"/>
        <w:pageBreakBefore w:val="0"/>
        <w:kinsoku/>
        <w:wordWrap/>
        <w:overflowPunct/>
        <w:topLinePunct w:val="0"/>
        <w:autoSpaceDE/>
        <w:autoSpaceDN/>
        <w:bidi w:val="0"/>
        <w:adjustRightInd/>
        <w:snapToGrid/>
        <w:spacing w:line="360" w:lineRule="auto"/>
        <w:jc w:val="right"/>
        <w:textAlignment w:val="auto"/>
        <w:rPr>
          <w:rFonts w:hint="eastAsia" w:ascii="宋体" w:hAnsi="宋体" w:eastAsia="宋体" w:cs="宋体"/>
          <w:sz w:val="24"/>
          <w:szCs w:val="24"/>
        </w:rPr>
      </w:pPr>
    </w:p>
    <w:p w14:paraId="7AE032A7">
      <w:pPr>
        <w:keepNext w:val="0"/>
        <w:keepLines w:val="0"/>
        <w:pageBreakBefore w:val="0"/>
        <w:kinsoku/>
        <w:wordWrap/>
        <w:overflowPunct/>
        <w:topLinePunct w:val="0"/>
        <w:autoSpaceDE/>
        <w:autoSpaceDN/>
        <w:bidi w:val="0"/>
        <w:adjustRightInd/>
        <w:snapToGrid/>
        <w:spacing w:line="360" w:lineRule="auto"/>
        <w:jc w:val="right"/>
        <w:textAlignment w:val="auto"/>
        <w:rPr>
          <w:rFonts w:hint="eastAsia" w:ascii="宋体" w:hAnsi="宋体" w:eastAsia="宋体" w:cs="宋体"/>
          <w:sz w:val="24"/>
          <w:szCs w:val="24"/>
        </w:rPr>
      </w:pPr>
    </w:p>
    <w:p w14:paraId="4C140886">
      <w:pPr>
        <w:keepNext w:val="0"/>
        <w:keepLines w:val="0"/>
        <w:pageBreakBefore w:val="0"/>
        <w:kinsoku/>
        <w:wordWrap/>
        <w:overflowPunct/>
        <w:topLinePunct w:val="0"/>
        <w:autoSpaceDE/>
        <w:autoSpaceDN/>
        <w:bidi w:val="0"/>
        <w:adjustRightInd/>
        <w:snapToGrid/>
        <w:spacing w:line="360" w:lineRule="auto"/>
        <w:jc w:val="right"/>
        <w:textAlignment w:val="auto"/>
        <w:rPr>
          <w:rFonts w:hint="eastAsia" w:ascii="宋体" w:hAnsi="宋体" w:eastAsia="宋体" w:cs="宋体"/>
          <w:sz w:val="24"/>
          <w:szCs w:val="24"/>
        </w:rPr>
      </w:pPr>
    </w:p>
    <w:p w14:paraId="7169EF66">
      <w:pPr>
        <w:keepNext w:val="0"/>
        <w:keepLines w:val="0"/>
        <w:pageBreakBefore w:val="0"/>
        <w:kinsoku/>
        <w:wordWrap/>
        <w:overflowPunct/>
        <w:topLinePunct w:val="0"/>
        <w:autoSpaceDE/>
        <w:autoSpaceDN/>
        <w:bidi w:val="0"/>
        <w:adjustRightInd/>
        <w:snapToGrid/>
        <w:spacing w:line="360" w:lineRule="auto"/>
        <w:jc w:val="right"/>
        <w:textAlignment w:val="auto"/>
        <w:rPr>
          <w:rFonts w:hint="eastAsia" w:ascii="宋体" w:hAnsi="宋体" w:eastAsia="宋体" w:cs="宋体"/>
          <w:sz w:val="24"/>
          <w:szCs w:val="24"/>
        </w:rPr>
      </w:pPr>
    </w:p>
    <w:p w14:paraId="40D1C9C2">
      <w:pPr>
        <w:keepNext w:val="0"/>
        <w:keepLines w:val="0"/>
        <w:pageBreakBefore w:val="0"/>
        <w:kinsoku/>
        <w:wordWrap/>
        <w:overflowPunct/>
        <w:topLinePunct w:val="0"/>
        <w:autoSpaceDE/>
        <w:autoSpaceDN/>
        <w:bidi w:val="0"/>
        <w:adjustRightInd/>
        <w:snapToGrid/>
        <w:spacing w:line="360" w:lineRule="auto"/>
        <w:jc w:val="right"/>
        <w:textAlignment w:val="auto"/>
        <w:rPr>
          <w:rFonts w:hint="eastAsia" w:ascii="宋体" w:hAnsi="宋体" w:eastAsia="宋体" w:cs="宋体"/>
          <w:sz w:val="24"/>
          <w:szCs w:val="24"/>
        </w:rPr>
      </w:pPr>
    </w:p>
    <w:p w14:paraId="5856F61E">
      <w:pPr>
        <w:keepNext w:val="0"/>
        <w:keepLines w:val="0"/>
        <w:pageBreakBefore w:val="0"/>
        <w:kinsoku/>
        <w:wordWrap/>
        <w:overflowPunct/>
        <w:topLinePunct w:val="0"/>
        <w:autoSpaceDE/>
        <w:autoSpaceDN/>
        <w:bidi w:val="0"/>
        <w:adjustRightInd/>
        <w:snapToGrid/>
        <w:spacing w:line="360" w:lineRule="auto"/>
        <w:jc w:val="right"/>
        <w:textAlignment w:val="auto"/>
        <w:rPr>
          <w:rFonts w:hint="eastAsia" w:ascii="宋体" w:hAnsi="宋体" w:eastAsia="宋体" w:cs="宋体"/>
          <w:sz w:val="24"/>
          <w:szCs w:val="24"/>
        </w:rPr>
      </w:pPr>
    </w:p>
    <w:p w14:paraId="6ADC76EB">
      <w:pPr>
        <w:pStyle w:val="7"/>
        <w:keepNext w:val="0"/>
        <w:keepLines w:val="0"/>
        <w:widowControl/>
        <w:numPr>
          <w:ilvl w:val="0"/>
          <w:numId w:val="0"/>
        </w:numPr>
        <w:suppressLineNumbers w:val="0"/>
        <w:spacing w:before="0" w:beforeAutospacing="0" w:after="0" w:afterAutospacing="0"/>
        <w:ind w:leftChars="0" w:right="0" w:rightChars="0"/>
        <w:rPr>
          <w:rFonts w:hint="eastAsia" w:ascii="宋体" w:hAnsi="宋体" w:eastAsia="宋体"/>
          <w:sz w:val="28"/>
          <w:szCs w:val="28"/>
          <w:lang w:val="en-US" w:eastAsia="zh-CN"/>
        </w:rPr>
      </w:pPr>
    </w:p>
    <w:p w14:paraId="5911806B">
      <w:pPr>
        <w:pStyle w:val="7"/>
        <w:keepNext w:val="0"/>
        <w:keepLines w:val="0"/>
        <w:widowControl/>
        <w:numPr>
          <w:ilvl w:val="0"/>
          <w:numId w:val="0"/>
        </w:numPr>
        <w:suppressLineNumbers w:val="0"/>
        <w:spacing w:before="0" w:beforeAutospacing="0" w:after="0" w:afterAutospacing="0"/>
        <w:ind w:leftChars="0" w:right="0" w:rightChars="0"/>
        <w:rPr>
          <w:rFonts w:hint="eastAsia" w:ascii="宋体" w:hAnsi="宋体" w:eastAsia="宋体"/>
          <w:sz w:val="28"/>
          <w:szCs w:val="28"/>
          <w:lang w:val="en-US" w:eastAsia="zh-CN"/>
        </w:rPr>
      </w:pPr>
    </w:p>
    <w:p w14:paraId="7F8E3B8E">
      <w:pPr>
        <w:pStyle w:val="7"/>
        <w:keepNext w:val="0"/>
        <w:keepLines w:val="0"/>
        <w:widowControl/>
        <w:numPr>
          <w:ilvl w:val="0"/>
          <w:numId w:val="0"/>
        </w:numPr>
        <w:suppressLineNumbers w:val="0"/>
        <w:spacing w:before="0" w:beforeAutospacing="0" w:after="0" w:afterAutospacing="0"/>
        <w:ind w:leftChars="0" w:right="0" w:rightChars="0" w:firstLine="5040" w:firstLineChars="1800"/>
        <w:rPr>
          <w:rFonts w:hint="eastAsia" w:ascii="宋体" w:hAnsi="宋体" w:eastAsia="宋体"/>
          <w:sz w:val="28"/>
          <w:szCs w:val="28"/>
          <w:lang w:val="en-US" w:eastAsia="zh-CN"/>
        </w:rPr>
      </w:pPr>
      <w:r>
        <w:rPr>
          <w:rFonts w:hint="eastAsia" w:ascii="宋体" w:hAnsi="宋体"/>
          <w:sz w:val="28"/>
          <w:szCs w:val="28"/>
          <w:lang w:val="en-US" w:eastAsia="zh-CN"/>
        </w:rPr>
        <w:t>新疆浩天竞诚项目咨询有限公司</w:t>
      </w:r>
    </w:p>
    <w:p w14:paraId="634F946C">
      <w:pPr>
        <w:pStyle w:val="7"/>
        <w:keepNext w:val="0"/>
        <w:keepLines w:val="0"/>
        <w:widowControl/>
        <w:numPr>
          <w:ilvl w:val="0"/>
          <w:numId w:val="0"/>
        </w:numPr>
        <w:suppressLineNumbers w:val="0"/>
        <w:spacing w:before="0" w:beforeAutospacing="0" w:after="0" w:afterAutospacing="0"/>
        <w:ind w:leftChars="0" w:right="0" w:rightChars="0" w:firstLine="7000" w:firstLineChars="2500"/>
        <w:rPr>
          <w:rFonts w:hint="eastAsia" w:ascii="宋体" w:hAnsi="宋体" w:eastAsia="宋体"/>
          <w:sz w:val="28"/>
          <w:szCs w:val="28"/>
          <w:lang w:val="en-US" w:eastAsia="zh-CN"/>
        </w:rPr>
      </w:pPr>
      <w:r>
        <w:rPr>
          <w:rFonts w:hint="eastAsia" w:ascii="宋体" w:hAnsi="宋体" w:eastAsia="宋体"/>
          <w:sz w:val="28"/>
          <w:szCs w:val="28"/>
          <w:lang w:val="en-US" w:eastAsia="zh-CN"/>
        </w:rPr>
        <w:t>年    月    日</w:t>
      </w:r>
    </w:p>
    <w:sectPr>
      <w:headerReference r:id="rId3" w:type="default"/>
      <w:pgSz w:w="11906" w:h="16838"/>
      <w:pgMar w:top="1440" w:right="1417" w:bottom="1440" w:left="141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86435018-E5A3-4186-BB52-E8BC5F932E78}"/>
  </w:font>
  <w:font w:name="Arial">
    <w:panose1 w:val="020B0604020202020204"/>
    <w:charset w:val="01"/>
    <w:family w:val="swiss"/>
    <w:pitch w:val="default"/>
    <w:sig w:usb0="E0002EFF" w:usb1="C000785B" w:usb2="00000009" w:usb3="00000000" w:csb0="400001FF" w:csb1="FFFF0000"/>
    <w:embedRegular r:id="rId2" w:fontKey="{E50FBE1D-D5B0-4528-BA37-ADCCCBE82916}"/>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8F0D3328-ECE0-48F5-937B-55DCA6A0990D}"/>
  </w:font>
  <w:font w:name="Symbol">
    <w:panose1 w:val="05050102010706020507"/>
    <w:charset w:val="02"/>
    <w:family w:val="roman"/>
    <w:pitch w:val="default"/>
    <w:sig w:usb0="00000000" w:usb1="00000000" w:usb2="00000000" w:usb3="00000000" w:csb0="80000000" w:csb1="00000000"/>
    <w:embedRegular r:id="rId4" w:fontKey="{756E5E28-3A32-4CFA-A8F2-57A48C559687}"/>
  </w:font>
  <w:font w:name="Calibri">
    <w:panose1 w:val="020F0502020204030204"/>
    <w:charset w:val="00"/>
    <w:family w:val="swiss"/>
    <w:pitch w:val="default"/>
    <w:sig w:usb0="E4002EFF" w:usb1="C000247B" w:usb2="00000009" w:usb3="00000000" w:csb0="200001FF" w:csb1="00000000"/>
    <w:embedRegular r:id="rId5" w:fontKey="{7D6EAFDC-67A7-43B0-ADC9-80D303EFC3B0}"/>
  </w:font>
  <w:font w:name="方正大标宋_GBK">
    <w:panose1 w:val="02000000000000000000"/>
    <w:charset w:val="86"/>
    <w:family w:val="auto"/>
    <w:pitch w:val="default"/>
    <w:sig w:usb0="A00002BF" w:usb1="08CF7CFA" w:usb2="00000000" w:usb3="00000000" w:csb0="00040001" w:csb1="00000000"/>
  </w:font>
  <w:font w:name="楷体">
    <w:panose1 w:val="02010609060101010101"/>
    <w:charset w:val="86"/>
    <w:family w:val="auto"/>
    <w:pitch w:val="default"/>
    <w:sig w:usb0="800002BF" w:usb1="38CF7CFA" w:usb2="00000016" w:usb3="00000000" w:csb0="00040001" w:csb1="00000000"/>
    <w:embedRegular r:id="rId6" w:fontKey="{788D2D38-21BA-4C72-BB0D-B68C534A14F4}"/>
  </w:font>
  <w:font w:name="方正姚体">
    <w:panose1 w:val="02010601030101010101"/>
    <w:charset w:val="86"/>
    <w:family w:val="auto"/>
    <w:pitch w:val="default"/>
    <w:sig w:usb0="00000003" w:usb1="080E0000" w:usb2="00000000" w:usb3="00000000" w:csb0="00040000" w:csb1="00000000"/>
    <w:embedRegular r:id="rId7" w:fontKey="{CCC3CFE8-9D6F-4EBB-B462-C9DD8BC6CA33}"/>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974A66">
    <w:pPr>
      <w:pStyle w:val="6"/>
      <w:pBdr>
        <w:bottom w:val="none" w:color="auto" w:sz="0" w:space="1"/>
      </w:pBdr>
      <w:jc w:val="both"/>
      <w:rPr>
        <w:rFonts w:hint="default" w:ascii="方正姚体" w:hAnsi="方正姚体" w:eastAsia="方正姚体" w:cs="方正姚体"/>
        <w:lang w:val="en-US"/>
      </w:rPr>
    </w:pPr>
  </w:p>
  <w:p w14:paraId="2EC1F73F">
    <w:pPr>
      <w:pStyle w:val="6"/>
      <w:pBdr>
        <w:bottom w:val="none" w:color="auto" w:sz="0" w:space="1"/>
      </w:pBdr>
      <w:jc w:val="both"/>
      <w:rPr>
        <w:rFonts w:hint="default" w:ascii="方正姚体" w:hAnsi="方正姚体" w:eastAsia="方正姚体" w:cs="方正姚体"/>
        <w:lang w:val="en-US"/>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bordersDoNotSurroundHeader w:val="0"/>
  <w:bordersDoNotSurroundFooter w:val="0"/>
  <w:doNotTrackMoves/>
  <w:documentProtection w:enforcement="0"/>
  <w:defaultTabStop w:val="420"/>
  <w:drawingGridVerticalSpacing w:val="156"/>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YTg1OTdmNTZlZjFmNDkwMDBlZDM0NTEyNWJkZjVjYmMifQ=="/>
    <w:docVar w:name="KSO_WPS_MARK_KEY" w:val="15471174-1a33-438a-aabc-151da242785d"/>
  </w:docVars>
  <w:rsids>
    <w:rsidRoot w:val="003A0A7D"/>
    <w:rsid w:val="000064B0"/>
    <w:rsid w:val="00025FE2"/>
    <w:rsid w:val="00100EFF"/>
    <w:rsid w:val="00133747"/>
    <w:rsid w:val="00146615"/>
    <w:rsid w:val="0015023D"/>
    <w:rsid w:val="0017604D"/>
    <w:rsid w:val="00192709"/>
    <w:rsid w:val="002476C1"/>
    <w:rsid w:val="0026359C"/>
    <w:rsid w:val="00284D22"/>
    <w:rsid w:val="002B37F0"/>
    <w:rsid w:val="00330775"/>
    <w:rsid w:val="00332CF3"/>
    <w:rsid w:val="00336596"/>
    <w:rsid w:val="003616A9"/>
    <w:rsid w:val="00377BBB"/>
    <w:rsid w:val="003A0A7D"/>
    <w:rsid w:val="003E74B1"/>
    <w:rsid w:val="003E77CE"/>
    <w:rsid w:val="00443B76"/>
    <w:rsid w:val="0044528E"/>
    <w:rsid w:val="0048088D"/>
    <w:rsid w:val="00483BC0"/>
    <w:rsid w:val="004D760F"/>
    <w:rsid w:val="00521E47"/>
    <w:rsid w:val="00547685"/>
    <w:rsid w:val="0056032C"/>
    <w:rsid w:val="005622BF"/>
    <w:rsid w:val="00575B84"/>
    <w:rsid w:val="00624120"/>
    <w:rsid w:val="00654471"/>
    <w:rsid w:val="006758D3"/>
    <w:rsid w:val="0070604A"/>
    <w:rsid w:val="00757D1E"/>
    <w:rsid w:val="007C3DEB"/>
    <w:rsid w:val="0081382E"/>
    <w:rsid w:val="008445BF"/>
    <w:rsid w:val="00931984"/>
    <w:rsid w:val="009A5026"/>
    <w:rsid w:val="009F0F26"/>
    <w:rsid w:val="00A70350"/>
    <w:rsid w:val="00B03739"/>
    <w:rsid w:val="00B5557C"/>
    <w:rsid w:val="00BC7F77"/>
    <w:rsid w:val="00C240B5"/>
    <w:rsid w:val="00C90092"/>
    <w:rsid w:val="00D45E7F"/>
    <w:rsid w:val="00D713C7"/>
    <w:rsid w:val="00E20230"/>
    <w:rsid w:val="00E3748A"/>
    <w:rsid w:val="00E656C1"/>
    <w:rsid w:val="00E85DF6"/>
    <w:rsid w:val="00EF079A"/>
    <w:rsid w:val="00F03660"/>
    <w:rsid w:val="00F12348"/>
    <w:rsid w:val="00F51B65"/>
    <w:rsid w:val="00F70B34"/>
    <w:rsid w:val="00FB77E5"/>
    <w:rsid w:val="02123BF9"/>
    <w:rsid w:val="03143EC6"/>
    <w:rsid w:val="05614269"/>
    <w:rsid w:val="059D2FCE"/>
    <w:rsid w:val="077E24C4"/>
    <w:rsid w:val="09002BD9"/>
    <w:rsid w:val="09EF05AD"/>
    <w:rsid w:val="0A247394"/>
    <w:rsid w:val="0B845E4B"/>
    <w:rsid w:val="0F014561"/>
    <w:rsid w:val="0F7917EE"/>
    <w:rsid w:val="0FAB6BEE"/>
    <w:rsid w:val="0FC407AC"/>
    <w:rsid w:val="0FEE72E8"/>
    <w:rsid w:val="1029394B"/>
    <w:rsid w:val="111E478B"/>
    <w:rsid w:val="1147007A"/>
    <w:rsid w:val="13740EE6"/>
    <w:rsid w:val="137440F6"/>
    <w:rsid w:val="138E3B4D"/>
    <w:rsid w:val="13EA4038"/>
    <w:rsid w:val="15690C8C"/>
    <w:rsid w:val="162D2443"/>
    <w:rsid w:val="1657563F"/>
    <w:rsid w:val="174B51BB"/>
    <w:rsid w:val="1771302B"/>
    <w:rsid w:val="18BF3C55"/>
    <w:rsid w:val="19297F81"/>
    <w:rsid w:val="1AE21EC9"/>
    <w:rsid w:val="1C924837"/>
    <w:rsid w:val="1D9C35FE"/>
    <w:rsid w:val="1F457D53"/>
    <w:rsid w:val="20EB0AB5"/>
    <w:rsid w:val="212B554F"/>
    <w:rsid w:val="21CB306C"/>
    <w:rsid w:val="224F1D0F"/>
    <w:rsid w:val="22861667"/>
    <w:rsid w:val="238C7FD7"/>
    <w:rsid w:val="25575B06"/>
    <w:rsid w:val="25725FE8"/>
    <w:rsid w:val="25DD6DB8"/>
    <w:rsid w:val="2614042C"/>
    <w:rsid w:val="276D69FF"/>
    <w:rsid w:val="280629BC"/>
    <w:rsid w:val="280D252E"/>
    <w:rsid w:val="28263173"/>
    <w:rsid w:val="288369BD"/>
    <w:rsid w:val="28E63A5B"/>
    <w:rsid w:val="295E0532"/>
    <w:rsid w:val="2A4B51B5"/>
    <w:rsid w:val="2B1B567B"/>
    <w:rsid w:val="2BDB5930"/>
    <w:rsid w:val="2CEC2CC9"/>
    <w:rsid w:val="2F936D64"/>
    <w:rsid w:val="2FD105DD"/>
    <w:rsid w:val="32076ACD"/>
    <w:rsid w:val="323646BB"/>
    <w:rsid w:val="32C377E0"/>
    <w:rsid w:val="32C804D4"/>
    <w:rsid w:val="33163EB6"/>
    <w:rsid w:val="339979A9"/>
    <w:rsid w:val="34E34EA5"/>
    <w:rsid w:val="35692D25"/>
    <w:rsid w:val="357E51CE"/>
    <w:rsid w:val="35C824E9"/>
    <w:rsid w:val="36AD7CD2"/>
    <w:rsid w:val="382303F5"/>
    <w:rsid w:val="390E1F27"/>
    <w:rsid w:val="39207BB0"/>
    <w:rsid w:val="3A241139"/>
    <w:rsid w:val="3D1D0FEA"/>
    <w:rsid w:val="3D8A60E7"/>
    <w:rsid w:val="3E1B0650"/>
    <w:rsid w:val="3E816F6E"/>
    <w:rsid w:val="3EDC5B73"/>
    <w:rsid w:val="4000059F"/>
    <w:rsid w:val="4074080A"/>
    <w:rsid w:val="40844243"/>
    <w:rsid w:val="409352D6"/>
    <w:rsid w:val="40ED2701"/>
    <w:rsid w:val="41A6378B"/>
    <w:rsid w:val="429B23ED"/>
    <w:rsid w:val="42B14E1D"/>
    <w:rsid w:val="43636DE1"/>
    <w:rsid w:val="436F2E90"/>
    <w:rsid w:val="43F9416E"/>
    <w:rsid w:val="44D8753E"/>
    <w:rsid w:val="47BE428E"/>
    <w:rsid w:val="48E745B1"/>
    <w:rsid w:val="496B53ED"/>
    <w:rsid w:val="498B098C"/>
    <w:rsid w:val="4A8C56EF"/>
    <w:rsid w:val="4B696180"/>
    <w:rsid w:val="4BC153DA"/>
    <w:rsid w:val="4BF916ED"/>
    <w:rsid w:val="4C0F4D89"/>
    <w:rsid w:val="51C44CF8"/>
    <w:rsid w:val="52586C00"/>
    <w:rsid w:val="52864EA6"/>
    <w:rsid w:val="53960E8F"/>
    <w:rsid w:val="53BA2DE5"/>
    <w:rsid w:val="54BB484E"/>
    <w:rsid w:val="559E67A3"/>
    <w:rsid w:val="55CE2137"/>
    <w:rsid w:val="569C15FC"/>
    <w:rsid w:val="57201787"/>
    <w:rsid w:val="583C1202"/>
    <w:rsid w:val="58F3674B"/>
    <w:rsid w:val="58F87AAC"/>
    <w:rsid w:val="592D1324"/>
    <w:rsid w:val="59EE383B"/>
    <w:rsid w:val="5BBC3E25"/>
    <w:rsid w:val="5CB96B4D"/>
    <w:rsid w:val="5CF9795E"/>
    <w:rsid w:val="5D317DCD"/>
    <w:rsid w:val="60A923A5"/>
    <w:rsid w:val="60B0377A"/>
    <w:rsid w:val="61A5345F"/>
    <w:rsid w:val="61EE43AB"/>
    <w:rsid w:val="63315632"/>
    <w:rsid w:val="636D644A"/>
    <w:rsid w:val="63FE7694"/>
    <w:rsid w:val="65A87288"/>
    <w:rsid w:val="66990912"/>
    <w:rsid w:val="673F6019"/>
    <w:rsid w:val="68281683"/>
    <w:rsid w:val="6B2A6C89"/>
    <w:rsid w:val="6B513CBB"/>
    <w:rsid w:val="6B5E2685"/>
    <w:rsid w:val="6B7B6933"/>
    <w:rsid w:val="6B9F10E7"/>
    <w:rsid w:val="6DF01AD3"/>
    <w:rsid w:val="6DF20E13"/>
    <w:rsid w:val="6EA808A7"/>
    <w:rsid w:val="6FCF40EC"/>
    <w:rsid w:val="702A0B29"/>
    <w:rsid w:val="72391AE1"/>
    <w:rsid w:val="72F07534"/>
    <w:rsid w:val="74B06B64"/>
    <w:rsid w:val="75F364A7"/>
    <w:rsid w:val="76417050"/>
    <w:rsid w:val="771A3970"/>
    <w:rsid w:val="774308FC"/>
    <w:rsid w:val="78DC6557"/>
    <w:rsid w:val="79BA2147"/>
    <w:rsid w:val="7A097317"/>
    <w:rsid w:val="7B097481"/>
    <w:rsid w:val="7B7F1FFB"/>
    <w:rsid w:val="7B972B66"/>
    <w:rsid w:val="7C0544CB"/>
    <w:rsid w:val="7DFE554B"/>
    <w:rsid w:val="7E7149B2"/>
    <w:rsid w:val="7F270288"/>
    <w:rsid w:val="7FAA3D20"/>
    <w:rsid w:val="7FBE29C1"/>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semiHidden="0" w:name="heading 2" w:locked="1"/>
    <w:lsdException w:qFormat="1" w:uiPriority="0" w:semiHidden="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autoRedefine/>
    <w:qFormat/>
    <w:locked/>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autoRedefine/>
    <w:unhideWhenUsed/>
    <w:qFormat/>
    <w:locked/>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locked/>
    <w:uiPriority w:val="0"/>
    <w:pPr>
      <w:keepNext/>
      <w:keepLines/>
      <w:spacing w:before="260" w:beforeLines="0" w:beforeAutospacing="0" w:after="260" w:afterLines="0" w:afterAutospacing="0" w:line="413" w:lineRule="auto"/>
      <w:outlineLvl w:val="2"/>
    </w:pPr>
    <w:rPr>
      <w:b/>
      <w:sz w:val="32"/>
    </w:rPr>
  </w:style>
  <w:style w:type="character" w:default="1" w:styleId="9">
    <w:name w:val="Default Paragraph Font"/>
    <w:autoRedefine/>
    <w:semiHidden/>
    <w:unhideWhenUsed/>
    <w:qFormat/>
    <w:uiPriority w:val="1"/>
  </w:style>
  <w:style w:type="table" w:default="1" w:styleId="8">
    <w:name w:val="Normal Table"/>
    <w:autoRedefine/>
    <w:semiHidden/>
    <w:unhideWhenUsed/>
    <w:qFormat/>
    <w:uiPriority w:val="99"/>
    <w:tblPr>
      <w:tblCellMar>
        <w:top w:w="0" w:type="dxa"/>
        <w:left w:w="108" w:type="dxa"/>
        <w:bottom w:w="0" w:type="dxa"/>
        <w:right w:w="108" w:type="dxa"/>
      </w:tblCellMar>
    </w:tblPr>
  </w:style>
  <w:style w:type="paragraph" w:styleId="5">
    <w:name w:val="footer"/>
    <w:basedOn w:val="1"/>
    <w:link w:val="11"/>
    <w:autoRedefine/>
    <w:semiHidden/>
    <w:unhideWhenUsed/>
    <w:qFormat/>
    <w:uiPriority w:val="99"/>
    <w:pPr>
      <w:tabs>
        <w:tab w:val="center" w:pos="4153"/>
        <w:tab w:val="right" w:pos="8306"/>
      </w:tabs>
      <w:snapToGrid w:val="0"/>
      <w:jc w:val="left"/>
    </w:pPr>
    <w:rPr>
      <w:sz w:val="18"/>
      <w:szCs w:val="18"/>
    </w:rPr>
  </w:style>
  <w:style w:type="paragraph" w:styleId="6">
    <w:name w:val="header"/>
    <w:basedOn w:val="1"/>
    <w:link w:val="10"/>
    <w:autoRedefine/>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autoRedefine/>
    <w:semiHidden/>
    <w:unhideWhenUsed/>
    <w:qFormat/>
    <w:uiPriority w:val="99"/>
    <w:pPr>
      <w:spacing w:before="0" w:beforeAutospacing="1" w:after="0" w:afterAutospacing="1"/>
      <w:ind w:left="0" w:right="0"/>
      <w:jc w:val="left"/>
    </w:pPr>
    <w:rPr>
      <w:kern w:val="0"/>
      <w:sz w:val="24"/>
      <w:lang w:val="en-US" w:eastAsia="zh-CN" w:bidi="ar"/>
    </w:rPr>
  </w:style>
  <w:style w:type="character" w:customStyle="1" w:styleId="10">
    <w:name w:val="页眉 Char"/>
    <w:basedOn w:val="9"/>
    <w:link w:val="6"/>
    <w:autoRedefine/>
    <w:semiHidden/>
    <w:qFormat/>
    <w:uiPriority w:val="99"/>
    <w:rPr>
      <w:sz w:val="18"/>
      <w:szCs w:val="18"/>
    </w:rPr>
  </w:style>
  <w:style w:type="character" w:customStyle="1" w:styleId="11">
    <w:name w:val="页脚 Char"/>
    <w:basedOn w:val="9"/>
    <w:link w:val="5"/>
    <w:autoRedefine/>
    <w:semiHidden/>
    <w:qFormat/>
    <w:uiPriority w:val="99"/>
    <w:rPr>
      <w:sz w:val="18"/>
      <w:szCs w:val="18"/>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0</Company>
  <Pages>2</Pages>
  <Words>646</Words>
  <Characters>716</Characters>
  <Lines>9</Lines>
  <Paragraphs>2</Paragraphs>
  <TotalTime>2</TotalTime>
  <ScaleCrop>false</ScaleCrop>
  <LinksUpToDate>false</LinksUpToDate>
  <CharactersWithSpaces>739</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2016-06-18T04:57:00Z</dcterms:created>
  <dc:creator>admin</dc:creator>
  <cp:lastModifiedBy>非尉儿不娶</cp:lastModifiedBy>
  <cp:lastPrinted>2023-11-09T03:12:00Z</cp:lastPrinted>
  <dcterms:modified xsi:type="dcterms:W3CDTF">2024-08-30T10:16:41Z</dcterms:modified>
  <dc:title>xxx工程招标控制价编制说明</dc:title>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268FC94BFB7D4D42840B94F91C119682</vt:lpwstr>
  </property>
  <property fmtid="{D5CDD505-2E9C-101B-9397-08002B2CF9AE}" pid="4" name="KSOSaveFontToCloudKey">
    <vt:lpwstr>827034_embed</vt:lpwstr>
  </property>
</Properties>
</file>