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5C9BC">
      <w:pPr>
        <w:jc w:val="center"/>
        <w:rPr>
          <w:rFonts w:hint="eastAsia"/>
          <w:sz w:val="32"/>
          <w:szCs w:val="32"/>
        </w:rPr>
      </w:pPr>
      <w:r>
        <w:rPr>
          <w:rFonts w:hint="eastAsia"/>
          <w:sz w:val="32"/>
          <w:szCs w:val="32"/>
        </w:rPr>
        <w:t>工程量清单总说明</w:t>
      </w:r>
    </w:p>
    <w:p w14:paraId="4D6D93F1">
      <w:pPr>
        <w:numPr>
          <w:ilvl w:val="0"/>
          <w:numId w:val="1"/>
        </w:numPr>
        <w:pBdr>
          <w:top w:val="single" w:color="auto" w:sz="4" w:space="1"/>
          <w:left w:val="single" w:color="auto" w:sz="4" w:space="4"/>
          <w:bottom w:val="single" w:color="auto" w:sz="4" w:space="0"/>
          <w:right w:val="single" w:color="auto" w:sz="4" w:space="4"/>
        </w:pBdr>
        <w:snapToGrid w:val="0"/>
        <w:spacing w:line="520" w:lineRule="atLeast"/>
        <w:jc w:val="left"/>
        <w:rPr>
          <w:rFonts w:hint="eastAsia" w:ascii="宋体" w:hAnsi="宋体"/>
          <w:sz w:val="24"/>
        </w:rPr>
      </w:pPr>
      <w:r>
        <w:rPr>
          <w:rFonts w:hint="eastAsia" w:ascii="宋体" w:hAnsi="宋体"/>
          <w:sz w:val="24"/>
        </w:rPr>
        <w:t>工程概况：本工程为</w:t>
      </w:r>
      <w:r>
        <w:rPr>
          <w:rFonts w:hint="eastAsia" w:ascii="宋体" w:hAnsi="宋体"/>
          <w:sz w:val="24"/>
          <w:lang w:eastAsia="zh-CN"/>
        </w:rPr>
        <w:t>乌鲁木齐市轨道交通沿线缓建路段绿地恢复项目</w:t>
      </w:r>
      <w:r>
        <w:rPr>
          <w:rFonts w:hint="eastAsia" w:ascii="宋体" w:hAnsi="宋体"/>
          <w:sz w:val="24"/>
        </w:rPr>
        <w:t>,建设地点位于</w:t>
      </w:r>
      <w:r>
        <w:rPr>
          <w:rFonts w:hint="eastAsia" w:ascii="宋体" w:hAnsi="宋体"/>
          <w:sz w:val="24"/>
          <w:lang w:eastAsia="zh-CN"/>
        </w:rPr>
        <w:t>乌鲁木齐市</w:t>
      </w:r>
      <w:r>
        <w:rPr>
          <w:rFonts w:hint="eastAsia" w:ascii="宋体" w:hAnsi="宋体"/>
          <w:sz w:val="24"/>
        </w:rPr>
        <w:t>。工程规模：其主要内容包括但不限于：红光山站、会展中心站1#竖井、会展中心站(绿地中心)区域、红山站（揽秀园区</w:t>
      </w:r>
      <w:bookmarkStart w:id="0" w:name="_GoBack"/>
      <w:bookmarkEnd w:id="0"/>
      <w:r>
        <w:rPr>
          <w:rFonts w:hint="eastAsia" w:ascii="宋体" w:hAnsi="宋体"/>
          <w:sz w:val="24"/>
        </w:rPr>
        <w:t>域）、会展中心站（新疆移动公司区域）道路两侧约45046㎡绿化、灌溉设施、及土石方工程等建设。</w:t>
      </w:r>
    </w:p>
    <w:p w14:paraId="0B57DB3F">
      <w:pPr>
        <w:pBdr>
          <w:top w:val="single" w:color="auto" w:sz="4" w:space="1"/>
          <w:left w:val="single" w:color="auto" w:sz="4" w:space="4"/>
          <w:bottom w:val="single" w:color="auto" w:sz="4" w:space="0"/>
          <w:right w:val="single" w:color="auto" w:sz="4" w:space="4"/>
        </w:pBdr>
        <w:snapToGrid w:val="0"/>
        <w:spacing w:line="520" w:lineRule="atLeast"/>
        <w:jc w:val="left"/>
        <w:rPr>
          <w:rFonts w:hint="eastAsia" w:ascii="宋体" w:hAnsi="宋体"/>
          <w:sz w:val="24"/>
        </w:rPr>
      </w:pPr>
      <w:r>
        <w:rPr>
          <w:rFonts w:hint="eastAsia" w:ascii="宋体" w:hAnsi="宋体"/>
          <w:sz w:val="24"/>
        </w:rPr>
        <w:t>2. 招标范围：招标文件及答疑规定的全部内容。</w:t>
      </w:r>
    </w:p>
    <w:p w14:paraId="170D649B">
      <w:pPr>
        <w:pBdr>
          <w:top w:val="single" w:color="auto" w:sz="4" w:space="1"/>
          <w:left w:val="single" w:color="auto" w:sz="4" w:space="4"/>
          <w:bottom w:val="single" w:color="auto" w:sz="4" w:space="0"/>
          <w:right w:val="single" w:color="auto" w:sz="4" w:space="4"/>
        </w:pBdr>
        <w:snapToGrid w:val="0"/>
        <w:spacing w:line="520" w:lineRule="atLeast"/>
        <w:jc w:val="left"/>
        <w:rPr>
          <w:rFonts w:hint="default" w:ascii="宋体" w:hAnsi="宋体" w:eastAsia="宋体"/>
          <w:sz w:val="24"/>
          <w:lang w:val="en-US" w:eastAsia="zh-CN"/>
        </w:rPr>
      </w:pPr>
      <w:r>
        <w:rPr>
          <w:rFonts w:hint="eastAsia" w:ascii="宋体" w:hAnsi="宋体"/>
          <w:sz w:val="24"/>
        </w:rPr>
        <w:t>3. 清单编制依据：</w:t>
      </w:r>
      <w:r>
        <w:rPr>
          <w:rFonts w:hint="eastAsia" w:ascii="宋体" w:hAnsi="宋体"/>
          <w:sz w:val="24"/>
          <w:lang w:eastAsia="zh-CN"/>
        </w:rPr>
        <w:t>根据设计图纸进行编制</w:t>
      </w:r>
      <w:r>
        <w:rPr>
          <w:rFonts w:hint="eastAsia" w:ascii="宋体" w:hAnsi="宋体"/>
          <w:sz w:val="24"/>
        </w:rPr>
        <w:t>，以及《</w:t>
      </w:r>
      <w:r>
        <w:rPr>
          <w:rFonts w:hint="eastAsia" w:ascii="宋体" w:hAnsi="宋体"/>
          <w:sz w:val="24"/>
          <w:lang w:eastAsia="zh-CN"/>
        </w:rPr>
        <w:t>建设</w:t>
      </w:r>
      <w:r>
        <w:rPr>
          <w:rFonts w:hint="eastAsia" w:ascii="宋体" w:hAnsi="宋体"/>
          <w:sz w:val="24"/>
        </w:rPr>
        <w:t>工程工程量清单计价规范》（GB50500-2013）、</w:t>
      </w:r>
      <w:r>
        <w:rPr>
          <w:rFonts w:hint="eastAsia" w:ascii="宋体" w:hAnsi="宋体"/>
          <w:sz w:val="24"/>
          <w:lang w:eastAsia="zh-CN"/>
        </w:rPr>
        <w:t>《房屋建筑与装饰工程工程量计算规范》（</w:t>
      </w:r>
      <w:r>
        <w:rPr>
          <w:rFonts w:hint="eastAsia" w:ascii="宋体" w:hAnsi="宋体"/>
          <w:sz w:val="24"/>
        </w:rPr>
        <w:t>GB50</w:t>
      </w:r>
      <w:r>
        <w:rPr>
          <w:rFonts w:hint="eastAsia" w:ascii="宋体" w:hAnsi="宋体"/>
          <w:sz w:val="24"/>
          <w:lang w:val="en-US" w:eastAsia="zh-CN"/>
        </w:rPr>
        <w:t>854</w:t>
      </w:r>
      <w:r>
        <w:rPr>
          <w:rFonts w:hint="eastAsia" w:ascii="宋体" w:hAnsi="宋体"/>
          <w:sz w:val="24"/>
        </w:rPr>
        <w:t>-2013</w:t>
      </w:r>
      <w:r>
        <w:rPr>
          <w:rFonts w:hint="eastAsia" w:ascii="宋体" w:hAnsi="宋体"/>
          <w:sz w:val="24"/>
          <w:lang w:eastAsia="zh-CN"/>
        </w:rPr>
        <w:t>）、《市政工程工程量计算规范》（</w:t>
      </w:r>
      <w:r>
        <w:rPr>
          <w:rFonts w:hint="eastAsia" w:ascii="宋体" w:hAnsi="宋体"/>
          <w:sz w:val="24"/>
        </w:rPr>
        <w:t>GB50</w:t>
      </w:r>
      <w:r>
        <w:rPr>
          <w:rFonts w:hint="eastAsia" w:ascii="宋体" w:hAnsi="宋体"/>
          <w:sz w:val="24"/>
          <w:lang w:val="en-US" w:eastAsia="zh-CN"/>
        </w:rPr>
        <w:t>857</w:t>
      </w:r>
      <w:r>
        <w:rPr>
          <w:rFonts w:hint="eastAsia" w:ascii="宋体" w:hAnsi="宋体"/>
          <w:sz w:val="24"/>
        </w:rPr>
        <w:t>-2013</w:t>
      </w:r>
      <w:r>
        <w:rPr>
          <w:rFonts w:hint="eastAsia" w:ascii="宋体" w:hAnsi="宋体"/>
          <w:sz w:val="24"/>
          <w:lang w:eastAsia="zh-CN"/>
        </w:rPr>
        <w:t>）、《园林绿化工程工程量计</w:t>
      </w:r>
      <w:r>
        <w:rPr>
          <w:rFonts w:hint="eastAsia" w:ascii="宋体" w:hAnsi="宋体"/>
          <w:sz w:val="24"/>
          <w:lang w:eastAsia="zh-CN"/>
        </w:rPr>
        <w:t>算规范》</w:t>
      </w:r>
      <w:r>
        <w:rPr>
          <w:rFonts w:hint="eastAsia" w:ascii="宋体" w:hAnsi="宋体"/>
          <w:sz w:val="24"/>
        </w:rPr>
        <w:t>（GB5085</w:t>
      </w:r>
      <w:r>
        <w:rPr>
          <w:rFonts w:hint="eastAsia" w:ascii="宋体" w:hAnsi="宋体"/>
          <w:sz w:val="24"/>
          <w:lang w:val="en-US" w:eastAsia="zh-CN"/>
        </w:rPr>
        <w:t>8</w:t>
      </w:r>
      <w:r>
        <w:rPr>
          <w:rFonts w:hint="eastAsia" w:ascii="宋体" w:hAnsi="宋体"/>
          <w:sz w:val="24"/>
        </w:rPr>
        <w:t>-2013）；及现行相关文件及补充说明等。</w:t>
      </w:r>
      <w:r>
        <w:rPr>
          <w:rFonts w:hint="eastAsia" w:ascii="宋体" w:hAnsi="宋体"/>
          <w:sz w:val="24"/>
          <w:lang w:val="en-US" w:eastAsia="zh-CN"/>
        </w:rPr>
        <w:t xml:space="preserve">  </w:t>
      </w:r>
    </w:p>
    <w:p w14:paraId="330A0B45">
      <w:pPr>
        <w:pBdr>
          <w:top w:val="single" w:color="auto" w:sz="4" w:space="1"/>
          <w:left w:val="single" w:color="auto" w:sz="4" w:space="4"/>
          <w:bottom w:val="single" w:color="auto" w:sz="4" w:space="0"/>
          <w:right w:val="single" w:color="auto" w:sz="4" w:space="4"/>
        </w:pBdr>
        <w:snapToGrid w:val="0"/>
        <w:spacing w:line="520" w:lineRule="atLeast"/>
        <w:jc w:val="left"/>
        <w:rPr>
          <w:rFonts w:hint="eastAsia" w:ascii="宋体" w:hAnsi="宋体"/>
          <w:sz w:val="24"/>
        </w:rPr>
      </w:pPr>
      <w:r>
        <w:rPr>
          <w:rFonts w:hint="eastAsia" w:ascii="宋体" w:hAnsi="宋体"/>
          <w:sz w:val="24"/>
        </w:rPr>
        <w:t>4. 规费包括：工程排污费、养老保险费、失业保险费、医疗保险费、住房公积金、女工生育保险、工伤保险费、住房公积金，规费和税金必须按国家有关规定报价。</w:t>
      </w:r>
    </w:p>
    <w:p w14:paraId="5CCDAAE4">
      <w:pPr>
        <w:pBdr>
          <w:top w:val="single" w:color="auto" w:sz="4" w:space="1"/>
          <w:left w:val="single" w:color="auto" w:sz="4" w:space="4"/>
          <w:bottom w:val="single" w:color="auto" w:sz="4" w:space="0"/>
          <w:right w:val="single" w:color="auto" w:sz="4" w:space="4"/>
        </w:pBdr>
        <w:snapToGrid w:val="0"/>
        <w:spacing w:line="520" w:lineRule="atLeast"/>
        <w:jc w:val="left"/>
        <w:rPr>
          <w:rFonts w:hint="eastAsia" w:ascii="宋体" w:hAnsi="宋体"/>
          <w:sz w:val="24"/>
        </w:rPr>
      </w:pPr>
      <w:r>
        <w:rPr>
          <w:rFonts w:hint="eastAsia" w:ascii="宋体" w:hAnsi="宋体"/>
          <w:sz w:val="24"/>
        </w:rPr>
        <w:t>5. 工程量清单表中任何内容不得随意删除和涂改，表中列明项目投标人均应如实填报，未填报的单价和合价视为已包含在工程量清单的其他项目单价和合价中。</w:t>
      </w:r>
    </w:p>
    <w:p w14:paraId="7279FCD6">
      <w:pPr>
        <w:pBdr>
          <w:top w:val="single" w:color="auto" w:sz="4" w:space="1"/>
          <w:left w:val="single" w:color="auto" w:sz="4" w:space="4"/>
          <w:bottom w:val="single" w:color="auto" w:sz="4" w:space="0"/>
          <w:right w:val="single" w:color="auto" w:sz="4" w:space="4"/>
        </w:pBdr>
        <w:snapToGrid w:val="0"/>
        <w:spacing w:line="520" w:lineRule="atLeast"/>
        <w:jc w:val="left"/>
        <w:rPr>
          <w:rFonts w:hint="eastAsia" w:ascii="宋体" w:hAnsi="宋体"/>
          <w:sz w:val="24"/>
        </w:rPr>
      </w:pPr>
      <w:r>
        <w:rPr>
          <w:rFonts w:hint="eastAsia" w:ascii="宋体" w:hAnsi="宋体"/>
          <w:sz w:val="24"/>
        </w:rPr>
        <w:t>6. 凡是工程量清单报价表中与合价不符时以单价为准，大写和小写不符时以大写为准。</w:t>
      </w:r>
    </w:p>
    <w:p w14:paraId="203A3166">
      <w:pPr>
        <w:pBdr>
          <w:top w:val="single" w:color="auto" w:sz="4" w:space="1"/>
          <w:left w:val="single" w:color="auto" w:sz="4" w:space="4"/>
          <w:bottom w:val="single" w:color="auto" w:sz="4" w:space="0"/>
          <w:right w:val="single" w:color="auto" w:sz="4" w:space="4"/>
        </w:pBdr>
        <w:snapToGrid w:val="0"/>
        <w:spacing w:line="520" w:lineRule="atLeast"/>
        <w:jc w:val="left"/>
        <w:rPr>
          <w:rFonts w:hint="eastAsia" w:ascii="宋体" w:hAnsi="宋体"/>
          <w:sz w:val="24"/>
        </w:rPr>
      </w:pPr>
      <w:r>
        <w:rPr>
          <w:rFonts w:hint="eastAsia" w:ascii="宋体" w:hAnsi="宋体"/>
          <w:sz w:val="24"/>
        </w:rPr>
        <w:t>7. 本次招标工程项目的投标报价是由分部分项工程费、措施项目费、其他项目清单计价、规费及税金五项组成，投标人应根据招标文件中的工程清单及有关要求，结合和施工现场情况、自行制定的施工方案或施工组织设计，按照企业成本核算水平和市场价格自行组成工程项目综合单价。综合单价由完成单位工程清单项目所必需的人工费、材料费、机械费、管理费、利润、风险金等相关费用组成。</w:t>
      </w:r>
    </w:p>
    <w:p w14:paraId="0740EB1F">
      <w:pPr>
        <w:pBdr>
          <w:top w:val="single" w:color="auto" w:sz="4" w:space="1"/>
          <w:left w:val="single" w:color="auto" w:sz="4" w:space="4"/>
          <w:bottom w:val="single" w:color="auto" w:sz="4" w:space="0"/>
          <w:right w:val="single" w:color="auto" w:sz="4" w:space="4"/>
        </w:pBdr>
        <w:snapToGrid w:val="0"/>
        <w:spacing w:line="520" w:lineRule="atLeast"/>
        <w:jc w:val="left"/>
        <w:rPr>
          <w:rFonts w:hint="eastAsia" w:ascii="宋体" w:hAnsi="宋体"/>
          <w:sz w:val="24"/>
        </w:rPr>
      </w:pPr>
      <w:r>
        <w:rPr>
          <w:rFonts w:hint="eastAsia" w:ascii="宋体" w:hAnsi="宋体"/>
          <w:sz w:val="24"/>
        </w:rPr>
        <w:t>8. 税金按照2019年4月1日新疆维吾尔自治区住房和城乡建设厅发布的新建表【2019】4号文«关于实施建筑业增值税新税率调整建设工程计价依据的通知»的文件执行，以增值税9%计税。</w:t>
      </w:r>
    </w:p>
    <w:p w14:paraId="3A88C0AA">
      <w:pPr>
        <w:pBdr>
          <w:top w:val="single" w:color="auto" w:sz="4" w:space="1"/>
          <w:left w:val="single" w:color="auto" w:sz="4" w:space="4"/>
          <w:bottom w:val="single" w:color="auto" w:sz="4" w:space="0"/>
          <w:right w:val="single" w:color="auto" w:sz="4" w:space="4"/>
        </w:pBdr>
        <w:snapToGrid w:val="0"/>
        <w:spacing w:line="520" w:lineRule="atLeast"/>
        <w:jc w:val="left"/>
        <w:rPr>
          <w:rFonts w:hint="eastAsia" w:ascii="宋体" w:hAnsi="宋体"/>
          <w:sz w:val="24"/>
        </w:rPr>
      </w:pPr>
      <w:r>
        <w:rPr>
          <w:rFonts w:hint="eastAsia" w:ascii="宋体" w:hAnsi="宋体"/>
          <w:sz w:val="24"/>
        </w:rPr>
        <w:t xml:space="preserve">9. </w:t>
      </w:r>
      <w:r>
        <w:rPr>
          <w:rFonts w:ascii="宋体" w:hAnsi="宋体" w:cs="宋体"/>
          <w:sz w:val="24"/>
        </w:rPr>
        <w:t>扬尘污染防治措施费按照“关于新疆建设工程扬尘防治增加费记取方法公告”文件执行（文件详见http://www.xjzj.com/Home/PoliciesDetail/4050）</w:t>
      </w:r>
      <w:r>
        <w:rPr>
          <w:rFonts w:hint="eastAsia" w:ascii="宋体" w:hAnsi="宋体"/>
          <w:sz w:val="24"/>
        </w:rPr>
        <w:t>。</w:t>
      </w:r>
    </w:p>
    <w:p w14:paraId="38C90602">
      <w:pPr>
        <w:pStyle w:val="2"/>
        <w:rPr>
          <w:rFonts w:hint="eastAsia" w:ascii="宋体" w:hAnsi="宋体"/>
          <w:sz w:val="24"/>
        </w:rPr>
      </w:pPr>
    </w:p>
    <w:p w14:paraId="230EE1D0">
      <w:pPr>
        <w:pStyle w:val="2"/>
        <w:rPr>
          <w:rFonts w:hint="eastAsia" w:ascii="宋体" w:hAnsi="宋体"/>
          <w:sz w:val="24"/>
        </w:rPr>
      </w:pPr>
    </w:p>
    <w:p w14:paraId="12555FCC">
      <w:pPr>
        <w:pStyle w:val="2"/>
        <w:rPr>
          <w:rFonts w:hint="eastAsia" w:ascii="宋体" w:hAnsi="宋体"/>
          <w:sz w:val="24"/>
        </w:rPr>
      </w:pPr>
    </w:p>
    <w:p w14:paraId="2A692478">
      <w:pPr>
        <w:pStyle w:val="2"/>
        <w:rPr>
          <w:rFonts w:hint="eastAsia" w:ascii="宋体" w:hAnsi="宋体"/>
          <w:sz w:val="24"/>
        </w:rPr>
      </w:pPr>
    </w:p>
    <w:p w14:paraId="78B4D09B">
      <w:pPr>
        <w:pStyle w:val="2"/>
        <w:rPr>
          <w:rFonts w:hint="eastAsia" w:ascii="宋体" w:hAnsi="宋体"/>
          <w:sz w:val="24"/>
        </w:rPr>
      </w:pPr>
    </w:p>
    <w:p w14:paraId="7B8B04B3">
      <w:pPr>
        <w:pStyle w:val="2"/>
        <w:rPr>
          <w:rFonts w:hint="eastAsia" w:ascii="宋体" w:hAnsi="宋体"/>
          <w:sz w:val="24"/>
        </w:rPr>
      </w:pPr>
    </w:p>
    <w:p w14:paraId="1E146808">
      <w:pPr>
        <w:pStyle w:val="2"/>
        <w:rPr>
          <w:rFonts w:hint="eastAsia" w:ascii="宋体" w:hAnsi="宋体"/>
          <w:sz w:val="24"/>
        </w:rPr>
      </w:pPr>
    </w:p>
    <w:p w14:paraId="603123F5">
      <w:pPr>
        <w:pBdr>
          <w:top w:val="single" w:color="auto" w:sz="4" w:space="1"/>
          <w:left w:val="single" w:color="auto" w:sz="4" w:space="4"/>
          <w:bottom w:val="single" w:color="auto" w:sz="4" w:space="1"/>
          <w:right w:val="single" w:color="auto" w:sz="4" w:space="4"/>
        </w:pBdr>
        <w:snapToGrid w:val="0"/>
        <w:spacing w:line="450" w:lineRule="atLeast"/>
        <w:jc w:val="left"/>
        <w:rPr>
          <w:rFonts w:hint="eastAsia" w:ascii="宋体" w:hAnsi="宋体"/>
          <w:sz w:val="24"/>
        </w:rPr>
      </w:pPr>
      <w:r>
        <w:rPr>
          <w:rFonts w:hint="eastAsia" w:ascii="宋体" w:hAnsi="宋体"/>
          <w:sz w:val="24"/>
          <w:lang w:val="en-US" w:eastAsia="zh-CN"/>
        </w:rPr>
        <w:t>10.</w:t>
      </w:r>
      <w:r>
        <w:rPr>
          <w:rFonts w:hint="eastAsia" w:ascii="宋体" w:hAnsi="宋体"/>
          <w:sz w:val="24"/>
        </w:rPr>
        <w:t xml:space="preserve"> 投标人在措施项目中未列入的项目，认为已被投标人计入分部分项工程量清单报价中。</w:t>
      </w:r>
    </w:p>
    <w:p w14:paraId="3FE24826">
      <w:pPr>
        <w:pBdr>
          <w:top w:val="single" w:color="auto" w:sz="4" w:space="1"/>
          <w:left w:val="single" w:color="auto" w:sz="4" w:space="4"/>
          <w:bottom w:val="single" w:color="auto" w:sz="4" w:space="1"/>
          <w:right w:val="single" w:color="auto" w:sz="4" w:space="4"/>
        </w:pBdr>
        <w:snapToGrid w:val="0"/>
        <w:spacing w:line="450" w:lineRule="atLeast"/>
        <w:jc w:val="left"/>
        <w:rPr>
          <w:rFonts w:ascii="宋体" w:hAnsi="宋体"/>
          <w:sz w:val="24"/>
        </w:rPr>
      </w:pPr>
      <w:r>
        <w:rPr>
          <w:rFonts w:hint="eastAsia" w:ascii="宋体" w:hAnsi="宋体"/>
          <w:sz w:val="24"/>
        </w:rPr>
        <w:t>1</w:t>
      </w:r>
      <w:r>
        <w:rPr>
          <w:rFonts w:hint="eastAsia" w:ascii="宋体" w:hAnsi="宋体"/>
          <w:sz w:val="24"/>
          <w:lang w:val="en-US" w:eastAsia="zh-CN"/>
        </w:rPr>
        <w:t>1</w:t>
      </w:r>
      <w:r>
        <w:rPr>
          <w:rFonts w:hint="eastAsia" w:ascii="宋体" w:hAnsi="宋体"/>
          <w:sz w:val="24"/>
        </w:rPr>
        <w:t>．本清单中叙述不到位的，由投标人根据施工组织设计﹑施工设计图答疑或变更、规范考虑在报价中。</w:t>
      </w:r>
    </w:p>
    <w:p w14:paraId="036974CD">
      <w:pPr>
        <w:pBdr>
          <w:top w:val="single" w:color="auto" w:sz="4" w:space="1"/>
          <w:left w:val="single" w:color="auto" w:sz="4" w:space="4"/>
          <w:bottom w:val="single" w:color="auto" w:sz="4" w:space="1"/>
          <w:right w:val="single" w:color="auto" w:sz="4" w:space="4"/>
        </w:pBdr>
        <w:snapToGrid w:val="0"/>
        <w:spacing w:line="450" w:lineRule="atLeast"/>
        <w:jc w:val="left"/>
        <w:rPr>
          <w:rFonts w:hint="eastAsia" w:ascii="宋体" w:hAnsi="宋体"/>
          <w:sz w:val="24"/>
        </w:rPr>
      </w:pPr>
      <w:r>
        <w:rPr>
          <w:rFonts w:hint="eastAsia" w:ascii="宋体" w:hAnsi="宋体"/>
          <w:sz w:val="24"/>
        </w:rPr>
        <w:t>1</w:t>
      </w:r>
      <w:r>
        <w:rPr>
          <w:rFonts w:hint="eastAsia" w:ascii="宋体" w:hAnsi="宋体"/>
          <w:sz w:val="24"/>
          <w:lang w:val="en-US" w:eastAsia="zh-CN"/>
        </w:rPr>
        <w:t>2</w:t>
      </w:r>
      <w:r>
        <w:rPr>
          <w:rFonts w:hint="eastAsia" w:ascii="宋体" w:hAnsi="宋体"/>
          <w:sz w:val="24"/>
        </w:rPr>
        <w:t>.所有土石方运距、建筑垃圾倒运外运的运距投标单位自行调查，充分考虑到报价中，结算时不再调整，投标单位根据施工组织设计报价，结算时不因施工方法不同而调价。</w:t>
      </w:r>
    </w:p>
    <w:p w14:paraId="5E9B919F">
      <w:pPr>
        <w:pBdr>
          <w:top w:val="single" w:color="auto" w:sz="4" w:space="1"/>
          <w:left w:val="single" w:color="auto" w:sz="4" w:space="4"/>
          <w:bottom w:val="single" w:color="auto" w:sz="4" w:space="1"/>
          <w:right w:val="single" w:color="auto" w:sz="4" w:space="4"/>
        </w:pBdr>
        <w:snapToGrid w:val="0"/>
        <w:spacing w:line="450" w:lineRule="atLeast"/>
        <w:jc w:val="left"/>
        <w:rPr>
          <w:rFonts w:hint="eastAsia" w:ascii="宋体" w:hAnsi="宋体"/>
          <w:sz w:val="24"/>
        </w:rPr>
      </w:pPr>
      <w:r>
        <w:rPr>
          <w:rFonts w:hint="eastAsia" w:ascii="宋体" w:hAnsi="宋体"/>
          <w:sz w:val="24"/>
        </w:rPr>
        <w:t>1</w:t>
      </w:r>
      <w:r>
        <w:rPr>
          <w:rFonts w:hint="eastAsia" w:ascii="宋体" w:hAnsi="宋体"/>
          <w:sz w:val="24"/>
          <w:lang w:val="en-US" w:eastAsia="zh-CN"/>
        </w:rPr>
        <w:t>3</w:t>
      </w:r>
      <w:r>
        <w:rPr>
          <w:rFonts w:hint="eastAsia" w:ascii="宋体" w:hAnsi="宋体"/>
          <w:sz w:val="24"/>
        </w:rPr>
        <w:t>.不同单项及单位工程的分部分项工程量清单中相同清单子目（项目特征及工作内容完全相同）的报价如有差异，按最低报价结算。</w:t>
      </w:r>
    </w:p>
    <w:p w14:paraId="4AF946D0">
      <w:pPr>
        <w:pBdr>
          <w:top w:val="single" w:color="auto" w:sz="4" w:space="1"/>
          <w:left w:val="single" w:color="auto" w:sz="4" w:space="4"/>
          <w:bottom w:val="single" w:color="auto" w:sz="4" w:space="1"/>
          <w:right w:val="single" w:color="auto" w:sz="4" w:space="4"/>
        </w:pBdr>
        <w:snapToGrid w:val="0"/>
        <w:spacing w:line="450" w:lineRule="atLeast"/>
        <w:jc w:val="left"/>
        <w:rPr>
          <w:rFonts w:hint="eastAsia" w:ascii="宋体" w:hAnsi="宋体"/>
          <w:sz w:val="24"/>
        </w:rPr>
      </w:pPr>
    </w:p>
    <w:p w14:paraId="23F46B2D">
      <w:pPr>
        <w:pBdr>
          <w:top w:val="single" w:color="auto" w:sz="4" w:space="1"/>
          <w:left w:val="single" w:color="auto" w:sz="4" w:space="4"/>
          <w:bottom w:val="single" w:color="auto" w:sz="4" w:space="1"/>
          <w:right w:val="single" w:color="auto" w:sz="4" w:space="4"/>
        </w:pBdr>
        <w:snapToGrid w:val="0"/>
        <w:spacing w:line="360" w:lineRule="auto"/>
        <w:jc w:val="left"/>
        <w:rPr>
          <w:rFonts w:hint="eastAsia" w:ascii="宋体" w:hAnsi="宋体"/>
          <w:sz w:val="24"/>
        </w:rPr>
      </w:pPr>
    </w:p>
    <w:p w14:paraId="4F3CCEF0">
      <w:pPr>
        <w:pBdr>
          <w:top w:val="single" w:color="auto" w:sz="4" w:space="1"/>
          <w:left w:val="single" w:color="auto" w:sz="4" w:space="4"/>
          <w:bottom w:val="single" w:color="auto" w:sz="4" w:space="1"/>
          <w:right w:val="single" w:color="auto" w:sz="4" w:space="4"/>
        </w:pBdr>
        <w:tabs>
          <w:tab w:val="left" w:pos="6694"/>
          <w:tab w:val="right" w:pos="12500"/>
        </w:tabs>
        <w:snapToGrid w:val="0"/>
        <w:spacing w:line="360" w:lineRule="auto"/>
        <w:jc w:val="left"/>
        <w:rPr>
          <w:rFonts w:hint="eastAsia" w:ascii="宋体" w:hAnsi="宋体"/>
          <w:sz w:val="24"/>
        </w:rPr>
      </w:pPr>
      <w:r>
        <w:rPr>
          <w:rFonts w:hint="eastAsia" w:ascii="宋体" w:hAnsi="宋体"/>
          <w:sz w:val="24"/>
          <w:lang w:eastAsia="zh-CN"/>
        </w:rPr>
        <w:tab/>
      </w:r>
      <w:r>
        <w:rPr>
          <w:rFonts w:hint="eastAsia" w:ascii="宋体" w:hAnsi="宋体"/>
          <w:sz w:val="24"/>
          <w:lang w:eastAsia="zh-CN"/>
        </w:rPr>
        <w:tab/>
      </w:r>
      <w:r>
        <w:rPr>
          <w:rFonts w:hint="eastAsia" w:ascii="宋体" w:hAnsi="宋体"/>
          <w:sz w:val="24"/>
        </w:rPr>
        <w:t xml:space="preserve">                            </w:t>
      </w:r>
    </w:p>
    <w:p w14:paraId="7C271F37">
      <w:pPr>
        <w:pBdr>
          <w:top w:val="single" w:color="auto" w:sz="4" w:space="1"/>
          <w:left w:val="single" w:color="auto" w:sz="4" w:space="4"/>
          <w:bottom w:val="single" w:color="auto" w:sz="4" w:space="1"/>
          <w:right w:val="single" w:color="auto" w:sz="4" w:space="4"/>
        </w:pBdr>
        <w:snapToGrid w:val="0"/>
        <w:spacing w:line="360" w:lineRule="auto"/>
        <w:jc w:val="right"/>
        <w:rPr>
          <w:rFonts w:hint="eastAsia" w:ascii="宋体" w:hAnsi="宋体"/>
          <w:sz w:val="24"/>
        </w:rPr>
      </w:pPr>
      <w:r>
        <w:rPr>
          <w:rFonts w:hint="eastAsia" w:ascii="宋体" w:hAnsi="宋体"/>
          <w:sz w:val="24"/>
        </w:rPr>
        <w:t>202</w:t>
      </w:r>
      <w:r>
        <w:rPr>
          <w:rFonts w:hint="eastAsia" w:ascii="宋体" w:hAnsi="宋体"/>
          <w:sz w:val="24"/>
          <w:lang w:val="en-US" w:eastAsia="zh-CN"/>
        </w:rPr>
        <w:t>4</w:t>
      </w:r>
      <w:r>
        <w:rPr>
          <w:rFonts w:hint="eastAsia" w:ascii="宋体" w:hAnsi="宋体"/>
          <w:sz w:val="24"/>
        </w:rPr>
        <w:t>年</w:t>
      </w:r>
      <w:r>
        <w:rPr>
          <w:rFonts w:hint="eastAsia" w:ascii="宋体" w:hAnsi="宋体"/>
          <w:sz w:val="24"/>
          <w:lang w:val="en-US" w:eastAsia="zh-CN"/>
        </w:rPr>
        <w:t>9</w:t>
      </w:r>
      <w:r>
        <w:rPr>
          <w:rFonts w:hint="eastAsia" w:ascii="宋体" w:hAnsi="宋体"/>
          <w:sz w:val="24"/>
        </w:rPr>
        <w:t>月</w:t>
      </w:r>
      <w:r>
        <w:rPr>
          <w:rFonts w:hint="eastAsia" w:ascii="宋体" w:hAnsi="宋体"/>
          <w:sz w:val="24"/>
          <w:lang w:val="en-US" w:eastAsia="zh-CN"/>
        </w:rPr>
        <w:t>6</w:t>
      </w:r>
      <w:r>
        <w:rPr>
          <w:rFonts w:hint="eastAsia" w:ascii="宋体" w:hAnsi="宋体"/>
          <w:sz w:val="24"/>
        </w:rPr>
        <w:t>日</w:t>
      </w:r>
    </w:p>
    <w:sectPr>
      <w:pgSz w:w="11906" w:h="16838"/>
      <w:pgMar w:top="1440" w:right="1286" w:bottom="1440" w:left="16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B9DAD3"/>
    <w:multiLevelType w:val="singleLevel"/>
    <w:tmpl w:val="99B9DAD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ZGFmYWI4OTM1NzlkM2IwNDc2N2Q3ZGNiNWU3NmQifQ=="/>
  </w:docVars>
  <w:rsids>
    <w:rsidRoot w:val="006C3258"/>
    <w:rsid w:val="000122E9"/>
    <w:rsid w:val="00022E4E"/>
    <w:rsid w:val="000B13F1"/>
    <w:rsid w:val="000C61F4"/>
    <w:rsid w:val="001770D0"/>
    <w:rsid w:val="001E4D5B"/>
    <w:rsid w:val="002D6FE6"/>
    <w:rsid w:val="003F69B6"/>
    <w:rsid w:val="004702F6"/>
    <w:rsid w:val="004B3D17"/>
    <w:rsid w:val="004C5C9D"/>
    <w:rsid w:val="004D1065"/>
    <w:rsid w:val="005159AC"/>
    <w:rsid w:val="005E37D1"/>
    <w:rsid w:val="006C3258"/>
    <w:rsid w:val="00761FA2"/>
    <w:rsid w:val="007D33AC"/>
    <w:rsid w:val="00897462"/>
    <w:rsid w:val="008A180D"/>
    <w:rsid w:val="009251CC"/>
    <w:rsid w:val="0099603E"/>
    <w:rsid w:val="009D60AE"/>
    <w:rsid w:val="00A97576"/>
    <w:rsid w:val="00AC2844"/>
    <w:rsid w:val="00AC64DB"/>
    <w:rsid w:val="00B52E14"/>
    <w:rsid w:val="00B56A17"/>
    <w:rsid w:val="00BD0A61"/>
    <w:rsid w:val="00BF6DE4"/>
    <w:rsid w:val="00C743B5"/>
    <w:rsid w:val="00D54CDE"/>
    <w:rsid w:val="00E1716C"/>
    <w:rsid w:val="00E4641A"/>
    <w:rsid w:val="00F26B0F"/>
    <w:rsid w:val="00F812D6"/>
    <w:rsid w:val="00FF7880"/>
    <w:rsid w:val="01D17056"/>
    <w:rsid w:val="028D5391"/>
    <w:rsid w:val="05092FAB"/>
    <w:rsid w:val="058F1702"/>
    <w:rsid w:val="05C049D0"/>
    <w:rsid w:val="0AB40779"/>
    <w:rsid w:val="0D6055CF"/>
    <w:rsid w:val="0E671857"/>
    <w:rsid w:val="103233B6"/>
    <w:rsid w:val="17986735"/>
    <w:rsid w:val="17F349E3"/>
    <w:rsid w:val="191E41F3"/>
    <w:rsid w:val="196838A8"/>
    <w:rsid w:val="19DF118E"/>
    <w:rsid w:val="1A9212D7"/>
    <w:rsid w:val="1AB36D1B"/>
    <w:rsid w:val="1DEF4A20"/>
    <w:rsid w:val="1E386706"/>
    <w:rsid w:val="1E5A061A"/>
    <w:rsid w:val="1EDA6F3C"/>
    <w:rsid w:val="1F632E3C"/>
    <w:rsid w:val="1F731DB6"/>
    <w:rsid w:val="207C4AB2"/>
    <w:rsid w:val="21446016"/>
    <w:rsid w:val="217050D6"/>
    <w:rsid w:val="219746CE"/>
    <w:rsid w:val="224D0655"/>
    <w:rsid w:val="236B795E"/>
    <w:rsid w:val="23B40A73"/>
    <w:rsid w:val="24BD1031"/>
    <w:rsid w:val="256B5910"/>
    <w:rsid w:val="26B3225A"/>
    <w:rsid w:val="282B05E4"/>
    <w:rsid w:val="31141196"/>
    <w:rsid w:val="31F255AF"/>
    <w:rsid w:val="33D73107"/>
    <w:rsid w:val="340B65F7"/>
    <w:rsid w:val="341C75BD"/>
    <w:rsid w:val="358D2CB9"/>
    <w:rsid w:val="36327C45"/>
    <w:rsid w:val="36FE0C45"/>
    <w:rsid w:val="37070E1E"/>
    <w:rsid w:val="39112554"/>
    <w:rsid w:val="393F251C"/>
    <w:rsid w:val="3AEF7F72"/>
    <w:rsid w:val="3BC309C2"/>
    <w:rsid w:val="3EA320FA"/>
    <w:rsid w:val="3EC30E33"/>
    <w:rsid w:val="3FBE7F13"/>
    <w:rsid w:val="40BE466E"/>
    <w:rsid w:val="4147231E"/>
    <w:rsid w:val="42266C9B"/>
    <w:rsid w:val="429B2801"/>
    <w:rsid w:val="42CC37BD"/>
    <w:rsid w:val="43853221"/>
    <w:rsid w:val="44962814"/>
    <w:rsid w:val="45D73479"/>
    <w:rsid w:val="46737A7E"/>
    <w:rsid w:val="4A7E3F49"/>
    <w:rsid w:val="4CCC0113"/>
    <w:rsid w:val="4DF427F7"/>
    <w:rsid w:val="4DF63491"/>
    <w:rsid w:val="4F2B2826"/>
    <w:rsid w:val="51C155BE"/>
    <w:rsid w:val="53084C88"/>
    <w:rsid w:val="547D5CF8"/>
    <w:rsid w:val="553637BC"/>
    <w:rsid w:val="55924BE5"/>
    <w:rsid w:val="571972B6"/>
    <w:rsid w:val="58182F51"/>
    <w:rsid w:val="599F7E3F"/>
    <w:rsid w:val="5BF44F90"/>
    <w:rsid w:val="603101F8"/>
    <w:rsid w:val="606C5F6F"/>
    <w:rsid w:val="60DA7073"/>
    <w:rsid w:val="635C3B47"/>
    <w:rsid w:val="660F4095"/>
    <w:rsid w:val="67171575"/>
    <w:rsid w:val="676548A7"/>
    <w:rsid w:val="67BB2528"/>
    <w:rsid w:val="69F8046E"/>
    <w:rsid w:val="6B1747F7"/>
    <w:rsid w:val="6E0214E2"/>
    <w:rsid w:val="6FC565EB"/>
    <w:rsid w:val="71983A7B"/>
    <w:rsid w:val="71B76C47"/>
    <w:rsid w:val="71C65431"/>
    <w:rsid w:val="72CD1235"/>
    <w:rsid w:val="7521499B"/>
    <w:rsid w:val="76402875"/>
    <w:rsid w:val="767A42C7"/>
    <w:rsid w:val="76EE5B8D"/>
    <w:rsid w:val="790A7A55"/>
    <w:rsid w:val="790E5CC3"/>
    <w:rsid w:val="7A5B310A"/>
    <w:rsid w:val="7E1B2FEA"/>
    <w:rsid w:val="7E652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Char"/>
    <w:link w:val="4"/>
    <w:qFormat/>
    <w:uiPriority w:val="0"/>
    <w:rPr>
      <w:kern w:val="2"/>
      <w:sz w:val="18"/>
      <w:szCs w:val="18"/>
    </w:rPr>
  </w:style>
  <w:style w:type="character" w:customStyle="1" w:styleId="9">
    <w:name w:val="页脚 Char"/>
    <w:link w:val="3"/>
    <w:qFormat/>
    <w:uiPriority w:val="0"/>
    <w:rPr>
      <w:kern w:val="2"/>
      <w:sz w:val="18"/>
      <w:szCs w:val="18"/>
    </w:rPr>
  </w:style>
  <w:style w:type="paragraph" w:customStyle="1" w:styleId="10">
    <w:name w:val="Char Char Char"/>
    <w:basedOn w:val="1"/>
    <w:qFormat/>
    <w:uiPriority w:val="0"/>
    <w:rPr>
      <w:szCs w:val="20"/>
    </w:rPr>
  </w:style>
  <w:style w:type="paragraph" w:customStyle="1" w:styleId="11">
    <w:name w:val="默认段落字体 Para Char"/>
    <w:basedOn w:val="1"/>
    <w:qFormat/>
    <w:uiPriority w:val="0"/>
    <w:pPr>
      <w:adjustRightInd w:val="0"/>
      <w:spacing w:line="360" w:lineRule="auto"/>
    </w:pPr>
    <w:rPr>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892</Words>
  <Characters>1004</Characters>
  <Lines>8</Lines>
  <Paragraphs>2</Paragraphs>
  <TotalTime>1</TotalTime>
  <ScaleCrop>false</ScaleCrop>
  <LinksUpToDate>false</LinksUpToDate>
  <CharactersWithSpaces>1045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2021-02-08T10:00:00Z</dcterms:created>
  <dc:creator>Administrator</dc:creator>
  <cp:lastModifiedBy>Lie。</cp:lastModifiedBy>
  <cp:lastPrinted>2019-06-26T04:11:00Z</cp:lastPrinted>
  <dcterms:modified xsi:type="dcterms:W3CDTF">2024-09-06T13:29:00Z</dcterms:modified>
  <dc:title>总说明</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4D56907B394E4B9EB296971C77F80586</vt:lpwstr>
  </property>
</Properties>
</file>