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6093D5">
      <w:pPr>
        <w:pStyle w:val="3"/>
        <w:bidi w:val="0"/>
        <w:spacing w:line="500" w:lineRule="exact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附表2</w:t>
      </w:r>
    </w:p>
    <w:p w14:paraId="057C841B">
      <w:pPr>
        <w:pStyle w:val="3"/>
        <w:bidi w:val="0"/>
        <w:spacing w:line="500" w:lineRule="exact"/>
        <w:jc w:val="center"/>
        <w:rPr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工程量清单</w:t>
      </w:r>
      <w:r>
        <w:rPr>
          <w:b/>
          <w:bCs/>
          <w:sz w:val="32"/>
          <w:szCs w:val="32"/>
        </w:rPr>
        <w:t>编制说明</w:t>
      </w:r>
    </w:p>
    <w:p w14:paraId="6B845A15">
      <w:pPr>
        <w:keepNext w:val="0"/>
        <w:keepLines w:val="0"/>
        <w:widowControl/>
        <w:suppressLineNumbers w:val="0"/>
        <w:jc w:val="left"/>
        <w:rPr>
          <w:szCs w:val="21"/>
        </w:rPr>
      </w:pPr>
      <w:r>
        <w:rPr>
          <w:szCs w:val="21"/>
        </w:rPr>
        <w:t>工</w:t>
      </w:r>
      <w:r>
        <w:rPr>
          <w:rFonts w:ascii="宋体" w:hAnsi="宋体"/>
          <w:szCs w:val="21"/>
        </w:rPr>
        <w:t>程</w:t>
      </w:r>
      <w:r>
        <w:rPr>
          <w:szCs w:val="21"/>
        </w:rPr>
        <w:t>名</w:t>
      </w:r>
      <w:r>
        <w:rPr>
          <w:rFonts w:ascii="宋体" w:hAnsi="宋体"/>
          <w:szCs w:val="21"/>
        </w:rPr>
        <w:t>称</w:t>
      </w:r>
      <w:r>
        <w:rPr>
          <w:szCs w:val="21"/>
        </w:rPr>
        <w:t>：</w:t>
      </w:r>
      <w:r>
        <w:rPr>
          <w:rFonts w:hint="eastAsia"/>
          <w:szCs w:val="21"/>
          <w:lang w:val="en-US" w:eastAsia="zh-CN"/>
        </w:rPr>
        <w:t>巴州焉者县2024年“五小”工程建设项目(良种场）</w:t>
      </w:r>
      <w:r>
        <w:rPr>
          <w:szCs w:val="21"/>
        </w:rPr>
        <w:t xml:space="preserve">  </w:t>
      </w:r>
    </w:p>
    <w:p w14:paraId="70EEC5B0">
      <w:pPr>
        <w:pStyle w:val="3"/>
        <w:bidi w:val="0"/>
        <w:jc w:val="right"/>
      </w:pPr>
      <w:r>
        <w:rPr>
          <w:rFonts w:ascii="宋体" w:hAnsi="宋体"/>
          <w:bCs/>
          <w:szCs w:val="21"/>
        </w:rPr>
        <w:t>第1页 共1页</w:t>
      </w:r>
    </w:p>
    <w:tbl>
      <w:tblPr>
        <w:tblStyle w:val="5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2"/>
      </w:tblGrid>
      <w:tr w14:paraId="4A399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</w:tcPr>
          <w:p w14:paraId="560572AC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/>
                <w:sz w:val="21"/>
                <w:szCs w:val="21"/>
              </w:rPr>
            </w:pPr>
            <w:r>
              <w:rPr>
                <w:rFonts w:asciiTheme="majorEastAsia" w:hAnsiTheme="majorEastAsia"/>
                <w:sz w:val="21"/>
                <w:szCs w:val="21"/>
              </w:rPr>
              <w:t>一、工程概况</w:t>
            </w:r>
          </w:p>
          <w:p w14:paraId="381A795E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 w:firstLineChars="200"/>
              <w:jc w:val="left"/>
              <w:rPr>
                <w:rFonts w:asciiTheme="majorEastAsia" w:hAnsiTheme="majorEastAsia"/>
                <w:sz w:val="21"/>
                <w:szCs w:val="21"/>
              </w:rPr>
            </w:pPr>
            <w:r>
              <w:rPr>
                <w:rFonts w:asciiTheme="majorEastAsia" w:hAnsiTheme="majorEastAsia"/>
                <w:sz w:val="21"/>
                <w:szCs w:val="21"/>
              </w:rPr>
              <w:t>1、项目名称：</w:t>
            </w:r>
            <w:r>
              <w:rPr>
                <w:rFonts w:hint="eastAsia" w:asciiTheme="majorEastAsia" w:hAnsiTheme="majorEastAsia"/>
                <w:sz w:val="21"/>
                <w:szCs w:val="21"/>
                <w:lang w:val="en-US" w:eastAsia="zh-CN"/>
              </w:rPr>
              <w:t>巴州焉者县2024年“五小”工程建设项目(良种场）</w:t>
            </w:r>
          </w:p>
          <w:p w14:paraId="59DB9E40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 w:firstLineChars="200"/>
              <w:jc w:val="left"/>
              <w:rPr>
                <w:rFonts w:hint="eastAsia" w:ascii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hAnsiTheme="majorEastAsia"/>
                <w:sz w:val="21"/>
                <w:szCs w:val="21"/>
              </w:rPr>
              <w:t>2、工程地点：</w:t>
            </w:r>
            <w:r>
              <w:rPr>
                <w:rFonts w:hint="eastAsia" w:asciiTheme="majorEastAsia" w:hAnsiTheme="majorEastAsia"/>
                <w:sz w:val="21"/>
                <w:szCs w:val="21"/>
                <w:lang w:val="en-US" w:eastAsia="zh-CN"/>
              </w:rPr>
              <w:t>焉者县</w:t>
            </w:r>
          </w:p>
          <w:p w14:paraId="056F8093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 w:firstLineChars="200"/>
              <w:jc w:val="left"/>
              <w:rPr>
                <w:rFonts w:hint="default" w:asciiTheme="majorEastAsia" w:hAnsiTheme="majorEastAsia"/>
                <w:sz w:val="21"/>
                <w:szCs w:val="21"/>
                <w:lang w:val="en-US" w:eastAsia="zh-CN"/>
              </w:rPr>
            </w:pPr>
            <w:r>
              <w:rPr>
                <w:rFonts w:asciiTheme="majorEastAsia" w:hAnsiTheme="majorEastAsia"/>
                <w:sz w:val="21"/>
                <w:szCs w:val="21"/>
              </w:rPr>
              <w:t>3、建设单位：</w:t>
            </w:r>
            <w:r>
              <w:rPr>
                <w:rFonts w:hint="eastAsia" w:asciiTheme="majorEastAsia" w:hAnsiTheme="majorEastAsia"/>
                <w:sz w:val="21"/>
                <w:szCs w:val="21"/>
                <w:lang w:val="en-US" w:eastAsia="zh-CN"/>
              </w:rPr>
              <w:t>焉耆回族自治县苏海良种繁育场</w:t>
            </w:r>
          </w:p>
          <w:p w14:paraId="27AA2467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 w:firstLineChars="200"/>
              <w:jc w:val="left"/>
              <w:rPr>
                <w:rFonts w:hint="default" w:eastAsia="宋体" w:asciiTheme="majorEastAsia" w:hAnsiTheme="majorEastAsia"/>
                <w:sz w:val="21"/>
                <w:szCs w:val="21"/>
                <w:lang w:val="en-US" w:eastAsia="zh-CN"/>
              </w:rPr>
            </w:pPr>
            <w:r>
              <w:rPr>
                <w:rFonts w:asciiTheme="majorEastAsia" w:hAnsiTheme="majorEastAsia"/>
                <w:sz w:val="21"/>
                <w:szCs w:val="21"/>
              </w:rPr>
              <w:t>4、建设规模：</w:t>
            </w:r>
            <w:r>
              <w:rPr>
                <w:rFonts w:hint="eastAsia" w:asciiTheme="majorEastAsia" w:hAnsiTheme="majorEastAsia"/>
                <w:sz w:val="21"/>
                <w:szCs w:val="21"/>
                <w:lang w:val="en-US" w:eastAsia="zh-CN"/>
              </w:rPr>
              <w:t>在焉耆回族自治县苏海良种繁育场建设单体公共建筑一座，建筑面积596.58m2，地上一层，建筑高度4.85m，框架结构，及配套室外附属工程。</w:t>
            </w:r>
          </w:p>
          <w:p w14:paraId="128C5F79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/>
                <w:sz w:val="21"/>
                <w:szCs w:val="21"/>
              </w:rPr>
            </w:pPr>
            <w:r>
              <w:rPr>
                <w:rFonts w:asciiTheme="majorEastAsia" w:hAnsiTheme="majorEastAsia"/>
                <w:sz w:val="21"/>
                <w:szCs w:val="21"/>
              </w:rPr>
              <w:t>二、工程招标范围：施工图纸范围内的内容及建设单位要求。</w:t>
            </w:r>
          </w:p>
          <w:p w14:paraId="1699857D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/>
                <w:sz w:val="21"/>
                <w:szCs w:val="21"/>
              </w:rPr>
            </w:pPr>
            <w:r>
              <w:rPr>
                <w:rFonts w:asciiTheme="majorEastAsia" w:hAnsiTheme="majorEastAsia"/>
                <w:sz w:val="21"/>
                <w:szCs w:val="21"/>
              </w:rPr>
              <w:t>三、编制依据</w:t>
            </w:r>
          </w:p>
          <w:p w14:paraId="733E57BD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/>
                <w:sz w:val="21"/>
                <w:szCs w:val="21"/>
              </w:rPr>
            </w:pPr>
            <w:r>
              <w:rPr>
                <w:rFonts w:asciiTheme="majorEastAsia" w:hAnsiTheme="majorEastAsia"/>
                <w:sz w:val="21"/>
                <w:szCs w:val="21"/>
              </w:rPr>
              <w:t>1、国家、行业和地方政府的法律、法规及有关规定。</w:t>
            </w:r>
          </w:p>
          <w:p w14:paraId="18CEE632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/>
                <w:sz w:val="21"/>
                <w:szCs w:val="21"/>
              </w:rPr>
            </w:pPr>
            <w:r>
              <w:rPr>
                <w:rFonts w:asciiTheme="majorEastAsia" w:hAnsiTheme="majorEastAsia"/>
                <w:sz w:val="21"/>
                <w:szCs w:val="21"/>
              </w:rPr>
              <w:t>2、现行国家标准《建设工程工程量清单计价规范GB50500-2013》、《新疆建设工程量清单计价指引》、《新疆建设工程量清单计价实施细则》。</w:t>
            </w:r>
          </w:p>
          <w:p w14:paraId="7B63F159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/>
                <w:sz w:val="21"/>
                <w:szCs w:val="21"/>
              </w:rPr>
            </w:pPr>
            <w:r>
              <w:rPr>
                <w:rFonts w:asciiTheme="majorEastAsia" w:hAnsiTheme="majorEastAsia"/>
                <w:sz w:val="21"/>
                <w:szCs w:val="21"/>
              </w:rPr>
              <w:t>3、增值税销项税依据巴建设函【2019】3号文《关于调整我区建设工程计价依据增值税税率的通知》的函(新建标【2019】4号)《关于调整我区建设工程计价依据增值税税率的通知》规定的工程造价计价依据中增值税税率为9%计入。</w:t>
            </w:r>
          </w:p>
          <w:p w14:paraId="72495F55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/>
                <w:sz w:val="21"/>
                <w:szCs w:val="21"/>
              </w:rPr>
            </w:pPr>
          </w:p>
          <w:p w14:paraId="63041012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/>
                <w:sz w:val="21"/>
                <w:szCs w:val="21"/>
              </w:rPr>
            </w:pPr>
            <w:r>
              <w:rPr>
                <w:rFonts w:asciiTheme="majorEastAsia" w:hAnsiTheme="majorEastAsia"/>
                <w:sz w:val="21"/>
                <w:szCs w:val="21"/>
              </w:rPr>
              <w:t>四、组价原则：按清单方式组价。</w:t>
            </w:r>
          </w:p>
          <w:p w14:paraId="478A006A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/>
                <w:sz w:val="21"/>
                <w:szCs w:val="21"/>
              </w:rPr>
            </w:pPr>
            <w:r>
              <w:rPr>
                <w:rFonts w:asciiTheme="majorEastAsia" w:hAnsiTheme="majorEastAsia"/>
                <w:sz w:val="21"/>
                <w:szCs w:val="21"/>
              </w:rPr>
              <w:t>五、其他说明：</w:t>
            </w:r>
          </w:p>
          <w:p w14:paraId="218942CD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/>
                <w:sz w:val="21"/>
                <w:szCs w:val="21"/>
              </w:rPr>
            </w:pPr>
            <w:r>
              <w:rPr>
                <w:rFonts w:asciiTheme="majorEastAsia" w:hAnsiTheme="majorEastAsia"/>
                <w:sz w:val="21"/>
                <w:szCs w:val="21"/>
              </w:rPr>
              <w:t>1、工程量清单中带★的项目需进行清单综合单价分析。</w:t>
            </w:r>
          </w:p>
          <w:p w14:paraId="7E107728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 w:firstLineChars="200"/>
              <w:rPr>
                <w:rFonts w:hint="default" w:asciiTheme="majorEastAsia" w:hAnsi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asciiTheme="majorEastAsia" w:hAnsiTheme="majorEastAsia"/>
                <w:sz w:val="21"/>
                <w:szCs w:val="21"/>
              </w:rPr>
              <w:t>、</w:t>
            </w:r>
            <w:r>
              <w:rPr>
                <w:rFonts w:asciiTheme="majorEastAsia" w:hAnsiTheme="majorEastAsia"/>
                <w:sz w:val="21"/>
                <w:szCs w:val="21"/>
                <w:lang w:val="en-US" w:eastAsia="zh-CN"/>
              </w:rPr>
              <w:t>专业工程暂估价：</w:t>
            </w:r>
            <w:bookmarkStart w:id="0" w:name="_GoBack"/>
            <w:bookmarkEnd w:id="0"/>
            <w:r>
              <w:rPr>
                <w:rFonts w:asciiTheme="majorEastAsia" w:hAnsi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/>
                <w:sz w:val="21"/>
                <w:szCs w:val="21"/>
                <w:lang w:val="en-US" w:eastAsia="zh-CN"/>
              </w:rPr>
              <w:t>无</w:t>
            </w:r>
          </w:p>
          <w:p w14:paraId="4A64364B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asciiTheme="majorEastAsia" w:hAnsiTheme="majorEastAsia"/>
                <w:sz w:val="21"/>
                <w:szCs w:val="21"/>
                <w:lang w:val="en-US" w:eastAsia="zh-CN"/>
              </w:rPr>
              <w:t>、投标单位自行考虑运差。</w:t>
            </w:r>
          </w:p>
          <w:p w14:paraId="4824E350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 w:eastAsiaTheme="majorEastAsia"/>
                <w:sz w:val="21"/>
                <w:szCs w:val="21"/>
              </w:rPr>
            </w:pPr>
          </w:p>
          <w:p w14:paraId="3876DE6E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 w:eastAsiaTheme="majorEastAsia"/>
                <w:sz w:val="21"/>
                <w:szCs w:val="21"/>
              </w:rPr>
            </w:pPr>
          </w:p>
          <w:p w14:paraId="345BDA11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 w:eastAsiaTheme="majorEastAsia"/>
                <w:sz w:val="21"/>
                <w:szCs w:val="21"/>
              </w:rPr>
            </w:pPr>
          </w:p>
          <w:p w14:paraId="23A7E1D0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 w:eastAsiaTheme="majorEastAsia"/>
                <w:sz w:val="21"/>
                <w:szCs w:val="21"/>
              </w:rPr>
            </w:pPr>
          </w:p>
          <w:p w14:paraId="0136985A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 w:eastAsiaTheme="majorEastAsia"/>
                <w:sz w:val="21"/>
                <w:szCs w:val="21"/>
              </w:rPr>
            </w:pPr>
          </w:p>
          <w:p w14:paraId="53C54838">
            <w:pPr>
              <w:pStyle w:val="3"/>
              <w:widowControl w:val="0"/>
              <w:bidi w:val="0"/>
              <w:spacing w:beforeLines="0" w:beforeAutospacing="0" w:afterLines="0" w:afterAutospacing="0"/>
              <w:jc w:val="left"/>
              <w:rPr>
                <w:rFonts w:asciiTheme="majorEastAsia" w:hAnsiTheme="majorEastAsia" w:eastAsiaTheme="majorEastAsia"/>
                <w:sz w:val="21"/>
                <w:szCs w:val="21"/>
              </w:rPr>
            </w:pPr>
          </w:p>
          <w:p w14:paraId="54EF19E6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 w:eastAsiaTheme="majorEastAsia"/>
                <w:sz w:val="21"/>
                <w:szCs w:val="21"/>
              </w:rPr>
            </w:pPr>
          </w:p>
          <w:p w14:paraId="172F90E4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 w:eastAsiaTheme="majorEastAsia"/>
                <w:sz w:val="21"/>
                <w:szCs w:val="21"/>
              </w:rPr>
            </w:pPr>
          </w:p>
          <w:p w14:paraId="1F3D86F5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 w:eastAsiaTheme="majorEastAsia"/>
                <w:sz w:val="21"/>
                <w:szCs w:val="21"/>
              </w:rPr>
            </w:pPr>
          </w:p>
          <w:p w14:paraId="520FA52A">
            <w:pPr>
              <w:pStyle w:val="3"/>
              <w:widowControl w:val="0"/>
              <w:bidi w:val="0"/>
              <w:spacing w:beforeLines="0" w:beforeAutospacing="0" w:afterLines="0" w:afterAutospacing="0"/>
              <w:ind w:firstLine="5460" w:firstLineChars="2600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Theme="majorEastAsia" w:hAnsiTheme="majorEastAsia" w:eastAsiaTheme="majorEastAsia"/>
                <w:sz w:val="21"/>
                <w:szCs w:val="21"/>
              </w:rPr>
              <w:t>新疆</w:t>
            </w:r>
            <w:r>
              <w:rPr>
                <w:rFonts w:hint="eastAsia" w:asciiTheme="majorEastAsia" w:hAnsiTheme="majorEastAsia" w:eastAsiaTheme="majorEastAsia"/>
                <w:sz w:val="21"/>
                <w:szCs w:val="21"/>
                <w:lang w:val="en-US" w:eastAsia="zh-CN"/>
              </w:rPr>
              <w:t>海睿工程咨询服务</w:t>
            </w:r>
            <w:r>
              <w:rPr>
                <w:rFonts w:asciiTheme="majorEastAsia" w:hAnsiTheme="majorEastAsia" w:eastAsiaTheme="majorEastAsia"/>
                <w:sz w:val="21"/>
                <w:szCs w:val="21"/>
              </w:rPr>
              <w:t>有限公司</w:t>
            </w:r>
          </w:p>
          <w:p w14:paraId="66C8A85F">
            <w:pPr>
              <w:pStyle w:val="3"/>
              <w:widowControl w:val="0"/>
              <w:bidi w:val="0"/>
              <w:spacing w:beforeLines="0" w:beforeAutospacing="0" w:afterLines="0" w:afterAutospacing="0"/>
              <w:ind w:firstLine="5460" w:firstLineChars="2600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Theme="majorEastAsia" w:hAnsiTheme="majorEastAsia" w:eastAsiaTheme="majorEastAsia"/>
                <w:sz w:val="21"/>
                <w:szCs w:val="21"/>
              </w:rPr>
              <w:t xml:space="preserve">           202</w:t>
            </w:r>
            <w:r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4</w:t>
            </w:r>
            <w:r>
              <w:rPr>
                <w:rFonts w:asciiTheme="majorEastAsia" w:hAnsiTheme="majorEastAsia" w:eastAsiaTheme="majorEastAsia"/>
                <w:sz w:val="21"/>
                <w:szCs w:val="21"/>
              </w:rPr>
              <w:t>年</w:t>
            </w:r>
            <w:r>
              <w:rPr>
                <w:rFonts w:hint="eastAsia" w:asciiTheme="majorEastAsia" w:hAnsiTheme="majorEastAsia" w:eastAsiaTheme="majorEastAsia"/>
                <w:sz w:val="21"/>
                <w:szCs w:val="21"/>
                <w:lang w:val="en-US" w:eastAsia="zh-CN"/>
              </w:rPr>
              <w:t>10</w:t>
            </w:r>
            <w:r>
              <w:rPr>
                <w:rFonts w:asciiTheme="majorEastAsia" w:hAnsiTheme="majorEastAsia" w:eastAsiaTheme="majorEastAsia"/>
                <w:sz w:val="21"/>
                <w:szCs w:val="21"/>
              </w:rPr>
              <w:t>月</w:t>
            </w:r>
            <w:r>
              <w:rPr>
                <w:rFonts w:hint="eastAsia" w:asciiTheme="majorEastAsia" w:hAnsiTheme="majorEastAsia" w:eastAsiaTheme="majorEastAsia"/>
                <w:sz w:val="21"/>
                <w:szCs w:val="21"/>
                <w:lang w:val="en-US" w:eastAsia="zh-CN"/>
              </w:rPr>
              <w:t>9</w:t>
            </w:r>
            <w:r>
              <w:rPr>
                <w:rFonts w:asciiTheme="majorEastAsia" w:hAnsiTheme="majorEastAsia" w:eastAsiaTheme="majorEastAsia"/>
                <w:sz w:val="21"/>
                <w:szCs w:val="21"/>
              </w:rPr>
              <w:t>日</w:t>
            </w:r>
          </w:p>
          <w:p w14:paraId="45885913">
            <w:pPr>
              <w:pStyle w:val="3"/>
              <w:widowControl w:val="0"/>
              <w:bidi w:val="0"/>
              <w:spacing w:beforeLines="0" w:beforeAutospacing="0" w:afterLines="0" w:afterAutospacing="0" w:line="400" w:lineRule="exact"/>
              <w:rPr>
                <w:rFonts w:ascii="宋体" w:hAnsi="宋体" w:eastAsia="宋体"/>
                <w:sz w:val="21"/>
                <w:szCs w:val="21"/>
              </w:rPr>
            </w:pPr>
          </w:p>
          <w:p w14:paraId="0A1D2B47">
            <w:pPr>
              <w:pStyle w:val="2"/>
              <w:widowControl w:val="0"/>
              <w:bidi w:val="0"/>
              <w:spacing w:beforeAutospacing="1" w:afterAutospacing="1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68188637">
      <w:pPr>
        <w:pStyle w:val="3"/>
        <w:widowControl w:val="0"/>
        <w:bidi w:val="0"/>
        <w:jc w:val="both"/>
      </w:pPr>
    </w:p>
    <w:p w14:paraId="16169703">
      <w:pPr>
        <w:pStyle w:val="3"/>
        <w:widowControl w:val="0"/>
        <w:bidi w:val="0"/>
        <w:jc w:val="both"/>
      </w:pPr>
      <w:r>
        <w:rPr>
          <w:rFonts w:ascii="宋体" w:hAnsi="宋体"/>
          <w:bCs/>
          <w:szCs w:val="21"/>
        </w:rPr>
        <w:t xml:space="preserve">                                                              </w:t>
      </w:r>
    </w:p>
    <w:p w14:paraId="3AF58696">
      <w:pPr>
        <w:pStyle w:val="3"/>
        <w:widowControl w:val="0"/>
        <w:bidi w:val="0"/>
        <w:jc w:val="both"/>
      </w:pPr>
    </w:p>
    <w:p w14:paraId="4EDEE786">
      <w:pPr>
        <w:pStyle w:val="3"/>
        <w:widowControl w:val="0"/>
        <w:bidi w:val="0"/>
        <w:jc w:val="both"/>
      </w:pPr>
    </w:p>
    <w:p w14:paraId="4F35DBAC">
      <w:pPr>
        <w:pStyle w:val="3"/>
        <w:widowControl w:val="0"/>
        <w:bidi w:val="0"/>
        <w:jc w:val="both"/>
      </w:pPr>
    </w:p>
    <w:p w14:paraId="36318901">
      <w:pPr>
        <w:pStyle w:val="3"/>
        <w:widowControl w:val="0"/>
        <w:bidi w:val="0"/>
        <w:jc w:val="both"/>
      </w:pPr>
    </w:p>
    <w:p w14:paraId="3B099C54">
      <w:pPr>
        <w:pStyle w:val="3"/>
        <w:widowControl w:val="0"/>
        <w:bidi w:val="0"/>
        <w:jc w:val="both"/>
      </w:pPr>
    </w:p>
    <w:p w14:paraId="57AA9936">
      <w:pPr>
        <w:pStyle w:val="3"/>
        <w:widowControl w:val="0"/>
        <w:bidi w:val="0"/>
        <w:jc w:val="both"/>
      </w:pPr>
    </w:p>
    <w:p w14:paraId="2D14555D">
      <w:pPr>
        <w:pStyle w:val="3"/>
        <w:widowControl w:val="0"/>
        <w:bidi w:val="0"/>
        <w:jc w:val="both"/>
      </w:pPr>
    </w:p>
    <w:p w14:paraId="7DA147BB">
      <w:pPr>
        <w:pStyle w:val="3"/>
        <w:widowControl w:val="0"/>
        <w:bidi w:val="0"/>
        <w:jc w:val="both"/>
      </w:pPr>
    </w:p>
    <w:sectPr>
      <w:pgSz w:w="11906" w:h="16838"/>
      <w:pgMar w:top="1440" w:right="1800" w:bottom="1440" w:left="1800" w:header="0" w:footer="0" w:gutter="0"/>
      <w:pgNumType w:fmt="decimal"/>
      <w:cols w:space="720" w:num="1"/>
      <w:formProt w:val="0"/>
      <w:docGrid w:type="lines" w:linePitch="312" w:charSpace="3366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autoHyphenation/>
  <w:displayHorizontalDrawingGridEvery w:val="1"/>
  <w:displayVerticalDrawingGridEvery w:val="1"/>
  <w:noPunctuationKerning w:val="1"/>
  <w:compat>
    <w:balanceSingleByteDoubleByteWidth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mZjYyMjUwNmQwYWQ0M2MwM2UxZWE5ZjZiNTdlYTkifQ=="/>
  </w:docVars>
  <w:rsids>
    <w:rsidRoot w:val="00000000"/>
    <w:rsid w:val="01913E55"/>
    <w:rsid w:val="0E61747B"/>
    <w:rsid w:val="153D4402"/>
    <w:rsid w:val="1B717FEA"/>
    <w:rsid w:val="1CF93797"/>
    <w:rsid w:val="1D43402A"/>
    <w:rsid w:val="1F527C81"/>
    <w:rsid w:val="20F45554"/>
    <w:rsid w:val="216B7ECE"/>
    <w:rsid w:val="2D4903EC"/>
    <w:rsid w:val="2F1E5E23"/>
    <w:rsid w:val="3B0A60BB"/>
    <w:rsid w:val="3EC7630C"/>
    <w:rsid w:val="41C57B12"/>
    <w:rsid w:val="43003B92"/>
    <w:rsid w:val="45D12C5C"/>
    <w:rsid w:val="47521C02"/>
    <w:rsid w:val="48CB7F18"/>
    <w:rsid w:val="4C20581A"/>
    <w:rsid w:val="4F8F63DD"/>
    <w:rsid w:val="505670DF"/>
    <w:rsid w:val="56BB5051"/>
    <w:rsid w:val="5B0D1C76"/>
    <w:rsid w:val="5C090A3C"/>
    <w:rsid w:val="5CC22998"/>
    <w:rsid w:val="62CC3EF1"/>
    <w:rsid w:val="63384890"/>
    <w:rsid w:val="6A5F3D9D"/>
    <w:rsid w:val="6B6E4C20"/>
    <w:rsid w:val="6DA762D3"/>
    <w:rsid w:val="707570E3"/>
    <w:rsid w:val="71A36E9C"/>
    <w:rsid w:val="729946D5"/>
    <w:rsid w:val="732C537E"/>
    <w:rsid w:val="7393158D"/>
    <w:rsid w:val="73AB01D2"/>
    <w:rsid w:val="73BA1E99"/>
    <w:rsid w:val="76AA4D65"/>
    <w:rsid w:val="78B605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hi-I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3"/>
    <w:autoRedefine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customStyle="1" w:styleId="3">
    <w:name w:val="正文1"/>
    <w:qFormat/>
    <w:uiPriority w:val="0"/>
    <w:pPr>
      <w:widowControl w:val="0"/>
      <w:suppressAutoHyphens w:val="0"/>
      <w:bidi w:val="0"/>
      <w:spacing w:beforeLines="0" w:beforeAutospacing="0" w:afterLines="0" w:afterAutospacing="0"/>
      <w:jc w:val="both"/>
    </w:pPr>
    <w:rPr>
      <w:rFonts w:ascii="Times New Roman" w:hAnsi="Times New Roman" w:eastAsia="宋体" w:cs="Times New Roman"/>
      <w:color w:val="auto"/>
      <w:kern w:val="2"/>
      <w:sz w:val="21"/>
      <w:szCs w:val="24"/>
      <w:lang w:val="en-US" w:eastAsia="zh-CN" w:bidi="ar-SA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AE8F0E-9380-4A9B-AE32-A1F060846A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2</Pages>
  <Words>478</Words>
  <Characters>508</Characters>
  <Paragraphs>23</Paragraphs>
  <TotalTime>0</TotalTime>
  <ScaleCrop>false</ScaleCrop>
  <LinksUpToDate>false</LinksUpToDate>
  <CharactersWithSpaces>585</CharactersWithSpaces>
  <Application>WPS Office_12.1.0.17857_F1E327BC-269C-435d-A152-05C5408002CA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2019-07-29T11:55:00Z</dcterms:created>
  <dc:creator>Administrator</dc:creator>
  <cp:lastModifiedBy>15619</cp:lastModifiedBy>
  <dcterms:modified xsi:type="dcterms:W3CDTF">2024-10-09T12:45:59Z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D94B47354081453CB434DF12B22F12DF</vt:lpwstr>
  </property>
  <property fmtid="{D5CDD505-2E9C-101B-9397-08002B2CF9AE}" pid="3" name="KSOProductBuildVer">
    <vt:lpwstr>2052-12.1.0.17857</vt:lpwstr>
  </property>
</Properties>
</file>