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宋体" w:hAnsi="宋体" w:eastAsia="宋体" w:cs="宋体"/>
          <w:color w:val="auto"/>
          <w:sz w:val="24"/>
          <w:szCs w:val="24"/>
        </w:rPr>
      </w:pPr>
      <w:bookmarkStart w:id="0" w:name="EB776d769663d74e4699cd72d93f05cc45"/>
      <w:r>
        <w:rPr>
          <w:rFonts w:hint="eastAsia" w:ascii="宋体" w:hAnsi="宋体" w:eastAsia="宋体" w:cs="宋体"/>
          <w:color w:val="auto"/>
          <w:sz w:val="24"/>
          <w:szCs w:val="24"/>
        </w:rPr>
        <w:t xml:space="preserve"> </w:t>
      </w:r>
      <w:bookmarkEnd w:id="0"/>
    </w:p>
    <w:p>
      <w:pPr>
        <w:spacing w:line="480" w:lineRule="exact"/>
        <w:rPr>
          <w:rFonts w:hint="eastAsia" w:ascii="宋体" w:hAnsi="宋体" w:eastAsia="宋体" w:cs="宋体"/>
          <w:color w:val="auto"/>
          <w:sz w:val="24"/>
          <w:szCs w:val="24"/>
        </w:rPr>
      </w:pPr>
      <w:bookmarkStart w:id="1" w:name="EBd1f1f1cbc738430f98f264ab6212c64a"/>
      <w:r>
        <w:rPr>
          <w:rFonts w:hint="eastAsia" w:ascii="宋体" w:hAnsi="宋体" w:eastAsia="宋体" w:cs="宋体"/>
          <w:color w:val="auto"/>
          <w:sz w:val="24"/>
          <w:szCs w:val="24"/>
        </w:rPr>
        <w:t xml:space="preserve"> </w:t>
      </w:r>
      <w:bookmarkEnd w:id="1"/>
    </w:p>
    <w:p>
      <w:pPr>
        <w:spacing w:line="480" w:lineRule="exact"/>
        <w:ind w:left="465" w:hanging="465" w:hangingChars="193"/>
        <w:jc w:val="center"/>
        <w:rPr>
          <w:rFonts w:hint="eastAsia" w:ascii="宋体" w:hAnsi="宋体" w:eastAsia="宋体" w:cs="宋体"/>
          <w:b/>
          <w:color w:val="auto"/>
          <w:sz w:val="24"/>
          <w:szCs w:val="24"/>
          <w:lang w:val="zh-CN"/>
        </w:rPr>
      </w:pPr>
    </w:p>
    <w:p>
      <w:pPr>
        <w:spacing w:line="480" w:lineRule="exact"/>
        <w:ind w:left="465" w:hanging="853" w:hangingChars="193"/>
        <w:jc w:val="center"/>
        <w:outlineLvl w:val="0"/>
        <w:rPr>
          <w:rFonts w:hint="eastAsia" w:ascii="宋体" w:hAnsi="宋体" w:cs="宋体"/>
          <w:b/>
          <w:color w:val="auto"/>
          <w:sz w:val="44"/>
          <w:szCs w:val="44"/>
          <w:lang w:eastAsia="zh-CN"/>
        </w:rPr>
      </w:pPr>
      <w:r>
        <w:rPr>
          <w:rFonts w:hint="eastAsia" w:ascii="宋体" w:hAnsi="宋体" w:cs="宋体"/>
          <w:b/>
          <w:color w:val="auto"/>
          <w:sz w:val="44"/>
          <w:szCs w:val="44"/>
          <w:lang w:eastAsia="zh-CN"/>
        </w:rPr>
        <w:t>昌吉州国有企业2023年度年终财务决算</w:t>
      </w:r>
    </w:p>
    <w:p>
      <w:pPr>
        <w:spacing w:line="480" w:lineRule="exact"/>
        <w:ind w:left="465" w:hanging="853" w:hangingChars="193"/>
        <w:jc w:val="center"/>
        <w:outlineLvl w:val="0"/>
        <w:rPr>
          <w:rFonts w:hint="eastAsia" w:ascii="宋体" w:hAnsi="宋体" w:eastAsia="宋体" w:cs="宋体"/>
          <w:b/>
          <w:color w:val="auto"/>
          <w:sz w:val="44"/>
          <w:szCs w:val="44"/>
          <w:lang w:eastAsia="zh-CN"/>
        </w:rPr>
      </w:pPr>
      <w:r>
        <w:rPr>
          <w:rFonts w:hint="eastAsia" w:ascii="宋体" w:hAnsi="宋体" w:cs="宋体"/>
          <w:b/>
          <w:color w:val="auto"/>
          <w:sz w:val="44"/>
          <w:szCs w:val="44"/>
          <w:lang w:eastAsia="zh-CN"/>
        </w:rPr>
        <w:t>审计项目</w:t>
      </w:r>
    </w:p>
    <w:p>
      <w:pPr>
        <w:spacing w:line="480" w:lineRule="exact"/>
        <w:rPr>
          <w:rFonts w:hint="eastAsia" w:ascii="宋体" w:hAnsi="宋体" w:eastAsia="宋体" w:cs="宋体"/>
          <w:b/>
          <w:color w:val="auto"/>
          <w:sz w:val="24"/>
          <w:szCs w:val="24"/>
          <w:lang w:val="zh-CN"/>
        </w:rPr>
      </w:pPr>
    </w:p>
    <w:p>
      <w:pPr>
        <w:spacing w:line="600" w:lineRule="auto"/>
        <w:ind w:left="465" w:hanging="620" w:hangingChars="193"/>
        <w:jc w:val="center"/>
        <w:outlineLvl w:val="0"/>
        <w:rPr>
          <w:rFonts w:hint="eastAsia" w:ascii="宋体" w:hAnsi="宋体" w:eastAsia="宋体" w:cs="宋体"/>
          <w:b/>
          <w:color w:val="auto"/>
          <w:sz w:val="32"/>
          <w:szCs w:val="32"/>
          <w:lang w:val="zh-CN"/>
        </w:rPr>
      </w:pPr>
      <w:bookmarkStart w:id="2" w:name="_Toc4566"/>
      <w:bookmarkStart w:id="3" w:name="_Toc21484"/>
      <w:bookmarkStart w:id="4" w:name="_Toc23193"/>
      <w:r>
        <w:rPr>
          <w:rFonts w:hint="eastAsia" w:ascii="宋体" w:hAnsi="宋体" w:eastAsia="宋体" w:cs="宋体"/>
          <w:b/>
          <w:color w:val="auto"/>
          <w:sz w:val="32"/>
          <w:szCs w:val="32"/>
          <w:lang w:val="zh-CN"/>
        </w:rPr>
        <w:t>竞争性磋商文件</w:t>
      </w:r>
      <w:bookmarkEnd w:id="2"/>
      <w:bookmarkEnd w:id="3"/>
      <w:bookmarkEnd w:id="4"/>
    </w:p>
    <w:p>
      <w:pPr>
        <w:pStyle w:val="8"/>
        <w:spacing w:line="480" w:lineRule="exact"/>
        <w:rPr>
          <w:rFonts w:hint="eastAsia" w:ascii="宋体" w:hAnsi="宋体" w:eastAsia="宋体" w:cs="宋体"/>
          <w:b/>
          <w:color w:val="auto"/>
          <w:lang w:val="zh-CN"/>
        </w:rPr>
      </w:pPr>
    </w:p>
    <w:p>
      <w:pPr>
        <w:spacing w:line="480" w:lineRule="exact"/>
        <w:rPr>
          <w:rFonts w:hint="eastAsia" w:ascii="宋体" w:hAnsi="宋体" w:eastAsia="宋体" w:cs="宋体"/>
          <w:b/>
          <w:color w:val="auto"/>
          <w:sz w:val="24"/>
          <w:szCs w:val="24"/>
          <w:lang w:val="zh-CN"/>
        </w:rPr>
      </w:pPr>
    </w:p>
    <w:p>
      <w:pPr>
        <w:spacing w:line="480" w:lineRule="exact"/>
        <w:rPr>
          <w:rFonts w:hint="eastAsia" w:ascii="宋体" w:hAnsi="宋体" w:eastAsia="宋体" w:cs="宋体"/>
          <w:b/>
          <w:color w:val="auto"/>
          <w:sz w:val="24"/>
          <w:szCs w:val="24"/>
          <w:lang w:val="zh-CN"/>
        </w:rPr>
      </w:pPr>
    </w:p>
    <w:p>
      <w:pPr>
        <w:spacing w:line="720" w:lineRule="exact"/>
        <w:jc w:val="center"/>
        <w:outlineLvl w:val="0"/>
        <w:rPr>
          <w:rFonts w:hint="eastAsia" w:ascii="宋体" w:hAnsi="宋体" w:eastAsia="宋体" w:cs="宋体"/>
          <w:b/>
          <w:bCs/>
          <w:color w:val="auto"/>
          <w:sz w:val="24"/>
          <w:szCs w:val="24"/>
          <w:highlight w:val="yellow"/>
        </w:rPr>
      </w:pPr>
      <w:bookmarkStart w:id="5" w:name="_Toc24138"/>
      <w:bookmarkStart w:id="6" w:name="_Toc11507"/>
      <w:bookmarkStart w:id="7" w:name="_Toc25671"/>
      <w:r>
        <w:rPr>
          <w:rFonts w:hint="eastAsia" w:ascii="宋体" w:hAnsi="宋体" w:eastAsia="宋体" w:cs="宋体"/>
          <w:b/>
          <w:bCs/>
          <w:color w:val="auto"/>
          <w:sz w:val="24"/>
          <w:szCs w:val="24"/>
        </w:rPr>
        <w:t>项目编号：</w:t>
      </w:r>
      <w:bookmarkEnd w:id="5"/>
      <w:bookmarkEnd w:id="6"/>
      <w:bookmarkEnd w:id="7"/>
      <w:r>
        <w:rPr>
          <w:rFonts w:hint="eastAsia" w:ascii="宋体" w:hAnsi="宋体" w:eastAsia="宋体" w:cs="宋体"/>
          <w:b/>
          <w:bCs/>
          <w:color w:val="auto"/>
          <w:sz w:val="24"/>
          <w:szCs w:val="24"/>
        </w:rPr>
        <w:t>CSFLZB-2023-230-FW</w:t>
      </w:r>
    </w:p>
    <w:p>
      <w:pPr>
        <w:spacing w:line="720" w:lineRule="exact"/>
        <w:rPr>
          <w:rFonts w:hint="eastAsia" w:ascii="宋体" w:hAnsi="宋体" w:eastAsia="宋体" w:cs="宋体"/>
          <w:b/>
          <w:bCs/>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spacing w:line="720" w:lineRule="exact"/>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采购单位：</w:t>
      </w:r>
      <w:r>
        <w:rPr>
          <w:rFonts w:hint="eastAsia" w:ascii="宋体" w:hAnsi="宋体" w:cs="宋体"/>
          <w:color w:val="auto"/>
          <w:kern w:val="0"/>
          <w:sz w:val="28"/>
          <w:szCs w:val="28"/>
          <w:lang w:eastAsia="zh-CN"/>
        </w:rPr>
        <w:t>昌吉回族自治州国有资产监督管理委员会</w:t>
      </w:r>
      <w:r>
        <w:rPr>
          <w:rFonts w:hint="eastAsia" w:ascii="宋体" w:hAnsi="宋体" w:eastAsia="宋体" w:cs="宋体"/>
          <w:color w:val="auto"/>
          <w:sz w:val="28"/>
          <w:szCs w:val="28"/>
        </w:rPr>
        <w:t xml:space="preserve">        </w:t>
      </w:r>
    </w:p>
    <w:p>
      <w:pPr>
        <w:spacing w:line="720" w:lineRule="exact"/>
        <w:ind w:firstLine="840" w:firstLineChars="3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联</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系</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 xml:space="preserve">人：  </w:t>
      </w:r>
      <w:r>
        <w:rPr>
          <w:rFonts w:hint="eastAsia" w:ascii="宋体" w:hAnsi="宋体" w:cs="宋体"/>
          <w:color w:val="auto"/>
          <w:sz w:val="28"/>
          <w:szCs w:val="28"/>
          <w:shd w:val="clear" w:color="auto" w:fill="FFFFFF"/>
          <w:lang w:eastAsia="zh-CN"/>
        </w:rPr>
        <w:t>朱婷</w:t>
      </w:r>
    </w:p>
    <w:p>
      <w:pPr>
        <w:spacing w:line="720" w:lineRule="exact"/>
        <w:ind w:firstLine="840" w:firstLineChars="3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联系电话：</w:t>
      </w:r>
      <w:r>
        <w:rPr>
          <w:rFonts w:hint="eastAsia" w:ascii="宋体" w:hAnsi="宋体" w:cs="宋体"/>
          <w:color w:val="auto"/>
          <w:sz w:val="28"/>
          <w:szCs w:val="28"/>
          <w:lang w:eastAsia="zh-CN"/>
        </w:rPr>
        <w:t>13565367255</w:t>
      </w:r>
    </w:p>
    <w:p>
      <w:pPr>
        <w:spacing w:line="720" w:lineRule="exact"/>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采购代理机构：新疆昌盛方略项目管理有限公司</w:t>
      </w:r>
    </w:p>
    <w:p>
      <w:pPr>
        <w:spacing w:line="720" w:lineRule="exact"/>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 xml:space="preserve">联系人：胡雪梅、努尔加孜 </w:t>
      </w:r>
    </w:p>
    <w:p>
      <w:pPr>
        <w:spacing w:line="720" w:lineRule="exact"/>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联系电话：0994-8165002、18699479057</w:t>
      </w:r>
    </w:p>
    <w:p>
      <w:pPr>
        <w:spacing w:line="720" w:lineRule="exact"/>
        <w:ind w:firstLine="720" w:firstLineChars="300"/>
        <w:rPr>
          <w:rFonts w:hint="eastAsia" w:ascii="宋体" w:hAnsi="宋体" w:eastAsia="宋体" w:cs="宋体"/>
          <w:color w:val="auto"/>
          <w:sz w:val="24"/>
          <w:szCs w:val="24"/>
        </w:rPr>
      </w:pPr>
    </w:p>
    <w:p>
      <w:pPr>
        <w:spacing w:line="0" w:lineRule="atLeast"/>
        <w:jc w:val="center"/>
        <w:rPr>
          <w:rFonts w:hint="eastAsia" w:ascii="宋体" w:hAnsi="宋体" w:eastAsia="宋体" w:cs="宋体"/>
          <w:b/>
          <w:color w:val="auto"/>
          <w:sz w:val="24"/>
          <w:szCs w:val="24"/>
        </w:rPr>
      </w:pPr>
      <w:r>
        <w:rPr>
          <w:rFonts w:hint="eastAsia" w:ascii="宋体" w:hAnsi="宋体" w:eastAsia="宋体" w:cs="宋体"/>
          <w:color w:val="auto"/>
          <w:sz w:val="24"/>
          <w:szCs w:val="24"/>
        </w:rPr>
        <w:t>二〇二三年</w:t>
      </w:r>
      <w:r>
        <w:rPr>
          <w:rFonts w:hint="eastAsia" w:ascii="宋体" w:hAnsi="宋体" w:cs="宋体"/>
          <w:color w:val="auto"/>
          <w:sz w:val="24"/>
          <w:szCs w:val="24"/>
          <w:lang w:val="en-US" w:eastAsia="zh-CN"/>
        </w:rPr>
        <w:t>十</w:t>
      </w:r>
      <w:r>
        <w:rPr>
          <w:rFonts w:hint="eastAsia" w:ascii="宋体" w:hAnsi="宋体" w:eastAsia="宋体" w:cs="宋体"/>
          <w:color w:val="auto"/>
          <w:sz w:val="24"/>
          <w:szCs w:val="24"/>
        </w:rPr>
        <w:t>月</w:t>
      </w:r>
    </w:p>
    <w:p>
      <w:pPr>
        <w:pStyle w:val="23"/>
        <w:tabs>
          <w:tab w:val="right" w:leader="dot" w:pos="9070"/>
          <w:tab w:val="clear" w:pos="8222"/>
        </w:tabs>
        <w:rPr>
          <w:rFonts w:hint="eastAsia" w:ascii="宋体" w:hAnsi="宋体" w:eastAsia="宋体" w:cs="宋体"/>
          <w:color w:val="auto"/>
          <w:sz w:val="24"/>
          <w:szCs w:val="24"/>
        </w:rPr>
      </w:pPr>
    </w:p>
    <w:p>
      <w:pPr>
        <w:pStyle w:val="23"/>
        <w:tabs>
          <w:tab w:val="right" w:leader="dot" w:pos="9070"/>
          <w:tab w:val="clear" w:pos="8222"/>
        </w:tabs>
        <w:rPr>
          <w:rFonts w:hint="eastAsia" w:ascii="宋体" w:hAnsi="宋体" w:eastAsia="宋体" w:cs="宋体"/>
          <w:color w:val="auto"/>
          <w:sz w:val="24"/>
          <w:szCs w:val="24"/>
        </w:rPr>
      </w:pPr>
    </w:p>
    <w:p>
      <w:pPr>
        <w:pStyle w:val="23"/>
        <w:tabs>
          <w:tab w:val="right" w:leader="dot" w:pos="9070"/>
          <w:tab w:val="clear" w:pos="8222"/>
        </w:tabs>
        <w:rPr>
          <w:rFonts w:hint="eastAsia" w:ascii="宋体" w:hAnsi="宋体" w:eastAsia="宋体" w:cs="宋体"/>
          <w:color w:val="auto"/>
          <w:sz w:val="24"/>
          <w:szCs w:val="24"/>
        </w:rPr>
      </w:pPr>
    </w:p>
    <w:p>
      <w:pPr>
        <w:pStyle w:val="23"/>
        <w:tabs>
          <w:tab w:val="right" w:leader="dot" w:pos="9070"/>
          <w:tab w:val="clear" w:pos="8222"/>
        </w:tabs>
        <w:rPr>
          <w:rFonts w:hint="eastAsia" w:ascii="宋体" w:hAnsi="宋体" w:eastAsia="宋体" w:cs="宋体"/>
          <w:color w:val="auto"/>
          <w:sz w:val="24"/>
          <w:szCs w:val="24"/>
        </w:rPr>
      </w:pPr>
    </w:p>
    <w:sdt>
      <w:sdtPr>
        <w:rPr>
          <w:rFonts w:hint="eastAsia" w:ascii="宋体" w:hAnsi="宋体" w:eastAsia="宋体" w:cs="宋体"/>
          <w:color w:val="auto"/>
          <w:kern w:val="2"/>
          <w:sz w:val="21"/>
          <w:szCs w:val="22"/>
          <w:lang w:val="en-US" w:eastAsia="zh-CN" w:bidi="ar-SA"/>
        </w:rPr>
        <w:id w:val="147479248"/>
        <w15:color w:val="DBDBDB"/>
        <w:docPartObj>
          <w:docPartGallery w:val="Table of Contents"/>
          <w:docPartUnique/>
        </w:docPartObj>
      </w:sdtPr>
      <w:sdtEndPr>
        <w:rPr>
          <w:rFonts w:hint="eastAsia" w:ascii="宋体" w:hAnsi="宋体" w:eastAsia="宋体" w:cs="宋体"/>
          <w:color w:val="auto"/>
          <w:kern w:val="2"/>
          <w:sz w:val="21"/>
          <w:szCs w:val="24"/>
          <w:lang w:val="en-US" w:eastAsia="zh-CN" w:bidi="ar-SA"/>
        </w:rPr>
      </w:sdtEndPr>
      <w:sdtContent>
        <w:p>
          <w:pPr>
            <w:spacing w:before="0" w:beforeLines="0" w:after="0" w:afterLines="0" w:line="600" w:lineRule="auto"/>
            <w:ind w:left="0" w:leftChars="0" w:right="0" w:rightChars="0" w:firstLine="0" w:firstLineChars="0"/>
            <w:jc w:val="center"/>
            <w:rPr>
              <w:rFonts w:hint="eastAsia" w:ascii="宋体" w:hAnsi="宋体" w:eastAsia="宋体" w:cs="宋体"/>
              <w:color w:val="auto"/>
              <w:kern w:val="2"/>
              <w:sz w:val="21"/>
              <w:szCs w:val="22"/>
              <w:lang w:val="en-US" w:eastAsia="zh-CN" w:bidi="ar-SA"/>
            </w:rPr>
          </w:pPr>
        </w:p>
        <w:p>
          <w:pPr>
            <w:spacing w:before="0" w:beforeLines="0" w:after="0" w:afterLines="0" w:line="600" w:lineRule="auto"/>
            <w:ind w:left="0" w:leftChars="0" w:right="0" w:rightChars="0" w:firstLine="0" w:firstLineChars="0"/>
            <w:jc w:val="center"/>
            <w:rPr>
              <w:rFonts w:hint="eastAsia" w:ascii="宋体" w:hAnsi="宋体" w:eastAsia="宋体" w:cs="宋体"/>
              <w:color w:val="auto"/>
              <w:kern w:val="2"/>
              <w:sz w:val="21"/>
              <w:szCs w:val="22"/>
              <w:lang w:val="en-US" w:eastAsia="zh-CN" w:bidi="ar-SA"/>
            </w:rPr>
          </w:pPr>
        </w:p>
        <w:p>
          <w:pPr>
            <w:spacing w:before="0" w:beforeLines="0" w:after="0" w:afterLines="0" w:line="600" w:lineRule="auto"/>
            <w:ind w:left="0" w:leftChars="0" w:right="0" w:rightChars="0" w:firstLine="0" w:firstLineChars="0"/>
            <w:jc w:val="center"/>
            <w:rPr>
              <w:rFonts w:hint="eastAsia" w:ascii="宋体" w:hAnsi="宋体" w:eastAsia="宋体" w:cs="宋体"/>
              <w:color w:val="auto"/>
              <w:kern w:val="2"/>
              <w:sz w:val="21"/>
              <w:szCs w:val="22"/>
              <w:lang w:val="en-US" w:eastAsia="zh-CN" w:bidi="ar-SA"/>
            </w:rPr>
          </w:pPr>
        </w:p>
        <w:p>
          <w:pPr>
            <w:spacing w:before="0" w:beforeLines="0" w:after="0" w:afterLines="0" w:line="600" w:lineRule="auto"/>
            <w:ind w:left="0" w:leftChars="0" w:right="0" w:righ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目录</w:t>
          </w:r>
        </w:p>
        <w:p>
          <w:pPr>
            <w:pStyle w:val="174"/>
            <w:tabs>
              <w:tab w:val="right" w:leader="dot" w:pos="9070"/>
            </w:tabs>
            <w:spacing w:line="60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"1-1" \h \u </w:instrText>
          </w:r>
          <w:r>
            <w:rPr>
              <w:rFonts w:hint="eastAsia" w:ascii="宋体" w:hAnsi="宋体" w:eastAsia="宋体" w:cs="宋体"/>
              <w:color w:val="auto"/>
              <w:sz w:val="28"/>
              <w:szCs w:val="28"/>
            </w:rPr>
            <w:fldChar w:fldCharType="separate"/>
          </w:r>
        </w:p>
        <w:p>
          <w:pPr>
            <w:pStyle w:val="174"/>
            <w:tabs>
              <w:tab w:val="right" w:leader="dot" w:pos="9070"/>
            </w:tabs>
            <w:spacing w:line="60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_Toc6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sz w:val="28"/>
              <w:szCs w:val="28"/>
            </w:rPr>
            <w:t>第一章 竞争性磋商公告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174"/>
            <w:tabs>
              <w:tab w:val="right" w:leader="dot" w:pos="9070"/>
            </w:tabs>
            <w:spacing w:line="60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_Toc25750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sz w:val="28"/>
              <w:szCs w:val="28"/>
            </w:rPr>
            <w:t>第二章 供应商须知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_Toc25750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174"/>
            <w:tabs>
              <w:tab w:val="right" w:leader="dot" w:pos="9070"/>
            </w:tabs>
            <w:spacing w:line="60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_Toc3262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sz w:val="28"/>
              <w:szCs w:val="28"/>
            </w:rPr>
            <w:t>第三章 采购需求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_Toc3262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174"/>
            <w:tabs>
              <w:tab w:val="right" w:leader="dot" w:pos="9070"/>
            </w:tabs>
            <w:spacing w:line="60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_Toc5938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sz w:val="28"/>
              <w:szCs w:val="28"/>
            </w:rPr>
            <w:t>第四章 评审方法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_Toc5938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174"/>
            <w:tabs>
              <w:tab w:val="right" w:leader="dot" w:pos="9070"/>
            </w:tabs>
            <w:spacing w:line="60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_Toc11344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sz w:val="28"/>
              <w:szCs w:val="28"/>
            </w:rPr>
            <w:t>第五章 合 同 条 款</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_Toc11344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174"/>
            <w:tabs>
              <w:tab w:val="right" w:leader="dot" w:pos="9070"/>
            </w:tabs>
            <w:spacing w:line="60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_Toc9600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sz w:val="28"/>
              <w:szCs w:val="28"/>
            </w:rPr>
            <w:t>第六章 竞争性磋商响应文件格式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_Toc9600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50</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174"/>
            <w:tabs>
              <w:tab w:val="right" w:leader="dot" w:pos="9070"/>
            </w:tabs>
            <w:spacing w:line="600" w:lineRule="auto"/>
            <w:rPr>
              <w:rFonts w:hint="eastAsia" w:ascii="宋体" w:hAnsi="宋体" w:eastAsia="宋体" w:cs="宋体"/>
              <w:color w:val="auto"/>
              <w:sz w:val="28"/>
              <w:szCs w:val="28"/>
            </w:rPr>
          </w:pPr>
        </w:p>
        <w:p>
          <w:pPr>
            <w:spacing w:line="600" w:lineRule="auto"/>
            <w:rPr>
              <w:rFonts w:hint="eastAsia" w:ascii="宋体" w:hAnsi="宋体" w:eastAsia="宋体" w:cs="宋体"/>
              <w:color w:val="auto"/>
              <w:sz w:val="24"/>
              <w:szCs w:val="24"/>
            </w:rPr>
          </w:pPr>
          <w:r>
            <w:rPr>
              <w:rFonts w:hint="eastAsia" w:ascii="宋体" w:hAnsi="宋体" w:eastAsia="宋体" w:cs="宋体"/>
              <w:color w:val="auto"/>
              <w:sz w:val="28"/>
              <w:szCs w:val="28"/>
            </w:rPr>
            <w:fldChar w:fldCharType="end"/>
          </w:r>
        </w:p>
      </w:sdtContent>
    </w:sdt>
    <w:p>
      <w:pPr>
        <w:pStyle w:val="12"/>
        <w:spacing w:line="480" w:lineRule="exact"/>
        <w:rPr>
          <w:rFonts w:hint="eastAsia" w:ascii="宋体" w:hAnsi="宋体" w:eastAsia="宋体" w:cs="宋体"/>
          <w:color w:val="auto"/>
          <w:sz w:val="24"/>
          <w:szCs w:val="24"/>
        </w:rPr>
      </w:pPr>
    </w:p>
    <w:p>
      <w:pPr>
        <w:spacing w:line="480" w:lineRule="exact"/>
        <w:rPr>
          <w:rFonts w:hint="eastAsia" w:ascii="宋体" w:hAnsi="宋体" w:eastAsia="宋体" w:cs="宋体"/>
          <w:color w:val="auto"/>
          <w:sz w:val="24"/>
          <w:szCs w:val="24"/>
        </w:rPr>
      </w:pPr>
    </w:p>
    <w:p>
      <w:pPr>
        <w:spacing w:line="480" w:lineRule="exact"/>
        <w:rPr>
          <w:rFonts w:hint="eastAsia" w:ascii="宋体" w:hAnsi="宋体" w:eastAsia="宋体" w:cs="宋体"/>
          <w:color w:val="auto"/>
          <w:sz w:val="24"/>
          <w:szCs w:val="24"/>
        </w:rPr>
      </w:pPr>
    </w:p>
    <w:p>
      <w:pPr>
        <w:pStyle w:val="3"/>
        <w:numPr>
          <w:ilvl w:val="0"/>
          <w:numId w:val="3"/>
        </w:numPr>
        <w:spacing w:before="0" w:after="0" w:line="600" w:lineRule="auto"/>
        <w:jc w:val="center"/>
        <w:rPr>
          <w:rFonts w:hint="eastAsia" w:ascii="宋体" w:hAnsi="宋体" w:eastAsia="宋体" w:cs="宋体"/>
          <w:b/>
          <w:bCs w:val="0"/>
          <w:color w:val="auto"/>
          <w:sz w:val="24"/>
          <w:szCs w:val="24"/>
        </w:rPr>
        <w:sectPr>
          <w:footerReference r:id="rId3" w:type="default"/>
          <w:pgSz w:w="11906" w:h="16838"/>
          <w:pgMar w:top="1417" w:right="1418" w:bottom="1417" w:left="1418" w:header="851" w:footer="850" w:gutter="0"/>
          <w:cols w:space="720" w:num="1"/>
          <w:docGrid w:type="lines" w:linePitch="312" w:charSpace="0"/>
        </w:sectPr>
      </w:pPr>
      <w:bookmarkStart w:id="8" w:name="_Toc1833"/>
      <w:bookmarkStart w:id="9" w:name="_Toc10054"/>
    </w:p>
    <w:p>
      <w:pPr>
        <w:pStyle w:val="3"/>
        <w:numPr>
          <w:ilvl w:val="0"/>
          <w:numId w:val="3"/>
        </w:numPr>
        <w:spacing w:before="0" w:after="0" w:line="440" w:lineRule="exact"/>
        <w:jc w:val="center"/>
        <w:rPr>
          <w:rFonts w:hint="eastAsia" w:ascii="宋体" w:hAnsi="宋体" w:eastAsia="宋体" w:cs="宋体"/>
          <w:b/>
          <w:bCs w:val="0"/>
          <w:color w:val="auto"/>
          <w:sz w:val="24"/>
          <w:szCs w:val="24"/>
        </w:rPr>
      </w:pPr>
      <w:bookmarkStart w:id="10" w:name="_Toc27566"/>
      <w:bookmarkStart w:id="11" w:name="_Toc6"/>
      <w:bookmarkStart w:id="12" w:name="_Toc26273"/>
      <w:r>
        <w:rPr>
          <w:rFonts w:hint="eastAsia" w:ascii="宋体" w:hAnsi="宋体" w:eastAsia="宋体" w:cs="宋体"/>
          <w:b/>
          <w:bCs w:val="0"/>
          <w:color w:val="auto"/>
          <w:sz w:val="24"/>
          <w:szCs w:val="24"/>
        </w:rPr>
        <w:t>竞争性磋商公告</w:t>
      </w:r>
      <w:bookmarkEnd w:id="8"/>
      <w:bookmarkEnd w:id="9"/>
      <w:bookmarkEnd w:id="10"/>
      <w:bookmarkEnd w:id="11"/>
      <w:bookmarkEnd w:id="12"/>
    </w:p>
    <w:tbl>
      <w:tblPr>
        <w:tblStyle w:val="31"/>
        <w:tblW w:w="1028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028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90" w:hRule="atLeast"/>
        </w:trPr>
        <w:tc>
          <w:tcPr>
            <w:tcW w:w="1028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bookmarkStart w:id="13" w:name="_Toc10571"/>
            <w:bookmarkStart w:id="14" w:name="_Toc532543564"/>
            <w:bookmarkStart w:id="15" w:name="_Toc531075008"/>
            <w:r>
              <w:rPr>
                <w:rFonts w:hint="eastAsia" w:ascii="宋体" w:hAnsi="宋体" w:eastAsia="宋体" w:cs="宋体"/>
                <w:b/>
                <w:bCs/>
                <w:i w:val="0"/>
                <w:iCs w:val="0"/>
                <w:caps w:val="0"/>
                <w:color w:val="auto"/>
                <w:spacing w:val="0"/>
                <w:kern w:val="0"/>
                <w:sz w:val="24"/>
                <w:szCs w:val="24"/>
                <w:lang w:val="en-US" w:eastAsia="zh-CN" w:bidi="ar"/>
              </w:rPr>
              <w:t>项目概况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80"/>
              <w:rPr>
                <w:rFonts w:hint="eastAsia" w:ascii="宋体" w:hAnsi="宋体" w:eastAsia="宋体" w:cs="宋体"/>
                <w:color w:val="auto"/>
                <w:sz w:val="24"/>
                <w:szCs w:val="24"/>
              </w:rPr>
            </w:pPr>
            <w:r>
              <w:rPr>
                <w:rFonts w:hint="eastAsia" w:cs="宋体"/>
                <w:color w:val="auto"/>
                <w:szCs w:val="24"/>
                <w:lang w:eastAsia="zh-CN"/>
              </w:rPr>
              <w:t>昌吉州国有企业2023年度年终财务决算审计项目</w:t>
            </w:r>
            <w:r>
              <w:rPr>
                <w:rFonts w:hint="eastAsia" w:ascii="宋体" w:hAnsi="宋体" w:eastAsia="宋体" w:cs="宋体"/>
                <w:i w:val="0"/>
                <w:iCs w:val="0"/>
                <w:caps w:val="0"/>
                <w:color w:val="auto"/>
                <w:spacing w:val="0"/>
                <w:sz w:val="24"/>
                <w:szCs w:val="24"/>
              </w:rPr>
              <w:t xml:space="preserve">的潜在投标人应在供应商登陆政采云平台http://www.zcygov.cn/，在线申请获取采购文件（登录政府采购云平台 → 项目采购 → 获取采购文件 → 申请，审核通过后可下载招标文件，如有操作性问题，可与政采云在线客服进行咨询，咨询电话：95763），获取招标文件，并于 </w:t>
            </w:r>
            <w:r>
              <w:rPr>
                <w:rFonts w:hint="eastAsia" w:ascii="宋体" w:hAnsi="宋体" w:eastAsia="宋体" w:cs="宋体"/>
                <w:i w:val="0"/>
                <w:iCs w:val="0"/>
                <w:caps w:val="0"/>
                <w:color w:val="0000FF"/>
                <w:spacing w:val="0"/>
                <w:sz w:val="24"/>
                <w:szCs w:val="24"/>
              </w:rPr>
              <w:t>2023年</w:t>
            </w:r>
            <w:r>
              <w:rPr>
                <w:rFonts w:hint="eastAsia" w:cs="宋体"/>
                <w:i w:val="0"/>
                <w:iCs w:val="0"/>
                <w:caps w:val="0"/>
                <w:color w:val="0000FF"/>
                <w:spacing w:val="0"/>
                <w:kern w:val="0"/>
                <w:sz w:val="24"/>
                <w:szCs w:val="24"/>
                <w:u w:val="single"/>
                <w:lang w:val="en-US" w:eastAsia="zh-CN" w:bidi="ar"/>
              </w:rPr>
              <w:t>11</w:t>
            </w:r>
            <w:r>
              <w:rPr>
                <w:rFonts w:hint="eastAsia" w:ascii="宋体" w:hAnsi="宋体" w:eastAsia="宋体" w:cs="宋体"/>
                <w:i w:val="0"/>
                <w:iCs w:val="0"/>
                <w:caps w:val="0"/>
                <w:color w:val="0000FF"/>
                <w:spacing w:val="0"/>
                <w:sz w:val="24"/>
                <w:szCs w:val="24"/>
              </w:rPr>
              <w:t>月</w:t>
            </w:r>
            <w:r>
              <w:rPr>
                <w:rFonts w:hint="eastAsia" w:cs="宋体"/>
                <w:i w:val="0"/>
                <w:iCs w:val="0"/>
                <w:caps w:val="0"/>
                <w:color w:val="0000FF"/>
                <w:spacing w:val="0"/>
                <w:kern w:val="0"/>
                <w:sz w:val="24"/>
                <w:szCs w:val="24"/>
                <w:u w:val="single"/>
                <w:lang w:val="en-US" w:eastAsia="zh-CN" w:bidi="ar"/>
              </w:rPr>
              <w:t>06</w:t>
            </w:r>
            <w:r>
              <w:rPr>
                <w:rFonts w:hint="eastAsia" w:ascii="宋体" w:hAnsi="宋体" w:eastAsia="宋体" w:cs="宋体"/>
                <w:i w:val="0"/>
                <w:iCs w:val="0"/>
                <w:caps w:val="0"/>
                <w:color w:val="0000FF"/>
                <w:spacing w:val="0"/>
                <w:sz w:val="24"/>
                <w:szCs w:val="24"/>
              </w:rPr>
              <w:t>日</w:t>
            </w:r>
            <w:r>
              <w:rPr>
                <w:rFonts w:hint="eastAsia" w:ascii="宋体" w:hAnsi="宋体" w:eastAsia="宋体" w:cs="宋体"/>
                <w:i w:val="0"/>
                <w:iCs w:val="0"/>
                <w:caps w:val="0"/>
                <w:color w:val="0000FF"/>
                <w:spacing w:val="0"/>
                <w:sz w:val="24"/>
                <w:szCs w:val="24"/>
                <w:lang w:val="en-US" w:eastAsia="zh-CN"/>
              </w:rPr>
              <w:t>1</w:t>
            </w:r>
            <w:r>
              <w:rPr>
                <w:rFonts w:hint="eastAsia" w:cs="宋体"/>
                <w:i w:val="0"/>
                <w:iCs w:val="0"/>
                <w:caps w:val="0"/>
                <w:color w:val="0000FF"/>
                <w:spacing w:val="0"/>
                <w:sz w:val="24"/>
                <w:szCs w:val="24"/>
                <w:lang w:val="en-US" w:eastAsia="zh-CN"/>
              </w:rPr>
              <w:t>0</w:t>
            </w:r>
            <w:r>
              <w:rPr>
                <w:rFonts w:hint="eastAsia" w:ascii="宋体" w:hAnsi="宋体" w:eastAsia="宋体" w:cs="宋体"/>
                <w:i w:val="0"/>
                <w:iCs w:val="0"/>
                <w:caps w:val="0"/>
                <w:color w:val="0000FF"/>
                <w:spacing w:val="0"/>
                <w:sz w:val="24"/>
                <w:szCs w:val="24"/>
                <w:lang w:eastAsia="zh-CN"/>
              </w:rPr>
              <w:t>：</w:t>
            </w:r>
            <w:r>
              <w:rPr>
                <w:rFonts w:hint="eastAsia" w:ascii="宋体" w:hAnsi="宋体" w:eastAsia="宋体" w:cs="宋体"/>
                <w:i w:val="0"/>
                <w:iCs w:val="0"/>
                <w:caps w:val="0"/>
                <w:color w:val="0000FF"/>
                <w:spacing w:val="0"/>
                <w:sz w:val="24"/>
                <w:szCs w:val="24"/>
                <w:lang w:val="en-US" w:eastAsia="zh-CN"/>
              </w:rPr>
              <w:t>00</w:t>
            </w:r>
            <w:r>
              <w:rPr>
                <w:rFonts w:hint="eastAsia" w:ascii="宋体" w:hAnsi="宋体" w:eastAsia="宋体" w:cs="宋体"/>
                <w:i w:val="0"/>
                <w:iCs w:val="0"/>
                <w:caps w:val="0"/>
                <w:color w:val="auto"/>
                <w:spacing w:val="0"/>
                <w:sz w:val="24"/>
                <w:szCs w:val="24"/>
              </w:rPr>
              <w:t>（北京时间）前（上传）电子投标文件。</w:t>
            </w:r>
          </w:p>
        </w:tc>
      </w:tr>
    </w:tbl>
    <w:p>
      <w:pPr>
        <w:pStyle w:val="14"/>
        <w:spacing w:before="255" w:beforeAutospacing="0" w:after="255" w:afterAutospacing="0" w:line="440" w:lineRule="exact"/>
        <w:jc w:val="both"/>
        <w:rPr>
          <w:rFonts w:hint="eastAsia" w:ascii="宋体" w:hAnsi="宋体" w:eastAsia="宋体" w:cs="宋体"/>
          <w:color w:val="auto"/>
          <w:szCs w:val="24"/>
          <w:shd w:val="clear" w:color="auto" w:fill="FFFFFF"/>
        </w:rPr>
      </w:pPr>
      <w:r>
        <w:rPr>
          <w:rStyle w:val="34"/>
          <w:rFonts w:hint="eastAsia" w:ascii="宋体" w:hAnsi="宋体" w:eastAsia="宋体" w:cs="宋体"/>
          <w:color w:val="auto"/>
          <w:szCs w:val="24"/>
          <w:shd w:val="clear" w:color="auto" w:fill="FFFFFF"/>
        </w:rPr>
        <w:t>一、项目基本情况</w:t>
      </w:r>
    </w:p>
    <w:p>
      <w:pPr>
        <w:pStyle w:val="14"/>
        <w:spacing w:before="0" w:beforeAutospacing="0" w:after="0" w:afterAutospacing="0" w:line="440" w:lineRule="exact"/>
        <w:ind w:firstLine="720"/>
        <w:rPr>
          <w:rFonts w:hint="eastAsia" w:ascii="宋体" w:hAnsi="宋体" w:eastAsia="宋体" w:cs="宋体"/>
          <w:color w:val="auto"/>
          <w:szCs w:val="24"/>
          <w:shd w:val="clear" w:color="auto" w:fill="FFFFFF"/>
          <w:lang w:val="zh-CN" w:eastAsia="zh-CN"/>
        </w:rPr>
      </w:pPr>
      <w:r>
        <w:rPr>
          <w:rFonts w:hint="eastAsia" w:ascii="宋体" w:hAnsi="宋体" w:eastAsia="宋体" w:cs="宋体"/>
          <w:color w:val="auto"/>
          <w:szCs w:val="24"/>
          <w:shd w:val="clear" w:color="auto" w:fill="FFFFFF"/>
        </w:rPr>
        <w:t>项目名称：</w:t>
      </w:r>
      <w:bookmarkStart w:id="16" w:name="_Hlk140773940"/>
      <w:r>
        <w:rPr>
          <w:rFonts w:hint="eastAsia" w:cs="宋体"/>
          <w:color w:val="auto"/>
          <w:szCs w:val="24"/>
          <w:lang w:eastAsia="zh-CN"/>
        </w:rPr>
        <w:t>昌吉州国有企业2023年度年终财务决算审计项目</w:t>
      </w:r>
    </w:p>
    <w:bookmarkEnd w:id="16"/>
    <w:p>
      <w:pPr>
        <w:pStyle w:val="14"/>
        <w:spacing w:before="0" w:beforeAutospacing="0" w:after="0" w:afterAutospacing="0" w:line="440" w:lineRule="exact"/>
        <w:ind w:firstLine="720"/>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采购方式：竞争性磋商</w:t>
      </w:r>
    </w:p>
    <w:p>
      <w:pPr>
        <w:rPr>
          <w:rFonts w:hint="eastAsia" w:ascii="宋体" w:hAnsi="宋体" w:eastAsia="宋体" w:cs="宋体"/>
          <w:color w:val="auto"/>
          <w:lang w:val="en-US" w:eastAsia="zh-CN"/>
        </w:rPr>
      </w:pPr>
      <w:r>
        <w:rPr>
          <w:rFonts w:hint="eastAsia" w:ascii="宋体" w:hAnsi="宋体" w:eastAsia="宋体" w:cs="宋体"/>
          <w:color w:val="auto"/>
          <w:szCs w:val="24"/>
          <w:shd w:val="clear" w:color="auto" w:fill="FFFFFF"/>
          <w:lang w:val="en-US" w:eastAsia="zh-CN"/>
        </w:rPr>
        <w:t xml:space="preserve">       </w:t>
      </w:r>
      <w:r>
        <w:rPr>
          <w:rFonts w:hint="eastAsia" w:ascii="宋体" w:hAnsi="宋体" w:eastAsia="宋体" w:cs="宋体"/>
          <w:color w:val="auto"/>
          <w:sz w:val="24"/>
          <w:szCs w:val="32"/>
          <w:shd w:val="clear" w:color="auto" w:fill="FFFFFF"/>
          <w:lang w:val="en-US" w:eastAsia="zh-CN"/>
        </w:rPr>
        <w:t>总投资额：</w:t>
      </w:r>
      <w:r>
        <w:rPr>
          <w:rFonts w:hint="eastAsia" w:ascii="宋体" w:hAnsi="宋体" w:cs="宋体"/>
          <w:color w:val="auto"/>
          <w:sz w:val="24"/>
          <w:szCs w:val="32"/>
          <w:shd w:val="clear" w:color="auto" w:fill="FFFFFF"/>
          <w:lang w:val="en-US" w:eastAsia="zh-CN"/>
        </w:rPr>
        <w:t>100</w:t>
      </w:r>
      <w:r>
        <w:rPr>
          <w:rFonts w:hint="eastAsia" w:ascii="宋体" w:hAnsi="宋体" w:eastAsia="宋体" w:cs="宋体"/>
          <w:color w:val="auto"/>
          <w:sz w:val="24"/>
          <w:szCs w:val="32"/>
          <w:shd w:val="clear" w:color="auto" w:fill="FFFFFF"/>
          <w:lang w:val="en-US" w:eastAsia="zh-CN"/>
        </w:rPr>
        <w:t>万元</w:t>
      </w:r>
    </w:p>
    <w:p>
      <w:pPr>
        <w:rPr>
          <w:rFonts w:hint="eastAsia" w:ascii="宋体" w:hAnsi="宋体" w:eastAsia="宋体" w:cs="宋体"/>
          <w:color w:val="auto"/>
          <w:lang w:val="en-US" w:eastAsia="zh-CN"/>
        </w:rPr>
      </w:pPr>
      <w:r>
        <w:rPr>
          <w:rFonts w:hint="eastAsia" w:ascii="宋体" w:hAnsi="宋体" w:eastAsia="宋体" w:cs="宋体"/>
          <w:color w:val="auto"/>
          <w:szCs w:val="24"/>
          <w:shd w:val="clear" w:color="auto" w:fill="FFFFFF"/>
          <w:lang w:val="en-US" w:eastAsia="zh-CN"/>
        </w:rPr>
        <w:t xml:space="preserve">      </w:t>
      </w:r>
      <w:r>
        <w:rPr>
          <w:rFonts w:hint="eastAsia" w:ascii="宋体" w:hAnsi="宋体" w:eastAsia="宋体" w:cs="宋体"/>
          <w:color w:val="auto"/>
          <w:sz w:val="24"/>
          <w:szCs w:val="24"/>
          <w:shd w:val="clear" w:color="auto" w:fill="FFFFFF"/>
          <w:lang w:val="en-US" w:eastAsia="zh-CN"/>
        </w:rPr>
        <w:t xml:space="preserve"> 采购内容和要求：本项目采购分为3个标段</w:t>
      </w:r>
    </w:p>
    <w:tbl>
      <w:tblPr>
        <w:tblStyle w:val="32"/>
        <w:tblpPr w:leftFromText="180" w:rightFromText="180" w:vertAnchor="text" w:horzAnchor="page" w:tblpX="1420" w:tblpY="450"/>
        <w:tblOverlap w:val="never"/>
        <w:tblW w:w="10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2834"/>
        <w:gridCol w:w="4033"/>
        <w:gridCol w:w="717"/>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11" w:type="dxa"/>
            <w:vAlign w:val="center"/>
          </w:tcPr>
          <w:p>
            <w:pPr>
              <w:pStyle w:val="14"/>
              <w:spacing w:before="0" w:beforeAutospacing="0" w:after="0" w:afterAutospacing="0" w:line="340" w:lineRule="exact"/>
              <w:jc w:val="center"/>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项目标段编号</w:t>
            </w:r>
          </w:p>
        </w:tc>
        <w:tc>
          <w:tcPr>
            <w:tcW w:w="2834" w:type="dxa"/>
            <w:vAlign w:val="center"/>
          </w:tcPr>
          <w:p>
            <w:pPr>
              <w:pStyle w:val="14"/>
              <w:spacing w:before="0" w:beforeAutospacing="0" w:after="0" w:afterAutospacing="0" w:line="340" w:lineRule="exact"/>
              <w:jc w:val="center"/>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项目名称</w:t>
            </w:r>
          </w:p>
        </w:tc>
        <w:tc>
          <w:tcPr>
            <w:tcW w:w="4033" w:type="dxa"/>
            <w:vAlign w:val="center"/>
          </w:tcPr>
          <w:p>
            <w:pPr>
              <w:pStyle w:val="14"/>
              <w:spacing w:before="0" w:beforeAutospacing="0" w:after="0" w:afterAutospacing="0" w:line="340" w:lineRule="exact"/>
              <w:jc w:val="center"/>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标段内容</w:t>
            </w:r>
          </w:p>
        </w:tc>
        <w:tc>
          <w:tcPr>
            <w:tcW w:w="717" w:type="dxa"/>
            <w:vAlign w:val="center"/>
          </w:tcPr>
          <w:p>
            <w:pPr>
              <w:pStyle w:val="14"/>
              <w:spacing w:before="0" w:beforeAutospacing="0" w:after="0" w:afterAutospacing="0" w:line="340" w:lineRule="exact"/>
              <w:jc w:val="center"/>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预算金额</w:t>
            </w:r>
          </w:p>
        </w:tc>
        <w:tc>
          <w:tcPr>
            <w:tcW w:w="1104" w:type="dxa"/>
            <w:vAlign w:val="center"/>
          </w:tcPr>
          <w:p>
            <w:pPr>
              <w:pStyle w:val="14"/>
              <w:spacing w:before="0" w:beforeAutospacing="0" w:after="0" w:afterAutospacing="0" w:line="340" w:lineRule="exact"/>
              <w:jc w:val="center"/>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11" w:type="dxa"/>
            <w:vAlign w:val="center"/>
          </w:tcPr>
          <w:p>
            <w:pPr>
              <w:pStyle w:val="14"/>
              <w:spacing w:before="0" w:beforeAutospacing="0" w:after="0" w:afterAutospacing="0" w:line="340" w:lineRule="exact"/>
              <w:jc w:val="center"/>
              <w:rPr>
                <w:rFonts w:hint="eastAsia" w:ascii="宋体" w:hAnsi="宋体" w:eastAsia="宋体" w:cs="宋体"/>
                <w:color w:val="auto"/>
                <w:szCs w:val="24"/>
                <w:shd w:val="clear" w:color="auto" w:fill="FFFFFF"/>
                <w:lang w:eastAsia="zh-CN"/>
              </w:rPr>
            </w:pPr>
            <w:r>
              <w:rPr>
                <w:rFonts w:hint="eastAsia" w:ascii="宋体" w:hAnsi="宋体" w:eastAsia="宋体" w:cs="宋体"/>
                <w:color w:val="auto"/>
                <w:szCs w:val="24"/>
                <w:shd w:val="clear" w:color="auto" w:fill="FFFFFF"/>
              </w:rPr>
              <w:t>CSFLZB-2023-230-FW-0</w:t>
            </w:r>
            <w:r>
              <w:rPr>
                <w:rFonts w:hint="eastAsia" w:cs="宋体"/>
                <w:color w:val="auto"/>
                <w:szCs w:val="24"/>
                <w:shd w:val="clear" w:color="auto" w:fill="FFFFFF"/>
                <w:lang w:val="en-US" w:eastAsia="zh-CN"/>
              </w:rPr>
              <w:t>1</w:t>
            </w:r>
          </w:p>
        </w:tc>
        <w:tc>
          <w:tcPr>
            <w:tcW w:w="2834" w:type="dxa"/>
            <w:vAlign w:val="center"/>
          </w:tcPr>
          <w:p>
            <w:pPr>
              <w:pStyle w:val="14"/>
              <w:spacing w:before="0" w:beforeAutospacing="0" w:after="0" w:afterAutospacing="0" w:line="340" w:lineRule="exact"/>
              <w:jc w:val="center"/>
              <w:rPr>
                <w:rFonts w:hint="default" w:ascii="宋体" w:hAnsi="宋体" w:eastAsia="宋体" w:cs="宋体"/>
                <w:color w:val="auto"/>
                <w:szCs w:val="24"/>
                <w:lang w:val="en-US"/>
              </w:rPr>
            </w:pPr>
            <w:r>
              <w:rPr>
                <w:rFonts w:hint="eastAsia" w:cs="宋体"/>
                <w:color w:val="auto"/>
                <w:szCs w:val="24"/>
                <w:lang w:eastAsia="zh-CN"/>
              </w:rPr>
              <w:t>昌吉州国有企业2023年度年终财务决算审计项目（</w:t>
            </w:r>
            <w:r>
              <w:rPr>
                <w:rFonts w:hint="eastAsia" w:cs="宋体"/>
                <w:color w:val="auto"/>
                <w:szCs w:val="24"/>
                <w:lang w:val="en-US" w:eastAsia="zh-CN"/>
              </w:rPr>
              <w:t>第一标段）</w:t>
            </w:r>
          </w:p>
        </w:tc>
        <w:tc>
          <w:tcPr>
            <w:tcW w:w="4033" w:type="dxa"/>
            <w:vAlign w:val="top"/>
          </w:tcPr>
          <w:p>
            <w:pPr>
              <w:pStyle w:val="14"/>
              <w:spacing w:before="0" w:beforeAutospacing="0" w:after="0" w:afterAutospacing="0" w:line="340" w:lineRule="exact"/>
              <w:jc w:val="center"/>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对监管的国有企业昌吉州国有资产投资经营集团有限公司全资及控股公司共计74家（含二级及以下子公司</w:t>
            </w:r>
            <w:r>
              <w:rPr>
                <w:rFonts w:hint="eastAsia" w:cs="宋体"/>
                <w:color w:val="auto"/>
                <w:szCs w:val="24"/>
                <w:lang w:val="en-US" w:eastAsia="zh-CN"/>
              </w:rPr>
              <w:t>、惠源担保公司</w:t>
            </w:r>
            <w:r>
              <w:rPr>
                <w:rFonts w:hint="eastAsia" w:ascii="宋体" w:hAnsi="宋体" w:eastAsia="宋体" w:cs="宋体"/>
                <w:color w:val="auto"/>
                <w:szCs w:val="24"/>
                <w:lang w:val="en-US" w:eastAsia="zh-CN"/>
              </w:rPr>
              <w:t>），合并资产总额为266亿元，进行2023年度财务决算审计。 </w:t>
            </w:r>
          </w:p>
        </w:tc>
        <w:tc>
          <w:tcPr>
            <w:tcW w:w="717" w:type="dxa"/>
            <w:vAlign w:val="center"/>
          </w:tcPr>
          <w:p>
            <w:pPr>
              <w:pStyle w:val="14"/>
              <w:spacing w:before="0" w:beforeAutospacing="0" w:after="0" w:afterAutospacing="0" w:line="340" w:lineRule="exact"/>
              <w:jc w:val="center"/>
              <w:rPr>
                <w:rFonts w:hint="default" w:ascii="宋体" w:hAnsi="宋体" w:eastAsia="宋体" w:cs="宋体"/>
                <w:color w:val="auto"/>
                <w:szCs w:val="24"/>
                <w:shd w:val="clear" w:color="auto" w:fill="FFFFFF"/>
                <w:lang w:val="en-US" w:eastAsia="zh-CN"/>
              </w:rPr>
            </w:pPr>
            <w:r>
              <w:rPr>
                <w:rFonts w:hint="eastAsia" w:cs="宋体"/>
                <w:color w:val="auto"/>
                <w:szCs w:val="24"/>
                <w:shd w:val="clear" w:color="auto" w:fill="FFFFFF"/>
                <w:lang w:val="en-US" w:eastAsia="zh-CN"/>
              </w:rPr>
              <w:t>55万元</w:t>
            </w:r>
          </w:p>
        </w:tc>
        <w:tc>
          <w:tcPr>
            <w:tcW w:w="1104" w:type="dxa"/>
            <w:vMerge w:val="restart"/>
            <w:vAlign w:val="center"/>
          </w:tcPr>
          <w:p>
            <w:pPr>
              <w:pStyle w:val="14"/>
              <w:spacing w:before="0" w:beforeAutospacing="0" w:after="0" w:afterAutospacing="0" w:line="340" w:lineRule="exact"/>
              <w:jc w:val="center"/>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lang w:val="en-US" w:eastAsia="zh-CN"/>
              </w:rPr>
              <w:t>此项目共三个标段，投标人可兼投，但不能兼中，最多只能中取其中1个标段。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1" w:type="dxa"/>
            <w:vAlign w:val="center"/>
          </w:tcPr>
          <w:p>
            <w:pPr>
              <w:pStyle w:val="14"/>
              <w:spacing w:before="0" w:beforeAutospacing="0" w:after="0" w:afterAutospacing="0" w:line="340" w:lineRule="exact"/>
              <w:jc w:val="center"/>
              <w:rPr>
                <w:rFonts w:hint="eastAsia" w:ascii="宋体" w:hAnsi="宋体" w:eastAsia="宋体" w:cs="宋体"/>
                <w:color w:val="auto"/>
                <w:szCs w:val="24"/>
                <w:shd w:val="clear" w:color="auto" w:fill="FFFFFF"/>
                <w:lang w:eastAsia="zh-CN"/>
              </w:rPr>
            </w:pPr>
            <w:r>
              <w:rPr>
                <w:rFonts w:hint="eastAsia" w:ascii="宋体" w:hAnsi="宋体" w:eastAsia="宋体" w:cs="宋体"/>
                <w:color w:val="auto"/>
                <w:szCs w:val="24"/>
                <w:shd w:val="clear" w:color="auto" w:fill="FFFFFF"/>
              </w:rPr>
              <w:t>CSFLZB-2023-230-FW-0</w:t>
            </w:r>
            <w:r>
              <w:rPr>
                <w:rFonts w:hint="eastAsia" w:cs="宋体"/>
                <w:color w:val="auto"/>
                <w:szCs w:val="24"/>
                <w:shd w:val="clear" w:color="auto" w:fill="FFFFFF"/>
                <w:lang w:val="en-US" w:eastAsia="zh-CN"/>
              </w:rPr>
              <w:t>2</w:t>
            </w:r>
          </w:p>
        </w:tc>
        <w:tc>
          <w:tcPr>
            <w:tcW w:w="2834" w:type="dxa"/>
            <w:vAlign w:val="center"/>
          </w:tcPr>
          <w:p>
            <w:pPr>
              <w:pStyle w:val="14"/>
              <w:spacing w:before="0" w:beforeAutospacing="0" w:after="0" w:afterAutospacing="0" w:line="340" w:lineRule="exact"/>
              <w:jc w:val="center"/>
              <w:rPr>
                <w:rFonts w:hint="eastAsia" w:ascii="宋体" w:hAnsi="宋体" w:eastAsia="宋体" w:cs="宋体"/>
                <w:color w:val="auto"/>
                <w:szCs w:val="24"/>
              </w:rPr>
            </w:pPr>
            <w:r>
              <w:rPr>
                <w:rFonts w:hint="eastAsia" w:cs="宋体"/>
                <w:color w:val="auto"/>
                <w:szCs w:val="24"/>
                <w:lang w:eastAsia="zh-CN"/>
              </w:rPr>
              <w:t>昌吉州国有企业2023年度年终财务决算审计项目（</w:t>
            </w:r>
            <w:r>
              <w:rPr>
                <w:rFonts w:hint="eastAsia" w:cs="宋体"/>
                <w:color w:val="auto"/>
                <w:szCs w:val="24"/>
                <w:lang w:val="en-US" w:eastAsia="zh-CN"/>
              </w:rPr>
              <w:t>第二标段）</w:t>
            </w:r>
          </w:p>
        </w:tc>
        <w:tc>
          <w:tcPr>
            <w:tcW w:w="4033" w:type="dxa"/>
            <w:vAlign w:val="top"/>
          </w:tcPr>
          <w:p>
            <w:pPr>
              <w:pStyle w:val="14"/>
              <w:spacing w:before="0" w:beforeAutospacing="0" w:after="0" w:afterAutospacing="0" w:line="340" w:lineRule="exact"/>
              <w:jc w:val="center"/>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对监管的国有企业昌吉回族自治州粮油购销（集团）有限责任公司共计29家（含二级及以下子公司），合并资产总额为47.17亿元，进行2023年度财务决算审计。 </w:t>
            </w:r>
          </w:p>
        </w:tc>
        <w:tc>
          <w:tcPr>
            <w:tcW w:w="717" w:type="dxa"/>
            <w:vAlign w:val="center"/>
          </w:tcPr>
          <w:p>
            <w:pPr>
              <w:pStyle w:val="14"/>
              <w:spacing w:before="0" w:beforeAutospacing="0" w:after="0" w:afterAutospacing="0" w:line="340" w:lineRule="exact"/>
              <w:jc w:val="center"/>
              <w:rPr>
                <w:rFonts w:hint="default" w:ascii="宋体" w:hAnsi="宋体" w:eastAsia="宋体" w:cs="宋体"/>
                <w:color w:val="auto"/>
                <w:szCs w:val="24"/>
                <w:shd w:val="clear" w:color="auto" w:fill="FFFFFF"/>
                <w:lang w:val="en-US" w:eastAsia="zh-CN"/>
              </w:rPr>
            </w:pPr>
            <w:r>
              <w:rPr>
                <w:rFonts w:hint="eastAsia" w:cs="宋体"/>
                <w:color w:val="auto"/>
                <w:szCs w:val="24"/>
                <w:shd w:val="clear" w:color="auto" w:fill="FFFFFF"/>
                <w:lang w:val="en-US" w:eastAsia="zh-CN"/>
              </w:rPr>
              <w:t>30万元</w:t>
            </w:r>
          </w:p>
        </w:tc>
        <w:tc>
          <w:tcPr>
            <w:tcW w:w="1104" w:type="dxa"/>
            <w:vMerge w:val="continue"/>
            <w:vAlign w:val="center"/>
          </w:tcPr>
          <w:p>
            <w:pPr>
              <w:pStyle w:val="14"/>
              <w:spacing w:before="0" w:beforeAutospacing="0" w:after="0" w:afterAutospacing="0" w:line="340" w:lineRule="exact"/>
              <w:jc w:val="center"/>
              <w:rPr>
                <w:rFonts w:hint="eastAsia" w:ascii="宋体" w:hAnsi="宋体" w:eastAsia="宋体" w:cs="宋体"/>
                <w:color w:val="auto"/>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611" w:type="dxa"/>
            <w:vAlign w:val="center"/>
          </w:tcPr>
          <w:p>
            <w:pPr>
              <w:pStyle w:val="14"/>
              <w:spacing w:before="0" w:beforeAutospacing="0" w:after="0" w:afterAutospacing="0" w:line="340" w:lineRule="exact"/>
              <w:jc w:val="center"/>
              <w:rPr>
                <w:rFonts w:hint="eastAsia" w:ascii="宋体" w:hAnsi="宋体" w:eastAsia="宋体" w:cs="宋体"/>
                <w:color w:val="auto"/>
                <w:szCs w:val="24"/>
              </w:rPr>
            </w:pPr>
            <w:r>
              <w:rPr>
                <w:rFonts w:hint="eastAsia" w:ascii="宋体" w:hAnsi="宋体" w:eastAsia="宋体" w:cs="宋体"/>
                <w:color w:val="auto"/>
                <w:szCs w:val="24"/>
                <w:shd w:val="clear" w:color="auto" w:fill="FFFFFF"/>
              </w:rPr>
              <w:t>CSFLZB-2023-230-FW-03</w:t>
            </w:r>
          </w:p>
        </w:tc>
        <w:tc>
          <w:tcPr>
            <w:tcW w:w="2834" w:type="dxa"/>
            <w:vAlign w:val="center"/>
          </w:tcPr>
          <w:p>
            <w:pPr>
              <w:pStyle w:val="14"/>
              <w:spacing w:before="0" w:beforeAutospacing="0" w:after="0" w:afterAutospacing="0" w:line="340" w:lineRule="exact"/>
              <w:jc w:val="center"/>
              <w:rPr>
                <w:rFonts w:hint="eastAsia" w:ascii="宋体" w:hAnsi="宋体" w:eastAsia="宋体" w:cs="宋体"/>
                <w:color w:val="auto"/>
                <w:szCs w:val="24"/>
                <w:shd w:val="clear" w:color="auto" w:fill="FFFFFF"/>
              </w:rPr>
            </w:pPr>
            <w:r>
              <w:rPr>
                <w:rFonts w:hint="eastAsia" w:cs="宋体"/>
                <w:color w:val="auto"/>
                <w:szCs w:val="24"/>
                <w:lang w:eastAsia="zh-CN"/>
              </w:rPr>
              <w:t>昌吉州国有企业2023年度年终财务决算审计项目（</w:t>
            </w:r>
            <w:r>
              <w:rPr>
                <w:rFonts w:hint="eastAsia" w:cs="宋体"/>
                <w:color w:val="auto"/>
                <w:szCs w:val="24"/>
                <w:lang w:val="en-US" w:eastAsia="zh-CN"/>
              </w:rPr>
              <w:t>第三标段）</w:t>
            </w:r>
          </w:p>
        </w:tc>
        <w:tc>
          <w:tcPr>
            <w:tcW w:w="4033" w:type="dxa"/>
            <w:vAlign w:val="top"/>
          </w:tcPr>
          <w:p>
            <w:pPr>
              <w:pStyle w:val="14"/>
              <w:spacing w:before="0" w:beforeAutospacing="0" w:after="0" w:afterAutospacing="0" w:line="340" w:lineRule="exact"/>
              <w:jc w:val="center"/>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对监管的国有企业昌吉州文化旅游投资集团有限公司共计22家（含二级及以下子公司）及三家酒店，合并资产总额为24.42亿元，昌吉州园林宾馆有限责任公司共计8家（含二级及以下子公司），合并资产总额为1.6亿元，进行2023年度财务决算审计。</w:t>
            </w:r>
          </w:p>
        </w:tc>
        <w:tc>
          <w:tcPr>
            <w:tcW w:w="717" w:type="dxa"/>
            <w:vAlign w:val="center"/>
          </w:tcPr>
          <w:p>
            <w:pPr>
              <w:pStyle w:val="14"/>
              <w:spacing w:before="0" w:beforeAutospacing="0" w:after="0" w:afterAutospacing="0" w:line="340" w:lineRule="exact"/>
              <w:jc w:val="center"/>
              <w:rPr>
                <w:rFonts w:hint="default" w:ascii="宋体" w:hAnsi="宋体" w:eastAsia="宋体" w:cs="宋体"/>
                <w:color w:val="auto"/>
                <w:szCs w:val="24"/>
                <w:shd w:val="clear" w:color="auto" w:fill="FFFFFF"/>
                <w:lang w:val="en-US" w:eastAsia="zh-CN"/>
              </w:rPr>
            </w:pPr>
            <w:r>
              <w:rPr>
                <w:rFonts w:hint="eastAsia" w:cs="宋体"/>
                <w:color w:val="auto"/>
                <w:szCs w:val="24"/>
                <w:shd w:val="clear" w:color="auto" w:fill="FFFFFF"/>
                <w:lang w:val="en-US" w:eastAsia="zh-CN"/>
              </w:rPr>
              <w:t>15万元</w:t>
            </w:r>
          </w:p>
        </w:tc>
        <w:tc>
          <w:tcPr>
            <w:tcW w:w="1104" w:type="dxa"/>
            <w:vMerge w:val="continue"/>
            <w:vAlign w:val="center"/>
          </w:tcPr>
          <w:p>
            <w:pPr>
              <w:pStyle w:val="14"/>
              <w:spacing w:before="0" w:beforeAutospacing="0" w:after="0" w:afterAutospacing="0" w:line="340" w:lineRule="exact"/>
              <w:jc w:val="center"/>
              <w:rPr>
                <w:rFonts w:hint="eastAsia" w:ascii="宋体" w:hAnsi="宋体" w:eastAsia="宋体" w:cs="宋体"/>
                <w:color w:val="auto"/>
                <w:szCs w:val="24"/>
                <w:shd w:val="clear" w:color="auto" w:fill="FFFFFF"/>
              </w:rPr>
            </w:pPr>
          </w:p>
        </w:tc>
      </w:tr>
    </w:tbl>
    <w:p>
      <w:pPr>
        <w:pStyle w:val="14"/>
        <w:spacing w:before="0" w:beforeAutospacing="0" w:after="0" w:afterAutospacing="0" w:line="440" w:lineRule="exact"/>
        <w:ind w:firstLine="720"/>
        <w:rPr>
          <w:rFonts w:hint="eastAsia" w:ascii="宋体" w:hAnsi="宋体" w:eastAsia="宋体" w:cs="宋体"/>
          <w:color w:val="auto"/>
          <w:szCs w:val="24"/>
          <w:shd w:val="clear" w:color="auto" w:fill="FFFFFF"/>
        </w:rPr>
      </w:pPr>
    </w:p>
    <w:p>
      <w:pPr>
        <w:pStyle w:val="14"/>
        <w:spacing w:before="0" w:beforeAutospacing="0" w:after="0" w:afterAutospacing="0" w:line="440" w:lineRule="exact"/>
        <w:ind w:firstLine="720"/>
        <w:rPr>
          <w:rFonts w:hint="eastAsia" w:ascii="宋体" w:hAnsi="宋体" w:eastAsia="宋体" w:cs="宋体"/>
          <w:color w:val="auto"/>
          <w:szCs w:val="24"/>
          <w:highlight w:val="none"/>
        </w:rPr>
      </w:pPr>
      <w:r>
        <w:rPr>
          <w:rFonts w:hint="eastAsia" w:ascii="宋体" w:hAnsi="宋体" w:eastAsia="宋体" w:cs="宋体"/>
          <w:color w:val="auto"/>
          <w:szCs w:val="24"/>
          <w:shd w:val="clear" w:color="auto" w:fill="FFFFFF"/>
        </w:rPr>
        <w:t>服务期限：</w:t>
      </w:r>
      <w:r>
        <w:rPr>
          <w:rFonts w:hint="eastAsia" w:ascii="宋体" w:hAnsi="宋体" w:eastAsia="宋体" w:cs="宋体"/>
          <w:color w:val="auto"/>
          <w:szCs w:val="24"/>
          <w:highlight w:val="none"/>
          <w:shd w:val="clear" w:color="auto" w:fill="FFFFFF"/>
          <w:lang w:val="en-US" w:eastAsia="zh-CN"/>
        </w:rPr>
        <w:t>202</w:t>
      </w:r>
      <w:r>
        <w:rPr>
          <w:rFonts w:hint="eastAsia" w:cs="宋体"/>
          <w:color w:val="auto"/>
          <w:szCs w:val="24"/>
          <w:highlight w:val="none"/>
          <w:shd w:val="clear" w:color="auto" w:fill="FFFFFF"/>
          <w:lang w:val="en-US" w:eastAsia="zh-CN"/>
        </w:rPr>
        <w:t>4</w:t>
      </w:r>
      <w:r>
        <w:rPr>
          <w:rFonts w:hint="eastAsia" w:ascii="宋体" w:hAnsi="宋体" w:eastAsia="宋体" w:cs="宋体"/>
          <w:color w:val="auto"/>
          <w:szCs w:val="24"/>
          <w:highlight w:val="none"/>
          <w:shd w:val="clear" w:color="auto" w:fill="FFFFFF"/>
          <w:lang w:val="en-US" w:eastAsia="zh-CN"/>
        </w:rPr>
        <w:t>年2月</w:t>
      </w:r>
      <w:r>
        <w:rPr>
          <w:rFonts w:hint="eastAsia" w:cs="宋体"/>
          <w:color w:val="auto"/>
          <w:szCs w:val="24"/>
          <w:highlight w:val="none"/>
          <w:shd w:val="clear" w:color="auto" w:fill="FFFFFF"/>
          <w:lang w:val="en-US" w:eastAsia="zh-CN"/>
        </w:rPr>
        <w:t>29</w:t>
      </w:r>
      <w:r>
        <w:rPr>
          <w:rFonts w:hint="eastAsia" w:ascii="宋体" w:hAnsi="宋体" w:eastAsia="宋体" w:cs="宋体"/>
          <w:color w:val="auto"/>
          <w:szCs w:val="24"/>
          <w:highlight w:val="none"/>
          <w:shd w:val="clear" w:color="auto" w:fill="FFFFFF"/>
          <w:lang w:val="en-US" w:eastAsia="zh-CN"/>
        </w:rPr>
        <w:t>日前完成约定的审计工作，并出具审计报告和管理建议书。（成交通知书签发后，5日内与采购人签订服务约定书）</w:t>
      </w:r>
      <w:r>
        <w:rPr>
          <w:rFonts w:hint="eastAsia" w:ascii="宋体" w:hAnsi="宋体" w:eastAsia="宋体" w:cs="宋体"/>
          <w:color w:val="auto"/>
          <w:szCs w:val="24"/>
          <w:highlight w:val="none"/>
          <w:shd w:val="clear" w:color="auto" w:fill="FFFFFF"/>
        </w:rPr>
        <w:t xml:space="preserve"> </w:t>
      </w:r>
    </w:p>
    <w:p>
      <w:pPr>
        <w:pStyle w:val="14"/>
        <w:spacing w:before="0" w:beforeAutospacing="0" w:after="0" w:afterAutospacing="0" w:line="440" w:lineRule="exact"/>
        <w:ind w:firstLine="720"/>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质量要求：符合现行国家相关法律法规、标准和规范等，成果资料完整、真实准确、依据清晰。审计成果资料，达到招标人使用要求，服务工作优质高效。 </w:t>
      </w:r>
    </w:p>
    <w:p>
      <w:pPr>
        <w:pStyle w:val="14"/>
        <w:spacing w:before="0" w:beforeAutospacing="0" w:after="0" w:afterAutospacing="0" w:line="440" w:lineRule="exact"/>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    本项目不接受联合体投标。</w:t>
      </w:r>
    </w:p>
    <w:p>
      <w:pPr>
        <w:pStyle w:val="14"/>
        <w:spacing w:before="0" w:beforeAutospacing="0" w:after="0" w:afterAutospacing="0" w:line="440" w:lineRule="exact"/>
        <w:rPr>
          <w:rFonts w:hint="eastAsia" w:ascii="宋体" w:hAnsi="宋体" w:eastAsia="宋体" w:cs="宋体"/>
          <w:color w:val="auto"/>
          <w:szCs w:val="24"/>
        </w:rPr>
      </w:pPr>
      <w:r>
        <w:rPr>
          <w:rFonts w:hint="eastAsia" w:ascii="宋体" w:hAnsi="宋体" w:eastAsia="宋体" w:cs="宋体"/>
          <w:color w:val="auto"/>
          <w:szCs w:val="24"/>
          <w:shd w:val="clear" w:color="auto" w:fill="FFFFFF"/>
        </w:rPr>
        <w:t>  </w:t>
      </w:r>
      <w:r>
        <w:rPr>
          <w:rStyle w:val="34"/>
          <w:rFonts w:hint="eastAsia" w:ascii="宋体" w:hAnsi="宋体" w:eastAsia="宋体" w:cs="宋体"/>
          <w:color w:val="auto"/>
          <w:szCs w:val="24"/>
          <w:shd w:val="clear" w:color="auto" w:fill="FFFFFF"/>
        </w:rPr>
        <w:t>二、申请人的资格要求：</w:t>
      </w:r>
    </w:p>
    <w:p>
      <w:pPr>
        <w:pStyle w:val="14"/>
        <w:spacing w:before="0" w:beforeAutospacing="0" w:after="0" w:afterAutospacing="0" w:line="440" w:lineRule="exact"/>
        <w:ind w:firstLine="720"/>
        <w:rPr>
          <w:rStyle w:val="34"/>
          <w:rFonts w:hint="eastAsia" w:ascii="宋体" w:hAnsi="宋体" w:eastAsia="宋体" w:cs="宋体"/>
          <w:b w:val="0"/>
          <w:bCs w:val="0"/>
          <w:color w:val="auto"/>
          <w:szCs w:val="24"/>
          <w:shd w:val="clear" w:color="auto" w:fill="FFFFFF"/>
        </w:rPr>
      </w:pPr>
      <w:r>
        <w:rPr>
          <w:rStyle w:val="34"/>
          <w:rFonts w:hint="eastAsia" w:ascii="宋体" w:hAnsi="宋体" w:eastAsia="宋体" w:cs="宋体"/>
          <w:b w:val="0"/>
          <w:bCs w:val="0"/>
          <w:color w:val="auto"/>
          <w:szCs w:val="24"/>
          <w:shd w:val="clear" w:color="auto" w:fill="FFFFFF"/>
        </w:rPr>
        <w:t>1.满足《中华人民共和国政府采购法》第二十二条规定；</w:t>
      </w:r>
    </w:p>
    <w:p>
      <w:pPr>
        <w:pStyle w:val="14"/>
        <w:spacing w:before="0" w:beforeAutospacing="0" w:after="0" w:afterAutospacing="0" w:line="440" w:lineRule="exact"/>
        <w:ind w:firstLine="720"/>
        <w:rPr>
          <w:rStyle w:val="34"/>
          <w:rFonts w:hint="eastAsia" w:ascii="宋体" w:hAnsi="宋体" w:eastAsia="宋体" w:cs="宋体"/>
          <w:b w:val="0"/>
          <w:bCs w:val="0"/>
          <w:color w:val="auto"/>
          <w:szCs w:val="24"/>
          <w:shd w:val="clear" w:color="auto" w:fill="FFFFFF"/>
        </w:rPr>
      </w:pPr>
      <w:r>
        <w:rPr>
          <w:rStyle w:val="34"/>
          <w:rFonts w:hint="eastAsia" w:ascii="宋体" w:hAnsi="宋体" w:eastAsia="宋体" w:cs="宋体"/>
          <w:b w:val="0"/>
          <w:bCs w:val="0"/>
          <w:color w:val="auto"/>
          <w:szCs w:val="24"/>
          <w:shd w:val="clear" w:color="auto" w:fill="FFFFFF"/>
        </w:rPr>
        <w:t>2、落实政府采购政策需满足的资格要求：供应商为中小企业；</w:t>
      </w:r>
    </w:p>
    <w:p>
      <w:pPr>
        <w:pStyle w:val="14"/>
        <w:spacing w:before="0" w:beforeAutospacing="0" w:after="0" w:afterAutospacing="0" w:line="440" w:lineRule="exact"/>
        <w:ind w:firstLine="720"/>
        <w:rPr>
          <w:rStyle w:val="34"/>
          <w:rFonts w:hint="eastAsia" w:ascii="宋体" w:hAnsi="宋体" w:eastAsia="宋体" w:cs="宋体"/>
          <w:b w:val="0"/>
          <w:bCs w:val="0"/>
          <w:color w:val="auto"/>
          <w:szCs w:val="24"/>
          <w:shd w:val="clear" w:color="auto" w:fill="FFFFFF"/>
        </w:rPr>
      </w:pPr>
      <w:r>
        <w:rPr>
          <w:rStyle w:val="34"/>
          <w:rFonts w:hint="eastAsia" w:ascii="宋体" w:hAnsi="宋体" w:eastAsia="宋体" w:cs="宋体"/>
          <w:b w:val="0"/>
          <w:bCs w:val="0"/>
          <w:color w:val="auto"/>
          <w:szCs w:val="24"/>
          <w:shd w:val="clear" w:color="auto" w:fill="FFFFFF"/>
        </w:rPr>
        <w:t>3.本项目的特定资格要求：</w:t>
      </w:r>
    </w:p>
    <w:p>
      <w:pPr>
        <w:pStyle w:val="14"/>
        <w:spacing w:before="0" w:beforeAutospacing="0" w:after="0" w:afterAutospacing="0" w:line="440" w:lineRule="exact"/>
        <w:ind w:firstLine="720" w:firstLineChars="300"/>
        <w:rPr>
          <w:rStyle w:val="34"/>
          <w:rFonts w:hint="eastAsia" w:ascii="宋体" w:hAnsi="宋体" w:eastAsia="宋体" w:cs="宋体"/>
          <w:b w:val="0"/>
          <w:bCs w:val="0"/>
          <w:color w:val="auto"/>
          <w:szCs w:val="24"/>
          <w:shd w:val="clear" w:color="auto" w:fill="FFFFFF"/>
        </w:rPr>
      </w:pPr>
      <w:r>
        <w:rPr>
          <w:rStyle w:val="34"/>
          <w:rFonts w:hint="eastAsia" w:ascii="宋体" w:hAnsi="宋体" w:eastAsia="宋体" w:cs="宋体"/>
          <w:b w:val="0"/>
          <w:bCs w:val="0"/>
          <w:color w:val="auto"/>
          <w:szCs w:val="24"/>
          <w:shd w:val="clear" w:color="auto" w:fill="FFFFFF"/>
        </w:rPr>
        <w:t>（1）在中华人民共和国境内注册，具有独立法人资格且具有承担本项目的能力；</w:t>
      </w:r>
    </w:p>
    <w:p>
      <w:pPr>
        <w:pStyle w:val="14"/>
        <w:spacing w:before="0" w:beforeAutospacing="0" w:after="0" w:afterAutospacing="0" w:line="440" w:lineRule="exact"/>
        <w:ind w:firstLine="720"/>
        <w:rPr>
          <w:rStyle w:val="34"/>
          <w:rFonts w:hint="eastAsia" w:ascii="宋体" w:hAnsi="宋体" w:eastAsia="宋体" w:cs="宋体"/>
          <w:b w:val="0"/>
          <w:bCs w:val="0"/>
          <w:color w:val="auto"/>
          <w:szCs w:val="24"/>
          <w:shd w:val="clear" w:color="auto" w:fill="FFFFFF"/>
        </w:rPr>
      </w:pPr>
      <w:r>
        <w:rPr>
          <w:rStyle w:val="34"/>
          <w:rFonts w:hint="eastAsia" w:ascii="宋体" w:hAnsi="宋体" w:eastAsia="宋体" w:cs="宋体"/>
          <w:b w:val="0"/>
          <w:bCs w:val="0"/>
          <w:color w:val="auto"/>
          <w:szCs w:val="24"/>
          <w:shd w:val="clear" w:color="auto" w:fill="FFFFFF"/>
        </w:rPr>
        <w:t>（2）具有独立法人</w:t>
      </w:r>
      <w:r>
        <w:rPr>
          <w:rStyle w:val="34"/>
          <w:rFonts w:hint="eastAsia" w:cs="宋体"/>
          <w:b w:val="0"/>
          <w:bCs w:val="0"/>
          <w:color w:val="auto"/>
          <w:szCs w:val="24"/>
          <w:shd w:val="clear" w:color="auto" w:fill="FFFFFF"/>
          <w:lang w:val="en-US" w:eastAsia="zh-CN"/>
        </w:rPr>
        <w:t>合格</w:t>
      </w:r>
      <w:r>
        <w:rPr>
          <w:rStyle w:val="34"/>
          <w:rFonts w:hint="eastAsia" w:ascii="宋体" w:hAnsi="宋体" w:eastAsia="宋体" w:cs="宋体"/>
          <w:b w:val="0"/>
          <w:bCs w:val="0"/>
          <w:color w:val="auto"/>
          <w:szCs w:val="24"/>
          <w:shd w:val="clear" w:color="auto" w:fill="FFFFFF"/>
        </w:rPr>
        <w:t>有效的营业执照且具有会计师事务所执业证书；</w:t>
      </w:r>
    </w:p>
    <w:p>
      <w:pPr>
        <w:pStyle w:val="14"/>
        <w:spacing w:before="0" w:beforeAutospacing="0" w:after="0" w:afterAutospacing="0" w:line="440" w:lineRule="exact"/>
        <w:ind w:firstLine="720"/>
        <w:rPr>
          <w:rFonts w:hint="eastAsia" w:ascii="宋体" w:hAnsi="宋体" w:eastAsia="宋体" w:cs="宋体"/>
          <w:color w:val="auto"/>
          <w:kern w:val="2"/>
          <w:sz w:val="24"/>
          <w:szCs w:val="24"/>
          <w:lang w:val="en-US" w:eastAsia="zh-CN" w:bidi="ar-SA"/>
        </w:rPr>
      </w:pPr>
      <w:r>
        <w:rPr>
          <w:rStyle w:val="34"/>
          <w:rFonts w:hint="eastAsia" w:ascii="宋体" w:hAnsi="宋体" w:eastAsia="宋体" w:cs="宋体"/>
          <w:b w:val="0"/>
          <w:bCs w:val="0"/>
          <w:color w:val="auto"/>
          <w:szCs w:val="24"/>
          <w:shd w:val="clear" w:color="auto" w:fill="FFFFFF"/>
        </w:rPr>
        <w:t>（3）</w:t>
      </w:r>
      <w:r>
        <w:rPr>
          <w:rFonts w:hint="eastAsia" w:ascii="宋体" w:hAnsi="宋体" w:eastAsia="宋体" w:cs="宋体"/>
          <w:color w:val="auto"/>
          <w:kern w:val="2"/>
          <w:sz w:val="24"/>
          <w:szCs w:val="24"/>
          <w:lang w:val="en-US" w:eastAsia="zh-CN" w:bidi="ar-SA"/>
        </w:rPr>
        <w:t>具有履行合同所必需的设备和专业技术能力(声明函格式自拟)即具有完成本项目采购能力；</w:t>
      </w:r>
    </w:p>
    <w:p>
      <w:pPr>
        <w:pStyle w:val="14"/>
        <w:keepNext w:val="0"/>
        <w:keepLines w:val="0"/>
        <w:pageBreakBefore w:val="0"/>
        <w:widowControl/>
        <w:suppressLineNumbers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）具有依法缴纳税收和社会保障资金的良好记录</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提供本单位近三个月内任意一个月的依法缴纳税收和社会保障资金的相关材料）；</w:t>
      </w:r>
    </w:p>
    <w:p>
      <w:pPr>
        <w:pStyle w:val="14"/>
        <w:keepNext w:val="0"/>
        <w:keepLines w:val="0"/>
        <w:pageBreakBefore w:val="0"/>
        <w:widowControl/>
        <w:suppressLineNumbers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）单位负责人为同一人或者存在直接控股、管理关系的不同供应商，不得参加同一合同项下的政府采购活动(提供申明函，声明函格式自拟)；</w:t>
      </w:r>
    </w:p>
    <w:p>
      <w:pPr>
        <w:pStyle w:val="14"/>
        <w:keepNext w:val="0"/>
        <w:keepLines w:val="0"/>
        <w:pageBreakBefore w:val="0"/>
        <w:widowControl/>
        <w:suppressLineNumbers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）供应商为中小企业(提供供应商为中小企业的声明函)；</w:t>
      </w:r>
    </w:p>
    <w:p>
      <w:pPr>
        <w:pStyle w:val="14"/>
        <w:keepNext w:val="0"/>
        <w:keepLines w:val="0"/>
        <w:pageBreakBefore w:val="0"/>
        <w:widowControl/>
        <w:suppressLineNumbers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投标人参加政府采购活动前三年内，在经营活动中没有重大违法记录，在“信用中国”网站（www.creditchina.gov.cn）、中国政府采购网（www.ccgp.gov.cn）没有被列入失信被执行人、重大税收违法案件当事人名单、政府采购严重违法失信行为记录名单及其他不符合规定条件；</w:t>
      </w:r>
    </w:p>
    <w:p>
      <w:pPr>
        <w:pStyle w:val="14"/>
        <w:keepNext w:val="0"/>
        <w:keepLines w:val="0"/>
        <w:pageBreakBefore w:val="0"/>
        <w:widowControl/>
        <w:suppressLineNumbers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）本项目不接受联合体投标；</w:t>
      </w:r>
    </w:p>
    <w:p>
      <w:pPr>
        <w:pStyle w:val="14"/>
        <w:spacing w:before="0" w:beforeAutospacing="0" w:after="0" w:afterAutospacing="0" w:line="440" w:lineRule="exact"/>
        <w:ind w:firstLine="720"/>
        <w:rPr>
          <w:rStyle w:val="34"/>
          <w:rFonts w:hint="eastAsia" w:ascii="宋体" w:hAnsi="宋体" w:eastAsia="宋体" w:cs="宋体"/>
          <w:b w:val="0"/>
          <w:bCs w:val="0"/>
          <w:color w:val="auto"/>
          <w:szCs w:val="24"/>
          <w:shd w:val="clear" w:color="auto" w:fill="FFFFFF"/>
        </w:rPr>
      </w:pPr>
      <w:r>
        <w:rPr>
          <w:rStyle w:val="34"/>
          <w:rFonts w:hint="eastAsia" w:ascii="宋体" w:hAnsi="宋体" w:eastAsia="宋体" w:cs="宋体"/>
          <w:color w:val="auto"/>
          <w:szCs w:val="24"/>
          <w:shd w:val="clear" w:color="auto" w:fill="FFFFFF"/>
        </w:rPr>
        <w:t>注：此项目分为三个标段，每个潜在供应商可同时参与多个标段投标，但不可兼中兼得，同一企业最多只允许中标一个项目。如同一企业同时中两个及以上标段，中标顺序按照开标先后顺序确定。</w:t>
      </w:r>
    </w:p>
    <w:p>
      <w:pPr>
        <w:pStyle w:val="14"/>
        <w:spacing w:before="0" w:beforeAutospacing="0" w:after="0" w:afterAutospacing="0" w:line="440" w:lineRule="exact"/>
        <w:ind w:firstLine="720"/>
        <w:rPr>
          <w:rFonts w:hint="eastAsia" w:ascii="宋体" w:hAnsi="宋体" w:eastAsia="宋体" w:cs="宋体"/>
          <w:color w:val="auto"/>
          <w:szCs w:val="24"/>
        </w:rPr>
      </w:pPr>
      <w:r>
        <w:rPr>
          <w:rStyle w:val="34"/>
          <w:rFonts w:hint="eastAsia" w:ascii="宋体" w:hAnsi="宋体" w:eastAsia="宋体" w:cs="宋体"/>
          <w:color w:val="auto"/>
          <w:szCs w:val="24"/>
          <w:shd w:val="clear" w:color="auto" w:fill="FFFFFF"/>
        </w:rPr>
        <w:t>三、获取采购文件</w:t>
      </w:r>
    </w:p>
    <w:p>
      <w:pPr>
        <w:pStyle w:val="14"/>
        <w:spacing w:before="0" w:beforeAutospacing="0" w:after="0" w:afterAutospacing="0" w:line="440" w:lineRule="exact"/>
        <w:ind w:firstLine="840"/>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时间：</w:t>
      </w:r>
      <w:r>
        <w:rPr>
          <w:rFonts w:hint="eastAsia" w:ascii="宋体" w:hAnsi="宋体" w:eastAsia="宋体" w:cs="宋体"/>
          <w:color w:val="0000FF"/>
          <w:szCs w:val="24"/>
          <w:shd w:val="clear" w:color="auto" w:fill="FFFFFF"/>
        </w:rPr>
        <w:t>2023年</w:t>
      </w:r>
      <w:r>
        <w:rPr>
          <w:rFonts w:hint="eastAsia" w:cs="宋体"/>
          <w:color w:val="0000FF"/>
          <w:szCs w:val="24"/>
          <w:shd w:val="clear" w:color="auto" w:fill="FFFFFF"/>
          <w:lang w:val="en-US" w:eastAsia="zh-CN"/>
        </w:rPr>
        <w:t>10</w:t>
      </w:r>
      <w:r>
        <w:rPr>
          <w:rFonts w:hint="eastAsia" w:ascii="宋体" w:hAnsi="宋体" w:eastAsia="宋体" w:cs="宋体"/>
          <w:color w:val="0000FF"/>
          <w:szCs w:val="24"/>
          <w:shd w:val="clear" w:color="auto" w:fill="FFFFFF"/>
        </w:rPr>
        <w:t>月</w:t>
      </w:r>
      <w:r>
        <w:rPr>
          <w:rFonts w:hint="eastAsia" w:cs="宋体"/>
          <w:color w:val="0000FF"/>
          <w:szCs w:val="24"/>
          <w:shd w:val="clear" w:color="auto" w:fill="FFFFFF"/>
          <w:lang w:val="en-US" w:eastAsia="zh-CN"/>
        </w:rPr>
        <w:t>26</w:t>
      </w:r>
      <w:r>
        <w:rPr>
          <w:rFonts w:hint="eastAsia" w:ascii="宋体" w:hAnsi="宋体" w:eastAsia="宋体" w:cs="宋体"/>
          <w:color w:val="0000FF"/>
          <w:szCs w:val="24"/>
          <w:shd w:val="clear" w:color="auto" w:fill="FFFFFF"/>
        </w:rPr>
        <w:t>日至2023年</w:t>
      </w:r>
      <w:r>
        <w:rPr>
          <w:rFonts w:hint="eastAsia" w:cs="宋体"/>
          <w:color w:val="0000FF"/>
          <w:szCs w:val="24"/>
          <w:shd w:val="clear" w:color="auto" w:fill="FFFFFF"/>
          <w:lang w:val="en-US" w:eastAsia="zh-CN"/>
        </w:rPr>
        <w:t>11</w:t>
      </w:r>
      <w:r>
        <w:rPr>
          <w:rFonts w:hint="eastAsia" w:ascii="宋体" w:hAnsi="宋体" w:eastAsia="宋体" w:cs="宋体"/>
          <w:color w:val="0000FF"/>
          <w:szCs w:val="24"/>
          <w:shd w:val="clear" w:color="auto" w:fill="FFFFFF"/>
        </w:rPr>
        <w:t>月</w:t>
      </w:r>
      <w:r>
        <w:rPr>
          <w:rFonts w:hint="eastAsia" w:cs="宋体"/>
          <w:color w:val="0000FF"/>
          <w:szCs w:val="24"/>
          <w:shd w:val="clear" w:color="auto" w:fill="FFFFFF"/>
          <w:lang w:val="en-US" w:eastAsia="zh-CN"/>
        </w:rPr>
        <w:t>02</w:t>
      </w:r>
      <w:bookmarkStart w:id="161" w:name="_GoBack"/>
      <w:bookmarkEnd w:id="161"/>
      <w:r>
        <w:rPr>
          <w:rFonts w:hint="eastAsia" w:ascii="宋体" w:hAnsi="宋体" w:eastAsia="宋体" w:cs="宋体"/>
          <w:color w:val="0000FF"/>
          <w:szCs w:val="24"/>
          <w:shd w:val="clear" w:color="auto" w:fill="FFFFFF"/>
        </w:rPr>
        <w:t>日，每天上午00</w:t>
      </w:r>
      <w:r>
        <w:rPr>
          <w:rFonts w:hint="eastAsia" w:ascii="宋体" w:hAnsi="宋体" w:eastAsia="宋体" w:cs="宋体"/>
          <w:color w:val="0000FF"/>
          <w:szCs w:val="24"/>
          <w:shd w:val="clear" w:color="auto" w:fill="FFFFFF"/>
          <w:lang w:eastAsia="zh-CN"/>
        </w:rPr>
        <w:t>：</w:t>
      </w:r>
      <w:r>
        <w:rPr>
          <w:rFonts w:hint="eastAsia" w:ascii="宋体" w:hAnsi="宋体" w:eastAsia="宋体" w:cs="宋体"/>
          <w:color w:val="0000FF"/>
          <w:szCs w:val="24"/>
          <w:shd w:val="clear" w:color="auto" w:fill="FFFFFF"/>
        </w:rPr>
        <w:t>00至14</w:t>
      </w:r>
      <w:r>
        <w:rPr>
          <w:rFonts w:hint="eastAsia" w:ascii="宋体" w:hAnsi="宋体" w:eastAsia="宋体" w:cs="宋体"/>
          <w:color w:val="0000FF"/>
          <w:szCs w:val="24"/>
          <w:shd w:val="clear" w:color="auto" w:fill="FFFFFF"/>
          <w:lang w:eastAsia="zh-CN"/>
        </w:rPr>
        <w:t>：</w:t>
      </w:r>
      <w:r>
        <w:rPr>
          <w:rFonts w:hint="eastAsia" w:ascii="宋体" w:hAnsi="宋体" w:eastAsia="宋体" w:cs="宋体"/>
          <w:color w:val="0000FF"/>
          <w:szCs w:val="24"/>
          <w:shd w:val="clear" w:color="auto" w:fill="FFFFFF"/>
        </w:rPr>
        <w:t>00，下午14</w:t>
      </w:r>
      <w:r>
        <w:rPr>
          <w:rFonts w:hint="eastAsia" w:ascii="宋体" w:hAnsi="宋体" w:eastAsia="宋体" w:cs="宋体"/>
          <w:color w:val="0000FF"/>
          <w:szCs w:val="24"/>
          <w:shd w:val="clear" w:color="auto" w:fill="FFFFFF"/>
          <w:lang w:eastAsia="zh-CN"/>
        </w:rPr>
        <w:t>：</w:t>
      </w:r>
      <w:r>
        <w:rPr>
          <w:rFonts w:hint="eastAsia" w:ascii="宋体" w:hAnsi="宋体" w:eastAsia="宋体" w:cs="宋体"/>
          <w:color w:val="0000FF"/>
          <w:szCs w:val="24"/>
          <w:shd w:val="clear" w:color="auto" w:fill="FFFFFF"/>
        </w:rPr>
        <w:t>00至24</w:t>
      </w:r>
      <w:r>
        <w:rPr>
          <w:rFonts w:hint="eastAsia" w:ascii="宋体" w:hAnsi="宋体" w:eastAsia="宋体" w:cs="宋体"/>
          <w:color w:val="0000FF"/>
          <w:szCs w:val="24"/>
          <w:shd w:val="clear" w:color="auto" w:fill="FFFFFF"/>
          <w:lang w:eastAsia="zh-CN"/>
        </w:rPr>
        <w:t>：</w:t>
      </w:r>
      <w:r>
        <w:rPr>
          <w:rFonts w:hint="eastAsia" w:ascii="宋体" w:hAnsi="宋体" w:eastAsia="宋体" w:cs="宋体"/>
          <w:color w:val="0000FF"/>
          <w:szCs w:val="24"/>
          <w:shd w:val="clear" w:color="auto" w:fill="FFFFFF"/>
        </w:rPr>
        <w:t>00（北京时间，法定节假日除外）</w:t>
      </w:r>
    </w:p>
    <w:p>
      <w:pPr>
        <w:pStyle w:val="14"/>
        <w:spacing w:before="0" w:beforeAutospacing="0" w:after="0" w:afterAutospacing="0" w:line="440" w:lineRule="exact"/>
        <w:ind w:firstLine="840"/>
        <w:rPr>
          <w:rStyle w:val="34"/>
          <w:rFonts w:hint="eastAsia" w:ascii="宋体" w:hAnsi="宋体" w:eastAsia="宋体" w:cs="宋体"/>
          <w:b w:val="0"/>
          <w:bCs w:val="0"/>
          <w:color w:val="auto"/>
          <w:szCs w:val="24"/>
          <w:shd w:val="clear" w:color="auto" w:fill="FFFFFF"/>
        </w:rPr>
      </w:pPr>
      <w:r>
        <w:rPr>
          <w:rStyle w:val="34"/>
          <w:rFonts w:hint="eastAsia" w:ascii="宋体" w:hAnsi="宋体" w:eastAsia="宋体" w:cs="宋体"/>
          <w:b w:val="0"/>
          <w:bCs w:val="0"/>
          <w:color w:val="auto"/>
          <w:szCs w:val="24"/>
          <w:shd w:val="clear" w:color="auto" w:fill="FFFFFF"/>
        </w:rPr>
        <w:t>地点：供应商登陆政采云平台http://www.zcygov.cn/，在线申请获取招标文件（登录政府采购云平台 → 项目采购 → 获取招标文件→申请，审核通过后可下载招标文件，如有操作性问题，可与政采云在线客服进行咨询，咨询电话：95763）。</w:t>
      </w:r>
    </w:p>
    <w:p>
      <w:pPr>
        <w:pStyle w:val="14"/>
        <w:spacing w:before="0" w:beforeAutospacing="0" w:after="0" w:afterAutospacing="0" w:line="440" w:lineRule="exact"/>
        <w:ind w:firstLine="840"/>
        <w:rPr>
          <w:rStyle w:val="34"/>
          <w:rFonts w:hint="eastAsia" w:ascii="宋体" w:hAnsi="宋体" w:eastAsia="宋体" w:cs="宋体"/>
          <w:b w:val="0"/>
          <w:bCs w:val="0"/>
          <w:color w:val="auto"/>
          <w:szCs w:val="24"/>
          <w:shd w:val="clear" w:color="auto" w:fill="FFFFFF"/>
        </w:rPr>
      </w:pPr>
      <w:r>
        <w:rPr>
          <w:rStyle w:val="34"/>
          <w:rFonts w:hint="eastAsia" w:ascii="宋体" w:hAnsi="宋体" w:eastAsia="宋体" w:cs="宋体"/>
          <w:b w:val="0"/>
          <w:bCs w:val="0"/>
          <w:color w:val="auto"/>
          <w:szCs w:val="24"/>
          <w:shd w:val="clear" w:color="auto" w:fill="FFFFFF"/>
        </w:rPr>
        <w:t>方式：（1）线上获取（登录政府采购云平台 → 项目采购 → 获取招标文件→ 申请，审核通过后可下载招标文件）。本次招标不提供纸质版招标文件。（2）供应商获取招标文件前应注册成为政府采购云平台正式供应商。</w:t>
      </w:r>
    </w:p>
    <w:p>
      <w:pPr>
        <w:pStyle w:val="14"/>
        <w:spacing w:before="0" w:beforeAutospacing="0" w:after="0" w:afterAutospacing="0" w:line="440" w:lineRule="exact"/>
        <w:ind w:firstLine="840"/>
        <w:rPr>
          <w:rStyle w:val="34"/>
          <w:rFonts w:hint="eastAsia" w:ascii="宋体" w:hAnsi="宋体" w:eastAsia="宋体" w:cs="宋体"/>
          <w:b w:val="0"/>
          <w:bCs w:val="0"/>
          <w:color w:val="auto"/>
          <w:szCs w:val="24"/>
          <w:shd w:val="clear" w:color="auto" w:fill="FFFFFF"/>
        </w:rPr>
      </w:pPr>
      <w:r>
        <w:rPr>
          <w:rStyle w:val="34"/>
          <w:rFonts w:hint="eastAsia" w:ascii="宋体" w:hAnsi="宋体" w:eastAsia="宋体" w:cs="宋体"/>
          <w:b w:val="0"/>
          <w:bCs w:val="0"/>
          <w:color w:val="auto"/>
          <w:szCs w:val="24"/>
          <w:shd w:val="clear" w:color="auto" w:fill="FFFFFF"/>
        </w:rPr>
        <w:t>售价：采购文件费为0元/份。</w:t>
      </w:r>
    </w:p>
    <w:p>
      <w:pPr>
        <w:pStyle w:val="14"/>
        <w:spacing w:before="0" w:beforeAutospacing="0" w:after="0" w:afterAutospacing="0" w:line="440" w:lineRule="exact"/>
        <w:ind w:firstLine="840"/>
        <w:rPr>
          <w:rFonts w:hint="eastAsia" w:ascii="宋体" w:hAnsi="宋体" w:eastAsia="宋体" w:cs="宋体"/>
          <w:color w:val="auto"/>
          <w:szCs w:val="24"/>
        </w:rPr>
      </w:pPr>
      <w:r>
        <w:rPr>
          <w:rStyle w:val="34"/>
          <w:rFonts w:hint="eastAsia" w:ascii="宋体" w:hAnsi="宋体" w:eastAsia="宋体" w:cs="宋体"/>
          <w:color w:val="auto"/>
          <w:szCs w:val="24"/>
          <w:shd w:val="clear" w:color="auto" w:fill="FFFFFF"/>
        </w:rPr>
        <w:t>四、响应文件提交</w:t>
      </w:r>
      <w:r>
        <w:rPr>
          <w:rFonts w:hint="eastAsia" w:ascii="宋体" w:hAnsi="宋体" w:eastAsia="宋体" w:cs="宋体"/>
          <w:color w:val="auto"/>
          <w:szCs w:val="24"/>
          <w:shd w:val="clear" w:color="auto" w:fill="FFFFFF"/>
        </w:rPr>
        <w:t> </w:t>
      </w:r>
    </w:p>
    <w:p>
      <w:pPr>
        <w:pStyle w:val="14"/>
        <w:spacing w:before="0" w:beforeAutospacing="0" w:after="0" w:afterAutospacing="0" w:line="440" w:lineRule="exact"/>
        <w:rPr>
          <w:rFonts w:hint="eastAsia" w:ascii="宋体" w:hAnsi="宋体" w:eastAsia="宋体" w:cs="宋体"/>
          <w:color w:val="auto"/>
          <w:szCs w:val="24"/>
        </w:rPr>
      </w:pPr>
      <w:r>
        <w:rPr>
          <w:rFonts w:hint="eastAsia" w:ascii="宋体" w:hAnsi="宋体" w:eastAsia="宋体" w:cs="宋体"/>
          <w:color w:val="auto"/>
          <w:szCs w:val="24"/>
          <w:shd w:val="clear" w:color="auto" w:fill="FFFFFF"/>
        </w:rPr>
        <w:t>    截止时间：</w:t>
      </w:r>
      <w:r>
        <w:rPr>
          <w:rFonts w:hint="eastAsia" w:ascii="宋体" w:hAnsi="宋体" w:eastAsia="宋体" w:cs="宋体"/>
          <w:color w:val="0000FF"/>
          <w:szCs w:val="24"/>
          <w:shd w:val="clear" w:color="auto" w:fill="FFFFFF"/>
        </w:rPr>
        <w:t>2023年</w:t>
      </w:r>
      <w:r>
        <w:rPr>
          <w:rFonts w:hint="eastAsia" w:cs="宋体"/>
          <w:color w:val="0000FF"/>
          <w:szCs w:val="24"/>
          <w:shd w:val="clear" w:color="auto" w:fill="FFFFFF"/>
          <w:lang w:val="en-US" w:eastAsia="zh-CN"/>
        </w:rPr>
        <w:t>11</w:t>
      </w:r>
      <w:r>
        <w:rPr>
          <w:rFonts w:hint="eastAsia" w:ascii="宋体" w:hAnsi="宋体" w:eastAsia="宋体" w:cs="宋体"/>
          <w:color w:val="0000FF"/>
          <w:szCs w:val="24"/>
          <w:shd w:val="clear" w:color="auto" w:fill="FFFFFF"/>
        </w:rPr>
        <w:t>月</w:t>
      </w:r>
      <w:r>
        <w:rPr>
          <w:rFonts w:hint="eastAsia" w:cs="宋体"/>
          <w:color w:val="0000FF"/>
          <w:szCs w:val="24"/>
          <w:shd w:val="clear" w:color="auto" w:fill="FFFFFF"/>
          <w:lang w:val="en-US" w:eastAsia="zh-CN"/>
        </w:rPr>
        <w:t>06</w:t>
      </w:r>
      <w:r>
        <w:rPr>
          <w:rFonts w:hint="eastAsia" w:ascii="宋体" w:hAnsi="宋体" w:eastAsia="宋体" w:cs="宋体"/>
          <w:color w:val="0000FF"/>
          <w:szCs w:val="24"/>
          <w:shd w:val="clear" w:color="auto" w:fill="FFFFFF"/>
        </w:rPr>
        <w:t>日 1</w:t>
      </w:r>
      <w:r>
        <w:rPr>
          <w:rFonts w:hint="eastAsia" w:cs="宋体"/>
          <w:color w:val="0000FF"/>
          <w:szCs w:val="24"/>
          <w:shd w:val="clear" w:color="auto" w:fill="FFFFFF"/>
          <w:lang w:val="en-US" w:eastAsia="zh-CN"/>
        </w:rPr>
        <w:t>0</w:t>
      </w:r>
      <w:r>
        <w:rPr>
          <w:rFonts w:hint="eastAsia" w:ascii="宋体" w:hAnsi="宋体" w:eastAsia="宋体" w:cs="宋体"/>
          <w:color w:val="0000FF"/>
          <w:szCs w:val="24"/>
          <w:shd w:val="clear" w:color="auto" w:fill="FFFFFF"/>
          <w:lang w:eastAsia="zh-CN"/>
        </w:rPr>
        <w:t>：</w:t>
      </w:r>
      <w:r>
        <w:rPr>
          <w:rFonts w:hint="eastAsia" w:ascii="宋体" w:hAnsi="宋体" w:eastAsia="宋体" w:cs="宋体"/>
          <w:color w:val="0000FF"/>
          <w:szCs w:val="24"/>
          <w:shd w:val="clear" w:color="auto" w:fill="FFFFFF"/>
        </w:rPr>
        <w:t>00</w:t>
      </w:r>
      <w:r>
        <w:rPr>
          <w:rFonts w:hint="eastAsia" w:ascii="宋体" w:hAnsi="宋体" w:eastAsia="宋体" w:cs="宋体"/>
          <w:color w:val="auto"/>
          <w:szCs w:val="24"/>
          <w:shd w:val="clear" w:color="auto" w:fill="FFFFFF"/>
        </w:rPr>
        <w:t>（北京时间）</w:t>
      </w:r>
    </w:p>
    <w:p>
      <w:pPr>
        <w:pStyle w:val="14"/>
        <w:spacing w:before="0" w:beforeAutospacing="0" w:after="0" w:afterAutospacing="0" w:line="440" w:lineRule="exact"/>
        <w:ind w:firstLine="720"/>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地点：</w:t>
      </w:r>
      <w:bookmarkStart w:id="17" w:name="_Toc23372"/>
      <w:bookmarkStart w:id="18" w:name="_Toc14900"/>
      <w:bookmarkStart w:id="19" w:name="_Toc35393633"/>
      <w:bookmarkStart w:id="20" w:name="_Toc28359016"/>
      <w:bookmarkStart w:id="21" w:name="_Toc28359093"/>
      <w:bookmarkStart w:id="22" w:name="_Toc35393802"/>
      <w:r>
        <w:rPr>
          <w:rFonts w:hint="eastAsia" w:ascii="宋体" w:hAnsi="宋体" w:eastAsia="宋体" w:cs="宋体"/>
          <w:color w:val="auto"/>
          <w:szCs w:val="24"/>
        </w:rPr>
        <w:t>政采云平台</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"https://www.zcygov.cn/%E4%B8%8D%E8%A7%81%E9%9D%A2%E5%BC%80%E6%A0%87%E5%A4%A7%E5%8E%85%EF%BC%89" </w:instrText>
      </w:r>
      <w:r>
        <w:rPr>
          <w:rFonts w:hint="eastAsia" w:ascii="宋体" w:hAnsi="宋体" w:eastAsia="宋体" w:cs="宋体"/>
          <w:color w:val="auto"/>
        </w:rPr>
        <w:fldChar w:fldCharType="separate"/>
      </w:r>
      <w:r>
        <w:rPr>
          <w:rFonts w:hint="eastAsia" w:ascii="宋体" w:hAnsi="宋体" w:eastAsia="宋体" w:cs="宋体"/>
          <w:color w:val="auto"/>
          <w:szCs w:val="24"/>
        </w:rPr>
        <w:t>https://www.zcygov.cn/不见面开标大厅）</w:t>
      </w:r>
      <w:r>
        <w:rPr>
          <w:rFonts w:hint="eastAsia" w:ascii="宋体" w:hAnsi="宋体" w:eastAsia="宋体" w:cs="宋体"/>
          <w:color w:val="auto"/>
          <w:szCs w:val="24"/>
        </w:rPr>
        <w:fldChar w:fldCharType="end"/>
      </w:r>
      <w:bookmarkEnd w:id="17"/>
      <w:bookmarkEnd w:id="18"/>
      <w:bookmarkEnd w:id="19"/>
      <w:bookmarkEnd w:id="20"/>
      <w:bookmarkEnd w:id="21"/>
      <w:bookmarkEnd w:id="22"/>
      <w:r>
        <w:rPr>
          <w:rFonts w:hint="eastAsia" w:ascii="宋体" w:hAnsi="宋体" w:eastAsia="宋体" w:cs="宋体"/>
          <w:color w:val="auto"/>
          <w:szCs w:val="24"/>
          <w:shd w:val="clear" w:color="auto" w:fill="FFFFFF"/>
        </w:rPr>
        <w:t xml:space="preserve">  </w:t>
      </w:r>
    </w:p>
    <w:p>
      <w:pPr>
        <w:pStyle w:val="14"/>
        <w:spacing w:before="0" w:beforeAutospacing="0" w:after="0" w:afterAutospacing="0" w:line="440" w:lineRule="exact"/>
        <w:ind w:firstLine="720"/>
        <w:rPr>
          <w:rFonts w:hint="eastAsia" w:ascii="宋体" w:hAnsi="宋体" w:eastAsia="宋体" w:cs="宋体"/>
          <w:color w:val="auto"/>
          <w:szCs w:val="24"/>
        </w:rPr>
      </w:pPr>
      <w:r>
        <w:rPr>
          <w:rStyle w:val="34"/>
          <w:rFonts w:hint="eastAsia" w:ascii="宋体" w:hAnsi="宋体" w:eastAsia="宋体" w:cs="宋体"/>
          <w:color w:val="auto"/>
          <w:szCs w:val="24"/>
          <w:shd w:val="clear" w:color="auto" w:fill="FFFFFF"/>
        </w:rPr>
        <w:t>五、响应文件开启</w:t>
      </w:r>
      <w:r>
        <w:rPr>
          <w:rFonts w:hint="eastAsia" w:ascii="宋体" w:hAnsi="宋体" w:eastAsia="宋体" w:cs="宋体"/>
          <w:color w:val="auto"/>
          <w:szCs w:val="24"/>
          <w:shd w:val="clear" w:color="auto" w:fill="FFFFFF"/>
        </w:rPr>
        <w:t> </w:t>
      </w:r>
    </w:p>
    <w:p>
      <w:pPr>
        <w:pStyle w:val="14"/>
        <w:spacing w:before="0" w:beforeAutospacing="0" w:after="0" w:afterAutospacing="0" w:line="440" w:lineRule="exact"/>
        <w:rPr>
          <w:rFonts w:hint="eastAsia" w:ascii="宋体" w:hAnsi="宋体" w:eastAsia="宋体" w:cs="宋体"/>
          <w:color w:val="auto"/>
          <w:szCs w:val="24"/>
        </w:rPr>
      </w:pPr>
      <w:r>
        <w:rPr>
          <w:rFonts w:hint="eastAsia" w:ascii="宋体" w:hAnsi="宋体" w:eastAsia="宋体" w:cs="宋体"/>
          <w:color w:val="auto"/>
          <w:szCs w:val="24"/>
          <w:shd w:val="clear" w:color="auto" w:fill="FFFFFF"/>
        </w:rPr>
        <w:t>    开启时间：</w:t>
      </w:r>
      <w:r>
        <w:rPr>
          <w:rFonts w:hint="eastAsia" w:ascii="宋体" w:hAnsi="宋体" w:eastAsia="宋体" w:cs="宋体"/>
          <w:color w:val="0000FF"/>
          <w:szCs w:val="24"/>
          <w:shd w:val="clear" w:color="auto" w:fill="FFFFFF"/>
        </w:rPr>
        <w:t>2023年</w:t>
      </w:r>
      <w:r>
        <w:rPr>
          <w:rFonts w:hint="eastAsia" w:cs="宋体"/>
          <w:color w:val="0000FF"/>
          <w:szCs w:val="24"/>
          <w:shd w:val="clear" w:color="auto" w:fill="FFFFFF"/>
          <w:lang w:val="en-US" w:eastAsia="zh-CN"/>
        </w:rPr>
        <w:t>11</w:t>
      </w:r>
      <w:r>
        <w:rPr>
          <w:rFonts w:hint="eastAsia" w:ascii="宋体" w:hAnsi="宋体" w:eastAsia="宋体" w:cs="宋体"/>
          <w:color w:val="0000FF"/>
          <w:szCs w:val="24"/>
          <w:shd w:val="clear" w:color="auto" w:fill="FFFFFF"/>
        </w:rPr>
        <w:t>月</w:t>
      </w:r>
      <w:r>
        <w:rPr>
          <w:rFonts w:hint="eastAsia" w:cs="宋体"/>
          <w:color w:val="0000FF"/>
          <w:szCs w:val="24"/>
          <w:shd w:val="clear" w:color="auto" w:fill="FFFFFF"/>
          <w:lang w:val="en-US" w:eastAsia="zh-CN"/>
        </w:rPr>
        <w:t>06</w:t>
      </w:r>
      <w:r>
        <w:rPr>
          <w:rFonts w:hint="eastAsia" w:ascii="宋体" w:hAnsi="宋体" w:eastAsia="宋体" w:cs="宋体"/>
          <w:color w:val="0000FF"/>
          <w:szCs w:val="24"/>
          <w:shd w:val="clear" w:color="auto" w:fill="FFFFFF"/>
        </w:rPr>
        <w:t>日 1</w:t>
      </w:r>
      <w:r>
        <w:rPr>
          <w:rFonts w:hint="eastAsia" w:cs="宋体"/>
          <w:color w:val="0000FF"/>
          <w:szCs w:val="24"/>
          <w:shd w:val="clear" w:color="auto" w:fill="FFFFFF"/>
          <w:lang w:val="en-US" w:eastAsia="zh-CN"/>
        </w:rPr>
        <w:t>0</w:t>
      </w:r>
      <w:r>
        <w:rPr>
          <w:rFonts w:hint="eastAsia" w:ascii="宋体" w:hAnsi="宋体" w:eastAsia="宋体" w:cs="宋体"/>
          <w:color w:val="0000FF"/>
          <w:szCs w:val="24"/>
          <w:shd w:val="clear" w:color="auto" w:fill="FFFFFF"/>
          <w:lang w:eastAsia="zh-CN"/>
        </w:rPr>
        <w:t>：</w:t>
      </w:r>
      <w:r>
        <w:rPr>
          <w:rFonts w:hint="eastAsia" w:ascii="宋体" w:hAnsi="宋体" w:eastAsia="宋体" w:cs="宋体"/>
          <w:color w:val="0000FF"/>
          <w:szCs w:val="24"/>
          <w:shd w:val="clear" w:color="auto" w:fill="FFFFFF"/>
        </w:rPr>
        <w:t>00</w:t>
      </w:r>
      <w:r>
        <w:rPr>
          <w:rFonts w:hint="eastAsia" w:ascii="宋体" w:hAnsi="宋体" w:eastAsia="宋体" w:cs="宋体"/>
          <w:color w:val="auto"/>
          <w:szCs w:val="24"/>
          <w:shd w:val="clear" w:color="auto" w:fill="FFFFFF"/>
        </w:rPr>
        <w:t>（北京时间）</w:t>
      </w:r>
    </w:p>
    <w:p>
      <w:pPr>
        <w:pStyle w:val="14"/>
        <w:spacing w:before="0" w:beforeAutospacing="0" w:after="0" w:afterAutospacing="0" w:line="440" w:lineRule="exact"/>
        <w:ind w:firstLine="720"/>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地点：在政府采购云平台（www.zcygov.cn）上开启投标文件，开标时间后，待采购组织机构发出解密通知后30分钟内，供应商须登录“政采云”平台，用“项目采购-开标评标”功能解密投标文件。</w:t>
      </w:r>
    </w:p>
    <w:p>
      <w:pPr>
        <w:spacing w:line="440" w:lineRule="exact"/>
        <w:ind w:firstLine="720"/>
        <w:rPr>
          <w:rFonts w:hint="eastAsia" w:ascii="宋体" w:hAnsi="宋体" w:eastAsia="宋体" w:cs="宋体"/>
          <w:color w:val="auto"/>
          <w:sz w:val="24"/>
          <w:szCs w:val="24"/>
        </w:rPr>
      </w:pPr>
      <w:r>
        <w:rPr>
          <w:rFonts w:hint="eastAsia" w:ascii="宋体" w:hAnsi="宋体" w:eastAsia="宋体" w:cs="宋体"/>
          <w:color w:val="auto"/>
          <w:sz w:val="24"/>
          <w:szCs w:val="24"/>
        </w:rPr>
        <w:t>评审地点：昌吉市西外环南路832号尚都社区国投大厦1幢14楼1418室</w:t>
      </w:r>
    </w:p>
    <w:p>
      <w:pPr>
        <w:spacing w:line="440" w:lineRule="exact"/>
        <w:ind w:firstLine="720"/>
        <w:rPr>
          <w:rFonts w:hint="eastAsia" w:ascii="宋体" w:hAnsi="宋体" w:eastAsia="宋体" w:cs="宋体"/>
          <w:color w:val="auto"/>
          <w:sz w:val="24"/>
          <w:szCs w:val="24"/>
        </w:rPr>
      </w:pPr>
      <w:r>
        <w:rPr>
          <w:rStyle w:val="34"/>
          <w:rFonts w:hint="eastAsia" w:ascii="宋体" w:hAnsi="宋体" w:eastAsia="宋体" w:cs="宋体"/>
          <w:color w:val="auto"/>
          <w:sz w:val="24"/>
          <w:szCs w:val="24"/>
          <w:shd w:val="clear" w:color="auto" w:fill="FFFFFF"/>
        </w:rPr>
        <w:t>六、公告期限</w:t>
      </w:r>
    </w:p>
    <w:p>
      <w:pPr>
        <w:pStyle w:val="14"/>
        <w:spacing w:before="0" w:beforeAutospacing="0" w:after="0" w:afterAutospacing="0" w:line="440" w:lineRule="exact"/>
        <w:ind w:firstLine="840"/>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自本公告发布之日起5个工作日。</w:t>
      </w:r>
    </w:p>
    <w:p>
      <w:pPr>
        <w:pStyle w:val="14"/>
        <w:numPr>
          <w:ilvl w:val="0"/>
          <w:numId w:val="4"/>
        </w:numPr>
        <w:spacing w:before="0" w:beforeAutospacing="0" w:after="0" w:afterAutospacing="0" w:line="440" w:lineRule="exact"/>
        <w:ind w:firstLine="723" w:firstLineChars="300"/>
        <w:rPr>
          <w:rStyle w:val="34"/>
          <w:rFonts w:hint="eastAsia" w:ascii="宋体" w:hAnsi="宋体" w:eastAsia="宋体" w:cs="宋体"/>
          <w:color w:val="auto"/>
          <w:szCs w:val="24"/>
          <w:shd w:val="clear" w:color="auto" w:fill="FFFFFF"/>
        </w:rPr>
      </w:pPr>
      <w:r>
        <w:rPr>
          <w:rStyle w:val="34"/>
          <w:rFonts w:hint="eastAsia" w:ascii="宋体" w:hAnsi="宋体" w:eastAsia="宋体" w:cs="宋体"/>
          <w:color w:val="auto"/>
          <w:szCs w:val="24"/>
          <w:shd w:val="clear" w:color="auto" w:fill="FFFFFF"/>
        </w:rPr>
        <w:t>其他补充事宜</w:t>
      </w:r>
    </w:p>
    <w:p>
      <w:pPr>
        <w:pStyle w:val="14"/>
        <w:numPr>
          <w:ilvl w:val="0"/>
          <w:numId w:val="5"/>
        </w:numPr>
        <w:spacing w:before="0" w:beforeAutospacing="0" w:after="0" w:afterAutospacing="0" w:line="440" w:lineRule="exact"/>
        <w:ind w:firstLine="480" w:firstLineChars="200"/>
        <w:rPr>
          <w:rStyle w:val="34"/>
          <w:rFonts w:hint="eastAsia" w:ascii="宋体" w:hAnsi="宋体" w:eastAsia="宋体" w:cs="宋体"/>
          <w:b w:val="0"/>
          <w:bCs w:val="0"/>
          <w:color w:val="auto"/>
          <w:szCs w:val="24"/>
          <w:shd w:val="clear" w:color="auto" w:fill="FFFFFF"/>
        </w:rPr>
      </w:pPr>
      <w:r>
        <w:rPr>
          <w:rStyle w:val="34"/>
          <w:rFonts w:hint="eastAsia" w:ascii="宋体" w:hAnsi="宋体" w:eastAsia="宋体" w:cs="宋体"/>
          <w:b w:val="0"/>
          <w:bCs w:val="0"/>
          <w:color w:val="auto"/>
          <w:szCs w:val="24"/>
          <w:shd w:val="clear" w:color="auto" w:fill="FFFFFF"/>
        </w:rPr>
        <w:t>本项目采用全流程不见面电子开评标，投标供应商需要使用CA加密设备，供应商可通过新疆数字证书认证中心官网（https://www.xjca.com.cn/）或下载“新疆政务通”APP自行进行申领。</w:t>
      </w:r>
    </w:p>
    <w:p>
      <w:pPr>
        <w:pStyle w:val="14"/>
        <w:numPr>
          <w:ilvl w:val="0"/>
          <w:numId w:val="5"/>
        </w:numPr>
        <w:spacing w:before="0" w:beforeAutospacing="0" w:after="0" w:afterAutospacing="0" w:line="440" w:lineRule="exact"/>
        <w:ind w:firstLine="480" w:firstLineChars="200"/>
        <w:rPr>
          <w:rStyle w:val="34"/>
          <w:rFonts w:hint="eastAsia" w:ascii="宋体" w:hAnsi="宋体" w:eastAsia="宋体" w:cs="宋体"/>
          <w:b w:val="0"/>
          <w:bCs w:val="0"/>
          <w:color w:val="auto"/>
          <w:szCs w:val="24"/>
          <w:shd w:val="clear" w:color="auto" w:fill="FFFFFF"/>
        </w:rPr>
      </w:pPr>
      <w:r>
        <w:rPr>
          <w:rStyle w:val="34"/>
          <w:rFonts w:hint="eastAsia" w:ascii="宋体" w:hAnsi="宋体" w:eastAsia="宋体" w:cs="宋体"/>
          <w:b w:val="0"/>
          <w:bCs w:val="0"/>
          <w:color w:val="auto"/>
          <w:szCs w:val="24"/>
          <w:shd w:val="clear" w:color="auto" w:fill="FFFFFF"/>
        </w:rPr>
        <w:t>本项目实行网上投标，采用加密电子投标文件(供应商须使用CA加密设备通过政采云电子投标客户端制作投标文件)。若供应商参与投标，自行承担投标一切费用。</w:t>
      </w:r>
    </w:p>
    <w:p>
      <w:pPr>
        <w:pStyle w:val="14"/>
        <w:numPr>
          <w:ilvl w:val="0"/>
          <w:numId w:val="5"/>
        </w:numPr>
        <w:spacing w:before="0" w:beforeAutospacing="0" w:after="0" w:afterAutospacing="0" w:line="440" w:lineRule="exact"/>
        <w:ind w:firstLine="480" w:firstLineChars="200"/>
        <w:rPr>
          <w:rStyle w:val="34"/>
          <w:rFonts w:hint="eastAsia" w:ascii="宋体" w:hAnsi="宋体" w:eastAsia="宋体" w:cs="宋体"/>
          <w:b w:val="0"/>
          <w:bCs w:val="0"/>
          <w:color w:val="auto"/>
          <w:szCs w:val="24"/>
          <w:shd w:val="clear" w:color="auto" w:fill="FFFFFF"/>
        </w:rPr>
      </w:pPr>
      <w:r>
        <w:rPr>
          <w:rStyle w:val="34"/>
          <w:rFonts w:hint="eastAsia" w:ascii="宋体" w:hAnsi="宋体" w:eastAsia="宋体" w:cs="宋体"/>
          <w:b w:val="0"/>
          <w:bCs w:val="0"/>
          <w:color w:val="auto"/>
          <w:szCs w:val="24"/>
          <w:shd w:val="clear" w:color="auto" w:fill="FFFFFF"/>
        </w:rPr>
        <w:t>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pStyle w:val="14"/>
        <w:numPr>
          <w:ilvl w:val="0"/>
          <w:numId w:val="5"/>
        </w:numPr>
        <w:spacing w:before="0" w:beforeAutospacing="0" w:after="0" w:afterAutospacing="0" w:line="440" w:lineRule="exact"/>
        <w:ind w:firstLine="480" w:firstLineChars="200"/>
        <w:rPr>
          <w:rStyle w:val="34"/>
          <w:rFonts w:hint="eastAsia" w:ascii="宋体" w:hAnsi="宋体" w:eastAsia="宋体" w:cs="宋体"/>
          <w:b w:val="0"/>
          <w:bCs w:val="0"/>
          <w:color w:val="auto"/>
          <w:szCs w:val="24"/>
          <w:shd w:val="clear" w:color="auto" w:fill="FFFFFF"/>
        </w:rPr>
      </w:pPr>
      <w:r>
        <w:rPr>
          <w:rStyle w:val="34"/>
          <w:rFonts w:hint="eastAsia" w:ascii="宋体" w:hAnsi="宋体" w:eastAsia="宋体" w:cs="宋体"/>
          <w:b w:val="0"/>
          <w:bCs w:val="0"/>
          <w:color w:val="auto"/>
          <w:szCs w:val="24"/>
          <w:shd w:val="clear" w:color="auto" w:fill="FFFFFF"/>
        </w:rPr>
        <w:t>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pStyle w:val="14"/>
        <w:numPr>
          <w:ilvl w:val="0"/>
          <w:numId w:val="5"/>
        </w:numPr>
        <w:spacing w:before="0" w:beforeAutospacing="0" w:after="0" w:afterAutospacing="0" w:line="440" w:lineRule="exact"/>
        <w:ind w:firstLine="480" w:firstLineChars="200"/>
        <w:rPr>
          <w:rStyle w:val="34"/>
          <w:rFonts w:hint="eastAsia" w:ascii="宋体" w:hAnsi="宋体" w:eastAsia="宋体" w:cs="宋体"/>
          <w:b w:val="0"/>
          <w:bCs w:val="0"/>
          <w:color w:val="auto"/>
          <w:szCs w:val="24"/>
          <w:shd w:val="clear" w:color="auto" w:fill="FFFFFF"/>
        </w:rPr>
      </w:pPr>
      <w:r>
        <w:rPr>
          <w:rStyle w:val="34"/>
          <w:rFonts w:hint="eastAsia" w:ascii="宋体" w:hAnsi="宋体" w:eastAsia="宋体" w:cs="宋体"/>
          <w:b w:val="0"/>
          <w:bCs w:val="0"/>
          <w:color w:val="auto"/>
          <w:szCs w:val="24"/>
          <w:shd w:val="clear" w:color="auto" w:fill="FFFFFF"/>
        </w:rPr>
        <w:t>供应商在开标时须使用制作加密电子投标文件所使用的CA锁及电脑，电脑须提前配置好浏览器（建议使用谷歌浏览器），以便开标时解锁。</w:t>
      </w:r>
    </w:p>
    <w:p>
      <w:pPr>
        <w:pStyle w:val="14"/>
        <w:numPr>
          <w:ilvl w:val="0"/>
          <w:numId w:val="5"/>
        </w:numPr>
        <w:spacing w:before="0" w:beforeAutospacing="0" w:after="0" w:afterAutospacing="0" w:line="440" w:lineRule="exact"/>
        <w:ind w:firstLine="480" w:firstLineChars="200"/>
        <w:rPr>
          <w:rStyle w:val="34"/>
          <w:rFonts w:hint="eastAsia" w:ascii="宋体" w:hAnsi="宋体" w:eastAsia="宋体" w:cs="宋体"/>
          <w:b w:val="0"/>
          <w:bCs w:val="0"/>
          <w:color w:val="auto"/>
          <w:szCs w:val="24"/>
          <w:shd w:val="clear" w:color="auto" w:fill="FFFFFF"/>
        </w:rPr>
      </w:pPr>
      <w:r>
        <w:rPr>
          <w:rStyle w:val="34"/>
          <w:rFonts w:hint="eastAsia" w:ascii="宋体" w:hAnsi="宋体" w:eastAsia="宋体" w:cs="宋体"/>
          <w:b w:val="0"/>
          <w:bCs w:val="0"/>
          <w:color w:val="auto"/>
          <w:szCs w:val="24"/>
          <w:shd w:val="clear" w:color="auto" w:fill="FFFFFF"/>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二十群：35547618、二十一群：44303812，钉钉工具软件具有回放功能，直播培训结束后可在钉钉群中回放观看学习。</w:t>
      </w:r>
    </w:p>
    <w:p>
      <w:pPr>
        <w:pStyle w:val="14"/>
        <w:numPr>
          <w:ilvl w:val="0"/>
          <w:numId w:val="5"/>
        </w:numPr>
        <w:spacing w:before="0" w:beforeAutospacing="0" w:after="0" w:afterAutospacing="0" w:line="440" w:lineRule="exact"/>
        <w:ind w:firstLine="480" w:firstLineChars="200"/>
        <w:rPr>
          <w:rStyle w:val="34"/>
          <w:rFonts w:hint="eastAsia" w:ascii="宋体" w:hAnsi="宋体" w:eastAsia="宋体" w:cs="宋体"/>
          <w:b w:val="0"/>
          <w:bCs w:val="0"/>
          <w:color w:val="auto"/>
          <w:szCs w:val="24"/>
          <w:shd w:val="clear" w:color="auto" w:fill="FFFFFF"/>
        </w:rPr>
      </w:pPr>
      <w:r>
        <w:rPr>
          <w:rStyle w:val="34"/>
          <w:rFonts w:hint="eastAsia" w:ascii="宋体" w:hAnsi="宋体" w:eastAsia="宋体" w:cs="宋体"/>
          <w:b w:val="0"/>
          <w:bCs w:val="0"/>
          <w:color w:val="auto"/>
          <w:szCs w:val="24"/>
          <w:shd w:val="clear" w:color="auto" w:fill="FFFFFF"/>
        </w:rPr>
        <w:t>为了保证开评标顺利进行，政采云线上开标功能完全实现，供应商开标所使用的电脑设备须具有视频及语音功能。</w:t>
      </w:r>
    </w:p>
    <w:p>
      <w:pPr>
        <w:pStyle w:val="14"/>
        <w:numPr>
          <w:ilvl w:val="0"/>
          <w:numId w:val="5"/>
        </w:numPr>
        <w:spacing w:before="0" w:beforeAutospacing="0" w:after="0" w:afterAutospacing="0" w:line="440" w:lineRule="exact"/>
        <w:ind w:firstLine="480" w:firstLineChars="200"/>
        <w:rPr>
          <w:rFonts w:hint="default" w:eastAsia="宋体"/>
          <w:lang w:val="en-US" w:eastAsia="zh-CN"/>
        </w:rPr>
      </w:pPr>
      <w:r>
        <w:rPr>
          <w:rStyle w:val="34"/>
          <w:rFonts w:hint="eastAsia" w:ascii="宋体" w:hAnsi="宋体" w:eastAsia="宋体" w:cs="宋体"/>
          <w:b w:val="0"/>
          <w:bCs w:val="0"/>
          <w:color w:val="auto"/>
          <w:szCs w:val="24"/>
          <w:shd w:val="clear" w:color="auto" w:fill="FFFFFF"/>
          <w:lang w:val="en-US" w:eastAsia="zh-CN"/>
        </w:rPr>
        <w:t>本项目为专门面向中小企业（含中型、小型、微型企业）采购项目，根据《政府采购促进中小企业发展管理办法》（财库[2020]46号）的规定，不再执行价格评审优惠的扶持政策。注：中小企业划分标准依据《工业和信息化部、国家统计局、国家发展和改革委员会、财政部关于印发中小企业划型标准规定的通知》（工信部联企业〔2011〕300号）规定。本项目采购标的对应的中小企业划分标准所属行业为</w:t>
      </w:r>
      <w:r>
        <w:rPr>
          <w:rStyle w:val="34"/>
          <w:rFonts w:hint="eastAsia" w:ascii="宋体" w:hAnsi="宋体" w:eastAsia="宋体" w:cs="宋体"/>
          <w:b/>
          <w:bCs/>
          <w:color w:val="auto"/>
          <w:szCs w:val="24"/>
          <w:shd w:val="clear" w:color="auto" w:fill="FFFFFF"/>
          <w:lang w:val="en-US" w:eastAsia="zh-CN"/>
        </w:rPr>
        <w:t>其他未列明行业</w:t>
      </w:r>
      <w:r>
        <w:rPr>
          <w:rStyle w:val="34"/>
          <w:rFonts w:hint="eastAsia" w:ascii="宋体" w:hAnsi="宋体" w:eastAsia="宋体" w:cs="宋体"/>
          <w:b w:val="0"/>
          <w:bCs w:val="0"/>
          <w:color w:val="auto"/>
          <w:szCs w:val="24"/>
          <w:shd w:val="clear" w:color="auto" w:fill="FFFFFF"/>
          <w:lang w:val="en-US" w:eastAsia="zh-CN"/>
        </w:rPr>
        <w:t>。</w:t>
      </w:r>
    </w:p>
    <w:p>
      <w:pPr>
        <w:pStyle w:val="14"/>
        <w:spacing w:before="0" w:beforeAutospacing="0" w:after="0" w:afterAutospacing="0" w:line="440" w:lineRule="exact"/>
        <w:ind w:left="420" w:leftChars="200"/>
        <w:rPr>
          <w:rFonts w:hint="eastAsia" w:ascii="宋体" w:hAnsi="宋体" w:eastAsia="宋体" w:cs="宋体"/>
          <w:color w:val="auto"/>
          <w:szCs w:val="24"/>
        </w:rPr>
      </w:pPr>
      <w:r>
        <w:rPr>
          <w:rStyle w:val="34"/>
          <w:rFonts w:hint="eastAsia" w:ascii="宋体" w:hAnsi="宋体" w:eastAsia="宋体" w:cs="宋体"/>
          <w:color w:val="auto"/>
          <w:szCs w:val="24"/>
          <w:shd w:val="clear" w:color="auto" w:fill="FFFFFF"/>
        </w:rPr>
        <w:t>八、凡对本次招标提出询问，请按以下方式联系</w:t>
      </w:r>
    </w:p>
    <w:p>
      <w:pPr>
        <w:pStyle w:val="14"/>
        <w:spacing w:before="0" w:beforeAutospacing="0" w:after="0" w:afterAutospacing="0" w:line="440" w:lineRule="exact"/>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    1.采购人信息</w:t>
      </w:r>
    </w:p>
    <w:p>
      <w:pPr>
        <w:pStyle w:val="14"/>
        <w:spacing w:before="0" w:beforeAutospacing="0" w:after="0" w:afterAutospacing="0" w:line="440" w:lineRule="exact"/>
        <w:rPr>
          <w:rFonts w:hint="eastAsia" w:ascii="宋体" w:hAnsi="宋体" w:eastAsia="宋体" w:cs="宋体"/>
          <w:color w:val="auto"/>
          <w:szCs w:val="24"/>
          <w:shd w:val="clear" w:color="auto" w:fill="FFFFFF"/>
          <w:lang w:eastAsia="zh-CN"/>
        </w:rPr>
      </w:pPr>
      <w:r>
        <w:rPr>
          <w:rFonts w:hint="eastAsia" w:ascii="宋体" w:hAnsi="宋体" w:eastAsia="宋体" w:cs="宋体"/>
          <w:color w:val="auto"/>
          <w:szCs w:val="24"/>
          <w:shd w:val="clear" w:color="auto" w:fill="FFFFFF"/>
        </w:rPr>
        <w:t>    名称：</w:t>
      </w:r>
      <w:r>
        <w:rPr>
          <w:rFonts w:hint="eastAsia" w:cs="宋体"/>
          <w:color w:val="auto"/>
          <w:szCs w:val="24"/>
          <w:shd w:val="clear" w:color="auto" w:fill="FFFFFF"/>
          <w:lang w:eastAsia="zh-CN"/>
        </w:rPr>
        <w:t>昌吉回族自治州国有资产监督管理委员会</w:t>
      </w:r>
    </w:p>
    <w:p>
      <w:pPr>
        <w:pStyle w:val="14"/>
        <w:spacing w:before="0" w:beforeAutospacing="0" w:after="0" w:afterAutospacing="0" w:line="440" w:lineRule="exact"/>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 xml:space="preserve">    地址： </w:t>
      </w:r>
      <w:r>
        <w:rPr>
          <w:rFonts w:hint="eastAsia" w:cs="宋体"/>
          <w:color w:val="auto"/>
          <w:szCs w:val="24"/>
          <w:shd w:val="clear" w:color="auto" w:fill="FFFFFF"/>
          <w:lang w:eastAsia="zh-CN"/>
        </w:rPr>
        <w:t>昌吉市</w:t>
      </w:r>
      <w:r>
        <w:rPr>
          <w:rFonts w:hint="eastAsia" w:ascii="宋体" w:hAnsi="宋体" w:eastAsia="宋体" w:cs="宋体"/>
          <w:color w:val="auto"/>
          <w:szCs w:val="24"/>
          <w:shd w:val="clear" w:color="auto" w:fill="FFFFFF"/>
        </w:rPr>
        <w:t xml:space="preserve"> </w:t>
      </w:r>
    </w:p>
    <w:p>
      <w:pPr>
        <w:pStyle w:val="14"/>
        <w:spacing w:before="0" w:beforeAutospacing="0" w:after="0" w:afterAutospacing="0" w:line="440" w:lineRule="exact"/>
        <w:rPr>
          <w:rFonts w:hint="eastAsia" w:ascii="宋体" w:hAnsi="宋体" w:eastAsia="宋体" w:cs="宋体"/>
          <w:color w:val="auto"/>
          <w:szCs w:val="24"/>
          <w:shd w:val="clear" w:color="auto" w:fill="FFFFFF"/>
          <w:lang w:eastAsia="zh-CN"/>
        </w:rPr>
      </w:pPr>
      <w:r>
        <w:rPr>
          <w:rFonts w:hint="eastAsia" w:ascii="宋体" w:hAnsi="宋体" w:eastAsia="宋体" w:cs="宋体"/>
          <w:color w:val="auto"/>
          <w:szCs w:val="24"/>
          <w:shd w:val="clear" w:color="auto" w:fill="FFFFFF"/>
        </w:rPr>
        <w:t>    项目联系人：</w:t>
      </w:r>
      <w:r>
        <w:rPr>
          <w:rFonts w:hint="eastAsia" w:cs="宋体"/>
          <w:color w:val="auto"/>
          <w:szCs w:val="24"/>
          <w:shd w:val="clear" w:color="auto" w:fill="FFFFFF"/>
          <w:lang w:eastAsia="zh-CN"/>
        </w:rPr>
        <w:t>朱婷</w:t>
      </w:r>
    </w:p>
    <w:p>
      <w:pPr>
        <w:pStyle w:val="14"/>
        <w:spacing w:before="0" w:beforeAutospacing="0" w:after="0" w:afterAutospacing="0" w:line="440" w:lineRule="exact"/>
        <w:rPr>
          <w:rFonts w:hint="eastAsia" w:ascii="宋体" w:hAnsi="宋体" w:eastAsia="宋体" w:cs="宋体"/>
          <w:color w:val="auto"/>
          <w:szCs w:val="24"/>
          <w:shd w:val="clear" w:color="auto" w:fill="FFFFFF"/>
          <w:lang w:eastAsia="zh-CN"/>
        </w:rPr>
      </w:pPr>
      <w:r>
        <w:rPr>
          <w:rFonts w:hint="eastAsia" w:ascii="宋体" w:hAnsi="宋体" w:eastAsia="宋体" w:cs="宋体"/>
          <w:color w:val="auto"/>
          <w:szCs w:val="24"/>
          <w:shd w:val="clear" w:color="auto" w:fill="FFFFFF"/>
        </w:rPr>
        <w:t>    项目联系方式：</w:t>
      </w:r>
      <w:r>
        <w:rPr>
          <w:rFonts w:hint="eastAsia" w:cs="宋体"/>
          <w:color w:val="auto"/>
          <w:kern w:val="2"/>
          <w:szCs w:val="24"/>
          <w:lang w:eastAsia="zh-CN"/>
        </w:rPr>
        <w:t>13565367255</w:t>
      </w:r>
      <w:r>
        <w:rPr>
          <w:rFonts w:hint="eastAsia" w:ascii="宋体" w:hAnsi="宋体" w:eastAsia="宋体" w:cs="宋体"/>
          <w:color w:val="auto"/>
          <w:szCs w:val="24"/>
          <w:shd w:val="clear" w:color="auto" w:fill="FFFFFF"/>
        </w:rPr>
        <w:t>   </w:t>
      </w:r>
    </w:p>
    <w:p>
      <w:pPr>
        <w:pStyle w:val="14"/>
        <w:spacing w:before="0" w:beforeAutospacing="0" w:after="0" w:afterAutospacing="0" w:line="440" w:lineRule="exact"/>
        <w:rPr>
          <w:rFonts w:hint="eastAsia" w:ascii="宋体" w:hAnsi="宋体" w:eastAsia="宋体" w:cs="宋体"/>
          <w:color w:val="auto"/>
          <w:szCs w:val="24"/>
        </w:rPr>
      </w:pPr>
      <w:r>
        <w:rPr>
          <w:rFonts w:hint="eastAsia" w:ascii="宋体" w:hAnsi="宋体" w:eastAsia="宋体" w:cs="宋体"/>
          <w:color w:val="auto"/>
          <w:szCs w:val="24"/>
          <w:shd w:val="clear" w:color="auto" w:fill="FFFFFF"/>
        </w:rPr>
        <w:t>    2.采购代理机构信息</w:t>
      </w:r>
    </w:p>
    <w:p>
      <w:pPr>
        <w:pStyle w:val="14"/>
        <w:spacing w:before="0" w:beforeAutospacing="0" w:after="0" w:afterAutospacing="0" w:line="440" w:lineRule="exact"/>
        <w:rPr>
          <w:rFonts w:hint="eastAsia" w:ascii="宋体" w:hAnsi="宋体" w:eastAsia="宋体" w:cs="宋体"/>
          <w:color w:val="auto"/>
          <w:szCs w:val="24"/>
        </w:rPr>
      </w:pPr>
      <w:r>
        <w:rPr>
          <w:rFonts w:hint="eastAsia" w:ascii="宋体" w:hAnsi="宋体" w:eastAsia="宋体" w:cs="宋体"/>
          <w:color w:val="auto"/>
          <w:szCs w:val="24"/>
          <w:shd w:val="clear" w:color="auto" w:fill="FFFFFF"/>
        </w:rPr>
        <w:t>    名称：</w:t>
      </w:r>
      <w:r>
        <w:rPr>
          <w:rFonts w:hint="eastAsia" w:ascii="宋体" w:hAnsi="宋体" w:eastAsia="宋体" w:cs="宋体"/>
          <w:color w:val="auto"/>
          <w:szCs w:val="24"/>
        </w:rPr>
        <w:t>新疆昌盛方略项目管理有限公司</w:t>
      </w:r>
      <w:r>
        <w:rPr>
          <w:rFonts w:hint="eastAsia" w:ascii="宋体" w:hAnsi="宋体" w:eastAsia="宋体" w:cs="宋体"/>
          <w:color w:val="auto"/>
          <w:szCs w:val="24"/>
          <w:shd w:val="clear" w:color="auto" w:fill="FFFFFF"/>
        </w:rPr>
        <w:t> </w:t>
      </w:r>
    </w:p>
    <w:p>
      <w:pPr>
        <w:pStyle w:val="14"/>
        <w:spacing w:before="75" w:beforeAutospacing="0" w:after="75" w:afterAutospacing="0" w:line="440" w:lineRule="exact"/>
        <w:ind w:firstLine="720" w:firstLineChars="300"/>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地址：昌吉市西外环南路832号尚都社区国投大厦1幢14楼1419</w:t>
      </w:r>
    </w:p>
    <w:p>
      <w:pPr>
        <w:pStyle w:val="14"/>
        <w:spacing w:before="75" w:beforeAutospacing="0" w:after="75" w:afterAutospacing="0" w:line="440" w:lineRule="exact"/>
        <w:ind w:firstLine="720"/>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 xml:space="preserve">项目联系人：胡雪梅、努尔加孜   </w:t>
      </w:r>
    </w:p>
    <w:p>
      <w:pPr>
        <w:pStyle w:val="14"/>
        <w:spacing w:before="75" w:beforeAutospacing="0" w:after="75" w:afterAutospacing="0" w:line="440" w:lineRule="exact"/>
        <w:ind w:firstLine="720"/>
        <w:rPr>
          <w:rFonts w:hint="eastAsia" w:ascii="宋体" w:hAnsi="宋体" w:eastAsia="宋体" w:cs="宋体"/>
          <w:color w:val="auto"/>
          <w:szCs w:val="24"/>
        </w:rPr>
      </w:pPr>
      <w:r>
        <w:rPr>
          <w:rFonts w:hint="eastAsia" w:ascii="宋体" w:hAnsi="宋体" w:eastAsia="宋体" w:cs="宋体"/>
          <w:color w:val="auto"/>
          <w:szCs w:val="24"/>
          <w:shd w:val="clear" w:color="auto" w:fill="FFFFFF"/>
        </w:rPr>
        <w:t>项目联系方式：18699479057</w:t>
      </w:r>
    </w:p>
    <w:p>
      <w:pPr>
        <w:pStyle w:val="2"/>
        <w:widowControl w:val="0"/>
        <w:numPr>
          <w:ilvl w:val="0"/>
          <w:numId w:val="0"/>
        </w:numPr>
        <w:jc w:val="both"/>
        <w:rPr>
          <w:rFonts w:hint="eastAsia" w:ascii="宋体" w:hAnsi="宋体" w:eastAsia="宋体" w:cs="宋体"/>
          <w:color w:val="auto"/>
        </w:rPr>
      </w:pPr>
    </w:p>
    <w:p>
      <w:pPr>
        <w:pStyle w:val="3"/>
        <w:jc w:val="center"/>
        <w:rPr>
          <w:rFonts w:hint="eastAsia" w:ascii="宋体" w:hAnsi="宋体" w:eastAsia="宋体" w:cs="宋体"/>
          <w:b/>
          <w:bCs w:val="0"/>
          <w:color w:val="auto"/>
          <w:sz w:val="24"/>
          <w:szCs w:val="24"/>
        </w:rPr>
      </w:pPr>
      <w:bookmarkStart w:id="23" w:name="_Toc1232"/>
      <w:bookmarkStart w:id="24" w:name="_Toc12637"/>
      <w:bookmarkStart w:id="25" w:name="_Toc728"/>
      <w:bookmarkStart w:id="26" w:name="_Toc14684"/>
      <w:bookmarkStart w:id="27" w:name="_Toc25750"/>
      <w:r>
        <w:rPr>
          <w:rFonts w:hint="eastAsia" w:ascii="宋体" w:hAnsi="宋体" w:eastAsia="宋体" w:cs="宋体"/>
          <w:b/>
          <w:bCs w:val="0"/>
          <w:color w:val="auto"/>
          <w:sz w:val="24"/>
          <w:szCs w:val="24"/>
        </w:rPr>
        <w:t>第二章 供应商须知</w:t>
      </w:r>
      <w:bookmarkEnd w:id="13"/>
      <w:bookmarkEnd w:id="14"/>
      <w:bookmarkEnd w:id="15"/>
      <w:bookmarkEnd w:id="23"/>
      <w:bookmarkEnd w:id="24"/>
      <w:bookmarkEnd w:id="25"/>
      <w:bookmarkEnd w:id="26"/>
      <w:bookmarkEnd w:id="27"/>
    </w:p>
    <w:p>
      <w:pPr>
        <w:pStyle w:val="42"/>
        <w:spacing w:after="200"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供应商须知前附表</w:t>
      </w:r>
    </w:p>
    <w:tbl>
      <w:tblPr>
        <w:tblStyle w:val="31"/>
        <w:tblW w:w="978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06"/>
        <w:gridCol w:w="1496"/>
        <w:gridCol w:w="728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4" w:hRule="atLeast"/>
          <w:tblHeader/>
          <w:jc w:val="center"/>
        </w:trPr>
        <w:tc>
          <w:tcPr>
            <w:tcW w:w="1006" w:type="dxa"/>
            <w:vAlign w:val="center"/>
          </w:tcPr>
          <w:p>
            <w:pPr>
              <w:pStyle w:val="42"/>
              <w:adjustRightInd w:val="0"/>
              <w:snapToGrid w:val="0"/>
              <w:spacing w:before="156" w:beforeLines="50" w:after="200"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序列号</w:t>
            </w:r>
          </w:p>
        </w:tc>
        <w:tc>
          <w:tcPr>
            <w:tcW w:w="1496" w:type="dxa"/>
            <w:vAlign w:val="center"/>
          </w:tcPr>
          <w:p>
            <w:pPr>
              <w:pStyle w:val="42"/>
              <w:adjustRightInd w:val="0"/>
              <w:snapToGrid w:val="0"/>
              <w:spacing w:before="156" w:beforeLines="50" w:after="200"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条款名称</w:t>
            </w:r>
          </w:p>
        </w:tc>
        <w:tc>
          <w:tcPr>
            <w:tcW w:w="7281" w:type="dxa"/>
            <w:vAlign w:val="center"/>
          </w:tcPr>
          <w:p>
            <w:pPr>
              <w:pStyle w:val="42"/>
              <w:adjustRightInd w:val="0"/>
              <w:snapToGrid w:val="0"/>
              <w:spacing w:before="156" w:beforeLines="50" w:after="200"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00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p>
        </w:tc>
        <w:tc>
          <w:tcPr>
            <w:tcW w:w="149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7281" w:type="dxa"/>
            <w:vAlign w:val="center"/>
          </w:tcPr>
          <w:p>
            <w:pPr>
              <w:pStyle w:val="43"/>
              <w:tabs>
                <w:tab w:val="left" w:pos="943"/>
              </w:tabs>
              <w:adjustRightInd w:val="0"/>
              <w:snapToGrid w:val="0"/>
              <w:spacing w:before="156" w:beforeLines="50" w:after="200" w:line="440" w:lineRule="exac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昌吉州国有企业2023年度年终财务决算审计项目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p>
        </w:tc>
        <w:tc>
          <w:tcPr>
            <w:tcW w:w="149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采购人</w:t>
            </w:r>
          </w:p>
        </w:tc>
        <w:tc>
          <w:tcPr>
            <w:tcW w:w="7281" w:type="dxa"/>
            <w:vAlign w:val="center"/>
          </w:tcPr>
          <w:p>
            <w:pPr>
              <w:pStyle w:val="14"/>
              <w:spacing w:before="0" w:beforeAutospacing="0" w:after="0" w:afterAutospacing="0" w:line="440" w:lineRule="exact"/>
              <w:rPr>
                <w:rFonts w:hint="eastAsia" w:ascii="宋体" w:hAnsi="宋体" w:eastAsia="宋体" w:cs="宋体"/>
                <w:color w:val="auto"/>
                <w:szCs w:val="24"/>
                <w:shd w:val="clear" w:color="auto" w:fill="FFFFFF"/>
                <w:lang w:eastAsia="zh-CN"/>
              </w:rPr>
            </w:pPr>
            <w:r>
              <w:rPr>
                <w:rFonts w:hint="eastAsia" w:ascii="宋体" w:hAnsi="宋体" w:eastAsia="宋体" w:cs="宋体"/>
                <w:color w:val="auto"/>
                <w:szCs w:val="24"/>
              </w:rPr>
              <w:t>名称：</w:t>
            </w:r>
            <w:r>
              <w:rPr>
                <w:rFonts w:hint="eastAsia" w:cs="宋体"/>
                <w:color w:val="auto"/>
                <w:szCs w:val="24"/>
                <w:shd w:val="clear" w:color="auto" w:fill="FFFFFF"/>
                <w:lang w:eastAsia="zh-CN"/>
              </w:rPr>
              <w:t>昌吉回族自治州国有资产监督管理委员会</w:t>
            </w:r>
          </w:p>
          <w:p>
            <w:pPr>
              <w:pStyle w:val="43"/>
              <w:adjustRightInd w:val="0"/>
              <w:snapToGrid w:val="0"/>
              <w:spacing w:before="156" w:beforeLines="50" w:after="200" w:line="44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cs="宋体"/>
                <w:color w:val="auto"/>
                <w:sz w:val="24"/>
                <w:szCs w:val="24"/>
                <w:shd w:val="clear" w:color="auto" w:fill="FFFFFF"/>
                <w:lang w:eastAsia="zh-CN"/>
              </w:rPr>
              <w:t>昌吉市</w:t>
            </w:r>
          </w:p>
          <w:p>
            <w:pPr>
              <w:pStyle w:val="43"/>
              <w:adjustRightInd w:val="0"/>
              <w:snapToGrid w:val="0"/>
              <w:spacing w:before="156" w:beforeLines="50" w:after="200" w:line="44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项目联系人：</w:t>
            </w:r>
            <w:r>
              <w:rPr>
                <w:rFonts w:hint="eastAsia" w:ascii="宋体" w:hAnsi="宋体" w:cs="宋体"/>
                <w:color w:val="auto"/>
                <w:sz w:val="24"/>
                <w:szCs w:val="24"/>
                <w:lang w:eastAsia="zh-CN"/>
              </w:rPr>
              <w:t>朱婷</w:t>
            </w:r>
          </w:p>
          <w:p>
            <w:pPr>
              <w:pStyle w:val="161"/>
              <w:tabs>
                <w:tab w:val="left" w:pos="6587"/>
              </w:tabs>
              <w:spacing w:line="440" w:lineRule="exact"/>
              <w:ind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项目联系方式：</w:t>
            </w:r>
            <w:r>
              <w:rPr>
                <w:rFonts w:hint="eastAsia" w:ascii="宋体" w:hAnsi="宋体" w:cs="宋体"/>
                <w:color w:val="auto"/>
                <w:sz w:val="24"/>
                <w:szCs w:val="24"/>
                <w:lang w:eastAsia="zh-CN"/>
              </w:rPr>
              <w:t>13565367255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27" w:hRule="atLeast"/>
          <w:jc w:val="center"/>
        </w:trPr>
        <w:tc>
          <w:tcPr>
            <w:tcW w:w="100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p>
        </w:tc>
        <w:tc>
          <w:tcPr>
            <w:tcW w:w="149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采购代理机构</w:t>
            </w:r>
          </w:p>
        </w:tc>
        <w:tc>
          <w:tcPr>
            <w:tcW w:w="7281" w:type="dxa"/>
            <w:vAlign w:val="center"/>
          </w:tcPr>
          <w:p>
            <w:pPr>
              <w:pStyle w:val="50"/>
              <w:widowControl/>
              <w:spacing w:after="20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名称：新疆昌盛方略项目管理有限公司</w:t>
            </w:r>
            <w:r>
              <w:rPr>
                <w:rFonts w:hint="eastAsia" w:ascii="宋体" w:hAnsi="宋体" w:eastAsia="宋体" w:cs="宋体"/>
                <w:color w:val="auto"/>
                <w:sz w:val="24"/>
                <w:szCs w:val="24"/>
                <w:shd w:val="clear" w:color="auto" w:fill="FFFFFF"/>
              </w:rPr>
              <w:t> </w:t>
            </w:r>
          </w:p>
          <w:p>
            <w:pPr>
              <w:pStyle w:val="14"/>
              <w:spacing w:before="75" w:beforeAutospacing="0" w:after="75" w:afterAutospacing="0" w:line="440" w:lineRule="exact"/>
              <w:rPr>
                <w:rFonts w:hint="eastAsia" w:ascii="宋体" w:hAnsi="宋体" w:eastAsia="宋体" w:cs="宋体"/>
                <w:color w:val="auto"/>
                <w:szCs w:val="24"/>
                <w:shd w:val="clear" w:color="auto" w:fill="FFFFFF"/>
              </w:rPr>
            </w:pPr>
            <w:r>
              <w:rPr>
                <w:rFonts w:hint="eastAsia" w:ascii="宋体" w:hAnsi="宋体" w:eastAsia="宋体" w:cs="宋体"/>
                <w:color w:val="auto"/>
                <w:szCs w:val="24"/>
              </w:rPr>
              <w:t>地址：</w:t>
            </w:r>
            <w:r>
              <w:rPr>
                <w:rFonts w:hint="eastAsia" w:ascii="宋体" w:hAnsi="宋体" w:eastAsia="宋体" w:cs="宋体"/>
                <w:color w:val="auto"/>
                <w:szCs w:val="24"/>
                <w:shd w:val="clear" w:color="auto" w:fill="FFFFFF"/>
              </w:rPr>
              <w:t>昌吉市西外环南路832号尚都社区国投大厦1幢14楼1419</w:t>
            </w:r>
          </w:p>
          <w:p>
            <w:pPr>
              <w:pStyle w:val="50"/>
              <w:widowControl/>
              <w:spacing w:after="20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联 系人：胡雪梅、努尔加孜</w:t>
            </w:r>
          </w:p>
          <w:p>
            <w:pPr>
              <w:pStyle w:val="50"/>
              <w:widowControl/>
              <w:spacing w:after="20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联系电话：18699479057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1" w:hRule="atLeast"/>
          <w:jc w:val="center"/>
        </w:trPr>
        <w:tc>
          <w:tcPr>
            <w:tcW w:w="100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4</w:t>
            </w:r>
          </w:p>
        </w:tc>
        <w:tc>
          <w:tcPr>
            <w:tcW w:w="1496" w:type="dxa"/>
            <w:vAlign w:val="center"/>
          </w:tcPr>
          <w:p>
            <w:pPr>
              <w:pStyle w:val="52"/>
              <w:adjustRightInd w:val="0"/>
              <w:snapToGrid w:val="0"/>
              <w:spacing w:before="156" w:beforeLines="50" w:line="440" w:lineRule="exact"/>
              <w:jc w:val="center"/>
              <w:rPr>
                <w:rFonts w:hint="eastAsia" w:ascii="宋体" w:hAnsi="宋体" w:eastAsia="宋体" w:cs="宋体"/>
                <w:b/>
                <w:bCs/>
                <w:color w:val="auto"/>
                <w:sz w:val="24"/>
              </w:rPr>
            </w:pPr>
            <w:r>
              <w:rPr>
                <w:rFonts w:hint="eastAsia" w:ascii="宋体" w:hAnsi="宋体" w:eastAsia="宋体" w:cs="宋体"/>
                <w:b/>
                <w:bCs/>
                <w:color w:val="auto"/>
                <w:sz w:val="24"/>
              </w:rPr>
              <w:t>项目预算</w:t>
            </w:r>
          </w:p>
        </w:tc>
        <w:tc>
          <w:tcPr>
            <w:tcW w:w="7281" w:type="dxa"/>
            <w:vAlign w:val="center"/>
          </w:tcPr>
          <w:p>
            <w:pPr>
              <w:pStyle w:val="44"/>
              <w:autoSpaceDE w:val="0"/>
              <w:autoSpaceDN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第一标段预算</w:t>
            </w:r>
            <w:r>
              <w:rPr>
                <w:rFonts w:hint="eastAsia" w:ascii="宋体" w:hAnsi="宋体" w:eastAsia="宋体" w:cs="宋体"/>
                <w:color w:val="auto"/>
                <w:sz w:val="24"/>
                <w:szCs w:val="24"/>
                <w:lang w:val="zh-CN"/>
              </w:rPr>
              <w:t>金额（小写）：</w:t>
            </w:r>
            <w:r>
              <w:rPr>
                <w:rFonts w:hint="eastAsia" w:ascii="宋体" w:hAnsi="宋体" w:cs="宋体"/>
                <w:color w:val="auto"/>
                <w:sz w:val="24"/>
                <w:szCs w:val="24"/>
                <w:lang w:val="en-US" w:eastAsia="zh-CN"/>
              </w:rPr>
              <w:t>55</w:t>
            </w:r>
            <w:r>
              <w:rPr>
                <w:rFonts w:hint="eastAsia" w:ascii="宋体" w:hAnsi="宋体" w:eastAsia="宋体" w:cs="宋体"/>
                <w:color w:val="auto"/>
                <w:sz w:val="24"/>
                <w:szCs w:val="24"/>
              </w:rPr>
              <w:t>万元，</w:t>
            </w:r>
            <w:r>
              <w:rPr>
                <w:rFonts w:hint="eastAsia" w:ascii="宋体" w:hAnsi="宋体" w:eastAsia="宋体" w:cs="宋体"/>
                <w:color w:val="auto"/>
                <w:sz w:val="24"/>
                <w:szCs w:val="24"/>
                <w:lang w:val="zh-CN"/>
              </w:rPr>
              <w:t>金额（大写）：</w:t>
            </w:r>
            <w:r>
              <w:rPr>
                <w:rFonts w:hint="eastAsia" w:ascii="宋体" w:hAnsi="宋体" w:cs="宋体"/>
                <w:color w:val="auto"/>
                <w:sz w:val="24"/>
                <w:szCs w:val="24"/>
                <w:lang w:val="en-US" w:eastAsia="zh-CN"/>
              </w:rPr>
              <w:t>伍拾伍万</w:t>
            </w:r>
            <w:r>
              <w:rPr>
                <w:rFonts w:hint="eastAsia" w:ascii="宋体" w:hAnsi="宋体" w:eastAsia="宋体" w:cs="宋体"/>
                <w:color w:val="auto"/>
                <w:sz w:val="24"/>
                <w:szCs w:val="24"/>
              </w:rPr>
              <w:t>元整</w:t>
            </w:r>
          </w:p>
          <w:p>
            <w:pPr>
              <w:pStyle w:val="44"/>
              <w:autoSpaceDE w:val="0"/>
              <w:autoSpaceDN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第二标段预算</w:t>
            </w:r>
            <w:r>
              <w:rPr>
                <w:rFonts w:hint="eastAsia" w:ascii="宋体" w:hAnsi="宋体" w:eastAsia="宋体" w:cs="宋体"/>
                <w:color w:val="auto"/>
                <w:sz w:val="24"/>
                <w:szCs w:val="24"/>
                <w:lang w:val="zh-CN"/>
              </w:rPr>
              <w:t>金额（小写）：</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万元，</w:t>
            </w:r>
            <w:r>
              <w:rPr>
                <w:rFonts w:hint="eastAsia" w:ascii="宋体" w:hAnsi="宋体" w:eastAsia="宋体" w:cs="宋体"/>
                <w:color w:val="auto"/>
                <w:sz w:val="24"/>
                <w:szCs w:val="24"/>
                <w:lang w:val="zh-CN"/>
              </w:rPr>
              <w:t>金额（大写）：</w:t>
            </w:r>
            <w:r>
              <w:rPr>
                <w:rFonts w:hint="eastAsia" w:ascii="宋体" w:hAnsi="宋体" w:cs="宋体"/>
                <w:color w:val="auto"/>
                <w:sz w:val="24"/>
                <w:szCs w:val="24"/>
                <w:lang w:val="en-US" w:eastAsia="zh-CN"/>
              </w:rPr>
              <w:t>叁拾万</w:t>
            </w:r>
            <w:r>
              <w:rPr>
                <w:rFonts w:hint="eastAsia" w:ascii="宋体" w:hAnsi="宋体" w:eastAsia="宋体" w:cs="宋体"/>
                <w:color w:val="auto"/>
                <w:sz w:val="24"/>
                <w:szCs w:val="24"/>
              </w:rPr>
              <w:t>元整</w:t>
            </w:r>
          </w:p>
          <w:p>
            <w:pPr>
              <w:pStyle w:val="44"/>
              <w:autoSpaceDE w:val="0"/>
              <w:autoSpaceDN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第三标段预算</w:t>
            </w:r>
            <w:r>
              <w:rPr>
                <w:rFonts w:hint="eastAsia" w:ascii="宋体" w:hAnsi="宋体" w:eastAsia="宋体" w:cs="宋体"/>
                <w:color w:val="auto"/>
                <w:sz w:val="24"/>
                <w:szCs w:val="24"/>
                <w:lang w:val="zh-CN"/>
              </w:rPr>
              <w:t>金额（小写）：</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万元，</w:t>
            </w:r>
            <w:r>
              <w:rPr>
                <w:rFonts w:hint="eastAsia" w:ascii="宋体" w:hAnsi="宋体" w:eastAsia="宋体" w:cs="宋体"/>
                <w:color w:val="auto"/>
                <w:sz w:val="24"/>
                <w:szCs w:val="24"/>
                <w:lang w:val="zh-CN"/>
              </w:rPr>
              <w:t>金额（大写）：</w:t>
            </w:r>
            <w:r>
              <w:rPr>
                <w:rFonts w:hint="eastAsia" w:ascii="宋体" w:hAnsi="宋体" w:cs="宋体"/>
                <w:color w:val="auto"/>
                <w:sz w:val="24"/>
                <w:szCs w:val="24"/>
                <w:lang w:val="en-US" w:eastAsia="zh-CN"/>
              </w:rPr>
              <w:t>壹拾伍万</w:t>
            </w:r>
            <w:r>
              <w:rPr>
                <w:rFonts w:hint="eastAsia" w:ascii="宋体" w:hAnsi="宋体" w:eastAsia="宋体" w:cs="宋体"/>
                <w:color w:val="auto"/>
                <w:sz w:val="24"/>
                <w:szCs w:val="24"/>
              </w:rPr>
              <w:t>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00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5</w:t>
            </w:r>
          </w:p>
        </w:tc>
        <w:tc>
          <w:tcPr>
            <w:tcW w:w="149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供应商资格条件</w:t>
            </w:r>
          </w:p>
        </w:tc>
        <w:tc>
          <w:tcPr>
            <w:tcW w:w="7281" w:type="dxa"/>
            <w:vAlign w:val="center"/>
          </w:tcPr>
          <w:p>
            <w:pPr>
              <w:pStyle w:val="14"/>
              <w:spacing w:before="0" w:beforeAutospacing="0" w:after="0" w:afterAutospacing="0" w:line="440" w:lineRule="exact"/>
              <w:ind w:firstLine="720"/>
              <w:rPr>
                <w:rStyle w:val="34"/>
                <w:rFonts w:hint="eastAsia" w:ascii="宋体" w:hAnsi="宋体" w:eastAsia="宋体" w:cs="宋体"/>
                <w:b w:val="0"/>
                <w:bCs w:val="0"/>
                <w:color w:val="auto"/>
                <w:szCs w:val="24"/>
                <w:shd w:val="clear" w:color="auto" w:fill="FFFFFF"/>
              </w:rPr>
            </w:pPr>
            <w:r>
              <w:rPr>
                <w:rStyle w:val="34"/>
                <w:rFonts w:hint="eastAsia" w:ascii="宋体" w:hAnsi="宋体" w:eastAsia="宋体" w:cs="宋体"/>
                <w:b w:val="0"/>
                <w:bCs w:val="0"/>
                <w:color w:val="auto"/>
                <w:szCs w:val="24"/>
                <w:shd w:val="clear" w:color="auto" w:fill="FFFFFF"/>
              </w:rPr>
              <w:t>1.满足《中华人民共和国政府采购法》第二十二条规定；</w:t>
            </w:r>
          </w:p>
          <w:p>
            <w:pPr>
              <w:pStyle w:val="14"/>
              <w:spacing w:before="0" w:beforeAutospacing="0" w:after="0" w:afterAutospacing="0" w:line="440" w:lineRule="exact"/>
              <w:ind w:firstLine="720"/>
              <w:rPr>
                <w:rStyle w:val="34"/>
                <w:rFonts w:hint="eastAsia" w:ascii="宋体" w:hAnsi="宋体" w:eastAsia="宋体" w:cs="宋体"/>
                <w:b w:val="0"/>
                <w:bCs w:val="0"/>
                <w:color w:val="auto"/>
                <w:szCs w:val="24"/>
                <w:shd w:val="clear" w:color="auto" w:fill="FFFFFF"/>
              </w:rPr>
            </w:pPr>
            <w:r>
              <w:rPr>
                <w:rStyle w:val="34"/>
                <w:rFonts w:hint="eastAsia" w:ascii="宋体" w:hAnsi="宋体" w:eastAsia="宋体" w:cs="宋体"/>
                <w:b w:val="0"/>
                <w:bCs w:val="0"/>
                <w:color w:val="auto"/>
                <w:szCs w:val="24"/>
                <w:shd w:val="clear" w:color="auto" w:fill="FFFFFF"/>
              </w:rPr>
              <w:t>2、落实政府采购政策需满足的资格要求：供应商为中小企业；</w:t>
            </w:r>
          </w:p>
          <w:p>
            <w:pPr>
              <w:pStyle w:val="14"/>
              <w:spacing w:before="0" w:beforeAutospacing="0" w:after="0" w:afterAutospacing="0" w:line="440" w:lineRule="exact"/>
              <w:ind w:firstLine="720"/>
              <w:rPr>
                <w:rStyle w:val="34"/>
                <w:rFonts w:hint="eastAsia" w:ascii="宋体" w:hAnsi="宋体" w:eastAsia="宋体" w:cs="宋体"/>
                <w:b w:val="0"/>
                <w:bCs w:val="0"/>
                <w:color w:val="auto"/>
                <w:szCs w:val="24"/>
                <w:shd w:val="clear" w:color="auto" w:fill="FFFFFF"/>
              </w:rPr>
            </w:pPr>
            <w:r>
              <w:rPr>
                <w:rStyle w:val="34"/>
                <w:rFonts w:hint="eastAsia" w:ascii="宋体" w:hAnsi="宋体" w:eastAsia="宋体" w:cs="宋体"/>
                <w:b w:val="0"/>
                <w:bCs w:val="0"/>
                <w:color w:val="auto"/>
                <w:szCs w:val="24"/>
                <w:shd w:val="clear" w:color="auto" w:fill="FFFFFF"/>
              </w:rPr>
              <w:t>3.本项目的特定资格要求：</w:t>
            </w:r>
          </w:p>
          <w:p>
            <w:pPr>
              <w:pStyle w:val="14"/>
              <w:spacing w:before="0" w:beforeAutospacing="0" w:after="0" w:afterAutospacing="0" w:line="440" w:lineRule="exact"/>
              <w:ind w:firstLine="720"/>
              <w:rPr>
                <w:rFonts w:hint="eastAsia" w:ascii="宋体" w:hAnsi="宋体" w:eastAsia="宋体" w:cs="宋体"/>
                <w:color w:val="auto"/>
                <w:szCs w:val="24"/>
                <w:u w:val="none"/>
              </w:rPr>
            </w:pPr>
            <w:r>
              <w:rPr>
                <w:rFonts w:hint="eastAsia" w:ascii="宋体" w:hAnsi="宋体" w:eastAsia="宋体" w:cs="宋体"/>
                <w:color w:val="auto"/>
                <w:szCs w:val="24"/>
                <w:u w:val="none"/>
              </w:rPr>
              <w:t>（1）在中华人民共和国境内注册，具有独立法人资格且具有承担本项目的能力；</w:t>
            </w:r>
          </w:p>
          <w:p>
            <w:pPr>
              <w:pStyle w:val="14"/>
              <w:spacing w:before="0" w:beforeAutospacing="0" w:after="0" w:afterAutospacing="0" w:line="440" w:lineRule="exact"/>
              <w:ind w:firstLine="720"/>
              <w:rPr>
                <w:rFonts w:hint="eastAsia" w:ascii="宋体" w:hAnsi="宋体" w:eastAsia="宋体" w:cs="宋体"/>
                <w:color w:val="auto"/>
                <w:szCs w:val="24"/>
                <w:u w:val="none"/>
              </w:rPr>
            </w:pPr>
            <w:r>
              <w:rPr>
                <w:rFonts w:hint="eastAsia" w:ascii="宋体" w:hAnsi="宋体" w:eastAsia="宋体" w:cs="宋体"/>
                <w:color w:val="auto"/>
                <w:szCs w:val="24"/>
                <w:u w:val="none"/>
              </w:rPr>
              <w:t>（2）具有独立法人</w:t>
            </w:r>
            <w:r>
              <w:rPr>
                <w:rFonts w:hint="eastAsia" w:ascii="宋体" w:hAnsi="宋体" w:eastAsia="宋体" w:cs="宋体"/>
                <w:color w:val="auto"/>
                <w:szCs w:val="24"/>
                <w:u w:val="none"/>
                <w:lang w:val="en-US" w:eastAsia="zh-CN"/>
              </w:rPr>
              <w:t>合格</w:t>
            </w:r>
            <w:r>
              <w:rPr>
                <w:rFonts w:hint="eastAsia" w:ascii="宋体" w:hAnsi="宋体" w:eastAsia="宋体" w:cs="宋体"/>
                <w:color w:val="auto"/>
                <w:szCs w:val="24"/>
                <w:u w:val="none"/>
              </w:rPr>
              <w:t>有效的营业执照且具有会计师事务所执业证书；</w:t>
            </w:r>
          </w:p>
          <w:p>
            <w:pPr>
              <w:pStyle w:val="14"/>
              <w:spacing w:before="0" w:beforeAutospacing="0" w:after="0" w:afterAutospacing="0" w:line="440" w:lineRule="exact"/>
              <w:ind w:firstLine="720"/>
              <w:rPr>
                <w:rFonts w:hint="eastAsia" w:ascii="宋体" w:hAnsi="宋体" w:eastAsia="宋体" w:cs="宋体"/>
                <w:color w:val="auto"/>
                <w:szCs w:val="24"/>
                <w:u w:val="none"/>
                <w:lang w:val="en-US" w:eastAsia="zh-CN"/>
              </w:rPr>
            </w:pPr>
            <w:r>
              <w:rPr>
                <w:rFonts w:hint="eastAsia" w:ascii="宋体" w:hAnsi="宋体" w:eastAsia="宋体" w:cs="宋体"/>
                <w:color w:val="auto"/>
                <w:szCs w:val="24"/>
                <w:u w:val="none"/>
              </w:rPr>
              <w:t>（3）</w:t>
            </w:r>
            <w:r>
              <w:rPr>
                <w:rFonts w:hint="eastAsia" w:ascii="宋体" w:hAnsi="宋体" w:eastAsia="宋体" w:cs="宋体"/>
                <w:color w:val="auto"/>
                <w:szCs w:val="24"/>
                <w:u w:val="none"/>
                <w:lang w:val="en-US" w:eastAsia="zh-CN"/>
              </w:rPr>
              <w:t>具有履行合同所必需的设备和专业技术能力(声明函格式自拟)即具有完成本项目采购能力；</w:t>
            </w:r>
          </w:p>
          <w:p>
            <w:pPr>
              <w:pStyle w:val="14"/>
              <w:spacing w:before="0" w:beforeAutospacing="0" w:after="0" w:afterAutospacing="0" w:line="440" w:lineRule="exact"/>
              <w:ind w:firstLine="720"/>
              <w:rPr>
                <w:rFonts w:hint="eastAsia" w:ascii="宋体" w:hAnsi="宋体" w:eastAsia="宋体" w:cs="宋体"/>
                <w:color w:val="auto"/>
                <w:szCs w:val="24"/>
                <w:u w:val="none"/>
                <w:lang w:val="en-US" w:eastAsia="zh-CN"/>
              </w:rPr>
            </w:pPr>
            <w:r>
              <w:rPr>
                <w:rFonts w:hint="eastAsia" w:ascii="宋体" w:hAnsi="宋体" w:eastAsia="宋体" w:cs="宋体"/>
                <w:color w:val="auto"/>
                <w:szCs w:val="24"/>
                <w:u w:val="none"/>
                <w:lang w:val="en-US" w:eastAsia="zh-CN"/>
              </w:rPr>
              <w:t>（4）具有依法缴纳税收和社会保障资金的良好记录（提供本单位近三个月内任意一个月的依法缴纳税收和社会保障资金的相关材料）；</w:t>
            </w:r>
          </w:p>
          <w:p>
            <w:pPr>
              <w:pStyle w:val="14"/>
              <w:spacing w:before="0" w:beforeAutospacing="0" w:after="0" w:afterAutospacing="0" w:line="440" w:lineRule="exact"/>
              <w:ind w:firstLine="720"/>
              <w:rPr>
                <w:rFonts w:hint="eastAsia" w:ascii="宋体" w:hAnsi="宋体" w:eastAsia="宋体" w:cs="宋体"/>
                <w:color w:val="auto"/>
                <w:szCs w:val="24"/>
                <w:u w:val="none"/>
                <w:lang w:val="en-US" w:eastAsia="zh-CN"/>
              </w:rPr>
            </w:pPr>
            <w:r>
              <w:rPr>
                <w:rFonts w:hint="eastAsia" w:ascii="宋体" w:hAnsi="宋体" w:eastAsia="宋体" w:cs="宋体"/>
                <w:color w:val="auto"/>
                <w:szCs w:val="24"/>
                <w:u w:val="none"/>
                <w:lang w:val="en-US" w:eastAsia="zh-CN"/>
              </w:rPr>
              <w:t>（5）单位负责人为同一人或者存在直接控股、管理关系的不同供应商，不得参加同一合同项下的政府采购活动(提供申明函，声明函格式自拟)；</w:t>
            </w:r>
          </w:p>
          <w:p>
            <w:pPr>
              <w:pStyle w:val="14"/>
              <w:spacing w:before="0" w:beforeAutospacing="0" w:after="0" w:afterAutospacing="0" w:line="440" w:lineRule="exact"/>
              <w:ind w:firstLine="720"/>
              <w:rPr>
                <w:rFonts w:hint="eastAsia" w:ascii="宋体" w:hAnsi="宋体" w:eastAsia="宋体" w:cs="宋体"/>
                <w:color w:val="auto"/>
                <w:szCs w:val="24"/>
                <w:u w:val="none"/>
                <w:lang w:val="en-US" w:eastAsia="zh-CN"/>
              </w:rPr>
            </w:pPr>
            <w:r>
              <w:rPr>
                <w:rFonts w:hint="eastAsia" w:ascii="宋体" w:hAnsi="宋体" w:eastAsia="宋体" w:cs="宋体"/>
                <w:color w:val="auto"/>
                <w:szCs w:val="24"/>
                <w:u w:val="none"/>
                <w:lang w:val="en-US" w:eastAsia="zh-CN"/>
              </w:rPr>
              <w:t>（6）供应商为中小企业(提供供应商为中小企业的声明函)；</w:t>
            </w:r>
          </w:p>
          <w:p>
            <w:pPr>
              <w:pStyle w:val="14"/>
              <w:spacing w:before="0" w:beforeAutospacing="0" w:after="0" w:afterAutospacing="0" w:line="440" w:lineRule="exact"/>
              <w:ind w:firstLine="720"/>
              <w:rPr>
                <w:rFonts w:hint="eastAsia" w:ascii="宋体" w:hAnsi="宋体" w:eastAsia="宋体" w:cs="宋体"/>
                <w:color w:val="auto"/>
                <w:szCs w:val="24"/>
                <w:u w:val="none"/>
                <w:lang w:val="en-US" w:eastAsia="zh-CN"/>
              </w:rPr>
            </w:pPr>
            <w:r>
              <w:rPr>
                <w:rFonts w:hint="eastAsia" w:ascii="宋体" w:hAnsi="宋体" w:eastAsia="宋体" w:cs="宋体"/>
                <w:color w:val="auto"/>
                <w:szCs w:val="24"/>
                <w:u w:val="none"/>
                <w:lang w:val="en-US" w:eastAsia="zh-CN"/>
              </w:rPr>
              <w:t>（7）投标人参加政府采购活动前三年内，在经营活动中没有重大违法记录，在“信用中国”网站（www.creditchina.gov.cn）、中国政府采购网（www.ccgp.gov.cn）没有被列入失信被执行人、重大税收违法案件当事人名单、政府采购严重违法失信行为记录名单及其他不符合规定条件；</w:t>
            </w:r>
          </w:p>
          <w:p>
            <w:pPr>
              <w:pStyle w:val="14"/>
              <w:spacing w:before="0" w:beforeAutospacing="0" w:after="0" w:afterAutospacing="0" w:line="440" w:lineRule="exact"/>
              <w:ind w:firstLine="720"/>
              <w:rPr>
                <w:rFonts w:hint="eastAsia" w:ascii="宋体" w:hAnsi="宋体" w:eastAsia="宋体" w:cs="宋体"/>
                <w:color w:val="auto"/>
                <w:szCs w:val="24"/>
                <w:u w:val="single"/>
              </w:rPr>
            </w:pPr>
            <w:r>
              <w:rPr>
                <w:rFonts w:hint="eastAsia" w:ascii="宋体" w:hAnsi="宋体" w:eastAsia="宋体" w:cs="宋体"/>
                <w:color w:val="auto"/>
                <w:szCs w:val="24"/>
                <w:u w:val="none"/>
                <w:lang w:val="en-US" w:eastAsia="zh-CN"/>
              </w:rPr>
              <w:t>（8）本项目不接受联合体投标；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100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6</w:t>
            </w:r>
          </w:p>
        </w:tc>
        <w:tc>
          <w:tcPr>
            <w:tcW w:w="149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联合体投标    </w:t>
            </w:r>
          </w:p>
        </w:tc>
        <w:tc>
          <w:tcPr>
            <w:tcW w:w="7281" w:type="dxa"/>
            <w:vAlign w:val="center"/>
          </w:tcPr>
          <w:p>
            <w:pPr>
              <w:pStyle w:val="42"/>
              <w:adjustRightInd w:val="0"/>
              <w:snapToGrid w:val="0"/>
              <w:spacing w:before="156" w:beforeLines="50" w:after="200" w:line="440" w:lineRule="exact"/>
              <w:rPr>
                <w:rFonts w:hint="eastAsia" w:ascii="宋体" w:hAnsi="宋体" w:eastAsia="宋体" w:cs="宋体"/>
                <w:color w:val="auto"/>
                <w:sz w:val="24"/>
                <w:szCs w:val="24"/>
              </w:rPr>
            </w:pPr>
            <w:r>
              <w:rPr>
                <w:rFonts w:hint="eastAsia" w:ascii="宋体" w:hAnsi="宋体" w:eastAsia="宋体" w:cs="宋体"/>
                <w:color w:val="auto"/>
                <w:kern w:val="0"/>
                <w:sz w:val="24"/>
                <w:szCs w:val="24"/>
              </w:rPr>
              <w:sym w:font="Wingdings" w:char="00FE"/>
            </w:r>
            <w:r>
              <w:rPr>
                <w:rFonts w:hint="eastAsia" w:ascii="宋体" w:hAnsi="宋体" w:eastAsia="宋体" w:cs="宋体"/>
                <w:color w:val="auto"/>
                <w:sz w:val="24"/>
                <w:szCs w:val="24"/>
              </w:rPr>
              <w:t xml:space="preserve">不接受 </w:t>
            </w:r>
          </w:p>
          <w:p>
            <w:pPr>
              <w:pStyle w:val="42"/>
              <w:adjustRightInd w:val="0"/>
              <w:snapToGrid w:val="0"/>
              <w:spacing w:before="156" w:beforeLines="50" w:after="200"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7</w:t>
            </w:r>
          </w:p>
        </w:tc>
        <w:tc>
          <w:tcPr>
            <w:tcW w:w="149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备选方案</w:t>
            </w:r>
          </w:p>
        </w:tc>
        <w:tc>
          <w:tcPr>
            <w:tcW w:w="7281" w:type="dxa"/>
            <w:vAlign w:val="center"/>
          </w:tcPr>
          <w:p>
            <w:pPr>
              <w:pStyle w:val="42"/>
              <w:adjustRightInd w:val="0"/>
              <w:snapToGrid w:val="0"/>
              <w:spacing w:before="156" w:beforeLines="50" w:after="200" w:line="440" w:lineRule="exact"/>
              <w:rPr>
                <w:rFonts w:hint="eastAsia" w:ascii="宋体" w:hAnsi="宋体" w:eastAsia="宋体" w:cs="宋体"/>
                <w:color w:val="auto"/>
                <w:sz w:val="24"/>
                <w:szCs w:val="24"/>
              </w:rPr>
            </w:pPr>
            <w:r>
              <w:rPr>
                <w:rFonts w:hint="eastAsia" w:ascii="宋体" w:hAnsi="宋体" w:eastAsia="宋体" w:cs="宋体"/>
                <w:color w:val="auto"/>
                <w:kern w:val="0"/>
                <w:sz w:val="24"/>
                <w:szCs w:val="24"/>
              </w:rPr>
              <w:sym w:font="Wingdings" w:char="00FE"/>
            </w:r>
            <w:r>
              <w:rPr>
                <w:rFonts w:hint="eastAsia" w:ascii="宋体" w:hAnsi="宋体" w:eastAsia="宋体" w:cs="宋体"/>
                <w:color w:val="auto"/>
                <w:sz w:val="24"/>
                <w:szCs w:val="24"/>
              </w:rPr>
              <w:t xml:space="preserve">不接受            </w:t>
            </w:r>
          </w:p>
          <w:p>
            <w:pPr>
              <w:pStyle w:val="42"/>
              <w:adjustRightInd w:val="0"/>
              <w:snapToGrid w:val="0"/>
              <w:spacing w:before="156" w:beforeLines="50" w:after="200"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00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8</w:t>
            </w:r>
          </w:p>
        </w:tc>
        <w:tc>
          <w:tcPr>
            <w:tcW w:w="149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信息公告媒体</w:t>
            </w:r>
          </w:p>
        </w:tc>
        <w:tc>
          <w:tcPr>
            <w:tcW w:w="7281" w:type="dxa"/>
            <w:vAlign w:val="center"/>
          </w:tcPr>
          <w:p>
            <w:pPr>
              <w:pStyle w:val="42"/>
              <w:adjustRightInd w:val="0"/>
              <w:snapToGrid w:val="0"/>
              <w:spacing w:before="156" w:beforeLines="50" w:after="200" w:line="440" w:lineRule="exact"/>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新疆政府采购网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14" w:hRule="atLeast"/>
          <w:jc w:val="center"/>
        </w:trPr>
        <w:tc>
          <w:tcPr>
            <w:tcW w:w="100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9</w:t>
            </w:r>
          </w:p>
        </w:tc>
        <w:tc>
          <w:tcPr>
            <w:tcW w:w="149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响应文件递交截止时间</w:t>
            </w:r>
          </w:p>
          <w:p>
            <w:pPr>
              <w:pStyle w:val="42"/>
              <w:adjustRightInd w:val="0"/>
              <w:snapToGrid w:val="0"/>
              <w:spacing w:before="156" w:beforeLines="50" w:after="200" w:line="440" w:lineRule="exact"/>
              <w:rPr>
                <w:rFonts w:hint="eastAsia" w:ascii="宋体" w:hAnsi="宋体" w:eastAsia="宋体" w:cs="宋体"/>
                <w:b/>
                <w:bCs/>
                <w:color w:val="auto"/>
                <w:sz w:val="24"/>
                <w:szCs w:val="24"/>
              </w:rPr>
            </w:pPr>
          </w:p>
        </w:tc>
        <w:tc>
          <w:tcPr>
            <w:tcW w:w="7281" w:type="dxa"/>
            <w:vAlign w:val="center"/>
          </w:tcPr>
          <w:p>
            <w:pPr>
              <w:pStyle w:val="42"/>
              <w:adjustRightInd w:val="0"/>
              <w:snapToGrid w:val="0"/>
              <w:spacing w:before="156" w:beforeLines="50" w:after="200" w:line="440" w:lineRule="exact"/>
              <w:rPr>
                <w:rFonts w:hint="eastAsia" w:ascii="宋体" w:hAnsi="宋体" w:eastAsia="宋体" w:cs="宋体"/>
                <w:color w:val="0000FF"/>
                <w:sz w:val="24"/>
                <w:szCs w:val="24"/>
              </w:rPr>
            </w:pPr>
            <w:r>
              <w:rPr>
                <w:rFonts w:hint="eastAsia" w:ascii="宋体" w:hAnsi="宋体" w:eastAsia="宋体" w:cs="宋体"/>
                <w:color w:val="0000FF"/>
                <w:sz w:val="24"/>
                <w:szCs w:val="24"/>
              </w:rPr>
              <w:t>2023年</w:t>
            </w:r>
            <w:r>
              <w:rPr>
                <w:rFonts w:hint="eastAsia" w:ascii="宋体" w:hAnsi="宋体" w:cs="宋体"/>
                <w:color w:val="0000FF"/>
                <w:sz w:val="24"/>
                <w:szCs w:val="24"/>
                <w:lang w:val="en-US" w:eastAsia="zh-CN"/>
              </w:rPr>
              <w:t>11</w:t>
            </w:r>
            <w:r>
              <w:rPr>
                <w:rFonts w:hint="eastAsia" w:ascii="宋体" w:hAnsi="宋体" w:eastAsia="宋体" w:cs="宋体"/>
                <w:color w:val="0000FF"/>
                <w:sz w:val="24"/>
                <w:szCs w:val="24"/>
              </w:rPr>
              <w:t>月</w:t>
            </w:r>
            <w:r>
              <w:rPr>
                <w:rFonts w:hint="eastAsia" w:ascii="宋体" w:hAnsi="宋体" w:cs="宋体"/>
                <w:color w:val="0000FF"/>
                <w:sz w:val="24"/>
                <w:szCs w:val="24"/>
                <w:lang w:val="en-US" w:eastAsia="zh-CN"/>
              </w:rPr>
              <w:t>06</w:t>
            </w:r>
            <w:r>
              <w:rPr>
                <w:rFonts w:hint="eastAsia" w:ascii="宋体" w:hAnsi="宋体" w:eastAsia="宋体" w:cs="宋体"/>
                <w:color w:val="0000FF"/>
                <w:sz w:val="24"/>
                <w:szCs w:val="24"/>
              </w:rPr>
              <w:t>日 1</w:t>
            </w:r>
            <w:r>
              <w:rPr>
                <w:rFonts w:hint="eastAsia" w:ascii="宋体" w:hAnsi="宋体" w:cs="宋体"/>
                <w:color w:val="0000FF"/>
                <w:sz w:val="24"/>
                <w:szCs w:val="24"/>
                <w:lang w:val="en-US" w:eastAsia="zh-CN"/>
              </w:rPr>
              <w:t>0</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00(北京时间)</w:t>
            </w:r>
          </w:p>
          <w:p>
            <w:pPr>
              <w:pStyle w:val="42"/>
              <w:adjustRightInd w:val="0"/>
              <w:snapToGrid w:val="0"/>
              <w:spacing w:before="156" w:beforeLines="50" w:after="20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备注：磋商文件领取截止时间不得少于5个工作日，公告时间不得少于10日。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100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10</w:t>
            </w:r>
          </w:p>
        </w:tc>
        <w:tc>
          <w:tcPr>
            <w:tcW w:w="1496" w:type="dxa"/>
            <w:vAlign w:val="center"/>
          </w:tcPr>
          <w:p>
            <w:pPr>
              <w:pStyle w:val="42"/>
              <w:spacing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磋商时间、地点</w:t>
            </w:r>
          </w:p>
        </w:tc>
        <w:tc>
          <w:tcPr>
            <w:tcW w:w="7281" w:type="dxa"/>
            <w:vAlign w:val="center"/>
          </w:tcPr>
          <w:p>
            <w:pPr>
              <w:spacing w:line="44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采用不见面开标</w:t>
            </w:r>
            <w:r>
              <w:rPr>
                <w:rFonts w:hint="eastAsia" w:ascii="宋体" w:hAnsi="宋体" w:eastAsia="宋体" w:cs="宋体"/>
                <w:color w:val="auto"/>
                <w:sz w:val="24"/>
                <w:szCs w:val="24"/>
              </w:rPr>
              <w:t>：</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递交磋商响应文件的截止时间：</w:t>
            </w:r>
            <w:r>
              <w:rPr>
                <w:rFonts w:hint="eastAsia" w:ascii="宋体" w:hAnsi="宋体" w:eastAsia="宋体" w:cs="宋体"/>
                <w:color w:val="0000FF"/>
                <w:sz w:val="24"/>
                <w:szCs w:val="24"/>
              </w:rPr>
              <w:t>2023年</w:t>
            </w:r>
            <w:r>
              <w:rPr>
                <w:rFonts w:hint="eastAsia" w:ascii="宋体" w:hAnsi="宋体" w:cs="宋体"/>
                <w:color w:val="0000FF"/>
                <w:sz w:val="24"/>
                <w:szCs w:val="24"/>
                <w:lang w:val="en-US" w:eastAsia="zh-CN"/>
              </w:rPr>
              <w:t>11</w:t>
            </w:r>
            <w:r>
              <w:rPr>
                <w:rFonts w:hint="eastAsia" w:ascii="宋体" w:hAnsi="宋体" w:eastAsia="宋体" w:cs="宋体"/>
                <w:color w:val="0000FF"/>
                <w:sz w:val="24"/>
                <w:szCs w:val="24"/>
              </w:rPr>
              <w:t>月</w:t>
            </w:r>
            <w:r>
              <w:rPr>
                <w:rFonts w:hint="eastAsia" w:ascii="宋体" w:hAnsi="宋体" w:cs="宋体"/>
                <w:color w:val="0000FF"/>
                <w:sz w:val="24"/>
                <w:szCs w:val="24"/>
                <w:lang w:val="en-US" w:eastAsia="zh-CN"/>
              </w:rPr>
              <w:t>06</w:t>
            </w:r>
            <w:r>
              <w:rPr>
                <w:rFonts w:hint="eastAsia" w:ascii="宋体" w:hAnsi="宋体" w:eastAsia="宋体" w:cs="宋体"/>
                <w:color w:val="0000FF"/>
                <w:sz w:val="24"/>
                <w:szCs w:val="24"/>
              </w:rPr>
              <w:t>日1</w:t>
            </w:r>
            <w:r>
              <w:rPr>
                <w:rFonts w:hint="eastAsia" w:ascii="宋体" w:hAnsi="宋体" w:cs="宋体"/>
                <w:color w:val="0000FF"/>
                <w:sz w:val="24"/>
                <w:szCs w:val="24"/>
                <w:lang w:val="en-US" w:eastAsia="zh-CN"/>
              </w:rPr>
              <w:t>0</w:t>
            </w:r>
            <w:r>
              <w:rPr>
                <w:rFonts w:hint="eastAsia" w:ascii="宋体" w:hAnsi="宋体" w:eastAsia="宋体" w:cs="宋体"/>
                <w:color w:val="0000FF"/>
                <w:sz w:val="24"/>
                <w:szCs w:val="24"/>
              </w:rPr>
              <w:t>点00分</w:t>
            </w:r>
            <w:r>
              <w:rPr>
                <w:rFonts w:hint="eastAsia" w:ascii="宋体" w:hAnsi="宋体" w:eastAsia="宋体" w:cs="宋体"/>
                <w:color w:val="auto"/>
                <w:sz w:val="24"/>
                <w:szCs w:val="24"/>
              </w:rPr>
              <w:t>（北京时间）</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递交磋商响应文件的地点：政采云平台</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"https://www.zcygov.cn/%E4%B8%8D%E8%A7%81%E9%9D%A2%E5%BC%80%E6%A0%87%E5%A4%A7%E5%8E%85%EF%BC%89"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https://www.zcygov.cn/不见面开标大厅）</w:t>
            </w:r>
            <w:r>
              <w:rPr>
                <w:rFonts w:hint="eastAsia" w:ascii="宋体" w:hAnsi="宋体" w:eastAsia="宋体" w:cs="宋体"/>
                <w:color w:val="auto"/>
                <w:sz w:val="24"/>
                <w:szCs w:val="24"/>
              </w:rPr>
              <w:fldChar w:fldCharType="end"/>
            </w:r>
          </w:p>
          <w:p>
            <w:pPr>
              <w:pStyle w:val="175"/>
              <w:spacing w:line="44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不见面开标默认解密时长：</w:t>
            </w:r>
            <w:r>
              <w:rPr>
                <w:rFonts w:hint="eastAsia" w:ascii="宋体" w:hAnsi="宋体" w:eastAsia="宋体" w:cs="宋体"/>
                <w:bCs/>
                <w:color w:val="auto"/>
                <w:kern w:val="2"/>
                <w:sz w:val="24"/>
                <w:szCs w:val="24"/>
                <w:u w:val="single"/>
              </w:rPr>
              <w:t>30分钟</w:t>
            </w:r>
          </w:p>
          <w:p>
            <w:pPr>
              <w:pStyle w:val="50"/>
              <w:widowControl/>
              <w:spacing w:after="200"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关于能否延长解密时间的约定：</w:t>
            </w:r>
            <w:r>
              <w:rPr>
                <w:rFonts w:hint="eastAsia" w:ascii="宋体" w:hAnsi="宋体" w:eastAsia="宋体" w:cs="宋体"/>
                <w:color w:val="auto"/>
                <w:sz w:val="24"/>
                <w:szCs w:val="24"/>
                <w:u w:val="single"/>
              </w:rPr>
              <w:t>开标现场若发现默认解密时长不足，由采购人决定是否延长解密时长。</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1006" w:type="dxa"/>
            <w:vAlign w:val="center"/>
          </w:tcPr>
          <w:p>
            <w:pPr>
              <w:pStyle w:val="42"/>
              <w:adjustRightInd w:val="0"/>
              <w:snapToGrid w:val="0"/>
              <w:spacing w:before="156" w:beforeLines="50" w:after="200" w:line="440" w:lineRule="exact"/>
              <w:ind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11</w:t>
            </w:r>
          </w:p>
        </w:tc>
        <w:tc>
          <w:tcPr>
            <w:tcW w:w="149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p>
          <w:p>
            <w:pPr>
              <w:pStyle w:val="42"/>
              <w:adjustRightInd w:val="0"/>
              <w:snapToGrid w:val="0"/>
              <w:spacing w:before="156" w:beforeLines="50" w:after="200"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磋商小组的组建及评审专家的确定方式</w:t>
            </w:r>
          </w:p>
        </w:tc>
        <w:tc>
          <w:tcPr>
            <w:tcW w:w="7281" w:type="dxa"/>
            <w:vAlign w:val="center"/>
          </w:tcPr>
          <w:p>
            <w:pPr>
              <w:pStyle w:val="43"/>
              <w:adjustRightInd w:val="0"/>
              <w:snapToGrid w:val="0"/>
              <w:spacing w:before="156" w:beforeLines="50" w:after="20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评审。</w:t>
            </w:r>
          </w:p>
          <w:p>
            <w:pPr>
              <w:pStyle w:val="43"/>
              <w:adjustRightInd w:val="0"/>
              <w:snapToGrid w:val="0"/>
              <w:spacing w:before="156" w:beforeLines="50" w:after="20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小组确定方式：</w:t>
            </w:r>
          </w:p>
          <w:p>
            <w:pPr>
              <w:pStyle w:val="43"/>
              <w:adjustRightInd w:val="0"/>
              <w:snapToGrid w:val="0"/>
              <w:spacing w:before="156" w:beforeLines="50" w:after="200" w:line="440" w:lineRule="exact"/>
              <w:rPr>
                <w:rFonts w:hint="eastAsia" w:ascii="宋体" w:hAnsi="宋体" w:eastAsia="宋体" w:cs="宋体"/>
                <w:color w:val="auto"/>
                <w:sz w:val="24"/>
                <w:szCs w:val="24"/>
              </w:rPr>
            </w:pPr>
            <w:r>
              <w:rPr>
                <w:rFonts w:hint="eastAsia" w:ascii="宋体" w:hAnsi="宋体" w:eastAsia="宋体" w:cs="宋体"/>
                <w:color w:val="auto"/>
                <w:kern w:val="0"/>
                <w:sz w:val="24"/>
                <w:szCs w:val="24"/>
              </w:rPr>
              <w:sym w:font="Wingdings" w:char="00FE"/>
            </w:r>
            <w:r>
              <w:rPr>
                <w:rFonts w:hint="eastAsia" w:ascii="宋体" w:hAnsi="宋体" w:eastAsia="宋体" w:cs="宋体"/>
                <w:color w:val="auto"/>
                <w:sz w:val="24"/>
                <w:szCs w:val="24"/>
              </w:rPr>
              <w:t xml:space="preserve">计算机随机抽取语音通知方式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5" w:hRule="atLeast"/>
          <w:jc w:val="center"/>
        </w:trPr>
        <w:tc>
          <w:tcPr>
            <w:tcW w:w="1006" w:type="dxa"/>
            <w:vMerge w:val="restart"/>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12</w:t>
            </w:r>
          </w:p>
        </w:tc>
        <w:tc>
          <w:tcPr>
            <w:tcW w:w="1496" w:type="dxa"/>
            <w:vMerge w:val="restart"/>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磋商保证金</w:t>
            </w:r>
          </w:p>
        </w:tc>
        <w:tc>
          <w:tcPr>
            <w:tcW w:w="7281" w:type="dxa"/>
            <w:vAlign w:val="center"/>
          </w:tcPr>
          <w:p>
            <w:pPr>
              <w:pStyle w:val="50"/>
              <w:spacing w:after="200" w:line="440" w:lineRule="exact"/>
              <w:rPr>
                <w:rFonts w:hint="eastAsia" w:ascii="宋体" w:hAnsi="宋体" w:eastAsia="宋体" w:cs="宋体"/>
                <w:bCs/>
                <w:color w:val="auto"/>
                <w:sz w:val="24"/>
                <w:szCs w:val="24"/>
              </w:rPr>
            </w:pPr>
            <w:r>
              <w:rPr>
                <w:rFonts w:hint="eastAsia" w:ascii="宋体" w:hAnsi="宋体" w:eastAsia="宋体" w:cs="宋体"/>
                <w:color w:val="auto"/>
                <w:sz w:val="24"/>
                <w:szCs w:val="24"/>
              </w:rPr>
              <w:t>缴纳方式：投标保证金需以电汇、转账、支票、汇票、本票或者金融机构、担保机构出具的保函等非现金形式提交。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1006" w:type="dxa"/>
            <w:vMerge w:val="continue"/>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p>
        </w:tc>
        <w:tc>
          <w:tcPr>
            <w:tcW w:w="1496" w:type="dxa"/>
            <w:vMerge w:val="continue"/>
            <w:vAlign w:val="center"/>
          </w:tcPr>
          <w:p>
            <w:pPr>
              <w:pStyle w:val="42"/>
              <w:adjustRightInd w:val="0"/>
              <w:snapToGrid w:val="0"/>
              <w:spacing w:before="156" w:beforeLines="50" w:after="200" w:line="440" w:lineRule="exact"/>
              <w:ind w:left="-533" w:leftChars="-254" w:firstLine="612" w:firstLineChars="254"/>
              <w:jc w:val="center"/>
              <w:rPr>
                <w:rFonts w:hint="eastAsia" w:ascii="宋体" w:hAnsi="宋体" w:eastAsia="宋体" w:cs="宋体"/>
                <w:b/>
                <w:bCs/>
                <w:color w:val="auto"/>
                <w:sz w:val="24"/>
                <w:szCs w:val="24"/>
              </w:rPr>
            </w:pPr>
          </w:p>
        </w:tc>
        <w:tc>
          <w:tcPr>
            <w:tcW w:w="7281" w:type="dxa"/>
            <w:vAlign w:val="center"/>
          </w:tcPr>
          <w:p>
            <w:pPr>
              <w:pStyle w:val="44"/>
              <w:autoSpaceDE w:val="0"/>
              <w:autoSpaceDN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第一标段保证金</w:t>
            </w:r>
            <w:r>
              <w:rPr>
                <w:rFonts w:hint="eastAsia" w:ascii="宋体" w:hAnsi="宋体" w:eastAsia="宋体" w:cs="宋体"/>
                <w:b/>
                <w:bCs/>
                <w:color w:val="auto"/>
                <w:sz w:val="24"/>
                <w:szCs w:val="24"/>
                <w:lang w:val="zh-CN"/>
              </w:rPr>
              <w:t>（小写）：</w:t>
            </w:r>
            <w:r>
              <w:rPr>
                <w:rFonts w:hint="eastAsia" w:ascii="宋体" w:hAnsi="宋体" w:cs="宋体"/>
                <w:b/>
                <w:bCs/>
                <w:color w:val="auto"/>
                <w:sz w:val="24"/>
                <w:szCs w:val="24"/>
                <w:lang w:val="en-US" w:eastAsia="zh-CN"/>
              </w:rPr>
              <w:t>11000</w:t>
            </w:r>
            <w:r>
              <w:rPr>
                <w:rFonts w:hint="eastAsia" w:ascii="宋体" w:hAnsi="宋体" w:eastAsia="宋体" w:cs="宋体"/>
                <w:b/>
                <w:bCs/>
                <w:color w:val="auto"/>
                <w:sz w:val="24"/>
                <w:szCs w:val="24"/>
              </w:rPr>
              <w:t>元，</w:t>
            </w:r>
            <w:r>
              <w:rPr>
                <w:rFonts w:hint="eastAsia" w:ascii="宋体" w:hAnsi="宋体" w:eastAsia="宋体" w:cs="宋体"/>
                <w:b/>
                <w:bCs/>
                <w:color w:val="auto"/>
                <w:sz w:val="24"/>
                <w:szCs w:val="24"/>
                <w:lang w:val="zh-CN"/>
              </w:rPr>
              <w:t>金额（大写）：</w:t>
            </w:r>
            <w:r>
              <w:rPr>
                <w:rFonts w:hint="eastAsia" w:ascii="宋体" w:hAnsi="宋体" w:cs="宋体"/>
                <w:b/>
                <w:bCs/>
                <w:color w:val="auto"/>
                <w:sz w:val="24"/>
                <w:szCs w:val="24"/>
                <w:lang w:val="en-US" w:eastAsia="zh-CN"/>
              </w:rPr>
              <w:t>壹万壹仟</w:t>
            </w:r>
            <w:r>
              <w:rPr>
                <w:rFonts w:hint="eastAsia" w:ascii="宋体" w:hAnsi="宋体" w:eastAsia="宋体" w:cs="宋体"/>
                <w:b/>
                <w:bCs/>
                <w:color w:val="auto"/>
                <w:sz w:val="24"/>
                <w:szCs w:val="24"/>
              </w:rPr>
              <w:t xml:space="preserve">元整 </w:t>
            </w:r>
          </w:p>
          <w:p>
            <w:pPr>
              <w:pStyle w:val="44"/>
              <w:autoSpaceDE w:val="0"/>
              <w:autoSpaceDN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第二标段保证金</w:t>
            </w:r>
            <w:r>
              <w:rPr>
                <w:rFonts w:hint="eastAsia" w:ascii="宋体" w:hAnsi="宋体" w:eastAsia="宋体" w:cs="宋体"/>
                <w:b/>
                <w:bCs/>
                <w:color w:val="auto"/>
                <w:sz w:val="24"/>
                <w:szCs w:val="24"/>
                <w:lang w:val="zh-CN"/>
              </w:rPr>
              <w:t>（小写）：</w:t>
            </w:r>
            <w:r>
              <w:rPr>
                <w:rFonts w:hint="eastAsia" w:ascii="宋体" w:hAnsi="宋体" w:cs="宋体"/>
                <w:b/>
                <w:bCs/>
                <w:color w:val="auto"/>
                <w:sz w:val="24"/>
                <w:szCs w:val="24"/>
                <w:lang w:val="en-US" w:eastAsia="zh-CN"/>
              </w:rPr>
              <w:t>6000</w:t>
            </w:r>
            <w:r>
              <w:rPr>
                <w:rFonts w:hint="eastAsia" w:ascii="宋体" w:hAnsi="宋体" w:eastAsia="宋体" w:cs="宋体"/>
                <w:b/>
                <w:bCs/>
                <w:color w:val="auto"/>
                <w:sz w:val="24"/>
                <w:szCs w:val="24"/>
              </w:rPr>
              <w:t>元，</w:t>
            </w:r>
            <w:r>
              <w:rPr>
                <w:rFonts w:hint="eastAsia" w:ascii="宋体" w:hAnsi="宋体" w:eastAsia="宋体" w:cs="宋体"/>
                <w:b/>
                <w:bCs/>
                <w:color w:val="auto"/>
                <w:sz w:val="24"/>
                <w:szCs w:val="24"/>
                <w:lang w:val="zh-CN"/>
              </w:rPr>
              <w:t>金额（大写）：</w:t>
            </w:r>
            <w:r>
              <w:rPr>
                <w:rFonts w:hint="eastAsia" w:ascii="宋体" w:hAnsi="宋体" w:cs="宋体"/>
                <w:b/>
                <w:bCs/>
                <w:color w:val="auto"/>
                <w:sz w:val="24"/>
                <w:szCs w:val="24"/>
                <w:lang w:val="en-US" w:eastAsia="zh-CN"/>
              </w:rPr>
              <w:t>陆仟</w:t>
            </w:r>
            <w:r>
              <w:rPr>
                <w:rFonts w:hint="eastAsia" w:ascii="宋体" w:hAnsi="宋体" w:eastAsia="宋体" w:cs="宋体"/>
                <w:b/>
                <w:bCs/>
                <w:color w:val="auto"/>
                <w:sz w:val="24"/>
                <w:szCs w:val="24"/>
              </w:rPr>
              <w:t>元整</w:t>
            </w:r>
          </w:p>
          <w:p>
            <w:pPr>
              <w:pStyle w:val="44"/>
              <w:autoSpaceDE w:val="0"/>
              <w:autoSpaceDN w:val="0"/>
              <w:spacing w:line="440" w:lineRule="exact"/>
              <w:rPr>
                <w:rFonts w:hint="eastAsia" w:ascii="宋体" w:hAnsi="宋体" w:eastAsia="宋体" w:cs="宋体"/>
                <w:bCs/>
                <w:color w:val="auto"/>
                <w:sz w:val="24"/>
                <w:szCs w:val="24"/>
                <w:u w:val="single"/>
              </w:rPr>
            </w:pPr>
            <w:r>
              <w:rPr>
                <w:rFonts w:hint="eastAsia" w:ascii="宋体" w:hAnsi="宋体" w:eastAsia="宋体" w:cs="宋体"/>
                <w:b/>
                <w:bCs/>
                <w:color w:val="auto"/>
                <w:sz w:val="24"/>
                <w:szCs w:val="24"/>
              </w:rPr>
              <w:t>第三标段保证金</w:t>
            </w:r>
            <w:r>
              <w:rPr>
                <w:rFonts w:hint="eastAsia" w:ascii="宋体" w:hAnsi="宋体" w:eastAsia="宋体" w:cs="宋体"/>
                <w:b/>
                <w:bCs/>
                <w:color w:val="auto"/>
                <w:sz w:val="24"/>
                <w:szCs w:val="24"/>
                <w:lang w:val="zh-CN"/>
              </w:rPr>
              <w:t>（小写）：</w:t>
            </w:r>
            <w:r>
              <w:rPr>
                <w:rFonts w:hint="eastAsia" w:ascii="宋体" w:hAnsi="宋体" w:cs="宋体"/>
                <w:b/>
                <w:bCs/>
                <w:color w:val="auto"/>
                <w:sz w:val="24"/>
                <w:szCs w:val="24"/>
                <w:lang w:val="en-US" w:eastAsia="zh-CN"/>
              </w:rPr>
              <w:t>3000</w:t>
            </w:r>
            <w:r>
              <w:rPr>
                <w:rFonts w:hint="eastAsia" w:ascii="宋体" w:hAnsi="宋体" w:eastAsia="宋体" w:cs="宋体"/>
                <w:b/>
                <w:bCs/>
                <w:color w:val="auto"/>
                <w:sz w:val="24"/>
                <w:szCs w:val="24"/>
              </w:rPr>
              <w:t>元，</w:t>
            </w:r>
            <w:r>
              <w:rPr>
                <w:rFonts w:hint="eastAsia" w:ascii="宋体" w:hAnsi="宋体" w:eastAsia="宋体" w:cs="宋体"/>
                <w:b/>
                <w:bCs/>
                <w:color w:val="auto"/>
                <w:sz w:val="24"/>
                <w:szCs w:val="24"/>
                <w:lang w:val="zh-CN"/>
              </w:rPr>
              <w:t>金额（大写）：</w:t>
            </w:r>
            <w:r>
              <w:rPr>
                <w:rFonts w:hint="eastAsia" w:ascii="宋体" w:hAnsi="宋体" w:cs="宋体"/>
                <w:b/>
                <w:bCs/>
                <w:color w:val="auto"/>
                <w:sz w:val="24"/>
                <w:szCs w:val="24"/>
                <w:lang w:val="en-US" w:eastAsia="zh-CN"/>
              </w:rPr>
              <w:t>叁仟</w:t>
            </w:r>
            <w:r>
              <w:rPr>
                <w:rFonts w:hint="eastAsia" w:ascii="宋体" w:hAnsi="宋体" w:eastAsia="宋体" w:cs="宋体"/>
                <w:b/>
                <w:bCs/>
                <w:color w:val="auto"/>
                <w:sz w:val="24"/>
                <w:szCs w:val="24"/>
              </w:rPr>
              <w:t>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8" w:hRule="atLeast"/>
          <w:jc w:val="center"/>
        </w:trPr>
        <w:tc>
          <w:tcPr>
            <w:tcW w:w="1006" w:type="dxa"/>
            <w:vMerge w:val="continue"/>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p>
        </w:tc>
        <w:tc>
          <w:tcPr>
            <w:tcW w:w="1496" w:type="dxa"/>
            <w:vMerge w:val="continue"/>
            <w:vAlign w:val="center"/>
          </w:tcPr>
          <w:p>
            <w:pPr>
              <w:pStyle w:val="42"/>
              <w:adjustRightInd w:val="0"/>
              <w:snapToGrid w:val="0"/>
              <w:spacing w:before="156" w:beforeLines="50" w:after="200" w:line="440" w:lineRule="exact"/>
              <w:ind w:left="-533" w:leftChars="-254" w:firstLine="612" w:firstLineChars="254"/>
              <w:jc w:val="center"/>
              <w:rPr>
                <w:rFonts w:hint="eastAsia" w:ascii="宋体" w:hAnsi="宋体" w:eastAsia="宋体" w:cs="宋体"/>
                <w:b/>
                <w:bCs/>
                <w:color w:val="auto"/>
                <w:sz w:val="24"/>
                <w:szCs w:val="24"/>
              </w:rPr>
            </w:pPr>
          </w:p>
        </w:tc>
        <w:tc>
          <w:tcPr>
            <w:tcW w:w="7281" w:type="dxa"/>
            <w:vAlign w:val="center"/>
          </w:tcPr>
          <w:p>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到账截止时间：</w:t>
            </w:r>
            <w:r>
              <w:rPr>
                <w:rFonts w:hint="eastAsia" w:ascii="宋体" w:hAnsi="宋体" w:eastAsia="宋体" w:cs="宋体"/>
                <w:color w:val="0000FF"/>
                <w:sz w:val="24"/>
                <w:szCs w:val="24"/>
              </w:rPr>
              <w:t>2023年</w:t>
            </w:r>
            <w:r>
              <w:rPr>
                <w:rFonts w:hint="eastAsia" w:ascii="宋体" w:hAnsi="宋体" w:cs="宋体"/>
                <w:color w:val="0000FF"/>
                <w:sz w:val="24"/>
                <w:szCs w:val="24"/>
                <w:lang w:val="en-US" w:eastAsia="zh-CN"/>
              </w:rPr>
              <w:t>11</w:t>
            </w:r>
            <w:r>
              <w:rPr>
                <w:rFonts w:hint="eastAsia" w:ascii="宋体" w:hAnsi="宋体" w:eastAsia="宋体" w:cs="宋体"/>
                <w:color w:val="0000FF"/>
                <w:sz w:val="24"/>
                <w:szCs w:val="24"/>
              </w:rPr>
              <w:t>月</w:t>
            </w:r>
            <w:r>
              <w:rPr>
                <w:rFonts w:hint="eastAsia" w:ascii="宋体" w:hAnsi="宋体" w:cs="宋体"/>
                <w:color w:val="0000FF"/>
                <w:sz w:val="24"/>
                <w:szCs w:val="24"/>
                <w:lang w:val="en-US" w:eastAsia="zh-CN"/>
              </w:rPr>
              <w:t>06</w:t>
            </w:r>
            <w:r>
              <w:rPr>
                <w:rFonts w:hint="eastAsia" w:ascii="宋体" w:hAnsi="宋体" w:eastAsia="宋体" w:cs="宋体"/>
                <w:color w:val="0000FF"/>
                <w:sz w:val="24"/>
                <w:szCs w:val="24"/>
              </w:rPr>
              <w:t>日 1</w:t>
            </w:r>
            <w:r>
              <w:rPr>
                <w:rFonts w:hint="eastAsia" w:ascii="宋体" w:hAnsi="宋体" w:cs="宋体"/>
                <w:color w:val="0000FF"/>
                <w:sz w:val="24"/>
                <w:szCs w:val="24"/>
                <w:lang w:val="en-US" w:eastAsia="zh-CN"/>
              </w:rPr>
              <w:t>0</w:t>
            </w:r>
            <w:r>
              <w:rPr>
                <w:rFonts w:hint="eastAsia" w:ascii="宋体" w:hAnsi="宋体" w:eastAsia="宋体" w:cs="宋体"/>
                <w:color w:val="0000FF"/>
                <w:sz w:val="24"/>
                <w:szCs w:val="24"/>
              </w:rPr>
              <w:t>：00</w:t>
            </w:r>
            <w:r>
              <w:rPr>
                <w:rFonts w:hint="eastAsia" w:ascii="宋体" w:hAnsi="宋体" w:eastAsia="宋体" w:cs="宋体"/>
                <w:color w:val="auto"/>
                <w:sz w:val="24"/>
                <w:szCs w:val="24"/>
              </w:rPr>
              <w:t>(北京时间)</w:t>
            </w:r>
          </w:p>
          <w:p>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保证金的提交：投标保证金的形式：投标保证金需以电汇、转账、支票、汇票、本票或者金融机构、担保机构出具的保函等非现金形式提交。投标保证金于投标截止时间（开标时间）之前缴纳并到账，必须从投标人基本账户支出。</w:t>
            </w:r>
          </w:p>
          <w:p>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投标保证金采用银行转账方式的应从供应商的基本账户汇入下面采购人指定的开户银行账户。供应商应充分考虑资金到账时间，在规定的时限前自行办妥投标保证金缴纳手续，投标保证金的缴付时间以电汇凭证和网银对账单上的时间为准，超过缴纳的时限缴纳投标保证金视为报名无效。投标保证金采用电汇或网银转帐的方式，由供应商基本帐户汇至新疆昌盛方略项目管理有限公司（账户单位:新疆昌盛方略项目管理有限公司；开户行名称:交通银行昌吉北京南路支行；账号: 728728038013000134671；开户行行号: 301885000031），不得以现金和其他形式缴纳，不得以分公司、办事处或其他机构名义缴纳，供应商在缴纳投标保证金时，需在进帐凭证上明确资金用途和投标项目名称，并注明联系人及电话，以便查对核实。</w:t>
            </w:r>
          </w:p>
          <w:p>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在退还保证金时需携带以下资料：</w:t>
            </w:r>
          </w:p>
          <w:p>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①请贵公司开具对开收据（原件），内容为：收到新疆昌盛方略项目管理有限公司XXXXXXXX项目保证金，金额写清楚，并加盖财务章；②贵公司营业执照（复印件盖公章）；③贵公司开户许可证（复印件盖公章）；④日期请落款在公示期结束后。</w:t>
            </w:r>
          </w:p>
          <w:p>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金融机构、担保机构出具的保函，投标人在开具保函时，保函需注明项目名称及单位名称，保函的有效期不得少于投标有效期，担保金额不得少于投标保证金金额。</w:t>
            </w:r>
          </w:p>
          <w:p>
            <w:pPr>
              <w:pStyle w:val="50"/>
              <w:spacing w:after="200" w:line="440" w:lineRule="exact"/>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银行保函、保险保函形式缴纳的投标保证金按协议执行，无需办理退款手续。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100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13</w:t>
            </w:r>
          </w:p>
        </w:tc>
        <w:tc>
          <w:tcPr>
            <w:tcW w:w="149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评审办法</w:t>
            </w:r>
          </w:p>
        </w:tc>
        <w:tc>
          <w:tcPr>
            <w:tcW w:w="7281" w:type="dxa"/>
            <w:vAlign w:val="center"/>
          </w:tcPr>
          <w:p>
            <w:pPr>
              <w:pStyle w:val="42"/>
              <w:spacing w:after="200" w:line="440" w:lineRule="exact"/>
              <w:ind w:left="520" w:leftChars="1" w:hanging="518" w:hangingChars="216"/>
              <w:rPr>
                <w:rFonts w:hint="eastAsia" w:ascii="宋体" w:hAnsi="宋体" w:eastAsia="宋体" w:cs="宋体"/>
                <w:color w:val="auto"/>
                <w:sz w:val="24"/>
                <w:szCs w:val="24"/>
              </w:rPr>
            </w:pPr>
            <w:r>
              <w:rPr>
                <w:rFonts w:hint="eastAsia" w:ascii="宋体" w:hAnsi="宋体" w:eastAsia="宋体" w:cs="宋体"/>
                <w:color w:val="auto"/>
                <w:sz w:val="24"/>
                <w:szCs w:val="24"/>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00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14</w:t>
            </w:r>
          </w:p>
        </w:tc>
        <w:tc>
          <w:tcPr>
            <w:tcW w:w="149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磋商有效期</w:t>
            </w:r>
          </w:p>
        </w:tc>
        <w:tc>
          <w:tcPr>
            <w:tcW w:w="7281" w:type="dxa"/>
            <w:vAlign w:val="center"/>
          </w:tcPr>
          <w:p>
            <w:pPr>
              <w:pStyle w:val="42"/>
              <w:adjustRightInd w:val="0"/>
              <w:snapToGrid w:val="0"/>
              <w:spacing w:before="156" w:beforeLines="50" w:after="200" w:line="440" w:lineRule="exact"/>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90   </w:t>
            </w:r>
            <w:r>
              <w:rPr>
                <w:rFonts w:hint="eastAsia" w:ascii="宋体" w:hAnsi="宋体" w:eastAsia="宋体" w:cs="宋体"/>
                <w:color w:val="auto"/>
                <w:sz w:val="24"/>
                <w:szCs w:val="24"/>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15</w:t>
            </w:r>
          </w:p>
        </w:tc>
        <w:tc>
          <w:tcPr>
            <w:tcW w:w="1496" w:type="dxa"/>
            <w:vAlign w:val="center"/>
          </w:tcPr>
          <w:p>
            <w:pPr>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投标文件份数及要求</w:t>
            </w:r>
          </w:p>
        </w:tc>
        <w:tc>
          <w:tcPr>
            <w:tcW w:w="7281" w:type="dxa"/>
            <w:vAlign w:val="center"/>
          </w:tcPr>
          <w:p>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待开标结束后，排名第一的企业请按照此文件格式要求提供纸质投标文件三份至新疆昌盛方略项目管理有限公司（昌吉市西外环南路832号尚都社区国投大厦1幢14楼1419）。</w:t>
            </w:r>
          </w:p>
          <w:p>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装订形式：不得采用活页、拉杆等形式，必须采用胶装。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100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16</w:t>
            </w:r>
          </w:p>
        </w:tc>
        <w:tc>
          <w:tcPr>
            <w:tcW w:w="1496" w:type="dxa"/>
            <w:vAlign w:val="center"/>
          </w:tcPr>
          <w:p>
            <w:pPr>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投标文件形式</w:t>
            </w:r>
          </w:p>
        </w:tc>
        <w:tc>
          <w:tcPr>
            <w:tcW w:w="7281" w:type="dxa"/>
            <w:vAlign w:val="center"/>
          </w:tcPr>
          <w:p>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电子投标文件包括“电子加密投标文件”和“备份投标文件”，在投标文件编制完成后同时生成。</w:t>
            </w:r>
          </w:p>
          <w:p>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1、“电子加密投标文件”是指通过“政采云电子交易客户端”完成投标文件编制后生成并加密的数据电文形式的投标文件。</w:t>
            </w:r>
          </w:p>
          <w:p>
            <w:pPr>
              <w:spacing w:line="440" w:lineRule="exact"/>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45" w:hRule="atLeast"/>
          <w:jc w:val="center"/>
        </w:trPr>
        <w:tc>
          <w:tcPr>
            <w:tcW w:w="100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17</w:t>
            </w:r>
          </w:p>
        </w:tc>
        <w:tc>
          <w:tcPr>
            <w:tcW w:w="1496" w:type="dxa"/>
            <w:vAlign w:val="center"/>
          </w:tcPr>
          <w:p>
            <w:pPr>
              <w:pStyle w:val="42"/>
              <w:spacing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是否允许</w:t>
            </w:r>
            <w:r>
              <w:rPr>
                <w:rFonts w:hint="eastAsia" w:ascii="宋体" w:hAnsi="宋体" w:eastAsia="宋体" w:cs="宋体"/>
                <w:b/>
                <w:bCs/>
                <w:color w:val="auto"/>
                <w:sz w:val="24"/>
                <w:szCs w:val="24"/>
                <w:lang w:val="en-US" w:eastAsia="zh-CN"/>
              </w:rPr>
              <w:t>投标</w:t>
            </w:r>
            <w:r>
              <w:rPr>
                <w:rFonts w:hint="eastAsia" w:ascii="宋体" w:hAnsi="宋体" w:eastAsia="宋体" w:cs="宋体"/>
                <w:b/>
                <w:bCs/>
                <w:color w:val="auto"/>
                <w:sz w:val="24"/>
                <w:szCs w:val="24"/>
              </w:rPr>
              <w:t>进口产品</w:t>
            </w:r>
          </w:p>
        </w:tc>
        <w:tc>
          <w:tcPr>
            <w:tcW w:w="7281" w:type="dxa"/>
            <w:vAlign w:val="center"/>
          </w:tcPr>
          <w:p>
            <w:pPr>
              <w:pStyle w:val="42"/>
              <w:autoSpaceDE w:val="0"/>
              <w:autoSpaceDN w:val="0"/>
              <w:adjustRightInd w:val="0"/>
              <w:spacing w:after="200" w:line="44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□是               </w:t>
            </w:r>
          </w:p>
          <w:p>
            <w:pPr>
              <w:pStyle w:val="42"/>
              <w:autoSpaceDE w:val="0"/>
              <w:autoSpaceDN w:val="0"/>
              <w:adjustRightInd w:val="0"/>
              <w:spacing w:after="200" w:line="440" w:lineRule="exac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sym w:font="Wingdings" w:char="00FE"/>
            </w:r>
            <w:r>
              <w:rPr>
                <w:rFonts w:hint="eastAsia" w:ascii="宋体" w:hAnsi="宋体" w:eastAsia="宋体" w:cs="宋体"/>
                <w:color w:val="auto"/>
                <w:kern w:val="0"/>
                <w:sz w:val="24"/>
                <w:szCs w:val="24"/>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1" w:hRule="atLeast"/>
          <w:jc w:val="center"/>
        </w:trPr>
        <w:tc>
          <w:tcPr>
            <w:tcW w:w="100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18</w:t>
            </w:r>
          </w:p>
        </w:tc>
        <w:tc>
          <w:tcPr>
            <w:tcW w:w="1496" w:type="dxa"/>
            <w:vAlign w:val="center"/>
          </w:tcPr>
          <w:p>
            <w:pPr>
              <w:pStyle w:val="42"/>
              <w:spacing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踏勘现场</w:t>
            </w:r>
          </w:p>
        </w:tc>
        <w:tc>
          <w:tcPr>
            <w:tcW w:w="7281" w:type="dxa"/>
            <w:vAlign w:val="center"/>
          </w:tcPr>
          <w:p>
            <w:pPr>
              <w:pStyle w:val="42"/>
              <w:autoSpaceDE w:val="0"/>
              <w:autoSpaceDN w:val="0"/>
              <w:adjustRightInd w:val="0"/>
              <w:spacing w:after="200" w:line="44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sym w:font="Wingdings" w:char="00FE"/>
            </w:r>
            <w:r>
              <w:rPr>
                <w:rFonts w:hint="eastAsia" w:ascii="宋体" w:hAnsi="宋体" w:eastAsia="宋体" w:cs="宋体"/>
                <w:color w:val="auto"/>
                <w:kern w:val="0"/>
                <w:sz w:val="24"/>
                <w:szCs w:val="24"/>
              </w:rPr>
              <w:t>自行踏勘。</w:t>
            </w:r>
          </w:p>
          <w:p>
            <w:pPr>
              <w:pStyle w:val="42"/>
              <w:autoSpaceDE w:val="0"/>
              <w:autoSpaceDN w:val="0"/>
              <w:adjustRightInd w:val="0"/>
              <w:spacing w:after="200" w:line="440" w:lineRule="exact"/>
              <w:rPr>
                <w:rFonts w:hint="eastAsia" w:ascii="宋体" w:hAnsi="宋体" w:eastAsia="宋体" w:cs="宋体"/>
                <w:color w:val="auto"/>
                <w:sz w:val="24"/>
                <w:szCs w:val="24"/>
              </w:rPr>
            </w:pPr>
            <w:r>
              <w:rPr>
                <w:rFonts w:hint="eastAsia" w:ascii="宋体" w:hAnsi="宋体" w:eastAsia="宋体" w:cs="宋体"/>
                <w:color w:val="auto"/>
                <w:kern w:val="0"/>
                <w:sz w:val="24"/>
                <w:szCs w:val="24"/>
              </w:rPr>
              <w:t>□统一组织。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jc w:val="center"/>
        </w:trPr>
        <w:tc>
          <w:tcPr>
            <w:tcW w:w="100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19</w:t>
            </w:r>
          </w:p>
        </w:tc>
        <w:tc>
          <w:tcPr>
            <w:tcW w:w="1496" w:type="dxa"/>
            <w:vAlign w:val="center"/>
          </w:tcPr>
          <w:p>
            <w:pPr>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投标文件的上传和递交</w:t>
            </w:r>
          </w:p>
        </w:tc>
        <w:tc>
          <w:tcPr>
            <w:tcW w:w="7281" w:type="dxa"/>
            <w:vAlign w:val="center"/>
          </w:tcPr>
          <w:p>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1.电子加密投标文件：投标文件制作完成并生成加密标书，在投标截止时间前，供应商需将加密的投标文件上传至政采云平台，在开标时间开始后，待采购组织机构发出解密通知后30分钟内解密投标文件。</w:t>
            </w:r>
          </w:p>
          <w:p>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a.供应商未能在投标截止时间前成功上传电子加密投标文件的投标无效。</w:t>
            </w:r>
          </w:p>
          <w:p>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b.供应商成功上传电子加密投标文件后，可自行打印投标文件接收回执。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6" w:type="dxa"/>
            <w:vMerge w:val="restart"/>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20</w:t>
            </w:r>
          </w:p>
        </w:tc>
        <w:tc>
          <w:tcPr>
            <w:tcW w:w="1496" w:type="dxa"/>
            <w:vMerge w:val="restart"/>
            <w:vAlign w:val="center"/>
          </w:tcPr>
          <w:p>
            <w:pPr>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重要说明</w:t>
            </w:r>
          </w:p>
        </w:tc>
        <w:tc>
          <w:tcPr>
            <w:tcW w:w="7281" w:type="dxa"/>
            <w:vAlign w:val="center"/>
          </w:tcPr>
          <w:p>
            <w:pPr>
              <w:spacing w:line="440" w:lineRule="exact"/>
              <w:jc w:val="left"/>
              <w:rPr>
                <w:rFonts w:hint="eastAsia" w:ascii="宋体" w:hAnsi="宋体" w:eastAsia="宋体" w:cs="宋体"/>
                <w:color w:val="auto"/>
                <w:kern w:val="0"/>
                <w:sz w:val="24"/>
                <w:szCs w:val="24"/>
                <w:lang w:bidi="en-US"/>
              </w:rPr>
            </w:pPr>
            <w:r>
              <w:rPr>
                <w:rFonts w:hint="eastAsia" w:ascii="宋体" w:hAnsi="宋体" w:eastAsia="宋体" w:cs="宋体"/>
                <w:color w:val="auto"/>
                <w:kern w:val="0"/>
                <w:sz w:val="24"/>
                <w:szCs w:val="24"/>
                <w:lang w:bidi="en-US"/>
              </w:rPr>
              <w:t>1.本项目采用全流程不见面电子开评标，投标供应商需要使用CA加密设备，供应商可通过新疆数字证书认证中心官网（https://www.xjca.com.cn/）或下载“新疆政务通”APP自行进行申领。</w:t>
            </w:r>
          </w:p>
          <w:p>
            <w:pPr>
              <w:spacing w:line="440" w:lineRule="exact"/>
              <w:jc w:val="left"/>
              <w:rPr>
                <w:rFonts w:hint="eastAsia" w:ascii="宋体" w:hAnsi="宋体" w:eastAsia="宋体" w:cs="宋体"/>
                <w:color w:val="auto"/>
                <w:kern w:val="0"/>
                <w:sz w:val="24"/>
                <w:szCs w:val="24"/>
                <w:lang w:bidi="en-US"/>
              </w:rPr>
            </w:pPr>
            <w:r>
              <w:rPr>
                <w:rFonts w:hint="eastAsia" w:ascii="宋体" w:hAnsi="宋体" w:eastAsia="宋体" w:cs="宋体"/>
                <w:color w:val="auto"/>
                <w:kern w:val="0"/>
                <w:sz w:val="24"/>
                <w:szCs w:val="24"/>
                <w:lang w:bidi="en-US"/>
              </w:rPr>
              <w:t>2.本项目实行网上投标，采用加密电子投标文件(供应商须使用CA加密设备通过政采云电子投标客户端制作投标文件)。若供应商参与投标，自行承担投标一切费用。</w:t>
            </w:r>
          </w:p>
          <w:p>
            <w:pPr>
              <w:spacing w:line="440" w:lineRule="exact"/>
              <w:jc w:val="left"/>
              <w:rPr>
                <w:rFonts w:hint="eastAsia" w:ascii="宋体" w:hAnsi="宋体" w:eastAsia="宋体" w:cs="宋体"/>
                <w:color w:val="auto"/>
                <w:kern w:val="0"/>
                <w:sz w:val="24"/>
                <w:szCs w:val="24"/>
                <w:lang w:bidi="en-US"/>
              </w:rPr>
            </w:pPr>
            <w:r>
              <w:rPr>
                <w:rFonts w:hint="eastAsia" w:ascii="宋体" w:hAnsi="宋体" w:eastAsia="宋体" w:cs="宋体"/>
                <w:color w:val="auto"/>
                <w:kern w:val="0"/>
                <w:sz w:val="24"/>
                <w:szCs w:val="24"/>
                <w:lang w:bidi="en-US"/>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pacing w:line="440" w:lineRule="exact"/>
              <w:jc w:val="left"/>
              <w:rPr>
                <w:rFonts w:hint="eastAsia" w:ascii="宋体" w:hAnsi="宋体" w:eastAsia="宋体" w:cs="宋体"/>
                <w:color w:val="auto"/>
                <w:kern w:val="0"/>
                <w:sz w:val="24"/>
                <w:szCs w:val="24"/>
                <w:lang w:bidi="en-US"/>
              </w:rPr>
            </w:pPr>
            <w:r>
              <w:rPr>
                <w:rFonts w:hint="eastAsia" w:ascii="宋体" w:hAnsi="宋体" w:eastAsia="宋体" w:cs="宋体"/>
                <w:color w:val="auto"/>
                <w:kern w:val="0"/>
                <w:sz w:val="24"/>
                <w:szCs w:val="24"/>
                <w:lang w:bidi="en-US"/>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spacing w:line="440" w:lineRule="exact"/>
              <w:jc w:val="left"/>
              <w:rPr>
                <w:rFonts w:hint="eastAsia" w:ascii="宋体" w:hAnsi="宋体" w:eastAsia="宋体" w:cs="宋体"/>
                <w:color w:val="auto"/>
                <w:kern w:val="0"/>
                <w:sz w:val="24"/>
                <w:szCs w:val="24"/>
                <w:lang w:bidi="en-US"/>
              </w:rPr>
            </w:pPr>
            <w:r>
              <w:rPr>
                <w:rFonts w:hint="eastAsia" w:ascii="宋体" w:hAnsi="宋体" w:eastAsia="宋体" w:cs="宋体"/>
                <w:color w:val="auto"/>
                <w:kern w:val="0"/>
                <w:sz w:val="24"/>
                <w:szCs w:val="24"/>
                <w:lang w:bidi="en-US"/>
              </w:rPr>
              <w:t>5.供应商在开标时须使用制作加密电子投标文件所使用的CA锁及电脑，电脑须提前配置好浏览器（建议使用谷歌浏览器），以便开标时解锁。</w:t>
            </w:r>
          </w:p>
          <w:p>
            <w:pPr>
              <w:spacing w:line="440" w:lineRule="exact"/>
              <w:jc w:val="left"/>
              <w:rPr>
                <w:rFonts w:hint="eastAsia" w:ascii="宋体" w:hAnsi="宋体" w:eastAsia="宋体" w:cs="宋体"/>
                <w:color w:val="auto"/>
                <w:kern w:val="0"/>
                <w:sz w:val="24"/>
                <w:szCs w:val="24"/>
                <w:lang w:bidi="en-US"/>
              </w:rPr>
            </w:pPr>
            <w:r>
              <w:rPr>
                <w:rFonts w:hint="eastAsia" w:ascii="宋体" w:hAnsi="宋体" w:eastAsia="宋体" w:cs="宋体"/>
                <w:color w:val="auto"/>
                <w:kern w:val="0"/>
                <w:sz w:val="24"/>
                <w:szCs w:val="24"/>
                <w:lang w:bidi="en-US"/>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spacing w:line="44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en-US"/>
              </w:rPr>
              <w:t>7.为了保证开评标顺利进行，政采云线上开标功能完全实现，供应商开标所使用的电脑设备须具有视频及语音功能。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6" w:type="dxa"/>
            <w:vMerge w:val="continue"/>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p>
        </w:tc>
        <w:tc>
          <w:tcPr>
            <w:tcW w:w="1496" w:type="dxa"/>
            <w:vMerge w:val="continue"/>
            <w:vAlign w:val="center"/>
          </w:tcPr>
          <w:p>
            <w:pPr>
              <w:spacing w:line="440" w:lineRule="exact"/>
              <w:jc w:val="left"/>
              <w:rPr>
                <w:rFonts w:hint="eastAsia" w:ascii="宋体" w:hAnsi="宋体" w:eastAsia="宋体" w:cs="宋体"/>
                <w:b/>
                <w:bCs/>
                <w:color w:val="auto"/>
                <w:sz w:val="24"/>
                <w:szCs w:val="24"/>
              </w:rPr>
            </w:pPr>
          </w:p>
        </w:tc>
        <w:tc>
          <w:tcPr>
            <w:tcW w:w="7281" w:type="dxa"/>
            <w:vAlign w:val="center"/>
          </w:tcPr>
          <w:p>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1、电子招投标情况说明：</w:t>
            </w:r>
          </w:p>
          <w:p>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（1）电子招投标：本项目以数据电文形式，依托“政府采购云平台（www.zcygov.cn）”进行招投标活动。</w:t>
            </w:r>
          </w:p>
          <w:p>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（3）招标文件的获取：使用账号登录或者短信验证码或者使用CA登录政采云平台；进入“项目采购”应用，在获取招标文件 菜单中选择项目，获取招标文件 </w:t>
            </w:r>
          </w:p>
          <w:p>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（4）投标文件的解密：供应商按照平台提示和招标文件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（5）具体操作指南：详见政采云平台“服务中心-帮助文档-项目采购-操作流程-电子招投标-政府采购项目电子交易管理操作指南-供应商”。</w:t>
            </w:r>
          </w:p>
          <w:p>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（6）供应商在进行上述操作时，如遇技术问题可登录政采云（https://</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"http://www.zcygov.cn/" \h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www.zcygov.cn/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），点击右侧咨询小采，获取采小蜜智能服务管家帮助，或拨打政采云服务热线95763获取热线服务帮助。</w:t>
            </w:r>
          </w:p>
          <w:p>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温馨提醒：供应商应提前上传，以便在上传时遇到技术问题，有充足的时间请教平台的技术人员。</w:t>
            </w:r>
          </w:p>
          <w:p>
            <w:pPr>
              <w:spacing w:line="440" w:lineRule="exact"/>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2、供应商认为招标文件使自己的权益受到损害的，可以自收到招标文件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21</w:t>
            </w:r>
          </w:p>
        </w:tc>
        <w:tc>
          <w:tcPr>
            <w:tcW w:w="149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代理服务费</w:t>
            </w:r>
          </w:p>
        </w:tc>
        <w:tc>
          <w:tcPr>
            <w:tcW w:w="7281" w:type="dxa"/>
            <w:vAlign w:val="center"/>
          </w:tcPr>
          <w:p>
            <w:pPr>
              <w:pStyle w:val="61"/>
              <w:spacing w:after="200"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由中标供应商支付，中标单位在领取本项目中标通知书时，参照《国家计委关于印发招标代理服务收费管理暂行办法的通知（计价格[2002]1980号）及《招标代理服务收费有关问题》（发改办价格〔2003〕857号文）中规定由中标单位向招标代理机构支付本项目代理费。此费由投标人综合考虑到投标报价中，不再单独列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6" w:type="dxa"/>
            <w:vMerge w:val="restart"/>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22</w:t>
            </w:r>
          </w:p>
        </w:tc>
        <w:tc>
          <w:tcPr>
            <w:tcW w:w="1496" w:type="dxa"/>
            <w:vMerge w:val="restart"/>
            <w:vAlign w:val="center"/>
          </w:tcPr>
          <w:p>
            <w:pPr>
              <w:pStyle w:val="42"/>
              <w:spacing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中小微型企业有关政策</w:t>
            </w:r>
          </w:p>
        </w:tc>
        <w:tc>
          <w:tcPr>
            <w:tcW w:w="7281" w:type="dxa"/>
            <w:vAlign w:val="center"/>
          </w:tcPr>
          <w:p>
            <w:pPr>
              <w:spacing w:line="440" w:lineRule="exact"/>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1）根据财政部、工业和信息化部关于印发《政府采购促进中小企业发展管理办法》的通知（财库[2020]46号）和（财库[2020]19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6" w:type="dxa"/>
            <w:vMerge w:val="continue"/>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p>
        </w:tc>
        <w:tc>
          <w:tcPr>
            <w:tcW w:w="1496" w:type="dxa"/>
            <w:vMerge w:val="continue"/>
            <w:vAlign w:val="center"/>
          </w:tcPr>
          <w:p>
            <w:pPr>
              <w:pStyle w:val="42"/>
              <w:spacing w:after="200" w:line="440" w:lineRule="exact"/>
              <w:jc w:val="center"/>
              <w:rPr>
                <w:rFonts w:hint="eastAsia" w:ascii="宋体" w:hAnsi="宋体" w:eastAsia="宋体" w:cs="宋体"/>
                <w:b/>
                <w:bCs/>
                <w:color w:val="auto"/>
                <w:kern w:val="0"/>
                <w:sz w:val="24"/>
                <w:szCs w:val="24"/>
              </w:rPr>
            </w:pPr>
          </w:p>
        </w:tc>
        <w:tc>
          <w:tcPr>
            <w:tcW w:w="7281" w:type="dxa"/>
            <w:vAlign w:val="center"/>
          </w:tcPr>
          <w:p>
            <w:pPr>
              <w:spacing w:line="440" w:lineRule="exact"/>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6" w:type="dxa"/>
            <w:vMerge w:val="continue"/>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p>
        </w:tc>
        <w:tc>
          <w:tcPr>
            <w:tcW w:w="1496" w:type="dxa"/>
            <w:vMerge w:val="continue"/>
            <w:vAlign w:val="center"/>
          </w:tcPr>
          <w:p>
            <w:pPr>
              <w:pStyle w:val="42"/>
              <w:spacing w:after="200" w:line="440" w:lineRule="exact"/>
              <w:jc w:val="center"/>
              <w:rPr>
                <w:rFonts w:hint="eastAsia" w:ascii="宋体" w:hAnsi="宋体" w:eastAsia="宋体" w:cs="宋体"/>
                <w:b/>
                <w:bCs/>
                <w:color w:val="auto"/>
                <w:sz w:val="24"/>
                <w:szCs w:val="24"/>
              </w:rPr>
            </w:pPr>
          </w:p>
        </w:tc>
        <w:tc>
          <w:tcPr>
            <w:tcW w:w="7281" w:type="dxa"/>
            <w:vAlign w:val="center"/>
          </w:tcPr>
          <w:p>
            <w:pPr>
              <w:spacing w:line="440" w:lineRule="exact"/>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1006" w:type="dxa"/>
            <w:vAlign w:val="center"/>
          </w:tcPr>
          <w:p>
            <w:pPr>
              <w:pStyle w:val="42"/>
              <w:tabs>
                <w:tab w:val="left" w:pos="265"/>
              </w:tabs>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23</w:t>
            </w:r>
          </w:p>
        </w:tc>
        <w:tc>
          <w:tcPr>
            <w:tcW w:w="149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履约保证金</w:t>
            </w:r>
          </w:p>
        </w:tc>
        <w:tc>
          <w:tcPr>
            <w:tcW w:w="7281" w:type="dxa"/>
            <w:vAlign w:val="center"/>
          </w:tcPr>
          <w:p>
            <w:pPr>
              <w:pStyle w:val="42"/>
              <w:spacing w:after="200" w:line="440" w:lineRule="exact"/>
              <w:ind w:firstLine="720" w:firstLineChars="300"/>
              <w:rPr>
                <w:rFonts w:hint="eastAsia" w:ascii="宋体" w:hAnsi="宋体" w:eastAsia="宋体" w:cs="宋体"/>
                <w:color w:val="auto"/>
                <w:sz w:val="24"/>
                <w:szCs w:val="24"/>
                <w:u w:val="single"/>
              </w:rPr>
            </w:pPr>
            <w:r>
              <w:rPr>
                <w:rFonts w:hint="eastAsia" w:ascii="宋体" w:hAnsi="宋体" w:eastAsia="宋体" w:cs="宋体"/>
                <w:color w:val="auto"/>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24</w:t>
            </w:r>
          </w:p>
        </w:tc>
        <w:tc>
          <w:tcPr>
            <w:tcW w:w="1496" w:type="dxa"/>
            <w:vAlign w:val="center"/>
          </w:tcPr>
          <w:p>
            <w:pPr>
              <w:pStyle w:val="43"/>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服务期限</w:t>
            </w:r>
          </w:p>
        </w:tc>
        <w:tc>
          <w:tcPr>
            <w:tcW w:w="7281" w:type="dxa"/>
            <w:vAlign w:val="center"/>
          </w:tcPr>
          <w:p>
            <w:pPr>
              <w:pStyle w:val="30"/>
              <w:spacing w:line="440" w:lineRule="exact"/>
              <w:ind w:left="0" w:leftChars="0" w:firstLine="0" w:firstLineChars="0"/>
              <w:rPr>
                <w:rFonts w:hint="eastAsia" w:ascii="宋体" w:hAnsi="宋体" w:eastAsia="宋体" w:cs="宋体"/>
                <w:color w:val="auto"/>
                <w:sz w:val="24"/>
                <w:szCs w:val="24"/>
                <w:u w:val="single"/>
              </w:rPr>
            </w:pPr>
            <w:r>
              <w:rPr>
                <w:rFonts w:hint="eastAsia" w:ascii="宋体" w:hAnsi="宋体" w:eastAsia="宋体" w:cs="宋体"/>
                <w:color w:val="auto"/>
                <w:sz w:val="24"/>
                <w:szCs w:val="24"/>
                <w:u w:val="none"/>
                <w:lang w:val="en-US" w:eastAsia="zh-CN"/>
              </w:rPr>
              <w:t>2024年2月29日前完成约定的审计工作，并出具审计报告和管理建议书。（成交通知书签发后，5日内与采购人签订服务约定书）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00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25</w:t>
            </w:r>
          </w:p>
        </w:tc>
        <w:tc>
          <w:tcPr>
            <w:tcW w:w="1496" w:type="dxa"/>
            <w:vAlign w:val="center"/>
          </w:tcPr>
          <w:p>
            <w:pPr>
              <w:adjustRightInd w:val="0"/>
              <w:snapToGrid w:val="0"/>
              <w:spacing w:line="440" w:lineRule="exact"/>
              <w:jc w:val="center"/>
              <w:rPr>
                <w:rFonts w:hint="eastAsia" w:ascii="宋体" w:hAnsi="宋体" w:eastAsia="宋体" w:cs="宋体"/>
                <w:b/>
                <w:bCs/>
                <w:color w:val="auto"/>
                <w:sz w:val="24"/>
                <w:szCs w:val="24"/>
              </w:rPr>
            </w:pPr>
            <w:r>
              <w:rPr>
                <w:rFonts w:hint="eastAsia" w:ascii="宋体" w:hAnsi="宋体" w:eastAsia="宋体" w:cs="宋体"/>
                <w:b/>
                <w:color w:val="auto"/>
                <w:sz w:val="24"/>
                <w:szCs w:val="24"/>
              </w:rPr>
              <w:t>采购内容</w:t>
            </w:r>
          </w:p>
        </w:tc>
        <w:tc>
          <w:tcPr>
            <w:tcW w:w="7281" w:type="dxa"/>
            <w:vAlign w:val="center"/>
          </w:tcPr>
          <w:p>
            <w:pPr>
              <w:pStyle w:val="14"/>
              <w:spacing w:before="0" w:beforeAutospacing="0" w:after="0" w:afterAutospacing="0" w:line="440" w:lineRule="exact"/>
              <w:rPr>
                <w:rFonts w:hint="eastAsia" w:ascii="宋体" w:hAnsi="宋体" w:eastAsia="宋体" w:cs="宋体"/>
                <w:color w:val="auto"/>
                <w:szCs w:val="24"/>
                <w:lang w:eastAsia="zh-CN"/>
              </w:rPr>
            </w:pPr>
            <w:r>
              <w:rPr>
                <w:rFonts w:hint="eastAsia" w:ascii="宋体" w:hAnsi="宋体" w:eastAsia="宋体" w:cs="宋体"/>
                <w:color w:val="auto"/>
                <w:szCs w:val="24"/>
                <w:shd w:val="clear" w:color="auto" w:fill="FFFFFF"/>
              </w:rPr>
              <w:t>本项目采购分为3个标段</w:t>
            </w:r>
            <w:r>
              <w:rPr>
                <w:rFonts w:hint="eastAsia" w:ascii="宋体" w:hAnsi="宋体" w:eastAsia="宋体" w:cs="宋体"/>
                <w:color w:val="auto"/>
                <w:szCs w:val="24"/>
                <w:shd w:val="clear" w:color="auto" w:fill="FFFFFF"/>
                <w:lang w:eastAsia="zh-CN"/>
              </w:rPr>
              <w:t>，昌吉州国有企业财务决算审计项目</w:t>
            </w:r>
            <w:r>
              <w:rPr>
                <w:rFonts w:hint="eastAsia" w:ascii="宋体" w:hAnsi="宋体" w:eastAsia="宋体" w:cs="宋体"/>
                <w:color w:val="auto"/>
                <w:szCs w:val="24"/>
                <w:shd w:val="clear" w:color="auto" w:fill="FFFFFF"/>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1" w:hRule="atLeast"/>
          <w:jc w:val="center"/>
        </w:trPr>
        <w:tc>
          <w:tcPr>
            <w:tcW w:w="100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26</w:t>
            </w:r>
          </w:p>
        </w:tc>
        <w:tc>
          <w:tcPr>
            <w:tcW w:w="149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质量要求</w:t>
            </w:r>
          </w:p>
        </w:tc>
        <w:tc>
          <w:tcPr>
            <w:tcW w:w="7281" w:type="dxa"/>
            <w:vAlign w:val="center"/>
          </w:tcPr>
          <w:p>
            <w:pPr>
              <w:pStyle w:val="42"/>
              <w:wordWrap w:val="0"/>
              <w:spacing w:after="20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符合现行国家相关法律法规、标准和规范等，成果资料完整、真实准确、依据清晰。审计成果资料，达到招标人使用要求，服务工作优质高效。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100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27</w:t>
            </w:r>
          </w:p>
        </w:tc>
        <w:tc>
          <w:tcPr>
            <w:tcW w:w="149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付款方式</w:t>
            </w:r>
          </w:p>
        </w:tc>
        <w:tc>
          <w:tcPr>
            <w:tcW w:w="7281" w:type="dxa"/>
            <w:vAlign w:val="center"/>
          </w:tcPr>
          <w:p>
            <w:pPr>
              <w:pStyle w:val="42"/>
              <w:wordWrap w:val="0"/>
              <w:spacing w:after="200" w:line="440" w:lineRule="exact"/>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以最终签订服务约定书为准。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07" w:hRule="atLeast"/>
          <w:jc w:val="center"/>
        </w:trPr>
        <w:tc>
          <w:tcPr>
            <w:tcW w:w="1006" w:type="dxa"/>
            <w:vAlign w:val="center"/>
          </w:tcPr>
          <w:p>
            <w:pPr>
              <w:pStyle w:val="42"/>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28</w:t>
            </w:r>
          </w:p>
        </w:tc>
        <w:tc>
          <w:tcPr>
            <w:tcW w:w="1496" w:type="dxa"/>
            <w:vAlign w:val="center"/>
          </w:tcPr>
          <w:p>
            <w:pPr>
              <w:pStyle w:val="42"/>
              <w:adjustRightInd w:val="0"/>
              <w:snapToGrid w:val="0"/>
              <w:spacing w:before="156" w:beforeLines="50" w:after="200" w:line="440" w:lineRule="exact"/>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招标人补充的其他内容</w:t>
            </w:r>
          </w:p>
        </w:tc>
        <w:tc>
          <w:tcPr>
            <w:tcW w:w="7281" w:type="dxa"/>
            <w:vAlign w:val="center"/>
          </w:tcPr>
          <w:p>
            <w:pPr>
              <w:pStyle w:val="42"/>
              <w:wordWrap w:val="0"/>
              <w:spacing w:after="200" w:line="440" w:lineRule="exact"/>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shd w:val="clear" w:color="auto" w:fill="FFFFFF"/>
              </w:rPr>
              <w:t>注：本项目共分</w:t>
            </w:r>
            <w:r>
              <w:rPr>
                <w:rFonts w:hint="eastAsia" w:ascii="宋体" w:hAnsi="宋体" w:eastAsia="宋体" w:cs="宋体"/>
                <w:color w:val="auto"/>
                <w:sz w:val="24"/>
                <w:szCs w:val="24"/>
                <w:shd w:val="clear" w:color="auto" w:fill="FFFFFF"/>
                <w:lang w:val="en-US" w:eastAsia="zh-CN"/>
              </w:rPr>
              <w:t>3</w:t>
            </w:r>
            <w:r>
              <w:rPr>
                <w:rFonts w:hint="eastAsia" w:ascii="宋体" w:hAnsi="宋体" w:eastAsia="宋体" w:cs="宋体"/>
                <w:color w:val="auto"/>
                <w:sz w:val="24"/>
                <w:szCs w:val="24"/>
                <w:shd w:val="clear" w:color="auto" w:fill="FFFFFF"/>
              </w:rPr>
              <w:t>个包，供应商可参与某一个或某几个包的投标，但只允许每个供应商中标 1 个包。按一、二</w:t>
            </w:r>
            <w:r>
              <w:rPr>
                <w:rFonts w:hint="eastAsia" w:ascii="宋体" w:hAnsi="宋体" w:eastAsia="宋体" w:cs="宋体"/>
                <w:color w:val="auto"/>
                <w:sz w:val="24"/>
                <w:szCs w:val="24"/>
                <w:shd w:val="clear" w:color="auto" w:fill="FFFFFF"/>
                <w:lang w:eastAsia="zh-CN"/>
              </w:rPr>
              <w:t>、</w:t>
            </w:r>
            <w:r>
              <w:rPr>
                <w:rFonts w:hint="eastAsia" w:ascii="宋体" w:hAnsi="宋体" w:eastAsia="宋体" w:cs="宋体"/>
                <w:color w:val="auto"/>
                <w:sz w:val="24"/>
                <w:szCs w:val="24"/>
                <w:shd w:val="clear" w:color="auto" w:fill="FFFFFF"/>
                <w:lang w:val="en-US" w:eastAsia="zh-CN"/>
              </w:rPr>
              <w:t>三</w:t>
            </w:r>
            <w:r>
              <w:rPr>
                <w:rFonts w:hint="eastAsia" w:ascii="宋体" w:hAnsi="宋体" w:eastAsia="宋体" w:cs="宋体"/>
                <w:color w:val="auto"/>
                <w:sz w:val="24"/>
                <w:szCs w:val="24"/>
                <w:shd w:val="clear" w:color="auto" w:fill="FFFFFF"/>
              </w:rPr>
              <w:t>包顺序进行评审， 已被推荐排名第一的中标候选人，在其他包参与评审，但不再推荐为中标候选人。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9" w:hRule="atLeast"/>
          <w:jc w:val="center"/>
        </w:trPr>
        <w:tc>
          <w:tcPr>
            <w:tcW w:w="1006" w:type="dxa"/>
            <w:vAlign w:val="center"/>
          </w:tcPr>
          <w:p>
            <w:pPr>
              <w:pStyle w:val="42"/>
              <w:adjustRightInd w:val="0"/>
              <w:snapToGrid w:val="0"/>
              <w:spacing w:before="156" w:beforeLines="50" w:after="200" w:line="440" w:lineRule="exact"/>
              <w:jc w:val="cente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29</w:t>
            </w:r>
          </w:p>
        </w:tc>
        <w:tc>
          <w:tcPr>
            <w:tcW w:w="1496" w:type="dxa"/>
            <w:vAlign w:val="center"/>
          </w:tcPr>
          <w:p>
            <w:pPr>
              <w:pStyle w:val="55"/>
              <w:adjustRightInd w:val="0"/>
              <w:snapToGrid w:val="0"/>
              <w:spacing w:before="156" w:beforeLines="50" w:after="20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项目实施地点</w:t>
            </w:r>
          </w:p>
        </w:tc>
        <w:tc>
          <w:tcPr>
            <w:tcW w:w="7281" w:type="dxa"/>
            <w:vAlign w:val="center"/>
          </w:tcPr>
          <w:p>
            <w:pPr>
              <w:pStyle w:val="55"/>
              <w:wordWrap w:val="0"/>
              <w:spacing w:before="120" w:after="200" w:line="440" w:lineRule="exact"/>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昌吉市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9" w:hRule="atLeast"/>
          <w:jc w:val="center"/>
        </w:trPr>
        <w:tc>
          <w:tcPr>
            <w:tcW w:w="1006" w:type="dxa"/>
            <w:vAlign w:val="center"/>
          </w:tcPr>
          <w:p>
            <w:pPr>
              <w:pStyle w:val="42"/>
              <w:adjustRightInd w:val="0"/>
              <w:snapToGrid w:val="0"/>
              <w:spacing w:before="156" w:beforeLines="50" w:after="200" w:line="440" w:lineRule="exact"/>
              <w:jc w:val="cente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30</w:t>
            </w:r>
          </w:p>
        </w:tc>
        <w:tc>
          <w:tcPr>
            <w:tcW w:w="1496" w:type="dxa"/>
            <w:vAlign w:val="center"/>
          </w:tcPr>
          <w:p>
            <w:pPr>
              <w:pStyle w:val="55"/>
              <w:adjustRightInd w:val="0"/>
              <w:snapToGrid w:val="0"/>
              <w:spacing w:before="156" w:beforeLines="50" w:after="200" w:line="440" w:lineRule="exact"/>
              <w:jc w:val="center"/>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备注</w:t>
            </w:r>
          </w:p>
        </w:tc>
        <w:tc>
          <w:tcPr>
            <w:tcW w:w="7281" w:type="dxa"/>
            <w:vAlign w:val="center"/>
          </w:tcPr>
          <w:p>
            <w:pPr>
              <w:pStyle w:val="55"/>
              <w:wordWrap w:val="0"/>
              <w:spacing w:before="120" w:after="200" w:line="440" w:lineRule="exact"/>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本项目为专门面向中小企业（含中型、小型、微型企业）采购项目，根据《政府采购促进中小企业发展管理办法》（财库[2020]46号）的规定，不再执行价格评审优惠的扶持政策。注：中小企业划分标准依据《工业和信息化部、国家统计局、国家发展和改革委员会、财政部关于印发中小企业划型标准规定的通知》（工信部联企业〔2011〕300号）规定。本项目采购标的对应的中小企业划分标准所属行业为</w:t>
            </w:r>
            <w:r>
              <w:rPr>
                <w:rFonts w:hint="eastAsia" w:ascii="宋体" w:hAnsi="宋体" w:eastAsia="宋体" w:cs="宋体"/>
                <w:b/>
                <w:bCs/>
                <w:color w:val="auto"/>
                <w:kern w:val="2"/>
                <w:sz w:val="24"/>
                <w:szCs w:val="24"/>
                <w:lang w:val="en-US" w:eastAsia="zh-CN" w:bidi="ar-SA"/>
              </w:rPr>
              <w:t>其他未列明行业</w:t>
            </w:r>
            <w:r>
              <w:rPr>
                <w:rFonts w:hint="eastAsia" w:ascii="宋体" w:hAnsi="宋体" w:eastAsia="宋体" w:cs="宋体"/>
                <w:color w:val="auto"/>
                <w:kern w:val="2"/>
                <w:sz w:val="24"/>
                <w:szCs w:val="24"/>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9783" w:type="dxa"/>
            <w:gridSpan w:val="3"/>
            <w:vAlign w:val="center"/>
          </w:tcPr>
          <w:p>
            <w:pPr>
              <w:spacing w:line="44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注意事项：</w:t>
            </w:r>
            <w:r>
              <w:rPr>
                <w:rFonts w:hint="eastAsia" w:ascii="宋体" w:hAnsi="宋体" w:eastAsia="宋体" w:cs="宋体"/>
                <w:color w:val="auto"/>
                <w:sz w:val="24"/>
                <w:szCs w:val="24"/>
              </w:rPr>
              <w:t>1、着重提醒各投标人注意，并认真查看招标文件中的每一个条款及要求，因误读招标文件而造成的后果，招标人概不负责。</w:t>
            </w:r>
          </w:p>
          <w:p>
            <w:pPr>
              <w:spacing w:line="440" w:lineRule="exact"/>
              <w:rPr>
                <w:rFonts w:hint="eastAsia" w:ascii="宋体" w:hAnsi="宋体" w:eastAsia="宋体" w:cs="宋体"/>
                <w:color w:val="auto"/>
                <w:sz w:val="24"/>
                <w:szCs w:val="24"/>
                <w:lang w:bidi="en-US"/>
              </w:rPr>
            </w:pPr>
            <w:r>
              <w:rPr>
                <w:rFonts w:hint="eastAsia" w:ascii="宋体" w:hAnsi="宋体" w:eastAsia="宋体" w:cs="宋体"/>
                <w:color w:val="auto"/>
                <w:sz w:val="24"/>
                <w:szCs w:val="24"/>
                <w:lang w:bidi="en-US"/>
              </w:rPr>
              <w:t>2、投标人使用相同IP地址的，一经发现，相关部门将进一步核实，查实后按串通投标处理。</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3、为保证本项目质量，良好的售后服务，最低报价不作为中标的唯一依据。</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4、采购人若发现成交候选供应商在投标过程中提供虚假证明文件，故意隐瞒公司不良信誉和财务状况，以及其他可能对合同圆满履行造成风险的因素等，则按规定取消其成交资格，监管部门依法进行处理。</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5、其它：</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（1）投标企业严格遵守国家的法律法规及招标纪律，无违法违纪及商业贿赂行为。</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（2）不管投标结果如何，供应商均应自行承担投标所需一切费用。</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（3）供应商应以书面形式保证中标后由本公司组织实施，不得以任何理由将项目转包给其他机构。</w:t>
            </w:r>
          </w:p>
          <w:p>
            <w:pPr>
              <w:spacing w:line="440" w:lineRule="exact"/>
              <w:rPr>
                <w:rFonts w:hint="eastAsia" w:ascii="宋体" w:hAnsi="宋体" w:eastAsia="宋体" w:cs="宋体"/>
                <w:b/>
                <w:bCs/>
                <w:color w:val="auto"/>
                <w:sz w:val="24"/>
                <w:szCs w:val="24"/>
              </w:rPr>
            </w:pPr>
            <w:r>
              <w:rPr>
                <w:rFonts w:hint="eastAsia" w:ascii="宋体" w:hAnsi="宋体" w:eastAsia="宋体" w:cs="宋体"/>
                <w:color w:val="auto"/>
                <w:sz w:val="24"/>
                <w:szCs w:val="24"/>
              </w:rPr>
              <w:t>（4）招标文件中如出现前后不一致情况，均以前附表内容为准。</w:t>
            </w:r>
          </w:p>
        </w:tc>
      </w:tr>
    </w:tbl>
    <w:p>
      <w:pPr>
        <w:pStyle w:val="42"/>
        <w:spacing w:after="200" w:line="480" w:lineRule="exac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注：</w:t>
      </w:r>
      <w:r>
        <w:rPr>
          <w:rFonts w:hint="eastAsia" w:ascii="宋体" w:hAnsi="宋体" w:eastAsia="宋体" w:cs="宋体"/>
          <w:color w:val="auto"/>
          <w:sz w:val="24"/>
          <w:szCs w:val="24"/>
        </w:rPr>
        <w:t>1、本表内容与招标文件其它内容不一致的，应当以本表内容为准。</w:t>
      </w:r>
      <w:r>
        <w:rPr>
          <w:rFonts w:hint="eastAsia" w:ascii="宋体" w:hAnsi="宋体" w:eastAsia="宋体" w:cs="宋体"/>
          <w:color w:val="auto"/>
          <w:kern w:val="0"/>
          <w:sz w:val="24"/>
          <w:szCs w:val="24"/>
        </w:rPr>
        <w:t>2、本表中“</w:t>
      </w:r>
      <w:r>
        <w:rPr>
          <w:rFonts w:hint="eastAsia" w:ascii="宋体" w:hAnsi="宋体" w:eastAsia="宋体" w:cs="宋体"/>
          <w:color w:val="auto"/>
          <w:kern w:val="0"/>
          <w:sz w:val="24"/>
          <w:szCs w:val="24"/>
        </w:rPr>
        <w:fldChar w:fldCharType="begin"/>
      </w:r>
      <w:r>
        <w:rPr>
          <w:rFonts w:hint="eastAsia" w:ascii="宋体" w:hAnsi="宋体" w:eastAsia="宋体" w:cs="宋体"/>
          <w:color w:val="auto"/>
          <w:kern w:val="0"/>
          <w:sz w:val="24"/>
          <w:szCs w:val="24"/>
        </w:rPr>
        <w:instrText xml:space="preserve"> eq \o\ac(</w:instrText>
      </w:r>
      <w:r>
        <w:rPr>
          <w:rFonts w:hint="eastAsia" w:ascii="宋体" w:hAnsi="宋体" w:eastAsia="宋体" w:cs="宋体"/>
          <w:color w:val="auto"/>
          <w:kern w:val="0"/>
          <w:position w:val="-4"/>
          <w:sz w:val="36"/>
          <w:szCs w:val="24"/>
        </w:rPr>
        <w:instrText xml:space="preserve">□</w:instrText>
      </w:r>
      <w:r>
        <w:rPr>
          <w:rFonts w:hint="eastAsia" w:ascii="宋体" w:hAnsi="宋体" w:eastAsia="宋体" w:cs="宋体"/>
          <w:color w:val="auto"/>
          <w:kern w:val="0"/>
          <w:sz w:val="24"/>
          <w:szCs w:val="24"/>
        </w:rPr>
        <w:instrText xml:space="preserve">,√)</w:instrText>
      </w:r>
      <w:r>
        <w:rPr>
          <w:rFonts w:hint="eastAsia" w:ascii="宋体" w:hAnsi="宋体" w:eastAsia="宋体" w:cs="宋体"/>
          <w:color w:val="auto"/>
          <w:kern w:val="0"/>
          <w:sz w:val="24"/>
          <w:szCs w:val="24"/>
        </w:rPr>
        <w:fldChar w:fldCharType="end"/>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表</w:t>
      </w:r>
      <w:r>
        <w:rPr>
          <w:rFonts w:hint="eastAsia" w:ascii="宋体" w:hAnsi="宋体" w:eastAsia="宋体" w:cs="宋体"/>
          <w:color w:val="auto"/>
          <w:kern w:val="0"/>
          <w:sz w:val="24"/>
          <w:szCs w:val="24"/>
        </w:rPr>
        <w:t>示选择使用该项。</w:t>
      </w:r>
      <w:bookmarkStart w:id="28" w:name="_Toc15631"/>
      <w:bookmarkStart w:id="29" w:name="_Toc349573121"/>
      <w:bookmarkStart w:id="30" w:name="_Toc298240405"/>
      <w:bookmarkStart w:id="31" w:name="_Toc9434"/>
      <w:bookmarkStart w:id="32" w:name="_Toc349637920"/>
      <w:bookmarkStart w:id="33" w:name="_Toc267301282"/>
      <w:bookmarkStart w:id="34" w:name="_Toc498351179"/>
      <w:bookmarkStart w:id="35" w:name="_Toc293736062"/>
      <w:bookmarkStart w:id="36" w:name="_Toc293739000"/>
      <w:bookmarkStart w:id="37" w:name="_Toc293736019"/>
      <w:bookmarkStart w:id="38" w:name="_Toc186"/>
      <w:bookmarkStart w:id="39" w:name="_Toc531075009"/>
      <w:bookmarkStart w:id="40" w:name="_Toc28752"/>
      <w:bookmarkStart w:id="41" w:name="_Toc532543565"/>
      <w:bookmarkStart w:id="42" w:name="_Toc446599321"/>
    </w:p>
    <w:p>
      <w:pPr>
        <w:pStyle w:val="42"/>
        <w:spacing w:after="200" w:line="480" w:lineRule="exact"/>
        <w:rPr>
          <w:rFonts w:hint="eastAsia" w:ascii="宋体" w:hAnsi="宋体" w:eastAsia="宋体" w:cs="宋体"/>
          <w:color w:val="auto"/>
          <w:kern w:val="0"/>
          <w:sz w:val="24"/>
          <w:szCs w:val="24"/>
        </w:rPr>
      </w:pPr>
    </w:p>
    <w:p>
      <w:pPr>
        <w:pStyle w:val="42"/>
        <w:spacing w:after="200" w:line="480" w:lineRule="exact"/>
        <w:rPr>
          <w:rFonts w:hint="eastAsia" w:ascii="宋体" w:hAnsi="宋体" w:eastAsia="宋体" w:cs="宋体"/>
          <w:color w:val="auto"/>
          <w:kern w:val="0"/>
          <w:sz w:val="24"/>
          <w:szCs w:val="24"/>
        </w:rPr>
      </w:pPr>
    </w:p>
    <w:p>
      <w:pPr>
        <w:pStyle w:val="4"/>
        <w:pageBreakBefore w:val="0"/>
        <w:wordWrap/>
        <w:topLinePunct w:val="0"/>
        <w:autoSpaceDE/>
        <w:autoSpaceDN/>
        <w:bidi w:val="0"/>
        <w:adjustRightInd/>
        <w:snapToGrid/>
        <w:spacing w:before="100" w:beforeAutospacing="1" w:after="100" w:afterAutospacing="1" w:line="440" w:lineRule="exact"/>
        <w:ind w:left="575"/>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一、说　明</w:t>
      </w:r>
      <w:bookmarkEnd w:id="28"/>
      <w:bookmarkEnd w:id="29"/>
      <w:bookmarkEnd w:id="30"/>
      <w:bookmarkEnd w:id="31"/>
      <w:bookmarkEnd w:id="32"/>
      <w:bookmarkEnd w:id="33"/>
      <w:bookmarkEnd w:id="34"/>
    </w:p>
    <w:p>
      <w:pPr>
        <w:pageBreakBefore w:val="0"/>
        <w:wordWrap/>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1.1 适用范围</w:t>
      </w:r>
    </w:p>
    <w:p>
      <w:pPr>
        <w:pageBreakBefore w:val="0"/>
        <w:wordWrap/>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 本磋商文件仅适用于本次磋商中所叙述项目的货物及服务采购。</w:t>
      </w:r>
    </w:p>
    <w:p>
      <w:pPr>
        <w:pageBreakBefore w:val="0"/>
        <w:wordWrap/>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1.2定义</w:t>
      </w:r>
    </w:p>
    <w:p>
      <w:pPr>
        <w:pageBreakBefore w:val="0"/>
        <w:wordWrap/>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 “采购人”是指：详见供应商须知前附表。</w:t>
      </w:r>
    </w:p>
    <w:p>
      <w:pPr>
        <w:pageBreakBefore w:val="0"/>
        <w:wordWrap/>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1.2.2“采购代理机构”是指：详见供应商须知前附表。 </w:t>
      </w:r>
    </w:p>
    <w:p>
      <w:pPr>
        <w:pageBreakBefore w:val="0"/>
        <w:wordWrap/>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1.2.3“监管部门”是指：详见供应商须知前附表。</w:t>
      </w:r>
    </w:p>
    <w:p>
      <w:pPr>
        <w:pageBreakBefore w:val="0"/>
        <w:wordWrap/>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1.2.4“供应商”是指；响应磋商文件要求并且符合磋商文件规定资格条件和参加竞争性磋商的法人、其他组织或者自然人。</w:t>
      </w:r>
    </w:p>
    <w:p>
      <w:pPr>
        <w:pageBreakBefore w:val="0"/>
        <w:wordWrap/>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1.2.5“成交供应商”是指；是指经磋商小组评审，授予合同的供应商。</w:t>
      </w:r>
    </w:p>
    <w:p>
      <w:pPr>
        <w:pageBreakBefore w:val="0"/>
        <w:wordWrap/>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1.2.6“电子响应文件”是指；利用新疆政府采购网政采云平台加密的响应文件。</w:t>
      </w:r>
    </w:p>
    <w:p>
      <w:pPr>
        <w:pageBreakBefore w:val="0"/>
        <w:wordWrap/>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1.2.7采购人和采购代理机构统称为招标采购单位。</w:t>
      </w:r>
    </w:p>
    <w:p>
      <w:pPr>
        <w:pStyle w:val="6"/>
        <w:pageBreakBefore w:val="0"/>
        <w:wordWrap/>
        <w:topLinePunct w:val="0"/>
        <w:autoSpaceDE/>
        <w:autoSpaceDN/>
        <w:bidi w:val="0"/>
        <w:adjustRightInd/>
        <w:snapToGrid/>
        <w:spacing w:line="44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1.3货物、服务、工程</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货物”是指：供应商制造或组织符合磋商文件要求的货物，包括原材料、燃料、设备、产品等。磋商文件中没有提及磋商货物来源地的，根据《政府采购法》的相关规定均应是本国货物，另有规定的除外。提供的货物必须是其合法生产的符合国家有关标准要求的货物，并能够按照合同规定的品牌、产地、质量、价格和有效期等履约。</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1.3.2“服务”是指：除货物和工程以外的其他政府采购对象。包括：政府自身需要的服务和政府向社会公众提供的公共服务。</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1.3.3“工程”是指建设工程，包括建筑物和构筑物的新建、改建、扩建、装修、拆除、修缮等。</w:t>
      </w:r>
    </w:p>
    <w:p>
      <w:pPr>
        <w:pStyle w:val="6"/>
        <w:pageBreakBefore w:val="0"/>
        <w:wordWrap/>
        <w:topLinePunct w:val="0"/>
        <w:autoSpaceDE/>
        <w:autoSpaceDN/>
        <w:bidi w:val="0"/>
        <w:adjustRightInd/>
        <w:snapToGrid/>
        <w:spacing w:line="44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1.4磋商费用</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1.4.1供应商应承担所有与准备和参加竞争性磋商有关的费用。不论磋商的结果如何，采购单位均无义务和责任承担这些费用。</w:t>
      </w:r>
    </w:p>
    <w:p>
      <w:pPr>
        <w:pageBreakBefore w:val="0"/>
        <w:wordWrap/>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1.5合格供应商的条件</w:t>
      </w:r>
    </w:p>
    <w:p>
      <w:pPr>
        <w:pageBreakBefore w:val="0"/>
        <w:wordWrap/>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1.5.1合格供应商应满足以下全部条件：</w:t>
      </w:r>
    </w:p>
    <w:p>
      <w:pPr>
        <w:pStyle w:val="14"/>
        <w:pageBreakBefore w:val="0"/>
        <w:wordWrap/>
        <w:topLinePunct w:val="0"/>
        <w:autoSpaceDE/>
        <w:autoSpaceDN/>
        <w:bidi w:val="0"/>
        <w:adjustRightInd/>
        <w:snapToGrid/>
        <w:spacing w:before="0" w:beforeAutospacing="0" w:after="0" w:afterAutospacing="0" w:line="440" w:lineRule="exact"/>
        <w:ind w:firstLine="720"/>
        <w:textAlignment w:val="auto"/>
        <w:rPr>
          <w:rStyle w:val="34"/>
          <w:rFonts w:hint="eastAsia" w:ascii="宋体" w:hAnsi="宋体" w:eastAsia="宋体" w:cs="宋体"/>
          <w:b w:val="0"/>
          <w:bCs w:val="0"/>
          <w:color w:val="auto"/>
          <w:sz w:val="24"/>
          <w:szCs w:val="24"/>
          <w:shd w:val="clear" w:color="auto" w:fill="FFFFFF"/>
        </w:rPr>
      </w:pPr>
      <w:r>
        <w:rPr>
          <w:rStyle w:val="34"/>
          <w:rFonts w:hint="eastAsia" w:ascii="宋体" w:hAnsi="宋体" w:eastAsia="宋体" w:cs="宋体"/>
          <w:b w:val="0"/>
          <w:bCs w:val="0"/>
          <w:color w:val="auto"/>
          <w:sz w:val="24"/>
          <w:szCs w:val="24"/>
          <w:shd w:val="clear" w:color="auto" w:fill="FFFFFF"/>
        </w:rPr>
        <w:t>1.满足《中华人民共和国政府采购法》第二十二条规定；</w:t>
      </w:r>
    </w:p>
    <w:p>
      <w:pPr>
        <w:pStyle w:val="14"/>
        <w:pageBreakBefore w:val="0"/>
        <w:wordWrap/>
        <w:topLinePunct w:val="0"/>
        <w:autoSpaceDE/>
        <w:autoSpaceDN/>
        <w:bidi w:val="0"/>
        <w:adjustRightInd/>
        <w:snapToGrid/>
        <w:spacing w:before="0" w:beforeAutospacing="0" w:after="0" w:afterAutospacing="0" w:line="440" w:lineRule="exact"/>
        <w:ind w:firstLine="720"/>
        <w:textAlignment w:val="auto"/>
        <w:rPr>
          <w:rStyle w:val="34"/>
          <w:rFonts w:hint="eastAsia" w:ascii="宋体" w:hAnsi="宋体" w:eastAsia="宋体" w:cs="宋体"/>
          <w:b w:val="0"/>
          <w:bCs w:val="0"/>
          <w:color w:val="auto"/>
          <w:sz w:val="24"/>
          <w:szCs w:val="24"/>
          <w:shd w:val="clear" w:color="auto" w:fill="FFFFFF"/>
        </w:rPr>
      </w:pPr>
      <w:r>
        <w:rPr>
          <w:rStyle w:val="34"/>
          <w:rFonts w:hint="eastAsia" w:ascii="宋体" w:hAnsi="宋体" w:eastAsia="宋体" w:cs="宋体"/>
          <w:b w:val="0"/>
          <w:bCs w:val="0"/>
          <w:color w:val="auto"/>
          <w:sz w:val="24"/>
          <w:szCs w:val="24"/>
          <w:shd w:val="clear" w:color="auto" w:fill="FFFFFF"/>
        </w:rPr>
        <w:t>2、落实政府采购政策需满足的资格要求：供应商为中小企业；</w:t>
      </w:r>
    </w:p>
    <w:p>
      <w:pPr>
        <w:pStyle w:val="14"/>
        <w:pageBreakBefore w:val="0"/>
        <w:wordWrap/>
        <w:topLinePunct w:val="0"/>
        <w:autoSpaceDE/>
        <w:autoSpaceDN/>
        <w:bidi w:val="0"/>
        <w:adjustRightInd/>
        <w:snapToGrid/>
        <w:spacing w:before="0" w:beforeAutospacing="0" w:after="0" w:afterAutospacing="0" w:line="440" w:lineRule="exact"/>
        <w:ind w:firstLine="720"/>
        <w:textAlignment w:val="auto"/>
        <w:rPr>
          <w:rStyle w:val="34"/>
          <w:rFonts w:hint="eastAsia" w:ascii="宋体" w:hAnsi="宋体" w:eastAsia="宋体" w:cs="宋体"/>
          <w:b w:val="0"/>
          <w:bCs w:val="0"/>
          <w:color w:val="auto"/>
          <w:sz w:val="24"/>
          <w:szCs w:val="24"/>
          <w:shd w:val="clear" w:color="auto" w:fill="FFFFFF"/>
        </w:rPr>
      </w:pPr>
      <w:r>
        <w:rPr>
          <w:rStyle w:val="34"/>
          <w:rFonts w:hint="eastAsia" w:ascii="宋体" w:hAnsi="宋体" w:eastAsia="宋体" w:cs="宋体"/>
          <w:b w:val="0"/>
          <w:bCs w:val="0"/>
          <w:color w:val="auto"/>
          <w:sz w:val="24"/>
          <w:szCs w:val="24"/>
          <w:shd w:val="clear" w:color="auto" w:fill="FFFFFF"/>
        </w:rPr>
        <w:t>3.本项目的特定资格要求：</w:t>
      </w:r>
    </w:p>
    <w:p>
      <w:pPr>
        <w:pStyle w:val="14"/>
        <w:spacing w:before="0" w:beforeAutospacing="0" w:after="0" w:afterAutospacing="0" w:line="440" w:lineRule="exact"/>
        <w:ind w:firstLine="720" w:firstLineChars="300"/>
        <w:rPr>
          <w:rStyle w:val="34"/>
          <w:rFonts w:hint="eastAsia" w:ascii="宋体" w:hAnsi="宋体" w:eastAsia="宋体" w:cs="宋体"/>
          <w:b w:val="0"/>
          <w:bCs w:val="0"/>
          <w:color w:val="auto"/>
          <w:szCs w:val="24"/>
          <w:shd w:val="clear" w:color="auto" w:fill="FFFFFF"/>
        </w:rPr>
      </w:pPr>
      <w:bookmarkStart w:id="43" w:name="_Toc267301283"/>
      <w:bookmarkStart w:id="44" w:name="_Toc349637921"/>
      <w:bookmarkStart w:id="45" w:name="_Toc298240406"/>
      <w:bookmarkStart w:id="46" w:name="_Toc5040"/>
      <w:bookmarkStart w:id="47" w:name="_Toc498351180"/>
      <w:bookmarkStart w:id="48" w:name="_Toc4581"/>
      <w:bookmarkStart w:id="49" w:name="_Toc349573122"/>
      <w:r>
        <w:rPr>
          <w:rStyle w:val="34"/>
          <w:rFonts w:hint="eastAsia" w:ascii="宋体" w:hAnsi="宋体" w:eastAsia="宋体" w:cs="宋体"/>
          <w:b w:val="0"/>
          <w:bCs w:val="0"/>
          <w:color w:val="auto"/>
          <w:szCs w:val="24"/>
          <w:shd w:val="clear" w:color="auto" w:fill="FFFFFF"/>
        </w:rPr>
        <w:t>（1）在中华人民共和国境内注册，具有独立法人资格且具有承担本项目的能力；</w:t>
      </w:r>
    </w:p>
    <w:p>
      <w:pPr>
        <w:pStyle w:val="14"/>
        <w:spacing w:before="0" w:beforeAutospacing="0" w:after="0" w:afterAutospacing="0" w:line="440" w:lineRule="exact"/>
        <w:ind w:firstLine="720"/>
        <w:rPr>
          <w:rStyle w:val="34"/>
          <w:rFonts w:hint="eastAsia" w:ascii="宋体" w:hAnsi="宋体" w:eastAsia="宋体" w:cs="宋体"/>
          <w:b w:val="0"/>
          <w:bCs w:val="0"/>
          <w:color w:val="auto"/>
          <w:szCs w:val="24"/>
          <w:shd w:val="clear" w:color="auto" w:fill="FFFFFF"/>
        </w:rPr>
      </w:pPr>
      <w:r>
        <w:rPr>
          <w:rStyle w:val="34"/>
          <w:rFonts w:hint="eastAsia" w:ascii="宋体" w:hAnsi="宋体" w:eastAsia="宋体" w:cs="宋体"/>
          <w:b w:val="0"/>
          <w:bCs w:val="0"/>
          <w:color w:val="auto"/>
          <w:szCs w:val="24"/>
          <w:shd w:val="clear" w:color="auto" w:fill="FFFFFF"/>
        </w:rPr>
        <w:t>（2）具有独立法人</w:t>
      </w:r>
      <w:r>
        <w:rPr>
          <w:rStyle w:val="34"/>
          <w:rFonts w:hint="eastAsia" w:cs="宋体"/>
          <w:b w:val="0"/>
          <w:bCs w:val="0"/>
          <w:color w:val="auto"/>
          <w:szCs w:val="24"/>
          <w:shd w:val="clear" w:color="auto" w:fill="FFFFFF"/>
          <w:lang w:val="en-US" w:eastAsia="zh-CN"/>
        </w:rPr>
        <w:t>合格</w:t>
      </w:r>
      <w:r>
        <w:rPr>
          <w:rStyle w:val="34"/>
          <w:rFonts w:hint="eastAsia" w:ascii="宋体" w:hAnsi="宋体" w:eastAsia="宋体" w:cs="宋体"/>
          <w:b w:val="0"/>
          <w:bCs w:val="0"/>
          <w:color w:val="auto"/>
          <w:szCs w:val="24"/>
          <w:shd w:val="clear" w:color="auto" w:fill="FFFFFF"/>
        </w:rPr>
        <w:t>有效的营业执照且具有会计师事务所执业证书；</w:t>
      </w:r>
    </w:p>
    <w:p>
      <w:pPr>
        <w:pStyle w:val="14"/>
        <w:spacing w:before="0" w:beforeAutospacing="0" w:after="0" w:afterAutospacing="0" w:line="440" w:lineRule="exact"/>
        <w:ind w:firstLine="720"/>
        <w:rPr>
          <w:rFonts w:hint="eastAsia" w:ascii="宋体" w:hAnsi="宋体" w:eastAsia="宋体" w:cs="宋体"/>
          <w:color w:val="auto"/>
          <w:kern w:val="2"/>
          <w:sz w:val="24"/>
          <w:szCs w:val="24"/>
          <w:lang w:val="en-US" w:eastAsia="zh-CN" w:bidi="ar-SA"/>
        </w:rPr>
      </w:pPr>
      <w:r>
        <w:rPr>
          <w:rStyle w:val="34"/>
          <w:rFonts w:hint="eastAsia" w:ascii="宋体" w:hAnsi="宋体" w:eastAsia="宋体" w:cs="宋体"/>
          <w:b w:val="0"/>
          <w:bCs w:val="0"/>
          <w:color w:val="auto"/>
          <w:szCs w:val="24"/>
          <w:shd w:val="clear" w:color="auto" w:fill="FFFFFF"/>
        </w:rPr>
        <w:t>（3）</w:t>
      </w:r>
      <w:r>
        <w:rPr>
          <w:rFonts w:hint="eastAsia" w:ascii="宋体" w:hAnsi="宋体" w:eastAsia="宋体" w:cs="宋体"/>
          <w:color w:val="auto"/>
          <w:kern w:val="2"/>
          <w:sz w:val="24"/>
          <w:szCs w:val="24"/>
          <w:lang w:val="en-US" w:eastAsia="zh-CN" w:bidi="ar-SA"/>
        </w:rPr>
        <w:t>具有履行合同所必需的设备和专业技术能力(声明函格式自拟)即具有完成本项目采购能力；</w:t>
      </w:r>
    </w:p>
    <w:p>
      <w:pPr>
        <w:pStyle w:val="14"/>
        <w:keepNext w:val="0"/>
        <w:keepLines w:val="0"/>
        <w:pageBreakBefore w:val="0"/>
        <w:widowControl/>
        <w:suppressLineNumbers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）具有依法缴纳税收和社会保障资金的良好记录</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提供本单位近三个月内任意一个月的依法缴纳税收和社会保障资金的相关材料）；</w:t>
      </w:r>
    </w:p>
    <w:p>
      <w:pPr>
        <w:pStyle w:val="14"/>
        <w:keepNext w:val="0"/>
        <w:keepLines w:val="0"/>
        <w:pageBreakBefore w:val="0"/>
        <w:widowControl/>
        <w:suppressLineNumbers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）单位负责人为同一人或者存在直接控股、管理关系的不同供应商，不得参加同一合同项下的政府采购活动(提供申明函，声明函格式自拟)；</w:t>
      </w:r>
    </w:p>
    <w:p>
      <w:pPr>
        <w:pStyle w:val="14"/>
        <w:keepNext w:val="0"/>
        <w:keepLines w:val="0"/>
        <w:pageBreakBefore w:val="0"/>
        <w:widowControl/>
        <w:suppressLineNumbers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）供应商为中小企业(提供供应商为中小企业的声明函)；</w:t>
      </w:r>
    </w:p>
    <w:p>
      <w:pPr>
        <w:pStyle w:val="14"/>
        <w:keepNext w:val="0"/>
        <w:keepLines w:val="0"/>
        <w:pageBreakBefore w:val="0"/>
        <w:widowControl/>
        <w:suppressLineNumbers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投标人参加政府采购活动前三年内，在经营活动中没有重大违法记录，在“信用中国”网站（www.creditchina.gov.cn）、中国政府采购网（www.ccgp.gov.cn）没有被列入失信被执行人、重大税收违法案件当事人名单、政府采购严重违法失信行为记录名单及其他不符合规定条件；</w:t>
      </w:r>
    </w:p>
    <w:p>
      <w:pPr>
        <w:pStyle w:val="14"/>
        <w:keepNext w:val="0"/>
        <w:keepLines w:val="0"/>
        <w:pageBreakBefore w:val="0"/>
        <w:widowControl/>
        <w:suppressLineNumbers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）本项目不接受联合体投标；</w:t>
      </w:r>
    </w:p>
    <w:p>
      <w:pPr>
        <w:pStyle w:val="4"/>
        <w:pageBreakBefore w:val="0"/>
        <w:wordWrap/>
        <w:topLinePunct w:val="0"/>
        <w:autoSpaceDE/>
        <w:autoSpaceDN/>
        <w:bidi w:val="0"/>
        <w:adjustRightInd/>
        <w:snapToGrid/>
        <w:spacing w:before="100" w:beforeAutospacing="1" w:after="100" w:afterAutospacing="1" w:line="440" w:lineRule="exact"/>
        <w:ind w:left="575"/>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二、磋商文件</w:t>
      </w:r>
      <w:bookmarkEnd w:id="43"/>
      <w:bookmarkEnd w:id="44"/>
      <w:bookmarkEnd w:id="45"/>
      <w:bookmarkEnd w:id="46"/>
      <w:bookmarkEnd w:id="47"/>
      <w:bookmarkEnd w:id="48"/>
      <w:bookmarkEnd w:id="49"/>
    </w:p>
    <w:p>
      <w:pPr>
        <w:pageBreakBefore w:val="0"/>
        <w:wordWrap/>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2.1磋商文件的构成</w:t>
      </w:r>
    </w:p>
    <w:p>
      <w:pPr>
        <w:pageBreakBefore w:val="0"/>
        <w:wordWrap/>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2.1.1磋商文件由下列文件以及在采购过程中发出的修正和补充文件组成：</w:t>
      </w:r>
    </w:p>
    <w:p>
      <w:pPr>
        <w:pageBreakBefore w:val="0"/>
        <w:wordWrap/>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（1）磋商公告；</w:t>
      </w:r>
    </w:p>
    <w:p>
      <w:pPr>
        <w:pageBreakBefore w:val="0"/>
        <w:wordWrap/>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（2）供应商须知；</w:t>
      </w:r>
    </w:p>
    <w:p>
      <w:pPr>
        <w:pageBreakBefore w:val="0"/>
        <w:wordWrap/>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（3）采购项目相关服务要求</w:t>
      </w:r>
    </w:p>
    <w:p>
      <w:pPr>
        <w:pageBreakBefore w:val="0"/>
        <w:wordWrap/>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（4）评审方法、步骤、标准；</w:t>
      </w:r>
    </w:p>
    <w:p>
      <w:pPr>
        <w:pageBreakBefore w:val="0"/>
        <w:wordWrap/>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（5）合同格式及合同条款；</w:t>
      </w:r>
    </w:p>
    <w:p>
      <w:pPr>
        <w:pageBreakBefore w:val="0"/>
        <w:wordWrap/>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（6）响应文件格式；</w:t>
      </w:r>
    </w:p>
    <w:p>
      <w:pPr>
        <w:pageBreakBefore w:val="0"/>
        <w:wordWrap/>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（7）在磋商过程中由采购单位发出的澄清和补充文件等。</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6"/>
        <w:pageBreakBefore w:val="0"/>
        <w:wordWrap/>
        <w:topLinePunct w:val="0"/>
        <w:autoSpaceDE/>
        <w:autoSpaceDN/>
        <w:bidi w:val="0"/>
        <w:adjustRightInd/>
        <w:snapToGrid/>
        <w:spacing w:line="44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2.2.磋商文件的澄清</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供应商在收到磋商文件后，若有疑问需要澄清，应于收到磋商文件后二日内以书面形式（包括书面文字、传真、电子邮件等）向采购人或采购代理机构（以下统称采购机构）提出，采购机构将以书面形式予以解答，解答内容将送达所有参与磋商采购活动的供应商。</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2.2.2提交首次响应文件截止之时间前，采购人、采购代理机构或者磋商小组可以对已发出的磋商文件进行必要的澄清或者修改，澄清或者修改的内容作为磋商文件的组成部分。澄清或者修改的内容可能影响响应文件编制的，采购人或采购代理机构应当在提交首次响应文件截止时间至少5日前，以书面形式通知所有获取磋商文件的供应商，不足5日的，采购人、采购代理机构应当顺延提交首次响应文件的截止时间。</w:t>
      </w:r>
    </w:p>
    <w:p>
      <w:pPr>
        <w:pStyle w:val="6"/>
        <w:pageBreakBefore w:val="0"/>
        <w:wordWrap/>
        <w:topLinePunct w:val="0"/>
        <w:autoSpaceDE/>
        <w:autoSpaceDN/>
        <w:bidi w:val="0"/>
        <w:adjustRightInd/>
        <w:snapToGrid/>
        <w:spacing w:line="44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2.3.磋商文件的修改</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采购单位可以对已发出的磋商文件进行必要的澄清或者修改。澄清或者修改的内容可能影响响应文件编制的，采购人或采购代理机构应当在提交首次响应文件截止时间至少5日前，在新疆政府采购网政采云平台发布更正公告，不足5日的，采购人、采购代理机构应当顺延提交首次响应文件的截止时间。</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2.3.2澄清或者修改的内容是磋商文件的组成部分，将在新疆政府采购网政采云平台向所有供应商公布，对供应商具有约束力。</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2.3.3为使供应商有充足的时间对磋商文件的修改部分进行研究，采购单位可适当推迟响应文件截止期，并通过在新疆政府采购网政采云平台上发布公告方式通知所有下载磋商文件的供应商。</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2.3.4供应商应注意及时浏览网上发布的澄清或修改通知并下载，因供应商原因未及时获知澄清、修改或补充内容而导致的任何后果将由供应商自行承担。</w:t>
      </w:r>
    </w:p>
    <w:p>
      <w:pPr>
        <w:pStyle w:val="6"/>
        <w:pageBreakBefore w:val="0"/>
        <w:wordWrap/>
        <w:topLinePunct w:val="0"/>
        <w:autoSpaceDE/>
        <w:autoSpaceDN/>
        <w:bidi w:val="0"/>
        <w:adjustRightInd/>
        <w:snapToGrid/>
        <w:spacing w:line="440" w:lineRule="exact"/>
        <w:ind w:firstLine="482"/>
        <w:jc w:val="center"/>
        <w:textAlignment w:val="auto"/>
        <w:outlineLvl w:val="1"/>
        <w:rPr>
          <w:rFonts w:hint="eastAsia" w:ascii="宋体" w:hAnsi="宋体" w:eastAsia="宋体" w:cs="宋体"/>
          <w:b/>
          <w:bCs/>
          <w:color w:val="auto"/>
          <w:sz w:val="24"/>
          <w:szCs w:val="24"/>
        </w:rPr>
      </w:pPr>
      <w:bookmarkStart w:id="50" w:name="_Toc21257"/>
      <w:bookmarkStart w:id="51" w:name="_Toc20396"/>
      <w:r>
        <w:rPr>
          <w:rFonts w:hint="eastAsia" w:ascii="宋体" w:hAnsi="宋体" w:eastAsia="宋体" w:cs="宋体"/>
          <w:b/>
          <w:bCs/>
          <w:color w:val="auto"/>
          <w:sz w:val="24"/>
          <w:szCs w:val="24"/>
        </w:rPr>
        <w:t>三、响应文件的编制和数量</w:t>
      </w:r>
      <w:bookmarkEnd w:id="50"/>
      <w:bookmarkEnd w:id="51"/>
    </w:p>
    <w:p>
      <w:pPr>
        <w:pStyle w:val="6"/>
        <w:pageBreakBefore w:val="0"/>
        <w:wordWrap/>
        <w:topLinePunct w:val="0"/>
        <w:autoSpaceDE/>
        <w:autoSpaceDN/>
        <w:bidi w:val="0"/>
        <w:adjustRightInd/>
        <w:snapToGrid/>
        <w:spacing w:line="44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3.1.响应文件的语言</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6"/>
        <w:pageBreakBefore w:val="0"/>
        <w:wordWrap/>
        <w:topLinePunct w:val="0"/>
        <w:autoSpaceDE/>
        <w:autoSpaceDN/>
        <w:bidi w:val="0"/>
        <w:adjustRightInd/>
        <w:snapToGrid/>
        <w:spacing w:line="44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3.2响应文件的构成</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3.2.1供应商编制的响应文件应包括但不少于下列内容∶</w:t>
      </w:r>
    </w:p>
    <w:p>
      <w:pPr>
        <w:pStyle w:val="6"/>
        <w:pageBreakBefore w:val="0"/>
        <w:numPr>
          <w:ilvl w:val="0"/>
          <w:numId w:val="6"/>
        </w:numPr>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商务文件内容</w:t>
      </w:r>
    </w:p>
    <w:p>
      <w:pPr>
        <w:pStyle w:val="6"/>
        <w:pageBreakBefore w:val="0"/>
        <w:numPr>
          <w:ilvl w:val="0"/>
          <w:numId w:val="6"/>
        </w:numPr>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技术文件内容</w:t>
      </w:r>
    </w:p>
    <w:p>
      <w:pPr>
        <w:pStyle w:val="6"/>
        <w:pageBreakBefore w:val="0"/>
        <w:wordWrap/>
        <w:topLinePunct w:val="0"/>
        <w:autoSpaceDE/>
        <w:autoSpaceDN/>
        <w:bidi w:val="0"/>
        <w:adjustRightInd/>
        <w:snapToGrid/>
        <w:spacing w:line="44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3.3响应文件编制</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3.3.1响应文件编制时，应按照磋商文件“第六章响应文件格式”中的目录和磋商技术规格、参数及相关要求格式进行编制，保证目录清晰、内容完整。</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3.3.2供应商应按照供应商须知前附表要求的编制响应文件。</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3.3.3网上提交的电子响应文件为正本。</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3.3.4供应商因自身原因导致电子响应文件无法导入电子评标系统的，该响应文件视为无效文件。</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3.3.5电子响应文件具有法律效力，与其他形式的响应文件在内容和格式上等同，若响应文件与磋商文件要求不一致，其内容影响成交结果时，责任由供应商自行承担。</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3.3.6为了保证电子标书的合法性、安全性和完整性，电子响应文件转换完成后，应在规定区域加盖单位和法定代表人CA印章。电子响应文件若无CA电子签章，则视为无效文件。</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3.3.5供应商应完整地填写磋商文件中提供的《竞争性磋商函》、《竞争性磋商报价一览表》等磋商文件中规定的所有内容。</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3.3.6供应商必须保证响应文件所提供的全部资料真实可靠，并接受采购单位对其中任何资料进一步核实的要求。</w:t>
      </w:r>
    </w:p>
    <w:p>
      <w:pPr>
        <w:pStyle w:val="6"/>
        <w:pageBreakBefore w:val="0"/>
        <w:wordWrap/>
        <w:topLinePunct w:val="0"/>
        <w:autoSpaceDE/>
        <w:autoSpaceDN/>
        <w:bidi w:val="0"/>
        <w:adjustRightInd/>
        <w:snapToGrid/>
        <w:spacing w:line="44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3.4.磋商报价要求</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3.4.1供应商所提供的货物或服务或工程均以人民币报价。</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3.4.2</w:t>
      </w:r>
      <w:r>
        <w:rPr>
          <w:rFonts w:hint="eastAsia" w:ascii="宋体" w:hAnsi="宋体" w:eastAsia="宋体" w:cs="宋体"/>
          <w:color w:val="auto"/>
          <w:sz w:val="24"/>
          <w:szCs w:val="24"/>
          <w:lang w:val="en-US" w:eastAsia="zh-CN"/>
        </w:rPr>
        <w:t>供应</w:t>
      </w:r>
      <w:r>
        <w:rPr>
          <w:rFonts w:hint="eastAsia" w:ascii="宋体" w:hAnsi="宋体" w:eastAsia="宋体" w:cs="宋体"/>
          <w:color w:val="auto"/>
          <w:sz w:val="24"/>
          <w:szCs w:val="24"/>
        </w:rPr>
        <w:t>商应按照“第三章 采购需求”规定的服务内容责任范围以及合同条款进行报价。并按《竞争性磋商报价一览表》确定的格式报出总价。磋商报价中不得包含磋商文件要求以外的内容，否则，在评审时不予核减。磋商报价中也不得缺漏磋商文件所要求的内容，否则，在评审时将被视为已包含在磋商报价中。</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3.4.3每一种规格的服务只允许有一个报价，否则将被视为无效磋商。</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3.4.4供应商所报的总价在合同执行过程中是固定不变的，不得以任何理由予以变更。</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3.4.5供应商的最后磋商报价超过项目采购预算的为无效报价。</w:t>
      </w:r>
    </w:p>
    <w:p>
      <w:pPr>
        <w:pStyle w:val="6"/>
        <w:pageBreakBefore w:val="0"/>
        <w:wordWrap/>
        <w:topLinePunct w:val="0"/>
        <w:autoSpaceDE/>
        <w:autoSpaceDN/>
        <w:bidi w:val="0"/>
        <w:adjustRightInd/>
        <w:snapToGrid/>
        <w:spacing w:line="44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3.5备选方案</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3.5.1供应商应按照供应商须知前附表要求编制磋商备选方案，否则将被视为无效响应文件。</w:t>
      </w:r>
    </w:p>
    <w:p>
      <w:pPr>
        <w:pStyle w:val="6"/>
        <w:pageBreakBefore w:val="0"/>
        <w:wordWrap/>
        <w:topLinePunct w:val="0"/>
        <w:autoSpaceDE/>
        <w:autoSpaceDN/>
        <w:bidi w:val="0"/>
        <w:adjustRightInd/>
        <w:snapToGrid/>
        <w:spacing w:line="44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3.6联合体磋商</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3.6.1两个以上供应商可以组成一个联合体，以一个供应商的身份共同参与磋商。</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3.6.2采取联合体形式磋商的，联合体各方均应当符合政府采购法第二十二条规定的条件。采购人根据采购项目的特殊要求规定供应商特定条件的，联合体各方中至少有一方符合磋商文件规定的特定条件。</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3.6.3联合体各方之间必须签订联合磋商协议，明确约定联合体主体及各方承担的工作和相应的责任，其响应文件中必须提供联合磋商协议。</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3.6.4 以联合体形式参加政府采购活动的，联合体各方不得再单独参加或者与其他供应商另外组成联合体参加同一合同项下的政府采购活动。</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3.6.5采取联合体形式磋商的，其响应文件必须由联合体所有成员或其各自正式书面授权的代表签署（盖章），以便对所有成员作为整体及作为个体均具有法律约束力。</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3.6.6联合体成交的，联合体各方应当共同与采购人签订采购合同。</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3.6.7联合体中有同类资质的供应商按照联合体分工承担相同工作的，应当按照资质等级较低的供应商确定资质等级。</w:t>
      </w:r>
    </w:p>
    <w:p>
      <w:pPr>
        <w:pStyle w:val="6"/>
        <w:pageBreakBefore w:val="0"/>
        <w:wordWrap/>
        <w:topLinePunct w:val="0"/>
        <w:autoSpaceDE/>
        <w:autoSpaceDN/>
        <w:bidi w:val="0"/>
        <w:adjustRightInd/>
        <w:snapToGrid/>
        <w:spacing w:line="44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3.7.磋商保证金</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3.7.1供应商应在响应文件截止时间之前，按照供应商须知前附表载明的账户，将规定数额的保证金以转账或电汇方式缴纳至该账号内（不接受现金缴纳）。保证金缴纳时间以到账时间为准。</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3.7.2对于未能按要求提交保证金的将视为未响应磋商文件的要求，其响应文件无效。</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3.7.3未成交的供应商，其保证金在成交公告发布后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3.7.4成交供应商的磋商保证金，在供应商与采购人签订合同，并将合同原件报采购代理机构后5个工作日内，按照保证金的来款渠道原路退还至供应商缴纳保证金的企业银行账户内。</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3.7.5有下列情形之一的，保证金将被不予退还∶</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（1）供应商在响应文件中提供虚假资料的；</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（2）除因不可抗力或磋商文件认可的情形以外，成交供应商不与采购人签订合同的；</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（3）供应商与采购人、其他供应商或者采购代理机构恶意串通的</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（4）磋商文件规定的其他情形。</w:t>
      </w:r>
    </w:p>
    <w:p>
      <w:pPr>
        <w:pStyle w:val="6"/>
        <w:pageBreakBefore w:val="0"/>
        <w:wordWrap/>
        <w:topLinePunct w:val="0"/>
        <w:autoSpaceDE/>
        <w:autoSpaceDN/>
        <w:bidi w:val="0"/>
        <w:adjustRightInd/>
        <w:snapToGrid/>
        <w:spacing w:line="44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3.8.磋商的有效期</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3.8.1磋商有效期详见供应商须知前附表。供应商响应文件中有效期不足的将被视为无效文件。</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3.8.2 有效期内供应商未经采购结果确认谈判达成一致不得改变其磋商最后报价及承诺的全部义务。</w:t>
      </w:r>
    </w:p>
    <w:p>
      <w:pPr>
        <w:pStyle w:val="6"/>
        <w:pageBreakBefore w:val="0"/>
        <w:wordWrap/>
        <w:topLinePunct w:val="0"/>
        <w:autoSpaceDE/>
        <w:autoSpaceDN/>
        <w:bidi w:val="0"/>
        <w:adjustRightInd/>
        <w:snapToGrid/>
        <w:spacing w:line="440" w:lineRule="exact"/>
        <w:ind w:firstLine="482"/>
        <w:jc w:val="center"/>
        <w:textAlignment w:val="auto"/>
        <w:outlineLvl w:val="1"/>
        <w:rPr>
          <w:rFonts w:hint="eastAsia" w:ascii="宋体" w:hAnsi="宋体" w:eastAsia="宋体" w:cs="宋体"/>
          <w:b/>
          <w:bCs/>
          <w:color w:val="auto"/>
          <w:sz w:val="24"/>
          <w:szCs w:val="24"/>
        </w:rPr>
      </w:pPr>
      <w:bookmarkStart w:id="52" w:name="_Toc10075"/>
      <w:bookmarkStart w:id="53" w:name="_Toc25265"/>
      <w:r>
        <w:rPr>
          <w:rFonts w:hint="eastAsia" w:ascii="宋体" w:hAnsi="宋体" w:eastAsia="宋体" w:cs="宋体"/>
          <w:b/>
          <w:bCs/>
          <w:color w:val="auto"/>
          <w:sz w:val="24"/>
          <w:szCs w:val="24"/>
        </w:rPr>
        <w:t>四、响应文件的递交</w:t>
      </w:r>
      <w:bookmarkEnd w:id="52"/>
      <w:bookmarkEnd w:id="53"/>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4.1.1响应文件的密封和标记。电子响应文件的内容按要求进行签章。未按要求进行数字证书认证的响应文件，电子评标系统将无法接受，采购单位不予受理。</w:t>
      </w:r>
    </w:p>
    <w:p>
      <w:pPr>
        <w:pStyle w:val="6"/>
        <w:pageBreakBefore w:val="0"/>
        <w:wordWrap/>
        <w:topLinePunct w:val="0"/>
        <w:autoSpaceDE/>
        <w:autoSpaceDN/>
        <w:bidi w:val="0"/>
        <w:adjustRightInd/>
        <w:snapToGrid/>
        <w:spacing w:line="44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4.2响应文件的递交</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4.2.1供应商应在磋商文件规定的响应文件递交截止时间前将电子响应文件上传到指定新疆政府采购网政采云平台。未在响应文件递交截止时间前完成上传的电子响应文件视为逾期送达。逾期上传或未按规定方式上传的电子响应文件，采购单位不予受理。</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4.2.2是否采用不见面开标详见供应商须知前附表，若项目采用不见面开标。需将电子投标文件在投标截止时间前通过新疆政府采购网政采云平台上传完成。逾期上传的或者未上传到平台的投标文件，采购人不予受理。</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4.2.3采购单位将拒绝并原封退回在规定的响应文件递交截止期后送达的任何响应文件。由于对网上招标操作不熟悉或自身电脑、网络的原因导致不能在响应文件递交截止时间之前上传响应文件，新疆政府采购网政采云平台将不负任何责任。建议于开标前1个工作日完成响应文件的制作与上传。</w:t>
      </w:r>
    </w:p>
    <w:p>
      <w:pPr>
        <w:pStyle w:val="6"/>
        <w:pageBreakBefore w:val="0"/>
        <w:wordWrap/>
        <w:topLinePunct w:val="0"/>
        <w:autoSpaceDE/>
        <w:autoSpaceDN/>
        <w:bidi w:val="0"/>
        <w:adjustRightInd/>
        <w:snapToGrid/>
        <w:spacing w:line="44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4.3响应文件的修改和撤回</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4.3.2供应商所提交的响应文件在评审结束后，无论中标与否都不退还。</w:t>
      </w:r>
    </w:p>
    <w:p>
      <w:pPr>
        <w:pStyle w:val="6"/>
        <w:pageBreakBefore w:val="0"/>
        <w:wordWrap/>
        <w:topLinePunct w:val="0"/>
        <w:autoSpaceDE/>
        <w:autoSpaceDN/>
        <w:bidi w:val="0"/>
        <w:adjustRightInd/>
        <w:snapToGrid/>
        <w:spacing w:line="440" w:lineRule="exact"/>
        <w:ind w:firstLine="0" w:firstLineChars="0"/>
        <w:jc w:val="center"/>
        <w:textAlignment w:val="auto"/>
        <w:outlineLvl w:val="1"/>
        <w:rPr>
          <w:rFonts w:hint="eastAsia" w:ascii="宋体" w:hAnsi="宋体" w:eastAsia="宋体" w:cs="宋体"/>
          <w:b/>
          <w:bCs/>
          <w:color w:val="auto"/>
          <w:sz w:val="24"/>
          <w:szCs w:val="24"/>
        </w:rPr>
      </w:pPr>
      <w:bookmarkStart w:id="54" w:name="_Toc29546"/>
      <w:bookmarkStart w:id="55" w:name="_Toc7961"/>
      <w:r>
        <w:rPr>
          <w:rFonts w:hint="eastAsia" w:ascii="宋体" w:hAnsi="宋体" w:eastAsia="宋体" w:cs="宋体"/>
          <w:b/>
          <w:bCs/>
          <w:color w:val="auto"/>
          <w:sz w:val="24"/>
          <w:szCs w:val="24"/>
        </w:rPr>
        <w:t>五、竞争性磋商程序</w:t>
      </w:r>
      <w:bookmarkEnd w:id="54"/>
      <w:bookmarkEnd w:id="55"/>
    </w:p>
    <w:p>
      <w:pPr>
        <w:pStyle w:val="6"/>
        <w:pageBreakBefore w:val="0"/>
        <w:wordWrap/>
        <w:topLinePunct w:val="0"/>
        <w:autoSpaceDE/>
        <w:autoSpaceDN/>
        <w:bidi w:val="0"/>
        <w:adjustRightInd/>
        <w:snapToGrid/>
        <w:spacing w:line="44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5.1磋商小组的组成</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评审。</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5.1.2磋商小组由采购人代表和有关技术、经济等方面的专家组成。全面负责对响应文件的审查、评审、磋商、打分等全部评审工作。磋商小组人数以及技术、经济方面的专家组成见供应商须知前附表。</w:t>
      </w:r>
    </w:p>
    <w:p>
      <w:pPr>
        <w:pStyle w:val="6"/>
        <w:pageBreakBefore w:val="0"/>
        <w:wordWrap/>
        <w:topLinePunct w:val="0"/>
        <w:autoSpaceDE/>
        <w:autoSpaceDN/>
        <w:bidi w:val="0"/>
        <w:adjustRightInd/>
        <w:snapToGrid/>
        <w:spacing w:line="44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5.2磋商方法</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5.2.1采购人在规定的递交响应文件截止时间（开标时间）和供应商须知前附表规定的地点开标。供应商的法定代表人或其委托代理人无需到达开标现场，仅需在任意地点通过新疆政府采购网政采云平台，完成远程解密、提疑澄清、开标唱标、结果公布等交互环节。</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5.2.1项目评审方法详见磋商文件“第四章 评审方法。</w:t>
      </w:r>
    </w:p>
    <w:p>
      <w:pPr>
        <w:pStyle w:val="6"/>
        <w:pageBreakBefore w:val="0"/>
        <w:wordWrap/>
        <w:topLinePunct w:val="0"/>
        <w:autoSpaceDE/>
        <w:autoSpaceDN/>
        <w:bidi w:val="0"/>
        <w:adjustRightInd/>
        <w:snapToGrid/>
        <w:spacing w:line="44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5.3响应文件的初审</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初审分为资格性检查和符合性检查。</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5.3.1资格性检查</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（1）磋商小组根据评审办法前附表规定的评审因素和评审标准，对供应商的响应文件进行资格评审。资格性检查不合格的供应商的响应文件作无效文件处理。</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（2）磋商小组在进行资格检查时，不得改变磋商文件中已载明的资格条件、标准和办法。资格性检查不合格的供应商的响应文件作无效文件处理。</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（3）磋商小组在评审中必要时可按供应商提供的联系方式就有关问题进行查询核实，或要求供应商做出书面澄清，查询及澄清结果将作为审查的依据。</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（4）通过全部资格性检查条件合格的供应商才能通过资格检查，其响应文件方可进入下一个检查阶段。</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5.3.2符合性检查</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磋商小组根据评审办法前附表规定的评审因素和评审标准，对供应商的响应文件进行符合性检查。符合性检查不合格的供应商的响应文件作无效文件处理。</w:t>
      </w:r>
    </w:p>
    <w:p>
      <w:pPr>
        <w:pStyle w:val="6"/>
        <w:pageBreakBefore w:val="0"/>
        <w:wordWrap/>
        <w:topLinePunct w:val="0"/>
        <w:autoSpaceDE/>
        <w:autoSpaceDN/>
        <w:bidi w:val="0"/>
        <w:adjustRightInd/>
        <w:snapToGrid/>
        <w:spacing w:line="44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5.4违法违规行为</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5.4.1在评审过程中，磋商小组发现供应商有下列情形之一的，作无效文件处理∶</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（1）属于同一集团、协会、商会等组织成员的供应商按照该组织要求协同磋商；</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（2）不同供应商的响应文件由同一单位或者个人编制；</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（3）不同供应商委托同一单位或者个人办理磋商事宜；</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（4）不同供应商的响应文件载明的项目管理成员为同一人；</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（5）不同供应商的响应文件异常一致或者磋商报价呈规律性差异</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（6）不同供应商的响应文件相互混装；</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（7）不同供应商的磋商保证金从同一单位或者个人的账户转出；</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（8）使用伪造、变造的行政许可证件；</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（9）提供虚假的财务状况或者业绩；</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（10）提供虚假的项目负责人或者主要技术人员简历、劳动关系证明</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（11）提供虚假的信用状况；</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（12）其他弄虚作假的行为。</w:t>
      </w:r>
    </w:p>
    <w:p>
      <w:pPr>
        <w:pStyle w:val="6"/>
        <w:pageBreakBefore w:val="0"/>
        <w:wordWrap/>
        <w:topLinePunct w:val="0"/>
        <w:autoSpaceDE/>
        <w:autoSpaceDN/>
        <w:bidi w:val="0"/>
        <w:adjustRightInd/>
        <w:snapToGrid/>
        <w:spacing w:line="44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5.5 磋商小组审查响应文件是否完整、有无计算上的错误等。</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5.5.1 响应文件的修正及澄清</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（1）磋商小组对确定为实质上响应磋商文件要求的响应文件进行校核，看其是否有计算或表达上的错误，算术错误将按以下方法更正</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5.5.3实质上没有响应磋商文件要求的响应文件将被视为无效文件。供应商不得通过修正或撤销不合要求的偏离从而使其成为实质上响应的文件。</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磋商报价等实质性内容做任何更改。有关澄清的答复均应由供应商的法定代表人或授权代表以书面形式作出并签字。</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5.5.5供应商的澄清文件是其响应文件的组成部分。</w:t>
      </w:r>
    </w:p>
    <w:p>
      <w:pPr>
        <w:pStyle w:val="6"/>
        <w:pageBreakBefore w:val="0"/>
        <w:wordWrap/>
        <w:topLinePunct w:val="0"/>
        <w:autoSpaceDE/>
        <w:autoSpaceDN/>
        <w:bidi w:val="0"/>
        <w:adjustRightInd/>
        <w:snapToGrid/>
        <w:spacing w:line="44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5.6磋商</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5.6.1磋商小组所有成员应当集中与单一供应商分别进行磋商，并给予所有参加磋商的供应商平等的磋商机会。</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5.6.3对磋商文件作出的实质性变动是磋商文件的有效组成部分，磋商小组应当及时以书面形式同时通知所有参加磋商的供应商。</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5.6.5磋商文件能够详细列明采购标的的技术、服务要求的，磋商结束后，磋商小组应当要求所有实质性响应的供应商在规定时间内提交最后报价，提交最后报价的供应商不得少于2家。</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5.6.7已提交响应文件的供应商，在提交最后报价之前，可以根据磋商情况退出磋商。其磋商保证金将予以退还。</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5.6.8最后报价是供应商响应文件的有效组成部分。市场竞争不充分的科研项目，以及需要扶持的科技成果转化项目，提交最后报价的供应商可以为2家。</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5.6.9经磋商确定最终采购需求和提交最后报价的供应商后，由磋商小组采用综合评分法对提交最后报价的供应商的响应文件和最后报价进行综合评分。</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5.6.10采购结果确认</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6"/>
        <w:pageBreakBefore w:val="0"/>
        <w:wordWrap/>
        <w:topLinePunct w:val="0"/>
        <w:autoSpaceDE/>
        <w:autoSpaceDN/>
        <w:bidi w:val="0"/>
        <w:adjustRightInd/>
        <w:snapToGrid/>
        <w:spacing w:line="44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5.7公示或公告</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5.7.1成交供应商确定后，采购代理机构将在新疆政府采购网政采云平台上发布成交公告，同时向成交供应商发出《成交通知书》。《成交通知书》是合同的组成部分，对成交供应商和采购人具有同等法律效力。</w:t>
      </w:r>
    </w:p>
    <w:p>
      <w:pPr>
        <w:pStyle w:val="4"/>
        <w:pageBreakBefore w:val="0"/>
        <w:wordWrap/>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bookmarkStart w:id="56" w:name="_Toc503548054"/>
      <w:bookmarkStart w:id="57" w:name="_Toc18389"/>
      <w:bookmarkStart w:id="58" w:name="_Toc26094"/>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开标</w:t>
      </w:r>
      <w:bookmarkEnd w:id="56"/>
    </w:p>
    <w:p>
      <w:pPr>
        <w:pStyle w:val="12"/>
        <w:pageBreakBefore w:val="0"/>
        <w:kinsoku w:val="0"/>
        <w:wordWrap/>
        <w:overflowPunct w:val="0"/>
        <w:topLinePunct w:val="0"/>
        <w:autoSpaceDE/>
        <w:autoSpaceDN/>
        <w:bidi w:val="0"/>
        <w:adjustRightInd/>
        <w:snapToGrid/>
        <w:spacing w:before="34" w:line="440" w:lineRule="exact"/>
        <w:ind w:left="598" w:right="101" w:hanging="48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1.开标时间、地点：</w:t>
      </w:r>
    </w:p>
    <w:p>
      <w:pPr>
        <w:pStyle w:val="12"/>
        <w:pageBreakBefore w:val="0"/>
        <w:kinsoku w:val="0"/>
        <w:wordWrap/>
        <w:overflowPunct w:val="0"/>
        <w:topLinePunct w:val="0"/>
        <w:autoSpaceDE/>
        <w:autoSpaceDN/>
        <w:bidi w:val="0"/>
        <w:adjustRightInd/>
        <w:snapToGrid/>
        <w:spacing w:before="34" w:line="440" w:lineRule="exact"/>
        <w:ind w:right="30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1）开标时间、地点：</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将按照规定的时间和地点组织开标会议，邀请所有供应商的法定代表人或授权代表准时到场参加开标会议。</w:t>
      </w:r>
    </w:p>
    <w:p>
      <w:pPr>
        <w:pStyle w:val="12"/>
        <w:pageBreakBefore w:val="0"/>
        <w:kinsoku w:val="0"/>
        <w:wordWrap/>
        <w:overflowPunct w:val="0"/>
        <w:topLinePunct w:val="0"/>
        <w:autoSpaceDE/>
        <w:autoSpaceDN/>
        <w:bidi w:val="0"/>
        <w:adjustRightInd/>
        <w:snapToGrid/>
        <w:spacing w:before="35" w:line="440" w:lineRule="exact"/>
        <w:textAlignment w:val="auto"/>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2.</w:t>
      </w:r>
      <w:r>
        <w:rPr>
          <w:rFonts w:hint="eastAsia" w:ascii="宋体" w:hAnsi="宋体" w:eastAsia="宋体" w:cs="宋体"/>
          <w:b/>
          <w:bCs/>
          <w:color w:val="auto"/>
          <w:sz w:val="24"/>
          <w:szCs w:val="24"/>
        </w:rPr>
        <w:t>开标程序：</w:t>
      </w:r>
    </w:p>
    <w:p>
      <w:pPr>
        <w:pStyle w:val="12"/>
        <w:pageBreakBefore w:val="0"/>
        <w:kinsoku w:val="0"/>
        <w:wordWrap/>
        <w:overflowPunct w:val="0"/>
        <w:topLinePunct w:val="0"/>
        <w:autoSpaceDE/>
        <w:autoSpaceDN/>
        <w:bidi w:val="0"/>
        <w:adjustRightInd/>
        <w:snapToGrid/>
        <w:spacing w:before="34" w:line="440" w:lineRule="exact"/>
        <w:ind w:right="30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主持人按下列程序进行开标：</w:t>
      </w:r>
    </w:p>
    <w:p>
      <w:pPr>
        <w:pStyle w:val="12"/>
        <w:pageBreakBefore w:val="0"/>
        <w:kinsoku w:val="0"/>
        <w:wordWrap/>
        <w:overflowPunct w:val="0"/>
        <w:topLinePunct w:val="0"/>
        <w:autoSpaceDE/>
        <w:autoSpaceDN/>
        <w:bidi w:val="0"/>
        <w:adjustRightInd/>
        <w:snapToGrid/>
        <w:spacing w:before="34" w:line="440" w:lineRule="exact"/>
        <w:ind w:right="30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1）宣布在提交投标文件截止时间前收到的投标文件数量；</w:t>
      </w:r>
    </w:p>
    <w:p>
      <w:pPr>
        <w:pStyle w:val="12"/>
        <w:pageBreakBefore w:val="0"/>
        <w:kinsoku w:val="0"/>
        <w:wordWrap/>
        <w:overflowPunct w:val="0"/>
        <w:topLinePunct w:val="0"/>
        <w:autoSpaceDE/>
        <w:autoSpaceDN/>
        <w:bidi w:val="0"/>
        <w:adjustRightInd/>
        <w:snapToGrid/>
        <w:spacing w:before="34" w:line="440" w:lineRule="exact"/>
        <w:ind w:right="30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2）宣布开标纪律，开标人、唱标人、记录人、监督人等有关人员名单； </w:t>
      </w:r>
    </w:p>
    <w:p>
      <w:pPr>
        <w:pStyle w:val="12"/>
        <w:pageBreakBefore w:val="0"/>
        <w:kinsoku w:val="0"/>
        <w:wordWrap/>
        <w:overflowPunct w:val="0"/>
        <w:topLinePunct w:val="0"/>
        <w:autoSpaceDE/>
        <w:autoSpaceDN/>
        <w:bidi w:val="0"/>
        <w:adjustRightInd/>
        <w:snapToGrid/>
        <w:spacing w:before="34" w:line="440" w:lineRule="exact"/>
        <w:ind w:right="30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）公布</w:t>
      </w:r>
      <w:r>
        <w:rPr>
          <w:rFonts w:hint="eastAsia" w:ascii="宋体" w:hAnsi="宋体" w:eastAsia="宋体" w:cs="宋体"/>
          <w:color w:val="auto"/>
          <w:sz w:val="24"/>
          <w:szCs w:val="24"/>
          <w:lang w:eastAsia="zh-CN"/>
        </w:rPr>
        <w:t>最高投标限价</w:t>
      </w:r>
      <w:r>
        <w:rPr>
          <w:rFonts w:hint="eastAsia" w:ascii="宋体" w:hAnsi="宋体" w:eastAsia="宋体" w:cs="宋体"/>
          <w:color w:val="auto"/>
          <w:sz w:val="24"/>
          <w:szCs w:val="24"/>
        </w:rPr>
        <w:t>及相关内容；</w:t>
      </w:r>
    </w:p>
    <w:p>
      <w:pPr>
        <w:pStyle w:val="12"/>
        <w:pageBreakBefore w:val="0"/>
        <w:kinsoku w:val="0"/>
        <w:wordWrap/>
        <w:overflowPunct w:val="0"/>
        <w:topLinePunct w:val="0"/>
        <w:autoSpaceDE/>
        <w:autoSpaceDN/>
        <w:bidi w:val="0"/>
        <w:adjustRightInd/>
        <w:snapToGrid/>
        <w:spacing w:before="34" w:line="440" w:lineRule="exact"/>
        <w:ind w:right="30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）公布</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保证金的递交情况、投标报价、服务期限及其他内容，并制作记录；</w:t>
      </w:r>
    </w:p>
    <w:p>
      <w:pPr>
        <w:pStyle w:val="12"/>
        <w:pageBreakBefore w:val="0"/>
        <w:kinsoku w:val="0"/>
        <w:wordWrap/>
        <w:overflowPunct w:val="0"/>
        <w:topLinePunct w:val="0"/>
        <w:autoSpaceDE/>
        <w:autoSpaceDN/>
        <w:bidi w:val="0"/>
        <w:adjustRightInd/>
        <w:snapToGrid/>
        <w:spacing w:before="34" w:line="440" w:lineRule="exact"/>
        <w:ind w:right="30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代表、</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人代表、记录人以及有关监督人员在开标记录上签字确认，并存档备查；</w:t>
      </w:r>
    </w:p>
    <w:p>
      <w:pPr>
        <w:pStyle w:val="12"/>
        <w:pageBreakBefore w:val="0"/>
        <w:kinsoku w:val="0"/>
        <w:wordWrap/>
        <w:overflowPunct w:val="0"/>
        <w:topLinePunct w:val="0"/>
        <w:autoSpaceDE/>
        <w:autoSpaceDN/>
        <w:bidi w:val="0"/>
        <w:adjustRightInd/>
        <w:snapToGrid/>
        <w:spacing w:before="34" w:line="440" w:lineRule="exact"/>
        <w:ind w:right="30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）开标结束。</w:t>
      </w:r>
    </w:p>
    <w:p>
      <w:pPr>
        <w:pStyle w:val="4"/>
        <w:pageBreakBefore w:val="0"/>
        <w:wordWrap/>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bookmarkStart w:id="59" w:name="_Toc503548055"/>
      <w:r>
        <w:rPr>
          <w:rFonts w:hint="eastAsia" w:ascii="宋体" w:hAnsi="宋体" w:eastAsia="宋体" w:cs="宋体"/>
          <w:b/>
          <w:bCs/>
          <w:color w:val="auto"/>
          <w:sz w:val="24"/>
          <w:szCs w:val="24"/>
        </w:rPr>
        <w:t>评标</w:t>
      </w:r>
      <w:bookmarkEnd w:id="59"/>
    </w:p>
    <w:p>
      <w:pPr>
        <w:pStyle w:val="12"/>
        <w:pageBreakBefore w:val="0"/>
        <w:kinsoku w:val="0"/>
        <w:wordWrap/>
        <w:overflowPunct w:val="0"/>
        <w:topLinePunct w:val="0"/>
        <w:autoSpaceDE/>
        <w:autoSpaceDN/>
        <w:bidi w:val="0"/>
        <w:adjustRightInd/>
        <w:snapToGrid/>
        <w:spacing w:before="35" w:line="440" w:lineRule="exact"/>
        <w:textAlignment w:val="auto"/>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1.磋商小组</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rPr>
        <w:tab/>
      </w:r>
      <w:r>
        <w:rPr>
          <w:rFonts w:hint="eastAsia" w:ascii="宋体" w:hAnsi="宋体" w:eastAsia="宋体" w:cs="宋体"/>
          <w:color w:val="auto"/>
          <w:spacing w:val="1"/>
          <w:sz w:val="24"/>
          <w:szCs w:val="24"/>
        </w:rPr>
        <w:t>评标由采购人依法组建的磋商小组负责。磋商小组由采购人熟悉相关业务</w:t>
      </w:r>
      <w:r>
        <w:rPr>
          <w:rFonts w:hint="eastAsia" w:ascii="宋体" w:hAnsi="宋体" w:eastAsia="宋体" w:cs="宋体"/>
          <w:color w:val="auto"/>
          <w:sz w:val="24"/>
          <w:szCs w:val="24"/>
        </w:rPr>
        <w:t>的代表，以及有关技术、经济等方面的专家三人</w:t>
      </w:r>
      <w:r>
        <w:rPr>
          <w:rFonts w:hint="eastAsia" w:ascii="宋体" w:hAnsi="宋体" w:eastAsia="宋体" w:cs="宋体"/>
          <w:color w:val="auto"/>
          <w:sz w:val="24"/>
          <w:szCs w:val="24"/>
          <w:lang w:eastAsia="zh-CN"/>
        </w:rPr>
        <w:t>以上</w:t>
      </w:r>
      <w:r>
        <w:rPr>
          <w:rFonts w:hint="eastAsia" w:ascii="宋体" w:hAnsi="宋体" w:eastAsia="宋体" w:cs="宋体"/>
          <w:color w:val="auto"/>
          <w:sz w:val="24"/>
          <w:szCs w:val="24"/>
        </w:rPr>
        <w:t>单数组成。</w:t>
      </w:r>
    </w:p>
    <w:p>
      <w:pPr>
        <w:pStyle w:val="12"/>
        <w:pageBreakBefore w:val="0"/>
        <w:tabs>
          <w:tab w:val="left" w:pos="1438"/>
        </w:tabs>
        <w:kinsoku w:val="0"/>
        <w:wordWrap/>
        <w:overflowPunct w:val="0"/>
        <w:topLinePunct w:val="0"/>
        <w:autoSpaceDE/>
        <w:autoSpaceDN/>
        <w:bidi w:val="0"/>
        <w:adjustRightInd/>
        <w:snapToGrid/>
        <w:spacing w:before="36" w:line="440" w:lineRule="exact"/>
        <w:ind w:left="59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 磋商小组成员有下列情形之一的，应当回避；</w:t>
      </w:r>
    </w:p>
    <w:p>
      <w:pPr>
        <w:pStyle w:val="12"/>
        <w:pageBreakBefore w:val="0"/>
        <w:kinsoku w:val="0"/>
        <w:wordWrap/>
        <w:overflowPunct w:val="0"/>
        <w:topLinePunct w:val="0"/>
        <w:autoSpaceDE/>
        <w:autoSpaceDN/>
        <w:bidi w:val="0"/>
        <w:adjustRightInd/>
        <w:snapToGrid/>
        <w:spacing w:line="440" w:lineRule="exact"/>
        <w:ind w:left="59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（1）采购人或供应商的主要负责人的近亲属。</w:t>
      </w:r>
    </w:p>
    <w:p>
      <w:pPr>
        <w:pStyle w:val="12"/>
        <w:pageBreakBefore w:val="0"/>
        <w:kinsoku w:val="0"/>
        <w:wordWrap/>
        <w:overflowPunct w:val="0"/>
        <w:topLinePunct w:val="0"/>
        <w:autoSpaceDE/>
        <w:autoSpaceDN/>
        <w:bidi w:val="0"/>
        <w:adjustRightInd/>
        <w:snapToGrid/>
        <w:spacing w:line="440" w:lineRule="exact"/>
        <w:ind w:left="59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（2）项目主管部门或者行政监督部门的人员。</w:t>
      </w:r>
    </w:p>
    <w:p>
      <w:pPr>
        <w:pStyle w:val="12"/>
        <w:pageBreakBefore w:val="0"/>
        <w:kinsoku w:val="0"/>
        <w:wordWrap/>
        <w:overflowPunct w:val="0"/>
        <w:topLinePunct w:val="0"/>
        <w:autoSpaceDE/>
        <w:autoSpaceDN/>
        <w:bidi w:val="0"/>
        <w:adjustRightInd/>
        <w:snapToGrid/>
        <w:spacing w:before="151" w:line="440" w:lineRule="exact"/>
        <w:ind w:left="59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（3）与供应商有经济利益关系，可能影响对投标公正评审的。</w:t>
      </w:r>
    </w:p>
    <w:p>
      <w:pPr>
        <w:pStyle w:val="12"/>
        <w:pageBreakBefore w:val="0"/>
        <w:kinsoku w:val="0"/>
        <w:wordWrap/>
        <w:overflowPunct w:val="0"/>
        <w:topLinePunct w:val="0"/>
        <w:autoSpaceDE/>
        <w:autoSpaceDN/>
        <w:bidi w:val="0"/>
        <w:adjustRightInd/>
        <w:snapToGrid/>
        <w:spacing w:line="440" w:lineRule="exact"/>
        <w:ind w:right="50" w:firstLine="480"/>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（4）曾因在招标、评标以及其他与招标投标有关活动中从事违法行为而受过行政</w:t>
      </w:r>
      <w:r>
        <w:rPr>
          <w:rFonts w:hint="eastAsia" w:ascii="宋体" w:hAnsi="宋体" w:eastAsia="宋体" w:cs="宋体"/>
          <w:color w:val="auto"/>
          <w:sz w:val="24"/>
          <w:szCs w:val="24"/>
        </w:rPr>
        <w:t>处罚或刑事处罚的。</w:t>
      </w:r>
    </w:p>
    <w:p>
      <w:pPr>
        <w:pStyle w:val="12"/>
        <w:pageBreakBefore w:val="0"/>
        <w:kinsoku w:val="0"/>
        <w:wordWrap/>
        <w:overflowPunct w:val="0"/>
        <w:topLinePunct w:val="0"/>
        <w:autoSpaceDE/>
        <w:autoSpaceDN/>
        <w:bidi w:val="0"/>
        <w:adjustRightInd/>
        <w:snapToGrid/>
        <w:spacing w:before="34" w:line="440" w:lineRule="exact"/>
        <w:ind w:right="30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（5）其它可能影响公正评标的情形。</w:t>
      </w:r>
    </w:p>
    <w:p>
      <w:pPr>
        <w:pStyle w:val="12"/>
        <w:pageBreakBefore w:val="0"/>
        <w:kinsoku w:val="0"/>
        <w:wordWrap/>
        <w:overflowPunct w:val="0"/>
        <w:topLinePunct w:val="0"/>
        <w:autoSpaceDE/>
        <w:autoSpaceDN/>
        <w:bidi w:val="0"/>
        <w:adjustRightInd/>
        <w:snapToGrid/>
        <w:spacing w:before="35" w:line="440" w:lineRule="exact"/>
        <w:textAlignment w:val="auto"/>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2.评标原则</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项目实施机构成立磋商小组，负责本次项目采购的磋商工作，磋商小组由业主代表与技术、经济等方面专家组成共3人以上</w:t>
      </w:r>
      <w:r>
        <w:rPr>
          <w:rFonts w:hint="eastAsia" w:ascii="宋体" w:hAnsi="宋体" w:eastAsia="宋体" w:cs="宋体"/>
          <w:color w:val="auto"/>
          <w:sz w:val="24"/>
          <w:szCs w:val="24"/>
          <w:lang w:eastAsia="zh-CN"/>
        </w:rPr>
        <w:t>单数</w:t>
      </w:r>
      <w:r>
        <w:rPr>
          <w:rFonts w:hint="eastAsia" w:ascii="宋体" w:hAnsi="宋体" w:eastAsia="宋体" w:cs="宋体"/>
          <w:color w:val="auto"/>
          <w:sz w:val="24"/>
          <w:szCs w:val="24"/>
        </w:rPr>
        <w:t>组成，其中评审专家人数不得少于磋商小组成员总数的2/3。评审专家应当从政府采购评审庄家库内相关专业的专家名单中随机抽取，符合本办法（财库214号文）第三条第四项规定情形的项目，以及特殊情况。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12"/>
        <w:pageBreakBefore w:val="0"/>
        <w:kinsoku w:val="0"/>
        <w:wordWrap/>
        <w:overflowPunct w:val="0"/>
        <w:topLinePunct w:val="0"/>
        <w:autoSpaceDE/>
        <w:autoSpaceDN/>
        <w:bidi w:val="0"/>
        <w:adjustRightInd/>
        <w:snapToGrid/>
        <w:spacing w:before="35" w:line="440" w:lineRule="exact"/>
        <w:ind w:left="598" w:right="238" w:hanging="480"/>
        <w:textAlignment w:val="auto"/>
        <w:rPr>
          <w:rFonts w:hint="eastAsia" w:ascii="宋体" w:hAnsi="宋体" w:eastAsia="宋体" w:cs="宋体"/>
          <w:b/>
          <w:bCs/>
          <w:color w:val="auto"/>
          <w:spacing w:val="22"/>
          <w:w w:val="99"/>
          <w:sz w:val="24"/>
          <w:szCs w:val="24"/>
        </w:rPr>
      </w:pPr>
      <w:r>
        <w:rPr>
          <w:rFonts w:hint="eastAsia" w:ascii="宋体" w:hAnsi="宋体" w:eastAsia="宋体" w:cs="宋体"/>
          <w:b/>
          <w:bCs/>
          <w:color w:val="auto"/>
          <w:w w:val="95"/>
          <w:sz w:val="24"/>
          <w:szCs w:val="24"/>
        </w:rPr>
        <w:t>3.</w:t>
      </w:r>
      <w:r>
        <w:rPr>
          <w:rFonts w:hint="eastAsia" w:ascii="宋体" w:hAnsi="宋体" w:eastAsia="宋体" w:cs="宋体"/>
          <w:b/>
          <w:bCs/>
          <w:color w:val="auto"/>
          <w:sz w:val="24"/>
          <w:szCs w:val="24"/>
        </w:rPr>
        <w:t>评标</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3.1磋商小组按照竞争性磋商文件中规定的方法、评审因素、标准和程序对磋商应性文件进行评审。竞争性磋商文件中没有规定的方法、评审因素和标准，不作为评标依据。详见“评标办法”内容。</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3.2评标过程严格保密。供应商对评委会的评标过程或合同授予决定施加影响的任何行为都可能导致其投标被拒绝。</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在评标期间，评委会可要求供应商对其磋商响应性文件中非实质性的有关问题进行澄清、说明或者补正。有关澄清、说明或者补正的要求和答复应以书面形式提交。供应商的澄清、说明或者补正不得超出磋商响应性文件的范围或者改变磋商响应性文件的实质性内容。</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评委会认定实质性响应竞争性磋商文件的投标是磋商响应性文件与竞争性磋商文件要求的全部条款、条件和规格相符，没有实质性负偏离。评委会评审磋商响应性文件的响应性依据是磋商响应性文件本身的内容，而不寻求外部的证据。</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3.5如果磋商响应性文件没有实质性响应竞争性磋商文件的要求，评委会将予以拒绝。供应商不得通过修正或撤消不合要求的偏离或保留从而使其投标成为实质性响应的投标。</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3.6评委会只对确定为实质性响应竞争性磋商文件要求的磋商响应性文件，根据竞争性磋商文件的评审标准采用相同的评标程序、评分办法进行评价和比较。</w:t>
      </w:r>
    </w:p>
    <w:p>
      <w:pPr>
        <w:pStyle w:val="4"/>
        <w:pageBreakBefore w:val="0"/>
        <w:wordWrap/>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bookmarkStart w:id="60" w:name="_Toc503548056"/>
      <w:r>
        <w:rPr>
          <w:rFonts w:hint="eastAsia" w:ascii="宋体" w:hAnsi="宋体" w:eastAsia="宋体" w:cs="宋体"/>
          <w:b/>
          <w:bCs/>
          <w:color w:val="auto"/>
          <w:sz w:val="24"/>
          <w:szCs w:val="24"/>
        </w:rPr>
        <w:t>定标</w:t>
      </w:r>
      <w:bookmarkEnd w:id="60"/>
    </w:p>
    <w:p>
      <w:pPr>
        <w:pStyle w:val="12"/>
        <w:pageBreakBefore w:val="0"/>
        <w:kinsoku w:val="0"/>
        <w:wordWrap/>
        <w:overflowPunct w:val="0"/>
        <w:topLinePunct w:val="0"/>
        <w:autoSpaceDE/>
        <w:autoSpaceDN/>
        <w:bidi w:val="0"/>
        <w:adjustRightInd/>
        <w:snapToGrid/>
        <w:spacing w:before="35" w:line="440" w:lineRule="exact"/>
        <w:ind w:left="598" w:right="238" w:hanging="480"/>
        <w:textAlignment w:val="auto"/>
        <w:rPr>
          <w:rFonts w:hint="eastAsia" w:ascii="宋体" w:hAnsi="宋体" w:eastAsia="宋体" w:cs="宋体"/>
          <w:b/>
          <w:bCs/>
          <w:color w:val="auto"/>
          <w:w w:val="95"/>
          <w:sz w:val="24"/>
          <w:szCs w:val="24"/>
        </w:rPr>
      </w:pPr>
      <w:r>
        <w:rPr>
          <w:rFonts w:hint="eastAsia" w:ascii="宋体" w:hAnsi="宋体" w:eastAsia="宋体" w:cs="宋体"/>
          <w:b/>
          <w:bCs/>
          <w:color w:val="auto"/>
          <w:w w:val="95"/>
          <w:sz w:val="24"/>
          <w:szCs w:val="24"/>
        </w:rPr>
        <w:t>1.定标</w:t>
      </w:r>
    </w:p>
    <w:p>
      <w:pPr>
        <w:pageBreakBefore w:val="0"/>
        <w:wordWrap/>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w w:val="95"/>
          <w:kern w:val="0"/>
          <w:sz w:val="24"/>
          <w:szCs w:val="24"/>
        </w:rPr>
      </w:pPr>
      <w:r>
        <w:rPr>
          <w:rFonts w:hint="eastAsia" w:ascii="宋体" w:hAnsi="宋体" w:eastAsia="宋体" w:cs="宋体"/>
          <w:color w:val="auto"/>
          <w:sz w:val="24"/>
          <w:szCs w:val="24"/>
        </w:rPr>
        <w:t>1.1 定标原则：磋商小组按照公开、公平、公正、诚实信用的原则对待参与磋商的供应商的响应文件；经磋商确定最终采购需求和提交最后报价的供应商后，由磋商小组采用综合评分法对提交最后报价的供应商的响应文件和最后报价进行综合评分。</w:t>
      </w:r>
      <w:r>
        <w:rPr>
          <w:rFonts w:hint="eastAsia" w:ascii="宋体" w:hAnsi="宋体" w:eastAsia="宋体" w:cs="宋体"/>
          <w:color w:val="auto"/>
          <w:kern w:val="0"/>
          <w:sz w:val="24"/>
          <w:szCs w:val="24"/>
        </w:rPr>
        <w:t>能够最大限度满足竞争性磋商文件中规定的各项综合评价标准且得分最高（但投标价格低于成本价的除外）。</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 定标方法：综合评分法。</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 定标方式：根据评委会推荐的</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候选人名单，采购人确定</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w:t>
      </w:r>
    </w:p>
    <w:p>
      <w:pPr>
        <w:pStyle w:val="12"/>
        <w:pageBreakBefore w:val="0"/>
        <w:kinsoku w:val="0"/>
        <w:wordWrap/>
        <w:overflowPunct w:val="0"/>
        <w:topLinePunct w:val="0"/>
        <w:autoSpaceDE/>
        <w:autoSpaceDN/>
        <w:bidi w:val="0"/>
        <w:adjustRightInd/>
        <w:snapToGrid/>
        <w:spacing w:before="35" w:line="440" w:lineRule="exact"/>
        <w:ind w:left="598" w:right="238" w:hanging="480"/>
        <w:textAlignment w:val="auto"/>
        <w:rPr>
          <w:rFonts w:hint="eastAsia" w:ascii="宋体" w:hAnsi="宋体" w:eastAsia="宋体" w:cs="宋体"/>
          <w:b/>
          <w:bCs/>
          <w:color w:val="auto"/>
          <w:w w:val="95"/>
          <w:sz w:val="24"/>
          <w:szCs w:val="24"/>
        </w:rPr>
      </w:pPr>
      <w:r>
        <w:rPr>
          <w:rFonts w:hint="eastAsia" w:ascii="宋体" w:hAnsi="宋体" w:eastAsia="宋体" w:cs="宋体"/>
          <w:b/>
          <w:bCs/>
          <w:color w:val="auto"/>
          <w:w w:val="95"/>
          <w:sz w:val="24"/>
          <w:szCs w:val="24"/>
        </w:rPr>
        <w:t>2.定标程序</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磋商小组按照综合评审打分结果由高到低排列顺序。综合得分相同的，按投标报价由低到高顺序排列。得分且投标报价相同的，按技术指标优劣顺序排列。前三名的供应商为拟</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候选人。</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采购人根据书面评标报告和被推荐的</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候选人，确定得分最高的供应商为拟</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单位。</w:t>
      </w:r>
    </w:p>
    <w:p>
      <w:pPr>
        <w:pageBreakBefore w:val="0"/>
        <w:wordWrap/>
        <w:topLinePunct w:val="0"/>
        <w:autoSpaceDE/>
        <w:autoSpaceDN/>
        <w:bidi w:val="0"/>
        <w:adjustRightInd/>
        <w:snapToGrid/>
        <w:spacing w:line="440" w:lineRule="exact"/>
        <w:ind w:left="105" w:leftChars="5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2.3 </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结果在“</w:t>
      </w:r>
      <w:r>
        <w:rPr>
          <w:rFonts w:hint="eastAsia" w:ascii="宋体" w:hAnsi="宋体" w:eastAsia="宋体" w:cs="宋体"/>
          <w:color w:val="auto"/>
          <w:sz w:val="24"/>
          <w:szCs w:val="24"/>
          <w:lang w:val="en-US" w:eastAsia="zh-CN"/>
        </w:rPr>
        <w:t>新疆政府采购网</w:t>
      </w:r>
      <w:r>
        <w:rPr>
          <w:rFonts w:hint="eastAsia" w:ascii="宋体" w:hAnsi="宋体" w:eastAsia="宋体" w:cs="宋体"/>
          <w:color w:val="auto"/>
          <w:sz w:val="24"/>
          <w:szCs w:val="24"/>
        </w:rPr>
        <w:t>” 上予以公告。同时向</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人发出</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pPr>
        <w:pStyle w:val="12"/>
        <w:pageBreakBefore w:val="0"/>
        <w:kinsoku w:val="0"/>
        <w:wordWrap/>
        <w:overflowPunct w:val="0"/>
        <w:topLinePunct w:val="0"/>
        <w:autoSpaceDE/>
        <w:autoSpaceDN/>
        <w:bidi w:val="0"/>
        <w:adjustRightInd/>
        <w:snapToGrid/>
        <w:spacing w:before="151" w:line="44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eastAsia="zh-CN"/>
        </w:rPr>
        <w:t>成交</w:t>
      </w:r>
      <w:r>
        <w:rPr>
          <w:rFonts w:hint="eastAsia" w:ascii="宋体" w:hAnsi="宋体" w:eastAsia="宋体" w:cs="宋体"/>
          <w:b/>
          <w:bCs/>
          <w:color w:val="auto"/>
          <w:sz w:val="24"/>
          <w:szCs w:val="24"/>
        </w:rPr>
        <w:t>通知书</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3.1 </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结果在公示期满无质疑或投诉后，该结果将作为正式中标或签订《采购合同》的凭据。</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将以书面形式《成交通知书》通知</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的供应商其投标被接受。在该通知书发出三十日内，</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单位应与采购人签订采购合同。</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3.2 </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通知书为签订政府采购合同的依据，是合同的有效组成部分。</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3.3 </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通知书对采购人和</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人均具有法律效力。</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通知书发出后，采购人改变</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结果，或者</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人无正当理由放弃中标的，应当承担相应的法律责任。</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3.4 </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人的磋商响应性文件本应作为无效投标处理或者有政府采购法律法规规章制度规定的中标无效情形的，</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在取得有权主体的认定以后，应当宣布发出的</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通知书无效，并收回发出的</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人也应当缴回），依法重新确定</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人或者重新开展采购活动。</w:t>
      </w:r>
    </w:p>
    <w:p>
      <w:pPr>
        <w:pStyle w:val="4"/>
        <w:pageBreakBefore w:val="0"/>
        <w:wordWrap/>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bookmarkStart w:id="61" w:name="_Toc503548057"/>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合同签订及履行</w:t>
      </w:r>
      <w:bookmarkEnd w:id="61"/>
    </w:p>
    <w:p>
      <w:pPr>
        <w:pStyle w:val="12"/>
        <w:pageBreakBefore w:val="0"/>
        <w:kinsoku w:val="0"/>
        <w:wordWrap/>
        <w:overflowPunct w:val="0"/>
        <w:topLinePunct w:val="0"/>
        <w:autoSpaceDE/>
        <w:autoSpaceDN/>
        <w:bidi w:val="0"/>
        <w:adjustRightInd/>
        <w:snapToGrid/>
        <w:spacing w:before="151"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1.合同授予原则</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 采购人将把合同授予经磋商小组评议推荐，在法定公示时间后，收到《成交通知书》的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单位。若因</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单位违约或因不可抗力等原因不能被授予合同，则合同将授予排序在该</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单位之后的下一个供应商，以此类推。</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 采购人保留在签订合同时调整方案需求和变动所购服务内容的权力。</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 采购人不得向</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人提出任何不合理的要求，作为签订合同的条件，不得与</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人私下订立背离合同实质性内容的任何协议，所签订的合同不得对竞争性磋商文件和</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人磋商响应性文件作实质性修改。</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1.4 </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人应当按照合同约定履行义务，完成</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项目的设计任务，不得将</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项目的转让（转包）给他人。</w:t>
      </w:r>
    </w:p>
    <w:p>
      <w:pPr>
        <w:pStyle w:val="12"/>
        <w:pageBreakBefore w:val="0"/>
        <w:kinsoku w:val="0"/>
        <w:wordWrap/>
        <w:overflowPunct w:val="0"/>
        <w:topLinePunct w:val="0"/>
        <w:autoSpaceDE/>
        <w:autoSpaceDN/>
        <w:bidi w:val="0"/>
        <w:adjustRightInd/>
        <w:snapToGrid/>
        <w:spacing w:before="34" w:line="44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2.合同的签署</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2.1 </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人依据《成交通知书》与采购人签订合同，签订时间为《成交通知书》发出之日起三十日内。</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2.2 </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单位按《成交通知书》中规定的时间和地点，在</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监督下，由法定代表人或授权代表与采购人签订合同。采购人与</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单位是合同权利与义务的直接全部责任承担人。所发出的《成交通知书》对采购人和</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单位具有同等法律效力。</w:t>
      </w:r>
    </w:p>
    <w:p>
      <w:pPr>
        <w:pStyle w:val="12"/>
        <w:pageBreakBefore w:val="0"/>
        <w:tabs>
          <w:tab w:val="left" w:pos="1080"/>
        </w:tabs>
        <w:kinsoku w:val="0"/>
        <w:wordWrap/>
        <w:overflowPunct w:val="0"/>
        <w:topLinePunct w:val="0"/>
        <w:autoSpaceDE/>
        <w:autoSpaceDN/>
        <w:bidi w:val="0"/>
        <w:adjustRightInd/>
        <w:snapToGrid/>
        <w:spacing w:before="26" w:line="440" w:lineRule="exact"/>
        <w:ind w:right="234"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2.3《成交通知书》发出后，采购人拒绝签订《采购合同》或擅自改变中标内容，按照</w:t>
      </w:r>
      <w:r>
        <w:rPr>
          <w:rFonts w:hint="eastAsia" w:ascii="宋体" w:hAnsi="宋体" w:eastAsia="宋体" w:cs="宋体"/>
          <w:color w:val="auto"/>
          <w:sz w:val="24"/>
          <w:szCs w:val="24"/>
          <w:lang w:eastAsia="zh-CN"/>
        </w:rPr>
        <w:t>《中华人民共和国民法典》</w:t>
      </w:r>
      <w:r>
        <w:rPr>
          <w:rFonts w:hint="eastAsia" w:ascii="宋体" w:hAnsi="宋体" w:eastAsia="宋体" w:cs="宋体"/>
          <w:color w:val="auto"/>
          <w:sz w:val="24"/>
          <w:szCs w:val="24"/>
        </w:rPr>
        <w:t>定金罚则及损害赔偿的原则处罚并办理。若由于</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单位的原因逾期未与采购人签订采购合同的，将视为放弃中标，取消其</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资格并将按照《中华人民共和国政府采购法》相关规定进行处理。</w:t>
      </w:r>
    </w:p>
    <w:p>
      <w:pPr>
        <w:pStyle w:val="12"/>
        <w:pageBreakBefore w:val="0"/>
        <w:kinsoku w:val="0"/>
        <w:wordWrap/>
        <w:overflowPunct w:val="0"/>
        <w:topLinePunct w:val="0"/>
        <w:autoSpaceDE/>
        <w:autoSpaceDN/>
        <w:bidi w:val="0"/>
        <w:adjustRightInd/>
        <w:snapToGrid/>
        <w:spacing w:before="37" w:line="440" w:lineRule="exact"/>
        <w:ind w:right="2481"/>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3.履行合同</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3.1 </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人与采购人签订合同后，合同双方应严格执行合同条款，履行合同规定的义务，保证合同的顺利完成。</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 在合同履行过程中，如发生合同纠纷，合同双方应按照《合同法》的有关规定进行处理。</w:t>
      </w:r>
    </w:p>
    <w:p>
      <w:pPr>
        <w:pStyle w:val="4"/>
        <w:pageBreakBefore w:val="0"/>
        <w:wordWrap/>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bookmarkStart w:id="62" w:name="_Toc503548058"/>
      <w:r>
        <w:rPr>
          <w:rFonts w:hint="eastAsia" w:ascii="宋体" w:hAnsi="宋体" w:eastAsia="宋体" w:cs="宋体"/>
          <w:b/>
          <w:bCs/>
          <w:color w:val="auto"/>
          <w:sz w:val="24"/>
          <w:szCs w:val="24"/>
          <w:lang w:val="en-US" w:eastAsia="zh-CN"/>
        </w:rPr>
        <w:t>八、</w:t>
      </w:r>
      <w:r>
        <w:rPr>
          <w:rFonts w:hint="eastAsia" w:ascii="宋体" w:hAnsi="宋体" w:eastAsia="宋体" w:cs="宋体"/>
          <w:b/>
          <w:bCs/>
          <w:color w:val="auto"/>
          <w:sz w:val="24"/>
          <w:szCs w:val="24"/>
        </w:rPr>
        <w:t>重新招标和不再招标</w:t>
      </w:r>
      <w:bookmarkEnd w:id="62"/>
    </w:p>
    <w:p>
      <w:pPr>
        <w:pStyle w:val="12"/>
        <w:pageBreakBefore w:val="0"/>
        <w:kinsoku w:val="0"/>
        <w:wordWrap/>
        <w:overflowPunct w:val="0"/>
        <w:topLinePunct w:val="0"/>
        <w:autoSpaceDE/>
        <w:autoSpaceDN/>
        <w:bidi w:val="0"/>
        <w:adjustRightInd/>
        <w:snapToGrid/>
        <w:spacing w:before="37" w:line="440" w:lineRule="exact"/>
        <w:ind w:right="2481"/>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1．重新招标</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有下列情形之一的，采购人将重新招标：</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（1）投标截止时间止，供应商少于</w:t>
      </w:r>
      <w:r>
        <w:rPr>
          <w:rFonts w:hint="eastAsia" w:ascii="宋体" w:hAnsi="宋体" w:eastAsia="宋体" w:cs="宋体"/>
          <w:color w:val="auto"/>
          <w:spacing w:val="4"/>
          <w:sz w:val="24"/>
          <w:szCs w:val="24"/>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color w:val="auto"/>
          <w:sz w:val="24"/>
          <w:szCs w:val="24"/>
        </w:rPr>
        <w:t>规定的家数。</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（2）经磋商小组评审后否决所有投标的。</w:t>
      </w:r>
    </w:p>
    <w:p>
      <w:pPr>
        <w:pStyle w:val="12"/>
        <w:pageBreakBefore w:val="0"/>
        <w:kinsoku w:val="0"/>
        <w:wordWrap/>
        <w:overflowPunct w:val="0"/>
        <w:topLinePunct w:val="0"/>
        <w:autoSpaceDE/>
        <w:autoSpaceDN/>
        <w:bidi w:val="0"/>
        <w:adjustRightInd/>
        <w:snapToGrid/>
        <w:spacing w:line="440" w:lineRule="exact"/>
        <w:ind w:right="4044" w:firstLine="24"/>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2．不再招标</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重新招标后供应商仍少于</w:t>
      </w:r>
      <w:r>
        <w:rPr>
          <w:rFonts w:hint="eastAsia" w:ascii="宋体" w:hAnsi="宋体" w:eastAsia="宋体" w:cs="宋体"/>
          <w:color w:val="auto"/>
          <w:spacing w:val="4"/>
          <w:sz w:val="24"/>
          <w:szCs w:val="24"/>
        </w:rPr>
        <w:t>《政府采购货物和服务招标投标管理办法》、《政府采购竞争性磋商采购方式管理暂行办法》、《财政部关于政府采购竞争性磋商采购方式管理暂行办法有关问题的补充通知》及相关法规</w:t>
      </w:r>
      <w:r>
        <w:rPr>
          <w:rFonts w:hint="eastAsia" w:ascii="宋体" w:hAnsi="宋体" w:eastAsia="宋体" w:cs="宋体"/>
          <w:color w:val="auto"/>
          <w:sz w:val="24"/>
          <w:szCs w:val="24"/>
        </w:rPr>
        <w:t>规定的家数，或者所有投标被否决的，属于必须审批或核准的工程建设、货物、服务项目，经原审批或核准部门批准后不再进行招标。</w:t>
      </w:r>
    </w:p>
    <w:p>
      <w:pPr>
        <w:pStyle w:val="4"/>
        <w:pageBreakBefore w:val="0"/>
        <w:wordWrap/>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bookmarkStart w:id="63" w:name="_Toc503548059"/>
      <w:r>
        <w:rPr>
          <w:rFonts w:hint="eastAsia" w:ascii="宋体" w:hAnsi="宋体" w:eastAsia="宋体" w:cs="宋体"/>
          <w:b/>
          <w:bCs/>
          <w:color w:val="auto"/>
          <w:sz w:val="24"/>
          <w:szCs w:val="24"/>
          <w:lang w:val="en-US" w:eastAsia="zh-CN"/>
        </w:rPr>
        <w:t>九、</w:t>
      </w:r>
      <w:r>
        <w:rPr>
          <w:rFonts w:hint="eastAsia" w:ascii="宋体" w:hAnsi="宋体" w:eastAsia="宋体" w:cs="宋体"/>
          <w:b/>
          <w:bCs/>
          <w:color w:val="auto"/>
          <w:sz w:val="24"/>
          <w:szCs w:val="24"/>
        </w:rPr>
        <w:t>纪律和监督</w:t>
      </w:r>
      <w:bookmarkEnd w:id="63"/>
    </w:p>
    <w:p>
      <w:pPr>
        <w:pStyle w:val="12"/>
        <w:pageBreakBefore w:val="0"/>
        <w:kinsoku w:val="0"/>
        <w:wordWrap/>
        <w:overflowPunct w:val="0"/>
        <w:topLinePunct w:val="0"/>
        <w:autoSpaceDE/>
        <w:autoSpaceDN/>
        <w:bidi w:val="0"/>
        <w:adjustRightInd/>
        <w:snapToGrid/>
        <w:spacing w:line="440" w:lineRule="exact"/>
        <w:ind w:right="4044" w:firstLine="24"/>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1．对采购人的纪律要求</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采购人不得泄漏招标投标活动中应当保密的情况和资料，不得与供应商串通损害国家利益、社会公共利益或者他人合法权益。下列行为视为采购人与供应商串通投标：</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(1）采购人在开标前开启磋商响应性文件，并将投标情况告知其它供应商，或者协助供应商撤换磋商响应性文件，更改报价；</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(2）采购人向供应商泄露标底；</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(3）采购人与供应商商定，投标时压低或抬高标价，</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后再给供应商或采购人额外补偿；</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(4）采购人预先内定</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(5）其它串通投标行为。</w:t>
      </w:r>
    </w:p>
    <w:p>
      <w:pPr>
        <w:pStyle w:val="12"/>
        <w:pageBreakBefore w:val="0"/>
        <w:kinsoku w:val="0"/>
        <w:wordWrap/>
        <w:overflowPunct w:val="0"/>
        <w:topLinePunct w:val="0"/>
        <w:autoSpaceDE/>
        <w:autoSpaceDN/>
        <w:bidi w:val="0"/>
        <w:adjustRightInd/>
        <w:snapToGrid/>
        <w:spacing w:before="34" w:line="440" w:lineRule="exact"/>
        <w:ind w:left="598" w:right="178" w:hanging="480"/>
        <w:textAlignment w:val="auto"/>
        <w:rPr>
          <w:rFonts w:hint="eastAsia" w:ascii="宋体" w:hAnsi="宋体" w:eastAsia="宋体" w:cs="宋体"/>
          <w:b/>
          <w:bCs/>
          <w:color w:val="auto"/>
          <w:spacing w:val="25"/>
          <w:w w:val="99"/>
          <w:sz w:val="24"/>
          <w:szCs w:val="24"/>
        </w:rPr>
      </w:pPr>
      <w:r>
        <w:rPr>
          <w:rFonts w:hint="eastAsia" w:ascii="宋体" w:hAnsi="宋体" w:eastAsia="宋体" w:cs="宋体"/>
          <w:b/>
          <w:bCs/>
          <w:color w:val="auto"/>
          <w:sz w:val="24"/>
          <w:szCs w:val="24"/>
        </w:rPr>
        <w:t>2.对供应商的纪律要求</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下列行为视为以他人名义投标：</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（1）供应商挂靠其他单位；</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（2）供应商从其它单位通过转让或租借的方式获取资格或资质证书；</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（3）由其它单位及法定代表人在自己编制的磋商响应性文件上加盖印章或签字；</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（4）法律法规规定的其它情形。</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下列行为均视为供应商串通投标：</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供应商串通投标报价：</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a）供应商之间相互约定抬高或压低投标报价；</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b）供应商之间相互约定，在招标项目中分别以高、中、低价位报价；</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c）供应商之间先进行内部竞价，内定中标人，然后再参加投标；</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d）不同供应商的投标报价或报价组成异常一致的；</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e）供应商之间其它串通投标报价的行为。</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 不同供应商磋商响应性文件的编制人或审核人为同一人或同一单位人员的；</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 不同供应商磋商响应性文件的授权签署人为同一人或同一单位人员的；</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.4 不同供应商委托同一人办理投标事宜的；</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.5 不同供应商的磋商响应性文件相互混装的；</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.6 不同供应商使用同一单位的资金缴纳投标保证金的；</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.7 不同供应商的磋商响应性文件载明的项目成员出现相同人员的；</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.8 不同供应商的磋商响应性文件内容存在非正常一致的；</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.9 不同供应商的服务方案中专门针对本项目的内容基本雷同的；</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.10 不同供应商的磋商响应性文件出现磋商小组认为不应当雷同的情况的；</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.11 法律法规规章规定的其他围标串标行为。</w:t>
      </w:r>
    </w:p>
    <w:p>
      <w:pPr>
        <w:pStyle w:val="12"/>
        <w:pageBreakBefore w:val="0"/>
        <w:kinsoku w:val="0"/>
        <w:wordWrap/>
        <w:overflowPunct w:val="0"/>
        <w:topLinePunct w:val="0"/>
        <w:autoSpaceDE/>
        <w:autoSpaceDN/>
        <w:bidi w:val="0"/>
        <w:adjustRightInd/>
        <w:snapToGrid/>
        <w:spacing w:before="26" w:line="440" w:lineRule="exact"/>
        <w:ind w:right="5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3.对磋商小组成员的纪律要求</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磋商小组成员不得收受他人的财物或者其他好处，不得向他人透漏对磋商响应性文件的评审和比较、</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候选人的推荐情况以及评标有关的其他情况。在评标活动中，磋商小组成员不得擅离职守，</w:t>
      </w:r>
      <w:bookmarkStart w:id="64" w:name="bookmark14"/>
      <w:bookmarkEnd w:id="64"/>
      <w:bookmarkStart w:id="65" w:name="bookmark13"/>
      <w:bookmarkEnd w:id="65"/>
      <w:bookmarkStart w:id="66" w:name="（十三）废标"/>
      <w:bookmarkEnd w:id="66"/>
      <w:bookmarkStart w:id="67" w:name="（十二）无效投标"/>
      <w:bookmarkEnd w:id="67"/>
      <w:r>
        <w:rPr>
          <w:rFonts w:hint="eastAsia" w:ascii="宋体" w:hAnsi="宋体" w:eastAsia="宋体" w:cs="宋体"/>
          <w:color w:val="auto"/>
          <w:sz w:val="24"/>
          <w:szCs w:val="24"/>
        </w:rPr>
        <w:t>影响评标程序正常进行，不得使用“评标办法”没有规定的评审因素和标准进行评标。</w:t>
      </w:r>
    </w:p>
    <w:p>
      <w:pPr>
        <w:pStyle w:val="12"/>
        <w:pageBreakBefore w:val="0"/>
        <w:kinsoku w:val="0"/>
        <w:wordWrap/>
        <w:overflowPunct w:val="0"/>
        <w:topLinePunct w:val="0"/>
        <w:autoSpaceDE/>
        <w:autoSpaceDN/>
        <w:bidi w:val="0"/>
        <w:adjustRightInd/>
        <w:snapToGrid/>
        <w:spacing w:before="38" w:line="440" w:lineRule="exact"/>
        <w:ind w:left="598" w:right="50" w:hanging="480"/>
        <w:textAlignment w:val="auto"/>
        <w:rPr>
          <w:rFonts w:hint="eastAsia" w:ascii="宋体" w:hAnsi="宋体" w:eastAsia="宋体" w:cs="宋体"/>
          <w:b/>
          <w:bCs/>
          <w:color w:val="auto"/>
          <w:spacing w:val="26"/>
          <w:w w:val="99"/>
          <w:sz w:val="24"/>
          <w:szCs w:val="24"/>
        </w:rPr>
      </w:pPr>
      <w:r>
        <w:rPr>
          <w:rFonts w:hint="eastAsia" w:ascii="宋体" w:hAnsi="宋体" w:eastAsia="宋体" w:cs="宋体"/>
          <w:b/>
          <w:bCs/>
          <w:color w:val="auto"/>
          <w:sz w:val="24"/>
          <w:szCs w:val="24"/>
        </w:rPr>
        <w:t>4.对与评标活动有关的工作人员的纪律要求</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与评标活动有关的工作人员不得收受他人的财物或者其他好处，不得向他人透漏对</w:t>
      </w:r>
      <w:r>
        <w:rPr>
          <w:rFonts w:hint="eastAsia" w:ascii="宋体" w:hAnsi="宋体" w:eastAsia="宋体" w:cs="宋体"/>
          <w:color w:val="auto"/>
          <w:sz w:val="24"/>
          <w:szCs w:val="24"/>
          <w:lang w:eastAsia="zh-CN"/>
        </w:rPr>
        <w:t>投</w:t>
      </w:r>
      <w:r>
        <w:rPr>
          <w:rFonts w:hint="eastAsia" w:ascii="宋体" w:hAnsi="宋体" w:eastAsia="宋体" w:cs="宋体"/>
          <w:color w:val="auto"/>
          <w:sz w:val="24"/>
          <w:szCs w:val="24"/>
        </w:rPr>
        <w:t>标文件的评审和比较、</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候选人的推荐情况以及评标有关的其他情况。在评标活动中，与评标活动有关的工作人员不得擅离职守，影响评标程序正常进行。</w:t>
      </w:r>
    </w:p>
    <w:p>
      <w:pPr>
        <w:pStyle w:val="4"/>
        <w:pageBreakBefore w:val="0"/>
        <w:wordWrap/>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bookmarkStart w:id="68" w:name="_Toc503548060"/>
      <w:r>
        <w:rPr>
          <w:rFonts w:hint="eastAsia" w:ascii="宋体" w:hAnsi="宋体" w:eastAsia="宋体" w:cs="宋体"/>
          <w:b/>
          <w:bCs/>
          <w:color w:val="auto"/>
          <w:sz w:val="24"/>
          <w:szCs w:val="24"/>
          <w:lang w:val="en-US" w:eastAsia="zh-CN"/>
        </w:rPr>
        <w:t>十、</w:t>
      </w:r>
      <w:r>
        <w:rPr>
          <w:rFonts w:hint="eastAsia" w:ascii="宋体" w:hAnsi="宋体" w:eastAsia="宋体" w:cs="宋体"/>
          <w:b/>
          <w:bCs/>
          <w:color w:val="auto"/>
          <w:sz w:val="24"/>
          <w:szCs w:val="24"/>
        </w:rPr>
        <w:t>无效投标</w:t>
      </w:r>
      <w:bookmarkEnd w:id="68"/>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遇到下列情况之一时, </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xml:space="preserve">的投标将被视为无效投标: </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1)未按照</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文件的规定提交</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保证金的；</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文件未按</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文件要求签署、盖章的；</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3)不具备</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文件中规定的资格要求的；</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报价超过</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文件中规定的预算金额或者最高限价的；</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 </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文件含有采购人不能接受的附加条件的；</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6)法律、法规和</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文件规定的其他无效情形；</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7)有下列情形之一的，视为</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串通投标，其投标无效：</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的投标文件由同一单位或者个人编制；</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委托同一单位或者个人办理投标事宜；</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的投标文件载明的项目管理成员或者联系人员为同一人；</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的投标文件异常一致或者投标报价呈规律性差异；</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的投标文件相互混装；</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F、不同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保证金从同一单位或者个人的账户转出。</w:t>
      </w:r>
    </w:p>
    <w:p>
      <w:pPr>
        <w:pStyle w:val="4"/>
        <w:pageBreakBefore w:val="0"/>
        <w:wordWrap/>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bookmarkStart w:id="69" w:name="_Toc503548061"/>
      <w:r>
        <w:rPr>
          <w:rFonts w:hint="eastAsia" w:ascii="宋体" w:hAnsi="宋体" w:eastAsia="宋体" w:cs="宋体"/>
          <w:b/>
          <w:bCs/>
          <w:color w:val="auto"/>
          <w:sz w:val="24"/>
          <w:szCs w:val="24"/>
          <w:lang w:val="en-US" w:eastAsia="zh-CN"/>
        </w:rPr>
        <w:t>十一、</w:t>
      </w:r>
      <w:r>
        <w:rPr>
          <w:rFonts w:hint="eastAsia" w:ascii="宋体" w:hAnsi="宋体" w:eastAsia="宋体" w:cs="宋体"/>
          <w:b/>
          <w:bCs/>
          <w:color w:val="auto"/>
          <w:sz w:val="24"/>
          <w:szCs w:val="24"/>
        </w:rPr>
        <w:t>废标</w:t>
      </w:r>
      <w:bookmarkEnd w:id="69"/>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招标采购中，出现下列情形之一的，予以废标：</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（1）符合专业条件的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单位或者对竞争性磋商文件作实质响应的投标单位不足</w:t>
      </w:r>
      <w:r>
        <w:rPr>
          <w:rFonts w:hint="eastAsia" w:ascii="宋体" w:hAnsi="宋体" w:eastAsia="宋体" w:cs="宋体"/>
          <w:color w:val="auto"/>
          <w:spacing w:val="4"/>
          <w:sz w:val="24"/>
          <w:szCs w:val="24"/>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color w:val="auto"/>
          <w:sz w:val="24"/>
          <w:szCs w:val="24"/>
        </w:rPr>
        <w:t>规定的家数；</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（3）供应商的报价均超过了采购预算，采购人不能支付的；</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（4）因重大变故，采购任务取消的。废标后，</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应在发布公告相同的网站上公告，并公告废标的详细理由。</w:t>
      </w:r>
    </w:p>
    <w:p>
      <w:pPr>
        <w:pStyle w:val="4"/>
        <w:pageBreakBefore w:val="0"/>
        <w:wordWrap/>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bookmarkStart w:id="70" w:name="_Toc503548062"/>
      <w:r>
        <w:rPr>
          <w:rFonts w:hint="eastAsia" w:ascii="宋体" w:hAnsi="宋体" w:eastAsia="宋体" w:cs="宋体"/>
          <w:b/>
          <w:bCs/>
          <w:color w:val="auto"/>
          <w:sz w:val="24"/>
          <w:szCs w:val="24"/>
          <w:lang w:val="en-US" w:eastAsia="zh-CN"/>
        </w:rPr>
        <w:t>十二、</w:t>
      </w:r>
      <w:r>
        <w:rPr>
          <w:rFonts w:hint="eastAsia" w:ascii="宋体" w:hAnsi="宋体" w:eastAsia="宋体" w:cs="宋体"/>
          <w:b/>
          <w:bCs/>
          <w:color w:val="auto"/>
          <w:sz w:val="24"/>
          <w:szCs w:val="24"/>
        </w:rPr>
        <w:t>质疑和投诉</w:t>
      </w:r>
      <w:bookmarkEnd w:id="70"/>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1.供应商对政府采购活动事项有疑问的，可以向采购人提出询问，采购人应当及时作出答复，但答复的内容不得涉及商业秘密。</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2.供应商认为竞争性磋商文件、采购过程和中标、中标结果使自己的权益受到损害的，可以在知道或者应知其权益受到损害之日起七个工作日内，以规范的格式，详实的证明材料以书面形式向采购人提出质疑。</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3.采购人应当在收到供应商的书面质疑后七个工作日内作出答复，并以书面形式通知质疑供应商和其他有关供应商，但答复的内容不得涉及商业秘密。</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采购人委托采购代理机构采购的，供应商可以向采购代理机构提出询问或者质疑，采购代理机构应当依照《中华人民共和国政府采购法》第五十一条、第五十三条的规定就采购人委托授权范围内的事项作出答复。</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5.质疑供应商对采购人、采购代理机构的答复不满意或者采购人、采购代理机构未在规定的时间内作出答复的，可以在答复期满后十五个工作日内向同级政府采购监督管理部门投诉。</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6.政府采购监督管理部门应当在收到投诉后三十个工作日内，对投诉事项作出处理决定，并以书面形式通知投诉人和与投诉事项有关的当事人。</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7.政府采购监督管理部门在处理投诉事项期间，可以视具体情况书面通知采购人暂停采购活动，但暂停时间最长不得超过三十日。</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8.投诉人对政府采购监督管理部门的投诉处理决定不服或者政府采购监督管理部门逾期未作处理的，可以依法申请行政复议或者向人民法院提起行政诉讼。</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9.质疑、投诉书应当包括下列主要内容：</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（1）投诉人和被投诉人的名称、地址、电话等；</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（2）具体的投诉事项及事实依据；</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（3）提供有关质疑事项真实可靠的书面证明材料；</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提起投诉的日期。质疑、投诉书应当署名。质疑、投诉人为自然人的，应当由本人签字；质疑、投诉人为法人或者其他组织的，应当由法定代表人签字并加盖公章；质疑、投诉人为委托授权人的应该出具针对本质疑、投诉事项的法人委托授权书。</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10.投诉人有下列情形之一的，属于虚假、恶意投诉，财政部门应当驳回投诉，将其列入不良行为记录名单，并依法予以处罚：</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 年内 3 次以上投诉均查无实据的；</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（2）捏造事实或者提供虚假投诉材料的。</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11.澄清或质疑不予受理的情况有下列情形之一的，属于无效质疑，被质疑人不予受理，由此产生的影响由供应商自行承担：</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（1）不是参与该政府采购项目活动供应商的；</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（2）被质疑人为采购人或政府采购代理机构之外的；</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（3）所有质疑事项超过质疑有效期的；</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（4）以具有法律效力的文书送达之外方式提出的；</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（5）未按上述规定递交澄清或质疑函的；</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（6）其它不符合受理条件的情形。</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12.腐败和欺诈行为</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（1）定义“腐败行为”系指提供、给予、接受或索取任何有价值的物品来影响</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和/或采购人在采购过程或合同实施过程中的行为。“欺诈行为”系指为了影响采购过程或合同实施过程而谎报事实，损害</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和采购人的利益，包括供应商之间串通投标（递交《磋商响应性文件》之前和之后），人为地使投标丧失竞争性，剥夺采购人从自由公开竞争所能获得的权益。</w:t>
      </w:r>
    </w:p>
    <w:p>
      <w:pPr>
        <w:pStyle w:val="12"/>
        <w:pageBreakBefore w:val="0"/>
        <w:kinsoku w:val="0"/>
        <w:wordWrap/>
        <w:overflowPunct w:val="0"/>
        <w:topLinePunct w:val="0"/>
        <w:autoSpaceDE/>
        <w:autoSpaceDN/>
        <w:bidi w:val="0"/>
        <w:adjustRightInd/>
        <w:snapToGrid/>
        <w:spacing w:before="34" w:line="440" w:lineRule="exact"/>
        <w:ind w:right="126"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（2）如果</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和采购人认为供应商在本项目的竞争中有腐败或欺诈行为，其投标将被拒绝。</w:t>
      </w:r>
    </w:p>
    <w:bookmarkEnd w:id="57"/>
    <w:bookmarkEnd w:id="58"/>
    <w:p>
      <w:pPr>
        <w:pStyle w:val="6"/>
        <w:pageBreakBefore w:val="0"/>
        <w:wordWrap/>
        <w:topLinePunct w:val="0"/>
        <w:autoSpaceDE/>
        <w:autoSpaceDN/>
        <w:bidi w:val="0"/>
        <w:adjustRightInd/>
        <w:snapToGrid/>
        <w:spacing w:line="440" w:lineRule="exact"/>
        <w:ind w:firstLine="482"/>
        <w:jc w:val="center"/>
        <w:textAlignment w:val="auto"/>
        <w:outlineLvl w:val="1"/>
        <w:rPr>
          <w:rFonts w:hint="eastAsia" w:ascii="宋体" w:hAnsi="宋体" w:eastAsia="宋体" w:cs="宋体"/>
          <w:b/>
          <w:bCs/>
          <w:color w:val="auto"/>
          <w:sz w:val="24"/>
          <w:szCs w:val="24"/>
        </w:rPr>
      </w:pPr>
      <w:bookmarkStart w:id="71" w:name="_Toc9816"/>
      <w:bookmarkStart w:id="72" w:name="_Toc17336"/>
      <w:r>
        <w:rPr>
          <w:rFonts w:hint="eastAsia" w:ascii="宋体" w:hAnsi="宋体" w:eastAsia="宋体" w:cs="宋体"/>
          <w:b/>
          <w:bCs/>
          <w:color w:val="auto"/>
          <w:sz w:val="24"/>
          <w:szCs w:val="24"/>
          <w:lang w:val="en-US" w:eastAsia="zh-CN"/>
        </w:rPr>
        <w:t>十三、</w:t>
      </w:r>
      <w:r>
        <w:rPr>
          <w:rFonts w:hint="eastAsia" w:ascii="宋体" w:hAnsi="宋体" w:eastAsia="宋体" w:cs="宋体"/>
          <w:b/>
          <w:bCs/>
          <w:color w:val="auto"/>
          <w:sz w:val="24"/>
          <w:szCs w:val="24"/>
        </w:rPr>
        <w:t>项目验收</w:t>
      </w:r>
      <w:bookmarkEnd w:id="71"/>
      <w:bookmarkEnd w:id="72"/>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8.1采购单位按照政府采购合同规定的技术、服务、安全标准对供应商履约情况进行验收，并出具验收书。验收书包括每一项技术、服务、安全标准的履约情况。</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8.2验收标准∶磋商文件、响应文件、政府采购合同规定的标准。</w:t>
      </w:r>
    </w:p>
    <w:p>
      <w:pPr>
        <w:pStyle w:val="6"/>
        <w:pageBreakBefore w:val="0"/>
        <w:wordWrap/>
        <w:topLinePunct w:val="0"/>
        <w:autoSpaceDE/>
        <w:autoSpaceDN/>
        <w:bidi w:val="0"/>
        <w:adjustRightInd/>
        <w:snapToGrid/>
        <w:spacing w:line="440" w:lineRule="exact"/>
        <w:ind w:firstLine="482"/>
        <w:jc w:val="center"/>
        <w:textAlignment w:val="auto"/>
        <w:outlineLvl w:val="1"/>
        <w:rPr>
          <w:rFonts w:hint="eastAsia" w:ascii="宋体" w:hAnsi="宋体" w:eastAsia="宋体" w:cs="宋体"/>
          <w:b/>
          <w:bCs/>
          <w:color w:val="auto"/>
          <w:sz w:val="24"/>
          <w:szCs w:val="24"/>
        </w:rPr>
      </w:pPr>
      <w:bookmarkStart w:id="73" w:name="_Toc2211"/>
      <w:bookmarkStart w:id="74" w:name="_Toc25729"/>
      <w:r>
        <w:rPr>
          <w:rFonts w:hint="eastAsia" w:ascii="宋体" w:hAnsi="宋体" w:eastAsia="宋体" w:cs="宋体"/>
          <w:b/>
          <w:bCs/>
          <w:color w:val="auto"/>
          <w:sz w:val="24"/>
          <w:szCs w:val="24"/>
          <w:lang w:val="en-US" w:eastAsia="zh-CN"/>
        </w:rPr>
        <w:t>十四、</w:t>
      </w:r>
      <w:r>
        <w:rPr>
          <w:rFonts w:hint="eastAsia" w:ascii="宋体" w:hAnsi="宋体" w:eastAsia="宋体" w:cs="宋体"/>
          <w:b/>
          <w:bCs/>
          <w:color w:val="auto"/>
          <w:sz w:val="24"/>
          <w:szCs w:val="24"/>
        </w:rPr>
        <w:t>适用法律</w:t>
      </w:r>
      <w:bookmarkEnd w:id="73"/>
      <w:bookmarkEnd w:id="74"/>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9.1招标采购单位和供应商的一切招标投标活动均适用于《政府采购法》、《政府采购实施条例》、《政府采购竞争性磋商采购方式管理办法》等相关规定。</w:t>
      </w:r>
    </w:p>
    <w:p>
      <w:pPr>
        <w:pStyle w:val="6"/>
        <w:pageBreakBefore w:val="0"/>
        <w:wordWrap/>
        <w:topLinePunct w:val="0"/>
        <w:autoSpaceDE/>
        <w:autoSpaceDN/>
        <w:bidi w:val="0"/>
        <w:adjustRightInd/>
        <w:snapToGrid/>
        <w:spacing w:line="440" w:lineRule="exact"/>
        <w:ind w:firstLine="482"/>
        <w:jc w:val="center"/>
        <w:textAlignment w:val="auto"/>
        <w:outlineLvl w:val="1"/>
        <w:rPr>
          <w:rFonts w:hint="eastAsia" w:ascii="宋体" w:hAnsi="宋体" w:eastAsia="宋体" w:cs="宋体"/>
          <w:b/>
          <w:bCs/>
          <w:color w:val="auto"/>
          <w:sz w:val="24"/>
          <w:szCs w:val="24"/>
        </w:rPr>
      </w:pPr>
      <w:bookmarkStart w:id="75" w:name="_Toc19329"/>
      <w:bookmarkStart w:id="76" w:name="_Toc10718"/>
      <w:r>
        <w:rPr>
          <w:rFonts w:hint="eastAsia" w:ascii="宋体" w:hAnsi="宋体" w:eastAsia="宋体" w:cs="宋体"/>
          <w:b/>
          <w:bCs/>
          <w:color w:val="auto"/>
          <w:sz w:val="24"/>
          <w:szCs w:val="24"/>
          <w:lang w:val="en-US" w:eastAsia="zh-CN"/>
        </w:rPr>
        <w:t>十五、</w:t>
      </w:r>
      <w:r>
        <w:rPr>
          <w:rFonts w:hint="eastAsia" w:ascii="宋体" w:hAnsi="宋体" w:eastAsia="宋体" w:cs="宋体"/>
          <w:b/>
          <w:bCs/>
          <w:color w:val="auto"/>
          <w:sz w:val="24"/>
          <w:szCs w:val="24"/>
        </w:rPr>
        <w:t>磋商文件的解释权</w:t>
      </w:r>
      <w:bookmarkEnd w:id="75"/>
      <w:bookmarkEnd w:id="76"/>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10.1本项目磋商文件的最终解释权为采购单位所有。</w:t>
      </w:r>
    </w:p>
    <w:p>
      <w:pPr>
        <w:pStyle w:val="6"/>
        <w:pageBreakBefore w:val="0"/>
        <w:wordWrap/>
        <w:topLinePunct w:val="0"/>
        <w:autoSpaceDE/>
        <w:autoSpaceDN/>
        <w:bidi w:val="0"/>
        <w:adjustRightInd/>
        <w:snapToGrid/>
        <w:spacing w:line="440" w:lineRule="exact"/>
        <w:ind w:firstLine="482"/>
        <w:jc w:val="center"/>
        <w:textAlignment w:val="auto"/>
        <w:outlineLvl w:val="1"/>
        <w:rPr>
          <w:rFonts w:hint="eastAsia" w:ascii="宋体" w:hAnsi="宋体" w:eastAsia="宋体" w:cs="宋体"/>
          <w:b/>
          <w:bCs/>
          <w:color w:val="auto"/>
          <w:sz w:val="24"/>
          <w:szCs w:val="24"/>
        </w:rPr>
      </w:pPr>
      <w:bookmarkStart w:id="77" w:name="_Toc12601"/>
      <w:bookmarkStart w:id="78" w:name="_Toc2219"/>
      <w:r>
        <w:rPr>
          <w:rFonts w:hint="eastAsia" w:ascii="宋体" w:hAnsi="宋体" w:eastAsia="宋体" w:cs="宋体"/>
          <w:b/>
          <w:bCs/>
          <w:color w:val="auto"/>
          <w:sz w:val="24"/>
          <w:szCs w:val="24"/>
          <w:lang w:val="en-US" w:eastAsia="zh-CN"/>
        </w:rPr>
        <w:t>十六、</w:t>
      </w:r>
      <w:r>
        <w:rPr>
          <w:rFonts w:hint="eastAsia" w:ascii="宋体" w:hAnsi="宋体" w:eastAsia="宋体" w:cs="宋体"/>
          <w:b/>
          <w:bCs/>
          <w:color w:val="auto"/>
          <w:sz w:val="24"/>
          <w:szCs w:val="24"/>
        </w:rPr>
        <w:t>其他注意事项</w:t>
      </w:r>
      <w:bookmarkEnd w:id="77"/>
      <w:bookmarkEnd w:id="78"/>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11.1单位负责人为同一人或者存在直接控股、管理关系的不同供应商，不得参加同一合同项下的政府采购活动。</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11.2供应商为采购项目提供整体设计、规范编制或者项目管理、监理、检测等服务的供应商，不得再参加该采购项目的其他采购活动。</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11.3政府采购法第二十二条第一款第五项所称重大违法记录，是指供应商因违法经营受到刑事处罚或者责令停产停业、吊销许可证或者执照、较大数额罚款等行政处罚。</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11.4按照财政部《关于规范政府采购行政处罚有关问题的通知》的规定，各级人民政府财政部门依法对参加政府采购活动的供应商作出的禁止参加政府采购活动等行政处罚决定在全国范围内生效。</w:t>
      </w:r>
    </w:p>
    <w:p>
      <w:pPr>
        <w:pStyle w:val="6"/>
        <w:pageBreakBefore w:val="0"/>
        <w:wordWrap/>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11.5供应商在参加政府采购活动前3年内因违法经营被禁止在一定期限内参加政府采购活动，期限届满的，可以参加政府采购活动。</w:t>
      </w:r>
    </w:p>
    <w:p>
      <w:pPr>
        <w:pStyle w:val="3"/>
        <w:spacing w:line="600" w:lineRule="auto"/>
        <w:jc w:val="both"/>
        <w:rPr>
          <w:rFonts w:hint="eastAsia" w:ascii="宋体" w:hAnsi="宋体" w:eastAsia="宋体" w:cs="宋体"/>
          <w:b/>
          <w:bCs w:val="0"/>
          <w:color w:val="auto"/>
          <w:sz w:val="24"/>
          <w:szCs w:val="24"/>
        </w:rPr>
      </w:pPr>
      <w:bookmarkStart w:id="79" w:name="_Toc15203"/>
      <w:bookmarkStart w:id="80" w:name="_Toc3262"/>
    </w:p>
    <w:p>
      <w:pPr>
        <w:rPr>
          <w:rFonts w:hint="eastAsia" w:ascii="宋体" w:hAnsi="宋体" w:eastAsia="宋体" w:cs="宋体"/>
          <w:b/>
          <w:bCs w:val="0"/>
          <w:color w:val="auto"/>
          <w:sz w:val="24"/>
          <w:szCs w:val="24"/>
        </w:rPr>
      </w:pPr>
    </w:p>
    <w:p>
      <w:pPr>
        <w:pStyle w:val="2"/>
        <w:widowControl w:val="0"/>
        <w:numPr>
          <w:ilvl w:val="0"/>
          <w:numId w:val="0"/>
        </w:numPr>
        <w:jc w:val="both"/>
        <w:rPr>
          <w:rFonts w:hint="eastAsia" w:ascii="宋体" w:hAnsi="宋体" w:eastAsia="宋体" w:cs="宋体"/>
          <w:b/>
          <w:bCs w:val="0"/>
          <w:color w:val="auto"/>
          <w:sz w:val="24"/>
          <w:szCs w:val="24"/>
        </w:rPr>
      </w:pPr>
    </w:p>
    <w:p>
      <w:pPr>
        <w:pStyle w:val="2"/>
        <w:widowControl w:val="0"/>
        <w:numPr>
          <w:ilvl w:val="0"/>
          <w:numId w:val="0"/>
        </w:numPr>
        <w:jc w:val="both"/>
        <w:rPr>
          <w:rFonts w:hint="eastAsia" w:ascii="宋体" w:hAnsi="宋体" w:eastAsia="宋体" w:cs="宋体"/>
          <w:b/>
          <w:bCs w:val="0"/>
          <w:color w:val="auto"/>
          <w:sz w:val="24"/>
          <w:szCs w:val="24"/>
        </w:rPr>
      </w:pPr>
    </w:p>
    <w:p>
      <w:pPr>
        <w:pStyle w:val="2"/>
        <w:widowControl w:val="0"/>
        <w:numPr>
          <w:ilvl w:val="0"/>
          <w:numId w:val="0"/>
        </w:numPr>
        <w:jc w:val="both"/>
        <w:rPr>
          <w:rFonts w:hint="eastAsia" w:ascii="宋体" w:hAnsi="宋体" w:eastAsia="宋体" w:cs="宋体"/>
          <w:b/>
          <w:bCs w:val="0"/>
          <w:color w:val="auto"/>
          <w:sz w:val="24"/>
          <w:szCs w:val="24"/>
        </w:rPr>
      </w:pPr>
    </w:p>
    <w:p>
      <w:pPr>
        <w:pStyle w:val="2"/>
        <w:widowControl w:val="0"/>
        <w:numPr>
          <w:ilvl w:val="0"/>
          <w:numId w:val="0"/>
        </w:numPr>
        <w:jc w:val="both"/>
        <w:rPr>
          <w:rFonts w:hint="eastAsia" w:ascii="宋体" w:hAnsi="宋体" w:eastAsia="宋体" w:cs="宋体"/>
          <w:b/>
          <w:bCs w:val="0"/>
          <w:color w:val="auto"/>
          <w:sz w:val="24"/>
          <w:szCs w:val="24"/>
        </w:rPr>
      </w:pPr>
    </w:p>
    <w:p>
      <w:pPr>
        <w:pStyle w:val="2"/>
        <w:widowControl w:val="0"/>
        <w:numPr>
          <w:ilvl w:val="0"/>
          <w:numId w:val="0"/>
        </w:numPr>
        <w:jc w:val="both"/>
        <w:rPr>
          <w:rFonts w:hint="eastAsia" w:ascii="宋体" w:hAnsi="宋体" w:eastAsia="宋体" w:cs="宋体"/>
          <w:b/>
          <w:bCs w:val="0"/>
          <w:color w:val="auto"/>
          <w:sz w:val="24"/>
          <w:szCs w:val="24"/>
        </w:rPr>
      </w:pPr>
    </w:p>
    <w:p>
      <w:pPr>
        <w:pStyle w:val="2"/>
        <w:widowControl w:val="0"/>
        <w:numPr>
          <w:ilvl w:val="0"/>
          <w:numId w:val="0"/>
        </w:numPr>
        <w:jc w:val="both"/>
        <w:rPr>
          <w:rFonts w:hint="eastAsia" w:ascii="宋体" w:hAnsi="宋体" w:eastAsia="宋体" w:cs="宋体"/>
          <w:b/>
          <w:bCs w:val="0"/>
          <w:color w:val="auto"/>
          <w:sz w:val="24"/>
          <w:szCs w:val="24"/>
        </w:rPr>
      </w:pPr>
    </w:p>
    <w:p>
      <w:pPr>
        <w:pStyle w:val="2"/>
        <w:widowControl w:val="0"/>
        <w:numPr>
          <w:ilvl w:val="0"/>
          <w:numId w:val="0"/>
        </w:numPr>
        <w:jc w:val="both"/>
        <w:rPr>
          <w:rFonts w:hint="eastAsia" w:ascii="宋体" w:hAnsi="宋体" w:eastAsia="宋体" w:cs="宋体"/>
          <w:b/>
          <w:bCs w:val="0"/>
          <w:color w:val="auto"/>
          <w:sz w:val="24"/>
          <w:szCs w:val="24"/>
        </w:rPr>
      </w:pPr>
    </w:p>
    <w:p>
      <w:pPr>
        <w:pStyle w:val="2"/>
        <w:widowControl w:val="0"/>
        <w:numPr>
          <w:ilvl w:val="0"/>
          <w:numId w:val="0"/>
        </w:numPr>
        <w:jc w:val="both"/>
        <w:rPr>
          <w:rFonts w:hint="eastAsia" w:ascii="宋体" w:hAnsi="宋体" w:eastAsia="宋体" w:cs="宋体"/>
          <w:b/>
          <w:bCs w:val="0"/>
          <w:color w:val="auto"/>
          <w:sz w:val="24"/>
          <w:szCs w:val="24"/>
        </w:rPr>
      </w:pPr>
    </w:p>
    <w:p>
      <w:pPr>
        <w:pStyle w:val="2"/>
        <w:widowControl w:val="0"/>
        <w:numPr>
          <w:ilvl w:val="0"/>
          <w:numId w:val="0"/>
        </w:numPr>
        <w:jc w:val="both"/>
        <w:rPr>
          <w:rFonts w:hint="eastAsia" w:ascii="宋体" w:hAnsi="宋体" w:eastAsia="宋体" w:cs="宋体"/>
          <w:b/>
          <w:bCs w:val="0"/>
          <w:color w:val="auto"/>
          <w:sz w:val="24"/>
          <w:szCs w:val="24"/>
        </w:rPr>
      </w:pPr>
    </w:p>
    <w:p>
      <w:pPr>
        <w:pStyle w:val="2"/>
        <w:widowControl w:val="0"/>
        <w:numPr>
          <w:ilvl w:val="0"/>
          <w:numId w:val="0"/>
        </w:numPr>
        <w:jc w:val="both"/>
        <w:rPr>
          <w:rFonts w:hint="eastAsia" w:ascii="宋体" w:hAnsi="宋体" w:eastAsia="宋体" w:cs="宋体"/>
          <w:b/>
          <w:bCs w:val="0"/>
          <w:color w:val="auto"/>
          <w:sz w:val="24"/>
          <w:szCs w:val="24"/>
        </w:rPr>
      </w:pPr>
    </w:p>
    <w:p>
      <w:pPr>
        <w:pStyle w:val="2"/>
        <w:widowControl w:val="0"/>
        <w:numPr>
          <w:ilvl w:val="0"/>
          <w:numId w:val="0"/>
        </w:numPr>
        <w:jc w:val="both"/>
        <w:rPr>
          <w:rFonts w:hint="eastAsia" w:ascii="宋体" w:hAnsi="宋体" w:eastAsia="宋体" w:cs="宋体"/>
          <w:b/>
          <w:bCs w:val="0"/>
          <w:color w:val="auto"/>
          <w:sz w:val="24"/>
          <w:szCs w:val="24"/>
        </w:rPr>
      </w:pPr>
    </w:p>
    <w:p>
      <w:pPr>
        <w:pStyle w:val="2"/>
        <w:widowControl w:val="0"/>
        <w:numPr>
          <w:ilvl w:val="0"/>
          <w:numId w:val="0"/>
        </w:numPr>
        <w:jc w:val="both"/>
        <w:rPr>
          <w:rFonts w:hint="eastAsia" w:ascii="宋体" w:hAnsi="宋体" w:eastAsia="宋体" w:cs="宋体"/>
          <w:b/>
          <w:bCs w:val="0"/>
          <w:color w:val="auto"/>
          <w:sz w:val="24"/>
          <w:szCs w:val="24"/>
        </w:rPr>
      </w:pPr>
    </w:p>
    <w:p>
      <w:pPr>
        <w:pStyle w:val="2"/>
        <w:widowControl w:val="0"/>
        <w:numPr>
          <w:ilvl w:val="0"/>
          <w:numId w:val="0"/>
        </w:numPr>
        <w:jc w:val="both"/>
        <w:rPr>
          <w:rFonts w:hint="eastAsia" w:ascii="宋体" w:hAnsi="宋体" w:eastAsia="宋体" w:cs="宋体"/>
          <w:b/>
          <w:bCs w:val="0"/>
          <w:color w:val="auto"/>
          <w:sz w:val="24"/>
          <w:szCs w:val="24"/>
        </w:rPr>
      </w:pPr>
    </w:p>
    <w:p>
      <w:pPr>
        <w:pStyle w:val="2"/>
        <w:widowControl w:val="0"/>
        <w:numPr>
          <w:ilvl w:val="0"/>
          <w:numId w:val="0"/>
        </w:numPr>
        <w:jc w:val="both"/>
        <w:rPr>
          <w:rFonts w:hint="eastAsia" w:ascii="宋体" w:hAnsi="宋体" w:eastAsia="宋体" w:cs="宋体"/>
          <w:b/>
          <w:bCs w:val="0"/>
          <w:color w:val="auto"/>
          <w:sz w:val="24"/>
          <w:szCs w:val="24"/>
        </w:rPr>
      </w:pPr>
    </w:p>
    <w:p>
      <w:pPr>
        <w:pStyle w:val="2"/>
        <w:widowControl w:val="0"/>
        <w:numPr>
          <w:ilvl w:val="0"/>
          <w:numId w:val="0"/>
        </w:numPr>
        <w:jc w:val="both"/>
        <w:rPr>
          <w:rFonts w:hint="eastAsia" w:ascii="宋体" w:hAnsi="宋体" w:eastAsia="宋体" w:cs="宋体"/>
          <w:b/>
          <w:bCs w:val="0"/>
          <w:color w:val="auto"/>
          <w:sz w:val="24"/>
          <w:szCs w:val="24"/>
        </w:rPr>
      </w:pPr>
    </w:p>
    <w:p>
      <w:pPr>
        <w:pStyle w:val="2"/>
        <w:widowControl w:val="0"/>
        <w:numPr>
          <w:ilvl w:val="0"/>
          <w:numId w:val="0"/>
        </w:numPr>
        <w:jc w:val="both"/>
        <w:rPr>
          <w:rFonts w:hint="eastAsia" w:ascii="宋体" w:hAnsi="宋体" w:eastAsia="宋体" w:cs="宋体"/>
          <w:b/>
          <w:bCs w:val="0"/>
          <w:color w:val="auto"/>
          <w:sz w:val="24"/>
          <w:szCs w:val="24"/>
        </w:rPr>
      </w:pPr>
    </w:p>
    <w:p>
      <w:pPr>
        <w:pStyle w:val="2"/>
        <w:widowControl w:val="0"/>
        <w:numPr>
          <w:ilvl w:val="0"/>
          <w:numId w:val="0"/>
        </w:numPr>
        <w:jc w:val="both"/>
        <w:rPr>
          <w:rFonts w:hint="eastAsia" w:ascii="宋体" w:hAnsi="宋体" w:eastAsia="宋体" w:cs="宋体"/>
          <w:b/>
          <w:bCs w:val="0"/>
          <w:color w:val="auto"/>
          <w:sz w:val="24"/>
          <w:szCs w:val="24"/>
        </w:rPr>
      </w:pPr>
    </w:p>
    <w:p>
      <w:pPr>
        <w:pStyle w:val="2"/>
        <w:widowControl w:val="0"/>
        <w:numPr>
          <w:ilvl w:val="0"/>
          <w:numId w:val="0"/>
        </w:numPr>
        <w:jc w:val="both"/>
        <w:rPr>
          <w:rFonts w:hint="eastAsia" w:ascii="宋体" w:hAnsi="宋体" w:eastAsia="宋体" w:cs="宋体"/>
          <w:b/>
          <w:bCs w:val="0"/>
          <w:color w:val="auto"/>
          <w:sz w:val="24"/>
          <w:szCs w:val="24"/>
        </w:rPr>
      </w:pPr>
    </w:p>
    <w:p>
      <w:pPr>
        <w:pStyle w:val="2"/>
        <w:widowControl w:val="0"/>
        <w:numPr>
          <w:ilvl w:val="0"/>
          <w:numId w:val="0"/>
        </w:numPr>
        <w:jc w:val="both"/>
        <w:rPr>
          <w:rFonts w:hint="eastAsia" w:ascii="宋体" w:hAnsi="宋体" w:eastAsia="宋体" w:cs="宋体"/>
          <w:b/>
          <w:bCs w:val="0"/>
          <w:color w:val="auto"/>
          <w:sz w:val="24"/>
          <w:szCs w:val="24"/>
        </w:rPr>
      </w:pPr>
    </w:p>
    <w:p>
      <w:pPr>
        <w:pStyle w:val="3"/>
        <w:spacing w:line="600" w:lineRule="auto"/>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第三章 采购</w:t>
      </w:r>
      <w:bookmarkEnd w:id="35"/>
      <w:bookmarkEnd w:id="36"/>
      <w:bookmarkEnd w:id="37"/>
      <w:r>
        <w:rPr>
          <w:rFonts w:hint="eastAsia" w:ascii="宋体" w:hAnsi="宋体" w:eastAsia="宋体" w:cs="宋体"/>
          <w:b/>
          <w:bCs w:val="0"/>
          <w:color w:val="auto"/>
          <w:sz w:val="24"/>
          <w:szCs w:val="24"/>
        </w:rPr>
        <w:t>需求</w:t>
      </w:r>
      <w:bookmarkEnd w:id="38"/>
      <w:bookmarkEnd w:id="39"/>
      <w:bookmarkEnd w:id="40"/>
      <w:bookmarkEnd w:id="41"/>
      <w:bookmarkEnd w:id="42"/>
      <w:bookmarkEnd w:id="79"/>
      <w:bookmarkEnd w:id="80"/>
      <w:bookmarkStart w:id="81" w:name="_Toc531075010"/>
      <w:bookmarkStart w:id="82" w:name="_Toc532543566"/>
      <w:bookmarkStart w:id="83" w:name="_Toc10724"/>
    </w:p>
    <w:p>
      <w:pPr>
        <w:pStyle w:val="14"/>
        <w:spacing w:before="0" w:beforeAutospacing="0" w:after="0" w:afterAutospacing="0" w:line="360" w:lineRule="auto"/>
        <w:ind w:firstLine="482" w:firstLineChars="200"/>
        <w:rPr>
          <w:rFonts w:hint="eastAsia" w:ascii="宋体" w:hAnsi="宋体" w:eastAsia="宋体" w:cs="宋体"/>
          <w:color w:val="auto"/>
          <w:sz w:val="24"/>
          <w:szCs w:val="24"/>
          <w:shd w:val="clear" w:color="auto" w:fill="FFFFFF"/>
          <w:lang w:val="zh-CN" w:eastAsia="zh-CN"/>
        </w:rPr>
      </w:pPr>
      <w:r>
        <w:rPr>
          <w:rFonts w:hint="eastAsia" w:ascii="宋体" w:hAnsi="宋体" w:eastAsia="宋体" w:cs="宋体"/>
          <w:b/>
          <w:bCs/>
          <w:color w:val="auto"/>
          <w:sz w:val="24"/>
          <w:szCs w:val="24"/>
        </w:rPr>
        <w:t>一、项目名称：</w:t>
      </w:r>
      <w:r>
        <w:rPr>
          <w:rFonts w:hint="eastAsia" w:cs="宋体"/>
          <w:color w:val="auto"/>
          <w:sz w:val="24"/>
          <w:szCs w:val="24"/>
          <w:lang w:eastAsia="zh-CN"/>
        </w:rPr>
        <w:t>昌吉州国有企业2023年度年终财务决算审计项目</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二、服务期限：</w:t>
      </w:r>
      <w:r>
        <w:rPr>
          <w:rFonts w:hint="eastAsia" w:ascii="宋体" w:hAnsi="宋体" w:eastAsia="宋体" w:cs="宋体"/>
          <w:color w:val="auto"/>
          <w:sz w:val="24"/>
          <w:szCs w:val="24"/>
          <w:lang w:val="en-US" w:eastAsia="zh-CN"/>
        </w:rPr>
        <w:t>2024年2月29日前完成约定的审计工作，并出具审计报告和管理建议书。（成交通知书签发后，5日内与采购人签订服务约定书）</w:t>
      </w:r>
      <w:r>
        <w:rPr>
          <w:rFonts w:hint="eastAsia" w:ascii="宋体" w:hAnsi="宋体" w:eastAsia="宋体" w:cs="宋体"/>
          <w:color w:val="auto"/>
          <w:sz w:val="24"/>
          <w:szCs w:val="24"/>
        </w:rPr>
        <w:t xml:space="preserve"> </w:t>
      </w:r>
    </w:p>
    <w:p>
      <w:pPr>
        <w:spacing w:line="360" w:lineRule="auto"/>
        <w:ind w:firstLine="482" w:firstLineChars="200"/>
        <w:rPr>
          <w:rFonts w:hint="eastAsia" w:ascii="宋体" w:hAnsi="宋体" w:eastAsia="宋体" w:cs="宋体"/>
          <w:color w:val="auto"/>
          <w:sz w:val="24"/>
          <w:szCs w:val="24"/>
          <w:shd w:val="clear" w:color="auto" w:fill="FFFFFF"/>
        </w:rPr>
      </w:pPr>
      <w:r>
        <w:rPr>
          <w:rFonts w:hint="eastAsia" w:ascii="宋体" w:hAnsi="宋体" w:eastAsia="宋体" w:cs="宋体"/>
          <w:b/>
          <w:bCs/>
          <w:color w:val="auto"/>
          <w:sz w:val="24"/>
          <w:szCs w:val="24"/>
        </w:rPr>
        <w:t>三、质量要求：</w:t>
      </w:r>
      <w:r>
        <w:rPr>
          <w:rFonts w:hint="eastAsia" w:ascii="宋体" w:hAnsi="宋体" w:eastAsia="宋体" w:cs="宋体"/>
          <w:color w:val="auto"/>
          <w:sz w:val="24"/>
          <w:szCs w:val="24"/>
          <w:shd w:val="clear" w:color="auto" w:fill="FFFFFF"/>
        </w:rPr>
        <w:t>符合现行国家相关法律法规、标准和规范等，成果资料完整、真实准确、依据清晰。审计成果资料，达到招标人使用要求，服务工作优质高效。</w:t>
      </w:r>
    </w:p>
    <w:p>
      <w:pPr>
        <w:spacing w:line="360" w:lineRule="auto"/>
        <w:ind w:firstLine="482"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b/>
          <w:bCs/>
          <w:color w:val="auto"/>
          <w:sz w:val="24"/>
          <w:szCs w:val="24"/>
          <w:shd w:val="clear" w:color="auto" w:fill="FFFFFF"/>
          <w:lang w:val="en-US" w:eastAsia="zh-CN"/>
        </w:rPr>
        <w:t>四、审计企业资格要求：</w:t>
      </w:r>
      <w:r>
        <w:rPr>
          <w:rFonts w:hint="eastAsia" w:ascii="宋体" w:hAnsi="宋体" w:eastAsia="宋体" w:cs="宋体"/>
          <w:color w:val="auto"/>
          <w:sz w:val="24"/>
          <w:szCs w:val="24"/>
          <w:shd w:val="clear" w:color="auto" w:fill="FFFFFF"/>
          <w:lang w:val="en-US" w:eastAsia="zh-CN"/>
        </w:rPr>
        <w:t>具有独立法人的有效的营业执照且具有会计师事务所执业证书。</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shd w:val="clear" w:color="auto" w:fill="FFFFFF"/>
          <w:lang w:val="en-US" w:eastAsia="zh-CN"/>
        </w:rPr>
        <w:t>五、</w:t>
      </w:r>
      <w:r>
        <w:rPr>
          <w:rFonts w:hint="eastAsia" w:ascii="宋体" w:hAnsi="宋体" w:eastAsia="宋体" w:cs="宋体"/>
          <w:b/>
          <w:bCs/>
          <w:color w:val="auto"/>
          <w:sz w:val="24"/>
          <w:szCs w:val="24"/>
        </w:rPr>
        <w:t>审计内容</w:t>
      </w:r>
    </w:p>
    <w:p>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（一）年度财务决算审计 </w:t>
      </w:r>
    </w:p>
    <w:p>
      <w:pPr>
        <w:pStyle w:val="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重点关注企业年度财务决算编报范围是否齐全、报表合并口径和方法是否正确、合并内容是否完整，并应当对应纳入而未纳入合并范围的子企业对资产和财务状况的影响作重点说明；应当关注与披露企业实际发生的各项经济业务是否按照国家统一的财务会计制度规定予以确认、计量和登记，会计核算方法和会计政策是否符合国家财务会计制度规定。</w:t>
      </w:r>
    </w:p>
    <w:p>
      <w:pPr>
        <w:pStyle w:val="8"/>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（二）审计业务管理建议书</w:t>
      </w:r>
    </w:p>
    <w:p>
      <w:pPr>
        <w:pStyle w:val="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针对年度财务决算审计中企业经营管理中存在的问题及企业的会计核算、账务处理等出具管理建议书。</w:t>
      </w:r>
    </w:p>
    <w:p>
      <w:pPr>
        <w:pStyle w:val="8"/>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（三）企业年度财务决算综合报告</w:t>
      </w:r>
    </w:p>
    <w:p>
      <w:pPr>
        <w:pStyle w:val="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报告主要内容：</w:t>
      </w:r>
    </w:p>
    <w:p>
      <w:pPr>
        <w:pStyle w:val="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1.企业年度财务决算审计期初数与上年决算审计年末数是否一致，如不一致请报告调整原因及明细；</w:t>
      </w:r>
    </w:p>
    <w:p>
      <w:pPr>
        <w:pStyle w:val="8"/>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2.企业国有资本保值增值情况；</w:t>
      </w:r>
    </w:p>
    <w:p>
      <w:pPr>
        <w:pStyle w:val="8"/>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3.企业国有资产减值损失情况；</w:t>
      </w:r>
    </w:p>
    <w:p>
      <w:pPr>
        <w:pStyle w:val="8"/>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4.企业账务核销（应收账款、固定资产）等；</w:t>
      </w:r>
    </w:p>
    <w:p>
      <w:pPr>
        <w:pStyle w:val="8"/>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5.企业未分配利润的调整项目金额做详细批注说明；</w:t>
      </w:r>
    </w:p>
    <w:p>
      <w:pPr>
        <w:pStyle w:val="8"/>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6.企业其他重大事项调整情况。                                                                                 </w:t>
      </w:r>
    </w:p>
    <w:p>
      <w:pPr>
        <w:pStyle w:val="8"/>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六、审计结果</w:t>
      </w:r>
    </w:p>
    <w:p>
      <w:pPr>
        <w:pStyle w:val="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中介机构应严格按照审计准则、会计准则等相关制度的要求，认真开展企业2023年度年财务决算审计工作并按要求出具审计报告，对各独立核算的法人公司均需出具审计报告（1家1份），并按照采购人要求出具审计业务管理建议书，并在出具审计报告1个月内报送企业年度财务决算综合报告。</w:t>
      </w:r>
    </w:p>
    <w:p>
      <w:pPr>
        <w:pStyle w:val="8"/>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七、其他要求</w:t>
      </w:r>
    </w:p>
    <w:p>
      <w:pPr>
        <w:pStyle w:val="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1.投标企业应当严格按照采购人的各项规定要求开展审计工作，如未按照相关规定要求进行审计，一经发现采购人有权终止委托合作权力。</w:t>
      </w:r>
    </w:p>
    <w:p>
      <w:pPr>
        <w:pStyle w:val="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2.未按采购人要求出具审计报告或报告存在明显错误及漏洞的，一经发现及时进行整改。</w:t>
      </w:r>
    </w:p>
    <w:p>
      <w:pPr>
        <w:pStyle w:val="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3.审计结束后，指导监督被审计企业完成审计问题的整改落实，年内对各企业在日常经营管理中财务核算等方面的问题给予解释、培训并提供免费的咨询、指导服务。</w:t>
      </w:r>
    </w:p>
    <w:p>
      <w:pPr>
        <w:keepNext w:val="0"/>
        <w:keepLines w:val="0"/>
        <w:pageBreakBefore w:val="0"/>
        <w:kinsoku/>
        <w:wordWrap/>
        <w:overflowPunct/>
        <w:topLinePunct w:val="0"/>
        <w:bidi w:val="0"/>
        <w:spacing w:line="360" w:lineRule="auto"/>
        <w:ind w:firstLine="482" w:firstLineChars="200"/>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八、人员要求</w:t>
      </w:r>
    </w:p>
    <w:p>
      <w:pPr>
        <w:pStyle w:val="14"/>
        <w:spacing w:before="0" w:beforeAutospacing="0" w:after="0" w:afterAutospacing="0" w:line="440" w:lineRule="exact"/>
        <w:ind w:firstLine="720"/>
        <w:rPr>
          <w:rStyle w:val="34"/>
          <w:rFonts w:hint="eastAsia" w:cs="宋体"/>
          <w:b/>
          <w:bCs/>
          <w:color w:val="auto"/>
          <w:szCs w:val="24"/>
          <w:highlight w:val="none"/>
          <w:shd w:val="clear" w:color="auto" w:fill="FFFFFF"/>
          <w:lang w:eastAsia="zh-CN"/>
        </w:rPr>
      </w:pPr>
      <w:r>
        <w:rPr>
          <w:rFonts w:hint="eastAsia" w:ascii="宋体" w:hAnsi="宋体" w:eastAsia="宋体" w:cs="宋体"/>
          <w:b w:val="0"/>
          <w:bCs w:val="0"/>
          <w:color w:val="auto"/>
          <w:kern w:val="2"/>
          <w:sz w:val="24"/>
          <w:szCs w:val="24"/>
          <w:lang w:val="en-US" w:eastAsia="zh-CN" w:bidi="ar-SA"/>
        </w:rPr>
        <w:t>1、</w:t>
      </w:r>
      <w:r>
        <w:rPr>
          <w:rStyle w:val="34"/>
          <w:rFonts w:hint="eastAsia" w:ascii="宋体" w:hAnsi="宋体" w:eastAsia="宋体" w:cs="宋体"/>
          <w:b/>
          <w:bCs/>
          <w:color w:val="auto"/>
          <w:szCs w:val="24"/>
          <w:highlight w:val="none"/>
          <w:shd w:val="clear" w:color="auto" w:fill="FFFFFF"/>
          <w:lang w:val="en-US" w:eastAsia="zh-CN"/>
        </w:rPr>
        <w:t>本项目第一标段最少配备</w:t>
      </w:r>
      <w:r>
        <w:rPr>
          <w:rStyle w:val="34"/>
          <w:rFonts w:hint="eastAsia" w:cs="宋体"/>
          <w:b/>
          <w:bCs/>
          <w:color w:val="auto"/>
          <w:szCs w:val="24"/>
          <w:highlight w:val="none"/>
          <w:shd w:val="clear" w:color="auto" w:fill="FFFFFF"/>
          <w:lang w:val="en-US" w:eastAsia="zh-CN"/>
        </w:rPr>
        <w:t>15</w:t>
      </w:r>
      <w:r>
        <w:rPr>
          <w:rStyle w:val="34"/>
          <w:rFonts w:hint="eastAsia" w:ascii="宋体" w:hAnsi="宋体" w:eastAsia="宋体" w:cs="宋体"/>
          <w:b/>
          <w:bCs/>
          <w:color w:val="auto"/>
          <w:szCs w:val="24"/>
          <w:highlight w:val="none"/>
          <w:shd w:val="clear" w:color="auto" w:fill="FFFFFF"/>
          <w:lang w:val="en-US" w:eastAsia="zh-CN"/>
        </w:rPr>
        <w:t>名</w:t>
      </w:r>
      <w:r>
        <w:rPr>
          <w:rStyle w:val="34"/>
          <w:rFonts w:hint="eastAsia" w:cs="宋体"/>
          <w:b/>
          <w:bCs/>
          <w:color w:val="auto"/>
          <w:szCs w:val="24"/>
          <w:highlight w:val="none"/>
          <w:shd w:val="clear" w:color="auto" w:fill="FFFFFF"/>
          <w:lang w:val="en-US" w:eastAsia="zh-CN"/>
        </w:rPr>
        <w:t>参审固定</w:t>
      </w:r>
      <w:r>
        <w:rPr>
          <w:rStyle w:val="34"/>
          <w:rFonts w:hint="eastAsia" w:ascii="宋体" w:hAnsi="宋体" w:eastAsia="宋体" w:cs="宋体"/>
          <w:b/>
          <w:bCs/>
          <w:color w:val="auto"/>
          <w:szCs w:val="24"/>
          <w:highlight w:val="none"/>
          <w:shd w:val="clear" w:color="auto" w:fill="FFFFFF"/>
          <w:lang w:val="en-US" w:eastAsia="zh-CN"/>
        </w:rPr>
        <w:t>人员，其中：1名</w:t>
      </w:r>
      <w:r>
        <w:rPr>
          <w:rStyle w:val="34"/>
          <w:rFonts w:hint="eastAsia" w:ascii="宋体" w:hAnsi="宋体" w:eastAsia="宋体" w:cs="宋体"/>
          <w:b/>
          <w:bCs/>
          <w:color w:val="auto"/>
          <w:szCs w:val="24"/>
          <w:highlight w:val="none"/>
          <w:shd w:val="clear" w:color="auto" w:fill="FFFFFF"/>
        </w:rPr>
        <w:t>项目负责人应具备</w:t>
      </w:r>
      <w:r>
        <w:rPr>
          <w:rStyle w:val="34"/>
          <w:rFonts w:hint="eastAsia" w:ascii="宋体" w:hAnsi="宋体" w:eastAsia="宋体" w:cs="宋体"/>
          <w:b/>
          <w:bCs/>
          <w:color w:val="auto"/>
          <w:szCs w:val="24"/>
          <w:highlight w:val="none"/>
          <w:shd w:val="clear" w:color="auto" w:fill="FFFFFF"/>
          <w:lang w:val="en-US" w:eastAsia="zh-CN"/>
        </w:rPr>
        <w:t>注册在本单位的</w:t>
      </w:r>
      <w:r>
        <w:rPr>
          <w:rStyle w:val="34"/>
          <w:rFonts w:hint="eastAsia" w:cs="宋体"/>
          <w:b/>
          <w:bCs/>
          <w:color w:val="auto"/>
          <w:szCs w:val="24"/>
          <w:highlight w:val="none"/>
          <w:shd w:val="clear" w:color="auto" w:fill="FFFFFF"/>
          <w:lang w:val="en-US" w:eastAsia="zh-CN"/>
        </w:rPr>
        <w:t>会计师证书</w:t>
      </w:r>
      <w:r>
        <w:rPr>
          <w:rStyle w:val="34"/>
          <w:rFonts w:hint="eastAsia" w:cs="宋体"/>
          <w:b/>
          <w:bCs/>
          <w:color w:val="auto"/>
          <w:szCs w:val="24"/>
          <w:highlight w:val="none"/>
          <w:shd w:val="clear" w:color="auto" w:fill="FFFFFF"/>
          <w:lang w:eastAsia="zh-CN"/>
        </w:rPr>
        <w:t>，</w:t>
      </w:r>
      <w:r>
        <w:rPr>
          <w:rStyle w:val="34"/>
          <w:rFonts w:hint="eastAsia" w:cs="宋体"/>
          <w:b/>
          <w:bCs/>
          <w:color w:val="auto"/>
          <w:szCs w:val="24"/>
          <w:highlight w:val="none"/>
          <w:shd w:val="clear" w:color="auto" w:fill="FFFFFF"/>
          <w:lang w:val="en-US" w:eastAsia="zh-CN"/>
        </w:rPr>
        <w:t>且类似审计业绩不少于1项（需提供中标通知书或合同）</w:t>
      </w:r>
      <w:r>
        <w:rPr>
          <w:rStyle w:val="34"/>
          <w:rFonts w:hint="eastAsia" w:ascii="宋体" w:hAnsi="宋体" w:eastAsia="宋体" w:cs="宋体"/>
          <w:b/>
          <w:bCs/>
          <w:color w:val="auto"/>
          <w:szCs w:val="24"/>
          <w:highlight w:val="none"/>
          <w:shd w:val="clear" w:color="auto" w:fill="FFFFFF"/>
          <w:lang w:eastAsia="zh-CN"/>
        </w:rPr>
        <w:t>；</w:t>
      </w:r>
      <w:r>
        <w:rPr>
          <w:rStyle w:val="34"/>
          <w:rFonts w:hint="eastAsia" w:ascii="宋体" w:hAnsi="宋体" w:eastAsia="宋体" w:cs="宋体"/>
          <w:b/>
          <w:bCs/>
          <w:color w:val="auto"/>
          <w:szCs w:val="24"/>
          <w:highlight w:val="none"/>
          <w:shd w:val="clear" w:color="auto" w:fill="FFFFFF"/>
          <w:lang w:val="en-US" w:eastAsia="zh-CN"/>
        </w:rPr>
        <w:t>固定注册会计师人员不低于5人，其他参审人员不低于10人</w:t>
      </w:r>
      <w:r>
        <w:rPr>
          <w:rStyle w:val="34"/>
          <w:rFonts w:hint="eastAsia" w:cs="宋体"/>
          <w:b/>
          <w:bCs/>
          <w:color w:val="auto"/>
          <w:szCs w:val="24"/>
          <w:highlight w:val="none"/>
          <w:shd w:val="clear" w:color="auto" w:fill="FFFFFF"/>
          <w:lang w:val="en-US" w:eastAsia="zh-CN"/>
        </w:rPr>
        <w:t>（以上人员均须提供在本单位注册的会计师证复印件并提供近半年的社保缴纳证明）</w:t>
      </w:r>
      <w:r>
        <w:rPr>
          <w:rStyle w:val="34"/>
          <w:rFonts w:hint="eastAsia" w:cs="宋体"/>
          <w:b/>
          <w:bCs/>
          <w:color w:val="auto"/>
          <w:szCs w:val="24"/>
          <w:highlight w:val="none"/>
          <w:shd w:val="clear" w:color="auto" w:fill="FFFFFF"/>
          <w:lang w:eastAsia="zh-CN"/>
        </w:rPr>
        <w:t>；</w:t>
      </w:r>
    </w:p>
    <w:p>
      <w:pPr>
        <w:pStyle w:val="14"/>
        <w:spacing w:before="0" w:beforeAutospacing="0" w:after="0" w:afterAutospacing="0" w:line="440" w:lineRule="exact"/>
        <w:ind w:firstLine="720"/>
        <w:rPr>
          <w:rStyle w:val="34"/>
          <w:rFonts w:hint="eastAsia" w:ascii="宋体" w:hAnsi="宋体" w:eastAsia="宋体" w:cs="宋体"/>
          <w:b/>
          <w:bCs/>
          <w:color w:val="auto"/>
          <w:szCs w:val="24"/>
          <w:highlight w:val="none"/>
          <w:shd w:val="clear" w:color="auto" w:fill="FFFFFF"/>
          <w:lang w:eastAsia="zh-CN"/>
        </w:rPr>
      </w:pPr>
      <w:r>
        <w:rPr>
          <w:rStyle w:val="34"/>
          <w:rFonts w:hint="eastAsia" w:ascii="宋体" w:hAnsi="宋体" w:eastAsia="宋体" w:cs="宋体"/>
          <w:b/>
          <w:bCs/>
          <w:color w:val="auto"/>
          <w:szCs w:val="24"/>
          <w:highlight w:val="none"/>
          <w:shd w:val="clear" w:color="auto" w:fill="FFFFFF"/>
          <w:lang w:val="en-US" w:eastAsia="zh-CN"/>
        </w:rPr>
        <w:t>第二</w:t>
      </w:r>
      <w:r>
        <w:rPr>
          <w:rStyle w:val="34"/>
          <w:rFonts w:hint="eastAsia" w:cs="宋体"/>
          <w:b/>
          <w:bCs/>
          <w:color w:val="auto"/>
          <w:szCs w:val="24"/>
          <w:highlight w:val="none"/>
          <w:shd w:val="clear" w:color="auto" w:fill="FFFFFF"/>
          <w:lang w:val="en-US" w:eastAsia="zh-CN"/>
        </w:rPr>
        <w:t>标段</w:t>
      </w:r>
      <w:r>
        <w:rPr>
          <w:rStyle w:val="34"/>
          <w:rFonts w:hint="eastAsia" w:ascii="宋体" w:hAnsi="宋体" w:eastAsia="宋体" w:cs="宋体"/>
          <w:b/>
          <w:bCs/>
          <w:color w:val="auto"/>
          <w:szCs w:val="24"/>
          <w:highlight w:val="none"/>
          <w:shd w:val="clear" w:color="auto" w:fill="FFFFFF"/>
          <w:lang w:val="en-US" w:eastAsia="zh-CN"/>
        </w:rPr>
        <w:t>最少配备</w:t>
      </w:r>
      <w:r>
        <w:rPr>
          <w:rStyle w:val="34"/>
          <w:rFonts w:hint="eastAsia" w:cs="宋体"/>
          <w:b/>
          <w:bCs/>
          <w:color w:val="auto"/>
          <w:szCs w:val="24"/>
          <w:highlight w:val="none"/>
          <w:shd w:val="clear" w:color="auto" w:fill="FFFFFF"/>
          <w:lang w:val="en-US" w:eastAsia="zh-CN"/>
        </w:rPr>
        <w:t>10</w:t>
      </w:r>
      <w:r>
        <w:rPr>
          <w:rStyle w:val="34"/>
          <w:rFonts w:hint="eastAsia" w:ascii="宋体" w:hAnsi="宋体" w:eastAsia="宋体" w:cs="宋体"/>
          <w:b/>
          <w:bCs/>
          <w:color w:val="auto"/>
          <w:szCs w:val="24"/>
          <w:highlight w:val="none"/>
          <w:shd w:val="clear" w:color="auto" w:fill="FFFFFF"/>
          <w:lang w:val="en-US" w:eastAsia="zh-CN"/>
        </w:rPr>
        <w:t>名</w:t>
      </w:r>
      <w:r>
        <w:rPr>
          <w:rStyle w:val="34"/>
          <w:rFonts w:hint="eastAsia" w:cs="宋体"/>
          <w:b/>
          <w:bCs/>
          <w:color w:val="auto"/>
          <w:szCs w:val="24"/>
          <w:highlight w:val="none"/>
          <w:shd w:val="clear" w:color="auto" w:fill="FFFFFF"/>
          <w:lang w:val="en-US" w:eastAsia="zh-CN"/>
        </w:rPr>
        <w:t>参审固定</w:t>
      </w:r>
      <w:r>
        <w:rPr>
          <w:rStyle w:val="34"/>
          <w:rFonts w:hint="eastAsia" w:ascii="宋体" w:hAnsi="宋体" w:eastAsia="宋体" w:cs="宋体"/>
          <w:b/>
          <w:bCs/>
          <w:color w:val="auto"/>
          <w:szCs w:val="24"/>
          <w:highlight w:val="none"/>
          <w:shd w:val="clear" w:color="auto" w:fill="FFFFFF"/>
          <w:lang w:val="en-US" w:eastAsia="zh-CN"/>
        </w:rPr>
        <w:t>人员，其中：1名</w:t>
      </w:r>
      <w:r>
        <w:rPr>
          <w:rStyle w:val="34"/>
          <w:rFonts w:hint="eastAsia" w:ascii="宋体" w:hAnsi="宋体" w:eastAsia="宋体" w:cs="宋体"/>
          <w:b/>
          <w:bCs/>
          <w:color w:val="auto"/>
          <w:szCs w:val="24"/>
          <w:highlight w:val="none"/>
          <w:shd w:val="clear" w:color="auto" w:fill="FFFFFF"/>
        </w:rPr>
        <w:t>项目负责人应具备</w:t>
      </w:r>
      <w:r>
        <w:rPr>
          <w:rStyle w:val="34"/>
          <w:rFonts w:hint="eastAsia" w:ascii="宋体" w:hAnsi="宋体" w:eastAsia="宋体" w:cs="宋体"/>
          <w:b/>
          <w:bCs/>
          <w:color w:val="auto"/>
          <w:szCs w:val="24"/>
          <w:highlight w:val="none"/>
          <w:shd w:val="clear" w:color="auto" w:fill="FFFFFF"/>
          <w:lang w:val="en-US" w:eastAsia="zh-CN"/>
        </w:rPr>
        <w:t>注册在本单位的</w:t>
      </w:r>
      <w:r>
        <w:rPr>
          <w:rStyle w:val="34"/>
          <w:rFonts w:hint="eastAsia" w:cs="宋体"/>
          <w:b/>
          <w:bCs/>
          <w:color w:val="auto"/>
          <w:szCs w:val="24"/>
          <w:highlight w:val="none"/>
          <w:shd w:val="clear" w:color="auto" w:fill="FFFFFF"/>
          <w:lang w:val="en-US" w:eastAsia="zh-CN"/>
        </w:rPr>
        <w:t>会计师证书</w:t>
      </w:r>
      <w:r>
        <w:rPr>
          <w:rStyle w:val="34"/>
          <w:rFonts w:hint="eastAsia" w:cs="宋体"/>
          <w:b/>
          <w:bCs/>
          <w:color w:val="auto"/>
          <w:szCs w:val="24"/>
          <w:highlight w:val="none"/>
          <w:shd w:val="clear" w:color="auto" w:fill="FFFFFF"/>
          <w:lang w:eastAsia="zh-CN"/>
        </w:rPr>
        <w:t>，</w:t>
      </w:r>
      <w:r>
        <w:rPr>
          <w:rStyle w:val="34"/>
          <w:rFonts w:hint="eastAsia" w:cs="宋体"/>
          <w:b/>
          <w:bCs/>
          <w:color w:val="auto"/>
          <w:szCs w:val="24"/>
          <w:highlight w:val="none"/>
          <w:shd w:val="clear" w:color="auto" w:fill="FFFFFF"/>
          <w:lang w:val="en-US" w:eastAsia="zh-CN"/>
        </w:rPr>
        <w:t>且类似审计业绩不少于1项（需提供中标通知书或合同）</w:t>
      </w:r>
      <w:r>
        <w:rPr>
          <w:rStyle w:val="34"/>
          <w:rFonts w:hint="eastAsia" w:ascii="宋体" w:hAnsi="宋体" w:eastAsia="宋体" w:cs="宋体"/>
          <w:b/>
          <w:bCs/>
          <w:color w:val="auto"/>
          <w:szCs w:val="24"/>
          <w:highlight w:val="none"/>
          <w:shd w:val="clear" w:color="auto" w:fill="FFFFFF"/>
          <w:lang w:eastAsia="zh-CN"/>
        </w:rPr>
        <w:t>；</w:t>
      </w:r>
      <w:r>
        <w:rPr>
          <w:rStyle w:val="34"/>
          <w:rFonts w:hint="eastAsia" w:cs="宋体"/>
          <w:b/>
          <w:bCs/>
          <w:color w:val="auto"/>
          <w:szCs w:val="24"/>
          <w:highlight w:val="none"/>
          <w:shd w:val="clear" w:color="auto" w:fill="FFFFFF"/>
          <w:lang w:val="en-US" w:eastAsia="zh-CN"/>
        </w:rPr>
        <w:t>固定注册会计师人员不低于4人，其他参审人员不低于6人（以上人员均须提供在本单位注册的会计师证复印件并提供近半年的社保缴纳证明）</w:t>
      </w:r>
      <w:r>
        <w:rPr>
          <w:rStyle w:val="34"/>
          <w:rFonts w:hint="eastAsia" w:ascii="宋体" w:hAnsi="宋体" w:eastAsia="宋体" w:cs="宋体"/>
          <w:b/>
          <w:bCs/>
          <w:color w:val="auto"/>
          <w:szCs w:val="24"/>
          <w:highlight w:val="none"/>
          <w:shd w:val="clear" w:color="auto" w:fill="FFFFFF"/>
          <w:lang w:eastAsia="zh-CN"/>
        </w:rPr>
        <w:t>；</w:t>
      </w:r>
    </w:p>
    <w:p>
      <w:pPr>
        <w:pStyle w:val="14"/>
        <w:spacing w:before="0" w:beforeAutospacing="0" w:after="0" w:afterAutospacing="0" w:line="440" w:lineRule="exact"/>
        <w:ind w:firstLine="720"/>
        <w:rPr>
          <w:rStyle w:val="34"/>
          <w:rFonts w:hint="eastAsia" w:ascii="宋体" w:hAnsi="宋体" w:eastAsia="宋体" w:cs="宋体"/>
          <w:b/>
          <w:bCs/>
          <w:color w:val="auto"/>
          <w:szCs w:val="24"/>
          <w:highlight w:val="none"/>
          <w:shd w:val="clear" w:color="auto" w:fill="FFFFFF"/>
          <w:lang w:eastAsia="zh-CN"/>
        </w:rPr>
      </w:pPr>
      <w:r>
        <w:rPr>
          <w:rStyle w:val="34"/>
          <w:rFonts w:hint="eastAsia" w:cs="宋体"/>
          <w:b/>
          <w:bCs/>
          <w:color w:val="auto"/>
          <w:szCs w:val="24"/>
          <w:highlight w:val="none"/>
          <w:shd w:val="clear" w:color="auto" w:fill="FFFFFF"/>
          <w:lang w:val="en-US" w:eastAsia="zh-CN"/>
        </w:rPr>
        <w:t>第</w:t>
      </w:r>
      <w:r>
        <w:rPr>
          <w:rStyle w:val="34"/>
          <w:rFonts w:hint="eastAsia" w:ascii="宋体" w:hAnsi="宋体" w:eastAsia="宋体" w:cs="宋体"/>
          <w:b/>
          <w:bCs/>
          <w:color w:val="auto"/>
          <w:szCs w:val="24"/>
          <w:highlight w:val="none"/>
          <w:shd w:val="clear" w:color="auto" w:fill="FFFFFF"/>
          <w:lang w:val="en-US" w:eastAsia="zh-CN"/>
        </w:rPr>
        <w:t>三标段最少配备</w:t>
      </w:r>
      <w:r>
        <w:rPr>
          <w:rStyle w:val="34"/>
          <w:rFonts w:hint="eastAsia" w:cs="宋体"/>
          <w:b/>
          <w:bCs/>
          <w:color w:val="auto"/>
          <w:szCs w:val="24"/>
          <w:highlight w:val="none"/>
          <w:shd w:val="clear" w:color="auto" w:fill="FFFFFF"/>
          <w:lang w:val="en-US" w:eastAsia="zh-CN"/>
        </w:rPr>
        <w:t>8</w:t>
      </w:r>
      <w:r>
        <w:rPr>
          <w:rStyle w:val="34"/>
          <w:rFonts w:hint="eastAsia" w:ascii="宋体" w:hAnsi="宋体" w:eastAsia="宋体" w:cs="宋体"/>
          <w:b/>
          <w:bCs/>
          <w:color w:val="auto"/>
          <w:szCs w:val="24"/>
          <w:highlight w:val="none"/>
          <w:shd w:val="clear" w:color="auto" w:fill="FFFFFF"/>
          <w:lang w:val="en-US" w:eastAsia="zh-CN"/>
        </w:rPr>
        <w:t>名</w:t>
      </w:r>
      <w:r>
        <w:rPr>
          <w:rStyle w:val="34"/>
          <w:rFonts w:hint="eastAsia" w:cs="宋体"/>
          <w:b/>
          <w:bCs/>
          <w:color w:val="auto"/>
          <w:szCs w:val="24"/>
          <w:highlight w:val="none"/>
          <w:shd w:val="clear" w:color="auto" w:fill="FFFFFF"/>
          <w:lang w:val="en-US" w:eastAsia="zh-CN"/>
        </w:rPr>
        <w:t>参审固定</w:t>
      </w:r>
      <w:r>
        <w:rPr>
          <w:rStyle w:val="34"/>
          <w:rFonts w:hint="eastAsia" w:ascii="宋体" w:hAnsi="宋体" w:eastAsia="宋体" w:cs="宋体"/>
          <w:b/>
          <w:bCs/>
          <w:color w:val="auto"/>
          <w:szCs w:val="24"/>
          <w:highlight w:val="none"/>
          <w:shd w:val="clear" w:color="auto" w:fill="FFFFFF"/>
          <w:lang w:val="en-US" w:eastAsia="zh-CN"/>
        </w:rPr>
        <w:t>人员，其中：1名</w:t>
      </w:r>
      <w:r>
        <w:rPr>
          <w:rStyle w:val="34"/>
          <w:rFonts w:hint="eastAsia" w:ascii="宋体" w:hAnsi="宋体" w:eastAsia="宋体" w:cs="宋体"/>
          <w:b/>
          <w:bCs/>
          <w:color w:val="auto"/>
          <w:szCs w:val="24"/>
          <w:highlight w:val="none"/>
          <w:shd w:val="clear" w:color="auto" w:fill="FFFFFF"/>
        </w:rPr>
        <w:t>项目负责人应具备</w:t>
      </w:r>
      <w:r>
        <w:rPr>
          <w:rStyle w:val="34"/>
          <w:rFonts w:hint="eastAsia" w:ascii="宋体" w:hAnsi="宋体" w:eastAsia="宋体" w:cs="宋体"/>
          <w:b/>
          <w:bCs/>
          <w:color w:val="auto"/>
          <w:szCs w:val="24"/>
          <w:highlight w:val="none"/>
          <w:shd w:val="clear" w:color="auto" w:fill="FFFFFF"/>
          <w:lang w:val="en-US" w:eastAsia="zh-CN"/>
        </w:rPr>
        <w:t>注册在本单位的</w:t>
      </w:r>
      <w:r>
        <w:rPr>
          <w:rStyle w:val="34"/>
          <w:rFonts w:hint="eastAsia" w:cs="宋体"/>
          <w:b/>
          <w:bCs/>
          <w:color w:val="auto"/>
          <w:szCs w:val="24"/>
          <w:highlight w:val="none"/>
          <w:shd w:val="clear" w:color="auto" w:fill="FFFFFF"/>
          <w:lang w:val="en-US" w:eastAsia="zh-CN"/>
        </w:rPr>
        <w:t>会计师证书</w:t>
      </w:r>
      <w:r>
        <w:rPr>
          <w:rStyle w:val="34"/>
          <w:rFonts w:hint="eastAsia" w:cs="宋体"/>
          <w:b/>
          <w:bCs/>
          <w:color w:val="auto"/>
          <w:szCs w:val="24"/>
          <w:highlight w:val="none"/>
          <w:shd w:val="clear" w:color="auto" w:fill="FFFFFF"/>
          <w:lang w:eastAsia="zh-CN"/>
        </w:rPr>
        <w:t>，</w:t>
      </w:r>
      <w:r>
        <w:rPr>
          <w:rStyle w:val="34"/>
          <w:rFonts w:hint="eastAsia" w:cs="宋体"/>
          <w:b/>
          <w:bCs/>
          <w:color w:val="auto"/>
          <w:szCs w:val="24"/>
          <w:highlight w:val="none"/>
          <w:shd w:val="clear" w:color="auto" w:fill="FFFFFF"/>
          <w:lang w:val="en-US" w:eastAsia="zh-CN"/>
        </w:rPr>
        <w:t>且类似审计业绩不少于1项（需提供中标通知书或合同）</w:t>
      </w:r>
      <w:r>
        <w:rPr>
          <w:rStyle w:val="34"/>
          <w:rFonts w:hint="eastAsia" w:ascii="宋体" w:hAnsi="宋体" w:eastAsia="宋体" w:cs="宋体"/>
          <w:b/>
          <w:bCs/>
          <w:color w:val="auto"/>
          <w:szCs w:val="24"/>
          <w:highlight w:val="none"/>
          <w:shd w:val="clear" w:color="auto" w:fill="FFFFFF"/>
          <w:lang w:eastAsia="zh-CN"/>
        </w:rPr>
        <w:t>；</w:t>
      </w:r>
      <w:r>
        <w:rPr>
          <w:rStyle w:val="34"/>
          <w:rFonts w:hint="eastAsia" w:cs="宋体"/>
          <w:b/>
          <w:bCs/>
          <w:color w:val="auto"/>
          <w:szCs w:val="24"/>
          <w:highlight w:val="none"/>
          <w:shd w:val="clear" w:color="auto" w:fill="FFFFFF"/>
          <w:lang w:val="en-US" w:eastAsia="zh-CN"/>
        </w:rPr>
        <w:t>固定注册会计师人员不低于3人，其他参审人员不低于5人（以上人员均须提供在本单位注册的会计师证复印件并提供近半年的社保缴纳证明）</w:t>
      </w:r>
      <w:r>
        <w:rPr>
          <w:rStyle w:val="34"/>
          <w:rFonts w:hint="eastAsia" w:ascii="宋体" w:hAnsi="宋体" w:eastAsia="宋体" w:cs="宋体"/>
          <w:b/>
          <w:bCs/>
          <w:color w:val="auto"/>
          <w:szCs w:val="24"/>
          <w:highlight w:val="none"/>
          <w:shd w:val="clear" w:color="auto" w:fill="FFFFFF"/>
          <w:lang w:eastAsia="zh-CN"/>
        </w:rPr>
        <w:t>；</w:t>
      </w:r>
    </w:p>
    <w:p>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项目的总负责人负责与采购人进行沟通、洽商以及服务反馈；服务期间，项目总负责人不少于8次到采购人项目现场对派遣人员进行监督指导和检查，复核审计实施方案，取证单和底稿，并对采购人安排的工作进行协调和落实，。</w:t>
      </w:r>
    </w:p>
    <w:p>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成交人应保证派出的现场审计负责人全程现场负责并跟进本项目，现场工作人员能胜任采购人的审计业务，人员固定，并保证其参与审计工作时间和工作连贯性，除因采购人根据工作实际情况作出调整外，原则上不作调整。成交人不能擅自调整派出人员、或派出人员不经采购人同意就擅自离开工作岗位。</w:t>
      </w:r>
    </w:p>
    <w:p>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成交人应选派符合要求的审计人员参加审计工作，服从审计工作安排，严格按照《中华人民共和国审计法》、《中华人民共和国国家审计准则》和省、市审计部门以及采购人的有关规定开展审计工作，高质量按时完成审计任务，承担相应的审计责任。</w:t>
      </w:r>
    </w:p>
    <w:p>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5、成交人应加强对派出人员的管理，督促派出人员严格遵守国家审计有关准则、履行相关义务、保守知悉的秘密、遵循审计职业道德、遵守审计工作纪律和廉政纪律。</w:t>
      </w:r>
    </w:p>
    <w:p>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6、成交人应真实地、准确地、完整地实施资金审计工作，做好各类资料的归集、整理和保管，并在工作任务完成后将成果移交给采购人。</w:t>
      </w:r>
    </w:p>
    <w:p>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成交人违反招标文件、服务合同等有关文书约定，违反职业道德或采购人相关审计工作纪律要求，泄露工作过程中知悉的秘密和有关情况、审计工作质量不符合有关准则或规定等，采购人有权取消其服务资格，将相关情况向有关主管部门或行业协会予以报送并依法依规追究中标人的责任。</w:t>
      </w:r>
    </w:p>
    <w:p>
      <w:pPr>
        <w:pageBreakBefore w:val="0"/>
        <w:kinsoku/>
        <w:bidi w:val="0"/>
        <w:adjustRightInd w:val="0"/>
        <w:snapToGrid w:val="0"/>
        <w:spacing w:line="360" w:lineRule="auto"/>
        <w:ind w:firstLine="480" w:firstLineChars="200"/>
        <w:jc w:val="left"/>
        <w:rPr>
          <w:rFonts w:hint="eastAsia" w:ascii="宋体" w:hAnsi="宋体" w:eastAsia="宋体" w:cs="宋体"/>
          <w:b/>
          <w:bCs/>
          <w:kern w:val="2"/>
          <w:sz w:val="24"/>
          <w:szCs w:val="24"/>
          <w:highlight w:val="none"/>
          <w:lang w:val="en-US" w:eastAsia="zh-CN" w:bidi="ar-SA"/>
        </w:rPr>
      </w:pPr>
      <w:r>
        <w:rPr>
          <w:rFonts w:hint="eastAsia" w:ascii="宋体" w:hAnsi="宋体" w:eastAsia="宋体" w:cs="宋体"/>
          <w:b w:val="0"/>
          <w:bCs w:val="0"/>
          <w:kern w:val="2"/>
          <w:sz w:val="24"/>
          <w:szCs w:val="24"/>
          <w:lang w:val="en-US" w:eastAsia="zh-CN" w:bidi="ar-SA"/>
        </w:rPr>
        <w:t>8、★</w:t>
      </w:r>
      <w:r>
        <w:rPr>
          <w:rFonts w:hint="eastAsia" w:ascii="宋体" w:hAnsi="宋体" w:eastAsia="宋体" w:cs="宋体"/>
          <w:b/>
          <w:bCs/>
          <w:kern w:val="2"/>
          <w:sz w:val="24"/>
          <w:szCs w:val="24"/>
          <w:highlight w:val="none"/>
          <w:lang w:val="en-US" w:eastAsia="zh-CN" w:bidi="ar-SA"/>
        </w:rPr>
        <w:t>成交人须亲自完成工作，不得进行转包或分包，投标人须在投标文件作出承诺。</w:t>
      </w:r>
    </w:p>
    <w:p>
      <w:pPr>
        <w:pageBreakBefore w:val="0"/>
        <w:kinsoku/>
        <w:bidi w:val="0"/>
        <w:adjustRightInd w:val="0"/>
        <w:snapToGrid w:val="0"/>
        <w:spacing w:line="360" w:lineRule="auto"/>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9、投标人应有良好的服务机构以及开展本次业务所需的技术人员。</w:t>
      </w:r>
    </w:p>
    <w:p>
      <w:pPr>
        <w:pStyle w:val="2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九、审计主要依据和方法</w:t>
      </w:r>
      <w:r>
        <w:rPr>
          <w:rFonts w:hint="eastAsia" w:ascii="宋体" w:hAnsi="宋体" w:eastAsia="宋体" w:cs="宋体"/>
          <w:b w:val="0"/>
          <w:bCs w:val="0"/>
          <w:sz w:val="24"/>
          <w:szCs w:val="24"/>
          <w:lang w:val="en-US" w:eastAsia="zh-CN"/>
        </w:rPr>
        <w:t xml:space="preserve"> </w:t>
      </w:r>
    </w:p>
    <w:p>
      <w:pPr>
        <w:pStyle w:val="27"/>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（一）国家有关政策、法规 </w:t>
      </w:r>
    </w:p>
    <w:p>
      <w:pPr>
        <w:pStyle w:val="27"/>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1.《行政单位财务规则》 </w:t>
      </w:r>
    </w:p>
    <w:p>
      <w:pPr>
        <w:pStyle w:val="27"/>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2.《事业单位财务规则》 </w:t>
      </w:r>
    </w:p>
    <w:p>
      <w:pPr>
        <w:pStyle w:val="27"/>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3.《行政单位会计制度》 </w:t>
      </w:r>
    </w:p>
    <w:p>
      <w:pPr>
        <w:pStyle w:val="27"/>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4.《事业单位会计制度》 </w:t>
      </w:r>
    </w:p>
    <w:p>
      <w:pPr>
        <w:pStyle w:val="27"/>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5.《政府会计制度》 </w:t>
      </w:r>
    </w:p>
    <w:p>
      <w:pPr>
        <w:pStyle w:val="27"/>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6.行业事业单位会计制度 </w:t>
      </w:r>
    </w:p>
    <w:p>
      <w:pPr>
        <w:pStyle w:val="27"/>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7.《行政单位国有资产管理暂行办法》 </w:t>
      </w:r>
    </w:p>
    <w:p>
      <w:pPr>
        <w:pStyle w:val="27"/>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8.《事业单位国有资产管理暂行办法》 </w:t>
      </w:r>
    </w:p>
    <w:p>
      <w:pPr>
        <w:pStyle w:val="27"/>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9.《行政事业单位资产清查核实管理办法》 </w:t>
      </w:r>
    </w:p>
    <w:p>
      <w:pPr>
        <w:pStyle w:val="27"/>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10.《中国注册会计师审计准则》</w:t>
      </w:r>
    </w:p>
    <w:p>
      <w:pPr>
        <w:pageBreakBefore w:val="0"/>
        <w:numPr>
          <w:ilvl w:val="0"/>
          <w:numId w:val="0"/>
        </w:numPr>
        <w:kinsoku/>
        <w:autoSpaceDE w:val="0"/>
        <w:autoSpaceDN w:val="0"/>
        <w:bidi w:val="0"/>
        <w:adjustRightInd w:val="0"/>
        <w:spacing w:line="360" w:lineRule="auto"/>
        <w:ind w:firstLine="482" w:firstLineChars="20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十、报价要求</w:t>
      </w:r>
    </w:p>
    <w:p>
      <w:pPr>
        <w:pageBreakBefore w:val="0"/>
        <w:numPr>
          <w:ilvl w:val="0"/>
          <w:numId w:val="0"/>
        </w:numPr>
        <w:kinsoku/>
        <w:autoSpaceDE w:val="0"/>
        <w:autoSpaceDN w:val="0"/>
        <w:bidi w:val="0"/>
        <w:adjustRightInd w:val="0"/>
        <w:spacing w:line="360" w:lineRule="auto"/>
        <w:jc w:val="left"/>
        <w:rPr>
          <w:rFonts w:hint="eastAsia" w:ascii="宋体" w:hAnsi="宋体" w:eastAsia="宋体" w:cs="宋体"/>
          <w:b/>
          <w:bCs/>
          <w:kern w:val="2"/>
          <w:sz w:val="24"/>
          <w:szCs w:val="24"/>
          <w:highlight w:val="none"/>
          <w:lang w:val="en-US" w:eastAsia="zh-CN" w:bidi="ar-SA"/>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kern w:val="2"/>
          <w:sz w:val="24"/>
          <w:szCs w:val="24"/>
          <w:lang w:val="en-US" w:eastAsia="zh-CN" w:bidi="ar-SA"/>
        </w:rPr>
        <w:t>（1）</w:t>
      </w:r>
      <w:r>
        <w:rPr>
          <w:rFonts w:hint="eastAsia" w:ascii="宋体" w:hAnsi="宋体" w:eastAsia="宋体" w:cs="宋体"/>
          <w:b/>
          <w:bCs/>
          <w:kern w:val="2"/>
          <w:sz w:val="24"/>
          <w:szCs w:val="24"/>
          <w:highlight w:val="none"/>
          <w:lang w:val="en-US" w:eastAsia="zh-CN" w:bidi="ar-SA"/>
        </w:rPr>
        <w:t>投标人的投标报价不得超出所投包组的最高限价，如超出，视为无效投标处理。</w:t>
      </w:r>
    </w:p>
    <w:p>
      <w:pPr>
        <w:pageBreakBefore w:val="0"/>
        <w:numPr>
          <w:ilvl w:val="0"/>
          <w:numId w:val="6"/>
        </w:numPr>
        <w:kinsoku/>
        <w:autoSpaceDE w:val="0"/>
        <w:autoSpaceDN w:val="0"/>
        <w:bidi w:val="0"/>
        <w:adjustRightInd w:val="0"/>
        <w:spacing w:line="360" w:lineRule="auto"/>
        <w:ind w:left="0" w:lef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投标报价为完成招标文件要求工作的含税全包价，不得在中标后增加其他费用。</w:t>
      </w:r>
    </w:p>
    <w:p>
      <w:pPr>
        <w:pStyle w:val="2"/>
        <w:numPr>
          <w:ilvl w:val="0"/>
          <w:numId w:val="0"/>
        </w:numPr>
        <w:ind w:leftChars="200"/>
        <w:rPr>
          <w:rFonts w:hint="eastAsia"/>
        </w:rPr>
      </w:pPr>
    </w:p>
    <w:p>
      <w:pPr>
        <w:pStyle w:val="2"/>
        <w:numPr>
          <w:ilvl w:val="0"/>
          <w:numId w:val="0"/>
        </w:numPr>
        <w:ind w:leftChars="200"/>
        <w:rPr>
          <w:rFonts w:hint="eastAsia"/>
        </w:rPr>
      </w:pPr>
    </w:p>
    <w:tbl>
      <w:tblPr>
        <w:tblStyle w:val="32"/>
        <w:tblpPr w:leftFromText="180" w:rightFromText="180" w:vertAnchor="text" w:horzAnchor="page" w:tblpX="1420" w:tblpY="450"/>
        <w:tblOverlap w:val="never"/>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498"/>
        <w:gridCol w:w="3555"/>
        <w:gridCol w:w="63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420" w:type="dxa"/>
            <w:vAlign w:val="center"/>
          </w:tcPr>
          <w:p>
            <w:pPr>
              <w:pStyle w:val="14"/>
              <w:spacing w:before="0" w:beforeAutospacing="0" w:after="0" w:afterAutospacing="0" w:line="340" w:lineRule="exact"/>
              <w:jc w:val="center"/>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项目标段编号</w:t>
            </w:r>
          </w:p>
        </w:tc>
        <w:tc>
          <w:tcPr>
            <w:tcW w:w="2498" w:type="dxa"/>
            <w:vAlign w:val="center"/>
          </w:tcPr>
          <w:p>
            <w:pPr>
              <w:pStyle w:val="14"/>
              <w:spacing w:before="0" w:beforeAutospacing="0" w:after="0" w:afterAutospacing="0" w:line="340" w:lineRule="exact"/>
              <w:jc w:val="center"/>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项目名称</w:t>
            </w:r>
          </w:p>
        </w:tc>
        <w:tc>
          <w:tcPr>
            <w:tcW w:w="3555" w:type="dxa"/>
            <w:vAlign w:val="center"/>
          </w:tcPr>
          <w:p>
            <w:pPr>
              <w:pStyle w:val="14"/>
              <w:spacing w:before="0" w:beforeAutospacing="0" w:after="0" w:afterAutospacing="0" w:line="340" w:lineRule="exact"/>
              <w:jc w:val="center"/>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标段内容</w:t>
            </w:r>
          </w:p>
        </w:tc>
        <w:tc>
          <w:tcPr>
            <w:tcW w:w="632" w:type="dxa"/>
            <w:vAlign w:val="center"/>
          </w:tcPr>
          <w:p>
            <w:pPr>
              <w:pStyle w:val="14"/>
              <w:spacing w:before="0" w:beforeAutospacing="0" w:after="0" w:afterAutospacing="0" w:line="340" w:lineRule="exact"/>
              <w:jc w:val="center"/>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预算金额</w:t>
            </w:r>
          </w:p>
        </w:tc>
        <w:tc>
          <w:tcPr>
            <w:tcW w:w="973" w:type="dxa"/>
            <w:vAlign w:val="center"/>
          </w:tcPr>
          <w:p>
            <w:pPr>
              <w:pStyle w:val="14"/>
              <w:spacing w:before="0" w:beforeAutospacing="0" w:after="0" w:afterAutospacing="0" w:line="340" w:lineRule="exact"/>
              <w:jc w:val="center"/>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1420" w:type="dxa"/>
            <w:vAlign w:val="center"/>
          </w:tcPr>
          <w:p>
            <w:pPr>
              <w:pStyle w:val="14"/>
              <w:spacing w:before="0" w:beforeAutospacing="0" w:after="0" w:afterAutospacing="0" w:line="340" w:lineRule="exact"/>
              <w:jc w:val="center"/>
              <w:rPr>
                <w:rFonts w:hint="eastAsia" w:ascii="宋体" w:hAnsi="宋体" w:eastAsia="宋体" w:cs="宋体"/>
                <w:color w:val="auto"/>
                <w:szCs w:val="24"/>
                <w:shd w:val="clear" w:color="auto" w:fill="FFFFFF"/>
                <w:lang w:eastAsia="zh-CN"/>
              </w:rPr>
            </w:pPr>
            <w:r>
              <w:rPr>
                <w:rFonts w:hint="eastAsia" w:ascii="宋体" w:hAnsi="宋体" w:eastAsia="宋体" w:cs="宋体"/>
                <w:color w:val="auto"/>
                <w:szCs w:val="24"/>
                <w:shd w:val="clear" w:color="auto" w:fill="FFFFFF"/>
              </w:rPr>
              <w:t>CSFLZB-2023-230-FW-0</w:t>
            </w:r>
            <w:r>
              <w:rPr>
                <w:rFonts w:hint="eastAsia" w:cs="宋体"/>
                <w:color w:val="auto"/>
                <w:szCs w:val="24"/>
                <w:shd w:val="clear" w:color="auto" w:fill="FFFFFF"/>
                <w:lang w:val="en-US" w:eastAsia="zh-CN"/>
              </w:rPr>
              <w:t>1</w:t>
            </w:r>
          </w:p>
        </w:tc>
        <w:tc>
          <w:tcPr>
            <w:tcW w:w="2498" w:type="dxa"/>
            <w:vAlign w:val="center"/>
          </w:tcPr>
          <w:p>
            <w:pPr>
              <w:pStyle w:val="14"/>
              <w:spacing w:before="0" w:beforeAutospacing="0" w:after="0" w:afterAutospacing="0" w:line="340" w:lineRule="exact"/>
              <w:jc w:val="center"/>
              <w:rPr>
                <w:rFonts w:hint="default" w:ascii="宋体" w:hAnsi="宋体" w:eastAsia="宋体" w:cs="宋体"/>
                <w:color w:val="auto"/>
                <w:szCs w:val="24"/>
                <w:lang w:val="en-US"/>
              </w:rPr>
            </w:pPr>
            <w:r>
              <w:rPr>
                <w:rFonts w:hint="eastAsia" w:cs="宋体"/>
                <w:color w:val="auto"/>
                <w:szCs w:val="24"/>
                <w:lang w:eastAsia="zh-CN"/>
              </w:rPr>
              <w:t>昌吉州国有企业2023年度年终财务决算审计项目（</w:t>
            </w:r>
            <w:r>
              <w:rPr>
                <w:rFonts w:hint="eastAsia" w:cs="宋体"/>
                <w:color w:val="auto"/>
                <w:szCs w:val="24"/>
                <w:lang w:val="en-US" w:eastAsia="zh-CN"/>
              </w:rPr>
              <w:t>第一标段）</w:t>
            </w:r>
          </w:p>
        </w:tc>
        <w:tc>
          <w:tcPr>
            <w:tcW w:w="3555" w:type="dxa"/>
            <w:vAlign w:val="top"/>
          </w:tcPr>
          <w:p>
            <w:pPr>
              <w:pStyle w:val="14"/>
              <w:spacing w:before="0" w:beforeAutospacing="0" w:after="0" w:afterAutospacing="0" w:line="340" w:lineRule="exact"/>
              <w:jc w:val="center"/>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对监管的国有企业昌吉州国有资产投资经营集团有限公司全资及控股公司共计74家（含二级及以下子公司</w:t>
            </w:r>
            <w:r>
              <w:rPr>
                <w:rFonts w:hint="eastAsia" w:cs="宋体"/>
                <w:color w:val="auto"/>
                <w:szCs w:val="24"/>
                <w:lang w:val="en-US" w:eastAsia="zh-CN"/>
              </w:rPr>
              <w:t>、惠源担保公司</w:t>
            </w:r>
            <w:r>
              <w:rPr>
                <w:rFonts w:hint="eastAsia" w:ascii="宋体" w:hAnsi="宋体" w:eastAsia="宋体" w:cs="宋体"/>
                <w:color w:val="auto"/>
                <w:szCs w:val="24"/>
                <w:lang w:val="en-US" w:eastAsia="zh-CN"/>
              </w:rPr>
              <w:t>），合并资产总额为266亿元，进行2023年度财务决算审计。 </w:t>
            </w:r>
          </w:p>
        </w:tc>
        <w:tc>
          <w:tcPr>
            <w:tcW w:w="632" w:type="dxa"/>
            <w:vAlign w:val="center"/>
          </w:tcPr>
          <w:p>
            <w:pPr>
              <w:pStyle w:val="14"/>
              <w:spacing w:before="0" w:beforeAutospacing="0" w:after="0" w:afterAutospacing="0" w:line="340" w:lineRule="exact"/>
              <w:jc w:val="center"/>
              <w:rPr>
                <w:rFonts w:hint="default" w:ascii="宋体" w:hAnsi="宋体" w:eastAsia="宋体" w:cs="宋体"/>
                <w:color w:val="auto"/>
                <w:szCs w:val="24"/>
                <w:shd w:val="clear" w:color="auto" w:fill="FFFFFF"/>
                <w:lang w:val="en-US" w:eastAsia="zh-CN"/>
              </w:rPr>
            </w:pPr>
            <w:r>
              <w:rPr>
                <w:rFonts w:hint="eastAsia" w:cs="宋体"/>
                <w:color w:val="auto"/>
                <w:szCs w:val="24"/>
                <w:shd w:val="clear" w:color="auto" w:fill="FFFFFF"/>
                <w:lang w:val="en-US" w:eastAsia="zh-CN"/>
              </w:rPr>
              <w:t>55万元</w:t>
            </w:r>
          </w:p>
        </w:tc>
        <w:tc>
          <w:tcPr>
            <w:tcW w:w="973" w:type="dxa"/>
            <w:vMerge w:val="restart"/>
            <w:vAlign w:val="center"/>
          </w:tcPr>
          <w:p>
            <w:pPr>
              <w:pStyle w:val="14"/>
              <w:spacing w:before="0" w:beforeAutospacing="0" w:after="0" w:afterAutospacing="0" w:line="340" w:lineRule="exact"/>
              <w:jc w:val="center"/>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lang w:val="en-US" w:eastAsia="zh-CN"/>
              </w:rPr>
              <w:t>此项目共三个标段，投标人可兼投，但不能兼中，最多只能中取其中1个标段。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1420" w:type="dxa"/>
            <w:vAlign w:val="center"/>
          </w:tcPr>
          <w:p>
            <w:pPr>
              <w:pStyle w:val="14"/>
              <w:spacing w:before="0" w:beforeAutospacing="0" w:after="0" w:afterAutospacing="0" w:line="340" w:lineRule="exact"/>
              <w:jc w:val="center"/>
              <w:rPr>
                <w:rFonts w:hint="eastAsia" w:ascii="宋体" w:hAnsi="宋体" w:eastAsia="宋体" w:cs="宋体"/>
                <w:color w:val="auto"/>
                <w:szCs w:val="24"/>
                <w:shd w:val="clear" w:color="auto" w:fill="FFFFFF"/>
                <w:lang w:eastAsia="zh-CN"/>
              </w:rPr>
            </w:pPr>
            <w:r>
              <w:rPr>
                <w:rFonts w:hint="eastAsia" w:ascii="宋体" w:hAnsi="宋体" w:eastAsia="宋体" w:cs="宋体"/>
                <w:color w:val="auto"/>
                <w:szCs w:val="24"/>
                <w:shd w:val="clear" w:color="auto" w:fill="FFFFFF"/>
              </w:rPr>
              <w:t>CSFLZB-2023-230-FW-0</w:t>
            </w:r>
            <w:r>
              <w:rPr>
                <w:rFonts w:hint="eastAsia" w:cs="宋体"/>
                <w:color w:val="auto"/>
                <w:szCs w:val="24"/>
                <w:shd w:val="clear" w:color="auto" w:fill="FFFFFF"/>
                <w:lang w:val="en-US" w:eastAsia="zh-CN"/>
              </w:rPr>
              <w:t>2</w:t>
            </w:r>
          </w:p>
        </w:tc>
        <w:tc>
          <w:tcPr>
            <w:tcW w:w="2498" w:type="dxa"/>
            <w:vAlign w:val="center"/>
          </w:tcPr>
          <w:p>
            <w:pPr>
              <w:pStyle w:val="14"/>
              <w:spacing w:before="0" w:beforeAutospacing="0" w:after="0" w:afterAutospacing="0" w:line="340" w:lineRule="exact"/>
              <w:jc w:val="center"/>
              <w:rPr>
                <w:rFonts w:hint="eastAsia" w:ascii="宋体" w:hAnsi="宋体" w:eastAsia="宋体" w:cs="宋体"/>
                <w:color w:val="auto"/>
                <w:szCs w:val="24"/>
              </w:rPr>
            </w:pPr>
            <w:r>
              <w:rPr>
                <w:rFonts w:hint="eastAsia" w:cs="宋体"/>
                <w:color w:val="auto"/>
                <w:szCs w:val="24"/>
                <w:lang w:eastAsia="zh-CN"/>
              </w:rPr>
              <w:t>昌吉州国有企业2023年度年终财务决算审计项目（</w:t>
            </w:r>
            <w:r>
              <w:rPr>
                <w:rFonts w:hint="eastAsia" w:cs="宋体"/>
                <w:color w:val="auto"/>
                <w:szCs w:val="24"/>
                <w:lang w:val="en-US" w:eastAsia="zh-CN"/>
              </w:rPr>
              <w:t>第二标段）</w:t>
            </w:r>
          </w:p>
        </w:tc>
        <w:tc>
          <w:tcPr>
            <w:tcW w:w="3555" w:type="dxa"/>
            <w:vAlign w:val="top"/>
          </w:tcPr>
          <w:p>
            <w:pPr>
              <w:pStyle w:val="14"/>
              <w:spacing w:before="0" w:beforeAutospacing="0" w:after="0" w:afterAutospacing="0" w:line="340" w:lineRule="exact"/>
              <w:jc w:val="center"/>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对监管的国有企业昌吉回族自治州粮油购销（集团）有限责任公司共计29家（含二级及以下子公司），合并资产总额为47.17亿元，进行2023年度财务决算审计。 </w:t>
            </w:r>
          </w:p>
        </w:tc>
        <w:tc>
          <w:tcPr>
            <w:tcW w:w="632" w:type="dxa"/>
            <w:vAlign w:val="center"/>
          </w:tcPr>
          <w:p>
            <w:pPr>
              <w:pStyle w:val="14"/>
              <w:spacing w:before="0" w:beforeAutospacing="0" w:after="0" w:afterAutospacing="0" w:line="340" w:lineRule="exact"/>
              <w:jc w:val="center"/>
              <w:rPr>
                <w:rFonts w:hint="default" w:ascii="宋体" w:hAnsi="宋体" w:eastAsia="宋体" w:cs="宋体"/>
                <w:color w:val="auto"/>
                <w:szCs w:val="24"/>
                <w:shd w:val="clear" w:color="auto" w:fill="FFFFFF"/>
                <w:lang w:val="en-US" w:eastAsia="zh-CN"/>
              </w:rPr>
            </w:pPr>
            <w:r>
              <w:rPr>
                <w:rFonts w:hint="eastAsia" w:cs="宋体"/>
                <w:color w:val="auto"/>
                <w:szCs w:val="24"/>
                <w:shd w:val="clear" w:color="auto" w:fill="FFFFFF"/>
                <w:lang w:val="en-US" w:eastAsia="zh-CN"/>
              </w:rPr>
              <w:t>30万元</w:t>
            </w:r>
          </w:p>
        </w:tc>
        <w:tc>
          <w:tcPr>
            <w:tcW w:w="973" w:type="dxa"/>
            <w:vMerge w:val="continue"/>
            <w:vAlign w:val="center"/>
          </w:tcPr>
          <w:p>
            <w:pPr>
              <w:pStyle w:val="14"/>
              <w:spacing w:before="0" w:beforeAutospacing="0" w:after="0" w:afterAutospacing="0" w:line="340" w:lineRule="exact"/>
              <w:jc w:val="center"/>
              <w:rPr>
                <w:rFonts w:hint="eastAsia" w:ascii="宋体" w:hAnsi="宋体" w:eastAsia="宋体" w:cs="宋体"/>
                <w:color w:val="auto"/>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1420" w:type="dxa"/>
            <w:vAlign w:val="center"/>
          </w:tcPr>
          <w:p>
            <w:pPr>
              <w:pStyle w:val="14"/>
              <w:spacing w:before="0" w:beforeAutospacing="0" w:after="0" w:afterAutospacing="0" w:line="340" w:lineRule="exact"/>
              <w:jc w:val="center"/>
              <w:rPr>
                <w:rFonts w:hint="eastAsia" w:ascii="宋体" w:hAnsi="宋体" w:eastAsia="宋体" w:cs="宋体"/>
                <w:color w:val="auto"/>
                <w:szCs w:val="24"/>
              </w:rPr>
            </w:pPr>
            <w:r>
              <w:rPr>
                <w:rFonts w:hint="eastAsia" w:ascii="宋体" w:hAnsi="宋体" w:eastAsia="宋体" w:cs="宋体"/>
                <w:color w:val="auto"/>
                <w:szCs w:val="24"/>
                <w:shd w:val="clear" w:color="auto" w:fill="FFFFFF"/>
              </w:rPr>
              <w:t>CSFLZB-2023-230-FW-03</w:t>
            </w:r>
          </w:p>
        </w:tc>
        <w:tc>
          <w:tcPr>
            <w:tcW w:w="2498" w:type="dxa"/>
            <w:vAlign w:val="center"/>
          </w:tcPr>
          <w:p>
            <w:pPr>
              <w:pStyle w:val="14"/>
              <w:spacing w:before="0" w:beforeAutospacing="0" w:after="0" w:afterAutospacing="0" w:line="340" w:lineRule="exact"/>
              <w:jc w:val="center"/>
              <w:rPr>
                <w:rFonts w:hint="eastAsia" w:ascii="宋体" w:hAnsi="宋体" w:eastAsia="宋体" w:cs="宋体"/>
                <w:color w:val="auto"/>
                <w:szCs w:val="24"/>
                <w:shd w:val="clear" w:color="auto" w:fill="FFFFFF"/>
              </w:rPr>
            </w:pPr>
            <w:r>
              <w:rPr>
                <w:rFonts w:hint="eastAsia" w:cs="宋体"/>
                <w:color w:val="auto"/>
                <w:szCs w:val="24"/>
                <w:lang w:eastAsia="zh-CN"/>
              </w:rPr>
              <w:t>昌吉州国有企业2023年度年终财务决算审计项目（</w:t>
            </w:r>
            <w:r>
              <w:rPr>
                <w:rFonts w:hint="eastAsia" w:cs="宋体"/>
                <w:color w:val="auto"/>
                <w:szCs w:val="24"/>
                <w:lang w:val="en-US" w:eastAsia="zh-CN"/>
              </w:rPr>
              <w:t>第三标段）</w:t>
            </w:r>
          </w:p>
        </w:tc>
        <w:tc>
          <w:tcPr>
            <w:tcW w:w="3555" w:type="dxa"/>
            <w:vAlign w:val="top"/>
          </w:tcPr>
          <w:p>
            <w:pPr>
              <w:pStyle w:val="14"/>
              <w:spacing w:before="0" w:beforeAutospacing="0" w:after="0" w:afterAutospacing="0" w:line="340" w:lineRule="exact"/>
              <w:jc w:val="center"/>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对监管的国有企业昌吉州文化旅游投资集团有限公司共计22家（含二级及以下子公司）及三家酒店，合并资产总额为24.42亿元，昌吉州园林宾馆有限责任公司共计8家（含二级及以下子公司），合并资产总额为1.6亿元，进行2023年度财务决算审计。</w:t>
            </w:r>
          </w:p>
        </w:tc>
        <w:tc>
          <w:tcPr>
            <w:tcW w:w="632" w:type="dxa"/>
            <w:vAlign w:val="center"/>
          </w:tcPr>
          <w:p>
            <w:pPr>
              <w:pStyle w:val="14"/>
              <w:spacing w:before="0" w:beforeAutospacing="0" w:after="0" w:afterAutospacing="0" w:line="340" w:lineRule="exact"/>
              <w:jc w:val="center"/>
              <w:rPr>
                <w:rFonts w:hint="default" w:ascii="宋体" w:hAnsi="宋体" w:eastAsia="宋体" w:cs="宋体"/>
                <w:color w:val="auto"/>
                <w:szCs w:val="24"/>
                <w:shd w:val="clear" w:color="auto" w:fill="FFFFFF"/>
                <w:lang w:val="en-US" w:eastAsia="zh-CN"/>
              </w:rPr>
            </w:pPr>
            <w:r>
              <w:rPr>
                <w:rFonts w:hint="eastAsia" w:cs="宋体"/>
                <w:color w:val="auto"/>
                <w:szCs w:val="24"/>
                <w:shd w:val="clear" w:color="auto" w:fill="FFFFFF"/>
                <w:lang w:val="en-US" w:eastAsia="zh-CN"/>
              </w:rPr>
              <w:t>15万元</w:t>
            </w:r>
          </w:p>
        </w:tc>
        <w:tc>
          <w:tcPr>
            <w:tcW w:w="973" w:type="dxa"/>
            <w:vMerge w:val="continue"/>
            <w:vAlign w:val="center"/>
          </w:tcPr>
          <w:p>
            <w:pPr>
              <w:pStyle w:val="14"/>
              <w:spacing w:before="0" w:beforeAutospacing="0" w:after="0" w:afterAutospacing="0" w:line="340" w:lineRule="exact"/>
              <w:jc w:val="center"/>
              <w:rPr>
                <w:rFonts w:hint="eastAsia" w:ascii="宋体" w:hAnsi="宋体" w:eastAsia="宋体" w:cs="宋体"/>
                <w:color w:val="auto"/>
                <w:szCs w:val="24"/>
                <w:shd w:val="clear" w:color="auto" w:fill="FFFFFF"/>
              </w:rPr>
            </w:pPr>
          </w:p>
        </w:tc>
      </w:tr>
    </w:tbl>
    <w:p>
      <w:pPr>
        <w:pStyle w:val="2"/>
        <w:numPr>
          <w:ilvl w:val="0"/>
          <w:numId w:val="0"/>
        </w:numPr>
        <w:ind w:leftChars="200"/>
        <w:rPr>
          <w:rFonts w:hint="eastAsia"/>
        </w:rPr>
      </w:pPr>
    </w:p>
    <w:p>
      <w:pPr>
        <w:pStyle w:val="3"/>
        <w:numPr>
          <w:ilvl w:val="0"/>
          <w:numId w:val="0"/>
        </w:numPr>
        <w:spacing w:line="600" w:lineRule="auto"/>
        <w:jc w:val="both"/>
        <w:rPr>
          <w:rFonts w:hint="eastAsia" w:ascii="宋体" w:hAnsi="宋体" w:eastAsia="宋体" w:cs="宋体"/>
          <w:b/>
          <w:bCs w:val="0"/>
          <w:color w:val="auto"/>
          <w:sz w:val="24"/>
          <w:szCs w:val="24"/>
        </w:rPr>
      </w:pPr>
      <w:bookmarkStart w:id="84" w:name="_Toc2064"/>
      <w:bookmarkStart w:id="85" w:name="_Toc5938"/>
      <w:bookmarkStart w:id="86" w:name="_Toc14247"/>
      <w:bookmarkStart w:id="87" w:name="_Toc18735"/>
      <w:bookmarkStart w:id="88" w:name="_Toc26845"/>
    </w:p>
    <w:p>
      <w:pPr>
        <w:rPr>
          <w:rFonts w:hint="eastAsia" w:ascii="宋体" w:hAnsi="宋体" w:eastAsia="宋体" w:cs="宋体"/>
          <w:b/>
          <w:bCs w:val="0"/>
          <w:color w:val="auto"/>
          <w:sz w:val="24"/>
          <w:szCs w:val="24"/>
        </w:rPr>
      </w:pPr>
    </w:p>
    <w:p>
      <w:pPr>
        <w:pStyle w:val="2"/>
        <w:widowControl w:val="0"/>
        <w:numPr>
          <w:ilvl w:val="0"/>
          <w:numId w:val="0"/>
        </w:numPr>
        <w:jc w:val="both"/>
        <w:rPr>
          <w:rFonts w:hint="eastAsia" w:ascii="宋体" w:hAnsi="宋体" w:eastAsia="宋体" w:cs="宋体"/>
          <w:b/>
          <w:bCs w:val="0"/>
          <w:color w:val="auto"/>
          <w:sz w:val="24"/>
          <w:szCs w:val="24"/>
        </w:rPr>
      </w:pPr>
    </w:p>
    <w:p>
      <w:pPr>
        <w:pStyle w:val="2"/>
        <w:widowControl w:val="0"/>
        <w:numPr>
          <w:ilvl w:val="0"/>
          <w:numId w:val="0"/>
        </w:numPr>
        <w:jc w:val="both"/>
        <w:rPr>
          <w:rFonts w:hint="eastAsia" w:ascii="宋体" w:hAnsi="宋体" w:eastAsia="宋体" w:cs="宋体"/>
          <w:b/>
          <w:bCs w:val="0"/>
          <w:color w:val="auto"/>
          <w:sz w:val="24"/>
          <w:szCs w:val="24"/>
        </w:rPr>
      </w:pPr>
    </w:p>
    <w:p>
      <w:pPr>
        <w:pStyle w:val="3"/>
        <w:numPr>
          <w:ilvl w:val="0"/>
          <w:numId w:val="7"/>
        </w:numPr>
        <w:spacing w:line="600" w:lineRule="auto"/>
        <w:jc w:val="center"/>
        <w:rPr>
          <w:rFonts w:hint="eastAsia"/>
          <w:b/>
          <w:bCs w:val="0"/>
          <w:sz w:val="24"/>
          <w:szCs w:val="24"/>
        </w:rPr>
      </w:pPr>
      <w:r>
        <w:rPr>
          <w:rFonts w:hint="eastAsia" w:ascii="宋体" w:hAnsi="宋体" w:eastAsia="宋体" w:cs="宋体"/>
          <w:b/>
          <w:bCs w:val="0"/>
          <w:color w:val="auto"/>
          <w:sz w:val="24"/>
          <w:szCs w:val="24"/>
        </w:rPr>
        <w:t>评审方法</w:t>
      </w:r>
      <w:bookmarkEnd w:id="81"/>
      <w:bookmarkEnd w:id="82"/>
      <w:bookmarkEnd w:id="83"/>
      <w:bookmarkEnd w:id="84"/>
      <w:bookmarkEnd w:id="85"/>
      <w:bookmarkEnd w:id="86"/>
      <w:bookmarkEnd w:id="87"/>
      <w:bookmarkEnd w:id="88"/>
    </w:p>
    <w:p>
      <w:pPr>
        <w:pStyle w:val="3"/>
        <w:numPr>
          <w:ilvl w:val="0"/>
          <w:numId w:val="0"/>
        </w:numPr>
        <w:spacing w:line="600" w:lineRule="auto"/>
        <w:jc w:val="both"/>
        <w:rPr>
          <w:rFonts w:hint="eastAsia" w:ascii="宋体" w:hAnsi="宋体" w:eastAsia="宋体" w:cs="宋体"/>
          <w:b/>
          <w:color w:val="auto"/>
          <w:sz w:val="24"/>
          <w:szCs w:val="24"/>
        </w:rPr>
      </w:pPr>
      <w:bookmarkStart w:id="89" w:name="_Toc9601"/>
      <w:bookmarkStart w:id="90" w:name="_Toc8638"/>
      <w:r>
        <w:rPr>
          <w:rFonts w:hint="eastAsia" w:ascii="宋体" w:hAnsi="宋体" w:eastAsia="宋体" w:cs="宋体"/>
          <w:b/>
          <w:color w:val="auto"/>
          <w:sz w:val="24"/>
          <w:szCs w:val="24"/>
        </w:rPr>
        <w:t>一、综合评分</w:t>
      </w:r>
      <w:bookmarkEnd w:id="89"/>
      <w:bookmarkEnd w:id="90"/>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1.经磋商确定最终采购需求和提交最后报价的供应商后，由磋商小组采用综合评分法对提交最后报价的供应商的响应文件和最后报价进行综合评分。</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综合评分法，是指响应文件满足磋商文件全部实质性要求且按评审因素的量化指标评审得分最高的供应商为成交候选供应商的评审方法。</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2.评审时，磋商小组各成员应当独立对每个有效响应的文件进行评价、打分，然后汇总每个供应商每项评分因素的得分。</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numPr>
          <w:ilvl w:val="0"/>
          <w:numId w:val="8"/>
        </w:numPr>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综合评分细则表</w:t>
      </w:r>
    </w:p>
    <w:p>
      <w:pPr>
        <w:shd w:val="clear" w:color="auto" w:fill="auto"/>
        <w:spacing w:line="400" w:lineRule="exact"/>
        <w:ind w:firstLine="354" w:firstLineChars="147"/>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2.1</w:t>
      </w:r>
      <w:r>
        <w:rPr>
          <w:rFonts w:hint="eastAsia" w:ascii="宋体" w:hAnsi="宋体" w:eastAsia="宋体" w:cs="宋体"/>
          <w:b/>
          <w:color w:val="auto"/>
          <w:sz w:val="24"/>
          <w:szCs w:val="24"/>
          <w:highlight w:val="none"/>
        </w:rPr>
        <w:t>资格性审查</w:t>
      </w:r>
      <w:r>
        <w:rPr>
          <w:rFonts w:hint="eastAsia" w:ascii="宋体" w:hAnsi="宋体" w:eastAsia="宋体" w:cs="宋体"/>
          <w:b/>
          <w:color w:val="auto"/>
          <w:sz w:val="24"/>
          <w:szCs w:val="24"/>
          <w:highlight w:val="none"/>
          <w:lang w:eastAsia="zh-CN"/>
        </w:rPr>
        <w:t>：</w:t>
      </w:r>
    </w:p>
    <w:p>
      <w:pPr>
        <w:shd w:val="clear" w:color="auto" w:fill="auto"/>
        <w:spacing w:line="400" w:lineRule="exact"/>
        <w:ind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评审细则</w:t>
      </w:r>
    </w:p>
    <w:tbl>
      <w:tblPr>
        <w:tblStyle w:val="3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5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81" w:type="dxa"/>
            <w:vMerge w:val="restart"/>
            <w:noWrap w:val="0"/>
            <w:vAlign w:val="center"/>
          </w:tcPr>
          <w:p>
            <w:pPr>
              <w:shd w:val="clear" w:color="auto" w:fill="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7196" w:type="dxa"/>
            <w:gridSpan w:val="2"/>
            <w:vMerge w:val="restart"/>
            <w:noWrap w:val="0"/>
            <w:vAlign w:val="center"/>
          </w:tcPr>
          <w:p>
            <w:pPr>
              <w:shd w:val="clear" w:color="auto" w:fill="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209" w:type="dxa"/>
            <w:gridSpan w:val="2"/>
            <w:noWrap w:val="0"/>
            <w:vAlign w:val="center"/>
          </w:tcPr>
          <w:p>
            <w:pPr>
              <w:shd w:val="clear" w:color="auto" w:fill="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81" w:type="dxa"/>
            <w:vMerge w:val="continue"/>
            <w:noWrap w:val="0"/>
            <w:vAlign w:val="center"/>
          </w:tcPr>
          <w:p>
            <w:pPr>
              <w:shd w:val="clear" w:color="auto" w:fill="auto"/>
              <w:rPr>
                <w:rFonts w:hint="eastAsia" w:ascii="宋体" w:hAnsi="宋体" w:eastAsia="宋体" w:cs="宋体"/>
                <w:color w:val="auto"/>
                <w:sz w:val="24"/>
                <w:szCs w:val="24"/>
                <w:highlight w:val="none"/>
              </w:rPr>
            </w:pPr>
          </w:p>
        </w:tc>
        <w:tc>
          <w:tcPr>
            <w:tcW w:w="7196" w:type="dxa"/>
            <w:gridSpan w:val="2"/>
            <w:vMerge w:val="continue"/>
            <w:noWrap w:val="0"/>
            <w:vAlign w:val="top"/>
          </w:tcPr>
          <w:p>
            <w:pPr>
              <w:shd w:val="clear" w:color="auto" w:fill="auto"/>
              <w:rPr>
                <w:rFonts w:hint="eastAsia" w:ascii="宋体" w:hAnsi="宋体" w:eastAsia="宋体" w:cs="宋体"/>
                <w:color w:val="auto"/>
                <w:sz w:val="24"/>
                <w:szCs w:val="24"/>
                <w:highlight w:val="none"/>
              </w:rPr>
            </w:pPr>
          </w:p>
        </w:tc>
        <w:tc>
          <w:tcPr>
            <w:tcW w:w="555" w:type="dxa"/>
            <w:noWrap w:val="0"/>
            <w:vAlign w:val="center"/>
          </w:tcPr>
          <w:p>
            <w:pPr>
              <w:shd w:val="clear" w:color="auto" w:fill="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w:t>
            </w:r>
          </w:p>
        </w:tc>
        <w:tc>
          <w:tcPr>
            <w:tcW w:w="654" w:type="dxa"/>
            <w:noWrap w:val="0"/>
            <w:vAlign w:val="center"/>
          </w:tcPr>
          <w:p>
            <w:pPr>
              <w:shd w:val="clear" w:color="auto" w:fill="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81" w:type="dxa"/>
            <w:vMerge w:val="restart"/>
            <w:noWrap w:val="0"/>
            <w:vAlign w:val="center"/>
          </w:tcPr>
          <w:p>
            <w:pPr>
              <w:shd w:val="clear" w:color="auto" w:fill="auto"/>
              <w:jc w:val="center"/>
              <w:rPr>
                <w:rFonts w:hint="eastAsia" w:ascii="宋体" w:hAnsi="宋体" w:eastAsia="宋体" w:cs="宋体"/>
                <w:color w:val="auto"/>
                <w:sz w:val="24"/>
                <w:szCs w:val="24"/>
                <w:highlight w:val="none"/>
              </w:rPr>
            </w:pPr>
          </w:p>
          <w:p>
            <w:pPr>
              <w:shd w:val="clear" w:color="auto" w:fill="auto"/>
              <w:jc w:val="center"/>
              <w:rPr>
                <w:rFonts w:hint="eastAsia" w:ascii="宋体" w:hAnsi="宋体" w:eastAsia="宋体" w:cs="宋体"/>
                <w:color w:val="auto"/>
                <w:sz w:val="24"/>
                <w:szCs w:val="24"/>
                <w:highlight w:val="none"/>
              </w:rPr>
            </w:pPr>
          </w:p>
          <w:p>
            <w:pPr>
              <w:shd w:val="clear" w:color="auto" w:fill="auto"/>
              <w:jc w:val="center"/>
              <w:rPr>
                <w:rFonts w:hint="eastAsia" w:ascii="宋体" w:hAnsi="宋体" w:eastAsia="宋体" w:cs="宋体"/>
                <w:color w:val="auto"/>
                <w:sz w:val="24"/>
                <w:szCs w:val="24"/>
                <w:highlight w:val="none"/>
              </w:rPr>
            </w:pPr>
          </w:p>
          <w:p>
            <w:pPr>
              <w:shd w:val="clear" w:color="auto" w:fill="auto"/>
              <w:jc w:val="center"/>
              <w:rPr>
                <w:rFonts w:hint="eastAsia" w:ascii="宋体" w:hAnsi="宋体" w:eastAsia="宋体" w:cs="宋体"/>
                <w:color w:val="auto"/>
                <w:sz w:val="24"/>
                <w:szCs w:val="24"/>
                <w:highlight w:val="none"/>
              </w:rPr>
            </w:pPr>
          </w:p>
          <w:p>
            <w:pPr>
              <w:shd w:val="clear" w:color="auto" w:fill="auto"/>
              <w:jc w:val="center"/>
              <w:rPr>
                <w:rFonts w:hint="eastAsia" w:ascii="宋体" w:hAnsi="宋体" w:eastAsia="宋体" w:cs="宋体"/>
                <w:color w:val="auto"/>
                <w:sz w:val="24"/>
                <w:szCs w:val="24"/>
                <w:highlight w:val="none"/>
              </w:rPr>
            </w:pPr>
          </w:p>
          <w:p>
            <w:pPr>
              <w:shd w:val="clear" w:color="auto" w:fill="auto"/>
              <w:jc w:val="center"/>
              <w:rPr>
                <w:rFonts w:hint="eastAsia" w:ascii="宋体" w:hAnsi="宋体" w:eastAsia="宋体" w:cs="宋体"/>
                <w:color w:val="auto"/>
                <w:sz w:val="24"/>
                <w:szCs w:val="24"/>
                <w:highlight w:val="none"/>
              </w:rPr>
            </w:pPr>
          </w:p>
          <w:p>
            <w:pPr>
              <w:shd w:val="clear" w:color="auto" w:fill="auto"/>
              <w:jc w:val="center"/>
              <w:rPr>
                <w:rFonts w:hint="eastAsia" w:ascii="宋体" w:hAnsi="宋体" w:eastAsia="宋体" w:cs="宋体"/>
                <w:color w:val="auto"/>
                <w:sz w:val="24"/>
                <w:szCs w:val="24"/>
                <w:highlight w:val="none"/>
              </w:rPr>
            </w:pPr>
          </w:p>
          <w:p>
            <w:pPr>
              <w:shd w:val="clear" w:color="auto" w:fill="auto"/>
              <w:jc w:val="center"/>
              <w:rPr>
                <w:rFonts w:hint="eastAsia" w:ascii="宋体" w:hAnsi="宋体" w:eastAsia="宋体" w:cs="宋体"/>
                <w:color w:val="auto"/>
                <w:sz w:val="24"/>
                <w:szCs w:val="24"/>
                <w:highlight w:val="none"/>
              </w:rPr>
            </w:pPr>
          </w:p>
          <w:p>
            <w:pPr>
              <w:shd w:val="clear" w:color="auto" w:fill="auto"/>
              <w:jc w:val="center"/>
              <w:rPr>
                <w:rFonts w:hint="eastAsia" w:ascii="宋体" w:hAnsi="宋体" w:eastAsia="宋体" w:cs="宋体"/>
                <w:color w:val="auto"/>
                <w:sz w:val="24"/>
                <w:szCs w:val="24"/>
                <w:highlight w:val="none"/>
              </w:rPr>
            </w:pPr>
          </w:p>
          <w:p>
            <w:pPr>
              <w:shd w:val="clear" w:color="auto" w:fill="auto"/>
              <w:jc w:val="center"/>
              <w:rPr>
                <w:rFonts w:hint="eastAsia" w:ascii="宋体" w:hAnsi="宋体" w:eastAsia="宋体" w:cs="宋体"/>
                <w:color w:val="auto"/>
                <w:sz w:val="24"/>
                <w:szCs w:val="24"/>
                <w:highlight w:val="none"/>
              </w:rPr>
            </w:pPr>
          </w:p>
          <w:p>
            <w:pPr>
              <w:shd w:val="clear" w:color="auto" w:fill="auto"/>
              <w:jc w:val="center"/>
              <w:rPr>
                <w:rFonts w:hint="eastAsia" w:ascii="宋体" w:hAnsi="宋体" w:eastAsia="宋体" w:cs="宋体"/>
                <w:color w:val="auto"/>
                <w:sz w:val="24"/>
                <w:szCs w:val="24"/>
                <w:highlight w:val="none"/>
              </w:rPr>
            </w:pPr>
          </w:p>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w:t>
            </w:r>
          </w:p>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w:t>
            </w:r>
          </w:p>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w:t>
            </w:r>
          </w:p>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w:t>
            </w:r>
          </w:p>
          <w:p>
            <w:pPr>
              <w:shd w:val="clear" w:color="auto" w:fill="auto"/>
              <w:jc w:val="center"/>
              <w:rPr>
                <w:rFonts w:hint="eastAsia" w:ascii="宋体" w:hAnsi="宋体" w:eastAsia="宋体" w:cs="宋体"/>
                <w:color w:val="auto"/>
                <w:sz w:val="24"/>
                <w:szCs w:val="24"/>
                <w:highlight w:val="none"/>
              </w:rPr>
            </w:pPr>
          </w:p>
        </w:tc>
        <w:tc>
          <w:tcPr>
            <w:tcW w:w="547" w:type="dxa"/>
            <w:noWrap w:val="0"/>
            <w:vAlign w:val="center"/>
          </w:tcPr>
          <w:p>
            <w:pPr>
              <w:shd w:val="clear" w:color="auto" w:fill="auto"/>
              <w:ind w:left="0" w:leftChars="0" w:right="0" w:rightChars="0" w:firstLine="0" w:firstLineChars="0"/>
              <w:jc w:val="both"/>
              <w:rPr>
                <w:rFonts w:hint="eastAsia" w:ascii="宋体" w:hAnsi="宋体" w:eastAsia="宋体" w:cs="宋体"/>
                <w:color w:val="auto"/>
                <w:spacing w:val="0"/>
                <w:w w:val="100"/>
                <w:position w:val="0"/>
                <w:sz w:val="24"/>
                <w:szCs w:val="24"/>
                <w:highlight w:val="none"/>
                <w:shd w:val="clear" w:color="auto" w:fill="auto"/>
                <w:lang w:val="en-US" w:eastAsia="en-US" w:bidi="en-US"/>
              </w:rPr>
            </w:pPr>
            <w:r>
              <w:rPr>
                <w:rFonts w:hint="eastAsia" w:ascii="宋体" w:hAnsi="宋体" w:eastAsia="宋体" w:cs="宋体"/>
                <w:color w:val="auto"/>
                <w:sz w:val="24"/>
                <w:szCs w:val="24"/>
                <w:highlight w:val="none"/>
              </w:rPr>
              <w:t>1</w:t>
            </w:r>
          </w:p>
        </w:tc>
        <w:tc>
          <w:tcPr>
            <w:tcW w:w="6649" w:type="dxa"/>
            <w:noWrap w:val="0"/>
            <w:vAlign w:val="center"/>
          </w:tcPr>
          <w:p>
            <w:pPr>
              <w:autoSpaceDE w:val="0"/>
              <w:autoSpaceDN w:val="0"/>
              <w:adjustRightInd w:val="0"/>
              <w:spacing w:line="360" w:lineRule="auto"/>
              <w:jc w:val="both"/>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lang w:val="zh-CN"/>
              </w:rPr>
              <w:t>具有独立法人</w:t>
            </w:r>
            <w:r>
              <w:rPr>
                <w:rFonts w:hint="eastAsia" w:ascii="宋体" w:hAnsi="宋体" w:eastAsia="宋体" w:cs="宋体"/>
                <w:color w:val="auto"/>
                <w:sz w:val="24"/>
                <w:szCs w:val="24"/>
                <w:lang w:val="zh-CN" w:eastAsia="zh-CN"/>
              </w:rPr>
              <w:t>合格</w:t>
            </w:r>
            <w:r>
              <w:rPr>
                <w:rFonts w:hint="eastAsia" w:ascii="宋体" w:hAnsi="宋体" w:eastAsia="宋体" w:cs="宋体"/>
                <w:color w:val="auto"/>
                <w:sz w:val="24"/>
                <w:szCs w:val="24"/>
                <w:lang w:val="zh-CN"/>
              </w:rPr>
              <w:t>有效的营业执照且具有会计师事务所执业证书； </w:t>
            </w:r>
          </w:p>
        </w:tc>
        <w:tc>
          <w:tcPr>
            <w:tcW w:w="555" w:type="dxa"/>
            <w:noWrap w:val="0"/>
            <w:vAlign w:val="top"/>
          </w:tcPr>
          <w:p>
            <w:pPr>
              <w:shd w:val="clear" w:color="auto" w:fill="auto"/>
              <w:rPr>
                <w:rFonts w:hint="eastAsia" w:ascii="宋体" w:hAnsi="宋体" w:eastAsia="宋体" w:cs="宋体"/>
                <w:color w:val="auto"/>
                <w:sz w:val="24"/>
                <w:szCs w:val="24"/>
                <w:highlight w:val="none"/>
              </w:rPr>
            </w:pPr>
          </w:p>
        </w:tc>
        <w:tc>
          <w:tcPr>
            <w:tcW w:w="654" w:type="dxa"/>
            <w:noWrap w:val="0"/>
            <w:vAlign w:val="top"/>
          </w:tcPr>
          <w:p>
            <w:pPr>
              <w:shd w:val="clear" w:color="auto" w:fil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81" w:type="dxa"/>
            <w:vMerge w:val="continue"/>
            <w:noWrap w:val="0"/>
            <w:vAlign w:val="center"/>
          </w:tcPr>
          <w:p>
            <w:pPr>
              <w:shd w:val="clear" w:color="auto" w:fill="auto"/>
              <w:rPr>
                <w:rFonts w:hint="eastAsia" w:ascii="宋体" w:hAnsi="宋体" w:eastAsia="宋体" w:cs="宋体"/>
                <w:color w:val="auto"/>
                <w:sz w:val="24"/>
                <w:szCs w:val="24"/>
                <w:highlight w:val="none"/>
              </w:rPr>
            </w:pPr>
          </w:p>
        </w:tc>
        <w:tc>
          <w:tcPr>
            <w:tcW w:w="547" w:type="dxa"/>
            <w:noWrap w:val="0"/>
            <w:vAlign w:val="center"/>
          </w:tcPr>
          <w:p>
            <w:pPr>
              <w:shd w:val="clear" w:color="auto" w:fill="auto"/>
              <w:ind w:left="0" w:leftChars="0" w:right="0" w:rightChars="0" w:firstLine="0" w:firstLineChars="0"/>
              <w:jc w:val="both"/>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cs="宋体"/>
                <w:color w:val="auto"/>
                <w:sz w:val="24"/>
                <w:szCs w:val="24"/>
                <w:highlight w:val="none"/>
                <w:lang w:val="en-US" w:eastAsia="zh-CN"/>
              </w:rPr>
              <w:t>2</w:t>
            </w:r>
          </w:p>
        </w:tc>
        <w:tc>
          <w:tcPr>
            <w:tcW w:w="6649" w:type="dxa"/>
            <w:noWrap w:val="0"/>
            <w:vAlign w:val="center"/>
          </w:tcPr>
          <w:p>
            <w:pPr>
              <w:spacing w:line="360" w:lineRule="auto"/>
              <w:jc w:val="both"/>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lang w:val="en-US" w:eastAsia="zh-CN" w:bidi="ar-SA"/>
              </w:rPr>
              <w:t>磋商保证金缴纳凭证（以电汇或网银转账方式缴纳）或者金融机构、担保机构出具的保函；</w:t>
            </w:r>
          </w:p>
        </w:tc>
        <w:tc>
          <w:tcPr>
            <w:tcW w:w="555" w:type="dxa"/>
            <w:noWrap w:val="0"/>
            <w:vAlign w:val="top"/>
          </w:tcPr>
          <w:p>
            <w:pPr>
              <w:shd w:val="clear" w:color="auto" w:fill="auto"/>
              <w:rPr>
                <w:rFonts w:hint="eastAsia" w:ascii="宋体" w:hAnsi="宋体" w:eastAsia="宋体" w:cs="宋体"/>
                <w:color w:val="auto"/>
                <w:sz w:val="24"/>
                <w:szCs w:val="24"/>
                <w:highlight w:val="none"/>
              </w:rPr>
            </w:pPr>
          </w:p>
        </w:tc>
        <w:tc>
          <w:tcPr>
            <w:tcW w:w="654" w:type="dxa"/>
            <w:noWrap w:val="0"/>
            <w:vAlign w:val="top"/>
          </w:tcPr>
          <w:p>
            <w:pPr>
              <w:shd w:val="clear" w:color="auto" w:fil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1" w:type="dxa"/>
            <w:vMerge w:val="continue"/>
            <w:noWrap w:val="0"/>
            <w:vAlign w:val="center"/>
          </w:tcPr>
          <w:p>
            <w:pPr>
              <w:shd w:val="clear" w:color="auto" w:fill="auto"/>
              <w:rPr>
                <w:rFonts w:hint="eastAsia" w:ascii="宋体" w:hAnsi="宋体" w:eastAsia="宋体" w:cs="宋体"/>
                <w:color w:val="auto"/>
                <w:sz w:val="24"/>
                <w:szCs w:val="24"/>
                <w:highlight w:val="none"/>
              </w:rPr>
            </w:pPr>
          </w:p>
        </w:tc>
        <w:tc>
          <w:tcPr>
            <w:tcW w:w="547" w:type="dxa"/>
            <w:noWrap w:val="0"/>
            <w:vAlign w:val="center"/>
          </w:tcPr>
          <w:p>
            <w:pPr>
              <w:shd w:val="clear" w:color="auto" w:fill="auto"/>
              <w:ind w:left="0" w:leftChars="0" w:right="0" w:righ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6649" w:type="dxa"/>
            <w:noWrap w:val="0"/>
            <w:vAlign w:val="center"/>
          </w:tcPr>
          <w:p>
            <w:pPr>
              <w:autoSpaceDE w:val="0"/>
              <w:autoSpaceDN w:val="0"/>
              <w:adjustRightInd w:val="0"/>
              <w:spacing w:line="360" w:lineRule="auto"/>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具有履行合同所必需的设备和专业技术能力(声明函格式自拟)即具有完成本项目采购能力；</w:t>
            </w:r>
          </w:p>
        </w:tc>
        <w:tc>
          <w:tcPr>
            <w:tcW w:w="555" w:type="dxa"/>
            <w:noWrap w:val="0"/>
            <w:vAlign w:val="top"/>
          </w:tcPr>
          <w:p>
            <w:pPr>
              <w:shd w:val="clear" w:color="auto" w:fill="auto"/>
              <w:rPr>
                <w:rFonts w:hint="eastAsia" w:ascii="宋体" w:hAnsi="宋体" w:eastAsia="宋体" w:cs="宋体"/>
                <w:color w:val="auto"/>
                <w:sz w:val="24"/>
                <w:szCs w:val="24"/>
                <w:highlight w:val="none"/>
              </w:rPr>
            </w:pPr>
          </w:p>
        </w:tc>
        <w:tc>
          <w:tcPr>
            <w:tcW w:w="654" w:type="dxa"/>
            <w:noWrap w:val="0"/>
            <w:vAlign w:val="top"/>
          </w:tcPr>
          <w:p>
            <w:pPr>
              <w:shd w:val="clear" w:color="auto" w:fil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1" w:type="dxa"/>
            <w:vMerge w:val="continue"/>
            <w:noWrap w:val="0"/>
            <w:vAlign w:val="center"/>
          </w:tcPr>
          <w:p>
            <w:pPr>
              <w:shd w:val="clear" w:color="auto" w:fill="auto"/>
              <w:rPr>
                <w:rFonts w:hint="eastAsia" w:ascii="宋体" w:hAnsi="宋体" w:eastAsia="宋体" w:cs="宋体"/>
                <w:color w:val="auto"/>
                <w:sz w:val="24"/>
                <w:szCs w:val="24"/>
                <w:highlight w:val="none"/>
              </w:rPr>
            </w:pPr>
          </w:p>
        </w:tc>
        <w:tc>
          <w:tcPr>
            <w:tcW w:w="547" w:type="dxa"/>
            <w:noWrap w:val="0"/>
            <w:vAlign w:val="center"/>
          </w:tcPr>
          <w:p>
            <w:pPr>
              <w:shd w:val="clear" w:color="auto" w:fill="auto"/>
              <w:ind w:left="0" w:leftChars="0" w:right="0" w:righ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6649" w:type="dxa"/>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kern w:val="2"/>
                <w:sz w:val="24"/>
                <w:szCs w:val="24"/>
                <w:lang w:val="en-US" w:eastAsia="zh-CN" w:bidi="ar-SA"/>
              </w:rPr>
              <w:t>具有依法缴纳税收和社会保障资金的良好记录（提供本单位近三个月内任意一个月的依法缴纳税收和社会保障资金的相关材料）；</w:t>
            </w:r>
          </w:p>
        </w:tc>
        <w:tc>
          <w:tcPr>
            <w:tcW w:w="555" w:type="dxa"/>
            <w:noWrap w:val="0"/>
            <w:vAlign w:val="top"/>
          </w:tcPr>
          <w:p>
            <w:pPr>
              <w:shd w:val="clear" w:color="auto" w:fill="auto"/>
              <w:rPr>
                <w:rFonts w:hint="eastAsia" w:ascii="宋体" w:hAnsi="宋体" w:eastAsia="宋体" w:cs="宋体"/>
                <w:color w:val="auto"/>
                <w:sz w:val="24"/>
                <w:szCs w:val="24"/>
                <w:highlight w:val="none"/>
              </w:rPr>
            </w:pPr>
          </w:p>
        </w:tc>
        <w:tc>
          <w:tcPr>
            <w:tcW w:w="654" w:type="dxa"/>
            <w:noWrap w:val="0"/>
            <w:vAlign w:val="top"/>
          </w:tcPr>
          <w:p>
            <w:pPr>
              <w:shd w:val="clear" w:color="auto" w:fil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1" w:type="dxa"/>
            <w:vMerge w:val="continue"/>
            <w:noWrap w:val="0"/>
            <w:vAlign w:val="center"/>
          </w:tcPr>
          <w:p>
            <w:pPr>
              <w:shd w:val="clear" w:color="auto" w:fill="auto"/>
              <w:rPr>
                <w:rFonts w:hint="eastAsia" w:ascii="宋体" w:hAnsi="宋体" w:eastAsia="宋体" w:cs="宋体"/>
                <w:color w:val="auto"/>
                <w:sz w:val="24"/>
                <w:szCs w:val="24"/>
                <w:highlight w:val="none"/>
              </w:rPr>
            </w:pPr>
          </w:p>
        </w:tc>
        <w:tc>
          <w:tcPr>
            <w:tcW w:w="547" w:type="dxa"/>
            <w:noWrap w:val="0"/>
            <w:vAlign w:val="center"/>
          </w:tcPr>
          <w:p>
            <w:pPr>
              <w:shd w:val="clear" w:color="auto" w:fill="auto"/>
              <w:ind w:left="0" w:leftChars="0" w:right="0" w:righ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6649" w:type="dxa"/>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kern w:val="2"/>
                <w:sz w:val="24"/>
                <w:szCs w:val="24"/>
                <w:lang w:val="en-US" w:eastAsia="zh-CN" w:bidi="ar-SA"/>
              </w:rPr>
              <w:t>单位负责人为同一人或者存在直接控股、管理关系的不同供应商，不得参加同一合同项下的政府采购活动(提供申明函，声明函格式自拟)；</w:t>
            </w:r>
          </w:p>
        </w:tc>
        <w:tc>
          <w:tcPr>
            <w:tcW w:w="555" w:type="dxa"/>
            <w:noWrap w:val="0"/>
            <w:vAlign w:val="top"/>
          </w:tcPr>
          <w:p>
            <w:pPr>
              <w:shd w:val="clear" w:color="auto" w:fill="auto"/>
              <w:rPr>
                <w:rFonts w:hint="eastAsia" w:ascii="宋体" w:hAnsi="宋体" w:eastAsia="宋体" w:cs="宋体"/>
                <w:color w:val="auto"/>
                <w:sz w:val="24"/>
                <w:szCs w:val="24"/>
                <w:highlight w:val="none"/>
              </w:rPr>
            </w:pPr>
          </w:p>
        </w:tc>
        <w:tc>
          <w:tcPr>
            <w:tcW w:w="654" w:type="dxa"/>
            <w:noWrap w:val="0"/>
            <w:vAlign w:val="top"/>
          </w:tcPr>
          <w:p>
            <w:pPr>
              <w:shd w:val="clear" w:color="auto" w:fil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1" w:type="dxa"/>
            <w:vMerge w:val="continue"/>
            <w:noWrap w:val="0"/>
            <w:vAlign w:val="center"/>
          </w:tcPr>
          <w:p>
            <w:pPr>
              <w:shd w:val="clear" w:color="auto" w:fill="auto"/>
              <w:rPr>
                <w:rFonts w:hint="eastAsia" w:ascii="宋体" w:hAnsi="宋体" w:eastAsia="宋体" w:cs="宋体"/>
                <w:color w:val="auto"/>
                <w:sz w:val="24"/>
                <w:szCs w:val="24"/>
                <w:highlight w:val="none"/>
              </w:rPr>
            </w:pPr>
          </w:p>
        </w:tc>
        <w:tc>
          <w:tcPr>
            <w:tcW w:w="547" w:type="dxa"/>
            <w:noWrap w:val="0"/>
            <w:vAlign w:val="center"/>
          </w:tcPr>
          <w:p>
            <w:pPr>
              <w:shd w:val="clear" w:color="auto" w:fill="auto"/>
              <w:ind w:left="0" w:leftChars="0" w:right="0" w:righ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6649" w:type="dxa"/>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kern w:val="2"/>
                <w:sz w:val="24"/>
                <w:szCs w:val="24"/>
                <w:lang w:val="en-US" w:eastAsia="zh-CN" w:bidi="ar-SA"/>
              </w:rPr>
              <w:t>供应商为中小企业(提供供应商为中小企业的声明函)；</w:t>
            </w:r>
          </w:p>
        </w:tc>
        <w:tc>
          <w:tcPr>
            <w:tcW w:w="555" w:type="dxa"/>
            <w:noWrap w:val="0"/>
            <w:vAlign w:val="top"/>
          </w:tcPr>
          <w:p>
            <w:pPr>
              <w:shd w:val="clear" w:color="auto" w:fill="auto"/>
              <w:rPr>
                <w:rFonts w:hint="eastAsia" w:ascii="宋体" w:hAnsi="宋体" w:eastAsia="宋体" w:cs="宋体"/>
                <w:color w:val="auto"/>
                <w:sz w:val="24"/>
                <w:szCs w:val="24"/>
                <w:highlight w:val="none"/>
              </w:rPr>
            </w:pPr>
          </w:p>
        </w:tc>
        <w:tc>
          <w:tcPr>
            <w:tcW w:w="654" w:type="dxa"/>
            <w:noWrap w:val="0"/>
            <w:vAlign w:val="top"/>
          </w:tcPr>
          <w:p>
            <w:pPr>
              <w:shd w:val="clear" w:color="auto" w:fil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1" w:type="dxa"/>
            <w:vMerge w:val="continue"/>
            <w:noWrap w:val="0"/>
            <w:vAlign w:val="center"/>
          </w:tcPr>
          <w:p>
            <w:pPr>
              <w:shd w:val="clear" w:color="auto" w:fill="auto"/>
              <w:rPr>
                <w:rFonts w:hint="eastAsia" w:ascii="宋体" w:hAnsi="宋体" w:eastAsia="宋体" w:cs="宋体"/>
                <w:color w:val="auto"/>
                <w:sz w:val="24"/>
                <w:szCs w:val="24"/>
                <w:highlight w:val="none"/>
              </w:rPr>
            </w:pPr>
          </w:p>
        </w:tc>
        <w:tc>
          <w:tcPr>
            <w:tcW w:w="547" w:type="dxa"/>
            <w:noWrap w:val="0"/>
            <w:vAlign w:val="center"/>
          </w:tcPr>
          <w:p>
            <w:pPr>
              <w:shd w:val="clear" w:color="auto" w:fill="auto"/>
              <w:ind w:left="0" w:leftChars="0" w:right="0" w:righ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6649" w:type="dxa"/>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2"/>
                <w:sz w:val="24"/>
                <w:szCs w:val="24"/>
                <w:lang w:val="en-US" w:eastAsia="zh-CN" w:bidi="ar-SA"/>
              </w:rPr>
              <w:t>投标人参加政府采购活动前三年内，在经营活动中没有重大违法记录，在“信用中国”网站（www.creditchina.gov.cn）、中国政府采购网（www.ccgp.gov.cn）没有被列入失信被执行人、重大税收违法案件当事人名单、政府采购严重违法失信行为记录名单及其他不符合规定条件；</w:t>
            </w:r>
          </w:p>
        </w:tc>
        <w:tc>
          <w:tcPr>
            <w:tcW w:w="555" w:type="dxa"/>
            <w:noWrap w:val="0"/>
            <w:vAlign w:val="top"/>
          </w:tcPr>
          <w:p>
            <w:pPr>
              <w:shd w:val="clear" w:color="auto" w:fill="auto"/>
              <w:rPr>
                <w:rFonts w:hint="eastAsia" w:ascii="宋体" w:hAnsi="宋体" w:eastAsia="宋体" w:cs="宋体"/>
                <w:color w:val="auto"/>
                <w:sz w:val="24"/>
                <w:szCs w:val="24"/>
                <w:highlight w:val="none"/>
              </w:rPr>
            </w:pPr>
          </w:p>
        </w:tc>
        <w:tc>
          <w:tcPr>
            <w:tcW w:w="654" w:type="dxa"/>
            <w:noWrap w:val="0"/>
            <w:vAlign w:val="top"/>
          </w:tcPr>
          <w:p>
            <w:pPr>
              <w:shd w:val="clear" w:color="auto" w:fil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81" w:type="dxa"/>
            <w:vMerge w:val="continue"/>
            <w:noWrap w:val="0"/>
            <w:vAlign w:val="center"/>
          </w:tcPr>
          <w:p>
            <w:pPr>
              <w:shd w:val="clear" w:color="auto" w:fill="auto"/>
              <w:jc w:val="center"/>
              <w:rPr>
                <w:rFonts w:hint="eastAsia" w:ascii="宋体" w:hAnsi="宋体" w:eastAsia="宋体" w:cs="宋体"/>
                <w:color w:val="auto"/>
                <w:sz w:val="24"/>
                <w:szCs w:val="24"/>
                <w:highlight w:val="none"/>
              </w:rPr>
            </w:pPr>
          </w:p>
        </w:tc>
        <w:tc>
          <w:tcPr>
            <w:tcW w:w="7196" w:type="dxa"/>
            <w:gridSpan w:val="2"/>
            <w:noWrap w:val="0"/>
            <w:vAlign w:val="top"/>
          </w:tcPr>
          <w:p>
            <w:pPr>
              <w:autoSpaceDE w:val="0"/>
              <w:autoSpaceDN w:val="0"/>
              <w:adjustRightInd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结论：是否通过评审（须填写通过或不通过）</w:t>
            </w:r>
          </w:p>
          <w:p>
            <w:pPr>
              <w:autoSpaceDE w:val="0"/>
              <w:autoSpaceDN w:val="0"/>
              <w:adjustRightInd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注：如有一项不合格，作废标处理。</w:t>
            </w:r>
          </w:p>
        </w:tc>
        <w:tc>
          <w:tcPr>
            <w:tcW w:w="1209" w:type="dxa"/>
            <w:gridSpan w:val="2"/>
            <w:noWrap w:val="0"/>
            <w:vAlign w:val="top"/>
          </w:tcPr>
          <w:p>
            <w:pPr>
              <w:shd w:val="clear" w:color="auto" w:fill="auto"/>
              <w:rPr>
                <w:rFonts w:hint="eastAsia" w:ascii="宋体" w:hAnsi="宋体" w:eastAsia="宋体" w:cs="宋体"/>
                <w:color w:val="auto"/>
                <w:sz w:val="24"/>
                <w:szCs w:val="24"/>
                <w:highlight w:val="none"/>
              </w:rPr>
            </w:pPr>
          </w:p>
        </w:tc>
      </w:tr>
    </w:tbl>
    <w:p>
      <w:pPr>
        <w:shd w:val="clear" w:color="auto" w:fill="auto"/>
        <w:spacing w:line="400" w:lineRule="exact"/>
        <w:ind w:firstLine="581" w:firstLineChars="24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2.2</w:t>
      </w:r>
      <w:r>
        <w:rPr>
          <w:rFonts w:hint="eastAsia" w:ascii="宋体" w:hAnsi="宋体" w:eastAsia="宋体" w:cs="宋体"/>
          <w:b/>
          <w:color w:val="auto"/>
          <w:sz w:val="24"/>
          <w:szCs w:val="24"/>
          <w:highlight w:val="none"/>
        </w:rPr>
        <w:t>符合性审查</w:t>
      </w:r>
    </w:p>
    <w:p>
      <w:pPr>
        <w:shd w:val="clear" w:color="auto" w:fill="auto"/>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评审细则</w:t>
      </w:r>
    </w:p>
    <w:tbl>
      <w:tblPr>
        <w:tblStyle w:val="31"/>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561"/>
        <w:gridCol w:w="6271"/>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trPr>
        <w:tc>
          <w:tcPr>
            <w:tcW w:w="1237" w:type="dxa"/>
            <w:tcBorders>
              <w:top w:val="single" w:color="auto" w:sz="4" w:space="0"/>
              <w:left w:val="single" w:color="auto" w:sz="4" w:space="0"/>
            </w:tcBorders>
            <w:noWrap w:val="0"/>
            <w:vAlign w:val="center"/>
          </w:tcPr>
          <w:p>
            <w:pPr>
              <w:shd w:val="clear" w:color="auto" w:fill="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6832" w:type="dxa"/>
            <w:gridSpan w:val="2"/>
            <w:tcBorders>
              <w:top w:val="single" w:color="auto" w:sz="4" w:space="0"/>
            </w:tcBorders>
            <w:noWrap w:val="0"/>
            <w:vAlign w:val="center"/>
          </w:tcPr>
          <w:p>
            <w:pPr>
              <w:shd w:val="clear" w:color="auto" w:fill="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366" w:type="dxa"/>
            <w:gridSpan w:val="2"/>
            <w:tcBorders>
              <w:top w:val="single" w:color="auto" w:sz="4" w:space="0"/>
              <w:right w:val="single" w:color="auto" w:sz="4" w:space="0"/>
            </w:tcBorders>
            <w:noWrap w:val="0"/>
            <w:vAlign w:val="center"/>
          </w:tcPr>
          <w:p>
            <w:pPr>
              <w:shd w:val="clear" w:color="auto" w:fill="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1237" w:type="dxa"/>
            <w:tcBorders>
              <w:left w:val="single" w:color="auto" w:sz="4" w:space="0"/>
              <w:bottom w:val="single" w:color="auto" w:sz="4" w:space="0"/>
            </w:tcBorders>
            <w:noWrap w:val="0"/>
            <w:vAlign w:val="center"/>
          </w:tcPr>
          <w:p>
            <w:pPr>
              <w:shd w:val="clear" w:color="auto" w:fill="auto"/>
              <w:rPr>
                <w:rFonts w:hint="eastAsia" w:ascii="宋体" w:hAnsi="宋体" w:eastAsia="宋体" w:cs="宋体"/>
                <w:color w:val="auto"/>
                <w:sz w:val="24"/>
                <w:szCs w:val="24"/>
                <w:highlight w:val="none"/>
              </w:rPr>
            </w:pPr>
          </w:p>
        </w:tc>
        <w:tc>
          <w:tcPr>
            <w:tcW w:w="6832" w:type="dxa"/>
            <w:gridSpan w:val="2"/>
            <w:tcBorders>
              <w:bottom w:val="single" w:color="auto" w:sz="4" w:space="0"/>
            </w:tcBorders>
            <w:noWrap w:val="0"/>
            <w:vAlign w:val="top"/>
          </w:tcPr>
          <w:p>
            <w:pPr>
              <w:shd w:val="clear" w:color="auto" w:fill="auto"/>
              <w:rPr>
                <w:rFonts w:hint="eastAsia" w:ascii="宋体" w:hAnsi="宋体" w:eastAsia="宋体" w:cs="宋体"/>
                <w:color w:val="auto"/>
                <w:sz w:val="24"/>
                <w:szCs w:val="24"/>
                <w:highlight w:val="none"/>
              </w:rPr>
            </w:pPr>
          </w:p>
        </w:tc>
        <w:tc>
          <w:tcPr>
            <w:tcW w:w="482" w:type="dxa"/>
            <w:noWrap w:val="0"/>
            <w:vAlign w:val="center"/>
          </w:tcPr>
          <w:p>
            <w:pPr>
              <w:shd w:val="clear" w:color="auto" w:fill="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w:t>
            </w:r>
          </w:p>
        </w:tc>
        <w:tc>
          <w:tcPr>
            <w:tcW w:w="884" w:type="dxa"/>
            <w:tcBorders>
              <w:right w:val="single" w:color="auto" w:sz="4" w:space="0"/>
            </w:tcBorders>
            <w:noWrap w:val="0"/>
            <w:vAlign w:val="center"/>
          </w:tcPr>
          <w:p>
            <w:pPr>
              <w:shd w:val="clear" w:color="auto" w:fill="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w:t>
            </w:r>
          </w:p>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w:t>
            </w:r>
          </w:p>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w:t>
            </w:r>
          </w:p>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w:t>
            </w:r>
          </w:p>
        </w:tc>
        <w:tc>
          <w:tcPr>
            <w:tcW w:w="561"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271"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其报价未超过采购预算金额，且只有一个有效报价，不得提交选择性报价。</w:t>
            </w:r>
          </w:p>
        </w:tc>
        <w:tc>
          <w:tcPr>
            <w:tcW w:w="482" w:type="dxa"/>
            <w:tcBorders>
              <w:left w:val="single" w:color="auto" w:sz="4" w:space="0"/>
              <w:right w:val="single" w:color="auto" w:sz="4" w:space="0"/>
            </w:tcBorders>
            <w:noWrap w:val="0"/>
            <w:vAlign w:val="top"/>
          </w:tcPr>
          <w:p>
            <w:pPr>
              <w:shd w:val="clear" w:color="auto" w:fill="auto"/>
              <w:jc w:val="center"/>
              <w:rPr>
                <w:rFonts w:hint="eastAsia" w:ascii="宋体" w:hAnsi="宋体" w:eastAsia="宋体" w:cs="宋体"/>
                <w:b/>
                <w:color w:val="auto"/>
                <w:sz w:val="24"/>
                <w:szCs w:val="24"/>
                <w:highlight w:val="none"/>
              </w:rPr>
            </w:pPr>
          </w:p>
        </w:tc>
        <w:tc>
          <w:tcPr>
            <w:tcW w:w="884" w:type="dxa"/>
            <w:tcBorders>
              <w:left w:val="single" w:color="auto" w:sz="4" w:space="0"/>
              <w:right w:val="single" w:color="auto" w:sz="4" w:space="0"/>
            </w:tcBorders>
            <w:noWrap w:val="0"/>
            <w:vAlign w:val="top"/>
          </w:tcPr>
          <w:p>
            <w:pPr>
              <w:shd w:val="clear" w:color="auto" w:fill="auto"/>
              <w:jc w:val="center"/>
              <w:rPr>
                <w:rFonts w:hint="eastAsia" w:ascii="宋体" w:hAnsi="宋体" w:eastAsia="宋体" w:cs="宋体"/>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4"/>
                <w:szCs w:val="24"/>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法定代表人身份证明及授权委托书有效，且符合招标文件规定的格式。</w:t>
            </w:r>
          </w:p>
        </w:tc>
        <w:tc>
          <w:tcPr>
            <w:tcW w:w="482" w:type="dxa"/>
            <w:tcBorders>
              <w:left w:val="single" w:color="auto" w:sz="4" w:space="0"/>
            </w:tcBorders>
            <w:noWrap w:val="0"/>
            <w:vAlign w:val="top"/>
          </w:tcPr>
          <w:p>
            <w:pPr>
              <w:shd w:val="clear" w:color="auto" w:fill="auto"/>
              <w:rPr>
                <w:rFonts w:hint="eastAsia" w:ascii="宋体" w:hAnsi="宋体" w:eastAsia="宋体" w:cs="宋体"/>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4"/>
                <w:szCs w:val="24"/>
                <w:highlight w:val="none"/>
              </w:rPr>
            </w:pPr>
          </w:p>
        </w:tc>
        <w:tc>
          <w:tcPr>
            <w:tcW w:w="561"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271"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满足招标文件规定的服务期限。</w:t>
            </w:r>
          </w:p>
        </w:tc>
        <w:tc>
          <w:tcPr>
            <w:tcW w:w="482" w:type="dxa"/>
            <w:tcBorders>
              <w:left w:val="single" w:color="auto" w:sz="4" w:space="0"/>
            </w:tcBorders>
            <w:noWrap w:val="0"/>
            <w:vAlign w:val="top"/>
          </w:tcPr>
          <w:p>
            <w:pPr>
              <w:shd w:val="clear" w:color="auto" w:fill="auto"/>
              <w:rPr>
                <w:rFonts w:hint="eastAsia" w:ascii="宋体" w:hAnsi="宋体" w:eastAsia="宋体" w:cs="宋体"/>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6271"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投标文件内容齐全、无遗漏。</w:t>
            </w:r>
          </w:p>
        </w:tc>
        <w:tc>
          <w:tcPr>
            <w:tcW w:w="482" w:type="dxa"/>
            <w:tcBorders>
              <w:left w:val="single" w:color="auto" w:sz="4" w:space="0"/>
            </w:tcBorders>
            <w:noWrap w:val="0"/>
            <w:vAlign w:val="top"/>
          </w:tcPr>
          <w:p>
            <w:pPr>
              <w:shd w:val="clear" w:color="auto" w:fill="auto"/>
              <w:rPr>
                <w:rFonts w:hint="eastAsia" w:ascii="宋体" w:hAnsi="宋体" w:eastAsia="宋体" w:cs="宋体"/>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9"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4"/>
                <w:szCs w:val="24"/>
                <w:highlight w:val="none"/>
              </w:rPr>
            </w:pPr>
          </w:p>
        </w:tc>
        <w:tc>
          <w:tcPr>
            <w:tcW w:w="561" w:type="dxa"/>
            <w:tcBorders>
              <w:left w:val="single" w:color="auto" w:sz="4" w:space="0"/>
              <w:bottom w:val="single" w:color="auto" w:sz="4" w:space="0"/>
            </w:tcBorders>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271" w:type="dxa"/>
            <w:tcBorders>
              <w:bottom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对招标文件规定的招标内容全部作出响应。</w:t>
            </w:r>
          </w:p>
        </w:tc>
        <w:tc>
          <w:tcPr>
            <w:tcW w:w="482" w:type="dxa"/>
            <w:tcBorders>
              <w:left w:val="single" w:color="auto" w:sz="4" w:space="0"/>
              <w:bottom w:val="single" w:color="auto" w:sz="4" w:space="0"/>
            </w:tcBorders>
            <w:noWrap w:val="0"/>
            <w:vAlign w:val="top"/>
          </w:tcPr>
          <w:p>
            <w:pPr>
              <w:shd w:val="clear" w:color="auto" w:fill="auto"/>
              <w:rPr>
                <w:rFonts w:hint="eastAsia" w:ascii="宋体" w:hAnsi="宋体" w:eastAsia="宋体" w:cs="宋体"/>
                <w:color w:val="auto"/>
                <w:sz w:val="24"/>
                <w:szCs w:val="24"/>
                <w:highlight w:val="none"/>
              </w:rPr>
            </w:pPr>
          </w:p>
        </w:tc>
        <w:tc>
          <w:tcPr>
            <w:tcW w:w="884" w:type="dxa"/>
            <w:tcBorders>
              <w:bottom w:val="single" w:color="auto" w:sz="4" w:space="0"/>
              <w:right w:val="single" w:color="auto" w:sz="4" w:space="0"/>
            </w:tcBorders>
            <w:noWrap w:val="0"/>
            <w:vAlign w:val="top"/>
          </w:tcPr>
          <w:p>
            <w:pPr>
              <w:shd w:val="clear" w:color="auto" w:fill="auto"/>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4"/>
                <w:szCs w:val="24"/>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满足招标文件提出的</w:t>
            </w:r>
            <w:r>
              <w:rPr>
                <w:rFonts w:hint="eastAsia" w:ascii="宋体" w:hAnsi="宋体" w:cs="宋体"/>
                <w:color w:val="auto"/>
                <w:kern w:val="0"/>
                <w:sz w:val="24"/>
                <w:szCs w:val="24"/>
                <w:highlight w:val="none"/>
                <w:lang w:val="en-US" w:eastAsia="zh-CN" w:bidi="ar"/>
              </w:rPr>
              <w:t>服务</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质量</w:t>
            </w:r>
            <w:r>
              <w:rPr>
                <w:rFonts w:hint="eastAsia" w:ascii="宋体" w:hAnsi="宋体" w:cs="宋体"/>
                <w:color w:val="auto"/>
                <w:kern w:val="0"/>
                <w:sz w:val="24"/>
                <w:szCs w:val="24"/>
                <w:highlight w:val="none"/>
                <w:lang w:val="en-US" w:eastAsia="zh-CN" w:bidi="ar"/>
              </w:rPr>
              <w:t>及人员</w:t>
            </w:r>
            <w:r>
              <w:rPr>
                <w:rFonts w:hint="eastAsia" w:ascii="宋体" w:hAnsi="宋体" w:eastAsia="宋体" w:cs="宋体"/>
                <w:color w:val="auto"/>
                <w:kern w:val="0"/>
                <w:sz w:val="24"/>
                <w:szCs w:val="24"/>
                <w:highlight w:val="none"/>
                <w:lang w:bidi="ar"/>
              </w:rPr>
              <w:t>要求。</w:t>
            </w:r>
          </w:p>
        </w:tc>
        <w:tc>
          <w:tcPr>
            <w:tcW w:w="48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 w:val="24"/>
                <w:szCs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4"/>
                <w:szCs w:val="24"/>
                <w:highlight w:val="none"/>
              </w:rPr>
            </w:pPr>
          </w:p>
        </w:tc>
        <w:tc>
          <w:tcPr>
            <w:tcW w:w="561" w:type="dxa"/>
            <w:tcBorders>
              <w:top w:val="single" w:color="auto" w:sz="4" w:space="0"/>
              <w:left w:val="single" w:color="auto" w:sz="4" w:space="0"/>
            </w:tcBorders>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271" w:type="dxa"/>
            <w:tcBorders>
              <w:top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按照</w:t>
            </w:r>
            <w:r>
              <w:rPr>
                <w:rFonts w:hint="eastAsia" w:ascii="宋体" w:hAnsi="宋体" w:eastAsia="宋体" w:cs="宋体"/>
                <w:color w:val="auto"/>
                <w:kern w:val="0"/>
                <w:sz w:val="24"/>
                <w:szCs w:val="24"/>
                <w:highlight w:val="none"/>
                <w:lang w:val="en-US" w:eastAsia="zh-CN" w:bidi="ar"/>
              </w:rPr>
              <w:t>招标</w:t>
            </w:r>
            <w:r>
              <w:rPr>
                <w:rFonts w:hint="eastAsia" w:ascii="宋体" w:hAnsi="宋体" w:eastAsia="宋体" w:cs="宋体"/>
                <w:color w:val="auto"/>
                <w:kern w:val="0"/>
                <w:sz w:val="24"/>
                <w:szCs w:val="24"/>
                <w:highlight w:val="none"/>
                <w:lang w:bidi="ar"/>
              </w:rPr>
              <w:t>文件规定要求签署、盖章的。</w:t>
            </w:r>
          </w:p>
        </w:tc>
        <w:tc>
          <w:tcPr>
            <w:tcW w:w="482" w:type="dxa"/>
            <w:tcBorders>
              <w:top w:val="single" w:color="auto" w:sz="4" w:space="0"/>
              <w:left w:val="single" w:color="auto" w:sz="4" w:space="0"/>
            </w:tcBorders>
            <w:noWrap w:val="0"/>
            <w:vAlign w:val="top"/>
          </w:tcPr>
          <w:p>
            <w:pPr>
              <w:shd w:val="clear" w:color="auto" w:fill="auto"/>
              <w:rPr>
                <w:rFonts w:hint="eastAsia" w:ascii="宋体" w:hAnsi="宋体" w:eastAsia="宋体" w:cs="宋体"/>
                <w:color w:val="auto"/>
                <w:sz w:val="24"/>
                <w:szCs w:val="24"/>
                <w:highlight w:val="none"/>
              </w:rPr>
            </w:pPr>
          </w:p>
        </w:tc>
        <w:tc>
          <w:tcPr>
            <w:tcW w:w="884" w:type="dxa"/>
            <w:tcBorders>
              <w:top w:val="single" w:color="auto" w:sz="4" w:space="0"/>
              <w:right w:val="single" w:color="auto" w:sz="4" w:space="0"/>
            </w:tcBorders>
            <w:noWrap w:val="0"/>
            <w:vAlign w:val="top"/>
          </w:tcPr>
          <w:p>
            <w:pPr>
              <w:shd w:val="clear" w:color="auto" w:fill="auto"/>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6271"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投标有效期满足招标文件要求。</w:t>
            </w:r>
          </w:p>
        </w:tc>
        <w:tc>
          <w:tcPr>
            <w:tcW w:w="482" w:type="dxa"/>
            <w:tcBorders>
              <w:left w:val="single" w:color="auto" w:sz="4" w:space="0"/>
            </w:tcBorders>
            <w:noWrap w:val="0"/>
            <w:vAlign w:val="top"/>
          </w:tcPr>
          <w:p>
            <w:pPr>
              <w:shd w:val="clear" w:color="auto" w:fill="auto"/>
              <w:rPr>
                <w:rFonts w:hint="eastAsia" w:ascii="宋体" w:hAnsi="宋体" w:eastAsia="宋体" w:cs="宋体"/>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6271"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响应文件未附有采购人不能接受的附加条件及法律、法规和</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文件规定的其他无效情形。</w:t>
            </w:r>
          </w:p>
        </w:tc>
        <w:tc>
          <w:tcPr>
            <w:tcW w:w="482" w:type="dxa"/>
            <w:tcBorders>
              <w:left w:val="single" w:color="auto" w:sz="4" w:space="0"/>
            </w:tcBorders>
            <w:noWrap w:val="0"/>
            <w:vAlign w:val="top"/>
          </w:tcPr>
          <w:p>
            <w:pPr>
              <w:shd w:val="clear" w:color="auto" w:fill="auto"/>
              <w:rPr>
                <w:rFonts w:hint="eastAsia" w:ascii="宋体" w:hAnsi="宋体" w:eastAsia="宋体" w:cs="宋体"/>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4"/>
                <w:szCs w:val="24"/>
                <w:highlight w:val="none"/>
              </w:rPr>
            </w:pPr>
          </w:p>
        </w:tc>
        <w:tc>
          <w:tcPr>
            <w:tcW w:w="6832"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结论：是否通过评审（须填写通过或不通过）</w:t>
            </w:r>
          </w:p>
          <w:p>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 w:val="24"/>
                <w:szCs w:val="24"/>
                <w:highlight w:val="none"/>
              </w:rPr>
            </w:pPr>
          </w:p>
        </w:tc>
      </w:tr>
    </w:tbl>
    <w:p>
      <w:pPr>
        <w:rPr>
          <w:rFonts w:hint="eastAsia" w:ascii="宋体" w:hAnsi="宋体" w:eastAsia="宋体" w:cs="宋体"/>
          <w:color w:val="auto"/>
        </w:rPr>
      </w:pPr>
    </w:p>
    <w:p>
      <w:pPr>
        <w:shd w:val="clear" w:color="auto" w:fill="auto"/>
        <w:spacing w:before="156" w:beforeLines="50" w:line="440" w:lineRule="exact"/>
        <w:ind w:firstLine="241" w:firstLineChars="1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2.3综合评分表</w:t>
      </w:r>
    </w:p>
    <w:p>
      <w:pPr>
        <w:pStyle w:val="8"/>
        <w:ind w:firstLine="240" w:firstLineChars="100"/>
        <w:rPr>
          <w:rFonts w:hint="eastAsia" w:ascii="宋体" w:hAnsi="宋体" w:eastAsia="宋体" w:cs="宋体"/>
          <w:color w:val="auto"/>
          <w:sz w:val="24"/>
          <w:szCs w:val="24"/>
        </w:rPr>
      </w:pPr>
      <w:r>
        <w:rPr>
          <w:rFonts w:hint="eastAsia" w:ascii="宋体" w:hAnsi="宋体" w:eastAsia="宋体" w:cs="宋体"/>
          <w:b w:val="0"/>
          <w:bCs/>
          <w:color w:val="auto"/>
          <w:sz w:val="24"/>
          <w:szCs w:val="24"/>
          <w:highlight w:val="none"/>
          <w:lang w:val="en-US" w:eastAsia="zh-CN"/>
        </w:rPr>
        <w:t>评审细则</w:t>
      </w:r>
      <w:bookmarkStart w:id="91" w:name="EB2384fbc2f1234e9abdb101be34da8f0a"/>
    </w:p>
    <w:bookmarkEnd w:id="91"/>
    <w:tbl>
      <w:tblPr>
        <w:tblStyle w:val="31"/>
        <w:tblpPr w:leftFromText="180" w:rightFromText="180" w:vertAnchor="text" w:horzAnchor="page" w:tblpX="1694" w:tblpY="117"/>
        <w:tblOverlap w:val="never"/>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938"/>
        <w:gridCol w:w="1039"/>
        <w:gridCol w:w="6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9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638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95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一、价格部分（</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59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项目报价</w:t>
            </w: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20分</w:t>
            </w:r>
          </w:p>
        </w:tc>
        <w:tc>
          <w:tcPr>
            <w:tcW w:w="638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报价采用综合评分法计算，价格分统一采用低价优先法计算，即满足招标文件要求且投标价格最低的投标报价为评标基准价，其价格分为满分。其他投标人的价格分统一按照下列公式计算：投标报价得分=（评标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951" w:type="dxa"/>
            <w:gridSpan w:val="4"/>
            <w:noWrap w:val="0"/>
            <w:vAlign w:val="center"/>
          </w:tcPr>
          <w:p>
            <w:pPr>
              <w:pStyle w:val="25"/>
              <w:keepNext w:val="0"/>
              <w:keepLines w:val="0"/>
              <w:pageBreakBefore w:val="0"/>
              <w:widowControl w:val="0"/>
              <w:tabs>
                <w:tab w:val="left" w:pos="1961"/>
              </w:tabs>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二、商务技术部分（80分）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59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项目实施方案</w:t>
            </w: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15分</w:t>
            </w:r>
          </w:p>
        </w:tc>
        <w:tc>
          <w:tcPr>
            <w:tcW w:w="638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照审计内容，审计进度安排合理、措施全面、可操作性强得10-15分；审计进度安排基本合理、措施基本完善、具有一定的可操作性得8-9.9分；审计进度安排不合理、控制措施不全面、无可操作性酌情减分最低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59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15分</w:t>
            </w:r>
          </w:p>
        </w:tc>
        <w:tc>
          <w:tcPr>
            <w:tcW w:w="638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单位的服务实施方案切实可行，方案可以很好满足采购单位需求得10-15分；服务实施方案切实可行，基本满足采购单位需求得7-9.9分；服务实施方案基本可行，方案较简单得3-6.9分，服务实施方案基本不可行，不能满足采购单位需求的酌情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9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质量控制</w:t>
            </w: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20分</w:t>
            </w:r>
          </w:p>
        </w:tc>
        <w:tc>
          <w:tcPr>
            <w:tcW w:w="638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单位内部审计业务控制水平和审计质量控制能力进行综合打分。根据投标单位质量管理体系完善程度、实施情况综合打分，重点包括项目质量复核、项目质量检查、质量管理缺陷识别与整改等方面，优秀得15-20分；较好得10-14.9；一般酌情打分最低得5分。（需提供投标单位质量管理相关印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9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审计业绩</w:t>
            </w: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10分</w:t>
            </w:r>
          </w:p>
        </w:tc>
        <w:tc>
          <w:tcPr>
            <w:tcW w:w="638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投标人自2021-2023年以来审计过上市公司、大中型企业年度决算审计项目业绩，不少于2项，每提供1项得5分。(提供合同复印件，否则不得分。时间计算以报告出具日期为准)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9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项目人员配置情况</w:t>
            </w: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20分</w:t>
            </w:r>
          </w:p>
        </w:tc>
        <w:tc>
          <w:tcPr>
            <w:tcW w:w="638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一标段：本项目拟派固定参审人员不少于15人，其中：注册会计师不少于5人，本项满足基本要求后得8分；每增加一个注册会计师加4分，最高可加8分；其他参审人员每增加一个中级及以上职业资格（职称）证书，加2分，最高可加4分。（需提供参审人员注册会计师及专业技术职称资格证书复印件（原件备查）及近半年的社保缴纳证明等材料，否则不得分并不予加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二标段：本项目拟派固定参审人员不少于10人，其中：注册会计师不少于4人，本项满足基本要求后得8分；每增加一个注册会计师加4分，最高可加8分；其他参审人员每增加一个中级及以上职业资格（职称）证书，加2分，最高可加4分。（需提供参审人员注册会计师及专业技术职称资格证书复印件（原件备查）及近半年的社保缴纳证明等材料，否则不得分并不予加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三标段：本项目拟派固定参审人员不少于8人，其中：注册会计师不少于3人，本项满足基本要求后得8分；每增加一个注册会计师加4分，最高可加8分；其他参审人员每增加一个中级及以上职业资格（职称）证书，加2分，最高可加4分。（需提供参审人员注册会计师及专业技术职称资格证书复印件（原件备查）及近半年的社保缴纳证明等材料，否则不得分并不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95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说明： 当综合得分相同时，优先考虑业绩得分高者；当业绩得分相同时，优先考虑人员配置得分高机构。</w:t>
            </w:r>
          </w:p>
        </w:tc>
      </w:tr>
    </w:tbl>
    <w:p>
      <w:pPr>
        <w:widowControl/>
        <w:adjustRightInd w:val="0"/>
        <w:snapToGrid w:val="0"/>
        <w:spacing w:line="480" w:lineRule="exact"/>
        <w:rPr>
          <w:rFonts w:hint="eastAsia" w:ascii="宋体" w:hAnsi="宋体" w:eastAsia="宋体" w:cs="宋体"/>
          <w:b/>
          <w:bCs/>
          <w:color w:val="auto"/>
          <w:sz w:val="24"/>
          <w:szCs w:val="24"/>
        </w:rPr>
      </w:pPr>
    </w:p>
    <w:p>
      <w:pPr>
        <w:widowControl/>
        <w:adjustRightInd w:val="0"/>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三.推荐成交供应商</w:t>
      </w:r>
    </w:p>
    <w:p>
      <w:pPr>
        <w:widowControl/>
        <w:adjustRightInd w:val="0"/>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磋商小组应当根据综合评分情况，按照每个标段，评审得分由高到低顺序推荐3名以上成交候选供应商，并编写评审报告。评审得分相同的，最后报价低的优先。评审得分且最后报价相同的，按照技术指标优劣顺序推荐。</w:t>
      </w:r>
    </w:p>
    <w:p>
      <w:pPr>
        <w:widowControl/>
        <w:adjustRightInd w:val="0"/>
        <w:snapToGrid w:val="0"/>
        <w:spacing w:line="480"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b/>
          <w:bCs/>
          <w:color w:val="auto"/>
          <w:sz w:val="24"/>
          <w:szCs w:val="24"/>
        </w:rPr>
        <w:t>所有潜在投标供应商均可参与所有标段的投标，如出现一家供应商在多个标段中得分排名第一的情况，则优先选择其中一个标段作为中标候选供应商，其它标段由得分排名第二的供应商作为中标候选供应商，以此类推；</w:t>
      </w:r>
    </w:p>
    <w:p>
      <w:pPr>
        <w:widowControl/>
        <w:adjustRightInd w:val="0"/>
        <w:snapToGrid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2.评分计算方法解释</w:t>
      </w:r>
    </w:p>
    <w:p>
      <w:pPr>
        <w:widowControl/>
        <w:adjustRightInd w:val="0"/>
        <w:snapToGrid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（1）供应商的评审得分是指所有磋商小组成员对其评分的算术平均值。</w:t>
      </w:r>
    </w:p>
    <w:p>
      <w:pPr>
        <w:widowControl/>
        <w:adjustRightInd w:val="0"/>
        <w:snapToGrid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（2）计算过程中，算术平均值保留2位小数（百分比亦取2位小数），第三位小数四舍五入。</w:t>
      </w:r>
    </w:p>
    <w:p>
      <w:pPr>
        <w:widowControl/>
        <w:adjustRightInd w:val="0"/>
        <w:snapToGrid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四.确定成交供应商</w:t>
      </w:r>
    </w:p>
    <w:p>
      <w:pPr>
        <w:widowControl/>
        <w:adjustRightInd w:val="0"/>
        <w:snapToGrid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1.采购代理机构应当在评审结束后2个工作日内将评审报告送采购人确认。</w:t>
      </w:r>
    </w:p>
    <w:p>
      <w:pPr>
        <w:widowControl/>
        <w:adjustRightInd w:val="0"/>
        <w:snapToGrid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widowControl/>
        <w:spacing w:line="480" w:lineRule="exact"/>
        <w:jc w:val="left"/>
        <w:rPr>
          <w:rFonts w:hint="eastAsia" w:ascii="宋体" w:hAnsi="宋体" w:eastAsia="宋体" w:cs="宋体"/>
          <w:b/>
          <w:bCs/>
          <w:color w:val="auto"/>
          <w:sz w:val="24"/>
          <w:szCs w:val="24"/>
        </w:rPr>
      </w:pPr>
      <w:bookmarkStart w:id="92" w:name="_Toc28184"/>
      <w:bookmarkStart w:id="93" w:name="_Toc18050"/>
      <w:r>
        <w:rPr>
          <w:rFonts w:hint="eastAsia" w:ascii="宋体" w:hAnsi="宋体" w:eastAsia="宋体" w:cs="宋体"/>
          <w:b/>
          <w:bCs/>
          <w:color w:val="auto"/>
          <w:sz w:val="24"/>
          <w:szCs w:val="24"/>
        </w:rPr>
        <w:br w:type="page"/>
      </w:r>
    </w:p>
    <w:p>
      <w:pPr>
        <w:pStyle w:val="3"/>
        <w:spacing w:line="600" w:lineRule="auto"/>
        <w:jc w:val="center"/>
        <w:rPr>
          <w:rFonts w:hint="eastAsia" w:ascii="宋体" w:hAnsi="宋体" w:eastAsia="宋体" w:cs="宋体"/>
          <w:b/>
          <w:bCs w:val="0"/>
          <w:color w:val="auto"/>
          <w:sz w:val="24"/>
          <w:szCs w:val="24"/>
        </w:rPr>
      </w:pPr>
      <w:bookmarkStart w:id="94" w:name="_Toc11344"/>
      <w:bookmarkStart w:id="95" w:name="_Toc1437"/>
      <w:bookmarkStart w:id="96" w:name="_Toc20759"/>
      <w:bookmarkStart w:id="97" w:name="_Toc14260"/>
      <w:bookmarkStart w:id="98" w:name="_Toc4859"/>
      <w:r>
        <w:rPr>
          <w:rFonts w:hint="eastAsia" w:ascii="宋体" w:hAnsi="宋体" w:eastAsia="宋体" w:cs="宋体"/>
          <w:b/>
          <w:bCs w:val="0"/>
          <w:color w:val="auto"/>
          <w:sz w:val="24"/>
          <w:szCs w:val="24"/>
        </w:rPr>
        <w:t>第五章 合 同 条 款</w:t>
      </w:r>
      <w:bookmarkEnd w:id="92"/>
      <w:bookmarkEnd w:id="93"/>
      <w:bookmarkEnd w:id="94"/>
      <w:bookmarkEnd w:id="95"/>
      <w:bookmarkEnd w:id="96"/>
      <w:bookmarkEnd w:id="97"/>
      <w:bookmarkEnd w:id="98"/>
    </w:p>
    <w:p>
      <w:pPr>
        <w:pStyle w:val="8"/>
        <w:pageBreakBefore w:val="0"/>
        <w:numPr>
          <w:ilvl w:val="0"/>
          <w:numId w:val="0"/>
        </w:numPr>
        <w:kinsoku/>
        <w:bidi w:val="0"/>
        <w:spacing w:line="360" w:lineRule="auto"/>
        <w:ind w:leftChars="0"/>
        <w:jc w:val="center"/>
        <w:rPr>
          <w:rFonts w:hint="eastAsia" w:ascii="宋体" w:hAnsi="宋体" w:eastAsia="宋体" w:cs="宋体"/>
          <w:b/>
          <w:bCs/>
          <w:sz w:val="24"/>
          <w:szCs w:val="24"/>
          <w:lang w:val="en-US" w:eastAsia="zh-CN"/>
        </w:rPr>
      </w:pPr>
    </w:p>
    <w:p>
      <w:pPr>
        <w:pStyle w:val="8"/>
        <w:pageBreakBefore w:val="0"/>
        <w:numPr>
          <w:ilvl w:val="0"/>
          <w:numId w:val="0"/>
        </w:numPr>
        <w:kinsoku/>
        <w:bidi w:val="0"/>
        <w:spacing w:line="360" w:lineRule="auto"/>
        <w:ind w:left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（本合同仅供参考，具体合同条款甲乙双方签订为准）</w:t>
      </w:r>
    </w:p>
    <w:p>
      <w:pPr>
        <w:pStyle w:val="105"/>
        <w:pageBreakBefore w:val="0"/>
        <w:kinsoku/>
        <w:bidi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106"/>
        <w:pageBreakBefore w:val="0"/>
        <w:kinsoku/>
        <w:bidi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106"/>
        <w:pageBreakBefore w:val="0"/>
        <w:kinsoku/>
        <w:bidi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106"/>
        <w:pageBreakBefore w:val="0"/>
        <w:kinsoku/>
        <w:bidi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106"/>
        <w:pageBreakBefore w:val="0"/>
        <w:kinsoku/>
        <w:bidi w:val="0"/>
        <w:spacing w:line="360" w:lineRule="auto"/>
        <w:jc w:val="center"/>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审计服务合同</w:t>
      </w:r>
    </w:p>
    <w:p>
      <w:pPr>
        <w:pStyle w:val="106"/>
        <w:pageBreakBefore w:val="0"/>
        <w:kinsoku/>
        <w:bidi w:val="0"/>
        <w:spacing w:line="360" w:lineRule="auto"/>
        <w:ind w:left="0" w:leftChars="0" w:firstLine="0" w:firstLineChars="0"/>
        <w:rPr>
          <w:rFonts w:hint="eastAsia" w:ascii="宋体" w:hAnsi="宋体" w:eastAsia="宋体" w:cs="宋体"/>
          <w:color w:val="000000" w:themeColor="text1"/>
          <w:sz w:val="24"/>
          <w:szCs w:val="24"/>
          <w14:textFill>
            <w14:solidFill>
              <w14:schemeClr w14:val="tx1"/>
            </w14:solidFill>
          </w14:textFill>
        </w:rPr>
      </w:pPr>
    </w:p>
    <w:p>
      <w:pPr>
        <w:pStyle w:val="106"/>
        <w:pageBreakBefore w:val="0"/>
        <w:kinsoku/>
        <w:bidi w:val="0"/>
        <w:spacing w:line="360" w:lineRule="auto"/>
        <w:ind w:left="0" w:leftChars="0" w:firstLine="0" w:firstLineChars="0"/>
        <w:rPr>
          <w:rFonts w:hint="eastAsia" w:ascii="宋体" w:hAnsi="宋体" w:eastAsia="宋体" w:cs="宋体"/>
          <w:color w:val="000000" w:themeColor="text1"/>
          <w:sz w:val="24"/>
          <w:szCs w:val="24"/>
          <w14:textFill>
            <w14:solidFill>
              <w14:schemeClr w14:val="tx1"/>
            </w14:solidFill>
          </w14:textFill>
        </w:rPr>
      </w:pPr>
    </w:p>
    <w:p>
      <w:pPr>
        <w:pStyle w:val="106"/>
        <w:pageBreakBefore w:val="0"/>
        <w:kinsoku/>
        <w:bidi w:val="0"/>
        <w:spacing w:line="360" w:lineRule="auto"/>
        <w:ind w:left="0" w:leftChars="0" w:firstLine="0" w:firstLineChars="0"/>
        <w:rPr>
          <w:rFonts w:hint="eastAsia" w:ascii="宋体" w:hAnsi="宋体" w:eastAsia="宋体" w:cs="宋体"/>
          <w:color w:val="000000" w:themeColor="text1"/>
          <w:sz w:val="24"/>
          <w:szCs w:val="24"/>
          <w14:textFill>
            <w14:solidFill>
              <w14:schemeClr w14:val="tx1"/>
            </w14:solidFill>
          </w14:textFill>
        </w:rPr>
      </w:pPr>
    </w:p>
    <w:p>
      <w:pPr>
        <w:pStyle w:val="105"/>
        <w:pageBreakBefore w:val="0"/>
        <w:kinsoku/>
        <w:bidi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105"/>
        <w:pageBreakBefore w:val="0"/>
        <w:tabs>
          <w:tab w:val="left" w:pos="7350"/>
        </w:tabs>
        <w:kinsoku/>
        <w:bidi w:val="0"/>
        <w:spacing w:line="360" w:lineRule="auto"/>
        <w:rPr>
          <w:rFonts w:hint="eastAsia" w:ascii="宋体" w:hAnsi="宋体" w:eastAsia="宋体" w:cs="宋体"/>
          <w:b/>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eastAsia="宋体" w:cs="宋体"/>
          <w:b/>
          <w:color w:val="000000" w:themeColor="text1"/>
          <w:sz w:val="24"/>
          <w:szCs w:val="24"/>
          <w:u w:val="single"/>
          <w14:textFill>
            <w14:solidFill>
              <w14:schemeClr w14:val="tx1"/>
            </w14:solidFill>
          </w14:textFill>
        </w:rPr>
        <w:t xml:space="preserve">                                    </w:t>
      </w:r>
    </w:p>
    <w:p>
      <w:pPr>
        <w:pStyle w:val="105"/>
        <w:pageBreakBefore w:val="0"/>
        <w:tabs>
          <w:tab w:val="left" w:pos="7350"/>
        </w:tabs>
        <w:kinsoku/>
        <w:bidi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105"/>
        <w:pageBreakBefore w:val="0"/>
        <w:tabs>
          <w:tab w:val="left" w:pos="1260"/>
        </w:tabs>
        <w:kinsoku/>
        <w:bidi w:val="0"/>
        <w:spacing w:line="360" w:lineRule="auto"/>
        <w:rPr>
          <w:rFonts w:hint="eastAsia" w:ascii="宋体" w:hAnsi="宋体" w:eastAsia="宋体" w:cs="宋体"/>
          <w:color w:val="000000" w:themeColor="text1"/>
          <w:spacing w:val="48"/>
          <w:sz w:val="24"/>
          <w:szCs w:val="24"/>
          <w14:textFill>
            <w14:solidFill>
              <w14:schemeClr w14:val="tx1"/>
            </w14:solidFill>
          </w14:textFill>
        </w:rPr>
      </w:pPr>
      <w:r>
        <w:rPr>
          <w:rFonts w:hint="eastAsia" w:ascii="宋体" w:hAnsi="宋体" w:eastAsia="宋体" w:cs="宋体"/>
          <w:color w:val="000000" w:themeColor="text1"/>
          <w:spacing w:val="48"/>
          <w:sz w:val="24"/>
          <w:szCs w:val="24"/>
          <w14:textFill>
            <w14:solidFill>
              <w14:schemeClr w14:val="tx1"/>
            </w14:solidFill>
          </w14:textFill>
        </w:rPr>
        <w:t>委托人：</w:t>
      </w:r>
    </w:p>
    <w:p>
      <w:pPr>
        <w:pStyle w:val="105"/>
        <w:pageBreakBefore w:val="0"/>
        <w:kinsoku/>
        <w:bidi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1066800</wp:posOffset>
                </wp:positionH>
                <wp:positionV relativeFrom="paragraph">
                  <wp:posOffset>170180</wp:posOffset>
                </wp:positionV>
                <wp:extent cx="360045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36004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4pt;margin-top:13.4pt;height:0pt;width:283.5pt;z-index:251661312;mso-width-relative:page;mso-height-relative:page;" filled="f" stroked="t" coordsize="21600,21600" o:gfxdata="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Hr&#10;eJ7VAAAACQEAAA8AAAAAAAAAAQAgAAAAIgAAAGRycy9kb3ducmV2LnhtbFBLAQIUABQAAAAIAIdO&#10;4kB0fAbs7QEAANgDAAAOAAAAAAAAAAEAIAAAACQ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宋体"/>
          <w:color w:val="000000" w:themeColor="text1"/>
          <w:sz w:val="24"/>
          <w:szCs w:val="24"/>
          <w14:textFill>
            <w14:solidFill>
              <w14:schemeClr w14:val="tx1"/>
            </w14:solidFill>
          </w14:textFill>
        </w:rPr>
        <w:t>（甲方）</w:t>
      </w:r>
    </w:p>
    <w:p>
      <w:pPr>
        <w:pStyle w:val="105"/>
        <w:pageBreakBefore w:val="0"/>
        <w:kinsoku/>
        <w:bidi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105"/>
        <w:pageBreakBefore w:val="0"/>
        <w:kinsoku/>
        <w:bidi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8"/>
          <w:sz w:val="24"/>
          <w:szCs w:val="24"/>
          <w14:textFill>
            <w14:solidFill>
              <w14:schemeClr w14:val="tx1"/>
            </w14:solidFill>
          </w14:textFill>
        </w:rPr>
        <w:t>受托人</w:t>
      </w:r>
    </w:p>
    <w:p>
      <w:pPr>
        <w:pStyle w:val="105"/>
        <w:pageBreakBefore w:val="0"/>
        <w:kinsoku/>
        <w:bidi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1000125</wp:posOffset>
                </wp:positionH>
                <wp:positionV relativeFrom="paragraph">
                  <wp:posOffset>172720</wp:posOffset>
                </wp:positionV>
                <wp:extent cx="366712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36671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8.75pt;margin-top:13.6pt;height:0pt;width:288.75pt;z-index:251662336;mso-width-relative:page;mso-height-relative:page;" filled="f" stroked="t" coordsize="21600,21600" o:gfxdata="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zP+&#10;RdYAAAAJAQAADwAAAAAAAAABACAAAAAiAAAAZHJzL2Rvd25yZXYueG1sUEsBAhQAFAAAAAgAh07i&#10;QGAgkcnrAQAA2A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eastAsia="宋体" w:cs="宋体"/>
          <w:color w:val="000000" w:themeColor="text1"/>
          <w:sz w:val="24"/>
          <w:szCs w:val="24"/>
          <w14:textFill>
            <w14:solidFill>
              <w14:schemeClr w14:val="tx1"/>
            </w14:solidFill>
          </w14:textFill>
        </w:rPr>
        <w:t xml:space="preserve">（乙方）    </w:t>
      </w:r>
      <w:r>
        <w:rPr>
          <w:rFonts w:hint="eastAsia" w:ascii="宋体" w:hAnsi="宋体" w:eastAsia="宋体" w:cs="宋体"/>
          <w:b/>
          <w:color w:val="000000" w:themeColor="text1"/>
          <w:sz w:val="24"/>
          <w:szCs w:val="24"/>
          <w14:textFill>
            <w14:solidFill>
              <w14:schemeClr w14:val="tx1"/>
            </w14:solidFill>
          </w14:textFill>
        </w:rPr>
        <w:t xml:space="preserve">  </w:t>
      </w:r>
    </w:p>
    <w:p>
      <w:pPr>
        <w:pStyle w:val="105"/>
        <w:pageBreakBefore w:val="0"/>
        <w:kinsoku/>
        <w:bidi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105"/>
        <w:pageBreakBefore w:val="0"/>
        <w:kinsoku/>
        <w:bidi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105"/>
        <w:pageBreakBefore w:val="0"/>
        <w:kinsoku/>
        <w:bidi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105"/>
        <w:pageBreakBefore w:val="0"/>
        <w:kinsoku/>
        <w:bidi w:val="0"/>
        <w:spacing w:line="360" w:lineRule="auto"/>
        <w:jc w:val="center"/>
        <w:rPr>
          <w:rFonts w:hint="eastAsia" w:ascii="宋体" w:hAnsi="宋体" w:eastAsia="宋体" w:cs="宋体"/>
          <w:color w:val="000000" w:themeColor="text1"/>
          <w:spacing w:val="28"/>
          <w:sz w:val="24"/>
          <w:szCs w:val="24"/>
          <w14:textFill>
            <w14:solidFill>
              <w14:schemeClr w14:val="tx1"/>
            </w14:solidFill>
          </w14:textFill>
        </w:rPr>
      </w:pPr>
    </w:p>
    <w:p>
      <w:pPr>
        <w:pStyle w:val="106"/>
        <w:spacing w:line="360" w:lineRule="auto"/>
        <w:rPr>
          <w:rFonts w:hint="eastAsia" w:ascii="宋体" w:hAnsi="宋体" w:eastAsia="宋体" w:cs="宋体"/>
          <w:color w:val="000000" w:themeColor="text1"/>
          <w:spacing w:val="28"/>
          <w:sz w:val="24"/>
          <w:szCs w:val="24"/>
          <w14:textFill>
            <w14:solidFill>
              <w14:schemeClr w14:val="tx1"/>
            </w14:solidFill>
          </w14:textFill>
        </w:rPr>
      </w:pPr>
    </w:p>
    <w:p>
      <w:pPr>
        <w:pStyle w:val="106"/>
        <w:spacing w:line="360" w:lineRule="auto"/>
        <w:rPr>
          <w:rFonts w:hint="eastAsia" w:ascii="宋体" w:hAnsi="宋体" w:eastAsia="宋体" w:cs="宋体"/>
          <w:color w:val="000000" w:themeColor="text1"/>
          <w:spacing w:val="28"/>
          <w:sz w:val="24"/>
          <w:szCs w:val="24"/>
          <w14:textFill>
            <w14:solidFill>
              <w14:schemeClr w14:val="tx1"/>
            </w14:solidFill>
          </w14:textFill>
        </w:rPr>
      </w:pPr>
    </w:p>
    <w:p>
      <w:pPr>
        <w:pStyle w:val="106"/>
        <w:spacing w:line="360" w:lineRule="auto"/>
        <w:rPr>
          <w:rFonts w:hint="eastAsia" w:ascii="宋体" w:hAnsi="宋体" w:eastAsia="宋体" w:cs="宋体"/>
          <w:color w:val="000000" w:themeColor="text1"/>
          <w:spacing w:val="28"/>
          <w:sz w:val="24"/>
          <w:szCs w:val="24"/>
          <w14:textFill>
            <w14:solidFill>
              <w14:schemeClr w14:val="tx1"/>
            </w14:solidFill>
          </w14:textFill>
        </w:rPr>
      </w:pPr>
    </w:p>
    <w:p>
      <w:pPr>
        <w:pStyle w:val="106"/>
        <w:spacing w:line="360" w:lineRule="auto"/>
        <w:rPr>
          <w:rFonts w:hint="eastAsia" w:ascii="宋体" w:hAnsi="宋体" w:eastAsia="宋体" w:cs="宋体"/>
          <w:color w:val="000000" w:themeColor="text1"/>
          <w:spacing w:val="28"/>
          <w:sz w:val="24"/>
          <w:szCs w:val="24"/>
          <w14:textFill>
            <w14:solidFill>
              <w14:schemeClr w14:val="tx1"/>
            </w14:solidFill>
          </w14:textFill>
        </w:rPr>
      </w:pPr>
    </w:p>
    <w:p>
      <w:pPr>
        <w:pStyle w:val="106"/>
        <w:pageBreakBefore w:val="0"/>
        <w:kinsoku/>
        <w:bidi w:val="0"/>
        <w:spacing w:line="360" w:lineRule="auto"/>
        <w:ind w:left="0" w:leftChars="0" w:firstLine="0" w:firstLineChars="0"/>
        <w:rPr>
          <w:rFonts w:hint="eastAsia" w:ascii="宋体" w:hAnsi="宋体" w:eastAsia="宋体" w:cs="宋体"/>
          <w:color w:val="000000" w:themeColor="text1"/>
          <w:spacing w:val="28"/>
          <w:sz w:val="24"/>
          <w:szCs w:val="24"/>
          <w14:textFill>
            <w14:solidFill>
              <w14:schemeClr w14:val="tx1"/>
            </w14:solidFill>
          </w14:textFill>
        </w:rPr>
      </w:pPr>
    </w:p>
    <w:p>
      <w:pPr>
        <w:pStyle w:val="3"/>
        <w:spacing w:before="0" w:after="0" w:line="360" w:lineRule="auto"/>
        <w:jc w:val="center"/>
        <w:rPr>
          <w:rFonts w:hint="eastAsia" w:ascii="宋体" w:hAnsi="宋体" w:eastAsia="宋体" w:cs="宋体"/>
          <w:sz w:val="24"/>
          <w:szCs w:val="24"/>
        </w:rPr>
      </w:pPr>
      <w:r>
        <w:rPr>
          <w:rFonts w:hint="eastAsia" w:ascii="宋体" w:hAnsi="宋体" w:eastAsia="宋体" w:cs="宋体"/>
          <w:sz w:val="24"/>
          <w:szCs w:val="24"/>
        </w:rPr>
        <w:t>审计服务合同</w:t>
      </w:r>
    </w:p>
    <w:p>
      <w:pPr>
        <w:pStyle w:val="14"/>
        <w:spacing w:before="0" w:beforeAutospacing="0" w:after="0" w:afterAutospacing="0" w:line="360" w:lineRule="auto"/>
        <w:rPr>
          <w:rFonts w:hint="eastAsia" w:ascii="宋体" w:hAnsi="宋体" w:eastAsia="宋体" w:cs="宋体"/>
          <w:b/>
          <w:bCs/>
          <w:color w:val="000000"/>
          <w:sz w:val="24"/>
          <w:szCs w:val="24"/>
          <w:u w:val="single"/>
          <w:lang w:val="en-US" w:eastAsia="zh-CN"/>
        </w:rPr>
      </w:pPr>
      <w:r>
        <w:rPr>
          <w:rFonts w:hint="eastAsia" w:ascii="宋体" w:hAnsi="宋体" w:eastAsia="宋体" w:cs="宋体"/>
          <w:b/>
          <w:color w:val="000000"/>
          <w:sz w:val="24"/>
          <w:szCs w:val="24"/>
        </w:rPr>
        <w:t>甲方（委托方）：</w:t>
      </w:r>
      <w:r>
        <w:rPr>
          <w:rFonts w:hint="eastAsia" w:ascii="宋体" w:hAnsi="宋体" w:eastAsia="宋体" w:cs="宋体"/>
          <w:b/>
          <w:bCs/>
          <w:color w:val="000000"/>
          <w:sz w:val="24"/>
          <w:szCs w:val="24"/>
          <w:u w:val="single"/>
          <w:lang w:val="en-US" w:eastAsia="zh-CN"/>
        </w:rPr>
        <w:t xml:space="preserve">         </w:t>
      </w:r>
    </w:p>
    <w:p>
      <w:pPr>
        <w:pStyle w:val="14"/>
        <w:spacing w:before="0" w:beforeAutospacing="0" w:after="0" w:afterAutospacing="0" w:line="360" w:lineRule="auto"/>
        <w:rPr>
          <w:rFonts w:hint="eastAsia" w:ascii="宋体" w:hAnsi="宋体" w:eastAsia="宋体" w:cs="宋体"/>
          <w:b/>
          <w:color w:val="000000"/>
          <w:sz w:val="24"/>
          <w:szCs w:val="24"/>
          <w:u w:val="single"/>
          <w:lang w:val="en-US" w:eastAsia="zh-CN"/>
        </w:rPr>
      </w:pPr>
      <w:r>
        <w:rPr>
          <w:rFonts w:hint="eastAsia" w:ascii="宋体" w:hAnsi="宋体" w:eastAsia="宋体" w:cs="宋体"/>
          <w:b/>
          <w:color w:val="000000"/>
          <w:sz w:val="24"/>
          <w:szCs w:val="24"/>
        </w:rPr>
        <w:t>乙方（服务方）：</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b/>
          <w:color w:val="000000"/>
          <w:sz w:val="24"/>
          <w:szCs w:val="24"/>
          <w:u w:val="single"/>
          <w:lang w:val="en-US" w:eastAsia="zh-CN"/>
        </w:rPr>
        <w:t xml:space="preserve">   </w:t>
      </w:r>
    </w:p>
    <w:p>
      <w:pPr>
        <w:pStyle w:val="14"/>
        <w:spacing w:before="0" w:beforeAutospacing="0" w:after="0" w:afterAutospacing="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本合同各方经平等自愿协商，根据《中华人民共和国民法典》《中华人民共和国审计法》《中华人民共和国国家审计准则》及相关法规，就甲</w:t>
      </w:r>
      <w:r>
        <w:rPr>
          <w:rFonts w:hint="eastAsia" w:ascii="宋体" w:hAnsi="宋体" w:eastAsia="宋体" w:cs="宋体"/>
          <w:color w:val="000000"/>
          <w:sz w:val="24"/>
          <w:szCs w:val="24"/>
          <w:lang w:eastAsia="zh-Hans"/>
        </w:rPr>
        <w:t>方</w:t>
      </w:r>
      <w:r>
        <w:rPr>
          <w:rFonts w:hint="eastAsia" w:ascii="宋体" w:hAnsi="宋体" w:eastAsia="宋体" w:cs="宋体"/>
          <w:color w:val="000000"/>
          <w:sz w:val="24"/>
          <w:szCs w:val="24"/>
        </w:rPr>
        <w:t>委托乙方对州国资委监管企业（含监管企业下属全资、控股公司）开展202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年度财务决算审计工作服务事宜，签订本合同以共同遵守。</w:t>
      </w:r>
    </w:p>
    <w:p>
      <w:pPr>
        <w:pStyle w:val="5"/>
        <w:numPr>
          <w:ilvl w:val="0"/>
          <w:numId w:val="9"/>
        </w:numPr>
        <w:spacing w:before="0" w:after="0" w:line="360" w:lineRule="auto"/>
        <w:rPr>
          <w:rFonts w:hint="eastAsia" w:ascii="宋体" w:hAnsi="宋体" w:eastAsia="宋体" w:cs="宋体"/>
          <w:sz w:val="24"/>
          <w:szCs w:val="24"/>
        </w:rPr>
      </w:pPr>
      <w:r>
        <w:rPr>
          <w:rFonts w:hint="eastAsia" w:ascii="宋体" w:hAnsi="宋体" w:eastAsia="宋体" w:cs="宋体"/>
          <w:sz w:val="24"/>
          <w:szCs w:val="24"/>
        </w:rPr>
        <w:t>服务项目</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rPr>
        <w:t>审计服务项目</w:t>
      </w:r>
    </w:p>
    <w:p>
      <w:pPr>
        <w:pStyle w:val="14"/>
        <w:spacing w:before="0" w:beforeAutospacing="0" w:after="0" w:afterAutospacing="0" w:line="360" w:lineRule="auto"/>
        <w:rPr>
          <w:rFonts w:hint="eastAsia" w:ascii="宋体" w:hAnsi="宋体" w:eastAsia="宋体" w:cs="宋体"/>
          <w:color w:val="000000"/>
          <w:sz w:val="24"/>
          <w:szCs w:val="24"/>
          <w:u w:val="words"/>
          <w:lang w:val="en-US" w:eastAsia="zh-CN"/>
        </w:rPr>
      </w:pPr>
      <w:r>
        <w:rPr>
          <w:rFonts w:hint="eastAsia" w:ascii="宋体" w:hAnsi="宋体" w:eastAsia="宋体" w:cs="宋体"/>
          <w:color w:val="000000"/>
          <w:sz w:val="24"/>
          <w:szCs w:val="24"/>
        </w:rPr>
        <w:t>审计项目名称</w:t>
      </w:r>
      <w:r>
        <w:rPr>
          <w:rFonts w:hint="eastAsia" w:ascii="宋体" w:hAnsi="宋体" w:eastAsia="宋体" w:cs="宋体"/>
          <w:color w:val="000000"/>
          <w:sz w:val="24"/>
          <w:szCs w:val="24"/>
          <w:lang w:val="en-US" w:eastAsia="zh-CN"/>
        </w:rPr>
        <w:t>:</w:t>
      </w:r>
      <w:r>
        <w:rPr>
          <w:rFonts w:hint="eastAsia" w:ascii="宋体" w:hAnsi="宋体" w:eastAsia="宋体" w:cs="宋体"/>
          <w:color w:val="FFFFFF" w:themeColor="background1"/>
          <w:sz w:val="24"/>
          <w:szCs w:val="24"/>
          <w:u w:val="single"/>
          <w:lang w:val="en-US" w:eastAsia="zh-CN"/>
          <w14:textFill>
            <w14:solidFill>
              <w14:schemeClr w14:val="bg1"/>
            </w14:solidFill>
          </w14:textFill>
        </w:rPr>
        <w:t xml:space="preserve"> . </w:t>
      </w:r>
      <w:r>
        <w:rPr>
          <w:rFonts w:hint="eastAsia" w:ascii="宋体" w:hAnsi="宋体" w:eastAsia="宋体" w:cs="宋体"/>
          <w:color w:val="000000"/>
          <w:sz w:val="24"/>
          <w:szCs w:val="24"/>
          <w:u w:val="single"/>
          <w:lang w:val="en-US" w:eastAsia="zh-CN"/>
        </w:rPr>
        <w:t xml:space="preserve">                                        </w:t>
      </w:r>
    </w:p>
    <w:p>
      <w:pPr>
        <w:pStyle w:val="14"/>
        <w:spacing w:before="0" w:beforeAutospacing="0" w:after="0" w:afterAutospacing="0" w:line="360" w:lineRule="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审计服务范围</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FFFFFF" w:themeColor="background1"/>
          <w:sz w:val="24"/>
          <w:szCs w:val="24"/>
          <w:u w:val="single"/>
          <w:lang w:val="en-US" w:eastAsia="zh-CN"/>
          <w14:textFill>
            <w14:solidFill>
              <w14:schemeClr w14:val="bg1"/>
            </w14:solidFill>
          </w14:textFill>
        </w:rPr>
        <w:t>.</w:t>
      </w:r>
    </w:p>
    <w:p>
      <w:pPr>
        <w:pStyle w:val="14"/>
        <w:spacing w:before="0" w:beforeAutospacing="0" w:after="0" w:afterAutospacing="0" w:line="360" w:lineRule="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lang w:eastAsia="zh-CN"/>
        </w:rPr>
        <w:t>审计内容</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FFFFFF" w:themeColor="background1"/>
          <w:sz w:val="24"/>
          <w:szCs w:val="24"/>
          <w:u w:val="single"/>
          <w:lang w:val="en-US" w:eastAsia="zh-CN"/>
          <w14:textFill>
            <w14:solidFill>
              <w14:schemeClr w14:val="bg1"/>
            </w14:solidFill>
          </w14:textFill>
        </w:rPr>
        <w:t>.</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乙方提供的审计报告</w:t>
      </w:r>
      <w:r>
        <w:rPr>
          <w:rFonts w:hint="eastAsia" w:ascii="宋体" w:hAnsi="宋体" w:eastAsia="宋体" w:cs="宋体"/>
          <w:color w:val="000000"/>
          <w:sz w:val="24"/>
          <w:szCs w:val="24"/>
          <w:lang w:eastAsia="zh-CN"/>
        </w:rPr>
        <w:t>及管理建议书</w:t>
      </w:r>
      <w:r>
        <w:rPr>
          <w:rFonts w:hint="eastAsia" w:ascii="宋体" w:hAnsi="宋体" w:eastAsia="宋体" w:cs="宋体"/>
          <w:color w:val="000000"/>
          <w:sz w:val="24"/>
          <w:szCs w:val="24"/>
        </w:rPr>
        <w:t>应就下列方面发表审计意见：</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（1）财务报表是否在所有重大方面按照企业会计准则的规定编制；</w:t>
      </w:r>
    </w:p>
    <w:p>
      <w:pPr>
        <w:pStyle w:val="14"/>
        <w:spacing w:before="0" w:beforeAutospacing="0" w:after="0" w:afterAutospacing="0" w:line="360" w:lineRule="auto"/>
        <w:rPr>
          <w:rFonts w:hint="eastAsia" w:ascii="宋体" w:hAnsi="宋体" w:eastAsia="宋体" w:cs="宋体"/>
          <w:color w:val="000000"/>
          <w:sz w:val="24"/>
          <w:szCs w:val="24"/>
          <w:u w:val="words"/>
          <w:lang w:val="en-US" w:eastAsia="zh-CN"/>
        </w:rPr>
      </w:pPr>
      <w:r>
        <w:rPr>
          <w:rFonts w:hint="eastAsia" w:ascii="宋体" w:hAnsi="宋体" w:eastAsia="宋体" w:cs="宋体"/>
          <w:color w:val="000000"/>
          <w:sz w:val="24"/>
          <w:szCs w:val="24"/>
        </w:rPr>
        <w:t>（2）财务报表是否在所有重大方面公允反映了</w:t>
      </w:r>
      <w:r>
        <w:rPr>
          <w:rFonts w:hint="eastAsia" w:ascii="宋体" w:hAnsi="宋体" w:eastAsia="宋体" w:cs="宋体"/>
          <w:color w:val="000000"/>
          <w:sz w:val="24"/>
          <w:szCs w:val="24"/>
          <w:u w:val="single"/>
          <w:lang w:val="en-US" w:eastAsia="zh-CN"/>
        </w:rPr>
        <w:t xml:space="preserve">                  。</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审计服务期限：</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自   年   月  日起（含当日）至   年   月    日（含当日）止</w:t>
      </w:r>
      <w:r>
        <w:rPr>
          <w:rFonts w:hint="eastAsia" w:ascii="宋体" w:hAnsi="宋体" w:eastAsia="宋体" w:cs="宋体"/>
          <w:color w:val="000000"/>
          <w:sz w:val="24"/>
          <w:szCs w:val="24"/>
          <w:u w:val="single"/>
        </w:rPr>
        <w:t>完成</w:t>
      </w:r>
      <w:r>
        <w:rPr>
          <w:rFonts w:hint="eastAsia" w:ascii="宋体" w:hAnsi="宋体" w:eastAsia="宋体" w:cs="宋体"/>
          <w:color w:val="000000"/>
          <w:sz w:val="24"/>
          <w:szCs w:val="24"/>
        </w:rPr>
        <w:t>。如有特殊情形需延长期限的，须由乙方提前 3 个</w:t>
      </w:r>
      <w:r>
        <w:rPr>
          <w:rFonts w:hint="eastAsia" w:ascii="宋体" w:hAnsi="宋体" w:eastAsia="宋体" w:cs="宋体"/>
          <w:color w:val="000000"/>
          <w:sz w:val="24"/>
          <w:szCs w:val="24"/>
          <w:lang w:val="en-US" w:eastAsia="zh-CN"/>
        </w:rPr>
        <w:t>工作日</w:t>
      </w:r>
      <w:r>
        <w:rPr>
          <w:rFonts w:hint="eastAsia" w:ascii="宋体" w:hAnsi="宋体" w:eastAsia="宋体" w:cs="宋体"/>
          <w:color w:val="000000"/>
          <w:sz w:val="24"/>
          <w:szCs w:val="24"/>
        </w:rPr>
        <w:t>向甲方提交书面延期申请，甲方视情况决定是否延长。</w:t>
      </w:r>
    </w:p>
    <w:p>
      <w:pPr>
        <w:pStyle w:val="5"/>
        <w:numPr>
          <w:ilvl w:val="0"/>
          <w:numId w:val="9"/>
        </w:numPr>
        <w:spacing w:before="0" w:after="0" w:line="360" w:lineRule="auto"/>
        <w:rPr>
          <w:rFonts w:hint="eastAsia" w:ascii="宋体" w:hAnsi="宋体" w:eastAsia="宋体" w:cs="宋体"/>
          <w:sz w:val="24"/>
          <w:szCs w:val="24"/>
          <w:u w:val="none"/>
        </w:rPr>
      </w:pPr>
      <w:r>
        <w:rPr>
          <w:rFonts w:hint="eastAsia" w:ascii="宋体" w:hAnsi="宋体" w:eastAsia="宋体" w:cs="宋体"/>
          <w:sz w:val="24"/>
          <w:szCs w:val="24"/>
          <w:u w:val="none"/>
        </w:rPr>
        <w:t>服务费用</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服务费用（合同价款）</w:t>
      </w:r>
    </w:p>
    <w:p>
      <w:pPr>
        <w:pStyle w:val="14"/>
        <w:numPr>
          <w:ilvl w:val="0"/>
          <w:numId w:val="0"/>
        </w:numPr>
        <w:spacing w:before="0" w:beforeAutospacing="0" w:after="0" w:afterAutospacing="0" w:line="360" w:lineRule="auto"/>
        <w:rPr>
          <w:rFonts w:hint="eastAsia" w:ascii="宋体" w:hAnsi="宋体" w:eastAsia="宋体" w:cs="宋体"/>
          <w:b w:val="0"/>
          <w:bCs w:val="0"/>
          <w:color w:val="000000"/>
          <w:sz w:val="24"/>
          <w:szCs w:val="24"/>
          <w:u w:val="words"/>
          <w:lang w:val="en-US" w:eastAsia="zh-CN" w:bidi="ar-SA"/>
        </w:rPr>
      </w:pPr>
      <w:r>
        <w:rPr>
          <w:rFonts w:hint="eastAsia" w:ascii="宋体" w:hAnsi="宋体" w:eastAsia="宋体" w:cs="宋体"/>
          <w:color w:val="000000"/>
          <w:sz w:val="24"/>
          <w:szCs w:val="24"/>
          <w:u w:val="none"/>
        </w:rPr>
        <w:t>本次服务费用总价（合同总价款</w:t>
      </w:r>
      <w:r>
        <w:rPr>
          <w:rFonts w:hint="eastAsia" w:ascii="宋体" w:hAnsi="宋体" w:eastAsia="宋体" w:cs="宋体"/>
          <w:color w:val="000000"/>
          <w:sz w:val="24"/>
          <w:szCs w:val="24"/>
          <w:u w:val="none"/>
          <w:lang w:val="en-US" w:eastAsia="zh-CN"/>
        </w:rPr>
        <w:t>=中标价</w:t>
      </w:r>
      <w:r>
        <w:rPr>
          <w:rFonts w:hint="eastAsia" w:ascii="宋体" w:hAnsi="宋体" w:eastAsia="宋体" w:cs="宋体"/>
          <w:color w:val="000000"/>
          <w:sz w:val="24"/>
          <w:szCs w:val="24"/>
          <w:u w:val="none"/>
        </w:rPr>
        <w:t>）为：</w:t>
      </w:r>
      <w:r>
        <w:rPr>
          <w:rFonts w:hint="eastAsia" w:ascii="宋体" w:hAnsi="宋体" w:eastAsia="宋体" w:cs="宋体"/>
          <w:b w:val="0"/>
          <w:bCs w:val="0"/>
          <w:color w:val="000000"/>
          <w:sz w:val="24"/>
          <w:szCs w:val="24"/>
          <w:u w:val="single"/>
          <w:lang w:val="en-US" w:eastAsia="zh-CN" w:bidi="ar-SA"/>
        </w:rPr>
        <w:t>人民币（大写）   元（￥    元）。</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付款方式</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2.2.1 </w:t>
      </w:r>
      <w:r>
        <w:rPr>
          <w:rFonts w:hint="eastAsia" w:ascii="宋体" w:hAnsi="宋体" w:eastAsia="宋体" w:cs="宋体"/>
          <w:color w:val="000000"/>
          <w:sz w:val="24"/>
          <w:szCs w:val="24"/>
          <w:lang w:val="en-US" w:eastAsia="zh-Hans"/>
        </w:rPr>
        <w:t>乙方</w:t>
      </w:r>
      <w:r>
        <w:rPr>
          <w:rFonts w:hint="eastAsia" w:ascii="宋体" w:hAnsi="宋体" w:eastAsia="宋体" w:cs="宋体"/>
          <w:color w:val="000000"/>
          <w:sz w:val="24"/>
          <w:szCs w:val="24"/>
        </w:rPr>
        <w:t>需</w:t>
      </w:r>
      <w:r>
        <w:rPr>
          <w:rFonts w:hint="eastAsia" w:ascii="宋体" w:hAnsi="宋体" w:eastAsia="宋体" w:cs="宋体"/>
          <w:color w:val="000000"/>
          <w:sz w:val="24"/>
          <w:szCs w:val="24"/>
          <w:lang w:val="en-US" w:eastAsia="zh-Hans"/>
        </w:rPr>
        <w:t>先行</w:t>
      </w:r>
      <w:r>
        <w:rPr>
          <w:rFonts w:hint="eastAsia" w:ascii="宋体" w:hAnsi="宋体" w:eastAsia="宋体" w:cs="宋体"/>
          <w:color w:val="000000"/>
          <w:sz w:val="24"/>
          <w:szCs w:val="24"/>
        </w:rPr>
        <w:t>办理中国银行账户，</w:t>
      </w:r>
      <w:r>
        <w:rPr>
          <w:rFonts w:hint="eastAsia" w:ascii="宋体" w:hAnsi="宋体" w:eastAsia="宋体" w:cs="宋体"/>
          <w:color w:val="000000"/>
          <w:sz w:val="24"/>
          <w:szCs w:val="24"/>
          <w:lang w:val="en-US" w:eastAsia="zh-Hans"/>
        </w:rPr>
        <w:t>并</w:t>
      </w:r>
      <w:r>
        <w:rPr>
          <w:rFonts w:hint="eastAsia" w:ascii="宋体" w:hAnsi="宋体" w:eastAsia="宋体" w:cs="宋体"/>
          <w:color w:val="000000"/>
          <w:sz w:val="24"/>
          <w:szCs w:val="24"/>
        </w:rPr>
        <w:t>在银行监督下</w:t>
      </w:r>
      <w:r>
        <w:rPr>
          <w:rFonts w:hint="eastAsia" w:ascii="宋体" w:hAnsi="宋体" w:eastAsia="宋体" w:cs="宋体"/>
          <w:color w:val="000000"/>
          <w:sz w:val="24"/>
          <w:szCs w:val="24"/>
          <w:lang w:val="en-US" w:eastAsia="zh-Hans"/>
        </w:rPr>
        <w:t>与甲方</w:t>
      </w:r>
      <w:r>
        <w:rPr>
          <w:rFonts w:hint="eastAsia" w:ascii="宋体" w:hAnsi="宋体" w:eastAsia="宋体" w:cs="宋体"/>
          <w:color w:val="000000"/>
          <w:sz w:val="24"/>
          <w:szCs w:val="24"/>
        </w:rPr>
        <w:t>签订监管(三方)协议，</w:t>
      </w:r>
      <w:r>
        <w:rPr>
          <w:rFonts w:hint="eastAsia" w:ascii="宋体" w:hAnsi="宋体" w:eastAsia="宋体" w:cs="宋体"/>
          <w:color w:val="000000"/>
          <w:sz w:val="24"/>
          <w:szCs w:val="24"/>
          <w:lang w:val="en-US" w:eastAsia="zh-Hans"/>
        </w:rPr>
        <w:t>该</w:t>
      </w:r>
      <w:r>
        <w:rPr>
          <w:rFonts w:hint="eastAsia" w:ascii="宋体" w:hAnsi="宋体" w:eastAsia="宋体" w:cs="宋体"/>
          <w:color w:val="000000"/>
          <w:sz w:val="24"/>
          <w:szCs w:val="24"/>
        </w:rPr>
        <w:t>监管(三方)协议</w:t>
      </w:r>
      <w:r>
        <w:rPr>
          <w:rFonts w:hint="eastAsia" w:ascii="宋体" w:hAnsi="宋体" w:eastAsia="宋体" w:cs="宋体"/>
          <w:color w:val="000000"/>
          <w:sz w:val="24"/>
          <w:szCs w:val="24"/>
          <w:lang w:val="en-US" w:eastAsia="zh-Hans"/>
        </w:rPr>
        <w:t>应当作为本合同的附件</w:t>
      </w:r>
      <w:r>
        <w:rPr>
          <w:rFonts w:hint="eastAsia" w:ascii="宋体" w:hAnsi="宋体" w:eastAsia="宋体" w:cs="宋体"/>
          <w:color w:val="000000"/>
          <w:sz w:val="24"/>
          <w:szCs w:val="24"/>
          <w:lang w:val="en-US" w:eastAsia="zh-CN"/>
        </w:rPr>
        <w:t>。</w:t>
      </w:r>
    </w:p>
    <w:p>
      <w:pPr>
        <w:pStyle w:val="14"/>
        <w:spacing w:before="0" w:beforeAutospacing="0" w:after="0" w:afterAutospacing="0"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2.2.2 </w:t>
      </w:r>
      <w:r>
        <w:rPr>
          <w:rFonts w:hint="eastAsia" w:ascii="宋体" w:hAnsi="宋体" w:eastAsia="宋体" w:cs="宋体"/>
          <w:color w:val="000000"/>
          <w:sz w:val="24"/>
          <w:szCs w:val="24"/>
        </w:rPr>
        <w:t>甲方</w:t>
      </w:r>
      <w:r>
        <w:rPr>
          <w:rFonts w:hint="eastAsia" w:ascii="宋体" w:hAnsi="宋体" w:eastAsia="宋体" w:cs="宋体"/>
          <w:color w:val="000000"/>
          <w:sz w:val="24"/>
          <w:szCs w:val="24"/>
          <w:lang w:val="en-US" w:eastAsia="zh-Hans"/>
        </w:rPr>
        <w:t>在</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Hans"/>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Hans"/>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Hans"/>
        </w:rPr>
        <w:t>日</w:t>
      </w:r>
      <w:r>
        <w:rPr>
          <w:rFonts w:hint="eastAsia" w:ascii="宋体" w:hAnsi="宋体" w:eastAsia="宋体" w:cs="宋体"/>
          <w:color w:val="000000"/>
          <w:sz w:val="24"/>
          <w:szCs w:val="24"/>
          <w:lang w:val="en-US" w:eastAsia="zh-Hans"/>
        </w:rPr>
        <w:t>之前</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向本合同约定的三方监管账户支付合同约定的全部款项</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即</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lang w:val="en-US" w:eastAsia="zh-Hans"/>
        </w:rPr>
        <w:t>元</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监管</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三方</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协议确定乙方可以实际取得款项的时间分别为</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p>
    <w:p>
      <w:pPr>
        <w:pStyle w:val="14"/>
        <w:spacing w:before="0" w:beforeAutospacing="0" w:after="0" w:afterAutospacing="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在下属约定的首笔款支付时间之前一次性将服务费用汇入此账户，乙方根据下述工程进度支付条款时间，分批使用此项费用，乙方未经甲方批准无资金使用权。</w:t>
      </w:r>
    </w:p>
    <w:p>
      <w:pPr>
        <w:pStyle w:val="14"/>
        <w:spacing w:before="0" w:beforeAutospacing="0" w:after="0" w:afterAutospacing="0"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首笔款：</w:t>
      </w:r>
      <w:r>
        <w:rPr>
          <w:rFonts w:hint="eastAsia" w:ascii="宋体" w:hAnsi="宋体" w:eastAsia="宋体" w:cs="宋体"/>
          <w:color w:val="000000"/>
          <w:sz w:val="24"/>
          <w:szCs w:val="24"/>
          <w:highlight w:val="none"/>
          <w:u w:val="single"/>
          <w:lang w:eastAsia="zh-CN"/>
        </w:rPr>
        <w:t>中标价的</w:t>
      </w:r>
      <w:r>
        <w:rPr>
          <w:rFonts w:hint="eastAsia" w:ascii="宋体" w:hAnsi="宋体" w:eastAsia="宋体" w:cs="宋体"/>
          <w:color w:val="000000"/>
          <w:sz w:val="24"/>
          <w:szCs w:val="24"/>
          <w:highlight w:val="none"/>
          <w:u w:val="single"/>
          <w:lang w:val="en-US" w:eastAsia="zh-CN"/>
        </w:rPr>
        <w:t>60%（</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eastAsia="zh-CN"/>
        </w:rPr>
        <w:t>元）</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u w:val="single"/>
          <w:lang w:eastAsia="zh-Hans"/>
        </w:rPr>
        <w:t>在</w:t>
      </w:r>
      <w:r>
        <w:rPr>
          <w:rFonts w:hint="eastAsia" w:ascii="宋体" w:hAnsi="宋体" w:eastAsia="宋体" w:cs="宋体"/>
          <w:color w:val="000000"/>
          <w:sz w:val="24"/>
          <w:szCs w:val="24"/>
          <w:highlight w:val="none"/>
          <w:u w:val="single"/>
        </w:rPr>
        <w:t>本合同签订</w:t>
      </w:r>
      <w:r>
        <w:rPr>
          <w:rFonts w:hint="eastAsia" w:ascii="宋体" w:hAnsi="宋体" w:eastAsia="宋体" w:cs="宋体"/>
          <w:color w:val="000000"/>
          <w:sz w:val="24"/>
          <w:szCs w:val="24"/>
          <w:highlight w:val="none"/>
          <w:u w:val="single"/>
          <w:lang w:eastAsia="zh-Hans"/>
        </w:rPr>
        <w:t>且乙方进场后</w:t>
      </w:r>
      <w:r>
        <w:rPr>
          <w:rFonts w:hint="eastAsia" w:ascii="宋体" w:hAnsi="宋体" w:eastAsia="宋体" w:cs="宋体"/>
          <w:color w:val="000000"/>
          <w:sz w:val="24"/>
          <w:szCs w:val="24"/>
          <w:highlight w:val="none"/>
          <w:u w:val="single"/>
        </w:rPr>
        <w:t>5个工作日内</w:t>
      </w:r>
      <w:r>
        <w:rPr>
          <w:rFonts w:hint="eastAsia" w:ascii="宋体" w:hAnsi="宋体" w:eastAsia="宋体" w:cs="宋体"/>
          <w:color w:val="000000"/>
          <w:sz w:val="24"/>
          <w:szCs w:val="24"/>
          <w:highlight w:val="none"/>
          <w:u w:val="single"/>
          <w:lang w:eastAsia="zh-Hans"/>
        </w:rPr>
        <w:t>由甲方</w:t>
      </w:r>
      <w:r>
        <w:rPr>
          <w:rFonts w:hint="eastAsia" w:ascii="宋体" w:hAnsi="宋体" w:eastAsia="宋体" w:cs="宋体"/>
          <w:color w:val="000000"/>
          <w:sz w:val="24"/>
          <w:szCs w:val="24"/>
          <w:highlight w:val="none"/>
          <w:u w:val="single"/>
        </w:rPr>
        <w:t>支付</w:t>
      </w:r>
      <w:r>
        <w:rPr>
          <w:rFonts w:hint="eastAsia" w:ascii="宋体" w:hAnsi="宋体" w:eastAsia="宋体" w:cs="宋体"/>
          <w:color w:val="000000"/>
          <w:sz w:val="24"/>
          <w:szCs w:val="24"/>
          <w:highlight w:val="none"/>
          <w:u w:val="single"/>
          <w:lang w:eastAsia="zh-CN"/>
        </w:rPr>
        <w:t>。</w:t>
      </w:r>
    </w:p>
    <w:p>
      <w:pPr>
        <w:pStyle w:val="14"/>
        <w:spacing w:before="0" w:beforeAutospacing="0" w:after="0" w:afterAutospacing="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尾款：乙方按照甲方工作要求和时限完成审计工作，出具合并审计报告</w:t>
      </w:r>
      <w:r>
        <w:rPr>
          <w:rFonts w:hint="eastAsia" w:ascii="宋体" w:hAnsi="宋体" w:eastAsia="宋体" w:cs="宋体"/>
          <w:color w:val="000000"/>
          <w:sz w:val="24"/>
          <w:szCs w:val="24"/>
          <w:highlight w:val="none"/>
          <w:lang w:eastAsia="zh-CN"/>
        </w:rPr>
        <w:t>和管理建议书</w:t>
      </w:r>
      <w:r>
        <w:rPr>
          <w:rFonts w:hint="eastAsia" w:ascii="宋体" w:hAnsi="宋体" w:eastAsia="宋体" w:cs="宋体"/>
          <w:color w:val="000000"/>
          <w:sz w:val="24"/>
          <w:szCs w:val="24"/>
          <w:highlight w:val="none"/>
        </w:rPr>
        <w:t>，完成复核工作，经甲方审核无误并书面确认后</w:t>
      </w:r>
      <w:r>
        <w:rPr>
          <w:rFonts w:hint="eastAsia" w:ascii="宋体" w:hAnsi="宋体" w:eastAsia="宋体" w:cs="宋体"/>
          <w:color w:val="000000"/>
          <w:sz w:val="24"/>
          <w:szCs w:val="24"/>
          <w:highlight w:val="none"/>
          <w:lang w:val="en-US" w:eastAsia="zh-CN"/>
        </w:rPr>
        <w:t>5个</w:t>
      </w:r>
      <w:r>
        <w:rPr>
          <w:rFonts w:hint="eastAsia" w:ascii="宋体" w:hAnsi="宋体" w:eastAsia="宋体" w:cs="宋体"/>
          <w:color w:val="000000"/>
          <w:sz w:val="24"/>
          <w:szCs w:val="24"/>
          <w:highlight w:val="none"/>
          <w:lang w:eastAsia="zh-CN"/>
        </w:rPr>
        <w:t>工</w:t>
      </w:r>
      <w:r>
        <w:rPr>
          <w:rFonts w:hint="eastAsia" w:ascii="宋体" w:hAnsi="宋体" w:eastAsia="宋体" w:cs="宋体"/>
          <w:color w:val="000000"/>
          <w:sz w:val="24"/>
          <w:szCs w:val="24"/>
          <w:highlight w:val="none"/>
        </w:rPr>
        <w:t>作日内，由</w:t>
      </w:r>
      <w:r>
        <w:rPr>
          <w:rFonts w:hint="eastAsia" w:ascii="宋体" w:hAnsi="宋体" w:eastAsia="宋体" w:cs="宋体"/>
          <w:color w:val="000000"/>
          <w:sz w:val="24"/>
          <w:szCs w:val="24"/>
          <w:highlight w:val="none"/>
          <w:lang w:val="en-US" w:eastAsia="zh-CN"/>
        </w:rPr>
        <w:t>甲</w:t>
      </w:r>
      <w:r>
        <w:rPr>
          <w:rFonts w:hint="eastAsia" w:ascii="宋体" w:hAnsi="宋体" w:eastAsia="宋体" w:cs="宋体"/>
          <w:color w:val="000000"/>
          <w:sz w:val="24"/>
          <w:szCs w:val="24"/>
          <w:highlight w:val="none"/>
        </w:rPr>
        <w:t>方支付剩余费用</w:t>
      </w:r>
      <w:r>
        <w:rPr>
          <w:rFonts w:hint="eastAsia" w:ascii="宋体" w:hAnsi="宋体" w:eastAsia="宋体" w:cs="宋体"/>
          <w:color w:val="000000"/>
          <w:sz w:val="24"/>
          <w:szCs w:val="24"/>
          <w:highlight w:val="none"/>
          <w:u w:val="single"/>
          <w:lang w:val="en-US" w:eastAsia="zh-CN"/>
        </w:rPr>
        <w:t xml:space="preserve"> 40%（</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eastAsia="zh-CN"/>
        </w:rPr>
        <w:t>元</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乙方指定收款账号：</w:t>
      </w:r>
      <w:r>
        <w:rPr>
          <w:rFonts w:hint="eastAsia" w:ascii="宋体" w:hAnsi="宋体" w:eastAsia="宋体" w:cs="宋体"/>
          <w:color w:val="000000"/>
          <w:sz w:val="24"/>
          <w:szCs w:val="24"/>
          <w:lang w:val="en-US" w:eastAsia="zh-CN"/>
        </w:rPr>
        <w:t xml:space="preserve"> </w:t>
      </w:r>
    </w:p>
    <w:p>
      <w:pPr>
        <w:pStyle w:val="14"/>
        <w:spacing w:before="0" w:beforeAutospacing="0" w:after="0" w:afterAutospacing="0" w:line="360" w:lineRule="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户名：</w:t>
      </w:r>
      <w:r>
        <w:rPr>
          <w:rFonts w:hint="eastAsia" w:ascii="宋体" w:hAnsi="宋体" w:eastAsia="宋体" w:cs="宋体"/>
          <w:color w:val="000000"/>
          <w:sz w:val="24"/>
          <w:szCs w:val="24"/>
          <w:lang w:val="en-US" w:eastAsia="zh-CN"/>
        </w:rPr>
        <w:t xml:space="preserve"> </w:t>
      </w:r>
    </w:p>
    <w:p>
      <w:pPr>
        <w:pStyle w:val="14"/>
        <w:spacing w:before="0" w:beforeAutospacing="0" w:after="0" w:afterAutospacing="0" w:line="360" w:lineRule="auto"/>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u w:val="none"/>
          <w:lang w:eastAsia="zh-CN"/>
        </w:rPr>
        <w:t>账号：</w:t>
      </w:r>
      <w:r>
        <w:rPr>
          <w:rFonts w:hint="eastAsia" w:ascii="宋体" w:hAnsi="宋体" w:eastAsia="宋体" w:cs="宋体"/>
          <w:color w:val="000000"/>
          <w:sz w:val="24"/>
          <w:szCs w:val="24"/>
          <w:u w:val="single"/>
          <w:lang w:eastAsia="zh-CN"/>
        </w:rPr>
        <w:br w:type="textWrapping"/>
      </w:r>
      <w:r>
        <w:rPr>
          <w:rFonts w:hint="eastAsia" w:ascii="宋体" w:hAnsi="宋体" w:eastAsia="宋体" w:cs="宋体"/>
          <w:color w:val="000000"/>
          <w:sz w:val="24"/>
          <w:szCs w:val="24"/>
          <w:u w:val="none"/>
          <w:lang w:eastAsia="zh-CN"/>
        </w:rPr>
        <w:t>开户行：</w:t>
      </w:r>
    </w:p>
    <w:p>
      <w:pPr>
        <w:pStyle w:val="14"/>
        <w:spacing w:before="0" w:beforeAutospacing="0" w:after="0" w:afterAutospacing="0" w:line="360" w:lineRule="auto"/>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u w:val="none"/>
          <w:lang w:eastAsia="zh-CN"/>
        </w:rPr>
        <w:t>行号：</w:t>
      </w:r>
    </w:p>
    <w:p>
      <w:pPr>
        <w:pStyle w:val="14"/>
        <w:spacing w:before="0" w:beforeAutospacing="0" w:after="0" w:afterAutospacing="0" w:line="360" w:lineRule="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none"/>
          <w:lang w:eastAsia="zh-CN"/>
        </w:rPr>
        <w:t>税号：</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乙方未授权任何员工、第三方收款；付款方未向指定账号付款导致损失的，乙方不承担任何责任。</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发票</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Hans"/>
        </w:rPr>
        <w:t>.</w:t>
      </w:r>
      <w:r>
        <w:rPr>
          <w:rFonts w:hint="eastAsia" w:ascii="宋体" w:hAnsi="宋体" w:eastAsia="宋体" w:cs="宋体"/>
          <w:color w:val="000000"/>
          <w:sz w:val="24"/>
          <w:szCs w:val="24"/>
          <w:lang w:eastAsia="zh-Hans"/>
        </w:rPr>
        <w:t>4</w:t>
      </w:r>
      <w:r>
        <w:rPr>
          <w:rFonts w:hint="eastAsia" w:ascii="宋体" w:hAnsi="宋体" w:eastAsia="宋体" w:cs="宋体"/>
          <w:color w:val="000000"/>
          <w:sz w:val="24"/>
          <w:szCs w:val="24"/>
          <w:lang w:val="en-US" w:eastAsia="zh-Hans"/>
        </w:rPr>
        <w:t>.</w:t>
      </w:r>
      <w:r>
        <w:rPr>
          <w:rFonts w:hint="eastAsia" w:ascii="宋体" w:hAnsi="宋体" w:eastAsia="宋体" w:cs="宋体"/>
          <w:color w:val="000000"/>
          <w:sz w:val="24"/>
          <w:szCs w:val="24"/>
          <w:lang w:eastAsia="zh-Hans"/>
        </w:rPr>
        <w:t>1</w:t>
      </w:r>
      <w:r>
        <w:rPr>
          <w:rFonts w:hint="eastAsia" w:ascii="宋体" w:hAnsi="宋体" w:eastAsia="宋体" w:cs="宋体"/>
          <w:color w:val="000000"/>
          <w:sz w:val="24"/>
          <w:szCs w:val="24"/>
        </w:rPr>
        <w:t>乙方应向甲方提供正规足额增值税专用发票。发票信息如下：</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公司名称：  </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纳税人识别号：  </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地址、电话：  </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开户行及账号：  </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货物或应税劳务名称：  </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增值税率：  </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sz w:val="24"/>
          <w:szCs w:val="24"/>
          <w:lang w:eastAsia="zh-Hans"/>
        </w:rPr>
        <w:t>2</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4</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2</w:t>
      </w:r>
      <w:r>
        <w:rPr>
          <w:rFonts w:hint="eastAsia" w:ascii="宋体" w:hAnsi="宋体" w:eastAsia="宋体" w:cs="宋体"/>
          <w:sz w:val="24"/>
          <w:szCs w:val="24"/>
          <w:lang w:val="en-US" w:eastAsia="zh-Hans"/>
        </w:rPr>
        <w:t>甲方在向三方监管账户付款前</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乙方应当按照甲方要求</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提供符合甲方要求的发票</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否则甲方有权拒绝付款</w:t>
      </w:r>
      <w:r>
        <w:rPr>
          <w:rFonts w:hint="eastAsia" w:ascii="宋体" w:hAnsi="宋体" w:eastAsia="宋体" w:cs="宋体"/>
          <w:sz w:val="24"/>
          <w:szCs w:val="24"/>
          <w:lang w:eastAsia="zh-Hans"/>
        </w:rPr>
        <w:t>。</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差旅费用与其他费用</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乙方提供本次服务中涉及到的差旅、文印等其他成本支出，</w:t>
      </w:r>
      <w:r>
        <w:rPr>
          <w:rFonts w:hint="eastAsia" w:ascii="宋体" w:hAnsi="宋体" w:eastAsia="宋体" w:cs="宋体"/>
          <w:color w:val="000000"/>
          <w:sz w:val="24"/>
          <w:szCs w:val="24"/>
          <w:lang w:val="en-US" w:eastAsia="zh-Hans"/>
        </w:rPr>
        <w:t>均</w:t>
      </w:r>
      <w:r>
        <w:rPr>
          <w:rFonts w:hint="eastAsia" w:ascii="宋体" w:hAnsi="宋体" w:eastAsia="宋体" w:cs="宋体"/>
          <w:color w:val="000000"/>
          <w:sz w:val="24"/>
          <w:szCs w:val="24"/>
        </w:rPr>
        <w:t>由乙方自行承担。</w:t>
      </w:r>
    </w:p>
    <w:p>
      <w:pPr>
        <w:pStyle w:val="5"/>
        <w:numPr>
          <w:ilvl w:val="0"/>
          <w:numId w:val="9"/>
        </w:numPr>
        <w:spacing w:before="0" w:after="0" w:line="360" w:lineRule="auto"/>
        <w:rPr>
          <w:rFonts w:hint="eastAsia" w:ascii="宋体" w:hAnsi="宋体" w:eastAsia="宋体" w:cs="宋体"/>
          <w:sz w:val="24"/>
          <w:szCs w:val="24"/>
        </w:rPr>
      </w:pPr>
      <w:r>
        <w:rPr>
          <w:rFonts w:hint="eastAsia" w:ascii="宋体" w:hAnsi="宋体" w:eastAsia="宋体" w:cs="宋体"/>
          <w:sz w:val="24"/>
          <w:szCs w:val="24"/>
        </w:rPr>
        <w:t>委托方及审计企业配合</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资料提供</w:t>
      </w:r>
    </w:p>
    <w:p>
      <w:pPr>
        <w:pStyle w:val="14"/>
        <w:numPr>
          <w:ilvl w:val="2"/>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应向乙方提供真实、合法、完整的资料，并将所有对审计结果产生影响的事实如实告知乙方。</w:t>
      </w:r>
    </w:p>
    <w:p>
      <w:pPr>
        <w:pStyle w:val="14"/>
        <w:numPr>
          <w:ilvl w:val="2"/>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应及时为乙方的审计服务提供与本次审计服务有关的所有记录、文件和所需的其他信息，应确保乙方不受限制地接触任何与本次审计有关的记录、文件和所需的其他信息，并保证所提供资料的真实性和完整性。</w:t>
      </w:r>
    </w:p>
    <w:p>
      <w:pPr>
        <w:pStyle w:val="14"/>
        <w:numPr>
          <w:ilvl w:val="2"/>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本合同签订</w:t>
      </w:r>
      <w:r>
        <w:rPr>
          <w:rFonts w:hint="eastAsia" w:ascii="宋体" w:hAnsi="宋体" w:eastAsia="宋体" w:cs="宋体"/>
          <w:color w:val="000000"/>
          <w:sz w:val="24"/>
          <w:szCs w:val="24"/>
          <w:lang w:eastAsia="zh-Hans"/>
        </w:rPr>
        <w:t>后</w:t>
      </w:r>
      <w:r>
        <w:rPr>
          <w:rFonts w:hint="eastAsia" w:ascii="宋体" w:hAnsi="宋体" w:eastAsia="宋体" w:cs="宋体"/>
          <w:color w:val="000000"/>
          <w:sz w:val="24"/>
          <w:szCs w:val="24"/>
        </w:rPr>
        <w:t>，应</w:t>
      </w:r>
      <w:r>
        <w:rPr>
          <w:rFonts w:hint="eastAsia" w:ascii="宋体" w:hAnsi="宋体" w:eastAsia="宋体" w:cs="宋体"/>
          <w:color w:val="000000"/>
          <w:sz w:val="24"/>
          <w:szCs w:val="24"/>
          <w:lang w:eastAsia="zh-Hans"/>
        </w:rPr>
        <w:t>及时</w:t>
      </w:r>
      <w:r>
        <w:rPr>
          <w:rFonts w:hint="eastAsia" w:ascii="宋体" w:hAnsi="宋体" w:eastAsia="宋体" w:cs="宋体"/>
          <w:color w:val="000000"/>
          <w:sz w:val="24"/>
          <w:szCs w:val="24"/>
        </w:rPr>
        <w:t>向乙方提供乙方要求的全部资料。</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沟通协助</w:t>
      </w:r>
    </w:p>
    <w:p>
      <w:pPr>
        <w:pStyle w:val="14"/>
        <w:numPr>
          <w:ilvl w:val="2"/>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应为乙方派出的工作人员提供必要的工作条件和协助。</w:t>
      </w:r>
    </w:p>
    <w:p>
      <w:pPr>
        <w:pStyle w:val="14"/>
        <w:numPr>
          <w:ilvl w:val="2"/>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应确保乙方不受限制地接触其认为必要的</w:t>
      </w:r>
      <w:r>
        <w:rPr>
          <w:rFonts w:hint="eastAsia" w:ascii="宋体" w:hAnsi="宋体" w:eastAsia="宋体" w:cs="宋体"/>
          <w:color w:val="000000"/>
          <w:sz w:val="24"/>
          <w:szCs w:val="24"/>
          <w:lang w:val="en-US" w:eastAsia="zh-CN"/>
        </w:rPr>
        <w:t>被审计单位</w:t>
      </w:r>
      <w:r>
        <w:rPr>
          <w:rFonts w:hint="eastAsia" w:ascii="宋体" w:hAnsi="宋体" w:eastAsia="宋体" w:cs="宋体"/>
          <w:color w:val="000000"/>
          <w:sz w:val="24"/>
          <w:szCs w:val="24"/>
        </w:rPr>
        <w:t>内部人员和其他相关人员。</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Hans"/>
        </w:rPr>
        <w:t>委托方及审计企业</w:t>
      </w:r>
      <w:r>
        <w:rPr>
          <w:rFonts w:hint="eastAsia" w:ascii="宋体" w:hAnsi="宋体" w:eastAsia="宋体" w:cs="宋体"/>
          <w:color w:val="000000"/>
          <w:sz w:val="24"/>
          <w:szCs w:val="24"/>
        </w:rPr>
        <w:t>使用乙方审计成果的要求</w:t>
      </w:r>
    </w:p>
    <w:p>
      <w:pPr>
        <w:pStyle w:val="14"/>
        <w:numPr>
          <w:ilvl w:val="2"/>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在提交或对外公布乙方出具的审计报告时，不得对其进行修改。当</w:t>
      </w:r>
      <w:r>
        <w:rPr>
          <w:rFonts w:hint="eastAsia" w:ascii="宋体" w:hAnsi="宋体" w:eastAsia="宋体" w:cs="宋体"/>
          <w:color w:val="000000"/>
          <w:sz w:val="24"/>
          <w:szCs w:val="24"/>
          <w:lang w:val="en-US" w:eastAsia="zh-Hans"/>
        </w:rPr>
        <w:t>委托方及审计企业</w:t>
      </w:r>
      <w:r>
        <w:rPr>
          <w:rFonts w:hint="eastAsia" w:ascii="宋体" w:hAnsi="宋体" w:eastAsia="宋体" w:cs="宋体"/>
          <w:color w:val="000000"/>
          <w:sz w:val="24"/>
          <w:szCs w:val="24"/>
        </w:rPr>
        <w:t>认为有必要修改时，应当通知乙方，乙方将考虑有关修改对审计成果的影响，由乙方考虑是否重新出具审计成果。</w:t>
      </w:r>
    </w:p>
    <w:p>
      <w:pPr>
        <w:pStyle w:val="5"/>
        <w:numPr>
          <w:ilvl w:val="0"/>
          <w:numId w:val="9"/>
        </w:numPr>
        <w:spacing w:before="0" w:after="0" w:line="360" w:lineRule="auto"/>
        <w:rPr>
          <w:rFonts w:hint="eastAsia" w:ascii="宋体" w:hAnsi="宋体" w:eastAsia="宋体" w:cs="宋体"/>
          <w:sz w:val="24"/>
          <w:szCs w:val="24"/>
        </w:rPr>
      </w:pPr>
      <w:r>
        <w:rPr>
          <w:rFonts w:hint="eastAsia" w:ascii="宋体" w:hAnsi="宋体" w:eastAsia="宋体" w:cs="宋体"/>
          <w:sz w:val="24"/>
          <w:szCs w:val="24"/>
        </w:rPr>
        <w:t>审计服务要求</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lang w:eastAsia="zh-Hans"/>
        </w:rPr>
      </w:pPr>
      <w:r>
        <w:rPr>
          <w:rFonts w:hint="eastAsia" w:ascii="宋体" w:hAnsi="宋体" w:eastAsia="宋体" w:cs="宋体"/>
          <w:color w:val="000000"/>
          <w:sz w:val="24"/>
          <w:szCs w:val="24"/>
          <w:lang w:eastAsia="zh-Hans"/>
        </w:rPr>
        <w:t>乙方指</w:t>
      </w:r>
      <w:r>
        <w:rPr>
          <w:rFonts w:hint="eastAsia" w:ascii="宋体" w:hAnsi="宋体" w:eastAsia="宋体" w:cs="宋体"/>
          <w:color w:val="000000"/>
          <w:sz w:val="24"/>
          <w:szCs w:val="24"/>
        </w:rPr>
        <w:t>派固定业务人员</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第一标段：拟派固定业务人员不低于15 人，其中：固定注册会计师人员不低于</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人，其他参审人员不低于1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第二标段：拟派固定业务人员不低于10 人，其中：固定注册会计师人员不低于</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人，其他参审人员不低于</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第三标段：拟派固定业务人员不低于</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 xml:space="preserve"> 人，其中：固定注册会计师人员不低于</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人，其他参审人员不低于5人</w:t>
      </w:r>
      <w:r>
        <w:rPr>
          <w:rFonts w:hint="eastAsia" w:ascii="宋体" w:hAnsi="宋体" w:eastAsia="宋体" w:cs="宋体"/>
          <w:color w:val="000000"/>
          <w:sz w:val="24"/>
          <w:szCs w:val="24"/>
          <w:lang w:eastAsia="zh-CN"/>
        </w:rPr>
        <w:t>）（需附：项目指派固定人员名单及相关证件，在本单位注册的会计师证复印件并提供近半年的社保缴纳证明）</w:t>
      </w:r>
      <w:r>
        <w:rPr>
          <w:rFonts w:hint="eastAsia" w:ascii="宋体" w:hAnsi="宋体" w:eastAsia="宋体" w:cs="宋体"/>
          <w:color w:val="000000"/>
          <w:sz w:val="24"/>
          <w:szCs w:val="24"/>
        </w:rPr>
        <w:t>；</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lang w:eastAsia="zh-Hans"/>
        </w:rPr>
      </w:pPr>
      <w:r>
        <w:rPr>
          <w:rFonts w:hint="eastAsia" w:ascii="宋体" w:hAnsi="宋体" w:eastAsia="宋体" w:cs="宋体"/>
          <w:color w:val="000000"/>
          <w:sz w:val="24"/>
          <w:szCs w:val="24"/>
          <w:lang w:eastAsia="zh-Hans"/>
        </w:rPr>
        <w:t>乙方</w:t>
      </w:r>
      <w:r>
        <w:rPr>
          <w:rFonts w:hint="eastAsia" w:ascii="宋体" w:hAnsi="宋体" w:eastAsia="宋体" w:cs="宋体"/>
          <w:color w:val="000000"/>
          <w:sz w:val="24"/>
          <w:szCs w:val="24"/>
        </w:rPr>
        <w:t>项目的总负责人负责与</w:t>
      </w:r>
      <w:r>
        <w:rPr>
          <w:rFonts w:hint="eastAsia" w:ascii="宋体" w:hAnsi="宋体" w:eastAsia="宋体" w:cs="宋体"/>
          <w:color w:val="000000"/>
          <w:sz w:val="24"/>
          <w:szCs w:val="24"/>
          <w:lang w:eastAsia="zh-Hans"/>
        </w:rPr>
        <w:t>甲方</w:t>
      </w:r>
      <w:r>
        <w:rPr>
          <w:rFonts w:hint="eastAsia" w:ascii="宋体" w:hAnsi="宋体" w:eastAsia="宋体" w:cs="宋体"/>
          <w:color w:val="000000"/>
          <w:sz w:val="24"/>
          <w:szCs w:val="24"/>
        </w:rPr>
        <w:t>进行沟通、洽商以及服务反馈；服务期间，项目总负责人不少于8次到项目现场对派遣人员进行监督指导和检查，复核审计实施方案，取证单和底稿，并对</w:t>
      </w:r>
      <w:r>
        <w:rPr>
          <w:rFonts w:hint="eastAsia" w:ascii="宋体" w:hAnsi="宋体" w:eastAsia="宋体" w:cs="宋体"/>
          <w:color w:val="000000"/>
          <w:sz w:val="24"/>
          <w:szCs w:val="24"/>
          <w:lang w:eastAsia="zh-Hans"/>
        </w:rPr>
        <w:t>甲方</w:t>
      </w:r>
      <w:r>
        <w:rPr>
          <w:rFonts w:hint="eastAsia" w:ascii="宋体" w:hAnsi="宋体" w:eastAsia="宋体" w:cs="宋体"/>
          <w:color w:val="000000"/>
          <w:sz w:val="24"/>
          <w:szCs w:val="24"/>
        </w:rPr>
        <w:t>安排的工作进行协调和落实。</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lang w:eastAsia="zh-Hans"/>
        </w:rPr>
      </w:pPr>
      <w:r>
        <w:rPr>
          <w:rFonts w:hint="eastAsia" w:ascii="宋体" w:hAnsi="宋体" w:eastAsia="宋体" w:cs="宋体"/>
          <w:color w:val="000000"/>
          <w:sz w:val="24"/>
          <w:szCs w:val="24"/>
          <w:lang w:eastAsia="zh-Hans"/>
        </w:rPr>
        <w:t>乙方保证派出的现场审计负责人全程现场负责并跟进本项目，现场工作人员能胜任采购人的审计业务，人员固定，并保证其参与审计工作时间和工作连贯性，除因甲方根据工作实际情况作出调整外，原则上不作调整。乙方不能擅自调整派出人员、或派出人员不经甲方同意就擅自离开工作岗位。</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乙方应根据中国注册会计师审计准则（以下简称审计准则）的规定开展审计，并按照</w:t>
      </w:r>
      <w:r>
        <w:rPr>
          <w:rFonts w:hint="eastAsia" w:ascii="宋体" w:hAnsi="宋体" w:eastAsia="宋体" w:cs="宋体"/>
          <w:color w:val="000000"/>
          <w:sz w:val="24"/>
          <w:szCs w:val="24"/>
          <w:lang w:eastAsia="zh-Hans"/>
        </w:rPr>
        <w:t>甲方</w:t>
      </w:r>
      <w:r>
        <w:rPr>
          <w:rFonts w:hint="eastAsia" w:ascii="宋体" w:hAnsi="宋体" w:eastAsia="宋体" w:cs="宋体"/>
          <w:color w:val="000000"/>
          <w:sz w:val="24"/>
          <w:szCs w:val="24"/>
        </w:rPr>
        <w:t>要求出具审计报告和管理建议书，对不由乙方执行相关工作的组成部分财务信息，乙方不单独出具或提交审计成果。</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在审计过程中，乙方若发现</w:t>
      </w:r>
      <w:r>
        <w:rPr>
          <w:rFonts w:hint="eastAsia" w:ascii="宋体" w:hAnsi="宋体" w:eastAsia="宋体" w:cs="宋体"/>
          <w:color w:val="000000"/>
          <w:sz w:val="24"/>
          <w:szCs w:val="24"/>
          <w:lang w:val="en-US" w:eastAsia="zh-CN"/>
        </w:rPr>
        <w:t>被审计单位</w:t>
      </w:r>
      <w:r>
        <w:rPr>
          <w:rFonts w:hint="eastAsia" w:ascii="宋体" w:hAnsi="宋体" w:eastAsia="宋体" w:cs="宋体"/>
          <w:color w:val="000000"/>
          <w:sz w:val="24"/>
          <w:szCs w:val="24"/>
        </w:rPr>
        <w:t>存在乙方认为值得关注的内部控制缺陷，应以书面形式向甲方治理层或管理层通报。</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乙方需要合理计划和方案以实施审计工作，以使乙方在约定时间内获取充分、适当的审计证据，为确认被审计单位财务报表是否不存在重大错报获取合理的证据保证。</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乙方有责任在审计报告中指明所发现的被审计单位在某重大方面没有遵循企业会计准则编制财务报表且未按乙方的建议进行调整的事项。</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乙方提交的审计成果应满足下列要求：</w:t>
      </w:r>
    </w:p>
    <w:p>
      <w:pPr>
        <w:pStyle w:val="14"/>
        <w:numPr>
          <w:ilvl w:val="2"/>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乙方按照中国注册会计师审计准则规定的格式和类型出具审计成果。</w:t>
      </w:r>
    </w:p>
    <w:p>
      <w:pPr>
        <w:pStyle w:val="14"/>
        <w:numPr>
          <w:ilvl w:val="2"/>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乙方有责任在审计成果中指明所发现的被审计单位在某重大方面没有遵循企业会计准则编制财务报表且未按乙方的建议进行调整的事项。</w:t>
      </w:r>
    </w:p>
    <w:p>
      <w:pPr>
        <w:pStyle w:val="14"/>
        <w:numPr>
          <w:ilvl w:val="2"/>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乙方审计成果应符合本项目的目的。</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乙方应安排具备专业资质的人员为甲方提供服务。</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转包约定</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乙方必须自行完成本合同约定的工作，不得转交第三方完成。</w:t>
      </w:r>
    </w:p>
    <w:p>
      <w:pPr>
        <w:spacing w:line="360" w:lineRule="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sz w:val="24"/>
          <w:szCs w:val="24"/>
          <w:lang w:val="en-US" w:eastAsia="zh-CN"/>
        </w:rPr>
        <w:t xml:space="preserve">4.11. </w:t>
      </w:r>
      <w:r>
        <w:rPr>
          <w:rFonts w:hint="eastAsia" w:ascii="宋体" w:hAnsi="宋体" w:eastAsia="宋体" w:cs="宋体"/>
          <w:color w:val="000000" w:themeColor="text1"/>
          <w:sz w:val="24"/>
          <w:szCs w:val="24"/>
          <w:highlight w:val="none"/>
          <w:lang w:val="en-US" w:eastAsia="zh-CN"/>
          <w14:textFill>
            <w14:solidFill>
              <w14:schemeClr w14:val="tx1"/>
            </w14:solidFill>
          </w14:textFill>
        </w:rPr>
        <w:t>成果验收时间：</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合同签订后，审计工作预计验收时间为</w:t>
      </w:r>
      <w:r>
        <w:rPr>
          <w:rFonts w:hint="eastAsia" w:ascii="宋体" w:hAnsi="宋体" w:eastAsia="宋体" w:cs="宋体"/>
          <w:color w:val="000000" w:themeColor="text1"/>
          <w:sz w:val="24"/>
          <w:szCs w:val="24"/>
          <w:highlight w:val="none"/>
          <w:u w:val="single"/>
          <w:lang w:val="en-US" w:eastAsia="zh-CN" w:bidi="ar-SA"/>
          <w14:textFill>
            <w14:solidFill>
              <w14:schemeClr w14:val="tx1"/>
            </w14:solidFill>
          </w14:textFill>
        </w:rPr>
        <w:t xml:space="preserve">    年   月   日之前</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w:t>
      </w:r>
    </w:p>
    <w:p>
      <w:pPr>
        <w:pStyle w:val="30"/>
        <w:spacing w:line="360" w:lineRule="auto"/>
        <w:ind w:left="0" w:lef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4.12. 成果验收标准</w:t>
      </w:r>
    </w:p>
    <w:p>
      <w:pPr>
        <w:pStyle w:val="30"/>
        <w:spacing w:line="360" w:lineRule="auto"/>
        <w:ind w:left="0" w:lef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财务决算审计成果文件应符合：达到国家及行业相关规范要求合格标准。</w:t>
      </w:r>
    </w:p>
    <w:p>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4.13. 验收不合格完善的时间：</w:t>
      </w:r>
      <w:r>
        <w:rPr>
          <w:rFonts w:hint="eastAsia" w:ascii="宋体" w:hAnsi="宋体" w:eastAsia="宋体" w:cs="宋体"/>
          <w:color w:val="000000" w:themeColor="text1"/>
          <w:sz w:val="24"/>
          <w:szCs w:val="24"/>
          <w:highlight w:val="none"/>
          <w:u w:val="single"/>
          <w:lang w:val="en-US" w:eastAsia="zh-CN" w:bidi="ar-SA"/>
          <w14:textFill>
            <w14:solidFill>
              <w14:schemeClr w14:val="tx1"/>
            </w14:solidFill>
          </w14:textFill>
        </w:rPr>
        <w:t xml:space="preserve">    年   月   日之前</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w:t>
      </w:r>
    </w:p>
    <w:p>
      <w:pPr>
        <w:pStyle w:val="5"/>
        <w:numPr>
          <w:ilvl w:val="0"/>
          <w:numId w:val="9"/>
        </w:numPr>
        <w:spacing w:before="0" w:after="0" w:line="360" w:lineRule="auto"/>
        <w:rPr>
          <w:rFonts w:hint="eastAsia" w:ascii="宋体" w:hAnsi="宋体" w:eastAsia="宋体" w:cs="宋体"/>
          <w:sz w:val="24"/>
          <w:szCs w:val="24"/>
        </w:rPr>
      </w:pPr>
      <w:r>
        <w:rPr>
          <w:rFonts w:hint="eastAsia" w:ascii="宋体" w:hAnsi="宋体" w:eastAsia="宋体" w:cs="宋体"/>
          <w:sz w:val="24"/>
          <w:szCs w:val="24"/>
        </w:rPr>
        <w:t>知识产权</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甲方提交给乙方使用的素材与资料</w:t>
      </w:r>
      <w:r>
        <w:rPr>
          <w:rFonts w:hint="eastAsia" w:ascii="宋体" w:hAnsi="宋体" w:eastAsia="宋体" w:cs="宋体"/>
          <w:color w:val="000000"/>
          <w:sz w:val="24"/>
          <w:szCs w:val="24"/>
          <w:lang w:val="en-US" w:eastAsia="zh-Hans"/>
        </w:rPr>
        <w:t>以及依据本协议约定形成的审计结论等</w:t>
      </w:r>
      <w:r>
        <w:rPr>
          <w:rFonts w:hint="eastAsia" w:ascii="宋体" w:hAnsi="宋体" w:eastAsia="宋体" w:cs="宋体"/>
          <w:color w:val="000000"/>
          <w:sz w:val="24"/>
          <w:szCs w:val="24"/>
        </w:rPr>
        <w:t>知识产权仍归甲方所有。除为本合同目的而使用之外，乙方不得复制、使用及提供给第三方。</w:t>
      </w:r>
    </w:p>
    <w:p>
      <w:pPr>
        <w:pStyle w:val="5"/>
        <w:numPr>
          <w:ilvl w:val="0"/>
          <w:numId w:val="9"/>
        </w:numPr>
        <w:spacing w:before="0" w:after="0" w:line="360" w:lineRule="auto"/>
        <w:rPr>
          <w:rFonts w:hint="eastAsia" w:ascii="宋体" w:hAnsi="宋体" w:eastAsia="宋体" w:cs="宋体"/>
          <w:sz w:val="24"/>
          <w:szCs w:val="24"/>
        </w:rPr>
      </w:pPr>
      <w:r>
        <w:rPr>
          <w:rFonts w:hint="eastAsia" w:ascii="宋体" w:hAnsi="宋体" w:eastAsia="宋体" w:cs="宋体"/>
          <w:sz w:val="24"/>
          <w:szCs w:val="24"/>
        </w:rPr>
        <w:t>保密</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乙方保证对在讨论、签订、履行本合同过程中所获悉的属于甲方</w:t>
      </w:r>
      <w:r>
        <w:rPr>
          <w:rFonts w:hint="eastAsia" w:ascii="宋体" w:hAnsi="宋体" w:eastAsia="宋体" w:cs="宋体"/>
          <w:color w:val="000000"/>
          <w:sz w:val="24"/>
          <w:szCs w:val="24"/>
          <w:lang w:eastAsia="zh-Hans"/>
        </w:rPr>
        <w:t>及</w:t>
      </w:r>
      <w:r>
        <w:rPr>
          <w:rFonts w:hint="eastAsia" w:ascii="宋体" w:hAnsi="宋体" w:eastAsia="宋体" w:cs="宋体"/>
          <w:color w:val="000000"/>
          <w:sz w:val="24"/>
          <w:szCs w:val="24"/>
        </w:rPr>
        <w:t>关联方的且无法自公开渠道的文件及资料（包括但不限于商业秘密、公司计划、运营活动、财务信息、技术信息、经营信息及其他商业秘密）予以保密。未经甲方同意，乙方不得超出本合同约定的目的和范围使用该商业秘密，不得向任何第三方泄露该商业秘密的全部或部分内容。</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上述保密义务，在本合同终止或解除之后仍需履行。</w:t>
      </w:r>
    </w:p>
    <w:p>
      <w:pPr>
        <w:pStyle w:val="5"/>
        <w:numPr>
          <w:ilvl w:val="0"/>
          <w:numId w:val="9"/>
        </w:numPr>
        <w:spacing w:before="0" w:after="0" w:line="360" w:lineRule="auto"/>
        <w:rPr>
          <w:rFonts w:hint="eastAsia" w:ascii="宋体" w:hAnsi="宋体" w:eastAsia="宋体" w:cs="宋体"/>
          <w:sz w:val="24"/>
          <w:szCs w:val="24"/>
        </w:rPr>
      </w:pPr>
      <w:r>
        <w:rPr>
          <w:rFonts w:hint="eastAsia" w:ascii="宋体" w:hAnsi="宋体" w:eastAsia="宋体" w:cs="宋体"/>
          <w:sz w:val="24"/>
          <w:szCs w:val="24"/>
        </w:rPr>
        <w:t>违约责任</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乙方逾期提交</w:t>
      </w:r>
      <w:r>
        <w:rPr>
          <w:rFonts w:hint="eastAsia" w:ascii="宋体" w:hAnsi="宋体" w:eastAsia="宋体" w:cs="宋体"/>
          <w:color w:val="000000"/>
          <w:sz w:val="24"/>
          <w:szCs w:val="24"/>
          <w:lang w:eastAsia="zh-Hans"/>
        </w:rPr>
        <w:t>符合要求的</w:t>
      </w:r>
      <w:r>
        <w:rPr>
          <w:rFonts w:hint="eastAsia" w:ascii="宋体" w:hAnsi="宋体" w:eastAsia="宋体" w:cs="宋体"/>
          <w:color w:val="000000"/>
          <w:sz w:val="24"/>
          <w:szCs w:val="24"/>
        </w:rPr>
        <w:t>审计成果的，每逾期一日，应按</w:t>
      </w:r>
      <w:r>
        <w:rPr>
          <w:rFonts w:hint="eastAsia" w:ascii="宋体" w:hAnsi="宋体" w:eastAsia="宋体" w:cs="宋体"/>
          <w:color w:val="000000"/>
          <w:sz w:val="24"/>
          <w:szCs w:val="24"/>
          <w:lang w:eastAsia="zh-Hans"/>
        </w:rPr>
        <w:t>合同金</w:t>
      </w:r>
      <w:r>
        <w:rPr>
          <w:rFonts w:hint="eastAsia" w:ascii="宋体" w:hAnsi="宋体" w:eastAsia="宋体" w:cs="宋体"/>
          <w:color w:val="000000"/>
          <w:sz w:val="24"/>
          <w:szCs w:val="24"/>
        </w:rPr>
        <w:t>额的</w:t>
      </w:r>
      <w:r>
        <w:rPr>
          <w:rFonts w:hint="eastAsia" w:ascii="宋体" w:hAnsi="宋体" w:eastAsia="宋体" w:cs="宋体"/>
          <w:color w:val="000000"/>
          <w:sz w:val="24"/>
          <w:szCs w:val="24"/>
          <w:u w:val="single"/>
          <w:lang w:val="en-US" w:eastAsia="zh-CN"/>
        </w:rPr>
        <w:t xml:space="preserve"> 1</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Hans"/>
        </w:rPr>
        <w:t>百分之</w:t>
      </w:r>
      <w:r>
        <w:rPr>
          <w:rFonts w:hint="eastAsia" w:ascii="宋体" w:hAnsi="宋体" w:eastAsia="宋体" w:cs="宋体"/>
          <w:color w:val="000000"/>
          <w:sz w:val="24"/>
          <w:szCs w:val="24"/>
          <w:u w:val="words"/>
          <w:lang w:eastAsia="zh-CN"/>
        </w:rPr>
        <w:t>一</w:t>
      </w:r>
      <w:r>
        <w:rPr>
          <w:rFonts w:hint="eastAsia" w:ascii="宋体" w:hAnsi="宋体" w:eastAsia="宋体" w:cs="宋体"/>
          <w:color w:val="000000"/>
          <w:sz w:val="24"/>
          <w:szCs w:val="24"/>
        </w:rPr>
        <w:t>）向</w:t>
      </w:r>
      <w:r>
        <w:rPr>
          <w:rFonts w:hint="eastAsia" w:ascii="宋体" w:hAnsi="宋体" w:eastAsia="宋体" w:cs="宋体"/>
          <w:color w:val="000000"/>
          <w:sz w:val="24"/>
          <w:szCs w:val="24"/>
          <w:lang w:eastAsia="zh-Hans"/>
        </w:rPr>
        <w:t>甲</w:t>
      </w:r>
      <w:r>
        <w:rPr>
          <w:rFonts w:hint="eastAsia" w:ascii="宋体" w:hAnsi="宋体" w:eastAsia="宋体" w:cs="宋体"/>
          <w:color w:val="000000"/>
          <w:sz w:val="24"/>
          <w:szCs w:val="24"/>
        </w:rPr>
        <w:t>方支付违约金。乙方逾期提交</w:t>
      </w:r>
      <w:r>
        <w:rPr>
          <w:rFonts w:hint="eastAsia" w:ascii="宋体" w:hAnsi="宋体" w:eastAsia="宋体" w:cs="宋体"/>
          <w:color w:val="000000"/>
          <w:sz w:val="24"/>
          <w:szCs w:val="24"/>
          <w:lang w:eastAsia="zh-Hans"/>
        </w:rPr>
        <w:t>符合要求的</w:t>
      </w:r>
      <w:r>
        <w:rPr>
          <w:rFonts w:hint="eastAsia" w:ascii="宋体" w:hAnsi="宋体" w:eastAsia="宋体" w:cs="宋体"/>
          <w:color w:val="000000"/>
          <w:sz w:val="24"/>
          <w:szCs w:val="24"/>
        </w:rPr>
        <w:t>审计成果超过15日的，甲方有权</w:t>
      </w:r>
      <w:r>
        <w:rPr>
          <w:rFonts w:hint="eastAsia" w:ascii="宋体" w:hAnsi="宋体" w:eastAsia="宋体" w:cs="宋体"/>
          <w:color w:val="000000"/>
          <w:sz w:val="24"/>
          <w:szCs w:val="24"/>
          <w:lang w:val="en-US" w:eastAsia="zh-Hans"/>
        </w:rPr>
        <w:t>单方面</w:t>
      </w:r>
      <w:r>
        <w:rPr>
          <w:rFonts w:hint="eastAsia" w:ascii="宋体" w:hAnsi="宋体" w:eastAsia="宋体" w:cs="宋体"/>
          <w:color w:val="000000"/>
          <w:sz w:val="24"/>
          <w:szCs w:val="24"/>
        </w:rPr>
        <w:t>解除本合同，并要求乙方退回已支付的</w:t>
      </w:r>
      <w:r>
        <w:rPr>
          <w:rFonts w:hint="eastAsia" w:ascii="宋体" w:hAnsi="宋体" w:eastAsia="宋体" w:cs="宋体"/>
          <w:color w:val="000000"/>
          <w:sz w:val="24"/>
          <w:szCs w:val="24"/>
          <w:lang w:val="en-US" w:eastAsia="zh-Hans"/>
        </w:rPr>
        <w:t>全部服务</w:t>
      </w:r>
      <w:r>
        <w:rPr>
          <w:rFonts w:hint="eastAsia" w:ascii="宋体" w:hAnsi="宋体" w:eastAsia="宋体" w:cs="宋体"/>
          <w:color w:val="000000"/>
          <w:sz w:val="24"/>
          <w:szCs w:val="24"/>
        </w:rPr>
        <w:t>费用，</w:t>
      </w:r>
      <w:r>
        <w:rPr>
          <w:rFonts w:hint="eastAsia" w:ascii="宋体" w:hAnsi="宋体" w:eastAsia="宋体" w:cs="宋体"/>
          <w:color w:val="000000"/>
          <w:sz w:val="24"/>
          <w:szCs w:val="24"/>
          <w:lang w:val="en-US" w:eastAsia="zh-Hans"/>
        </w:rPr>
        <w:t>继续承担违约金</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并</w:t>
      </w:r>
      <w:r>
        <w:rPr>
          <w:rFonts w:hint="eastAsia" w:ascii="宋体" w:hAnsi="宋体" w:eastAsia="宋体" w:cs="宋体"/>
          <w:color w:val="000000"/>
          <w:sz w:val="24"/>
          <w:szCs w:val="24"/>
        </w:rPr>
        <w:t>赔偿</w:t>
      </w:r>
      <w:r>
        <w:rPr>
          <w:rFonts w:hint="eastAsia" w:ascii="宋体" w:hAnsi="宋体" w:eastAsia="宋体" w:cs="宋体"/>
          <w:color w:val="000000"/>
          <w:sz w:val="24"/>
          <w:szCs w:val="24"/>
          <w:lang w:val="en-US" w:eastAsia="zh-Hans"/>
        </w:rPr>
        <w:t>甲方相应的</w:t>
      </w:r>
      <w:r>
        <w:rPr>
          <w:rFonts w:hint="eastAsia" w:ascii="宋体" w:hAnsi="宋体" w:eastAsia="宋体" w:cs="宋体"/>
          <w:color w:val="000000"/>
          <w:sz w:val="24"/>
          <w:szCs w:val="24"/>
        </w:rPr>
        <w:t>损失。</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Hans"/>
        </w:rPr>
        <w:t>乙方提交的审计成果不符合合同约定或甲方要求</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在甲方确认的合理时间内拒绝修正或修正后仍不符合要求的</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甲方有权解除合同</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并要求乙方</w:t>
      </w:r>
      <w:r>
        <w:rPr>
          <w:rFonts w:hint="eastAsia" w:ascii="宋体" w:hAnsi="宋体" w:eastAsia="宋体" w:cs="宋体"/>
          <w:color w:val="000000"/>
          <w:sz w:val="24"/>
          <w:szCs w:val="24"/>
        </w:rPr>
        <w:t>退回已支付的</w:t>
      </w:r>
      <w:r>
        <w:rPr>
          <w:rFonts w:hint="eastAsia" w:ascii="宋体" w:hAnsi="宋体" w:eastAsia="宋体" w:cs="宋体"/>
          <w:color w:val="000000"/>
          <w:sz w:val="24"/>
          <w:szCs w:val="24"/>
          <w:lang w:val="en-US" w:eastAsia="zh-Hans"/>
        </w:rPr>
        <w:t>全部服务</w:t>
      </w:r>
      <w:r>
        <w:rPr>
          <w:rFonts w:hint="eastAsia" w:ascii="宋体" w:hAnsi="宋体" w:eastAsia="宋体" w:cs="宋体"/>
          <w:color w:val="000000"/>
          <w:sz w:val="24"/>
          <w:szCs w:val="24"/>
        </w:rPr>
        <w:t>费用，乙方</w:t>
      </w:r>
      <w:r>
        <w:rPr>
          <w:rFonts w:hint="eastAsia" w:ascii="宋体" w:hAnsi="宋体" w:eastAsia="宋体" w:cs="宋体"/>
          <w:color w:val="000000"/>
          <w:sz w:val="24"/>
          <w:szCs w:val="24"/>
          <w:lang w:val="en-US" w:eastAsia="zh-Hans"/>
        </w:rPr>
        <w:t>同时应当</w:t>
      </w:r>
      <w:r>
        <w:rPr>
          <w:rFonts w:hint="eastAsia" w:ascii="宋体" w:hAnsi="宋体" w:eastAsia="宋体" w:cs="宋体"/>
          <w:color w:val="000000"/>
          <w:sz w:val="24"/>
          <w:szCs w:val="24"/>
        </w:rPr>
        <w:t>赔偿</w:t>
      </w:r>
      <w:r>
        <w:rPr>
          <w:rFonts w:hint="eastAsia" w:ascii="宋体" w:hAnsi="宋体" w:eastAsia="宋体" w:cs="宋体"/>
          <w:color w:val="000000"/>
          <w:sz w:val="24"/>
          <w:szCs w:val="24"/>
          <w:lang w:val="en-US" w:eastAsia="zh-Hans"/>
        </w:rPr>
        <w:t>甲方相应的</w:t>
      </w:r>
      <w:r>
        <w:rPr>
          <w:rFonts w:hint="eastAsia" w:ascii="宋体" w:hAnsi="宋体" w:eastAsia="宋体" w:cs="宋体"/>
          <w:color w:val="000000"/>
          <w:sz w:val="24"/>
          <w:szCs w:val="24"/>
        </w:rPr>
        <w:t>损失。</w:t>
      </w:r>
    </w:p>
    <w:p>
      <w:pPr>
        <w:pStyle w:val="14"/>
        <w:spacing w:before="0" w:beforeAutospacing="0" w:after="0" w:afterAutospacing="0" w:line="360" w:lineRule="auto"/>
        <w:rPr>
          <w:rFonts w:hint="eastAsia" w:ascii="宋体" w:hAnsi="宋体" w:eastAsia="宋体" w:cs="宋体"/>
          <w:color w:val="000000"/>
          <w:sz w:val="24"/>
          <w:szCs w:val="24"/>
          <w:lang w:eastAsia="zh-Hans"/>
        </w:rPr>
      </w:pPr>
      <w:r>
        <w:rPr>
          <w:rFonts w:hint="eastAsia" w:ascii="宋体" w:hAnsi="宋体" w:eastAsia="宋体" w:cs="宋体"/>
          <w:color w:val="000000"/>
          <w:sz w:val="24"/>
          <w:szCs w:val="24"/>
          <w:lang w:eastAsia="zh-Hans"/>
        </w:rPr>
        <w:t>7</w:t>
      </w:r>
      <w:r>
        <w:rPr>
          <w:rFonts w:hint="eastAsia" w:ascii="宋体" w:hAnsi="宋体" w:eastAsia="宋体" w:cs="宋体"/>
          <w:color w:val="000000"/>
          <w:sz w:val="24"/>
          <w:szCs w:val="24"/>
          <w:lang w:val="en-US" w:eastAsia="zh-Hans"/>
        </w:rPr>
        <w:t>.</w:t>
      </w:r>
      <w:r>
        <w:rPr>
          <w:rFonts w:hint="eastAsia" w:ascii="宋体" w:hAnsi="宋体" w:eastAsia="宋体" w:cs="宋体"/>
          <w:color w:val="000000"/>
          <w:sz w:val="24"/>
          <w:szCs w:val="24"/>
          <w:lang w:eastAsia="zh-Hans"/>
        </w:rPr>
        <w:t>3</w:t>
      </w:r>
      <w:r>
        <w:rPr>
          <w:rFonts w:hint="eastAsia" w:ascii="宋体" w:hAnsi="宋体" w:eastAsia="宋体" w:cs="宋体"/>
          <w:color w:val="000000"/>
          <w:sz w:val="24"/>
          <w:szCs w:val="24"/>
          <w:lang w:val="en-US" w:eastAsia="zh-Hans"/>
        </w:rPr>
        <w:t>.若发生本条款第</w:t>
      </w:r>
      <w:r>
        <w:rPr>
          <w:rFonts w:hint="eastAsia" w:ascii="宋体" w:hAnsi="宋体" w:eastAsia="宋体" w:cs="宋体"/>
          <w:color w:val="000000"/>
          <w:sz w:val="24"/>
          <w:szCs w:val="24"/>
          <w:lang w:eastAsia="zh-Hans"/>
        </w:rPr>
        <w:t>7</w:t>
      </w:r>
      <w:r>
        <w:rPr>
          <w:rFonts w:hint="eastAsia" w:ascii="宋体" w:hAnsi="宋体" w:eastAsia="宋体" w:cs="宋体"/>
          <w:color w:val="000000"/>
          <w:sz w:val="24"/>
          <w:szCs w:val="24"/>
          <w:lang w:val="en-US" w:eastAsia="zh-Hans"/>
        </w:rPr>
        <w:t>.</w:t>
      </w:r>
      <w:r>
        <w:rPr>
          <w:rFonts w:hint="eastAsia" w:ascii="宋体" w:hAnsi="宋体" w:eastAsia="宋体" w:cs="宋体"/>
          <w:color w:val="000000"/>
          <w:sz w:val="24"/>
          <w:szCs w:val="24"/>
          <w:lang w:eastAsia="zh-Hans"/>
        </w:rPr>
        <w:t>1、7</w:t>
      </w:r>
      <w:r>
        <w:rPr>
          <w:rFonts w:hint="eastAsia" w:ascii="宋体" w:hAnsi="宋体" w:eastAsia="宋体" w:cs="宋体"/>
          <w:color w:val="000000"/>
          <w:sz w:val="24"/>
          <w:szCs w:val="24"/>
          <w:lang w:val="en-US" w:eastAsia="zh-Hans"/>
        </w:rPr>
        <w:t>.</w:t>
      </w:r>
      <w:r>
        <w:rPr>
          <w:rFonts w:hint="eastAsia" w:ascii="宋体" w:hAnsi="宋体" w:eastAsia="宋体" w:cs="宋体"/>
          <w:color w:val="000000"/>
          <w:sz w:val="24"/>
          <w:szCs w:val="24"/>
          <w:lang w:eastAsia="zh-Hans"/>
        </w:rPr>
        <w:t>2</w:t>
      </w:r>
      <w:r>
        <w:rPr>
          <w:rFonts w:hint="eastAsia" w:ascii="宋体" w:hAnsi="宋体" w:eastAsia="宋体" w:cs="宋体"/>
          <w:color w:val="000000"/>
          <w:sz w:val="24"/>
          <w:szCs w:val="24"/>
          <w:lang w:val="en-US" w:eastAsia="zh-Hans"/>
        </w:rPr>
        <w:t>条约定的情形</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而甲方已经支付至</w:t>
      </w:r>
      <w:r>
        <w:rPr>
          <w:rFonts w:hint="eastAsia" w:ascii="宋体" w:hAnsi="宋体" w:eastAsia="宋体" w:cs="宋体"/>
          <w:color w:val="000000"/>
          <w:sz w:val="24"/>
          <w:szCs w:val="24"/>
        </w:rPr>
        <w:t>中国银行</w:t>
      </w:r>
      <w:r>
        <w:rPr>
          <w:rFonts w:hint="eastAsia" w:ascii="宋体" w:hAnsi="宋体" w:eastAsia="宋体" w:cs="宋体"/>
          <w:color w:val="000000"/>
          <w:sz w:val="24"/>
          <w:szCs w:val="24"/>
          <w:lang w:val="en-US" w:eastAsia="zh-Hans"/>
        </w:rPr>
        <w:t>监管</w:t>
      </w:r>
      <w:r>
        <w:rPr>
          <w:rFonts w:hint="eastAsia" w:ascii="宋体" w:hAnsi="宋体" w:eastAsia="宋体" w:cs="宋体"/>
          <w:color w:val="000000"/>
          <w:sz w:val="24"/>
          <w:szCs w:val="24"/>
        </w:rPr>
        <w:t>账户</w:t>
      </w:r>
      <w:r>
        <w:rPr>
          <w:rFonts w:hint="eastAsia" w:ascii="宋体" w:hAnsi="宋体" w:eastAsia="宋体" w:cs="宋体"/>
          <w:color w:val="000000"/>
          <w:sz w:val="24"/>
          <w:szCs w:val="24"/>
          <w:lang w:val="en-US" w:eastAsia="zh-Hans"/>
        </w:rPr>
        <w:t>的本合同款项又被司法机关采取冻结等强制措施</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致乙方无法及时退回甲方</w:t>
      </w:r>
      <w:r>
        <w:rPr>
          <w:rFonts w:hint="eastAsia" w:ascii="宋体" w:hAnsi="宋体" w:eastAsia="宋体" w:cs="宋体"/>
          <w:color w:val="000000"/>
          <w:sz w:val="24"/>
          <w:szCs w:val="24"/>
        </w:rPr>
        <w:t>已付</w:t>
      </w:r>
      <w:r>
        <w:rPr>
          <w:rFonts w:hint="eastAsia" w:ascii="宋体" w:hAnsi="宋体" w:eastAsia="宋体" w:cs="宋体"/>
          <w:color w:val="000000"/>
          <w:sz w:val="24"/>
          <w:szCs w:val="24"/>
          <w:lang w:val="en-US" w:eastAsia="zh-Hans"/>
        </w:rPr>
        <w:t>服务</w:t>
      </w:r>
      <w:r>
        <w:rPr>
          <w:rFonts w:hint="eastAsia" w:ascii="宋体" w:hAnsi="宋体" w:eastAsia="宋体" w:cs="宋体"/>
          <w:color w:val="000000"/>
          <w:sz w:val="24"/>
          <w:szCs w:val="24"/>
        </w:rPr>
        <w:t>费用</w:t>
      </w:r>
      <w:r>
        <w:rPr>
          <w:rFonts w:hint="eastAsia" w:ascii="宋体" w:hAnsi="宋体" w:eastAsia="宋体" w:cs="宋体"/>
          <w:color w:val="000000"/>
          <w:sz w:val="24"/>
          <w:szCs w:val="24"/>
          <w:lang w:val="en-US" w:eastAsia="zh-Hans"/>
        </w:rPr>
        <w:t>的</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乙方应当及时通过各种途径</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包括银行账户退回的方式</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向甲方返还甲方</w:t>
      </w:r>
      <w:r>
        <w:rPr>
          <w:rFonts w:hint="eastAsia" w:ascii="宋体" w:hAnsi="宋体" w:eastAsia="宋体" w:cs="宋体"/>
          <w:color w:val="000000"/>
          <w:sz w:val="24"/>
          <w:szCs w:val="24"/>
        </w:rPr>
        <w:t>已支付的</w:t>
      </w:r>
      <w:r>
        <w:rPr>
          <w:rFonts w:hint="eastAsia" w:ascii="宋体" w:hAnsi="宋体" w:eastAsia="宋体" w:cs="宋体"/>
          <w:color w:val="000000"/>
          <w:sz w:val="24"/>
          <w:szCs w:val="24"/>
          <w:lang w:val="en-US" w:eastAsia="zh-Hans"/>
        </w:rPr>
        <w:t>服务</w:t>
      </w:r>
      <w:r>
        <w:rPr>
          <w:rFonts w:hint="eastAsia" w:ascii="宋体" w:hAnsi="宋体" w:eastAsia="宋体" w:cs="宋体"/>
          <w:color w:val="000000"/>
          <w:sz w:val="24"/>
          <w:szCs w:val="24"/>
        </w:rPr>
        <w:t>费用</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否则</w:t>
      </w:r>
      <w:r>
        <w:rPr>
          <w:rFonts w:hint="eastAsia" w:ascii="宋体" w:hAnsi="宋体" w:eastAsia="宋体" w:cs="宋体"/>
          <w:color w:val="000000"/>
          <w:sz w:val="24"/>
          <w:szCs w:val="24"/>
        </w:rPr>
        <w:t>每逾期一日，应按</w:t>
      </w:r>
      <w:r>
        <w:rPr>
          <w:rFonts w:hint="eastAsia" w:ascii="宋体" w:hAnsi="宋体" w:eastAsia="宋体" w:cs="宋体"/>
          <w:color w:val="000000"/>
          <w:sz w:val="24"/>
          <w:szCs w:val="24"/>
          <w:lang w:eastAsia="zh-Hans"/>
        </w:rPr>
        <w:t>合同金</w:t>
      </w:r>
      <w:r>
        <w:rPr>
          <w:rFonts w:hint="eastAsia" w:ascii="宋体" w:hAnsi="宋体" w:eastAsia="宋体" w:cs="宋体"/>
          <w:color w:val="000000"/>
          <w:sz w:val="24"/>
          <w:szCs w:val="24"/>
        </w:rPr>
        <w:t>额的</w:t>
      </w:r>
      <w:r>
        <w:rPr>
          <w:rFonts w:hint="eastAsia" w:ascii="宋体" w:hAnsi="宋体" w:eastAsia="宋体" w:cs="宋体"/>
          <w:color w:val="000000"/>
          <w:sz w:val="24"/>
          <w:szCs w:val="24"/>
          <w:u w:val="single"/>
          <w:lang w:val="en-US" w:eastAsia="zh-CN"/>
        </w:rPr>
        <w:t>1</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Hans"/>
        </w:rPr>
        <w:t>百分之</w:t>
      </w:r>
      <w:r>
        <w:rPr>
          <w:rFonts w:hint="eastAsia" w:ascii="宋体" w:hAnsi="宋体" w:eastAsia="宋体" w:cs="宋体"/>
          <w:color w:val="000000"/>
          <w:sz w:val="24"/>
          <w:szCs w:val="24"/>
          <w:u w:val="words"/>
          <w:lang w:eastAsia="zh-CN"/>
        </w:rPr>
        <w:t>一</w:t>
      </w:r>
      <w:r>
        <w:rPr>
          <w:rFonts w:hint="eastAsia" w:ascii="宋体" w:hAnsi="宋体" w:eastAsia="宋体" w:cs="宋体"/>
          <w:color w:val="000000"/>
          <w:sz w:val="24"/>
          <w:szCs w:val="24"/>
        </w:rPr>
        <w:t>）向</w:t>
      </w:r>
      <w:r>
        <w:rPr>
          <w:rFonts w:hint="eastAsia" w:ascii="宋体" w:hAnsi="宋体" w:eastAsia="宋体" w:cs="宋体"/>
          <w:color w:val="000000"/>
          <w:sz w:val="24"/>
          <w:szCs w:val="24"/>
          <w:lang w:eastAsia="zh-Hans"/>
        </w:rPr>
        <w:t>甲</w:t>
      </w:r>
      <w:r>
        <w:rPr>
          <w:rFonts w:hint="eastAsia" w:ascii="宋体" w:hAnsi="宋体" w:eastAsia="宋体" w:cs="宋体"/>
          <w:color w:val="000000"/>
          <w:sz w:val="24"/>
          <w:szCs w:val="24"/>
        </w:rPr>
        <w:t>方支付违约金</w:t>
      </w:r>
      <w:r>
        <w:rPr>
          <w:rFonts w:hint="eastAsia" w:ascii="宋体" w:hAnsi="宋体" w:eastAsia="宋体" w:cs="宋体"/>
          <w:color w:val="000000"/>
          <w:sz w:val="24"/>
          <w:szCs w:val="24"/>
          <w:lang w:eastAsia="zh-Hans"/>
        </w:rPr>
        <w:t>。</w:t>
      </w:r>
    </w:p>
    <w:p>
      <w:pPr>
        <w:pStyle w:val="14"/>
        <w:spacing w:before="0" w:beforeAutospacing="0" w:after="0" w:afterAutospacing="0" w:line="360" w:lineRule="auto"/>
        <w:rPr>
          <w:rFonts w:hint="eastAsia" w:ascii="宋体" w:hAnsi="宋体" w:eastAsia="宋体" w:cs="宋体"/>
          <w:color w:val="000000"/>
          <w:sz w:val="24"/>
          <w:szCs w:val="24"/>
          <w:lang w:eastAsia="zh-Hans"/>
        </w:rPr>
      </w:pPr>
      <w:r>
        <w:rPr>
          <w:rFonts w:hint="eastAsia" w:ascii="宋体" w:hAnsi="宋体" w:eastAsia="宋体" w:cs="宋体"/>
          <w:color w:val="000000"/>
          <w:sz w:val="24"/>
          <w:szCs w:val="24"/>
          <w:lang w:eastAsia="zh-Hans"/>
        </w:rPr>
        <w:t>7</w:t>
      </w:r>
      <w:r>
        <w:rPr>
          <w:rFonts w:hint="eastAsia" w:ascii="宋体" w:hAnsi="宋体" w:eastAsia="宋体" w:cs="宋体"/>
          <w:color w:val="000000"/>
          <w:sz w:val="24"/>
          <w:szCs w:val="24"/>
          <w:lang w:val="en-US" w:eastAsia="zh-Hans"/>
        </w:rPr>
        <w:t>.</w:t>
      </w:r>
      <w:r>
        <w:rPr>
          <w:rFonts w:hint="eastAsia" w:ascii="宋体" w:hAnsi="宋体" w:eastAsia="宋体" w:cs="宋体"/>
          <w:color w:val="000000"/>
          <w:sz w:val="24"/>
          <w:szCs w:val="24"/>
          <w:lang w:eastAsia="zh-Hans"/>
        </w:rPr>
        <w:t>4</w:t>
      </w:r>
      <w:r>
        <w:rPr>
          <w:rFonts w:hint="eastAsia" w:ascii="宋体" w:hAnsi="宋体" w:eastAsia="宋体" w:cs="宋体"/>
          <w:color w:val="000000"/>
          <w:sz w:val="24"/>
          <w:szCs w:val="24"/>
          <w:lang w:val="en-US" w:eastAsia="zh-Hans"/>
        </w:rPr>
        <w:t>.若乙方按照本合同完成审计工作但因上述</w:t>
      </w:r>
      <w:r>
        <w:rPr>
          <w:rFonts w:hint="eastAsia" w:ascii="宋体" w:hAnsi="宋体" w:eastAsia="宋体" w:cs="宋体"/>
          <w:color w:val="000000"/>
          <w:sz w:val="24"/>
          <w:szCs w:val="24"/>
        </w:rPr>
        <w:t>中国银行账户</w:t>
      </w:r>
      <w:r>
        <w:rPr>
          <w:rFonts w:hint="eastAsia" w:ascii="宋体" w:hAnsi="宋体" w:eastAsia="宋体" w:cs="宋体"/>
          <w:color w:val="000000"/>
          <w:sz w:val="24"/>
          <w:szCs w:val="24"/>
          <w:lang w:val="en-US" w:eastAsia="zh-Hans"/>
        </w:rPr>
        <w:t>被司法机关采取冻结等强制措施</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导致其自身无法按照三方资金监管协议约定时间取得甲方已经支付至监管账户的服务费用的</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该行为与甲方无关</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由乙方自行承担相应的不利后果</w:t>
      </w:r>
      <w:r>
        <w:rPr>
          <w:rFonts w:hint="eastAsia" w:ascii="宋体" w:hAnsi="宋体" w:eastAsia="宋体" w:cs="宋体"/>
          <w:color w:val="000000"/>
          <w:sz w:val="24"/>
          <w:szCs w:val="24"/>
          <w:lang w:eastAsia="zh-Hans"/>
        </w:rPr>
        <w:t>。</w:t>
      </w:r>
    </w:p>
    <w:p>
      <w:pPr>
        <w:pStyle w:val="14"/>
        <w:spacing w:before="0" w:beforeAutospacing="0" w:after="0" w:afterAutospacing="0" w:line="360" w:lineRule="auto"/>
        <w:rPr>
          <w:rFonts w:hint="eastAsia" w:ascii="宋体" w:hAnsi="宋体" w:eastAsia="宋体" w:cs="宋体"/>
          <w:color w:val="000000"/>
          <w:sz w:val="24"/>
          <w:szCs w:val="24"/>
          <w:lang w:eastAsia="zh-Hans"/>
        </w:rPr>
      </w:pPr>
      <w:r>
        <w:rPr>
          <w:rFonts w:hint="eastAsia" w:ascii="宋体" w:hAnsi="宋体" w:eastAsia="宋体" w:cs="宋体"/>
          <w:color w:val="000000"/>
          <w:sz w:val="24"/>
          <w:szCs w:val="24"/>
          <w:lang w:eastAsia="zh-Hans"/>
        </w:rPr>
        <w:t>7</w:t>
      </w:r>
      <w:r>
        <w:rPr>
          <w:rFonts w:hint="eastAsia" w:ascii="宋体" w:hAnsi="宋体" w:eastAsia="宋体" w:cs="宋体"/>
          <w:color w:val="000000"/>
          <w:sz w:val="24"/>
          <w:szCs w:val="24"/>
          <w:lang w:val="en-US" w:eastAsia="zh-Hans"/>
        </w:rPr>
        <w:t>.</w:t>
      </w:r>
      <w:r>
        <w:rPr>
          <w:rFonts w:hint="eastAsia" w:ascii="宋体" w:hAnsi="宋体" w:eastAsia="宋体" w:cs="宋体"/>
          <w:color w:val="000000"/>
          <w:sz w:val="24"/>
          <w:szCs w:val="24"/>
          <w:lang w:eastAsia="zh-Hans"/>
        </w:rPr>
        <w:t>5</w:t>
      </w:r>
      <w:r>
        <w:rPr>
          <w:rFonts w:hint="eastAsia" w:ascii="宋体" w:hAnsi="宋体" w:eastAsia="宋体" w:cs="宋体"/>
          <w:color w:val="000000"/>
          <w:sz w:val="24"/>
          <w:szCs w:val="24"/>
          <w:lang w:val="en-US" w:eastAsia="zh-Hans"/>
        </w:rPr>
        <w:t>.本条款第</w:t>
      </w:r>
      <w:r>
        <w:rPr>
          <w:rFonts w:hint="eastAsia" w:ascii="宋体" w:hAnsi="宋体" w:eastAsia="宋体" w:cs="宋体"/>
          <w:color w:val="000000"/>
          <w:sz w:val="24"/>
          <w:szCs w:val="24"/>
          <w:lang w:eastAsia="zh-Hans"/>
        </w:rPr>
        <w:t>7</w:t>
      </w:r>
      <w:r>
        <w:rPr>
          <w:rFonts w:hint="eastAsia" w:ascii="宋体" w:hAnsi="宋体" w:eastAsia="宋体" w:cs="宋体"/>
          <w:color w:val="000000"/>
          <w:sz w:val="24"/>
          <w:szCs w:val="24"/>
          <w:lang w:val="en-US" w:eastAsia="zh-Hans"/>
        </w:rPr>
        <w:t>.</w:t>
      </w:r>
      <w:r>
        <w:rPr>
          <w:rFonts w:hint="eastAsia" w:ascii="宋体" w:hAnsi="宋体" w:eastAsia="宋体" w:cs="宋体"/>
          <w:color w:val="000000"/>
          <w:sz w:val="24"/>
          <w:szCs w:val="24"/>
          <w:lang w:eastAsia="zh-Hans"/>
        </w:rPr>
        <w:t>1、7</w:t>
      </w:r>
      <w:r>
        <w:rPr>
          <w:rFonts w:hint="eastAsia" w:ascii="宋体" w:hAnsi="宋体" w:eastAsia="宋体" w:cs="宋体"/>
          <w:color w:val="000000"/>
          <w:sz w:val="24"/>
          <w:szCs w:val="24"/>
          <w:lang w:val="en-US" w:eastAsia="zh-Hans"/>
        </w:rPr>
        <w:t>.</w:t>
      </w:r>
      <w:r>
        <w:rPr>
          <w:rFonts w:hint="eastAsia" w:ascii="宋体" w:hAnsi="宋体" w:eastAsia="宋体" w:cs="宋体"/>
          <w:color w:val="000000"/>
          <w:sz w:val="24"/>
          <w:szCs w:val="24"/>
          <w:lang w:eastAsia="zh-Hans"/>
        </w:rPr>
        <w:t>2</w:t>
      </w:r>
      <w:r>
        <w:rPr>
          <w:rFonts w:hint="eastAsia" w:ascii="宋体" w:hAnsi="宋体" w:eastAsia="宋体" w:cs="宋体"/>
          <w:color w:val="000000"/>
          <w:sz w:val="24"/>
          <w:szCs w:val="24"/>
          <w:lang w:val="en-US" w:eastAsia="zh-Hans"/>
        </w:rPr>
        <w:t>条约定的赔偿损失</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赔偿范围包括但不限于</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违约金</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甲方实际损失</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甲方为了实现权利产生的律师费</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鉴定费</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差旅费等损失</w:t>
      </w:r>
      <w:r>
        <w:rPr>
          <w:rFonts w:hint="eastAsia" w:ascii="宋体" w:hAnsi="宋体" w:eastAsia="宋体" w:cs="宋体"/>
          <w:color w:val="000000"/>
          <w:sz w:val="24"/>
          <w:szCs w:val="24"/>
          <w:lang w:eastAsia="zh-Hans"/>
        </w:rPr>
        <w:t>。</w:t>
      </w:r>
    </w:p>
    <w:p>
      <w:pPr>
        <w:spacing w:line="360" w:lineRule="auto"/>
        <w:rPr>
          <w:rFonts w:hint="eastAsia" w:ascii="宋体" w:hAnsi="宋体" w:eastAsia="宋体" w:cs="宋体"/>
          <w:sz w:val="24"/>
          <w:szCs w:val="24"/>
        </w:rPr>
      </w:pPr>
    </w:p>
    <w:p>
      <w:pPr>
        <w:pStyle w:val="5"/>
        <w:numPr>
          <w:ilvl w:val="0"/>
          <w:numId w:val="9"/>
        </w:numPr>
        <w:spacing w:before="0" w:after="0" w:line="360" w:lineRule="auto"/>
        <w:rPr>
          <w:rFonts w:hint="eastAsia" w:ascii="宋体" w:hAnsi="宋体" w:eastAsia="宋体" w:cs="宋体"/>
          <w:sz w:val="24"/>
          <w:szCs w:val="24"/>
        </w:rPr>
      </w:pPr>
      <w:r>
        <w:rPr>
          <w:rFonts w:hint="eastAsia" w:ascii="宋体" w:hAnsi="宋体" w:eastAsia="宋体" w:cs="宋体"/>
          <w:sz w:val="24"/>
          <w:szCs w:val="24"/>
        </w:rPr>
        <w:t>其他约定</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不可抗力</w:t>
      </w:r>
    </w:p>
    <w:p>
      <w:pPr>
        <w:pStyle w:val="14"/>
        <w:numPr>
          <w:ilvl w:val="2"/>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w:t>
      </w:r>
    </w:p>
    <w:p>
      <w:pPr>
        <w:pStyle w:val="14"/>
        <w:numPr>
          <w:ilvl w:val="2"/>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不可抗力的后果：</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（1）如果发生不可抗力事件，影响一方履行其在本合同项下的义务，则在不可抗力造成的延误期内中止履行，而不视为违约。</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（2）宣称发生不可抗力的一方应迅速书面通知其他各方，并在其后的十五(15)天内提供证明不可抗力发生及其持续时间的足够证据。</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（3）如果发生不可抗力事件，各方应立即互相协商，以找到公平的解决办法，并且应尽一切合理努力将不可抗力的影响减少到最低限度。</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（4）迟延履行期间发生的不可抗力不具有免责效力。</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部分无效处理</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如任何法院或有权机关认为本合同的任何部分无效、不合法或不可执行，则该部分不应被认为构成本合同的一部分，但不应影响本合同其余部分的合法有效性及可执行性。</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不放弃权利</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标题不解释</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本协议的不同条款和分条款的标题与编号，仅供查阅方便之用，不构成本协议的一部分，不作为解释本协议任何条款或权利义务的依据。</w:t>
      </w:r>
    </w:p>
    <w:p>
      <w:pPr>
        <w:pStyle w:val="5"/>
        <w:numPr>
          <w:ilvl w:val="0"/>
          <w:numId w:val="9"/>
        </w:numPr>
        <w:spacing w:before="0" w:after="0" w:line="360" w:lineRule="auto"/>
        <w:rPr>
          <w:rFonts w:hint="eastAsia" w:ascii="宋体" w:hAnsi="宋体" w:eastAsia="宋体" w:cs="宋体"/>
          <w:sz w:val="24"/>
          <w:szCs w:val="24"/>
        </w:rPr>
      </w:pPr>
      <w:r>
        <w:rPr>
          <w:rFonts w:hint="eastAsia" w:ascii="宋体" w:hAnsi="宋体" w:eastAsia="宋体" w:cs="宋体"/>
          <w:sz w:val="24"/>
          <w:szCs w:val="24"/>
        </w:rPr>
        <w:t>争议解决</w:t>
      </w:r>
    </w:p>
    <w:p>
      <w:pPr>
        <w:pStyle w:val="14"/>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因本合同引起的或与本合同有关的任何争议，由合同各方协商解决，也可由有关部门调解。协商或调解不成的，应向</w:t>
      </w:r>
      <w:r>
        <w:rPr>
          <w:rFonts w:hint="eastAsia" w:ascii="宋体" w:hAnsi="宋体" w:eastAsia="宋体" w:cs="宋体"/>
          <w:color w:val="000000"/>
          <w:sz w:val="24"/>
          <w:szCs w:val="24"/>
          <w:lang w:eastAsia="zh-Hans"/>
        </w:rPr>
        <w:t>甲方</w:t>
      </w:r>
      <w:r>
        <w:rPr>
          <w:rFonts w:hint="eastAsia" w:ascii="宋体" w:hAnsi="宋体" w:eastAsia="宋体" w:cs="宋体"/>
          <w:color w:val="000000"/>
          <w:sz w:val="24"/>
          <w:szCs w:val="24"/>
        </w:rPr>
        <w:t>所在地有管辖权的人民法院起诉。</w:t>
      </w:r>
    </w:p>
    <w:p>
      <w:pPr>
        <w:pStyle w:val="5"/>
        <w:numPr>
          <w:ilvl w:val="0"/>
          <w:numId w:val="9"/>
        </w:numPr>
        <w:spacing w:before="0" w:after="0" w:line="360" w:lineRule="auto"/>
        <w:rPr>
          <w:rFonts w:hint="eastAsia" w:ascii="宋体" w:hAnsi="宋体" w:eastAsia="宋体" w:cs="宋体"/>
          <w:sz w:val="24"/>
          <w:szCs w:val="24"/>
        </w:rPr>
      </w:pPr>
      <w:r>
        <w:rPr>
          <w:rFonts w:hint="eastAsia" w:ascii="宋体" w:hAnsi="宋体" w:eastAsia="宋体" w:cs="宋体"/>
          <w:sz w:val="24"/>
          <w:szCs w:val="24"/>
        </w:rPr>
        <w:t>附则</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本合同一式八份，甲乙方各执</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份，招标代理公司一份，另一份送财政部门备案。</w:t>
      </w:r>
    </w:p>
    <w:p>
      <w:pPr>
        <w:pStyle w:val="14"/>
        <w:numPr>
          <w:ilvl w:val="1"/>
          <w:numId w:val="9"/>
        </w:numPr>
        <w:spacing w:before="0" w:beforeAutospacing="0" w:after="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本合同经各方盖章后生效。</w:t>
      </w:r>
    </w:p>
    <w:p>
      <w:pPr>
        <w:pStyle w:val="14"/>
        <w:spacing w:before="0" w:beforeAutospacing="0" w:after="0" w:afterAutospacing="0" w:line="360" w:lineRule="auto"/>
        <w:jc w:val="both"/>
        <w:rPr>
          <w:rFonts w:hint="eastAsia" w:ascii="宋体" w:hAnsi="宋体" w:eastAsia="宋体" w:cs="宋体"/>
          <w:color w:val="000000"/>
          <w:sz w:val="24"/>
          <w:szCs w:val="24"/>
        </w:rPr>
      </w:pPr>
      <w:r>
        <w:rPr>
          <w:rFonts w:hint="eastAsia" w:ascii="宋体" w:hAnsi="宋体" w:eastAsia="宋体" w:cs="宋体"/>
          <w:b/>
          <w:bCs/>
          <w:color w:val="000000"/>
          <w:sz w:val="24"/>
          <w:szCs w:val="24"/>
        </w:rPr>
        <w:t>（以下无合同正文）</w:t>
      </w:r>
    </w:p>
    <w:p>
      <w:pPr>
        <w:spacing w:line="360" w:lineRule="auto"/>
        <w:textAlignment w:val="baseline"/>
        <w:rPr>
          <w:rFonts w:hint="eastAsia" w:ascii="宋体" w:hAnsi="宋体" w:eastAsia="宋体" w:cs="宋体"/>
          <w:b/>
          <w:bCs/>
          <w:color w:val="000000"/>
          <w:sz w:val="24"/>
          <w:szCs w:val="24"/>
        </w:rPr>
      </w:pPr>
    </w:p>
    <w:p>
      <w:pPr>
        <w:spacing w:line="360" w:lineRule="auto"/>
        <w:textAlignment w:val="baseline"/>
        <w:rPr>
          <w:rFonts w:hint="eastAsia" w:ascii="宋体" w:hAnsi="宋体" w:eastAsia="宋体" w:cs="宋体"/>
          <w:b/>
          <w:bCs/>
          <w:color w:val="000000"/>
          <w:sz w:val="24"/>
          <w:szCs w:val="24"/>
        </w:rPr>
      </w:pPr>
    </w:p>
    <w:p>
      <w:pPr>
        <w:spacing w:line="360" w:lineRule="auto"/>
        <w:textAlignment w:val="baseline"/>
        <w:rPr>
          <w:rFonts w:hint="eastAsia" w:ascii="宋体" w:hAnsi="宋体" w:eastAsia="宋体" w:cs="宋体"/>
          <w:b/>
          <w:bCs/>
          <w:color w:val="000000"/>
          <w:sz w:val="24"/>
          <w:szCs w:val="24"/>
        </w:rPr>
      </w:pPr>
    </w:p>
    <w:p>
      <w:pPr>
        <w:pStyle w:val="2"/>
        <w:widowControl w:val="0"/>
        <w:numPr>
          <w:ilvl w:val="0"/>
          <w:numId w:val="0"/>
        </w:numPr>
        <w:jc w:val="both"/>
        <w:rPr>
          <w:rFonts w:hint="eastAsia" w:ascii="宋体" w:hAnsi="宋体" w:eastAsia="宋体" w:cs="宋体"/>
          <w:b/>
          <w:bCs/>
          <w:color w:val="000000"/>
          <w:sz w:val="24"/>
          <w:szCs w:val="24"/>
        </w:rPr>
      </w:pPr>
    </w:p>
    <w:p>
      <w:pPr>
        <w:pStyle w:val="2"/>
        <w:widowControl w:val="0"/>
        <w:numPr>
          <w:ilvl w:val="0"/>
          <w:numId w:val="0"/>
        </w:numPr>
        <w:jc w:val="both"/>
        <w:rPr>
          <w:rFonts w:hint="eastAsia" w:ascii="宋体" w:hAnsi="宋体" w:eastAsia="宋体" w:cs="宋体"/>
          <w:b/>
          <w:bCs/>
          <w:color w:val="000000"/>
          <w:sz w:val="24"/>
          <w:szCs w:val="24"/>
        </w:rPr>
      </w:pPr>
    </w:p>
    <w:p>
      <w:pPr>
        <w:pStyle w:val="2"/>
        <w:widowControl w:val="0"/>
        <w:numPr>
          <w:ilvl w:val="0"/>
          <w:numId w:val="0"/>
        </w:numPr>
        <w:jc w:val="both"/>
        <w:rPr>
          <w:rFonts w:hint="eastAsia" w:ascii="宋体" w:hAnsi="宋体" w:eastAsia="宋体" w:cs="宋体"/>
          <w:b/>
          <w:bCs/>
          <w:color w:val="000000"/>
          <w:sz w:val="24"/>
          <w:szCs w:val="24"/>
        </w:rPr>
      </w:pPr>
    </w:p>
    <w:p>
      <w:pPr>
        <w:pStyle w:val="2"/>
        <w:widowControl w:val="0"/>
        <w:numPr>
          <w:ilvl w:val="0"/>
          <w:numId w:val="0"/>
        </w:numPr>
        <w:jc w:val="both"/>
        <w:rPr>
          <w:rFonts w:hint="eastAsia" w:ascii="宋体" w:hAnsi="宋体" w:eastAsia="宋体" w:cs="宋体"/>
          <w:b/>
          <w:bCs/>
          <w:color w:val="000000"/>
          <w:sz w:val="24"/>
          <w:szCs w:val="24"/>
        </w:rPr>
      </w:pPr>
    </w:p>
    <w:p>
      <w:pPr>
        <w:spacing w:line="360" w:lineRule="auto"/>
        <w:textAlignment w:val="baseline"/>
        <w:rPr>
          <w:rFonts w:hint="eastAsia" w:ascii="宋体" w:hAnsi="宋体" w:eastAsia="宋体" w:cs="宋体"/>
          <w:b/>
          <w:bCs/>
          <w:color w:val="000000"/>
          <w:sz w:val="24"/>
          <w:szCs w:val="24"/>
        </w:rPr>
      </w:pPr>
    </w:p>
    <w:p>
      <w:pPr>
        <w:spacing w:line="360" w:lineRule="auto"/>
        <w:textAlignment w:val="baseline"/>
        <w:rPr>
          <w:rFonts w:hint="eastAsia" w:ascii="宋体" w:hAnsi="宋体" w:eastAsia="宋体" w:cs="宋体"/>
          <w:b/>
          <w:bCs/>
          <w:color w:val="000000"/>
          <w:sz w:val="24"/>
          <w:szCs w:val="24"/>
        </w:rPr>
      </w:pP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eastAsia="zh-Hans"/>
        </w:rPr>
        <w:t>本页为合同签署页</w:t>
      </w:r>
      <w:r>
        <w:rPr>
          <w:rFonts w:hint="eastAsia" w:ascii="宋体" w:hAnsi="宋体" w:eastAsia="宋体" w:cs="宋体"/>
          <w:b/>
          <w:bCs/>
          <w:color w:val="000000"/>
          <w:sz w:val="24"/>
          <w:szCs w:val="24"/>
        </w:rPr>
        <w:t>）</w:t>
      </w:r>
    </w:p>
    <w:p>
      <w:pPr>
        <w:spacing w:line="360" w:lineRule="auto"/>
        <w:ind w:firstLine="480" w:firstLineChars="200"/>
        <w:textAlignment w:val="baseline"/>
        <w:rPr>
          <w:rFonts w:hint="eastAsia" w:ascii="宋体" w:hAnsi="宋体" w:eastAsia="宋体" w:cs="宋体"/>
          <w:color w:val="000000"/>
          <w:sz w:val="24"/>
          <w:szCs w:val="24"/>
        </w:rPr>
      </w:pPr>
    </w:p>
    <w:p>
      <w:pPr>
        <w:spacing w:line="360" w:lineRule="auto"/>
        <w:ind w:firstLine="480" w:firstLineChars="200"/>
        <w:textAlignment w:val="baseline"/>
        <w:rPr>
          <w:rFonts w:hint="eastAsia" w:ascii="宋体" w:hAnsi="宋体" w:eastAsia="宋体" w:cs="宋体"/>
          <w:color w:val="000000"/>
          <w:sz w:val="24"/>
          <w:szCs w:val="24"/>
        </w:rPr>
      </w:pPr>
    </w:p>
    <w:p>
      <w:pPr>
        <w:tabs>
          <w:tab w:val="left" w:pos="6804"/>
        </w:tabs>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甲      方：（公章）</w:t>
      </w:r>
    </w:p>
    <w:p>
      <w:pPr>
        <w:tabs>
          <w:tab w:val="left" w:pos="6804"/>
        </w:tabs>
        <w:spacing w:line="360" w:lineRule="auto"/>
        <w:ind w:firstLine="1920" w:firstLineChars="8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p>
    <w:p>
      <w:pPr>
        <w:tabs>
          <w:tab w:val="left" w:pos="6804"/>
        </w:tabs>
        <w:spacing w:line="360" w:lineRule="auto"/>
        <w:ind w:firstLine="1920" w:firstLineChars="8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p>
    <w:p>
      <w:pPr>
        <w:tabs>
          <w:tab w:val="left" w:pos="6804"/>
        </w:tabs>
        <w:spacing w:line="360" w:lineRule="auto"/>
        <w:ind w:firstLine="1920" w:firstLineChars="8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电      话：</w:t>
      </w:r>
    </w:p>
    <w:p>
      <w:pPr>
        <w:tabs>
          <w:tab w:val="left" w:pos="6804"/>
        </w:tabs>
        <w:spacing w:line="360" w:lineRule="auto"/>
        <w:ind w:firstLine="480" w:firstLineChars="200"/>
        <w:textAlignment w:val="baseline"/>
        <w:rPr>
          <w:rFonts w:hint="eastAsia" w:ascii="宋体" w:hAnsi="宋体" w:eastAsia="宋体" w:cs="宋体"/>
          <w:color w:val="000000"/>
          <w:sz w:val="24"/>
          <w:szCs w:val="24"/>
        </w:rPr>
      </w:pPr>
    </w:p>
    <w:p>
      <w:pPr>
        <w:tabs>
          <w:tab w:val="left" w:pos="6804"/>
        </w:tabs>
        <w:spacing w:line="360" w:lineRule="auto"/>
        <w:ind w:firstLine="480" w:firstLineChars="200"/>
        <w:textAlignment w:val="baseline"/>
        <w:rPr>
          <w:rFonts w:hint="eastAsia" w:ascii="宋体" w:hAnsi="宋体" w:eastAsia="宋体" w:cs="宋体"/>
          <w:color w:val="000000"/>
          <w:sz w:val="24"/>
          <w:szCs w:val="24"/>
        </w:rPr>
      </w:pPr>
    </w:p>
    <w:p>
      <w:pPr>
        <w:tabs>
          <w:tab w:val="left" w:pos="6804"/>
        </w:tabs>
        <w:spacing w:line="360" w:lineRule="auto"/>
        <w:ind w:firstLine="480" w:firstLineChars="200"/>
        <w:textAlignment w:val="baseline"/>
        <w:rPr>
          <w:rFonts w:hint="eastAsia" w:ascii="宋体" w:hAnsi="宋体" w:eastAsia="宋体" w:cs="宋体"/>
          <w:b/>
          <w:bCs/>
          <w:color w:val="000000"/>
          <w:sz w:val="24"/>
          <w:szCs w:val="24"/>
        </w:rPr>
      </w:pPr>
      <w:r>
        <w:rPr>
          <w:rFonts w:hint="eastAsia" w:ascii="宋体" w:hAnsi="宋体" w:eastAsia="宋体" w:cs="宋体"/>
          <w:color w:val="000000"/>
          <w:sz w:val="24"/>
          <w:szCs w:val="24"/>
        </w:rPr>
        <w:t>乙      方：（公章）</w:t>
      </w:r>
    </w:p>
    <w:p>
      <w:pPr>
        <w:tabs>
          <w:tab w:val="left" w:pos="6804"/>
        </w:tabs>
        <w:spacing w:line="360" w:lineRule="auto"/>
        <w:ind w:firstLine="1920" w:firstLineChars="8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 </w:t>
      </w:r>
    </w:p>
    <w:p>
      <w:pPr>
        <w:tabs>
          <w:tab w:val="left" w:pos="7088"/>
        </w:tabs>
        <w:spacing w:line="360" w:lineRule="auto"/>
        <w:ind w:firstLine="1920" w:firstLineChars="8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p>
    <w:p>
      <w:pPr>
        <w:tabs>
          <w:tab w:val="left" w:pos="7088"/>
        </w:tabs>
        <w:spacing w:line="360" w:lineRule="auto"/>
        <w:ind w:firstLine="1920" w:firstLineChars="8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电      话：</w:t>
      </w:r>
    </w:p>
    <w:p>
      <w:pPr>
        <w:pStyle w:val="14"/>
        <w:spacing w:before="0" w:beforeAutospacing="0" w:after="0" w:afterAutospacing="0" w:line="360" w:lineRule="auto"/>
        <w:rPr>
          <w:rFonts w:hint="eastAsia" w:ascii="宋体" w:hAnsi="宋体" w:eastAsia="宋体" w:cs="宋体"/>
          <w:color w:val="000000"/>
          <w:sz w:val="24"/>
          <w:szCs w:val="24"/>
          <w:lang w:eastAsia="zh-Hans"/>
        </w:rPr>
      </w:pPr>
    </w:p>
    <w:p>
      <w:pPr>
        <w:tabs>
          <w:tab w:val="left" w:pos="7088"/>
        </w:tabs>
        <w:spacing w:line="360" w:lineRule="auto"/>
        <w:textAlignment w:val="baseline"/>
        <w:rPr>
          <w:rFonts w:hint="eastAsia" w:ascii="宋体" w:hAnsi="宋体" w:eastAsia="宋体" w:cs="宋体"/>
          <w:color w:val="000000"/>
          <w:sz w:val="24"/>
          <w:szCs w:val="24"/>
        </w:rPr>
      </w:pPr>
    </w:p>
    <w:p>
      <w:pPr>
        <w:tabs>
          <w:tab w:val="left" w:pos="7088"/>
        </w:tabs>
        <w:spacing w:line="360" w:lineRule="auto"/>
        <w:textAlignment w:val="baseline"/>
        <w:rPr>
          <w:rFonts w:hint="eastAsia" w:ascii="宋体" w:hAnsi="宋体" w:eastAsia="宋体" w:cs="宋体"/>
          <w:color w:val="000000"/>
          <w:sz w:val="24"/>
          <w:szCs w:val="24"/>
        </w:rPr>
      </w:pPr>
    </w:p>
    <w:p>
      <w:pPr>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合同订立时间：     年   月   日</w:t>
      </w:r>
    </w:p>
    <w:p>
      <w:pPr>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合同订立地点：</w:t>
      </w:r>
    </w:p>
    <w:p>
      <w:pPr>
        <w:spacing w:line="360" w:lineRule="auto"/>
        <w:ind w:firstLine="480" w:firstLineChars="200"/>
        <w:textAlignment w:val="baseline"/>
        <w:rPr>
          <w:rFonts w:hint="eastAsia" w:ascii="宋体" w:hAnsi="宋体" w:eastAsia="宋体" w:cs="宋体"/>
          <w:color w:val="000000"/>
          <w:sz w:val="24"/>
          <w:szCs w:val="24"/>
          <w:lang w:val="en-US" w:eastAsia="zh-Hans"/>
        </w:rPr>
      </w:pPr>
    </w:p>
    <w:p>
      <w:pPr>
        <w:spacing w:line="360" w:lineRule="auto"/>
        <w:ind w:firstLine="480" w:firstLineChars="200"/>
        <w:textAlignment w:val="baseline"/>
        <w:rPr>
          <w:rFonts w:hint="eastAsia" w:ascii="宋体" w:hAnsi="宋体" w:eastAsia="宋体" w:cs="宋体"/>
          <w:color w:val="000000"/>
          <w:sz w:val="24"/>
          <w:szCs w:val="24"/>
          <w:lang w:val="en-US" w:eastAsia="zh-Hans"/>
        </w:rPr>
      </w:pPr>
    </w:p>
    <w:p>
      <w:pPr>
        <w:spacing w:line="360" w:lineRule="auto"/>
        <w:ind w:firstLine="480" w:firstLineChars="200"/>
        <w:textAlignment w:val="baseline"/>
        <w:rPr>
          <w:rFonts w:hint="eastAsia" w:ascii="宋体" w:hAnsi="宋体" w:eastAsia="宋体" w:cs="宋体"/>
          <w:color w:val="000000"/>
          <w:sz w:val="24"/>
          <w:szCs w:val="24"/>
          <w:lang w:val="en-US" w:eastAsia="zh-Hans"/>
        </w:rPr>
      </w:pPr>
    </w:p>
    <w:p>
      <w:pPr>
        <w:spacing w:line="360" w:lineRule="auto"/>
        <w:textAlignment w:val="baseline"/>
        <w:rPr>
          <w:rFonts w:hint="eastAsia" w:ascii="宋体" w:hAnsi="宋体" w:eastAsia="宋体" w:cs="宋体"/>
          <w:color w:val="000000"/>
          <w:sz w:val="24"/>
          <w:szCs w:val="24"/>
          <w:lang w:val="en-US" w:eastAsia="zh-Hans"/>
        </w:rPr>
      </w:pPr>
    </w:p>
    <w:p>
      <w:pPr>
        <w:spacing w:line="360" w:lineRule="auto"/>
        <w:ind w:firstLine="480" w:firstLineChars="200"/>
        <w:textAlignment w:val="baseline"/>
        <w:rPr>
          <w:rFonts w:hint="eastAsia" w:ascii="宋体" w:hAnsi="宋体" w:eastAsia="宋体" w:cs="宋体"/>
          <w:color w:val="000000"/>
          <w:sz w:val="24"/>
          <w:szCs w:val="24"/>
          <w:lang w:eastAsia="zh-Hans"/>
        </w:rPr>
      </w:pPr>
      <w:r>
        <w:rPr>
          <w:rFonts w:hint="eastAsia" w:ascii="宋体" w:hAnsi="宋体" w:eastAsia="宋体" w:cs="宋体"/>
          <w:color w:val="000000"/>
          <w:sz w:val="24"/>
          <w:szCs w:val="24"/>
          <w:lang w:val="en-US" w:eastAsia="zh-Hans"/>
        </w:rPr>
        <w:t>附件</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rPr>
        <w:t>监管(三方)协议</w:t>
      </w:r>
    </w:p>
    <w:p>
      <w:pPr>
        <w:spacing w:line="360" w:lineRule="auto"/>
        <w:rPr>
          <w:rFonts w:hint="eastAsia" w:ascii="宋体" w:hAnsi="宋体" w:eastAsia="宋体" w:cs="宋体"/>
          <w:sz w:val="24"/>
          <w:szCs w:val="24"/>
        </w:rPr>
      </w:pPr>
    </w:p>
    <w:p>
      <w:pPr>
        <w:pStyle w:val="8"/>
        <w:spacing w:line="360" w:lineRule="auto"/>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numPr>
          <w:ilvl w:val="0"/>
          <w:numId w:val="0"/>
        </w:numPr>
        <w:ind w:left="840" w:leftChars="0"/>
        <w:rPr>
          <w:rFonts w:hint="eastAsia" w:ascii="宋体" w:hAnsi="宋体" w:eastAsia="宋体" w:cs="宋体"/>
          <w:color w:val="auto"/>
        </w:rPr>
      </w:pPr>
    </w:p>
    <w:p>
      <w:pPr>
        <w:spacing w:line="360" w:lineRule="auto"/>
        <w:jc w:val="center"/>
        <w:rPr>
          <w:rFonts w:hint="eastAsia" w:ascii="宋体" w:hAnsi="宋体" w:eastAsia="宋体" w:cs="宋体"/>
          <w:b/>
          <w:bCs/>
          <w:color w:val="auto"/>
          <w:sz w:val="24"/>
          <w:szCs w:val="24"/>
        </w:rPr>
      </w:pPr>
    </w:p>
    <w:p>
      <w:pPr>
        <w:spacing w:line="480" w:lineRule="exact"/>
        <w:jc w:val="left"/>
        <w:rPr>
          <w:rFonts w:hint="eastAsia" w:ascii="宋体" w:hAnsi="宋体" w:eastAsia="宋体" w:cs="宋体"/>
          <w:color w:val="auto"/>
          <w:sz w:val="24"/>
          <w:szCs w:val="24"/>
        </w:rPr>
      </w:pPr>
    </w:p>
    <w:p>
      <w:pPr>
        <w:pStyle w:val="30"/>
        <w:ind w:firstLine="480"/>
        <w:rPr>
          <w:rFonts w:hint="eastAsia" w:ascii="宋体" w:hAnsi="宋体" w:eastAsia="宋体" w:cs="宋体"/>
          <w:color w:val="auto"/>
          <w:sz w:val="24"/>
          <w:szCs w:val="24"/>
        </w:rPr>
      </w:pPr>
    </w:p>
    <w:p>
      <w:pPr>
        <w:pStyle w:val="30"/>
        <w:ind w:left="0" w:leftChars="0" w:firstLine="0" w:firstLineChars="0"/>
        <w:rPr>
          <w:rFonts w:hint="eastAsia" w:ascii="宋体" w:hAnsi="宋体" w:eastAsia="宋体" w:cs="宋体"/>
          <w:color w:val="auto"/>
          <w:sz w:val="24"/>
          <w:szCs w:val="24"/>
        </w:rPr>
      </w:pPr>
    </w:p>
    <w:p>
      <w:pPr>
        <w:pStyle w:val="3"/>
        <w:numPr>
          <w:ilvl w:val="0"/>
          <w:numId w:val="10"/>
        </w:numPr>
        <w:tabs>
          <w:tab w:val="left" w:pos="720"/>
        </w:tabs>
        <w:spacing w:line="600" w:lineRule="auto"/>
        <w:jc w:val="left"/>
        <w:rPr>
          <w:rFonts w:hint="eastAsia" w:ascii="宋体" w:hAnsi="宋体" w:eastAsia="宋体" w:cs="宋体"/>
          <w:b/>
          <w:bCs w:val="0"/>
          <w:color w:val="auto"/>
          <w:sz w:val="24"/>
          <w:szCs w:val="24"/>
        </w:rPr>
      </w:pPr>
      <w:bookmarkStart w:id="99" w:name="_Toc19784"/>
      <w:bookmarkStart w:id="100" w:name="_Toc6476"/>
      <w:bookmarkStart w:id="101" w:name="_Toc6739"/>
      <w:bookmarkStart w:id="102" w:name="_Toc9600"/>
      <w:bookmarkStart w:id="103" w:name="_Toc12050"/>
      <w:r>
        <w:rPr>
          <w:rFonts w:hint="eastAsia" w:ascii="宋体" w:hAnsi="宋体" w:eastAsia="宋体" w:cs="宋体"/>
          <w:b/>
          <w:bCs w:val="0"/>
          <w:color w:val="auto"/>
          <w:sz w:val="24"/>
          <w:szCs w:val="24"/>
        </w:rPr>
        <w:t>竞争性磋商响应文件格式</w:t>
      </w:r>
      <w:bookmarkEnd w:id="99"/>
      <w:bookmarkEnd w:id="100"/>
      <w:bookmarkEnd w:id="101"/>
      <w:bookmarkEnd w:id="102"/>
      <w:bookmarkEnd w:id="103"/>
    </w:p>
    <w:p>
      <w:pPr>
        <w:pStyle w:val="169"/>
        <w:spacing w:line="480" w:lineRule="exact"/>
        <w:jc w:val="right"/>
        <w:rPr>
          <w:rFonts w:hint="eastAsia" w:ascii="宋体" w:hAnsi="宋体" w:eastAsia="宋体" w:cs="宋体"/>
          <w:b/>
          <w:color w:val="auto"/>
        </w:rPr>
      </w:pPr>
      <w:bookmarkStart w:id="104" w:name="_Toc7805"/>
    </w:p>
    <w:p>
      <w:pPr>
        <w:pStyle w:val="169"/>
        <w:spacing w:line="480" w:lineRule="exact"/>
        <w:jc w:val="right"/>
        <w:outlineLvl w:val="0"/>
        <w:rPr>
          <w:rFonts w:hint="eastAsia" w:ascii="宋体" w:hAnsi="宋体" w:eastAsia="宋体" w:cs="宋体"/>
          <w:b/>
          <w:color w:val="auto"/>
        </w:rPr>
      </w:pPr>
      <w:bookmarkStart w:id="105" w:name="_Toc31080"/>
      <w:bookmarkStart w:id="106" w:name="_Toc17706"/>
      <w:bookmarkStart w:id="107" w:name="_Toc19816"/>
      <w:r>
        <w:rPr>
          <w:rFonts w:hint="eastAsia" w:ascii="宋体" w:hAnsi="宋体" w:eastAsia="宋体" w:cs="宋体"/>
          <w:b/>
          <w:color w:val="auto"/>
        </w:rPr>
        <w:t>正本/副本</w:t>
      </w:r>
      <w:bookmarkEnd w:id="104"/>
      <w:bookmarkEnd w:id="105"/>
      <w:bookmarkEnd w:id="106"/>
      <w:bookmarkEnd w:id="107"/>
    </w:p>
    <w:p>
      <w:pPr>
        <w:pStyle w:val="169"/>
        <w:spacing w:line="480" w:lineRule="exact"/>
        <w:rPr>
          <w:rFonts w:hint="eastAsia" w:ascii="宋体" w:hAnsi="宋体" w:eastAsia="宋体" w:cs="宋体"/>
          <w:b/>
          <w:color w:val="auto"/>
        </w:rPr>
      </w:pPr>
    </w:p>
    <w:p>
      <w:pPr>
        <w:pStyle w:val="169"/>
        <w:spacing w:line="480" w:lineRule="exact"/>
        <w:jc w:val="center"/>
        <w:rPr>
          <w:rFonts w:hint="eastAsia" w:ascii="宋体" w:hAnsi="宋体" w:eastAsia="宋体" w:cs="宋体"/>
          <w:b/>
          <w:color w:val="auto"/>
        </w:rPr>
      </w:pPr>
    </w:p>
    <w:p>
      <w:pPr>
        <w:pStyle w:val="169"/>
        <w:spacing w:line="480" w:lineRule="exact"/>
        <w:jc w:val="center"/>
        <w:rPr>
          <w:rFonts w:hint="eastAsia" w:ascii="宋体" w:hAnsi="宋体" w:eastAsia="宋体" w:cs="宋体"/>
          <w:b/>
          <w:color w:val="auto"/>
        </w:rPr>
      </w:pPr>
    </w:p>
    <w:p>
      <w:pPr>
        <w:pStyle w:val="169"/>
        <w:spacing w:line="480" w:lineRule="exact"/>
        <w:jc w:val="center"/>
        <w:rPr>
          <w:rFonts w:hint="eastAsia" w:ascii="宋体" w:hAnsi="宋体" w:eastAsia="宋体" w:cs="宋体"/>
          <w:b/>
          <w:color w:val="auto"/>
        </w:rPr>
      </w:pPr>
    </w:p>
    <w:p>
      <w:pPr>
        <w:pStyle w:val="169"/>
        <w:spacing w:line="600" w:lineRule="auto"/>
        <w:jc w:val="center"/>
        <w:rPr>
          <w:rFonts w:hint="eastAsia" w:ascii="宋体" w:hAnsi="宋体" w:eastAsia="宋体" w:cs="宋体"/>
          <w:color w:val="auto"/>
        </w:rPr>
      </w:pPr>
      <w:r>
        <w:rPr>
          <w:rFonts w:hint="eastAsia" w:ascii="宋体" w:hAnsi="宋体" w:eastAsia="宋体" w:cs="宋体"/>
          <w:b/>
          <w:color w:val="auto"/>
        </w:rPr>
        <w:t>投标文件</w:t>
      </w:r>
    </w:p>
    <w:p>
      <w:pPr>
        <w:pStyle w:val="169"/>
        <w:spacing w:line="480" w:lineRule="exact"/>
        <w:jc w:val="both"/>
        <w:rPr>
          <w:rFonts w:hint="eastAsia" w:ascii="宋体" w:hAnsi="宋体" w:eastAsia="宋体" w:cs="宋体"/>
          <w:color w:val="auto"/>
        </w:rPr>
      </w:pPr>
    </w:p>
    <w:p>
      <w:pPr>
        <w:pStyle w:val="169"/>
        <w:spacing w:line="480" w:lineRule="exact"/>
        <w:jc w:val="both"/>
        <w:rPr>
          <w:rFonts w:hint="eastAsia" w:ascii="宋体" w:hAnsi="宋体" w:eastAsia="宋体" w:cs="宋体"/>
          <w:color w:val="auto"/>
        </w:rPr>
      </w:pPr>
    </w:p>
    <w:p>
      <w:pPr>
        <w:pStyle w:val="169"/>
        <w:spacing w:line="480" w:lineRule="exact"/>
        <w:jc w:val="both"/>
        <w:rPr>
          <w:rFonts w:hint="eastAsia" w:ascii="宋体" w:hAnsi="宋体" w:eastAsia="宋体" w:cs="宋体"/>
          <w:color w:val="auto"/>
        </w:rPr>
      </w:pPr>
    </w:p>
    <w:p>
      <w:pPr>
        <w:pStyle w:val="169"/>
        <w:spacing w:line="480" w:lineRule="exact"/>
        <w:jc w:val="both"/>
        <w:rPr>
          <w:rFonts w:hint="eastAsia" w:ascii="宋体" w:hAnsi="宋体" w:eastAsia="宋体" w:cs="宋体"/>
          <w:color w:val="auto"/>
        </w:rPr>
      </w:pPr>
    </w:p>
    <w:p>
      <w:pPr>
        <w:pStyle w:val="169"/>
        <w:spacing w:line="480" w:lineRule="auto"/>
        <w:ind w:firstLine="480" w:firstLineChars="200"/>
        <w:jc w:val="both"/>
        <w:rPr>
          <w:rFonts w:hint="eastAsia" w:ascii="宋体" w:hAnsi="宋体" w:eastAsia="宋体" w:cs="宋体"/>
          <w:color w:val="auto"/>
        </w:rPr>
      </w:pPr>
      <w:r>
        <w:rPr>
          <w:rFonts w:hint="eastAsia" w:ascii="宋体" w:hAnsi="宋体" w:eastAsia="宋体" w:cs="宋体"/>
          <w:color w:val="auto"/>
        </w:rPr>
        <w:t>采购单位：</w:t>
      </w:r>
    </w:p>
    <w:p>
      <w:pPr>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项目名称+标段：          </w:t>
      </w:r>
    </w:p>
    <w:p>
      <w:pPr>
        <w:pStyle w:val="169"/>
        <w:spacing w:line="480" w:lineRule="auto"/>
        <w:ind w:firstLine="480" w:firstLineChars="200"/>
        <w:jc w:val="both"/>
        <w:rPr>
          <w:rFonts w:hint="eastAsia" w:ascii="宋体" w:hAnsi="宋体" w:eastAsia="宋体" w:cs="宋体"/>
          <w:color w:val="auto"/>
        </w:rPr>
      </w:pPr>
      <w:r>
        <w:rPr>
          <w:rFonts w:hint="eastAsia" w:ascii="宋体" w:hAnsi="宋体" w:eastAsia="宋体" w:cs="宋体"/>
          <w:color w:val="auto"/>
        </w:rPr>
        <w:t xml:space="preserve">项目编号： </w:t>
      </w:r>
    </w:p>
    <w:p>
      <w:pPr>
        <w:pStyle w:val="169"/>
        <w:spacing w:line="480" w:lineRule="auto"/>
        <w:ind w:firstLine="480" w:firstLineChars="200"/>
        <w:jc w:val="both"/>
        <w:rPr>
          <w:rFonts w:hint="eastAsia" w:ascii="宋体" w:hAnsi="宋体" w:eastAsia="宋体" w:cs="宋体"/>
          <w:color w:val="auto"/>
        </w:rPr>
      </w:pPr>
      <w:r>
        <w:rPr>
          <w:rFonts w:hint="eastAsia" w:ascii="宋体" w:hAnsi="宋体" w:eastAsia="宋体" w:cs="宋体"/>
          <w:color w:val="auto"/>
        </w:rPr>
        <w:t>供应商 （盖章）：</w:t>
      </w:r>
    </w:p>
    <w:p>
      <w:pPr>
        <w:pStyle w:val="169"/>
        <w:spacing w:line="480" w:lineRule="auto"/>
        <w:ind w:firstLine="480" w:firstLineChars="200"/>
        <w:jc w:val="both"/>
        <w:rPr>
          <w:rFonts w:hint="eastAsia" w:ascii="宋体" w:hAnsi="宋体" w:eastAsia="宋体" w:cs="宋体"/>
          <w:color w:val="auto"/>
        </w:rPr>
      </w:pPr>
      <w:r>
        <w:rPr>
          <w:rFonts w:hint="eastAsia" w:ascii="宋体" w:hAnsi="宋体" w:eastAsia="宋体" w:cs="宋体"/>
          <w:color w:val="auto"/>
        </w:rPr>
        <w:t>法定代表人（签字或盖章）:</w:t>
      </w:r>
    </w:p>
    <w:p>
      <w:pPr>
        <w:pStyle w:val="169"/>
        <w:spacing w:line="480" w:lineRule="auto"/>
        <w:ind w:firstLine="480" w:firstLineChars="200"/>
        <w:jc w:val="both"/>
        <w:rPr>
          <w:rFonts w:hint="eastAsia" w:ascii="宋体" w:hAnsi="宋体" w:eastAsia="宋体" w:cs="宋体"/>
          <w:color w:val="auto"/>
        </w:rPr>
      </w:pPr>
      <w:r>
        <w:rPr>
          <w:rFonts w:hint="eastAsia" w:ascii="宋体" w:hAnsi="宋体" w:eastAsia="宋体" w:cs="宋体"/>
          <w:color w:val="auto"/>
        </w:rPr>
        <w:t>供应商地址：</w:t>
      </w:r>
    </w:p>
    <w:p>
      <w:pPr>
        <w:pStyle w:val="169"/>
        <w:spacing w:line="480" w:lineRule="exact"/>
        <w:ind w:firstLine="567"/>
        <w:jc w:val="both"/>
        <w:rPr>
          <w:rFonts w:hint="eastAsia" w:ascii="宋体" w:hAnsi="宋体" w:eastAsia="宋体" w:cs="宋体"/>
          <w:color w:val="auto"/>
        </w:rPr>
      </w:pPr>
    </w:p>
    <w:p>
      <w:pPr>
        <w:pStyle w:val="169"/>
        <w:spacing w:line="480" w:lineRule="exact"/>
        <w:ind w:firstLine="567"/>
        <w:jc w:val="both"/>
        <w:rPr>
          <w:rFonts w:hint="eastAsia" w:ascii="宋体" w:hAnsi="宋体" w:eastAsia="宋体" w:cs="宋体"/>
          <w:color w:val="auto"/>
        </w:rPr>
      </w:pPr>
    </w:p>
    <w:p>
      <w:pPr>
        <w:pStyle w:val="169"/>
        <w:spacing w:line="480" w:lineRule="exact"/>
        <w:jc w:val="both"/>
        <w:rPr>
          <w:rFonts w:hint="eastAsia" w:ascii="宋体" w:hAnsi="宋体" w:eastAsia="宋体" w:cs="宋体"/>
          <w:color w:val="auto"/>
        </w:rPr>
      </w:pPr>
    </w:p>
    <w:p>
      <w:pPr>
        <w:pStyle w:val="169"/>
        <w:spacing w:line="480" w:lineRule="exact"/>
        <w:ind w:firstLine="1200" w:firstLineChars="500"/>
        <w:jc w:val="both"/>
        <w:rPr>
          <w:rFonts w:hint="eastAsia" w:ascii="宋体" w:hAnsi="宋体" w:eastAsia="宋体" w:cs="宋体"/>
          <w:color w:val="auto"/>
        </w:rPr>
      </w:pPr>
    </w:p>
    <w:p>
      <w:pPr>
        <w:pStyle w:val="169"/>
        <w:spacing w:line="480" w:lineRule="exact"/>
        <w:ind w:firstLine="1200" w:firstLineChars="500"/>
        <w:jc w:val="both"/>
        <w:rPr>
          <w:rFonts w:hint="eastAsia" w:ascii="宋体" w:hAnsi="宋体" w:eastAsia="宋体" w:cs="宋体"/>
          <w:color w:val="auto"/>
        </w:rPr>
      </w:pPr>
      <w:r>
        <w:rPr>
          <w:rFonts w:hint="eastAsia" w:ascii="宋体" w:hAnsi="宋体" w:eastAsia="宋体" w:cs="宋体"/>
          <w:color w:val="auto"/>
        </w:rPr>
        <w:t>开      标      前      不      准      启      封</w:t>
      </w:r>
    </w:p>
    <w:p>
      <w:pPr>
        <w:pStyle w:val="169"/>
        <w:spacing w:line="480" w:lineRule="exact"/>
        <w:ind w:firstLine="4819"/>
        <w:jc w:val="both"/>
        <w:rPr>
          <w:rFonts w:hint="eastAsia" w:ascii="宋体" w:hAnsi="宋体" w:eastAsia="宋体" w:cs="宋体"/>
          <w:color w:val="auto"/>
        </w:rPr>
      </w:pPr>
    </w:p>
    <w:p>
      <w:pPr>
        <w:pStyle w:val="169"/>
        <w:spacing w:line="480" w:lineRule="auto"/>
        <w:ind w:firstLine="482" w:firstLineChars="200"/>
        <w:jc w:val="both"/>
        <w:rPr>
          <w:rFonts w:hint="eastAsia" w:ascii="宋体" w:hAnsi="宋体" w:eastAsia="宋体" w:cs="宋体"/>
          <w:b/>
          <w:color w:val="auto"/>
        </w:rPr>
      </w:pPr>
      <w:r>
        <w:rPr>
          <w:rFonts w:hint="eastAsia" w:ascii="宋体" w:hAnsi="宋体" w:eastAsia="宋体" w:cs="宋体"/>
          <w:b/>
          <w:color w:val="auto"/>
        </w:rPr>
        <w:t>投标文件组成</w:t>
      </w:r>
    </w:p>
    <w:p>
      <w:pPr>
        <w:pStyle w:val="169"/>
        <w:spacing w:line="480" w:lineRule="auto"/>
        <w:ind w:firstLine="480" w:firstLineChars="200"/>
        <w:jc w:val="both"/>
        <w:rPr>
          <w:rFonts w:hint="eastAsia" w:ascii="宋体" w:hAnsi="宋体" w:eastAsia="宋体" w:cs="宋体"/>
          <w:bCs/>
          <w:color w:val="auto"/>
        </w:rPr>
      </w:pPr>
      <w:r>
        <w:rPr>
          <w:rFonts w:hint="eastAsia" w:ascii="宋体" w:hAnsi="宋体" w:eastAsia="宋体" w:cs="宋体"/>
          <w:bCs/>
          <w:color w:val="auto"/>
        </w:rPr>
        <w:t>商务部分：</w:t>
      </w:r>
    </w:p>
    <w:p>
      <w:pPr>
        <w:pStyle w:val="169"/>
        <w:spacing w:line="480" w:lineRule="auto"/>
        <w:ind w:firstLine="480" w:firstLineChars="200"/>
        <w:jc w:val="both"/>
        <w:rPr>
          <w:rFonts w:hint="eastAsia" w:ascii="宋体" w:hAnsi="宋体" w:eastAsia="宋体" w:cs="宋体"/>
          <w:color w:val="auto"/>
        </w:rPr>
      </w:pPr>
      <w:r>
        <w:rPr>
          <w:rFonts w:hint="eastAsia" w:ascii="宋体" w:hAnsi="宋体" w:eastAsia="宋体" w:cs="宋体"/>
          <w:color w:val="auto"/>
        </w:rPr>
        <w:t>（1）磋商函</w:t>
      </w:r>
    </w:p>
    <w:p>
      <w:pPr>
        <w:pStyle w:val="169"/>
        <w:spacing w:line="480" w:lineRule="auto"/>
        <w:ind w:firstLine="480" w:firstLineChars="200"/>
        <w:jc w:val="both"/>
        <w:rPr>
          <w:rFonts w:hint="eastAsia" w:ascii="宋体" w:hAnsi="宋体" w:eastAsia="宋体" w:cs="宋体"/>
          <w:color w:val="auto"/>
        </w:rPr>
      </w:pPr>
      <w:r>
        <w:rPr>
          <w:rFonts w:hint="eastAsia" w:ascii="宋体" w:hAnsi="宋体" w:eastAsia="宋体" w:cs="宋体"/>
          <w:color w:val="auto"/>
        </w:rPr>
        <w:t>（2）法定代表人授权委托书</w:t>
      </w:r>
    </w:p>
    <w:p>
      <w:pPr>
        <w:pStyle w:val="169"/>
        <w:spacing w:line="480" w:lineRule="auto"/>
        <w:ind w:firstLine="480" w:firstLineChars="200"/>
        <w:jc w:val="both"/>
        <w:rPr>
          <w:rFonts w:hint="eastAsia" w:ascii="宋体" w:hAnsi="宋体" w:eastAsia="宋体" w:cs="宋体"/>
          <w:color w:val="auto"/>
        </w:rPr>
      </w:pPr>
      <w:r>
        <w:rPr>
          <w:rFonts w:hint="eastAsia" w:ascii="宋体" w:hAnsi="宋体" w:eastAsia="宋体" w:cs="宋体"/>
          <w:color w:val="auto"/>
        </w:rPr>
        <w:t>（3）开标一览表</w:t>
      </w:r>
    </w:p>
    <w:p>
      <w:pPr>
        <w:pStyle w:val="169"/>
        <w:spacing w:line="480" w:lineRule="auto"/>
        <w:ind w:firstLine="480" w:firstLineChars="200"/>
        <w:jc w:val="both"/>
        <w:rPr>
          <w:rFonts w:hint="eastAsia" w:ascii="宋体" w:hAnsi="宋体" w:eastAsia="宋体" w:cs="宋体"/>
          <w:color w:val="auto"/>
        </w:rPr>
      </w:pPr>
      <w:r>
        <w:rPr>
          <w:rFonts w:hint="eastAsia" w:ascii="宋体" w:hAnsi="宋体" w:eastAsia="宋体" w:cs="宋体"/>
          <w:color w:val="auto"/>
        </w:rPr>
        <w:t>（4）商务条款偏离表</w:t>
      </w:r>
    </w:p>
    <w:p>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（5）投标保证金</w:t>
      </w:r>
    </w:p>
    <w:p>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（6）供应商符合资格条件的证明文件</w:t>
      </w:r>
    </w:p>
    <w:p>
      <w:pPr>
        <w:pStyle w:val="169"/>
        <w:spacing w:line="480" w:lineRule="auto"/>
        <w:ind w:firstLine="480" w:firstLineChars="200"/>
        <w:jc w:val="both"/>
        <w:rPr>
          <w:rFonts w:hint="eastAsia" w:ascii="宋体" w:hAnsi="宋体" w:eastAsia="宋体" w:cs="宋体"/>
          <w:color w:val="auto"/>
        </w:rPr>
      </w:pPr>
      <w:r>
        <w:rPr>
          <w:rFonts w:hint="eastAsia" w:ascii="宋体" w:hAnsi="宋体" w:eastAsia="宋体" w:cs="宋体"/>
          <w:color w:val="auto"/>
        </w:rPr>
        <w:t>技术部分：</w:t>
      </w:r>
    </w:p>
    <w:p>
      <w:pPr>
        <w:pStyle w:val="169"/>
        <w:spacing w:line="480" w:lineRule="auto"/>
        <w:ind w:firstLine="480" w:firstLineChars="200"/>
        <w:jc w:val="both"/>
        <w:outlineLvl w:val="0"/>
        <w:rPr>
          <w:rFonts w:hint="eastAsia" w:ascii="宋体" w:hAnsi="宋体" w:eastAsia="宋体" w:cs="宋体"/>
          <w:color w:val="auto"/>
        </w:rPr>
      </w:pPr>
      <w:bookmarkStart w:id="108" w:name="_Toc3432"/>
      <w:bookmarkStart w:id="109" w:name="_Toc2681"/>
      <w:bookmarkStart w:id="110" w:name="_Toc22911"/>
      <w:bookmarkStart w:id="111" w:name="_Toc498343979"/>
      <w:r>
        <w:rPr>
          <w:rFonts w:hint="eastAsia" w:ascii="宋体" w:hAnsi="宋体" w:eastAsia="宋体" w:cs="宋体"/>
          <w:color w:val="auto"/>
        </w:rPr>
        <w:t>附件1：技术响应与偏离表</w:t>
      </w:r>
      <w:bookmarkEnd w:id="108"/>
      <w:bookmarkEnd w:id="109"/>
      <w:bookmarkEnd w:id="110"/>
    </w:p>
    <w:p>
      <w:pPr>
        <w:pStyle w:val="169"/>
        <w:spacing w:line="480" w:lineRule="auto"/>
        <w:ind w:firstLine="480" w:firstLineChars="200"/>
        <w:jc w:val="both"/>
        <w:outlineLvl w:val="0"/>
        <w:rPr>
          <w:rFonts w:hint="eastAsia" w:ascii="宋体" w:hAnsi="宋体" w:eastAsia="宋体" w:cs="宋体"/>
          <w:color w:val="auto"/>
        </w:rPr>
      </w:pPr>
      <w:bookmarkStart w:id="112" w:name="_Toc4136"/>
      <w:bookmarkStart w:id="113" w:name="_Toc29857"/>
      <w:bookmarkStart w:id="114" w:name="_Toc2072"/>
      <w:r>
        <w:rPr>
          <w:rFonts w:hint="eastAsia" w:ascii="宋体" w:hAnsi="宋体" w:eastAsia="宋体" w:cs="宋体"/>
          <w:color w:val="auto"/>
        </w:rPr>
        <w:t>附件2：技术服务方案及保障措施</w:t>
      </w:r>
      <w:bookmarkEnd w:id="112"/>
      <w:bookmarkEnd w:id="113"/>
      <w:bookmarkEnd w:id="114"/>
    </w:p>
    <w:p>
      <w:pPr>
        <w:pStyle w:val="169"/>
        <w:spacing w:line="480" w:lineRule="auto"/>
        <w:ind w:firstLine="480" w:firstLineChars="200"/>
        <w:jc w:val="both"/>
        <w:outlineLvl w:val="0"/>
        <w:rPr>
          <w:rFonts w:hint="eastAsia" w:ascii="宋体" w:hAnsi="宋体" w:eastAsia="宋体" w:cs="宋体"/>
          <w:color w:val="auto"/>
        </w:rPr>
      </w:pPr>
      <w:bookmarkStart w:id="115" w:name="_Toc14151"/>
      <w:bookmarkStart w:id="116" w:name="_Toc21690"/>
      <w:bookmarkStart w:id="117" w:name="_Toc14994"/>
      <w:r>
        <w:rPr>
          <w:rFonts w:hint="eastAsia" w:ascii="宋体" w:hAnsi="宋体" w:eastAsia="宋体" w:cs="宋体"/>
          <w:color w:val="auto"/>
        </w:rPr>
        <w:t>附件3：企业项目业绩表</w:t>
      </w:r>
      <w:bookmarkEnd w:id="115"/>
      <w:bookmarkEnd w:id="116"/>
      <w:bookmarkEnd w:id="117"/>
    </w:p>
    <w:p>
      <w:pPr>
        <w:pStyle w:val="169"/>
        <w:spacing w:line="480" w:lineRule="auto"/>
        <w:ind w:firstLine="480" w:firstLineChars="200"/>
        <w:jc w:val="both"/>
        <w:outlineLvl w:val="0"/>
        <w:rPr>
          <w:rFonts w:hint="eastAsia" w:ascii="宋体" w:hAnsi="宋体" w:eastAsia="宋体" w:cs="宋体"/>
          <w:color w:val="auto"/>
        </w:rPr>
      </w:pPr>
      <w:bookmarkStart w:id="118" w:name="_Toc16266"/>
      <w:bookmarkStart w:id="119" w:name="_Toc13523"/>
      <w:bookmarkStart w:id="120" w:name="_Toc29330"/>
      <w:r>
        <w:rPr>
          <w:rFonts w:hint="eastAsia" w:ascii="宋体" w:hAnsi="宋体" w:eastAsia="宋体" w:cs="宋体"/>
          <w:color w:val="auto"/>
        </w:rPr>
        <w:t>附件4、岗位及人员配置构成</w:t>
      </w:r>
      <w:bookmarkEnd w:id="118"/>
      <w:bookmarkEnd w:id="119"/>
      <w:bookmarkEnd w:id="120"/>
    </w:p>
    <w:p>
      <w:pPr>
        <w:pStyle w:val="169"/>
        <w:spacing w:line="480" w:lineRule="auto"/>
        <w:ind w:firstLine="480" w:firstLineChars="200"/>
        <w:jc w:val="both"/>
        <w:outlineLvl w:val="0"/>
        <w:rPr>
          <w:rFonts w:hint="eastAsia" w:ascii="宋体" w:hAnsi="宋体" w:eastAsia="宋体" w:cs="宋体"/>
          <w:color w:val="auto"/>
        </w:rPr>
      </w:pPr>
      <w:bookmarkStart w:id="121" w:name="_Toc32134"/>
      <w:bookmarkStart w:id="122" w:name="_Toc3666"/>
      <w:bookmarkStart w:id="123" w:name="_Toc31616"/>
      <w:r>
        <w:rPr>
          <w:rFonts w:hint="eastAsia" w:ascii="宋体" w:hAnsi="宋体" w:eastAsia="宋体" w:cs="宋体"/>
          <w:color w:val="auto"/>
        </w:rPr>
        <w:t>附件5、其他服务承诺</w:t>
      </w:r>
      <w:bookmarkEnd w:id="121"/>
      <w:bookmarkEnd w:id="122"/>
      <w:bookmarkEnd w:id="123"/>
    </w:p>
    <w:p>
      <w:pPr>
        <w:pStyle w:val="169"/>
        <w:spacing w:line="480" w:lineRule="auto"/>
        <w:ind w:firstLine="480" w:firstLineChars="200"/>
        <w:jc w:val="both"/>
        <w:outlineLvl w:val="0"/>
        <w:rPr>
          <w:rFonts w:hint="eastAsia" w:ascii="宋体" w:hAnsi="宋体" w:eastAsia="宋体" w:cs="宋体"/>
          <w:color w:val="auto"/>
        </w:rPr>
      </w:pPr>
      <w:bookmarkStart w:id="124" w:name="_Toc18125"/>
      <w:bookmarkStart w:id="125" w:name="_Toc25510"/>
      <w:bookmarkStart w:id="126" w:name="_Toc31165"/>
      <w:r>
        <w:rPr>
          <w:rFonts w:hint="eastAsia" w:ascii="宋体" w:hAnsi="宋体" w:eastAsia="宋体" w:cs="宋体"/>
          <w:color w:val="auto"/>
        </w:rPr>
        <w:t>附件6、供应商认为需要提供的其他材料</w:t>
      </w:r>
      <w:bookmarkEnd w:id="124"/>
      <w:bookmarkEnd w:id="125"/>
      <w:bookmarkEnd w:id="126"/>
    </w:p>
    <w:p>
      <w:pPr>
        <w:pStyle w:val="169"/>
        <w:spacing w:line="480" w:lineRule="auto"/>
        <w:ind w:firstLine="480" w:firstLineChars="200"/>
        <w:jc w:val="both"/>
        <w:rPr>
          <w:rFonts w:hint="eastAsia" w:ascii="宋体" w:hAnsi="宋体" w:eastAsia="宋体" w:cs="宋体"/>
          <w:color w:val="auto"/>
        </w:rPr>
        <w:sectPr>
          <w:headerReference r:id="rId4" w:type="default"/>
          <w:footerReference r:id="rId5" w:type="default"/>
          <w:pgSz w:w="11906" w:h="16838"/>
          <w:pgMar w:top="1417" w:right="1418" w:bottom="1417" w:left="1418" w:header="851" w:footer="850" w:gutter="0"/>
          <w:pgNumType w:fmt="decimal" w:start="1"/>
          <w:cols w:space="720" w:num="1"/>
          <w:docGrid w:type="lines" w:linePitch="312" w:charSpace="0"/>
        </w:sectPr>
      </w:pPr>
    </w:p>
    <w:p>
      <w:pPr>
        <w:pStyle w:val="169"/>
        <w:spacing w:line="480" w:lineRule="exact"/>
        <w:jc w:val="center"/>
        <w:outlineLvl w:val="1"/>
        <w:rPr>
          <w:rFonts w:hint="eastAsia" w:ascii="宋体" w:hAnsi="宋体" w:eastAsia="宋体" w:cs="宋体"/>
          <w:color w:val="auto"/>
        </w:rPr>
      </w:pPr>
      <w:bookmarkStart w:id="127" w:name="_Toc16268"/>
      <w:r>
        <w:rPr>
          <w:rFonts w:hint="eastAsia" w:ascii="宋体" w:hAnsi="宋体" w:eastAsia="宋体" w:cs="宋体"/>
          <w:b/>
          <w:color w:val="auto"/>
        </w:rPr>
        <w:t>1、磋商函</w:t>
      </w:r>
      <w:bookmarkEnd w:id="111"/>
      <w:bookmarkEnd w:id="127"/>
    </w:p>
    <w:p>
      <w:pPr>
        <w:pStyle w:val="169"/>
        <w:spacing w:line="480" w:lineRule="exact"/>
        <w:rPr>
          <w:rFonts w:hint="eastAsia" w:ascii="宋体" w:hAnsi="宋体" w:eastAsia="宋体" w:cs="宋体"/>
          <w:color w:val="auto"/>
        </w:rPr>
      </w:pPr>
      <w:r>
        <w:rPr>
          <w:rFonts w:hint="eastAsia" w:ascii="宋体" w:hAnsi="宋体" w:eastAsia="宋体" w:cs="宋体"/>
          <w:color w:val="auto"/>
        </w:rPr>
        <w:t>(采购单位)：</w:t>
      </w:r>
    </w:p>
    <w:p>
      <w:pPr>
        <w:pStyle w:val="169"/>
        <w:spacing w:line="480" w:lineRule="exact"/>
        <w:ind w:firstLine="567"/>
        <w:jc w:val="both"/>
        <w:rPr>
          <w:rFonts w:hint="eastAsia" w:ascii="宋体" w:hAnsi="宋体" w:eastAsia="宋体" w:cs="宋体"/>
          <w:color w:val="auto"/>
        </w:rPr>
      </w:pPr>
      <w:r>
        <w:rPr>
          <w:rFonts w:hint="eastAsia" w:ascii="宋体" w:hAnsi="宋体" w:eastAsia="宋体" w:cs="宋体"/>
          <w:color w:val="auto"/>
        </w:rPr>
        <w:t>我们收到你们</w:t>
      </w:r>
      <w:r>
        <w:rPr>
          <w:rFonts w:hint="eastAsia" w:ascii="宋体" w:hAnsi="宋体" w:eastAsia="宋体" w:cs="宋体"/>
          <w:color w:val="auto"/>
          <w:u w:val="single"/>
        </w:rPr>
        <w:t xml:space="preserve">  （项目名称+标段）  </w:t>
      </w:r>
      <w:r>
        <w:rPr>
          <w:rFonts w:hint="eastAsia" w:ascii="宋体" w:hAnsi="宋体" w:eastAsia="宋体" w:cs="宋体"/>
          <w:color w:val="auto"/>
        </w:rPr>
        <w:t xml:space="preserve"> 竞争性磋商文件，经认真研究，我们决定参加投标。</w:t>
      </w:r>
    </w:p>
    <w:p>
      <w:pPr>
        <w:pStyle w:val="169"/>
        <w:spacing w:line="480" w:lineRule="exact"/>
        <w:ind w:firstLine="567"/>
        <w:jc w:val="both"/>
        <w:rPr>
          <w:rFonts w:hint="eastAsia" w:ascii="宋体" w:hAnsi="宋体" w:eastAsia="宋体" w:cs="宋体"/>
          <w:color w:val="auto"/>
        </w:rPr>
      </w:pPr>
      <w:r>
        <w:rPr>
          <w:rFonts w:hint="eastAsia" w:ascii="宋体" w:hAnsi="宋体" w:eastAsia="宋体" w:cs="宋体"/>
          <w:color w:val="auto"/>
        </w:rPr>
        <w:t>⒈按照竞争性磋商文件中的一切要求，提供招标服务审计投标总价：</w:t>
      </w:r>
      <w:r>
        <w:rPr>
          <w:rFonts w:hint="eastAsia" w:ascii="宋体" w:hAnsi="宋体" w:eastAsia="宋体" w:cs="宋体"/>
          <w:color w:val="auto"/>
          <w:u w:val="single"/>
        </w:rPr>
        <w:t>（   ）</w:t>
      </w:r>
      <w:r>
        <w:rPr>
          <w:rFonts w:hint="eastAsia" w:ascii="宋体" w:hAnsi="宋体" w:eastAsia="宋体" w:cs="宋体"/>
          <w:color w:val="auto"/>
        </w:rPr>
        <w:t>元（人民币大写）￥：</w:t>
      </w:r>
      <w:r>
        <w:rPr>
          <w:rFonts w:hint="eastAsia" w:ascii="宋体" w:hAnsi="宋体" w:eastAsia="宋体" w:cs="宋体"/>
          <w:color w:val="auto"/>
          <w:u w:val="single"/>
        </w:rPr>
        <w:t xml:space="preserve">        </w:t>
      </w:r>
      <w:r>
        <w:rPr>
          <w:rFonts w:hint="eastAsia" w:ascii="宋体" w:hAnsi="宋体" w:eastAsia="宋体" w:cs="宋体"/>
          <w:color w:val="auto"/>
        </w:rPr>
        <w:t>元人民币。</w:t>
      </w:r>
    </w:p>
    <w:p>
      <w:pPr>
        <w:pStyle w:val="169"/>
        <w:spacing w:line="480" w:lineRule="exact"/>
        <w:ind w:firstLine="567"/>
        <w:jc w:val="both"/>
        <w:rPr>
          <w:rFonts w:hint="eastAsia" w:ascii="宋体" w:hAnsi="宋体" w:eastAsia="宋体" w:cs="宋体"/>
          <w:color w:val="auto"/>
        </w:rPr>
      </w:pPr>
      <w:r>
        <w:rPr>
          <w:rFonts w:hint="eastAsia" w:ascii="宋体" w:hAnsi="宋体" w:eastAsia="宋体" w:cs="宋体"/>
          <w:color w:val="auto"/>
        </w:rPr>
        <w:t>⒉如果我们投标书被接受，我们将履行竞争性磋商文件中规定的每一项要求，按期、按质、按量完成交货和完工任务。</w:t>
      </w:r>
    </w:p>
    <w:p>
      <w:pPr>
        <w:pStyle w:val="169"/>
        <w:spacing w:line="480" w:lineRule="exact"/>
        <w:ind w:firstLine="567"/>
        <w:jc w:val="both"/>
        <w:rPr>
          <w:rFonts w:hint="eastAsia" w:ascii="宋体" w:hAnsi="宋体" w:eastAsia="宋体" w:cs="宋体"/>
          <w:color w:val="auto"/>
        </w:rPr>
      </w:pPr>
      <w:r>
        <w:rPr>
          <w:rFonts w:hint="eastAsia" w:ascii="宋体" w:hAnsi="宋体" w:eastAsia="宋体" w:cs="宋体"/>
          <w:color w:val="auto"/>
        </w:rPr>
        <w:t xml:space="preserve">⒊我们同意按竞争性磋商文件的规定，本投标文件的有效期为开标后 </w:t>
      </w:r>
      <w:r>
        <w:rPr>
          <w:rFonts w:hint="eastAsia" w:ascii="宋体" w:hAnsi="宋体" w:eastAsia="宋体" w:cs="宋体"/>
          <w:b/>
          <w:color w:val="auto"/>
          <w:u w:val="single"/>
        </w:rPr>
        <w:t>90</w:t>
      </w:r>
      <w:r>
        <w:rPr>
          <w:rFonts w:hint="eastAsia" w:ascii="宋体" w:hAnsi="宋体" w:eastAsia="宋体" w:cs="宋体"/>
          <w:bCs/>
          <w:color w:val="auto"/>
          <w:u w:val="single"/>
        </w:rPr>
        <w:t>日（日历日）</w:t>
      </w:r>
      <w:r>
        <w:rPr>
          <w:rFonts w:hint="eastAsia" w:ascii="宋体" w:hAnsi="宋体" w:eastAsia="宋体" w:cs="宋体"/>
          <w:color w:val="auto"/>
        </w:rPr>
        <w:t>。</w:t>
      </w:r>
    </w:p>
    <w:p>
      <w:pPr>
        <w:pStyle w:val="169"/>
        <w:spacing w:line="480" w:lineRule="exact"/>
        <w:ind w:firstLine="567"/>
        <w:jc w:val="both"/>
        <w:rPr>
          <w:rFonts w:hint="eastAsia" w:ascii="宋体" w:hAnsi="宋体" w:eastAsia="宋体" w:cs="宋体"/>
          <w:color w:val="auto"/>
        </w:rPr>
      </w:pPr>
      <w:r>
        <w:rPr>
          <w:rFonts w:hint="eastAsia" w:ascii="宋体" w:hAnsi="宋体" w:eastAsia="宋体" w:cs="宋体"/>
          <w:color w:val="auto"/>
        </w:rPr>
        <w:t>⒋我们愿意提供采购单位在竞争性磋商文件中要求的所有资料。</w:t>
      </w:r>
    </w:p>
    <w:p>
      <w:pPr>
        <w:pStyle w:val="169"/>
        <w:spacing w:line="480" w:lineRule="exact"/>
        <w:ind w:firstLine="567"/>
        <w:jc w:val="both"/>
        <w:rPr>
          <w:rFonts w:hint="eastAsia" w:ascii="宋体" w:hAnsi="宋体" w:eastAsia="宋体" w:cs="宋体"/>
          <w:color w:val="auto"/>
        </w:rPr>
      </w:pPr>
      <w:r>
        <w:rPr>
          <w:rFonts w:hint="eastAsia" w:ascii="宋体" w:hAnsi="宋体" w:eastAsia="宋体" w:cs="宋体"/>
          <w:color w:val="auto"/>
        </w:rPr>
        <w:t>5.我们愿按</w:t>
      </w:r>
      <w:r>
        <w:rPr>
          <w:rFonts w:hint="eastAsia" w:ascii="宋体" w:hAnsi="宋体" w:eastAsia="宋体" w:cs="宋体"/>
          <w:color w:val="auto"/>
          <w:lang w:eastAsia="zh-CN"/>
        </w:rPr>
        <w:t>民法典</w:t>
      </w:r>
      <w:r>
        <w:rPr>
          <w:rFonts w:hint="eastAsia" w:ascii="宋体" w:hAnsi="宋体" w:eastAsia="宋体" w:cs="宋体"/>
          <w:color w:val="auto"/>
        </w:rPr>
        <w:t>履行自己的全部责任。</w:t>
      </w:r>
    </w:p>
    <w:p>
      <w:pPr>
        <w:pStyle w:val="169"/>
        <w:spacing w:line="480" w:lineRule="exact"/>
        <w:ind w:firstLine="567"/>
        <w:jc w:val="both"/>
        <w:rPr>
          <w:rFonts w:hint="eastAsia" w:ascii="宋体" w:hAnsi="宋体" w:eastAsia="宋体" w:cs="宋体"/>
          <w:color w:val="auto"/>
        </w:rPr>
      </w:pPr>
      <w:r>
        <w:rPr>
          <w:rFonts w:hint="eastAsia" w:ascii="宋体" w:hAnsi="宋体" w:eastAsia="宋体" w:cs="宋体"/>
          <w:color w:val="auto"/>
        </w:rPr>
        <w:t>6.我们同意按竞争性磋商文件规定，交纳</w:t>
      </w:r>
      <w:r>
        <w:rPr>
          <w:rFonts w:hint="eastAsia" w:ascii="宋体" w:hAnsi="宋体" w:eastAsia="宋体" w:cs="宋体"/>
          <w:color w:val="auto"/>
          <w:u w:val="single"/>
        </w:rPr>
        <w:t xml:space="preserve">           </w:t>
      </w:r>
      <w:r>
        <w:rPr>
          <w:rFonts w:hint="eastAsia" w:ascii="宋体" w:hAnsi="宋体" w:eastAsia="宋体" w:cs="宋体"/>
          <w:color w:val="auto"/>
        </w:rPr>
        <w:t>元的投标保证金。</w:t>
      </w:r>
    </w:p>
    <w:p>
      <w:pPr>
        <w:pStyle w:val="169"/>
        <w:spacing w:line="480" w:lineRule="exact"/>
        <w:ind w:firstLine="567"/>
        <w:jc w:val="both"/>
        <w:rPr>
          <w:rFonts w:hint="eastAsia" w:ascii="宋体" w:hAnsi="宋体" w:eastAsia="宋体" w:cs="宋体"/>
          <w:color w:val="auto"/>
        </w:rPr>
      </w:pPr>
      <w:r>
        <w:rPr>
          <w:rFonts w:hint="eastAsia" w:ascii="宋体" w:hAnsi="宋体" w:eastAsia="宋体" w:cs="宋体"/>
          <w:color w:val="auto"/>
        </w:rPr>
        <w:t>7.投标人保证在招标文件中规定的服务期限内完成此项目的管理工作，服务期限为：</w:t>
      </w:r>
      <w:r>
        <w:rPr>
          <w:rFonts w:hint="eastAsia" w:ascii="宋体" w:hAnsi="宋体" w:eastAsia="宋体" w:cs="宋体"/>
          <w:color w:val="auto"/>
          <w:u w:val="single"/>
        </w:rPr>
        <w:t xml:space="preserve">         </w:t>
      </w:r>
      <w:r>
        <w:rPr>
          <w:rFonts w:hint="eastAsia" w:ascii="宋体" w:hAnsi="宋体" w:eastAsia="宋体" w:cs="宋体"/>
          <w:color w:val="auto"/>
        </w:rPr>
        <w:t>质量标准为：</w:t>
      </w:r>
      <w:r>
        <w:rPr>
          <w:rFonts w:hint="eastAsia" w:ascii="宋体" w:hAnsi="宋体" w:eastAsia="宋体" w:cs="宋体"/>
          <w:color w:val="auto"/>
          <w:u w:val="single"/>
        </w:rPr>
        <w:t xml:space="preserve">            </w:t>
      </w:r>
      <w:r>
        <w:rPr>
          <w:rFonts w:hint="eastAsia" w:ascii="宋体" w:hAnsi="宋体" w:eastAsia="宋体" w:cs="宋体"/>
          <w:color w:val="auto"/>
        </w:rPr>
        <w:t>。</w:t>
      </w:r>
    </w:p>
    <w:p>
      <w:pPr>
        <w:pStyle w:val="169"/>
        <w:spacing w:line="480" w:lineRule="exact"/>
        <w:ind w:firstLine="567"/>
        <w:jc w:val="both"/>
        <w:rPr>
          <w:rFonts w:hint="eastAsia" w:ascii="宋体" w:hAnsi="宋体" w:eastAsia="宋体" w:cs="宋体"/>
          <w:color w:val="auto"/>
        </w:rPr>
      </w:pPr>
      <w:r>
        <w:rPr>
          <w:rFonts w:hint="eastAsia" w:ascii="宋体" w:hAnsi="宋体" w:eastAsia="宋体" w:cs="宋体"/>
          <w:color w:val="auto"/>
        </w:rPr>
        <w:t>8. 我方承诺，与采购人聘请的为此项目提供咨询服务的公司及任何附属机构均无关联，我方不是买方的附属机构。</w:t>
      </w:r>
    </w:p>
    <w:p>
      <w:pPr>
        <w:pStyle w:val="169"/>
        <w:spacing w:line="480" w:lineRule="exact"/>
        <w:ind w:firstLine="567"/>
        <w:jc w:val="both"/>
        <w:rPr>
          <w:rFonts w:hint="eastAsia" w:ascii="宋体" w:hAnsi="宋体" w:eastAsia="宋体" w:cs="宋体"/>
          <w:color w:val="auto"/>
        </w:rPr>
      </w:pPr>
      <w:r>
        <w:rPr>
          <w:rFonts w:hint="eastAsia" w:ascii="宋体" w:hAnsi="宋体" w:eastAsia="宋体" w:cs="宋体"/>
          <w:color w:val="auto"/>
        </w:rPr>
        <w:t>9.投标人同意提供按照贵方可能要求的与其投标有关的一切数据或资料，完全理解贵方不一定接受最低价的投标或收到的任何投标。</w:t>
      </w:r>
    </w:p>
    <w:p>
      <w:pPr>
        <w:pStyle w:val="169"/>
        <w:spacing w:line="480" w:lineRule="exact"/>
        <w:ind w:firstLine="567"/>
        <w:jc w:val="both"/>
        <w:rPr>
          <w:rFonts w:hint="eastAsia" w:ascii="宋体" w:hAnsi="宋体" w:eastAsia="宋体" w:cs="宋体"/>
          <w:color w:val="auto"/>
        </w:rPr>
      </w:pPr>
      <w:r>
        <w:rPr>
          <w:rFonts w:hint="eastAsia" w:ascii="宋体" w:hAnsi="宋体" w:eastAsia="宋体" w:cs="宋体"/>
          <w:color w:val="auto"/>
        </w:rPr>
        <w:t>10.所有有关本标书的函电，请按下列地址联系：</w:t>
      </w:r>
    </w:p>
    <w:p>
      <w:pPr>
        <w:pStyle w:val="169"/>
        <w:spacing w:line="480" w:lineRule="exact"/>
        <w:ind w:firstLine="567"/>
        <w:jc w:val="both"/>
        <w:rPr>
          <w:rFonts w:hint="eastAsia" w:ascii="宋体" w:hAnsi="宋体" w:eastAsia="宋体" w:cs="宋体"/>
          <w:color w:val="auto"/>
        </w:rPr>
      </w:pPr>
      <w:r>
        <w:rPr>
          <w:rFonts w:hint="eastAsia" w:ascii="宋体" w:hAnsi="宋体" w:eastAsia="宋体" w:cs="宋体"/>
          <w:color w:val="auto"/>
        </w:rPr>
        <w:t>单       位：</w:t>
      </w:r>
    </w:p>
    <w:p>
      <w:pPr>
        <w:pStyle w:val="169"/>
        <w:spacing w:line="480" w:lineRule="exact"/>
        <w:ind w:firstLine="567"/>
        <w:jc w:val="both"/>
        <w:rPr>
          <w:rFonts w:hint="eastAsia" w:ascii="宋体" w:hAnsi="宋体" w:eastAsia="宋体" w:cs="宋体"/>
          <w:color w:val="auto"/>
        </w:rPr>
      </w:pPr>
      <w:r>
        <w:rPr>
          <w:rFonts w:hint="eastAsia" w:ascii="宋体" w:hAnsi="宋体" w:eastAsia="宋体" w:cs="宋体"/>
          <w:color w:val="auto"/>
        </w:rPr>
        <w:t>地       址：</w:t>
      </w:r>
    </w:p>
    <w:p>
      <w:pPr>
        <w:pStyle w:val="169"/>
        <w:spacing w:line="480" w:lineRule="exact"/>
        <w:ind w:firstLine="567"/>
        <w:jc w:val="both"/>
        <w:rPr>
          <w:rFonts w:hint="eastAsia" w:ascii="宋体" w:hAnsi="宋体" w:eastAsia="宋体" w:cs="宋体"/>
          <w:color w:val="auto"/>
        </w:rPr>
      </w:pPr>
      <w:r>
        <w:rPr>
          <w:rFonts w:hint="eastAsia" w:ascii="宋体" w:hAnsi="宋体" w:eastAsia="宋体" w:cs="宋体"/>
          <w:color w:val="auto"/>
        </w:rPr>
        <w:t>电       话：</w:t>
      </w:r>
    </w:p>
    <w:p>
      <w:pPr>
        <w:pStyle w:val="169"/>
        <w:spacing w:line="480" w:lineRule="exact"/>
        <w:ind w:firstLine="567"/>
        <w:jc w:val="both"/>
        <w:rPr>
          <w:rFonts w:hint="eastAsia" w:ascii="宋体" w:hAnsi="宋体" w:eastAsia="宋体" w:cs="宋体"/>
          <w:color w:val="auto"/>
        </w:rPr>
      </w:pPr>
      <w:r>
        <w:rPr>
          <w:rFonts w:hint="eastAsia" w:ascii="宋体" w:hAnsi="宋体" w:eastAsia="宋体" w:cs="宋体"/>
          <w:color w:val="auto"/>
        </w:rPr>
        <w:t>邮 政 编 码：</w:t>
      </w:r>
    </w:p>
    <w:p>
      <w:pPr>
        <w:pStyle w:val="169"/>
        <w:spacing w:line="480" w:lineRule="exact"/>
        <w:ind w:firstLine="567"/>
        <w:jc w:val="both"/>
        <w:rPr>
          <w:rFonts w:hint="eastAsia" w:ascii="宋体" w:hAnsi="宋体" w:eastAsia="宋体" w:cs="宋体"/>
          <w:color w:val="auto"/>
        </w:rPr>
      </w:pPr>
      <w:r>
        <w:rPr>
          <w:rFonts w:hint="eastAsia" w:ascii="宋体" w:hAnsi="宋体" w:eastAsia="宋体" w:cs="宋体"/>
          <w:color w:val="auto"/>
        </w:rPr>
        <w:t xml:space="preserve">联   系  人：        </w:t>
      </w:r>
    </w:p>
    <w:p>
      <w:pPr>
        <w:spacing w:line="480" w:lineRule="exact"/>
        <w:ind w:firstLine="5280" w:firstLineChars="2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供应商名称（盖章）：                            </w:t>
      </w:r>
    </w:p>
    <w:p>
      <w:pPr>
        <w:spacing w:line="480" w:lineRule="exact"/>
        <w:ind w:firstLine="5040" w:firstLineChars="210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法定代表人（签字或盖章）：</w:t>
      </w:r>
    </w:p>
    <w:p>
      <w:pPr>
        <w:spacing w:line="480" w:lineRule="exact"/>
        <w:ind w:firstLine="1080" w:firstLineChars="450"/>
        <w:jc w:val="left"/>
        <w:rPr>
          <w:rFonts w:hint="eastAsia" w:ascii="宋体" w:hAnsi="宋体" w:eastAsia="宋体" w:cs="宋体"/>
          <w:color w:val="auto"/>
          <w:sz w:val="24"/>
          <w:szCs w:val="24"/>
        </w:rPr>
        <w:sectPr>
          <w:pgSz w:w="11906" w:h="16838"/>
          <w:pgMar w:top="1418" w:right="1134" w:bottom="1418" w:left="1418" w:header="851" w:footer="851" w:gutter="0"/>
          <w:pgNumType w:fmt="decimal"/>
          <w:cols w:space="720" w:num="1"/>
          <w:docGrid w:type="linesAndChars" w:linePitch="312" w:charSpace="0"/>
        </w:sectPr>
      </w:pPr>
      <w:r>
        <w:rPr>
          <w:rFonts w:hint="eastAsia" w:ascii="宋体" w:hAnsi="宋体" w:eastAsia="宋体" w:cs="宋体"/>
          <w:color w:val="auto"/>
          <w:sz w:val="24"/>
          <w:szCs w:val="24"/>
        </w:rPr>
        <w:t xml:space="preserve">                                     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p>
    <w:p>
      <w:pPr>
        <w:pStyle w:val="24"/>
        <w:spacing w:line="480" w:lineRule="exact"/>
        <w:outlineLvl w:val="0"/>
        <w:rPr>
          <w:rFonts w:hint="eastAsia" w:ascii="宋体" w:hAnsi="宋体" w:eastAsia="宋体" w:cs="宋体"/>
          <w:color w:val="auto"/>
          <w:sz w:val="24"/>
          <w:szCs w:val="24"/>
        </w:rPr>
      </w:pPr>
      <w:bookmarkStart w:id="128" w:name="_Toc19475"/>
      <w:bookmarkStart w:id="129" w:name="_Toc4260"/>
      <w:bookmarkStart w:id="130" w:name="_Toc12043"/>
      <w:bookmarkStart w:id="131" w:name="_Toc498343980"/>
      <w:bookmarkStart w:id="132" w:name="_Toc15849"/>
      <w:bookmarkStart w:id="133" w:name="_Toc498343981"/>
      <w:r>
        <w:rPr>
          <w:rFonts w:hint="eastAsia" w:ascii="宋体" w:hAnsi="宋体" w:eastAsia="宋体" w:cs="宋体"/>
          <w:bCs/>
          <w:color w:val="auto"/>
          <w:sz w:val="24"/>
          <w:szCs w:val="24"/>
        </w:rPr>
        <w:t>2、</w:t>
      </w:r>
      <w:r>
        <w:rPr>
          <w:rFonts w:hint="eastAsia" w:ascii="宋体" w:hAnsi="宋体" w:eastAsia="宋体" w:cs="宋体"/>
          <w:color w:val="auto"/>
          <w:sz w:val="24"/>
          <w:szCs w:val="24"/>
        </w:rPr>
        <w:t>法定代表人身份证明书</w:t>
      </w:r>
      <w:bookmarkEnd w:id="128"/>
      <w:bookmarkEnd w:id="129"/>
      <w:bookmarkEnd w:id="130"/>
    </w:p>
    <w:p>
      <w:pPr>
        <w:pStyle w:val="16"/>
        <w:spacing w:line="480" w:lineRule="exact"/>
        <w:jc w:val="center"/>
        <w:rPr>
          <w:rFonts w:hint="eastAsia" w:ascii="宋体" w:hAnsi="宋体" w:eastAsia="宋体" w:cs="宋体"/>
          <w:bCs/>
          <w:color w:val="auto"/>
          <w:sz w:val="24"/>
          <w:szCs w:val="24"/>
        </w:rPr>
      </w:pPr>
    </w:p>
    <w:p>
      <w:pPr>
        <w:pStyle w:val="17"/>
        <w:numPr>
          <w:ilvl w:val="0"/>
          <w:numId w:val="0"/>
        </w:numPr>
        <w:spacing w:line="480" w:lineRule="exact"/>
        <w:rPr>
          <w:rFonts w:hint="eastAsia" w:ascii="宋体" w:hAnsi="宋体" w:eastAsia="宋体" w:cs="宋体"/>
          <w:color w:val="auto"/>
          <w:sz w:val="24"/>
          <w:szCs w:val="24"/>
        </w:rPr>
      </w:pPr>
    </w:p>
    <w:p>
      <w:pPr>
        <w:pStyle w:val="16"/>
        <w:spacing w:line="48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单位名称：</w:t>
      </w:r>
      <w:r>
        <w:rPr>
          <w:rFonts w:hint="eastAsia" w:ascii="宋体" w:hAnsi="宋体" w:eastAsia="宋体" w:cs="宋体"/>
          <w:bCs/>
          <w:color w:val="auto"/>
          <w:sz w:val="24"/>
          <w:szCs w:val="24"/>
          <w:u w:val="single"/>
        </w:rPr>
        <w:t xml:space="preserve">                                         </w:t>
      </w:r>
    </w:p>
    <w:p>
      <w:pPr>
        <w:pStyle w:val="16"/>
        <w:spacing w:line="48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联系地址：</w:t>
      </w:r>
      <w:r>
        <w:rPr>
          <w:rFonts w:hint="eastAsia" w:ascii="宋体" w:hAnsi="宋体" w:eastAsia="宋体" w:cs="宋体"/>
          <w:bCs/>
          <w:color w:val="auto"/>
          <w:sz w:val="24"/>
          <w:szCs w:val="24"/>
          <w:u w:val="single"/>
        </w:rPr>
        <w:t xml:space="preserve">                                           </w:t>
      </w:r>
    </w:p>
    <w:p>
      <w:pPr>
        <w:pStyle w:val="16"/>
        <w:spacing w:line="48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姓    名：</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性别：</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年龄：</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职务：</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pPr>
        <w:pStyle w:val="16"/>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系</w:t>
      </w:r>
      <w:r>
        <w:rPr>
          <w:rFonts w:hint="eastAsia" w:ascii="宋体" w:hAnsi="宋体" w:eastAsia="宋体" w:cs="宋体"/>
          <w:bCs/>
          <w:color w:val="auto"/>
          <w:sz w:val="24"/>
          <w:szCs w:val="24"/>
          <w:u w:val="single"/>
        </w:rPr>
        <w:t xml:space="preserve">      &lt;供应商名称&gt;                 </w:t>
      </w:r>
      <w:r>
        <w:rPr>
          <w:rFonts w:hint="eastAsia" w:ascii="宋体" w:hAnsi="宋体" w:eastAsia="宋体" w:cs="宋体"/>
          <w:bCs/>
          <w:color w:val="auto"/>
          <w:sz w:val="24"/>
          <w:szCs w:val="24"/>
        </w:rPr>
        <w:t xml:space="preserve">     的法定代表人。</w:t>
      </w:r>
    </w:p>
    <w:p>
      <w:pPr>
        <w:pStyle w:val="16"/>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特此证明。</w:t>
      </w:r>
    </w:p>
    <w:p>
      <w:pPr>
        <w:pStyle w:val="16"/>
        <w:spacing w:line="480" w:lineRule="exact"/>
        <w:ind w:firstLine="480" w:firstLineChars="200"/>
        <w:rPr>
          <w:rFonts w:hint="eastAsia" w:ascii="宋体" w:hAnsi="宋体" w:eastAsia="宋体" w:cs="宋体"/>
          <w:bCs/>
          <w:color w:val="auto"/>
          <w:sz w:val="24"/>
          <w:szCs w:val="24"/>
        </w:rPr>
      </w:pPr>
    </w:p>
    <w:tbl>
      <w:tblPr>
        <w:tblStyle w:val="31"/>
        <w:tblpPr w:leftFromText="180" w:rightFromText="180" w:vertAnchor="text" w:tblpXSpec="center" w:tblpY="1"/>
        <w:tblOverlap w:val="never"/>
        <w:tblW w:w="7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7973" w:type="dxa"/>
            <w:vAlign w:val="center"/>
          </w:tcPr>
          <w:p>
            <w:pPr>
              <w:pStyle w:val="16"/>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（此处附贴法定代表人身份证复印件正、反面）</w:t>
            </w:r>
          </w:p>
          <w:p>
            <w:pPr>
              <w:widowControl/>
              <w:spacing w:before="100" w:beforeAutospacing="1" w:after="100" w:afterAutospacing="1" w:line="480" w:lineRule="exact"/>
              <w:jc w:val="center"/>
              <w:rPr>
                <w:rFonts w:hint="eastAsia" w:ascii="宋体" w:hAnsi="宋体" w:eastAsia="宋体" w:cs="宋体"/>
                <w:bCs/>
                <w:color w:val="auto"/>
                <w:sz w:val="24"/>
                <w:szCs w:val="24"/>
              </w:rPr>
            </w:pPr>
          </w:p>
        </w:tc>
      </w:tr>
    </w:tbl>
    <w:p>
      <w:pPr>
        <w:pStyle w:val="16"/>
        <w:spacing w:line="480" w:lineRule="exact"/>
        <w:ind w:firstLine="480" w:firstLineChars="200"/>
        <w:rPr>
          <w:rFonts w:hint="eastAsia" w:ascii="宋体" w:hAnsi="宋体" w:eastAsia="宋体" w:cs="宋体"/>
          <w:bCs/>
          <w:color w:val="auto"/>
          <w:sz w:val="24"/>
          <w:szCs w:val="24"/>
        </w:rPr>
      </w:pPr>
    </w:p>
    <w:p>
      <w:pPr>
        <w:pStyle w:val="16"/>
        <w:spacing w:line="480" w:lineRule="exact"/>
        <w:ind w:firstLine="480" w:firstLineChars="200"/>
        <w:rPr>
          <w:rFonts w:hint="eastAsia" w:ascii="宋体" w:hAnsi="宋体" w:eastAsia="宋体" w:cs="宋体"/>
          <w:bCs/>
          <w:color w:val="auto"/>
          <w:sz w:val="24"/>
          <w:szCs w:val="24"/>
        </w:rPr>
      </w:pPr>
    </w:p>
    <w:p>
      <w:pPr>
        <w:pStyle w:val="16"/>
        <w:spacing w:line="480" w:lineRule="exact"/>
        <w:ind w:firstLine="480" w:firstLineChars="200"/>
        <w:rPr>
          <w:rFonts w:hint="eastAsia" w:ascii="宋体" w:hAnsi="宋体" w:eastAsia="宋体" w:cs="宋体"/>
          <w:bCs/>
          <w:color w:val="auto"/>
          <w:sz w:val="24"/>
          <w:szCs w:val="24"/>
        </w:rPr>
      </w:pPr>
    </w:p>
    <w:p>
      <w:pPr>
        <w:pStyle w:val="16"/>
        <w:spacing w:line="480" w:lineRule="exact"/>
        <w:ind w:firstLine="480" w:firstLineChars="200"/>
        <w:rPr>
          <w:rFonts w:hint="eastAsia" w:ascii="宋体" w:hAnsi="宋体" w:eastAsia="宋体" w:cs="宋体"/>
          <w:bCs/>
          <w:color w:val="auto"/>
          <w:sz w:val="24"/>
          <w:szCs w:val="24"/>
        </w:rPr>
      </w:pPr>
    </w:p>
    <w:p>
      <w:pPr>
        <w:pStyle w:val="16"/>
        <w:spacing w:line="480" w:lineRule="exact"/>
        <w:ind w:firstLine="480" w:firstLineChars="200"/>
        <w:rPr>
          <w:rFonts w:hint="eastAsia" w:ascii="宋体" w:hAnsi="宋体" w:eastAsia="宋体" w:cs="宋体"/>
          <w:bCs/>
          <w:color w:val="auto"/>
          <w:sz w:val="24"/>
          <w:szCs w:val="24"/>
        </w:rPr>
      </w:pPr>
    </w:p>
    <w:p>
      <w:pPr>
        <w:pStyle w:val="16"/>
        <w:spacing w:line="480" w:lineRule="exact"/>
        <w:ind w:firstLine="3000" w:firstLineChars="1250"/>
        <w:rPr>
          <w:rFonts w:hint="eastAsia" w:ascii="宋体" w:hAnsi="宋体" w:eastAsia="宋体" w:cs="宋体"/>
          <w:bCs/>
          <w:color w:val="auto"/>
          <w:sz w:val="24"/>
          <w:szCs w:val="24"/>
        </w:rPr>
      </w:pPr>
    </w:p>
    <w:p>
      <w:pPr>
        <w:pStyle w:val="16"/>
        <w:spacing w:line="480" w:lineRule="exact"/>
        <w:ind w:firstLine="3000" w:firstLineChars="1250"/>
        <w:rPr>
          <w:rFonts w:hint="eastAsia" w:ascii="宋体" w:hAnsi="宋体" w:eastAsia="宋体" w:cs="宋体"/>
          <w:bCs/>
          <w:color w:val="auto"/>
          <w:sz w:val="24"/>
          <w:szCs w:val="24"/>
        </w:rPr>
      </w:pPr>
    </w:p>
    <w:p>
      <w:pPr>
        <w:spacing w:line="480" w:lineRule="exact"/>
        <w:ind w:firstLine="5280" w:firstLineChars="2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供应商名称（盖章）：                            </w:t>
      </w:r>
    </w:p>
    <w:p>
      <w:pPr>
        <w:spacing w:line="48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3"/>
        <w:spacing w:line="480" w:lineRule="exact"/>
        <w:ind w:firstLine="5040" w:firstLineChars="2100"/>
        <w:rPr>
          <w:rFonts w:hint="eastAsia" w:ascii="宋体" w:hAnsi="宋体" w:eastAsia="宋体" w:cs="宋体"/>
          <w:color w:val="auto"/>
          <w:sz w:val="24"/>
          <w:szCs w:val="24"/>
        </w:rPr>
      </w:pPr>
    </w:p>
    <w:p>
      <w:pPr>
        <w:pStyle w:val="13"/>
        <w:spacing w:line="480" w:lineRule="exact"/>
        <w:ind w:firstLine="5040" w:firstLineChars="2100"/>
        <w:rPr>
          <w:rFonts w:hint="eastAsia" w:ascii="宋体" w:hAnsi="宋体" w:eastAsia="宋体" w:cs="宋体"/>
          <w:color w:val="auto"/>
          <w:sz w:val="24"/>
          <w:szCs w:val="24"/>
        </w:rPr>
        <w:sectPr>
          <w:pgSz w:w="11906" w:h="16838"/>
          <w:pgMar w:top="1418" w:right="1134" w:bottom="1418" w:left="1418" w:header="851" w:footer="851" w:gutter="0"/>
          <w:pgNumType w:fmt="decimal"/>
          <w:cols w:space="720" w:num="1"/>
          <w:docGrid w:type="linesAndChars" w:linePitch="312" w:charSpace="0"/>
        </w:sect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p>
    <w:p>
      <w:pPr>
        <w:pStyle w:val="16"/>
        <w:spacing w:line="480" w:lineRule="exact"/>
        <w:ind w:firstLine="480" w:firstLineChars="200"/>
        <w:rPr>
          <w:rFonts w:hint="eastAsia" w:ascii="宋体" w:hAnsi="宋体" w:eastAsia="宋体" w:cs="宋体"/>
          <w:bCs/>
          <w:color w:val="auto"/>
          <w:sz w:val="24"/>
          <w:szCs w:val="24"/>
        </w:rPr>
      </w:pPr>
    </w:p>
    <w:p>
      <w:pPr>
        <w:pStyle w:val="16"/>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法定代表人授权委托书</w:t>
      </w:r>
    </w:p>
    <w:p>
      <w:pPr>
        <w:pStyle w:val="16"/>
        <w:spacing w:line="480" w:lineRule="exact"/>
        <w:jc w:val="center"/>
        <w:rPr>
          <w:rFonts w:hint="eastAsia" w:ascii="宋体" w:hAnsi="宋体" w:eastAsia="宋体" w:cs="宋体"/>
          <w:b/>
          <w:color w:val="auto"/>
          <w:sz w:val="24"/>
          <w:szCs w:val="24"/>
        </w:rPr>
      </w:pPr>
    </w:p>
    <w:p>
      <w:pPr>
        <w:pStyle w:val="16"/>
        <w:widowControl/>
        <w:overflowPunct w:val="0"/>
        <w:autoSpaceDE w:val="0"/>
        <w:autoSpaceDN w:val="0"/>
        <w:adjustRightInd w:val="0"/>
        <w:spacing w:line="480" w:lineRule="exact"/>
        <w:ind w:firstLine="480" w:firstLineChars="2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本授权书声明：</w:t>
      </w:r>
      <w:r>
        <w:rPr>
          <w:rFonts w:hint="eastAsia" w:ascii="宋体" w:hAnsi="宋体" w:eastAsia="宋体" w:cs="宋体"/>
          <w:bCs/>
          <w:color w:val="auto"/>
          <w:sz w:val="24"/>
          <w:szCs w:val="24"/>
          <w:u w:val="single"/>
        </w:rPr>
        <w:t xml:space="preserve">注册于   (国家或地区的名称)  </w:t>
      </w:r>
      <w:r>
        <w:rPr>
          <w:rFonts w:hint="eastAsia" w:ascii="宋体" w:hAnsi="宋体" w:eastAsia="宋体" w:cs="宋体"/>
          <w:bCs/>
          <w:color w:val="auto"/>
          <w:sz w:val="24"/>
          <w:szCs w:val="24"/>
        </w:rPr>
        <w:t>的</w:t>
      </w:r>
      <w:r>
        <w:rPr>
          <w:rFonts w:hint="eastAsia" w:ascii="宋体" w:hAnsi="宋体" w:eastAsia="宋体" w:cs="宋体"/>
          <w:bCs/>
          <w:color w:val="auto"/>
          <w:sz w:val="24"/>
          <w:szCs w:val="24"/>
          <w:u w:val="single"/>
        </w:rPr>
        <w:t xml:space="preserve">  (公司名称)  </w:t>
      </w:r>
      <w:r>
        <w:rPr>
          <w:rFonts w:hint="eastAsia" w:ascii="宋体" w:hAnsi="宋体" w:eastAsia="宋体" w:cs="宋体"/>
          <w:bCs/>
          <w:color w:val="auto"/>
          <w:sz w:val="24"/>
          <w:szCs w:val="24"/>
        </w:rPr>
        <w:t>的</w:t>
      </w:r>
      <w:r>
        <w:rPr>
          <w:rFonts w:hint="eastAsia" w:ascii="宋体" w:hAnsi="宋体" w:eastAsia="宋体" w:cs="宋体"/>
          <w:bCs/>
          <w:color w:val="auto"/>
          <w:sz w:val="24"/>
          <w:szCs w:val="24"/>
          <w:u w:val="single"/>
        </w:rPr>
        <w:t xml:space="preserve"> (法人代表姓名、职务)  </w:t>
      </w:r>
      <w:r>
        <w:rPr>
          <w:rFonts w:hint="eastAsia" w:ascii="宋体" w:hAnsi="宋体" w:eastAsia="宋体" w:cs="宋体"/>
          <w:bCs/>
          <w:color w:val="auto"/>
          <w:sz w:val="24"/>
          <w:szCs w:val="24"/>
        </w:rPr>
        <w:t>，代表本公司授权</w:t>
      </w:r>
      <w:r>
        <w:rPr>
          <w:rFonts w:hint="eastAsia" w:ascii="宋体" w:hAnsi="宋体" w:eastAsia="宋体" w:cs="宋体"/>
          <w:bCs/>
          <w:color w:val="auto"/>
          <w:sz w:val="24"/>
          <w:szCs w:val="24"/>
          <w:u w:val="single"/>
        </w:rPr>
        <w:t xml:space="preserve">  (被授权单位名称) </w:t>
      </w:r>
      <w:r>
        <w:rPr>
          <w:rFonts w:hint="eastAsia" w:ascii="宋体" w:hAnsi="宋体" w:eastAsia="宋体" w:cs="宋体"/>
          <w:bCs/>
          <w:color w:val="auto"/>
          <w:sz w:val="24"/>
          <w:szCs w:val="24"/>
        </w:rPr>
        <w:t xml:space="preserve"> 的</w:t>
      </w:r>
      <w:r>
        <w:rPr>
          <w:rFonts w:hint="eastAsia" w:ascii="宋体" w:hAnsi="宋体" w:eastAsia="宋体" w:cs="宋体"/>
          <w:bCs/>
          <w:color w:val="auto"/>
          <w:sz w:val="24"/>
          <w:szCs w:val="24"/>
          <w:u w:val="single"/>
        </w:rPr>
        <w:t xml:space="preserve">        (授权代理人的姓名、职务)</w:t>
      </w:r>
      <w:r>
        <w:rPr>
          <w:rFonts w:hint="eastAsia" w:ascii="宋体" w:hAnsi="宋体" w:eastAsia="宋体" w:cs="宋体"/>
          <w:bCs/>
          <w:color w:val="auto"/>
          <w:sz w:val="24"/>
          <w:szCs w:val="24"/>
        </w:rPr>
        <w:t>为本公司的合法代理人，参加</w:t>
      </w:r>
      <w:r>
        <w:rPr>
          <w:rFonts w:hint="eastAsia" w:ascii="宋体" w:hAnsi="宋体" w:eastAsia="宋体" w:cs="宋体"/>
          <w:bCs/>
          <w:color w:val="auto"/>
          <w:sz w:val="24"/>
          <w:szCs w:val="24"/>
          <w:u w:val="single"/>
        </w:rPr>
        <w:t xml:space="preserve">  （项目名称+标段） </w:t>
      </w:r>
      <w:r>
        <w:rPr>
          <w:rFonts w:hint="eastAsia" w:ascii="宋体" w:hAnsi="宋体" w:eastAsia="宋体" w:cs="宋体"/>
          <w:bCs/>
          <w:color w:val="auto"/>
          <w:sz w:val="24"/>
          <w:szCs w:val="24"/>
        </w:rPr>
        <w:t xml:space="preserve"> 编号为</w:t>
      </w:r>
      <w:r>
        <w:rPr>
          <w:rFonts w:hint="eastAsia" w:ascii="宋体" w:hAnsi="宋体" w:eastAsia="宋体" w:cs="宋体"/>
          <w:bCs/>
          <w:color w:val="auto"/>
          <w:sz w:val="24"/>
          <w:szCs w:val="24"/>
          <w:u w:val="single"/>
        </w:rPr>
        <w:t xml:space="preserve">  （项目编号） </w:t>
      </w:r>
      <w:r>
        <w:rPr>
          <w:rFonts w:hint="eastAsia" w:ascii="宋体" w:hAnsi="宋体" w:eastAsia="宋体" w:cs="宋体"/>
          <w:bCs/>
          <w:color w:val="auto"/>
          <w:sz w:val="24"/>
          <w:szCs w:val="24"/>
        </w:rPr>
        <w:t xml:space="preserve"> 的竞争性磋商活动，以本公司名义处理一切与之有关的事宜。</w:t>
      </w:r>
    </w:p>
    <w:p>
      <w:pPr>
        <w:pStyle w:val="16"/>
        <w:widowControl/>
        <w:overflowPunct w:val="0"/>
        <w:autoSpaceDE w:val="0"/>
        <w:autoSpaceDN w:val="0"/>
        <w:adjustRightInd w:val="0"/>
        <w:spacing w:line="480" w:lineRule="exact"/>
        <w:ind w:firstLine="480" w:firstLineChars="2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如果本公司在此次竞争性磋商活动中成交，授权代理人有权代表本公司签署咨询服务合同。</w:t>
      </w:r>
    </w:p>
    <w:p>
      <w:pPr>
        <w:pStyle w:val="16"/>
        <w:widowControl/>
        <w:overflowPunct w:val="0"/>
        <w:autoSpaceDE w:val="0"/>
        <w:autoSpaceDN w:val="0"/>
        <w:adjustRightInd w:val="0"/>
        <w:spacing w:line="480" w:lineRule="exact"/>
        <w:ind w:firstLine="480" w:firstLineChars="2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本授权书于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日法定代表人签字或盖章并由授权代理人签字、单位盖章生效，特此声明。</w:t>
      </w:r>
    </w:p>
    <w:p>
      <w:pPr>
        <w:pStyle w:val="16"/>
        <w:widowControl/>
        <w:overflowPunct w:val="0"/>
        <w:autoSpaceDE w:val="0"/>
        <w:autoSpaceDN w:val="0"/>
        <w:adjustRightInd w:val="0"/>
        <w:spacing w:line="480" w:lineRule="exact"/>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授权代理人无转委托权。</w:t>
      </w:r>
    </w:p>
    <w:p>
      <w:pPr>
        <w:pStyle w:val="16"/>
        <w:widowControl/>
        <w:overflowPunct w:val="0"/>
        <w:autoSpaceDE w:val="0"/>
        <w:autoSpaceDN w:val="0"/>
        <w:adjustRightInd w:val="0"/>
        <w:spacing w:line="480" w:lineRule="exact"/>
        <w:ind w:firstLine="1111"/>
        <w:textAlignment w:val="baseline"/>
        <w:rPr>
          <w:rFonts w:hint="eastAsia" w:ascii="宋体" w:hAnsi="宋体" w:eastAsia="宋体" w:cs="宋体"/>
          <w:bCs/>
          <w:color w:val="auto"/>
          <w:sz w:val="24"/>
          <w:szCs w:val="24"/>
        </w:rPr>
      </w:pPr>
    </w:p>
    <w:tbl>
      <w:tblPr>
        <w:tblStyle w:val="31"/>
        <w:tblpPr w:leftFromText="180" w:rightFromText="180" w:vertAnchor="text" w:tblpXSpec="center" w:tblpY="1"/>
        <w:tblOverlap w:val="never"/>
        <w:tblW w:w="6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912" w:type="dxa"/>
            <w:vAlign w:val="center"/>
          </w:tcPr>
          <w:p>
            <w:pPr>
              <w:pStyle w:val="14"/>
              <w:spacing w:line="480" w:lineRule="exact"/>
              <w:jc w:val="center"/>
              <w:rPr>
                <w:rFonts w:hint="eastAsia" w:ascii="宋体" w:hAnsi="宋体" w:eastAsia="宋体" w:cs="宋体"/>
                <w:bCs/>
                <w:color w:val="auto"/>
                <w:kern w:val="2"/>
                <w:szCs w:val="24"/>
              </w:rPr>
            </w:pPr>
            <w:r>
              <w:rPr>
                <w:rFonts w:hint="eastAsia" w:ascii="宋体" w:hAnsi="宋体" w:eastAsia="宋体" w:cs="宋体"/>
                <w:bCs/>
                <w:color w:val="auto"/>
                <w:kern w:val="2"/>
                <w:szCs w:val="24"/>
              </w:rPr>
              <w:t>（授权代理人身份证复印件正、反面）</w:t>
            </w:r>
          </w:p>
        </w:tc>
      </w:tr>
    </w:tbl>
    <w:p>
      <w:pPr>
        <w:spacing w:line="480" w:lineRule="exact"/>
        <w:ind w:firstLine="5280" w:firstLineChars="2200"/>
        <w:jc w:val="left"/>
        <w:rPr>
          <w:rFonts w:hint="eastAsia" w:ascii="宋体" w:hAnsi="宋体" w:eastAsia="宋体" w:cs="宋体"/>
          <w:color w:val="auto"/>
          <w:sz w:val="24"/>
          <w:szCs w:val="24"/>
        </w:rPr>
      </w:pPr>
    </w:p>
    <w:p>
      <w:pPr>
        <w:spacing w:line="480" w:lineRule="exact"/>
        <w:ind w:firstLine="5280" w:firstLineChars="2200"/>
        <w:jc w:val="left"/>
        <w:rPr>
          <w:rFonts w:hint="eastAsia" w:ascii="宋体" w:hAnsi="宋体" w:eastAsia="宋体" w:cs="宋体"/>
          <w:color w:val="auto"/>
          <w:sz w:val="24"/>
          <w:szCs w:val="24"/>
        </w:rPr>
      </w:pPr>
    </w:p>
    <w:p>
      <w:pPr>
        <w:spacing w:line="480" w:lineRule="exact"/>
        <w:ind w:firstLine="5280" w:firstLineChars="2200"/>
        <w:jc w:val="left"/>
        <w:rPr>
          <w:rFonts w:hint="eastAsia" w:ascii="宋体" w:hAnsi="宋体" w:eastAsia="宋体" w:cs="宋体"/>
          <w:color w:val="auto"/>
          <w:sz w:val="24"/>
          <w:szCs w:val="24"/>
        </w:rPr>
      </w:pPr>
    </w:p>
    <w:p>
      <w:pPr>
        <w:spacing w:line="480" w:lineRule="exact"/>
        <w:ind w:firstLine="5280" w:firstLineChars="2200"/>
        <w:jc w:val="left"/>
        <w:rPr>
          <w:rFonts w:hint="eastAsia" w:ascii="宋体" w:hAnsi="宋体" w:eastAsia="宋体" w:cs="宋体"/>
          <w:color w:val="auto"/>
          <w:sz w:val="24"/>
          <w:szCs w:val="24"/>
        </w:rPr>
      </w:pPr>
    </w:p>
    <w:p>
      <w:pPr>
        <w:spacing w:line="480" w:lineRule="exact"/>
        <w:ind w:firstLine="5280" w:firstLineChars="2200"/>
        <w:jc w:val="left"/>
        <w:rPr>
          <w:rFonts w:hint="eastAsia" w:ascii="宋体" w:hAnsi="宋体" w:eastAsia="宋体" w:cs="宋体"/>
          <w:color w:val="auto"/>
          <w:sz w:val="24"/>
          <w:szCs w:val="24"/>
        </w:rPr>
      </w:pPr>
    </w:p>
    <w:p>
      <w:pPr>
        <w:spacing w:line="480" w:lineRule="exact"/>
        <w:ind w:firstLine="5280" w:firstLineChars="2200"/>
        <w:jc w:val="left"/>
        <w:rPr>
          <w:rFonts w:hint="eastAsia" w:ascii="宋体" w:hAnsi="宋体" w:eastAsia="宋体" w:cs="宋体"/>
          <w:color w:val="auto"/>
          <w:sz w:val="24"/>
          <w:szCs w:val="24"/>
        </w:rPr>
      </w:pPr>
    </w:p>
    <w:p>
      <w:pPr>
        <w:spacing w:line="480" w:lineRule="exact"/>
        <w:ind w:firstLine="5280" w:firstLineChars="2200"/>
        <w:jc w:val="left"/>
        <w:rPr>
          <w:rFonts w:hint="eastAsia" w:ascii="宋体" w:hAnsi="宋体" w:eastAsia="宋体" w:cs="宋体"/>
          <w:color w:val="auto"/>
          <w:sz w:val="24"/>
          <w:szCs w:val="24"/>
        </w:rPr>
      </w:pPr>
    </w:p>
    <w:p>
      <w:pPr>
        <w:spacing w:line="480" w:lineRule="exact"/>
        <w:jc w:val="left"/>
        <w:rPr>
          <w:rFonts w:hint="eastAsia" w:ascii="宋体" w:hAnsi="宋体" w:eastAsia="宋体" w:cs="宋体"/>
          <w:color w:val="auto"/>
          <w:sz w:val="24"/>
          <w:szCs w:val="24"/>
        </w:rPr>
      </w:pPr>
    </w:p>
    <w:p>
      <w:pPr>
        <w:spacing w:line="480" w:lineRule="exact"/>
        <w:ind w:firstLine="5280" w:firstLineChars="2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供应商名称（盖章）：                            </w:t>
      </w:r>
    </w:p>
    <w:p>
      <w:pPr>
        <w:spacing w:line="480" w:lineRule="exact"/>
        <w:ind w:firstLine="1080" w:firstLineChars="450"/>
        <w:jc w:val="left"/>
        <w:rPr>
          <w:rFonts w:hint="eastAsia" w:ascii="宋体" w:hAnsi="宋体" w:eastAsia="宋体" w:cs="宋体"/>
          <w:color w:val="auto"/>
          <w:sz w:val="24"/>
          <w:szCs w:val="24"/>
        </w:rPr>
      </w:pPr>
    </w:p>
    <w:p>
      <w:pPr>
        <w:spacing w:line="480" w:lineRule="exact"/>
        <w:ind w:firstLine="5040" w:firstLineChars="21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法定代表人（签字或盖章）：            </w:t>
      </w:r>
    </w:p>
    <w:p>
      <w:pPr>
        <w:pStyle w:val="13"/>
        <w:spacing w:line="480" w:lineRule="exact"/>
        <w:ind w:firstLine="5040" w:firstLineChars="2100"/>
        <w:rPr>
          <w:rFonts w:hint="eastAsia" w:ascii="宋体" w:hAnsi="宋体" w:eastAsia="宋体" w:cs="宋体"/>
          <w:color w:val="auto"/>
          <w:sz w:val="24"/>
          <w:szCs w:val="24"/>
        </w:rPr>
      </w:pPr>
    </w:p>
    <w:p>
      <w:pPr>
        <w:pStyle w:val="13"/>
        <w:spacing w:line="480" w:lineRule="exact"/>
        <w:ind w:firstLine="5040" w:firstLineChars="2100"/>
        <w:rPr>
          <w:rFonts w:hint="eastAsia" w:ascii="宋体" w:hAnsi="宋体" w:eastAsia="宋体" w:cs="宋体"/>
          <w:color w:val="auto"/>
          <w:sz w:val="24"/>
          <w:szCs w:val="24"/>
        </w:rPr>
        <w:sectPr>
          <w:pgSz w:w="11906" w:h="16838"/>
          <w:pgMar w:top="1418" w:right="1134" w:bottom="1418" w:left="1418" w:header="851" w:footer="851" w:gutter="0"/>
          <w:pgNumType w:fmt="decimal"/>
          <w:cols w:space="720" w:num="1"/>
          <w:docGrid w:type="linesAndChars" w:linePitch="312" w:charSpace="0"/>
        </w:sect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p>
    <w:bookmarkEnd w:id="131"/>
    <w:bookmarkEnd w:id="132"/>
    <w:p>
      <w:pPr>
        <w:pStyle w:val="16"/>
        <w:spacing w:line="480" w:lineRule="exact"/>
        <w:rPr>
          <w:rFonts w:hint="eastAsia" w:ascii="宋体" w:hAnsi="宋体" w:eastAsia="宋体" w:cs="宋体"/>
          <w:color w:val="auto"/>
          <w:sz w:val="24"/>
          <w:szCs w:val="24"/>
        </w:rPr>
      </w:pPr>
    </w:p>
    <w:p>
      <w:pPr>
        <w:pStyle w:val="170"/>
        <w:numPr>
          <w:ilvl w:val="0"/>
          <w:numId w:val="11"/>
        </w:numPr>
        <w:spacing w:line="480" w:lineRule="exact"/>
        <w:jc w:val="both"/>
        <w:outlineLvl w:val="1"/>
        <w:rPr>
          <w:rFonts w:hint="eastAsia" w:ascii="宋体" w:hAnsi="宋体" w:eastAsia="宋体" w:cs="宋体"/>
          <w:b/>
          <w:bCs/>
          <w:color w:val="auto"/>
          <w:szCs w:val="24"/>
        </w:rPr>
      </w:pPr>
      <w:bookmarkStart w:id="134" w:name="_Toc28745"/>
      <w:r>
        <w:rPr>
          <w:rFonts w:hint="eastAsia" w:ascii="宋体" w:hAnsi="宋体" w:eastAsia="宋体" w:cs="宋体"/>
          <w:b/>
          <w:bCs/>
          <w:color w:val="auto"/>
          <w:szCs w:val="24"/>
        </w:rPr>
        <w:t>开标一览表</w:t>
      </w:r>
      <w:bookmarkEnd w:id="133"/>
      <w:bookmarkEnd w:id="134"/>
    </w:p>
    <w:p>
      <w:pPr>
        <w:pStyle w:val="170"/>
        <w:spacing w:line="480" w:lineRule="exact"/>
        <w:jc w:val="both"/>
        <w:rPr>
          <w:rFonts w:hint="eastAsia" w:ascii="宋体" w:hAnsi="宋体" w:eastAsia="宋体" w:cs="宋体"/>
          <w:b/>
          <w:bCs/>
          <w:color w:val="auto"/>
          <w:szCs w:val="24"/>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562"/>
        <w:gridCol w:w="5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83" w:type="dxa"/>
            <w:vAlign w:val="center"/>
          </w:tcPr>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562" w:type="dxa"/>
            <w:vAlign w:val="center"/>
          </w:tcPr>
          <w:p>
            <w:pP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项目名称+标段</w:t>
            </w:r>
          </w:p>
        </w:tc>
        <w:tc>
          <w:tcPr>
            <w:tcW w:w="5473" w:type="dxa"/>
            <w:vAlign w:val="center"/>
          </w:tcPr>
          <w:p>
            <w:pPr>
              <w:spacing w:line="4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83" w:type="dxa"/>
            <w:vAlign w:val="center"/>
          </w:tcPr>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562" w:type="dxa"/>
            <w:vAlign w:val="center"/>
          </w:tcPr>
          <w:p>
            <w:pP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5473" w:type="dxa"/>
            <w:vAlign w:val="center"/>
          </w:tcPr>
          <w:p>
            <w:pPr>
              <w:spacing w:line="4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683" w:type="dxa"/>
            <w:vAlign w:val="center"/>
          </w:tcPr>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562" w:type="dxa"/>
            <w:vAlign w:val="center"/>
          </w:tcPr>
          <w:p>
            <w:pP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投标报价（元）</w:t>
            </w:r>
          </w:p>
        </w:tc>
        <w:tc>
          <w:tcPr>
            <w:tcW w:w="5473" w:type="dxa"/>
            <w:vAlign w:val="center"/>
          </w:tcPr>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p>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83" w:type="dxa"/>
            <w:vAlign w:val="center"/>
          </w:tcPr>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562" w:type="dxa"/>
            <w:vAlign w:val="center"/>
          </w:tcPr>
          <w:p>
            <w:pP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5473" w:type="dxa"/>
            <w:vAlign w:val="center"/>
          </w:tcPr>
          <w:p>
            <w:pPr>
              <w:spacing w:line="4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83" w:type="dxa"/>
            <w:vAlign w:val="center"/>
          </w:tcPr>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562" w:type="dxa"/>
            <w:vAlign w:val="center"/>
          </w:tcPr>
          <w:p>
            <w:pP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质量标准</w:t>
            </w:r>
          </w:p>
        </w:tc>
        <w:tc>
          <w:tcPr>
            <w:tcW w:w="5473" w:type="dxa"/>
            <w:vAlign w:val="center"/>
          </w:tcPr>
          <w:p>
            <w:pPr>
              <w:spacing w:line="4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83" w:type="dxa"/>
            <w:vAlign w:val="center"/>
          </w:tcPr>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562" w:type="dxa"/>
            <w:vAlign w:val="center"/>
          </w:tcPr>
          <w:p>
            <w:pP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5473" w:type="dxa"/>
            <w:vAlign w:val="center"/>
          </w:tcPr>
          <w:p>
            <w:pPr>
              <w:spacing w:line="480" w:lineRule="exact"/>
              <w:jc w:val="center"/>
              <w:rPr>
                <w:rFonts w:hint="eastAsia" w:ascii="宋体" w:hAnsi="宋体" w:eastAsia="宋体" w:cs="宋体"/>
                <w:color w:val="auto"/>
                <w:sz w:val="24"/>
                <w:szCs w:val="24"/>
              </w:rPr>
            </w:pPr>
          </w:p>
        </w:tc>
      </w:tr>
    </w:tbl>
    <w:p>
      <w:pPr>
        <w:snapToGrid w:val="0"/>
        <w:spacing w:line="480" w:lineRule="exact"/>
        <w:ind w:firstLine="120" w:firstLineChars="50"/>
        <w:jc w:val="left"/>
        <w:rPr>
          <w:rFonts w:hint="eastAsia" w:ascii="宋体" w:hAnsi="宋体" w:eastAsia="宋体" w:cs="宋体"/>
          <w:color w:val="auto"/>
          <w:sz w:val="24"/>
          <w:szCs w:val="24"/>
        </w:rPr>
      </w:pPr>
    </w:p>
    <w:p>
      <w:pPr>
        <w:snapToGrid w:val="0"/>
        <w:spacing w:line="480" w:lineRule="exact"/>
        <w:ind w:firstLine="120" w:firstLineChars="50"/>
        <w:jc w:val="left"/>
        <w:rPr>
          <w:rFonts w:hint="eastAsia" w:ascii="宋体" w:hAnsi="宋体" w:eastAsia="宋体" w:cs="宋体"/>
          <w:color w:val="auto"/>
          <w:sz w:val="24"/>
          <w:szCs w:val="24"/>
        </w:rPr>
      </w:pPr>
      <w:r>
        <w:rPr>
          <w:rFonts w:hint="eastAsia" w:ascii="宋体" w:hAnsi="宋体" w:eastAsia="宋体" w:cs="宋体"/>
          <w:color w:val="auto"/>
          <w:sz w:val="24"/>
          <w:szCs w:val="24"/>
        </w:rPr>
        <w:t>注: 1、报价一经涂改，应在涂改处加盖单位公章或者由法定代表人或授权委托人签字或盖章，否则其投标作无效标处理。</w:t>
      </w:r>
    </w:p>
    <w:p>
      <w:pPr>
        <w:snapToGrid w:val="0"/>
        <w:spacing w:line="480" w:lineRule="exact"/>
        <w:ind w:firstLine="600" w:firstLineChars="25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2、投标报价应包含投标人为本项目提供的所有服务而发生的人工费、成果文件制作费、办公通讯费、交通费、差旅费、管理费、风险、利润、税金和政策规定的应有的各项费用等。</w:t>
      </w:r>
    </w:p>
    <w:p>
      <w:pPr>
        <w:snapToGrid w:val="0"/>
        <w:spacing w:line="480" w:lineRule="exact"/>
        <w:ind w:firstLine="360" w:firstLineChars="15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3、上报价应大小写一致。</w:t>
      </w:r>
    </w:p>
    <w:p>
      <w:pPr>
        <w:spacing w:line="480" w:lineRule="exact"/>
        <w:ind w:firstLine="5280" w:firstLineChars="22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480" w:lineRule="exact"/>
        <w:ind w:firstLine="5280" w:firstLineChars="2200"/>
        <w:jc w:val="right"/>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供应商名称（盖章）：                                                                                                          日期：    年   月   日</w:t>
      </w:r>
    </w:p>
    <w:p>
      <w:pPr>
        <w:pStyle w:val="170"/>
        <w:spacing w:line="480" w:lineRule="exact"/>
        <w:ind w:firstLine="482" w:firstLineChars="200"/>
        <w:rPr>
          <w:rFonts w:hint="eastAsia" w:ascii="宋体" w:hAnsi="宋体" w:eastAsia="宋体" w:cs="宋体"/>
          <w:b/>
          <w:bCs/>
          <w:color w:val="auto"/>
          <w:szCs w:val="24"/>
        </w:rPr>
      </w:pPr>
    </w:p>
    <w:p>
      <w:pPr>
        <w:pStyle w:val="170"/>
        <w:spacing w:line="480" w:lineRule="exact"/>
        <w:ind w:firstLine="482" w:firstLineChars="200"/>
        <w:rPr>
          <w:rFonts w:hint="eastAsia" w:ascii="宋体" w:hAnsi="宋体" w:eastAsia="宋体" w:cs="宋体"/>
          <w:b/>
          <w:bCs/>
          <w:color w:val="auto"/>
          <w:szCs w:val="24"/>
        </w:rPr>
      </w:pPr>
    </w:p>
    <w:p>
      <w:pPr>
        <w:pStyle w:val="170"/>
        <w:spacing w:line="480" w:lineRule="exact"/>
        <w:ind w:firstLine="482" w:firstLineChars="200"/>
        <w:rPr>
          <w:rFonts w:hint="eastAsia" w:ascii="宋体" w:hAnsi="宋体" w:eastAsia="宋体" w:cs="宋体"/>
          <w:b/>
          <w:bCs/>
          <w:color w:val="auto"/>
          <w:szCs w:val="24"/>
        </w:rPr>
      </w:pPr>
    </w:p>
    <w:p>
      <w:pPr>
        <w:pStyle w:val="6"/>
        <w:spacing w:line="480" w:lineRule="exact"/>
        <w:ind w:firstLine="480"/>
        <w:rPr>
          <w:rFonts w:hint="eastAsia" w:ascii="宋体" w:hAnsi="宋体" w:eastAsia="宋体" w:cs="宋体"/>
          <w:color w:val="auto"/>
          <w:sz w:val="24"/>
          <w:szCs w:val="24"/>
        </w:rPr>
      </w:pPr>
      <w:bookmarkStart w:id="135" w:name="_Toc24202"/>
      <w:bookmarkStart w:id="136" w:name="_Toc19190"/>
      <w:bookmarkStart w:id="137" w:name="_Toc498343984"/>
    </w:p>
    <w:p>
      <w:pPr>
        <w:rPr>
          <w:rFonts w:hint="eastAsia" w:ascii="宋体" w:hAnsi="宋体" w:eastAsia="宋体" w:cs="宋体"/>
          <w:color w:val="auto"/>
          <w:sz w:val="24"/>
          <w:szCs w:val="24"/>
        </w:rPr>
      </w:pPr>
    </w:p>
    <w:p>
      <w:pPr>
        <w:pStyle w:val="12"/>
        <w:spacing w:line="480" w:lineRule="exact"/>
        <w:jc w:val="center"/>
        <w:outlineLvl w:val="0"/>
        <w:rPr>
          <w:rFonts w:hint="eastAsia" w:ascii="宋体" w:hAnsi="宋体" w:eastAsia="宋体" w:cs="宋体"/>
          <w:color w:val="auto"/>
          <w:sz w:val="24"/>
          <w:szCs w:val="24"/>
        </w:rPr>
      </w:pPr>
      <w:bookmarkStart w:id="138" w:name="_Toc207"/>
      <w:bookmarkStart w:id="139" w:name="_Toc19307"/>
      <w:bookmarkStart w:id="140" w:name="_Toc26001"/>
      <w:r>
        <w:rPr>
          <w:rFonts w:hint="eastAsia" w:ascii="宋体" w:hAnsi="宋体" w:eastAsia="宋体" w:cs="宋体"/>
          <w:b/>
          <w:bCs/>
          <w:color w:val="auto"/>
          <w:sz w:val="24"/>
          <w:szCs w:val="24"/>
        </w:rPr>
        <w:t>竞争性磋商第</w:t>
      </w:r>
      <w:r>
        <w:rPr>
          <w:rFonts w:hint="eastAsia" w:ascii="宋体" w:hAnsi="宋体" w:eastAsia="宋体" w:cs="宋体"/>
          <w:b/>
          <w:bCs/>
          <w:color w:val="auto"/>
          <w:sz w:val="24"/>
          <w:szCs w:val="24"/>
          <w:u w:val="single"/>
        </w:rPr>
        <w:t>（ ）</w:t>
      </w:r>
      <w:r>
        <w:rPr>
          <w:rFonts w:hint="eastAsia" w:ascii="宋体" w:hAnsi="宋体" w:eastAsia="宋体" w:cs="宋体"/>
          <w:b/>
          <w:bCs/>
          <w:color w:val="auto"/>
          <w:sz w:val="24"/>
          <w:szCs w:val="24"/>
        </w:rPr>
        <w:t>次报价单（单独提供）</w:t>
      </w:r>
      <w:bookmarkEnd w:id="135"/>
      <w:bookmarkEnd w:id="136"/>
      <w:bookmarkEnd w:id="138"/>
      <w:bookmarkEnd w:id="139"/>
      <w:bookmarkEnd w:id="140"/>
    </w:p>
    <w:p>
      <w:pPr>
        <w:pStyle w:val="12"/>
        <w:spacing w:line="480" w:lineRule="exact"/>
        <w:rPr>
          <w:rFonts w:hint="eastAsia" w:ascii="宋体" w:hAnsi="宋体" w:eastAsia="宋体" w:cs="宋体"/>
          <w:color w:val="auto"/>
          <w:sz w:val="24"/>
          <w:szCs w:val="24"/>
        </w:rPr>
      </w:pPr>
    </w:p>
    <w:p>
      <w:pPr>
        <w:pStyle w:val="12"/>
        <w:spacing w:line="480" w:lineRule="exact"/>
        <w:rPr>
          <w:rFonts w:hint="eastAsia" w:ascii="宋体" w:hAnsi="宋体" w:eastAsia="宋体" w:cs="宋体"/>
          <w:color w:val="auto"/>
          <w:sz w:val="24"/>
          <w:szCs w:val="24"/>
          <w:u w:val="single"/>
        </w:rPr>
      </w:pPr>
      <w:r>
        <w:rPr>
          <w:rFonts w:hint="eastAsia" w:ascii="宋体" w:hAnsi="宋体" w:cs="宋体"/>
          <w:b/>
          <w:bCs/>
          <w:color w:val="auto"/>
          <w:sz w:val="24"/>
          <w:szCs w:val="24"/>
          <w:u w:val="single"/>
          <w:lang w:eastAsia="zh-CN"/>
        </w:rPr>
        <w:t>昌吉回族自治州国有资产监督管理委员会</w:t>
      </w:r>
      <w:r>
        <w:rPr>
          <w:rFonts w:hint="eastAsia" w:ascii="宋体" w:hAnsi="宋体" w:eastAsia="宋体" w:cs="宋体"/>
          <w:b/>
          <w:bCs/>
          <w:color w:val="auto"/>
          <w:sz w:val="24"/>
          <w:szCs w:val="24"/>
          <w:u w:val="single"/>
        </w:rPr>
        <w:t>：</w:t>
      </w:r>
    </w:p>
    <w:p>
      <w:pPr>
        <w:pStyle w:val="12"/>
        <w:widowControl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根据竞争性磋商文件上明确的各项要求，本人经请示公司领导同意并代表本公司对</w:t>
      </w:r>
      <w:r>
        <w:rPr>
          <w:rFonts w:hint="eastAsia" w:ascii="宋体" w:hAnsi="宋体" w:eastAsia="宋体" w:cs="宋体"/>
          <w:color w:val="auto"/>
          <w:sz w:val="24"/>
          <w:szCs w:val="24"/>
          <w:u w:val="single"/>
        </w:rPr>
        <w:t xml:space="preserve">  （项目名称+标段） </w:t>
      </w:r>
      <w:r>
        <w:rPr>
          <w:rFonts w:hint="eastAsia" w:ascii="宋体" w:hAnsi="宋体" w:eastAsia="宋体" w:cs="宋体"/>
          <w:color w:val="auto"/>
          <w:sz w:val="24"/>
          <w:szCs w:val="24"/>
        </w:rPr>
        <w:t>竞争性磋商做出最终报价（人民币）如下：</w:t>
      </w:r>
    </w:p>
    <w:p>
      <w:pPr>
        <w:pStyle w:val="12"/>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2"/>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报价：                      （小写）     </w:t>
      </w:r>
    </w:p>
    <w:p>
      <w:pPr>
        <w:pStyle w:val="12"/>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（大写）            </w:t>
      </w:r>
    </w:p>
    <w:p>
      <w:pPr>
        <w:pStyle w:val="12"/>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相关补充说明：</w:t>
      </w:r>
    </w:p>
    <w:p>
      <w:pPr>
        <w:pStyle w:val="12"/>
        <w:spacing w:line="480" w:lineRule="exact"/>
        <w:rPr>
          <w:rFonts w:hint="eastAsia" w:ascii="宋体" w:hAnsi="宋体" w:eastAsia="宋体" w:cs="宋体"/>
          <w:color w:val="auto"/>
          <w:sz w:val="24"/>
          <w:szCs w:val="24"/>
        </w:rPr>
      </w:pPr>
    </w:p>
    <w:p>
      <w:pPr>
        <w:spacing w:line="480" w:lineRule="exact"/>
        <w:rPr>
          <w:rFonts w:hint="eastAsia" w:ascii="宋体" w:hAnsi="宋体" w:eastAsia="宋体" w:cs="宋体"/>
          <w:color w:val="auto"/>
          <w:sz w:val="24"/>
          <w:szCs w:val="24"/>
        </w:rPr>
      </w:pPr>
    </w:p>
    <w:p>
      <w:pPr>
        <w:spacing w:line="480" w:lineRule="exact"/>
        <w:ind w:firstLine="5280" w:firstLineChars="22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供应商名称（盖章）：                            </w:t>
      </w:r>
    </w:p>
    <w:p>
      <w:pPr>
        <w:spacing w:line="480" w:lineRule="exact"/>
        <w:jc w:val="left"/>
        <w:rPr>
          <w:rFonts w:hint="eastAsia" w:ascii="宋体" w:hAnsi="宋体" w:eastAsia="宋体" w:cs="宋体"/>
          <w:color w:val="auto"/>
          <w:sz w:val="24"/>
          <w:szCs w:val="24"/>
        </w:rPr>
      </w:pPr>
    </w:p>
    <w:p>
      <w:pPr>
        <w:snapToGrid w:val="0"/>
        <w:spacing w:before="50" w:after="50" w:line="480" w:lineRule="exact"/>
        <w:ind w:left="5615" w:leftChars="331" w:right="-817" w:rightChars="-389" w:hanging="4920" w:hangingChars="205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pPr>
        <w:pStyle w:val="12"/>
        <w:spacing w:line="480" w:lineRule="exact"/>
        <w:rPr>
          <w:rFonts w:hint="eastAsia" w:ascii="宋体" w:hAnsi="宋体" w:eastAsia="宋体" w:cs="宋体"/>
          <w:b/>
          <w:bCs/>
          <w:color w:val="auto"/>
          <w:sz w:val="24"/>
          <w:szCs w:val="24"/>
          <w:u w:val="single"/>
        </w:rPr>
      </w:pPr>
    </w:p>
    <w:p>
      <w:pPr>
        <w:pStyle w:val="12"/>
        <w:spacing w:line="480" w:lineRule="exact"/>
        <w:rPr>
          <w:rFonts w:hint="eastAsia" w:ascii="宋体" w:hAnsi="宋体" w:eastAsia="宋体" w:cs="宋体"/>
          <w:b/>
          <w:bCs/>
          <w:color w:val="auto"/>
          <w:sz w:val="24"/>
          <w:szCs w:val="24"/>
          <w:u w:val="single"/>
        </w:rPr>
      </w:pPr>
    </w:p>
    <w:p>
      <w:pPr>
        <w:pStyle w:val="12"/>
        <w:spacing w:line="480" w:lineRule="exact"/>
        <w:rPr>
          <w:rFonts w:hint="eastAsia" w:ascii="宋体" w:hAnsi="宋体" w:eastAsia="宋体" w:cs="宋体"/>
          <w:color w:val="auto"/>
          <w:sz w:val="24"/>
          <w:szCs w:val="24"/>
        </w:rPr>
        <w:sectPr>
          <w:headerReference r:id="rId7" w:type="first"/>
          <w:footerReference r:id="rId9" w:type="first"/>
          <w:headerReference r:id="rId6" w:type="default"/>
          <w:footerReference r:id="rId8" w:type="default"/>
          <w:pgSz w:w="11906" w:h="16838"/>
          <w:pgMar w:top="1417" w:right="1418" w:bottom="1417" w:left="1418" w:header="851" w:footer="850" w:gutter="0"/>
          <w:pgNumType w:fmt="decimal"/>
          <w:cols w:space="720" w:num="1"/>
          <w:docGrid w:type="lines" w:linePitch="312" w:charSpace="0"/>
        </w:sectPr>
      </w:pPr>
      <w:r>
        <w:rPr>
          <w:rFonts w:hint="eastAsia" w:ascii="宋体" w:hAnsi="宋体" w:eastAsia="宋体" w:cs="宋体"/>
          <w:b/>
          <w:bCs/>
          <w:color w:val="auto"/>
          <w:sz w:val="24"/>
          <w:szCs w:val="24"/>
          <w:u w:val="single"/>
        </w:rPr>
        <w:t>（说明：本页《报价单》由供应商在磋商现场依磋商情况填写，请加盖公章，用于磋商供应商进行最后报价(不需装订在投标文件内)。</w:t>
      </w:r>
    </w:p>
    <w:p>
      <w:pPr>
        <w:pStyle w:val="169"/>
        <w:spacing w:line="480" w:lineRule="exact"/>
        <w:jc w:val="center"/>
        <w:outlineLvl w:val="1"/>
        <w:rPr>
          <w:rFonts w:hint="eastAsia" w:ascii="宋体" w:hAnsi="宋体" w:eastAsia="宋体" w:cs="宋体"/>
          <w:b/>
          <w:color w:val="auto"/>
        </w:rPr>
      </w:pPr>
      <w:bookmarkStart w:id="141" w:name="_Toc30607"/>
      <w:r>
        <w:rPr>
          <w:rFonts w:hint="eastAsia" w:ascii="宋体" w:hAnsi="宋体" w:eastAsia="宋体" w:cs="宋体"/>
          <w:b/>
          <w:color w:val="auto"/>
        </w:rPr>
        <w:t>4、商务条款偏离表</w:t>
      </w:r>
      <w:bookmarkEnd w:id="137"/>
      <w:bookmarkEnd w:id="141"/>
    </w:p>
    <w:p>
      <w:pPr>
        <w:pStyle w:val="169"/>
        <w:spacing w:line="480" w:lineRule="exact"/>
        <w:ind w:firstLine="960" w:firstLineChars="400"/>
        <w:jc w:val="both"/>
        <w:outlineLvl w:val="1"/>
        <w:rPr>
          <w:rFonts w:hint="eastAsia" w:ascii="宋体" w:hAnsi="宋体" w:eastAsia="宋体" w:cs="宋体"/>
          <w:color w:val="auto"/>
          <w:u w:val="single"/>
        </w:rPr>
      </w:pPr>
      <w:bookmarkStart w:id="142" w:name="_Toc5608"/>
      <w:r>
        <w:rPr>
          <w:rFonts w:hint="eastAsia" w:ascii="宋体" w:hAnsi="宋体" w:eastAsia="宋体" w:cs="宋体"/>
          <w:color w:val="auto"/>
        </w:rPr>
        <w:t>项目名称+标段：                  项目编号：</w:t>
      </w:r>
      <w:bookmarkEnd w:id="142"/>
      <w:r>
        <w:rPr>
          <w:rFonts w:hint="eastAsia" w:ascii="宋体" w:hAnsi="宋体" w:eastAsia="宋体" w:cs="宋体"/>
          <w:color w:val="auto"/>
        </w:rPr>
        <w:t xml:space="preserve">                    </w:t>
      </w:r>
    </w:p>
    <w:tbl>
      <w:tblPr>
        <w:tblStyle w:val="31"/>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073"/>
        <w:gridCol w:w="2877"/>
        <w:gridCol w:w="1150"/>
        <w:gridCol w:w="2733"/>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474" w:type="dxa"/>
            <w:vMerge w:val="restart"/>
            <w:vAlign w:val="center"/>
          </w:tcPr>
          <w:p>
            <w:pPr>
              <w:pStyle w:val="16"/>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3950" w:type="dxa"/>
            <w:gridSpan w:val="2"/>
            <w:vAlign w:val="center"/>
          </w:tcPr>
          <w:p>
            <w:pPr>
              <w:pStyle w:val="16"/>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招标文件条款</w:t>
            </w:r>
          </w:p>
        </w:tc>
        <w:tc>
          <w:tcPr>
            <w:tcW w:w="3883" w:type="dxa"/>
            <w:gridSpan w:val="2"/>
            <w:vAlign w:val="center"/>
          </w:tcPr>
          <w:p>
            <w:pPr>
              <w:pStyle w:val="16"/>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投标文件条款</w:t>
            </w:r>
          </w:p>
        </w:tc>
        <w:tc>
          <w:tcPr>
            <w:tcW w:w="1150" w:type="dxa"/>
            <w:vMerge w:val="restart"/>
            <w:vAlign w:val="center"/>
          </w:tcPr>
          <w:p>
            <w:pPr>
              <w:pStyle w:val="16"/>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474" w:type="dxa"/>
            <w:vMerge w:val="continue"/>
            <w:vAlign w:val="center"/>
          </w:tcPr>
          <w:p>
            <w:pPr>
              <w:pStyle w:val="16"/>
              <w:spacing w:line="480" w:lineRule="exact"/>
              <w:jc w:val="center"/>
              <w:rPr>
                <w:rFonts w:hint="eastAsia" w:ascii="宋体" w:hAnsi="宋体" w:eastAsia="宋体" w:cs="宋体"/>
                <w:b/>
                <w:color w:val="auto"/>
                <w:sz w:val="24"/>
                <w:szCs w:val="24"/>
              </w:rPr>
            </w:pPr>
          </w:p>
        </w:tc>
        <w:tc>
          <w:tcPr>
            <w:tcW w:w="1073" w:type="dxa"/>
            <w:vAlign w:val="center"/>
          </w:tcPr>
          <w:p>
            <w:pPr>
              <w:pStyle w:val="16"/>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2877" w:type="dxa"/>
            <w:vAlign w:val="center"/>
          </w:tcPr>
          <w:p>
            <w:pPr>
              <w:pStyle w:val="16"/>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招标文件条款内容</w:t>
            </w:r>
          </w:p>
        </w:tc>
        <w:tc>
          <w:tcPr>
            <w:tcW w:w="1150" w:type="dxa"/>
            <w:vAlign w:val="center"/>
          </w:tcPr>
          <w:p>
            <w:pPr>
              <w:pStyle w:val="16"/>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2733" w:type="dxa"/>
            <w:vAlign w:val="center"/>
          </w:tcPr>
          <w:p>
            <w:pPr>
              <w:pStyle w:val="16"/>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投标文件对应条款</w:t>
            </w:r>
          </w:p>
        </w:tc>
        <w:tc>
          <w:tcPr>
            <w:tcW w:w="1150" w:type="dxa"/>
            <w:vMerge w:val="continue"/>
            <w:vAlign w:val="center"/>
          </w:tcPr>
          <w:p>
            <w:pPr>
              <w:pStyle w:val="16"/>
              <w:spacing w:line="480" w:lineRule="exact"/>
              <w:jc w:val="center"/>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vAlign w:val="center"/>
          </w:tcPr>
          <w:p>
            <w:pPr>
              <w:pStyle w:val="16"/>
              <w:spacing w:line="480" w:lineRule="exact"/>
              <w:jc w:val="center"/>
              <w:rPr>
                <w:rFonts w:hint="eastAsia" w:ascii="宋体" w:hAnsi="宋体" w:eastAsia="宋体" w:cs="宋体"/>
                <w:b/>
                <w:color w:val="auto"/>
                <w:sz w:val="24"/>
                <w:szCs w:val="24"/>
              </w:rPr>
            </w:pPr>
          </w:p>
        </w:tc>
        <w:tc>
          <w:tcPr>
            <w:tcW w:w="1073" w:type="dxa"/>
            <w:vAlign w:val="center"/>
          </w:tcPr>
          <w:p>
            <w:pPr>
              <w:pStyle w:val="16"/>
              <w:spacing w:line="480" w:lineRule="exact"/>
              <w:jc w:val="center"/>
              <w:rPr>
                <w:rFonts w:hint="eastAsia" w:ascii="宋体" w:hAnsi="宋体" w:eastAsia="宋体" w:cs="宋体"/>
                <w:b/>
                <w:color w:val="auto"/>
                <w:sz w:val="24"/>
                <w:szCs w:val="24"/>
              </w:rPr>
            </w:pPr>
          </w:p>
        </w:tc>
        <w:tc>
          <w:tcPr>
            <w:tcW w:w="2877" w:type="dxa"/>
            <w:vAlign w:val="center"/>
          </w:tcPr>
          <w:p>
            <w:pPr>
              <w:pStyle w:val="16"/>
              <w:spacing w:line="480" w:lineRule="exact"/>
              <w:jc w:val="center"/>
              <w:rPr>
                <w:rFonts w:hint="eastAsia" w:ascii="宋体" w:hAnsi="宋体" w:eastAsia="宋体" w:cs="宋体"/>
                <w:b/>
                <w:color w:val="auto"/>
                <w:sz w:val="24"/>
                <w:szCs w:val="24"/>
              </w:rPr>
            </w:pPr>
          </w:p>
        </w:tc>
        <w:tc>
          <w:tcPr>
            <w:tcW w:w="1150" w:type="dxa"/>
            <w:vAlign w:val="center"/>
          </w:tcPr>
          <w:p>
            <w:pPr>
              <w:pStyle w:val="16"/>
              <w:spacing w:line="480" w:lineRule="exact"/>
              <w:jc w:val="center"/>
              <w:rPr>
                <w:rFonts w:hint="eastAsia" w:ascii="宋体" w:hAnsi="宋体" w:eastAsia="宋体" w:cs="宋体"/>
                <w:b/>
                <w:color w:val="auto"/>
                <w:sz w:val="24"/>
                <w:szCs w:val="24"/>
              </w:rPr>
            </w:pPr>
          </w:p>
        </w:tc>
        <w:tc>
          <w:tcPr>
            <w:tcW w:w="2733" w:type="dxa"/>
            <w:vAlign w:val="center"/>
          </w:tcPr>
          <w:p>
            <w:pPr>
              <w:pStyle w:val="16"/>
              <w:spacing w:line="480" w:lineRule="exact"/>
              <w:jc w:val="center"/>
              <w:rPr>
                <w:rFonts w:hint="eastAsia" w:ascii="宋体" w:hAnsi="宋体" w:eastAsia="宋体" w:cs="宋体"/>
                <w:b/>
                <w:color w:val="auto"/>
                <w:sz w:val="24"/>
                <w:szCs w:val="24"/>
              </w:rPr>
            </w:pPr>
          </w:p>
        </w:tc>
        <w:tc>
          <w:tcPr>
            <w:tcW w:w="1150" w:type="dxa"/>
            <w:vAlign w:val="center"/>
          </w:tcPr>
          <w:p>
            <w:pPr>
              <w:pStyle w:val="16"/>
              <w:spacing w:line="480" w:lineRule="exact"/>
              <w:jc w:val="center"/>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vAlign w:val="center"/>
          </w:tcPr>
          <w:p>
            <w:pPr>
              <w:pStyle w:val="16"/>
              <w:spacing w:line="480" w:lineRule="exact"/>
              <w:jc w:val="center"/>
              <w:rPr>
                <w:rFonts w:hint="eastAsia" w:ascii="宋体" w:hAnsi="宋体" w:eastAsia="宋体" w:cs="宋体"/>
                <w:color w:val="auto"/>
                <w:sz w:val="24"/>
                <w:szCs w:val="24"/>
              </w:rPr>
            </w:pPr>
          </w:p>
        </w:tc>
        <w:tc>
          <w:tcPr>
            <w:tcW w:w="1073" w:type="dxa"/>
            <w:vAlign w:val="center"/>
          </w:tcPr>
          <w:p>
            <w:pPr>
              <w:pStyle w:val="16"/>
              <w:spacing w:line="480" w:lineRule="exact"/>
              <w:jc w:val="center"/>
              <w:rPr>
                <w:rFonts w:hint="eastAsia" w:ascii="宋体" w:hAnsi="宋体" w:eastAsia="宋体" w:cs="宋体"/>
                <w:color w:val="auto"/>
                <w:sz w:val="24"/>
                <w:szCs w:val="24"/>
              </w:rPr>
            </w:pPr>
          </w:p>
        </w:tc>
        <w:tc>
          <w:tcPr>
            <w:tcW w:w="2877"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c>
          <w:tcPr>
            <w:tcW w:w="2733"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vAlign w:val="center"/>
          </w:tcPr>
          <w:p>
            <w:pPr>
              <w:pStyle w:val="16"/>
              <w:spacing w:line="480" w:lineRule="exact"/>
              <w:jc w:val="center"/>
              <w:rPr>
                <w:rFonts w:hint="eastAsia" w:ascii="宋体" w:hAnsi="宋体" w:eastAsia="宋体" w:cs="宋体"/>
                <w:color w:val="auto"/>
                <w:sz w:val="24"/>
                <w:szCs w:val="24"/>
              </w:rPr>
            </w:pPr>
          </w:p>
        </w:tc>
        <w:tc>
          <w:tcPr>
            <w:tcW w:w="1073" w:type="dxa"/>
            <w:vAlign w:val="center"/>
          </w:tcPr>
          <w:p>
            <w:pPr>
              <w:pStyle w:val="16"/>
              <w:spacing w:line="480" w:lineRule="exact"/>
              <w:jc w:val="center"/>
              <w:rPr>
                <w:rFonts w:hint="eastAsia" w:ascii="宋体" w:hAnsi="宋体" w:eastAsia="宋体" w:cs="宋体"/>
                <w:color w:val="auto"/>
                <w:sz w:val="24"/>
                <w:szCs w:val="24"/>
              </w:rPr>
            </w:pPr>
          </w:p>
        </w:tc>
        <w:tc>
          <w:tcPr>
            <w:tcW w:w="2877"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c>
          <w:tcPr>
            <w:tcW w:w="2733"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vAlign w:val="center"/>
          </w:tcPr>
          <w:p>
            <w:pPr>
              <w:pStyle w:val="16"/>
              <w:spacing w:line="480" w:lineRule="exact"/>
              <w:jc w:val="center"/>
              <w:rPr>
                <w:rFonts w:hint="eastAsia" w:ascii="宋体" w:hAnsi="宋体" w:eastAsia="宋体" w:cs="宋体"/>
                <w:color w:val="auto"/>
                <w:sz w:val="24"/>
                <w:szCs w:val="24"/>
              </w:rPr>
            </w:pPr>
          </w:p>
        </w:tc>
        <w:tc>
          <w:tcPr>
            <w:tcW w:w="1073" w:type="dxa"/>
            <w:vAlign w:val="center"/>
          </w:tcPr>
          <w:p>
            <w:pPr>
              <w:pStyle w:val="16"/>
              <w:spacing w:line="480" w:lineRule="exact"/>
              <w:jc w:val="center"/>
              <w:rPr>
                <w:rFonts w:hint="eastAsia" w:ascii="宋体" w:hAnsi="宋体" w:eastAsia="宋体" w:cs="宋体"/>
                <w:color w:val="auto"/>
                <w:sz w:val="24"/>
                <w:szCs w:val="24"/>
              </w:rPr>
            </w:pPr>
          </w:p>
        </w:tc>
        <w:tc>
          <w:tcPr>
            <w:tcW w:w="2877"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c>
          <w:tcPr>
            <w:tcW w:w="2733"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vAlign w:val="center"/>
          </w:tcPr>
          <w:p>
            <w:pPr>
              <w:pStyle w:val="16"/>
              <w:spacing w:line="480" w:lineRule="exact"/>
              <w:jc w:val="center"/>
              <w:rPr>
                <w:rFonts w:hint="eastAsia" w:ascii="宋体" w:hAnsi="宋体" w:eastAsia="宋体" w:cs="宋体"/>
                <w:color w:val="auto"/>
                <w:sz w:val="24"/>
                <w:szCs w:val="24"/>
              </w:rPr>
            </w:pPr>
          </w:p>
        </w:tc>
        <w:tc>
          <w:tcPr>
            <w:tcW w:w="1073" w:type="dxa"/>
            <w:vAlign w:val="center"/>
          </w:tcPr>
          <w:p>
            <w:pPr>
              <w:pStyle w:val="16"/>
              <w:spacing w:line="480" w:lineRule="exact"/>
              <w:jc w:val="center"/>
              <w:rPr>
                <w:rFonts w:hint="eastAsia" w:ascii="宋体" w:hAnsi="宋体" w:eastAsia="宋体" w:cs="宋体"/>
                <w:color w:val="auto"/>
                <w:sz w:val="24"/>
                <w:szCs w:val="24"/>
              </w:rPr>
            </w:pPr>
          </w:p>
        </w:tc>
        <w:tc>
          <w:tcPr>
            <w:tcW w:w="2877"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c>
          <w:tcPr>
            <w:tcW w:w="2733"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74" w:type="dxa"/>
            <w:vAlign w:val="center"/>
          </w:tcPr>
          <w:p>
            <w:pPr>
              <w:pStyle w:val="16"/>
              <w:spacing w:line="480" w:lineRule="exact"/>
              <w:jc w:val="center"/>
              <w:rPr>
                <w:rFonts w:hint="eastAsia" w:ascii="宋体" w:hAnsi="宋体" w:eastAsia="宋体" w:cs="宋体"/>
                <w:color w:val="auto"/>
                <w:sz w:val="24"/>
                <w:szCs w:val="24"/>
              </w:rPr>
            </w:pPr>
          </w:p>
        </w:tc>
        <w:tc>
          <w:tcPr>
            <w:tcW w:w="1073" w:type="dxa"/>
            <w:vAlign w:val="center"/>
          </w:tcPr>
          <w:p>
            <w:pPr>
              <w:pStyle w:val="16"/>
              <w:spacing w:line="480" w:lineRule="exact"/>
              <w:jc w:val="center"/>
              <w:rPr>
                <w:rFonts w:hint="eastAsia" w:ascii="宋体" w:hAnsi="宋体" w:eastAsia="宋体" w:cs="宋体"/>
                <w:color w:val="auto"/>
                <w:sz w:val="24"/>
                <w:szCs w:val="24"/>
              </w:rPr>
            </w:pPr>
          </w:p>
        </w:tc>
        <w:tc>
          <w:tcPr>
            <w:tcW w:w="2877"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c>
          <w:tcPr>
            <w:tcW w:w="2733"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74" w:type="dxa"/>
            <w:vAlign w:val="center"/>
          </w:tcPr>
          <w:p>
            <w:pPr>
              <w:pStyle w:val="16"/>
              <w:spacing w:line="480" w:lineRule="exact"/>
              <w:jc w:val="center"/>
              <w:rPr>
                <w:rFonts w:hint="eastAsia" w:ascii="宋体" w:hAnsi="宋体" w:eastAsia="宋体" w:cs="宋体"/>
                <w:color w:val="auto"/>
                <w:sz w:val="24"/>
                <w:szCs w:val="24"/>
              </w:rPr>
            </w:pPr>
          </w:p>
        </w:tc>
        <w:tc>
          <w:tcPr>
            <w:tcW w:w="1073" w:type="dxa"/>
            <w:vAlign w:val="center"/>
          </w:tcPr>
          <w:p>
            <w:pPr>
              <w:pStyle w:val="16"/>
              <w:spacing w:line="480" w:lineRule="exact"/>
              <w:jc w:val="center"/>
              <w:rPr>
                <w:rFonts w:hint="eastAsia" w:ascii="宋体" w:hAnsi="宋体" w:eastAsia="宋体" w:cs="宋体"/>
                <w:color w:val="auto"/>
                <w:sz w:val="24"/>
                <w:szCs w:val="24"/>
              </w:rPr>
            </w:pPr>
          </w:p>
        </w:tc>
        <w:tc>
          <w:tcPr>
            <w:tcW w:w="2877"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c>
          <w:tcPr>
            <w:tcW w:w="2733"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74" w:type="dxa"/>
            <w:vAlign w:val="center"/>
          </w:tcPr>
          <w:p>
            <w:pPr>
              <w:pStyle w:val="16"/>
              <w:spacing w:line="480" w:lineRule="exact"/>
              <w:jc w:val="center"/>
              <w:rPr>
                <w:rFonts w:hint="eastAsia" w:ascii="宋体" w:hAnsi="宋体" w:eastAsia="宋体" w:cs="宋体"/>
                <w:color w:val="auto"/>
                <w:sz w:val="24"/>
                <w:szCs w:val="24"/>
              </w:rPr>
            </w:pPr>
          </w:p>
        </w:tc>
        <w:tc>
          <w:tcPr>
            <w:tcW w:w="1073" w:type="dxa"/>
            <w:vAlign w:val="center"/>
          </w:tcPr>
          <w:p>
            <w:pPr>
              <w:pStyle w:val="16"/>
              <w:spacing w:line="480" w:lineRule="exact"/>
              <w:jc w:val="center"/>
              <w:rPr>
                <w:rFonts w:hint="eastAsia" w:ascii="宋体" w:hAnsi="宋体" w:eastAsia="宋体" w:cs="宋体"/>
                <w:color w:val="auto"/>
                <w:sz w:val="24"/>
                <w:szCs w:val="24"/>
              </w:rPr>
            </w:pPr>
          </w:p>
        </w:tc>
        <w:tc>
          <w:tcPr>
            <w:tcW w:w="2877"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c>
          <w:tcPr>
            <w:tcW w:w="2733"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74" w:type="dxa"/>
            <w:vAlign w:val="center"/>
          </w:tcPr>
          <w:p>
            <w:pPr>
              <w:pStyle w:val="16"/>
              <w:spacing w:line="480" w:lineRule="exact"/>
              <w:jc w:val="center"/>
              <w:rPr>
                <w:rFonts w:hint="eastAsia" w:ascii="宋体" w:hAnsi="宋体" w:eastAsia="宋体" w:cs="宋体"/>
                <w:color w:val="auto"/>
                <w:sz w:val="24"/>
                <w:szCs w:val="24"/>
              </w:rPr>
            </w:pPr>
          </w:p>
          <w:p>
            <w:pPr>
              <w:pStyle w:val="16"/>
              <w:spacing w:line="480" w:lineRule="exact"/>
              <w:jc w:val="center"/>
              <w:rPr>
                <w:rFonts w:hint="eastAsia" w:ascii="宋体" w:hAnsi="宋体" w:eastAsia="宋体" w:cs="宋体"/>
                <w:color w:val="auto"/>
                <w:sz w:val="24"/>
                <w:szCs w:val="24"/>
              </w:rPr>
            </w:pPr>
          </w:p>
        </w:tc>
        <w:tc>
          <w:tcPr>
            <w:tcW w:w="1073" w:type="dxa"/>
            <w:vAlign w:val="center"/>
          </w:tcPr>
          <w:p>
            <w:pPr>
              <w:pStyle w:val="16"/>
              <w:spacing w:line="480" w:lineRule="exact"/>
              <w:jc w:val="center"/>
              <w:rPr>
                <w:rFonts w:hint="eastAsia" w:ascii="宋体" w:hAnsi="宋体" w:eastAsia="宋体" w:cs="宋体"/>
                <w:color w:val="auto"/>
                <w:sz w:val="24"/>
                <w:szCs w:val="24"/>
              </w:rPr>
            </w:pPr>
          </w:p>
        </w:tc>
        <w:tc>
          <w:tcPr>
            <w:tcW w:w="2877"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c>
          <w:tcPr>
            <w:tcW w:w="2733"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r>
    </w:tbl>
    <w:p>
      <w:pPr>
        <w:pStyle w:val="169"/>
        <w:spacing w:line="480" w:lineRule="exact"/>
        <w:jc w:val="center"/>
        <w:rPr>
          <w:rFonts w:hint="eastAsia" w:ascii="宋体" w:hAnsi="宋体" w:eastAsia="宋体" w:cs="宋体"/>
          <w:color w:val="auto"/>
        </w:rPr>
      </w:pPr>
      <w:r>
        <w:rPr>
          <w:rFonts w:hint="eastAsia" w:ascii="宋体" w:hAnsi="宋体" w:eastAsia="宋体" w:cs="宋体"/>
          <w:color w:val="auto"/>
        </w:rPr>
        <w:t xml:space="preserve">                                         </w:t>
      </w:r>
    </w:p>
    <w:p>
      <w:pPr>
        <w:pStyle w:val="169"/>
        <w:spacing w:line="480" w:lineRule="exact"/>
        <w:rPr>
          <w:rFonts w:hint="eastAsia" w:ascii="宋体" w:hAnsi="宋体" w:eastAsia="宋体" w:cs="宋体"/>
          <w:color w:val="auto"/>
        </w:rPr>
      </w:pPr>
      <w:r>
        <w:rPr>
          <w:rFonts w:hint="eastAsia" w:ascii="宋体" w:hAnsi="宋体" w:eastAsia="宋体" w:cs="宋体"/>
          <w:color w:val="auto"/>
        </w:rPr>
        <w:t>注:若有偏离,请将具体偏离条款在“偏离情况”一栏中详细说明；若无偏离,请在“偏离情况”一栏中标注“无”字样，实际存在负偏离而在本表内没有列明的，视为虚假投标。</w:t>
      </w:r>
    </w:p>
    <w:p>
      <w:pPr>
        <w:pStyle w:val="169"/>
        <w:spacing w:line="480" w:lineRule="exact"/>
        <w:rPr>
          <w:rFonts w:hint="eastAsia" w:ascii="宋体" w:hAnsi="宋体" w:eastAsia="宋体" w:cs="宋体"/>
          <w:color w:val="auto"/>
        </w:rPr>
      </w:pPr>
    </w:p>
    <w:p>
      <w:pPr>
        <w:pStyle w:val="169"/>
        <w:spacing w:line="480" w:lineRule="exact"/>
        <w:rPr>
          <w:rFonts w:hint="eastAsia" w:ascii="宋体" w:hAnsi="宋体" w:eastAsia="宋体" w:cs="宋体"/>
          <w:color w:val="auto"/>
        </w:rPr>
      </w:pPr>
    </w:p>
    <w:p>
      <w:pPr>
        <w:spacing w:line="480" w:lineRule="exact"/>
        <w:ind w:firstLine="5280" w:firstLineChars="22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供应商名称（盖章）：                            </w:t>
      </w:r>
    </w:p>
    <w:p>
      <w:pPr>
        <w:spacing w:line="480" w:lineRule="exact"/>
        <w:jc w:val="left"/>
        <w:rPr>
          <w:rFonts w:hint="eastAsia" w:ascii="宋体" w:hAnsi="宋体" w:eastAsia="宋体" w:cs="宋体"/>
          <w:color w:val="auto"/>
          <w:sz w:val="24"/>
          <w:szCs w:val="24"/>
        </w:rPr>
      </w:pPr>
    </w:p>
    <w:p>
      <w:pPr>
        <w:snapToGrid w:val="0"/>
        <w:spacing w:before="50" w:after="50" w:line="480" w:lineRule="exact"/>
        <w:ind w:left="5615" w:leftChars="331" w:right="-817" w:rightChars="-389" w:hanging="4920" w:hangingChars="205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pPr>
        <w:pStyle w:val="169"/>
        <w:spacing w:line="480" w:lineRule="exact"/>
        <w:rPr>
          <w:rFonts w:hint="eastAsia" w:ascii="宋体" w:hAnsi="宋体" w:eastAsia="宋体" w:cs="宋体"/>
          <w:color w:val="auto"/>
        </w:rPr>
      </w:pPr>
    </w:p>
    <w:p>
      <w:pPr>
        <w:pStyle w:val="169"/>
        <w:spacing w:line="480" w:lineRule="exact"/>
        <w:rPr>
          <w:rFonts w:hint="eastAsia" w:ascii="宋体" w:hAnsi="宋体" w:eastAsia="宋体" w:cs="宋体"/>
          <w:color w:val="auto"/>
        </w:rPr>
      </w:pPr>
    </w:p>
    <w:p>
      <w:pPr>
        <w:pStyle w:val="169"/>
        <w:spacing w:line="480" w:lineRule="exact"/>
        <w:rPr>
          <w:rFonts w:hint="eastAsia" w:ascii="宋体" w:hAnsi="宋体" w:eastAsia="宋体" w:cs="宋体"/>
          <w:color w:val="auto"/>
        </w:rPr>
      </w:pPr>
    </w:p>
    <w:p>
      <w:pPr>
        <w:pStyle w:val="169"/>
        <w:spacing w:line="480" w:lineRule="exact"/>
        <w:rPr>
          <w:rFonts w:hint="eastAsia" w:ascii="宋体" w:hAnsi="宋体" w:eastAsia="宋体" w:cs="宋体"/>
          <w:color w:val="auto"/>
        </w:rPr>
      </w:pPr>
    </w:p>
    <w:p>
      <w:pPr>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5、投标保证金</w:t>
      </w:r>
    </w:p>
    <w:p>
      <w:pPr>
        <w:spacing w:line="480" w:lineRule="exact"/>
        <w:rPr>
          <w:rFonts w:hint="eastAsia" w:ascii="宋体" w:hAnsi="宋体" w:eastAsia="宋体" w:cs="宋体"/>
          <w:color w:val="auto"/>
          <w:sz w:val="24"/>
          <w:szCs w:val="24"/>
        </w:rPr>
      </w:pPr>
    </w:p>
    <w:p>
      <w:pPr>
        <w:spacing w:line="480" w:lineRule="exact"/>
        <w:rPr>
          <w:rFonts w:hint="eastAsia" w:ascii="宋体" w:hAnsi="宋体" w:eastAsia="宋体" w:cs="宋体"/>
          <w:color w:val="auto"/>
          <w:sz w:val="24"/>
          <w:szCs w:val="24"/>
        </w:rPr>
      </w:pP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5" w:hRule="atLeast"/>
          <w:jc w:val="center"/>
        </w:trPr>
        <w:tc>
          <w:tcPr>
            <w:tcW w:w="6280" w:type="dxa"/>
            <w:tcBorders>
              <w:top w:val="single" w:color="auto" w:sz="4" w:space="0"/>
              <w:bottom w:val="single" w:color="auto" w:sz="4" w:space="0"/>
            </w:tcBorders>
            <w:vAlign w:val="center"/>
          </w:tcPr>
          <w:p>
            <w:pP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投标保证金汇款凭证复印件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6" w:hRule="atLeast"/>
          <w:jc w:val="center"/>
        </w:trPr>
        <w:tc>
          <w:tcPr>
            <w:tcW w:w="6280" w:type="dxa"/>
            <w:tcBorders>
              <w:top w:val="single" w:color="auto" w:sz="4" w:space="0"/>
              <w:bottom w:val="single" w:color="auto" w:sz="4" w:space="0"/>
            </w:tcBorders>
            <w:vAlign w:val="center"/>
          </w:tcPr>
          <w:p>
            <w:pP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企业基本账户开户许可证复印件</w:t>
            </w:r>
          </w:p>
        </w:tc>
      </w:tr>
    </w:tbl>
    <w:p>
      <w:pPr>
        <w:pStyle w:val="169"/>
        <w:spacing w:line="480" w:lineRule="exact"/>
        <w:rPr>
          <w:rFonts w:hint="eastAsia" w:ascii="宋体" w:hAnsi="宋体" w:eastAsia="宋体" w:cs="宋体"/>
          <w:color w:val="auto"/>
        </w:rPr>
        <w:sectPr>
          <w:headerReference r:id="rId10" w:type="default"/>
          <w:footerReference r:id="rId11" w:type="default"/>
          <w:pgSz w:w="11906" w:h="16838"/>
          <w:pgMar w:top="1417" w:right="1418" w:bottom="1417" w:left="1418" w:header="851" w:footer="850" w:gutter="0"/>
          <w:pgNumType w:fmt="decimal"/>
          <w:cols w:space="720" w:num="1"/>
          <w:docGrid w:type="lines" w:linePitch="312" w:charSpace="0"/>
        </w:sectPr>
      </w:pPr>
    </w:p>
    <w:p>
      <w:pPr>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6、供应商符合资格条件的证明文件</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w:t>
      </w:r>
    </w:p>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供应商基本情况表</w:t>
      </w:r>
    </w:p>
    <w:tbl>
      <w:tblPr>
        <w:tblStyle w:val="31"/>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549"/>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728" w:type="dxa"/>
            <w:noWrap w:val="0"/>
            <w:vAlign w:val="center"/>
          </w:tcPr>
          <w:p>
            <w:pPr>
              <w:pageBreakBefore w:val="0"/>
              <w:kinsoku/>
              <w:overflowPunct/>
              <w:topLinePunct w:val="0"/>
              <w:autoSpaceDE/>
              <w:autoSpaceDN/>
              <w:bidi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p>
        </w:tc>
        <w:tc>
          <w:tcPr>
            <w:tcW w:w="7668" w:type="dxa"/>
            <w:gridSpan w:val="5"/>
            <w:noWrap w:val="0"/>
            <w:vAlign w:val="center"/>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728" w:type="dxa"/>
            <w:noWrap w:val="0"/>
            <w:vAlign w:val="center"/>
          </w:tcPr>
          <w:p>
            <w:pPr>
              <w:pageBreakBefore w:val="0"/>
              <w:kinsoku/>
              <w:overflowPunct/>
              <w:topLinePunct w:val="0"/>
              <w:autoSpaceDE/>
              <w:autoSpaceDN/>
              <w:bidi w:val="0"/>
              <w:spacing w:line="360" w:lineRule="auto"/>
              <w:ind w:firstLine="240" w:firstLineChars="1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 址</w:t>
            </w:r>
          </w:p>
        </w:tc>
        <w:tc>
          <w:tcPr>
            <w:tcW w:w="7668" w:type="dxa"/>
            <w:gridSpan w:val="5"/>
            <w:noWrap w:val="0"/>
            <w:vAlign w:val="center"/>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28" w:type="dxa"/>
            <w:noWrap w:val="0"/>
            <w:vAlign w:val="center"/>
          </w:tcPr>
          <w:p>
            <w:pPr>
              <w:pageBreakBefore w:val="0"/>
              <w:kinsoku/>
              <w:overflowPunct/>
              <w:topLinePunct w:val="0"/>
              <w:autoSpaceDE/>
              <w:autoSpaceDN/>
              <w:bidi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主管部门</w:t>
            </w:r>
          </w:p>
        </w:tc>
        <w:tc>
          <w:tcPr>
            <w:tcW w:w="1380" w:type="dxa"/>
            <w:noWrap w:val="0"/>
            <w:vAlign w:val="center"/>
          </w:tcPr>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p>
        </w:tc>
        <w:tc>
          <w:tcPr>
            <w:tcW w:w="1549" w:type="dxa"/>
            <w:noWrap w:val="0"/>
            <w:vAlign w:val="center"/>
          </w:tcPr>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w:t>
            </w:r>
          </w:p>
        </w:tc>
        <w:tc>
          <w:tcPr>
            <w:tcW w:w="1549" w:type="dxa"/>
            <w:noWrap w:val="0"/>
            <w:vAlign w:val="center"/>
          </w:tcPr>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p>
        </w:tc>
        <w:tc>
          <w:tcPr>
            <w:tcW w:w="1583" w:type="dxa"/>
            <w:noWrap w:val="0"/>
            <w:vAlign w:val="center"/>
          </w:tcPr>
          <w:p>
            <w:pPr>
              <w:pageBreakBefore w:val="0"/>
              <w:kinsoku/>
              <w:overflowPunct/>
              <w:topLinePunct w:val="0"/>
              <w:autoSpaceDE/>
              <w:autoSpaceDN/>
              <w:bidi w:val="0"/>
              <w:spacing w:line="36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职 务</w:t>
            </w:r>
          </w:p>
        </w:tc>
        <w:tc>
          <w:tcPr>
            <w:tcW w:w="1607" w:type="dxa"/>
            <w:noWrap w:val="0"/>
            <w:vAlign w:val="top"/>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728" w:type="dxa"/>
            <w:noWrap w:val="0"/>
            <w:vAlign w:val="center"/>
          </w:tcPr>
          <w:p>
            <w:pPr>
              <w:pageBreakBefore w:val="0"/>
              <w:kinsoku/>
              <w:overflowPunct/>
              <w:topLinePunct w:val="0"/>
              <w:autoSpaceDE/>
              <w:autoSpaceDN/>
              <w:bidi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注册时间</w:t>
            </w:r>
          </w:p>
        </w:tc>
        <w:tc>
          <w:tcPr>
            <w:tcW w:w="2929" w:type="dxa"/>
            <w:gridSpan w:val="2"/>
            <w:noWrap w:val="0"/>
            <w:vAlign w:val="top"/>
          </w:tcPr>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p>
        </w:tc>
        <w:tc>
          <w:tcPr>
            <w:tcW w:w="1549" w:type="dxa"/>
            <w:noWrap w:val="0"/>
            <w:vAlign w:val="top"/>
          </w:tcPr>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经济类型</w:t>
            </w:r>
          </w:p>
        </w:tc>
        <w:tc>
          <w:tcPr>
            <w:tcW w:w="3190" w:type="dxa"/>
            <w:gridSpan w:val="2"/>
            <w:noWrap w:val="0"/>
            <w:vAlign w:val="top"/>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3"/>
            <w:noWrap w:val="0"/>
            <w:vAlign w:val="center"/>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营业执照号</w:t>
            </w:r>
          </w:p>
        </w:tc>
        <w:tc>
          <w:tcPr>
            <w:tcW w:w="4739" w:type="dxa"/>
            <w:gridSpan w:val="3"/>
            <w:noWrap w:val="0"/>
            <w:vAlign w:val="center"/>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noWrap w:val="0"/>
            <w:vAlign w:val="center"/>
          </w:tcPr>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是否依法缴纳</w:t>
            </w:r>
          </w:p>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税收</w:t>
            </w:r>
          </w:p>
        </w:tc>
        <w:tc>
          <w:tcPr>
            <w:tcW w:w="2929" w:type="dxa"/>
            <w:gridSpan w:val="2"/>
            <w:noWrap w:val="0"/>
            <w:vAlign w:val="top"/>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1549" w:type="dxa"/>
            <w:noWrap w:val="0"/>
            <w:vAlign w:val="top"/>
          </w:tcPr>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是否依法缴纳社会保障资金</w:t>
            </w:r>
          </w:p>
        </w:tc>
        <w:tc>
          <w:tcPr>
            <w:tcW w:w="3190" w:type="dxa"/>
            <w:gridSpan w:val="2"/>
            <w:noWrap w:val="0"/>
            <w:vAlign w:val="top"/>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728" w:type="dxa"/>
            <w:vMerge w:val="restart"/>
            <w:noWrap w:val="0"/>
            <w:vAlign w:val="top"/>
          </w:tcPr>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w:t>
            </w:r>
          </w:p>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位</w:t>
            </w:r>
          </w:p>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概</w:t>
            </w:r>
          </w:p>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况</w:t>
            </w:r>
          </w:p>
        </w:tc>
        <w:tc>
          <w:tcPr>
            <w:tcW w:w="1380" w:type="dxa"/>
            <w:noWrap w:val="0"/>
            <w:vAlign w:val="center"/>
          </w:tcPr>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注册资本</w:t>
            </w:r>
          </w:p>
        </w:tc>
        <w:tc>
          <w:tcPr>
            <w:tcW w:w="1549" w:type="dxa"/>
            <w:noWrap w:val="0"/>
            <w:vAlign w:val="top"/>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万元</w:t>
            </w:r>
          </w:p>
        </w:tc>
        <w:tc>
          <w:tcPr>
            <w:tcW w:w="1549" w:type="dxa"/>
            <w:noWrap w:val="0"/>
            <w:vAlign w:val="top"/>
          </w:tcPr>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占地面积</w:t>
            </w:r>
          </w:p>
        </w:tc>
        <w:tc>
          <w:tcPr>
            <w:tcW w:w="3190" w:type="dxa"/>
            <w:gridSpan w:val="2"/>
            <w:noWrap w:val="0"/>
            <w:vAlign w:val="top"/>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728" w:type="dxa"/>
            <w:vMerge w:val="continue"/>
            <w:noWrap w:val="0"/>
            <w:vAlign w:val="top"/>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1380" w:type="dxa"/>
            <w:noWrap w:val="0"/>
            <w:vAlign w:val="center"/>
          </w:tcPr>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职工总数</w:t>
            </w:r>
          </w:p>
        </w:tc>
        <w:tc>
          <w:tcPr>
            <w:tcW w:w="1549" w:type="dxa"/>
            <w:noWrap w:val="0"/>
            <w:vAlign w:val="top"/>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人</w:t>
            </w:r>
          </w:p>
        </w:tc>
        <w:tc>
          <w:tcPr>
            <w:tcW w:w="1549" w:type="dxa"/>
            <w:noWrap w:val="0"/>
            <w:vAlign w:val="top"/>
          </w:tcPr>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建筑面积</w:t>
            </w:r>
          </w:p>
        </w:tc>
        <w:tc>
          <w:tcPr>
            <w:tcW w:w="3190" w:type="dxa"/>
            <w:gridSpan w:val="2"/>
            <w:noWrap w:val="0"/>
            <w:vAlign w:val="top"/>
          </w:tcPr>
          <w:p>
            <w:pPr>
              <w:pageBreakBefore w:val="0"/>
              <w:kinsoku/>
              <w:overflowPunct/>
              <w:topLinePunct w:val="0"/>
              <w:autoSpaceDE/>
              <w:autoSpaceDN/>
              <w:bidi w:val="0"/>
              <w:spacing w:line="360" w:lineRule="auto"/>
              <w:ind w:firstLine="1800" w:firstLineChars="7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728" w:type="dxa"/>
            <w:vMerge w:val="continue"/>
            <w:noWrap w:val="0"/>
            <w:vAlign w:val="top"/>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1380" w:type="dxa"/>
            <w:vMerge w:val="restart"/>
            <w:noWrap w:val="0"/>
            <w:vAlign w:val="center"/>
          </w:tcPr>
          <w:p>
            <w:pPr>
              <w:pageBreakBefore w:val="0"/>
              <w:kinsoku/>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资产</w:t>
            </w:r>
          </w:p>
          <w:p>
            <w:pPr>
              <w:pageBreakBefore w:val="0"/>
              <w:kinsoku/>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情况</w:t>
            </w:r>
          </w:p>
        </w:tc>
        <w:tc>
          <w:tcPr>
            <w:tcW w:w="3098" w:type="dxa"/>
            <w:gridSpan w:val="2"/>
            <w:noWrap w:val="0"/>
            <w:vAlign w:val="center"/>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净资产：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万元</w:t>
            </w:r>
          </w:p>
        </w:tc>
        <w:tc>
          <w:tcPr>
            <w:tcW w:w="3190" w:type="dxa"/>
            <w:gridSpan w:val="2"/>
            <w:vMerge w:val="restart"/>
            <w:noWrap w:val="0"/>
            <w:vAlign w:val="top"/>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固定资产原值：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万元</w:t>
            </w:r>
          </w:p>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728" w:type="dxa"/>
            <w:vMerge w:val="continue"/>
            <w:noWrap w:val="0"/>
            <w:vAlign w:val="top"/>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1380" w:type="dxa"/>
            <w:vMerge w:val="continue"/>
            <w:noWrap w:val="0"/>
            <w:vAlign w:val="top"/>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3098" w:type="dxa"/>
            <w:gridSpan w:val="2"/>
            <w:noWrap w:val="0"/>
            <w:vAlign w:val="center"/>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负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债：         万元</w:t>
            </w:r>
          </w:p>
        </w:tc>
        <w:tc>
          <w:tcPr>
            <w:tcW w:w="3190" w:type="dxa"/>
            <w:gridSpan w:val="2"/>
            <w:vMerge w:val="continue"/>
            <w:noWrap w:val="0"/>
            <w:vAlign w:val="top"/>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noWrap w:val="0"/>
            <w:vAlign w:val="center"/>
          </w:tcPr>
          <w:p>
            <w:pPr>
              <w:pageBreakBefore w:val="0"/>
              <w:kinsoku/>
              <w:overflowPunct/>
              <w:topLinePunct w:val="0"/>
              <w:autoSpaceDE/>
              <w:autoSpaceDN/>
              <w:bidi w:val="0"/>
              <w:spacing w:line="360" w:lineRule="auto"/>
              <w:ind w:firstLine="120" w:firstLineChars="5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财务状况</w:t>
            </w:r>
          </w:p>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（近三年）</w:t>
            </w:r>
          </w:p>
        </w:tc>
        <w:tc>
          <w:tcPr>
            <w:tcW w:w="1380" w:type="dxa"/>
            <w:noWrap w:val="0"/>
            <w:vAlign w:val="top"/>
          </w:tcPr>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年份</w:t>
            </w:r>
          </w:p>
        </w:tc>
        <w:tc>
          <w:tcPr>
            <w:tcW w:w="1549" w:type="dxa"/>
            <w:noWrap w:val="0"/>
            <w:vAlign w:val="center"/>
          </w:tcPr>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主营收入</w:t>
            </w:r>
          </w:p>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（万元）</w:t>
            </w:r>
          </w:p>
        </w:tc>
        <w:tc>
          <w:tcPr>
            <w:tcW w:w="1549" w:type="dxa"/>
            <w:noWrap w:val="0"/>
            <w:vAlign w:val="center"/>
          </w:tcPr>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收入总额</w:t>
            </w:r>
          </w:p>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（万元）</w:t>
            </w:r>
          </w:p>
        </w:tc>
        <w:tc>
          <w:tcPr>
            <w:tcW w:w="1583" w:type="dxa"/>
            <w:noWrap w:val="0"/>
            <w:vAlign w:val="center"/>
          </w:tcPr>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利润总额</w:t>
            </w:r>
          </w:p>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（万元）</w:t>
            </w:r>
          </w:p>
        </w:tc>
        <w:tc>
          <w:tcPr>
            <w:tcW w:w="1607" w:type="dxa"/>
            <w:noWrap w:val="0"/>
            <w:vAlign w:val="center"/>
          </w:tcPr>
          <w:p>
            <w:pPr>
              <w:pageBreakBefore w:val="0"/>
              <w:kinsoku/>
              <w:overflowPunct/>
              <w:topLinePunct w:val="0"/>
              <w:autoSpaceDE/>
              <w:autoSpaceDN/>
              <w:bidi w:val="0"/>
              <w:spacing w:line="36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净利润</w:t>
            </w:r>
          </w:p>
          <w:p>
            <w:pPr>
              <w:pageBreakBefore w:val="0"/>
              <w:kinsoku/>
              <w:overflowPunct/>
              <w:topLinePunct w:val="0"/>
              <w:autoSpaceDE/>
              <w:autoSpaceDN/>
              <w:bidi w:val="0"/>
              <w:spacing w:line="36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noWrap w:val="0"/>
            <w:vAlign w:val="center"/>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1380" w:type="dxa"/>
            <w:noWrap w:val="0"/>
            <w:vAlign w:val="center"/>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1549" w:type="dxa"/>
            <w:noWrap w:val="0"/>
            <w:vAlign w:val="center"/>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1549" w:type="dxa"/>
            <w:noWrap w:val="0"/>
            <w:vAlign w:val="center"/>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1583" w:type="dxa"/>
            <w:noWrap w:val="0"/>
            <w:vAlign w:val="center"/>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1607" w:type="dxa"/>
            <w:noWrap w:val="0"/>
            <w:vAlign w:val="center"/>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noWrap w:val="0"/>
            <w:vAlign w:val="top"/>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1380" w:type="dxa"/>
            <w:noWrap w:val="0"/>
            <w:vAlign w:val="center"/>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1549" w:type="dxa"/>
            <w:noWrap w:val="0"/>
            <w:vAlign w:val="top"/>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1549" w:type="dxa"/>
            <w:noWrap w:val="0"/>
            <w:vAlign w:val="top"/>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1583" w:type="dxa"/>
            <w:noWrap w:val="0"/>
            <w:vAlign w:val="top"/>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1607" w:type="dxa"/>
            <w:noWrap w:val="0"/>
            <w:vAlign w:val="top"/>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noWrap w:val="0"/>
            <w:vAlign w:val="top"/>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1380" w:type="dxa"/>
            <w:noWrap w:val="0"/>
            <w:vAlign w:val="center"/>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1549" w:type="dxa"/>
            <w:noWrap w:val="0"/>
            <w:vAlign w:val="top"/>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1549" w:type="dxa"/>
            <w:noWrap w:val="0"/>
            <w:vAlign w:val="top"/>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1583" w:type="dxa"/>
            <w:noWrap w:val="0"/>
            <w:vAlign w:val="top"/>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1607" w:type="dxa"/>
            <w:noWrap w:val="0"/>
            <w:vAlign w:val="top"/>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noWrap w:val="0"/>
            <w:vAlign w:val="top"/>
          </w:tcPr>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经营范围</w:t>
            </w:r>
          </w:p>
        </w:tc>
        <w:tc>
          <w:tcPr>
            <w:tcW w:w="7668" w:type="dxa"/>
            <w:gridSpan w:val="5"/>
            <w:noWrap w:val="0"/>
            <w:vAlign w:val="center"/>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noWrap w:val="0"/>
            <w:vAlign w:val="top"/>
          </w:tcPr>
          <w:p>
            <w:pPr>
              <w:pageBreakBefore w:val="0"/>
              <w:kinsoku/>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c>
          <w:tcPr>
            <w:tcW w:w="7668" w:type="dxa"/>
            <w:gridSpan w:val="5"/>
            <w:noWrap w:val="0"/>
            <w:vAlign w:val="center"/>
          </w:tcPr>
          <w:p>
            <w:pPr>
              <w:pageBreakBefore w:val="0"/>
              <w:kinsoku/>
              <w:overflowPunct/>
              <w:topLinePunct w:val="0"/>
              <w:autoSpaceDE/>
              <w:autoSpaceDN/>
              <w:bidi w:val="0"/>
              <w:spacing w:line="360" w:lineRule="auto"/>
              <w:rPr>
                <w:rFonts w:hint="eastAsia" w:ascii="宋体" w:hAnsi="宋体" w:eastAsia="宋体" w:cs="宋体"/>
                <w:bCs/>
                <w:color w:val="auto"/>
                <w:sz w:val="24"/>
                <w:szCs w:val="24"/>
                <w:highlight w:val="none"/>
              </w:rPr>
            </w:pPr>
          </w:p>
        </w:tc>
      </w:tr>
    </w:tbl>
    <w:p>
      <w:pPr>
        <w:spacing w:line="500" w:lineRule="exact"/>
        <w:rPr>
          <w:rFonts w:hint="eastAsia" w:ascii="宋体" w:hAnsi="宋体" w:eastAsia="宋体" w:cs="宋体"/>
          <w:color w:val="auto"/>
          <w:sz w:val="24"/>
          <w:szCs w:val="24"/>
        </w:rPr>
      </w:pPr>
    </w:p>
    <w:p>
      <w:pPr>
        <w:spacing w:line="5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法人或者其他组织的营业执照副本复印件或自然人的身份证明复印件</w:t>
      </w:r>
      <w:r>
        <w:rPr>
          <w:rFonts w:hint="eastAsia" w:ascii="宋体" w:hAnsi="宋体" w:eastAsia="宋体" w:cs="宋体"/>
          <w:color w:val="auto"/>
          <w:sz w:val="24"/>
          <w:szCs w:val="24"/>
          <w:lang w:val="en-US" w:eastAsia="zh-CN"/>
        </w:rPr>
        <w:t>；</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w:t>
      </w:r>
      <w:r>
        <w:rPr>
          <w:rFonts w:hint="eastAsia" w:ascii="宋体" w:hAnsi="宋体" w:eastAsia="宋体" w:cs="宋体"/>
          <w:color w:val="auto"/>
          <w:sz w:val="24"/>
          <w:szCs w:val="24"/>
          <w:lang w:val="en-US" w:eastAsia="zh-CN"/>
        </w:rPr>
        <w:t>具有履行合同所必需的设备和专业技术能力(声明函格式自拟)即具有完成本项目采购能力</w:t>
      </w:r>
      <w:r>
        <w:rPr>
          <w:rFonts w:hint="eastAsia" w:ascii="宋体" w:hAnsi="宋体" w:eastAsia="宋体" w:cs="宋体"/>
          <w:color w:val="auto"/>
          <w:sz w:val="24"/>
          <w:szCs w:val="24"/>
        </w:rPr>
        <w:t>；</w:t>
      </w:r>
    </w:p>
    <w:p>
      <w:pPr>
        <w:spacing w:line="5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  具有依法缴纳税收和社会保障资金的良好记录（提供本单位近三个月内任意一个月的依法缴纳税收和社会保障资金的相关材料）</w:t>
      </w:r>
      <w:r>
        <w:rPr>
          <w:rFonts w:hint="eastAsia" w:ascii="宋体" w:hAnsi="宋体" w:eastAsia="宋体" w:cs="宋体"/>
          <w:color w:val="auto"/>
          <w:sz w:val="24"/>
          <w:szCs w:val="24"/>
        </w:rPr>
        <w:t>；</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－4　</w:t>
      </w:r>
      <w:r>
        <w:rPr>
          <w:rFonts w:hint="eastAsia" w:ascii="宋体" w:hAnsi="宋体" w:eastAsia="宋体" w:cs="宋体"/>
          <w:color w:val="auto"/>
          <w:sz w:val="24"/>
          <w:szCs w:val="24"/>
          <w:lang w:val="en-US" w:eastAsia="zh-CN"/>
        </w:rPr>
        <w:t>单位负责人为同一人或者存在直接控股、管理关系的不同供应商，不得参加同一合同项下的政府采购活动(提供声明函格式自拟)；</w:t>
      </w:r>
    </w:p>
    <w:p>
      <w:pPr>
        <w:spacing w:line="500" w:lineRule="exact"/>
        <w:rPr>
          <w:rFonts w:hint="eastAsia" w:ascii="宋体" w:hAnsi="宋体" w:eastAsia="宋体" w:cs="宋体"/>
          <w:color w:val="auto"/>
          <w:sz w:val="24"/>
          <w:szCs w:val="24"/>
        </w:rPr>
      </w:pPr>
    </w:p>
    <w:p>
      <w:pPr>
        <w:pStyle w:val="8"/>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8"/>
        <w:rPr>
          <w:rFonts w:hint="eastAsia" w:ascii="宋体" w:hAnsi="宋体" w:eastAsia="宋体" w:cs="宋体"/>
          <w:color w:val="auto"/>
          <w:sz w:val="24"/>
          <w:szCs w:val="24"/>
        </w:rPr>
      </w:pPr>
    </w:p>
    <w:p>
      <w:pPr>
        <w:rPr>
          <w:rFonts w:hint="eastAsia" w:ascii="宋体" w:hAnsi="宋体" w:eastAsia="宋体" w:cs="宋体"/>
          <w:color w:val="auto"/>
        </w:rPr>
      </w:pPr>
    </w:p>
    <w:p>
      <w:pPr>
        <w:spacing w:line="5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p>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参加政府采购活动前三年内在经营活动中</w:t>
      </w:r>
    </w:p>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没有重大违法记录的书面声明</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我单位在参加采购活动前三年内在经营活动中没有《政府采购法》第二十二条第一款第(五)项所称重大违法记录，包括：</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我单位或者其法定代表人、董事、监事、高级管理人员未因经营活动中的违法行为受到刑事处罚或者责令停产停业、吊销许可证或者执照、较大数额罚款等行政处罚。</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pPr>
        <w:spacing w:line="500" w:lineRule="exact"/>
        <w:rPr>
          <w:rFonts w:hint="eastAsia" w:ascii="宋体" w:hAnsi="宋体" w:eastAsia="宋体" w:cs="宋体"/>
          <w:color w:val="auto"/>
          <w:sz w:val="24"/>
          <w:szCs w:val="24"/>
        </w:rPr>
      </w:pP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供应商名称(公章)：____________</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法定代表人或其授权代表(签字或盖章)：____________</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日期：______年____月____日</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br w:type="page"/>
      </w: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6 </w:t>
      </w:r>
      <w:r>
        <w:rPr>
          <w:rFonts w:hint="eastAsia" w:ascii="宋体" w:hAnsi="宋体" w:eastAsia="宋体" w:cs="宋体"/>
          <w:color w:val="auto"/>
          <w:sz w:val="24"/>
          <w:szCs w:val="24"/>
        </w:rPr>
        <w:t>无不良信用记录承诺函</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致____________(采购人或采购代理机构)：</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本单位郑重承诺，我单位无以下不良信用记录情形：</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1.被人民法院列入失信被执行人；</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2.被税务部门列入</w:t>
      </w:r>
      <w:r>
        <w:rPr>
          <w:rFonts w:hint="eastAsia" w:ascii="宋体" w:hAnsi="宋体" w:eastAsia="宋体" w:cs="宋体"/>
          <w:color w:val="auto"/>
          <w:sz w:val="24"/>
          <w:szCs w:val="24"/>
          <w:lang w:eastAsia="zh-CN"/>
        </w:rPr>
        <w:t>重大税收违法失信主体名单</w:t>
      </w:r>
      <w:r>
        <w:rPr>
          <w:rFonts w:hint="eastAsia" w:ascii="宋体" w:hAnsi="宋体" w:eastAsia="宋体" w:cs="宋体"/>
          <w:color w:val="auto"/>
          <w:sz w:val="24"/>
          <w:szCs w:val="24"/>
        </w:rPr>
        <w:t>；</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3.被政府采购监管部门列入政府采购严重违法失信行为记录名单；</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4.不符合《政府采购法》第二十二条规定的条件。</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我单位已就上述不良信用行为按照招标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pPr>
        <w:spacing w:line="500" w:lineRule="exact"/>
        <w:rPr>
          <w:rFonts w:hint="eastAsia" w:ascii="宋体" w:hAnsi="宋体" w:eastAsia="宋体" w:cs="宋体"/>
          <w:color w:val="auto"/>
          <w:sz w:val="24"/>
          <w:szCs w:val="24"/>
        </w:rPr>
      </w:pP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供应商名称(公章)：____________</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法定代表人或其授权代表(签字或盖章)：____________</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日期：______年____月____日</w:t>
      </w:r>
    </w:p>
    <w:p>
      <w:pPr>
        <w:pStyle w:val="8"/>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  供应商参加政府采购活动前三年内，在经营活动中没有重大违法记录，在“信用中国”网站（www.creditchina.gov.cn）、中国政府采购网（www.ccgp.gov.cn）没有被列入失信被执行人、重大税收违法失信主体名单、政府采购严重违法失信行为记录名单及其他不符合规定条件。</w:t>
      </w:r>
      <w:r>
        <w:rPr>
          <w:rFonts w:hint="eastAsia" w:ascii="宋体" w:hAnsi="宋体" w:eastAsia="宋体" w:cs="宋体"/>
          <w:color w:val="auto"/>
          <w:lang w:eastAsia="zh-CN"/>
        </w:rPr>
        <w:t>（提供查询结果网页截图并加盖供应商公章）。</w:t>
      </w:r>
    </w:p>
    <w:p>
      <w:pPr>
        <w:spacing w:line="480" w:lineRule="exact"/>
        <w:rPr>
          <w:rFonts w:hint="eastAsia" w:ascii="宋体" w:hAnsi="宋体" w:eastAsia="宋体" w:cs="宋体"/>
          <w:color w:val="auto"/>
          <w:sz w:val="24"/>
          <w:szCs w:val="24"/>
        </w:rPr>
      </w:pPr>
    </w:p>
    <w:p>
      <w:pPr>
        <w:pStyle w:val="4"/>
        <w:spacing w:line="480" w:lineRule="exact"/>
        <w:rPr>
          <w:rFonts w:hint="eastAsia" w:ascii="宋体" w:hAnsi="宋体" w:eastAsia="宋体" w:cs="宋体"/>
          <w:color w:val="auto"/>
          <w:sz w:val="24"/>
          <w:szCs w:val="24"/>
        </w:rPr>
      </w:pPr>
      <w:bookmarkStart w:id="143" w:name="_Toc7879"/>
      <w:bookmarkStart w:id="144" w:name="_Toc496291398"/>
      <w:bookmarkStart w:id="145" w:name="_Toc14426"/>
      <w:bookmarkStart w:id="146" w:name="_Toc23753"/>
      <w:bookmarkStart w:id="147" w:name="_Toc497207629"/>
      <w:bookmarkStart w:id="148" w:name="_Toc15708"/>
      <w:bookmarkStart w:id="149" w:name="_Toc11002"/>
      <w:bookmarkStart w:id="150" w:name="_Toc497489357"/>
      <w:bookmarkStart w:id="151" w:name="_Toc498343985"/>
      <w:r>
        <w:rPr>
          <w:rFonts w:hint="eastAsia" w:ascii="宋体" w:hAnsi="宋体" w:eastAsia="宋体" w:cs="宋体"/>
          <w:color w:val="auto"/>
          <w:sz w:val="24"/>
          <w:szCs w:val="24"/>
        </w:rPr>
        <w:t>附件6-</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 xml:space="preserve"> 提供近三年度由第三方审计机构出具的审计报告</w:t>
      </w:r>
      <w:bookmarkEnd w:id="143"/>
      <w:r>
        <w:rPr>
          <w:rFonts w:hint="eastAsia" w:ascii="宋体" w:hAnsi="宋体" w:eastAsia="宋体" w:cs="宋体"/>
          <w:color w:val="auto"/>
          <w:sz w:val="24"/>
          <w:szCs w:val="24"/>
        </w:rPr>
        <w:t>相关印证资料</w:t>
      </w: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p>
      <w:pPr>
        <w:pStyle w:val="4"/>
        <w:spacing w:line="480" w:lineRule="exact"/>
        <w:outlineLvl w:val="9"/>
        <w:rPr>
          <w:rFonts w:hint="eastAsia" w:ascii="宋体" w:hAnsi="宋体" w:eastAsia="宋体" w:cs="宋体"/>
          <w:color w:val="auto"/>
          <w:sz w:val="24"/>
          <w:szCs w:val="24"/>
        </w:rPr>
      </w:pPr>
    </w:p>
    <w:bookmarkEnd w:id="144"/>
    <w:bookmarkEnd w:id="145"/>
    <w:bookmarkEnd w:id="146"/>
    <w:bookmarkEnd w:id="147"/>
    <w:bookmarkEnd w:id="148"/>
    <w:bookmarkEnd w:id="149"/>
    <w:bookmarkEnd w:id="150"/>
    <w:p>
      <w:pPr>
        <w:pStyle w:val="2"/>
        <w:numPr>
          <w:ilvl w:val="0"/>
          <w:numId w:val="0"/>
        </w:numPr>
        <w:rPr>
          <w:rFonts w:hint="eastAsia" w:ascii="宋体" w:hAnsi="宋体" w:eastAsia="宋体" w:cs="宋体"/>
          <w:color w:val="auto"/>
          <w:sz w:val="24"/>
          <w:szCs w:val="24"/>
        </w:rPr>
      </w:pPr>
      <w:r>
        <w:rPr>
          <w:rFonts w:hint="eastAsia" w:ascii="宋体" w:hAnsi="宋体" w:eastAsia="宋体" w:cs="宋体"/>
          <w:color w:val="auto"/>
          <w:sz w:val="24"/>
          <w:szCs w:val="24"/>
        </w:rPr>
        <w:t>附件6-</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声明函</w:t>
      </w:r>
    </w:p>
    <w:p>
      <w:pPr>
        <w:widowControl/>
        <w:spacing w:line="400" w:lineRule="exact"/>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中小企业声明函（服务）</w:t>
      </w:r>
    </w:p>
    <w:p>
      <w:pPr>
        <w:widowControl/>
        <w:spacing w:line="400" w:lineRule="exact"/>
        <w:jc w:val="center"/>
        <w:rPr>
          <w:rFonts w:hint="eastAsia" w:ascii="宋体" w:hAnsi="宋体" w:eastAsia="宋体" w:cs="宋体"/>
          <w:i w:val="0"/>
          <w:iCs w:val="0"/>
          <w:color w:val="auto"/>
          <w:sz w:val="24"/>
          <w:szCs w:val="24"/>
        </w:rPr>
      </w:pPr>
    </w:p>
    <w:p>
      <w:pPr>
        <w:spacing w:before="156" w:beforeLines="50" w:after="156" w:afterLines="50" w:line="300" w:lineRule="auto"/>
        <w:ind w:firstLine="480" w:firstLineChars="200"/>
        <w:rPr>
          <w:rFonts w:hint="eastAsia" w:ascii="宋体" w:hAnsi="宋体" w:eastAsia="宋体" w:cs="宋体"/>
          <w:bCs/>
          <w:i w:val="0"/>
          <w:iCs w:val="0"/>
          <w:color w:val="auto"/>
          <w:sz w:val="24"/>
          <w:szCs w:val="24"/>
        </w:rPr>
      </w:pPr>
      <w:r>
        <w:rPr>
          <w:rFonts w:hint="eastAsia" w:ascii="宋体" w:hAnsi="宋体" w:eastAsia="宋体" w:cs="宋体"/>
          <w:bCs/>
          <w:i w:val="0"/>
          <w:iCs w:val="0"/>
          <w:color w:val="auto"/>
          <w:sz w:val="24"/>
          <w:szCs w:val="24"/>
        </w:rPr>
        <w:t>本公司（联合体）郑重声明，根据《政府采购促进中小企业发展管理办法》（财库﹝2020﹞46 号）的规定，本公司（联合体）参加（</w:t>
      </w:r>
      <w:r>
        <w:rPr>
          <w:rFonts w:hint="eastAsia" w:ascii="宋体" w:hAnsi="宋体" w:eastAsia="宋体" w:cs="宋体"/>
          <w:bCs/>
          <w:i w:val="0"/>
          <w:iCs w:val="0"/>
          <w:color w:val="auto"/>
          <w:sz w:val="24"/>
          <w:szCs w:val="24"/>
          <w:u w:val="single"/>
        </w:rPr>
        <w:t>单位名称</w:t>
      </w:r>
      <w:r>
        <w:rPr>
          <w:rFonts w:hint="eastAsia" w:ascii="宋体" w:hAnsi="宋体" w:eastAsia="宋体" w:cs="宋体"/>
          <w:bCs/>
          <w:i w:val="0"/>
          <w:iCs w:val="0"/>
          <w:color w:val="auto"/>
          <w:sz w:val="24"/>
          <w:szCs w:val="24"/>
        </w:rPr>
        <w:t>）的（</w:t>
      </w:r>
      <w:r>
        <w:rPr>
          <w:rFonts w:hint="eastAsia" w:ascii="宋体" w:hAnsi="宋体" w:eastAsia="宋体" w:cs="宋体"/>
          <w:bCs/>
          <w:i w:val="0"/>
          <w:iCs w:val="0"/>
          <w:color w:val="auto"/>
          <w:sz w:val="24"/>
          <w:szCs w:val="24"/>
          <w:u w:val="single"/>
        </w:rPr>
        <w:t>项目名称</w:t>
      </w:r>
      <w:r>
        <w:rPr>
          <w:rFonts w:hint="eastAsia" w:ascii="宋体" w:hAnsi="宋体" w:eastAsia="宋体" w:cs="宋体"/>
          <w:bCs/>
          <w:i w:val="0"/>
          <w:iCs w:val="0"/>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before="156" w:beforeLines="50" w:after="156" w:afterLines="50" w:line="300" w:lineRule="auto"/>
        <w:ind w:firstLine="480" w:firstLineChars="200"/>
        <w:rPr>
          <w:rFonts w:hint="eastAsia" w:ascii="宋体" w:hAnsi="宋体" w:eastAsia="宋体" w:cs="宋体"/>
          <w:bCs/>
          <w:i w:val="0"/>
          <w:iCs w:val="0"/>
          <w:color w:val="auto"/>
          <w:sz w:val="24"/>
          <w:szCs w:val="24"/>
        </w:rPr>
      </w:pPr>
      <w:r>
        <w:rPr>
          <w:rFonts w:hint="eastAsia" w:ascii="宋体" w:hAnsi="宋体" w:eastAsia="宋体" w:cs="宋体"/>
          <w:bCs/>
          <w:i w:val="0"/>
          <w:iCs w:val="0"/>
          <w:color w:val="auto"/>
          <w:sz w:val="24"/>
          <w:szCs w:val="24"/>
        </w:rPr>
        <w:t>1. （</w:t>
      </w:r>
      <w:r>
        <w:rPr>
          <w:rFonts w:hint="eastAsia" w:ascii="宋体" w:hAnsi="宋体" w:eastAsia="宋体" w:cs="宋体"/>
          <w:bCs/>
          <w:i w:val="0"/>
          <w:iCs w:val="0"/>
          <w:color w:val="auto"/>
          <w:sz w:val="24"/>
          <w:szCs w:val="24"/>
          <w:u w:val="single"/>
        </w:rPr>
        <w:t>标的名称</w:t>
      </w:r>
      <w:r>
        <w:rPr>
          <w:rFonts w:hint="eastAsia" w:ascii="宋体" w:hAnsi="宋体" w:eastAsia="宋体" w:cs="宋体"/>
          <w:bCs/>
          <w:i w:val="0"/>
          <w:iCs w:val="0"/>
          <w:color w:val="auto"/>
          <w:sz w:val="24"/>
          <w:szCs w:val="24"/>
        </w:rPr>
        <w:t>） ，属于（</w:t>
      </w:r>
      <w:r>
        <w:rPr>
          <w:rFonts w:hint="eastAsia" w:ascii="宋体" w:hAnsi="宋体" w:eastAsia="宋体" w:cs="宋体"/>
          <w:bCs/>
          <w:i w:val="0"/>
          <w:iCs w:val="0"/>
          <w:color w:val="auto"/>
          <w:sz w:val="24"/>
          <w:szCs w:val="24"/>
          <w:u w:val="single"/>
        </w:rPr>
        <w:t>采购文件中明确的所属行业</w:t>
      </w:r>
      <w:r>
        <w:rPr>
          <w:rFonts w:hint="eastAsia" w:ascii="宋体" w:hAnsi="宋体" w:eastAsia="宋体" w:cs="宋体"/>
          <w:bCs/>
          <w:i w:val="0"/>
          <w:iCs w:val="0"/>
          <w:color w:val="auto"/>
          <w:sz w:val="24"/>
          <w:szCs w:val="24"/>
        </w:rPr>
        <w:t>）；承建（承接）企业为（</w:t>
      </w:r>
      <w:r>
        <w:rPr>
          <w:rFonts w:hint="eastAsia" w:ascii="宋体" w:hAnsi="宋体" w:eastAsia="宋体" w:cs="宋体"/>
          <w:bCs/>
          <w:i w:val="0"/>
          <w:iCs w:val="0"/>
          <w:color w:val="auto"/>
          <w:sz w:val="24"/>
          <w:szCs w:val="24"/>
          <w:u w:val="single"/>
        </w:rPr>
        <w:t>企业名称</w:t>
      </w:r>
      <w:r>
        <w:rPr>
          <w:rFonts w:hint="eastAsia" w:ascii="宋体" w:hAnsi="宋体" w:eastAsia="宋体" w:cs="宋体"/>
          <w:bCs/>
          <w:i w:val="0"/>
          <w:iCs w:val="0"/>
          <w:color w:val="auto"/>
          <w:sz w:val="24"/>
          <w:szCs w:val="24"/>
        </w:rPr>
        <w:t>），从业人员</w:t>
      </w:r>
      <w:r>
        <w:rPr>
          <w:rFonts w:hint="eastAsia" w:ascii="宋体" w:hAnsi="宋体" w:eastAsia="宋体" w:cs="宋体"/>
          <w:bCs/>
          <w:i w:val="0"/>
          <w:iCs w:val="0"/>
          <w:color w:val="auto"/>
          <w:sz w:val="24"/>
          <w:szCs w:val="24"/>
          <w:u w:val="single"/>
        </w:rPr>
        <w:t xml:space="preserve">     </w:t>
      </w:r>
      <w:r>
        <w:rPr>
          <w:rFonts w:hint="eastAsia" w:ascii="宋体" w:hAnsi="宋体" w:eastAsia="宋体" w:cs="宋体"/>
          <w:bCs/>
          <w:i w:val="0"/>
          <w:iCs w:val="0"/>
          <w:color w:val="auto"/>
          <w:sz w:val="24"/>
          <w:szCs w:val="24"/>
        </w:rPr>
        <w:t>人，营业收入为</w:t>
      </w:r>
      <w:r>
        <w:rPr>
          <w:rFonts w:hint="eastAsia" w:ascii="宋体" w:hAnsi="宋体" w:eastAsia="宋体" w:cs="宋体"/>
          <w:bCs/>
          <w:i w:val="0"/>
          <w:iCs w:val="0"/>
          <w:color w:val="auto"/>
          <w:sz w:val="24"/>
          <w:szCs w:val="24"/>
          <w:u w:val="single"/>
        </w:rPr>
        <w:t xml:space="preserve">     </w:t>
      </w:r>
      <w:r>
        <w:rPr>
          <w:rFonts w:hint="eastAsia" w:ascii="宋体" w:hAnsi="宋体" w:eastAsia="宋体" w:cs="宋体"/>
          <w:bCs/>
          <w:i w:val="0"/>
          <w:iCs w:val="0"/>
          <w:color w:val="auto"/>
          <w:sz w:val="24"/>
          <w:szCs w:val="24"/>
        </w:rPr>
        <w:t>万元，资产总额为</w:t>
      </w:r>
      <w:r>
        <w:rPr>
          <w:rFonts w:hint="eastAsia" w:ascii="宋体" w:hAnsi="宋体" w:eastAsia="宋体" w:cs="宋体"/>
          <w:bCs/>
          <w:i w:val="0"/>
          <w:iCs w:val="0"/>
          <w:color w:val="auto"/>
          <w:sz w:val="24"/>
          <w:szCs w:val="24"/>
          <w:u w:val="single"/>
        </w:rPr>
        <w:t xml:space="preserve">     </w:t>
      </w:r>
      <w:r>
        <w:rPr>
          <w:rFonts w:hint="eastAsia" w:ascii="宋体" w:hAnsi="宋体" w:eastAsia="宋体" w:cs="宋体"/>
          <w:bCs/>
          <w:i w:val="0"/>
          <w:iCs w:val="0"/>
          <w:color w:val="auto"/>
          <w:sz w:val="24"/>
          <w:szCs w:val="24"/>
        </w:rPr>
        <w:t>万元，属于（</w:t>
      </w:r>
      <w:r>
        <w:rPr>
          <w:rFonts w:hint="eastAsia" w:ascii="宋体" w:hAnsi="宋体" w:eastAsia="宋体" w:cs="宋体"/>
          <w:bCs/>
          <w:i w:val="0"/>
          <w:iCs w:val="0"/>
          <w:color w:val="auto"/>
          <w:sz w:val="24"/>
          <w:szCs w:val="24"/>
          <w:u w:val="single"/>
        </w:rPr>
        <w:t>中型企业、小型企业、微型企业</w:t>
      </w:r>
      <w:r>
        <w:rPr>
          <w:rFonts w:hint="eastAsia" w:ascii="宋体" w:hAnsi="宋体" w:eastAsia="宋体" w:cs="宋体"/>
          <w:bCs/>
          <w:i w:val="0"/>
          <w:iCs w:val="0"/>
          <w:color w:val="auto"/>
          <w:sz w:val="24"/>
          <w:szCs w:val="24"/>
        </w:rPr>
        <w:t>）；</w:t>
      </w:r>
    </w:p>
    <w:p>
      <w:pPr>
        <w:spacing w:before="156" w:beforeLines="50" w:after="156" w:afterLines="50" w:line="300" w:lineRule="auto"/>
        <w:ind w:firstLine="480" w:firstLineChars="200"/>
        <w:rPr>
          <w:rFonts w:hint="eastAsia" w:ascii="宋体" w:hAnsi="宋体" w:eastAsia="宋体" w:cs="宋体"/>
          <w:bCs/>
          <w:i w:val="0"/>
          <w:iCs w:val="0"/>
          <w:color w:val="auto"/>
          <w:sz w:val="24"/>
          <w:szCs w:val="24"/>
        </w:rPr>
      </w:pPr>
      <w:r>
        <w:rPr>
          <w:rFonts w:hint="eastAsia" w:ascii="宋体" w:hAnsi="宋体" w:eastAsia="宋体" w:cs="宋体"/>
          <w:bCs/>
          <w:i w:val="0"/>
          <w:iCs w:val="0"/>
          <w:color w:val="auto"/>
          <w:sz w:val="24"/>
          <w:szCs w:val="24"/>
        </w:rPr>
        <w:t>2. （</w:t>
      </w:r>
      <w:r>
        <w:rPr>
          <w:rFonts w:hint="eastAsia" w:ascii="宋体" w:hAnsi="宋体" w:eastAsia="宋体" w:cs="宋体"/>
          <w:bCs/>
          <w:i w:val="0"/>
          <w:iCs w:val="0"/>
          <w:color w:val="auto"/>
          <w:sz w:val="24"/>
          <w:szCs w:val="24"/>
          <w:u w:val="single"/>
        </w:rPr>
        <w:t>标的名称</w:t>
      </w:r>
      <w:r>
        <w:rPr>
          <w:rFonts w:hint="eastAsia" w:ascii="宋体" w:hAnsi="宋体" w:eastAsia="宋体" w:cs="宋体"/>
          <w:bCs/>
          <w:i w:val="0"/>
          <w:iCs w:val="0"/>
          <w:color w:val="auto"/>
          <w:sz w:val="24"/>
          <w:szCs w:val="24"/>
        </w:rPr>
        <w:t>） ，属于（</w:t>
      </w:r>
      <w:r>
        <w:rPr>
          <w:rFonts w:hint="eastAsia" w:ascii="宋体" w:hAnsi="宋体" w:eastAsia="宋体" w:cs="宋体"/>
          <w:bCs/>
          <w:i w:val="0"/>
          <w:iCs w:val="0"/>
          <w:color w:val="auto"/>
          <w:sz w:val="24"/>
          <w:szCs w:val="24"/>
          <w:u w:val="single"/>
        </w:rPr>
        <w:t>采购文件中明确的所属行业</w:t>
      </w:r>
      <w:r>
        <w:rPr>
          <w:rFonts w:hint="eastAsia" w:ascii="宋体" w:hAnsi="宋体" w:eastAsia="宋体" w:cs="宋体"/>
          <w:bCs/>
          <w:i w:val="0"/>
          <w:iCs w:val="0"/>
          <w:color w:val="auto"/>
          <w:sz w:val="24"/>
          <w:szCs w:val="24"/>
        </w:rPr>
        <w:t>）；承建（承接）企业为（</w:t>
      </w:r>
      <w:r>
        <w:rPr>
          <w:rFonts w:hint="eastAsia" w:ascii="宋体" w:hAnsi="宋体" w:eastAsia="宋体" w:cs="宋体"/>
          <w:bCs/>
          <w:i w:val="0"/>
          <w:iCs w:val="0"/>
          <w:color w:val="auto"/>
          <w:sz w:val="24"/>
          <w:szCs w:val="24"/>
          <w:u w:val="single"/>
        </w:rPr>
        <w:t>企业名称</w:t>
      </w:r>
      <w:r>
        <w:rPr>
          <w:rFonts w:hint="eastAsia" w:ascii="宋体" w:hAnsi="宋体" w:eastAsia="宋体" w:cs="宋体"/>
          <w:bCs/>
          <w:i w:val="0"/>
          <w:iCs w:val="0"/>
          <w:color w:val="auto"/>
          <w:sz w:val="24"/>
          <w:szCs w:val="24"/>
        </w:rPr>
        <w:t>），从业人员</w:t>
      </w:r>
      <w:r>
        <w:rPr>
          <w:rFonts w:hint="eastAsia" w:ascii="宋体" w:hAnsi="宋体" w:eastAsia="宋体" w:cs="宋体"/>
          <w:bCs/>
          <w:i w:val="0"/>
          <w:iCs w:val="0"/>
          <w:color w:val="auto"/>
          <w:sz w:val="24"/>
          <w:szCs w:val="24"/>
          <w:u w:val="single"/>
        </w:rPr>
        <w:t xml:space="preserve">     </w:t>
      </w:r>
      <w:r>
        <w:rPr>
          <w:rFonts w:hint="eastAsia" w:ascii="宋体" w:hAnsi="宋体" w:eastAsia="宋体" w:cs="宋体"/>
          <w:bCs/>
          <w:i w:val="0"/>
          <w:iCs w:val="0"/>
          <w:color w:val="auto"/>
          <w:sz w:val="24"/>
          <w:szCs w:val="24"/>
        </w:rPr>
        <w:t>人，营业收入为</w:t>
      </w:r>
      <w:r>
        <w:rPr>
          <w:rFonts w:hint="eastAsia" w:ascii="宋体" w:hAnsi="宋体" w:eastAsia="宋体" w:cs="宋体"/>
          <w:bCs/>
          <w:i w:val="0"/>
          <w:iCs w:val="0"/>
          <w:color w:val="auto"/>
          <w:sz w:val="24"/>
          <w:szCs w:val="24"/>
          <w:u w:val="single"/>
        </w:rPr>
        <w:t xml:space="preserve">     </w:t>
      </w:r>
      <w:r>
        <w:rPr>
          <w:rFonts w:hint="eastAsia" w:ascii="宋体" w:hAnsi="宋体" w:eastAsia="宋体" w:cs="宋体"/>
          <w:bCs/>
          <w:i w:val="0"/>
          <w:iCs w:val="0"/>
          <w:color w:val="auto"/>
          <w:sz w:val="24"/>
          <w:szCs w:val="24"/>
        </w:rPr>
        <w:t>万元，资产总额为</w:t>
      </w:r>
      <w:r>
        <w:rPr>
          <w:rFonts w:hint="eastAsia" w:ascii="宋体" w:hAnsi="宋体" w:eastAsia="宋体" w:cs="宋体"/>
          <w:bCs/>
          <w:i w:val="0"/>
          <w:iCs w:val="0"/>
          <w:color w:val="auto"/>
          <w:sz w:val="24"/>
          <w:szCs w:val="24"/>
          <w:u w:val="single"/>
        </w:rPr>
        <w:t xml:space="preserve">     </w:t>
      </w:r>
      <w:r>
        <w:rPr>
          <w:rFonts w:hint="eastAsia" w:ascii="宋体" w:hAnsi="宋体" w:eastAsia="宋体" w:cs="宋体"/>
          <w:bCs/>
          <w:i w:val="0"/>
          <w:iCs w:val="0"/>
          <w:color w:val="auto"/>
          <w:sz w:val="24"/>
          <w:szCs w:val="24"/>
        </w:rPr>
        <w:t>万元，属于（</w:t>
      </w:r>
      <w:r>
        <w:rPr>
          <w:rFonts w:hint="eastAsia" w:ascii="宋体" w:hAnsi="宋体" w:eastAsia="宋体" w:cs="宋体"/>
          <w:bCs/>
          <w:i w:val="0"/>
          <w:iCs w:val="0"/>
          <w:color w:val="auto"/>
          <w:sz w:val="24"/>
          <w:szCs w:val="24"/>
          <w:u w:val="single"/>
        </w:rPr>
        <w:t>中型企业、小型企业、微型企业</w:t>
      </w:r>
      <w:r>
        <w:rPr>
          <w:rFonts w:hint="eastAsia" w:ascii="宋体" w:hAnsi="宋体" w:eastAsia="宋体" w:cs="宋体"/>
          <w:bCs/>
          <w:i w:val="0"/>
          <w:iCs w:val="0"/>
          <w:color w:val="auto"/>
          <w:sz w:val="24"/>
          <w:szCs w:val="24"/>
        </w:rPr>
        <w:t>）；</w:t>
      </w:r>
    </w:p>
    <w:p>
      <w:pPr>
        <w:spacing w:before="156" w:beforeLines="50" w:after="156" w:afterLines="50" w:line="300" w:lineRule="auto"/>
        <w:rPr>
          <w:rFonts w:hint="eastAsia" w:ascii="宋体" w:hAnsi="宋体" w:eastAsia="宋体" w:cs="宋体"/>
          <w:bCs/>
          <w:i w:val="0"/>
          <w:iCs w:val="0"/>
          <w:color w:val="auto"/>
          <w:sz w:val="24"/>
          <w:szCs w:val="24"/>
        </w:rPr>
      </w:pPr>
      <w:r>
        <w:rPr>
          <w:rFonts w:hint="eastAsia" w:ascii="宋体" w:hAnsi="宋体" w:eastAsia="宋体" w:cs="宋体"/>
          <w:bCs/>
          <w:i w:val="0"/>
          <w:iCs w:val="0"/>
          <w:color w:val="auto"/>
          <w:sz w:val="24"/>
          <w:szCs w:val="24"/>
        </w:rPr>
        <w:t>……</w:t>
      </w:r>
    </w:p>
    <w:p>
      <w:pPr>
        <w:spacing w:before="156" w:beforeLines="50" w:after="156" w:afterLines="50" w:line="300" w:lineRule="auto"/>
        <w:ind w:firstLine="480" w:firstLineChars="200"/>
        <w:rPr>
          <w:rFonts w:hint="eastAsia" w:ascii="宋体" w:hAnsi="宋体" w:eastAsia="宋体" w:cs="宋体"/>
          <w:bCs/>
          <w:i w:val="0"/>
          <w:iCs w:val="0"/>
          <w:color w:val="auto"/>
          <w:sz w:val="24"/>
          <w:szCs w:val="24"/>
        </w:rPr>
      </w:pPr>
      <w:r>
        <w:rPr>
          <w:rFonts w:hint="eastAsia" w:ascii="宋体" w:hAnsi="宋体" w:eastAsia="宋体" w:cs="宋体"/>
          <w:bCs/>
          <w:i w:val="0"/>
          <w:iCs w:val="0"/>
          <w:color w:val="auto"/>
          <w:sz w:val="24"/>
          <w:szCs w:val="24"/>
        </w:rPr>
        <w:t>以上企业，不属于大企业的分支机构，不存在控股股东为大企业的情形，也不存在与大企业的负责人为同一人的情形。</w:t>
      </w:r>
    </w:p>
    <w:p>
      <w:pPr>
        <w:spacing w:before="156" w:beforeLines="50" w:after="156" w:afterLines="50" w:line="300" w:lineRule="auto"/>
        <w:ind w:firstLine="480" w:firstLineChars="200"/>
        <w:rPr>
          <w:rFonts w:hint="eastAsia" w:ascii="宋体" w:hAnsi="宋体" w:eastAsia="宋体" w:cs="宋体"/>
          <w:bCs/>
          <w:i w:val="0"/>
          <w:iCs w:val="0"/>
          <w:color w:val="auto"/>
          <w:sz w:val="24"/>
          <w:szCs w:val="24"/>
        </w:rPr>
      </w:pPr>
      <w:r>
        <w:rPr>
          <w:rFonts w:hint="eastAsia" w:ascii="宋体" w:hAnsi="宋体" w:eastAsia="宋体" w:cs="宋体"/>
          <w:bCs/>
          <w:i w:val="0"/>
          <w:iCs w:val="0"/>
          <w:color w:val="auto"/>
          <w:sz w:val="24"/>
          <w:szCs w:val="24"/>
        </w:rPr>
        <w:t>本企业对上述声明内容的真实性负责。如有虚假，将依法承担相应责任。</w:t>
      </w:r>
    </w:p>
    <w:p>
      <w:pPr>
        <w:spacing w:before="156" w:beforeLines="50" w:after="156" w:afterLines="50" w:line="300" w:lineRule="auto"/>
        <w:rPr>
          <w:rFonts w:hint="eastAsia" w:ascii="宋体" w:hAnsi="宋体" w:eastAsia="宋体" w:cs="宋体"/>
          <w:bCs/>
          <w:i w:val="0"/>
          <w:iCs w:val="0"/>
          <w:color w:val="auto"/>
          <w:sz w:val="24"/>
          <w:szCs w:val="24"/>
        </w:rPr>
      </w:pP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供应商名称(公章)：____________</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日期：______年____月____日</w:t>
      </w:r>
    </w:p>
    <w:p>
      <w:pPr>
        <w:pStyle w:val="10"/>
        <w:ind w:left="0"/>
        <w:rPr>
          <w:rFonts w:hint="eastAsia" w:ascii="宋体" w:hAnsi="宋体" w:eastAsia="宋体" w:cs="宋体"/>
          <w:i w:val="0"/>
          <w:iCs w:val="0"/>
          <w:color w:val="auto"/>
          <w:sz w:val="24"/>
          <w:szCs w:val="24"/>
        </w:rPr>
      </w:pPr>
    </w:p>
    <w:p>
      <w:pPr>
        <w:rPr>
          <w:rFonts w:hint="eastAsia" w:ascii="宋体" w:hAnsi="宋体" w:eastAsia="宋体" w:cs="宋体"/>
          <w:i w:val="0"/>
          <w:iCs w:val="0"/>
          <w:color w:val="auto"/>
          <w:sz w:val="24"/>
          <w:szCs w:val="24"/>
        </w:rPr>
      </w:pPr>
    </w:p>
    <w:p>
      <w:pPr>
        <w:widowControl/>
        <w:spacing w:line="400" w:lineRule="exact"/>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备注：1、从业人员、营业收入、资产总额填报上一年度数据，无上一年度数据的新成立企业可不填报。</w:t>
      </w:r>
    </w:p>
    <w:p>
      <w:pPr>
        <w:widowControl/>
        <w:spacing w:line="400" w:lineRule="exact"/>
        <w:ind w:firstLine="723" w:firstLineChars="300"/>
        <w:rPr>
          <w:rFonts w:hint="eastAsia" w:ascii="宋体" w:hAnsi="宋体" w:eastAsia="宋体" w:cs="宋体"/>
          <w:b/>
          <w:bCs/>
          <w:color w:val="auto"/>
          <w:sz w:val="18"/>
          <w:szCs w:val="22"/>
        </w:rPr>
      </w:pPr>
      <w:r>
        <w:rPr>
          <w:rFonts w:hint="eastAsia" w:ascii="宋体" w:hAnsi="宋体" w:eastAsia="宋体" w:cs="宋体"/>
          <w:b/>
          <w:bCs/>
          <w:i w:val="0"/>
          <w:iCs w:val="0"/>
          <w:color w:val="auto"/>
          <w:sz w:val="24"/>
          <w:szCs w:val="24"/>
        </w:rPr>
        <w:t>2、投标人为中小企业时需提供本声明函，并完整填写从业人员、营业收入、资产总额等内容，否则评审时不</w:t>
      </w:r>
      <w:r>
        <w:rPr>
          <w:rFonts w:hint="eastAsia" w:ascii="宋体" w:hAnsi="宋体" w:eastAsia="宋体" w:cs="宋体"/>
          <w:b/>
          <w:bCs/>
          <w:color w:val="auto"/>
          <w:sz w:val="18"/>
          <w:szCs w:val="22"/>
        </w:rPr>
        <w:t>能享受相应的价格扣除。</w:t>
      </w:r>
    </w:p>
    <w:p>
      <w:pPr>
        <w:pStyle w:val="8"/>
        <w:rPr>
          <w:rFonts w:hint="eastAsia" w:ascii="宋体" w:hAnsi="宋体" w:eastAsia="宋体" w:cs="宋体"/>
          <w:color w:val="auto"/>
          <w:sz w:val="24"/>
          <w:szCs w:val="24"/>
        </w:rPr>
      </w:pPr>
    </w:p>
    <w:p>
      <w:pPr>
        <w:rPr>
          <w:rFonts w:hint="eastAsia" w:ascii="宋体" w:hAnsi="宋体" w:eastAsia="宋体" w:cs="宋体"/>
          <w:color w:val="auto"/>
        </w:rPr>
      </w:pPr>
    </w:p>
    <w:p>
      <w:pPr>
        <w:pStyle w:val="2"/>
        <w:keepNext w:val="0"/>
        <w:keepLines w:val="0"/>
        <w:widowControl w:val="0"/>
        <w:numPr>
          <w:ilvl w:val="0"/>
          <w:numId w:val="0"/>
        </w:numPr>
        <w:shd w:val="clear" w:color="auto" w:fill="auto"/>
        <w:bidi w:val="0"/>
        <w:spacing w:before="0" w:after="0" w:line="240" w:lineRule="auto"/>
        <w:ind w:right="0" w:rightChars="0"/>
        <w:jc w:val="left"/>
        <w:rPr>
          <w:rFonts w:hint="eastAsia" w:ascii="宋体" w:hAnsi="宋体" w:eastAsia="宋体" w:cs="宋体"/>
          <w:color w:val="auto"/>
          <w:sz w:val="24"/>
          <w:szCs w:val="24"/>
        </w:rPr>
      </w:pPr>
    </w:p>
    <w:p>
      <w:pPr>
        <w:pStyle w:val="2"/>
        <w:keepNext w:val="0"/>
        <w:keepLines w:val="0"/>
        <w:widowControl w:val="0"/>
        <w:numPr>
          <w:ilvl w:val="0"/>
          <w:numId w:val="0"/>
        </w:numPr>
        <w:shd w:val="clear" w:color="auto" w:fill="auto"/>
        <w:bidi w:val="0"/>
        <w:spacing w:before="0" w:after="0" w:line="240" w:lineRule="auto"/>
        <w:ind w:right="0" w:rightChars="0"/>
        <w:jc w:val="left"/>
        <w:rPr>
          <w:rFonts w:hint="eastAsia" w:ascii="宋体" w:hAnsi="宋体" w:eastAsia="宋体" w:cs="宋体"/>
          <w:color w:val="auto"/>
          <w:sz w:val="24"/>
          <w:szCs w:val="24"/>
        </w:rPr>
      </w:pPr>
    </w:p>
    <w:p>
      <w:pPr>
        <w:spacing w:line="500" w:lineRule="exact"/>
        <w:rPr>
          <w:rFonts w:hint="eastAsia" w:ascii="宋体" w:hAnsi="宋体" w:eastAsia="宋体" w:cs="宋体"/>
          <w:color w:val="auto"/>
          <w:sz w:val="24"/>
          <w:szCs w:val="24"/>
        </w:rPr>
      </w:pP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监狱企业声明函</w:t>
      </w:r>
    </w:p>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（监狱企业适用）</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本公司郑重声明，根据《关于政府采购支持监狱企业发展有关问题的通知》（财库[2014]68号）的规定，本公司为监狱企业。</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本公司参加______单位的______项目采购活动，采购活动提供本企业（填写制造的货物，由本企业承担工程、提供服务）。</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本条所称货物不包括使用大型企业注册商标的货物和服务。</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本公司对上述声明的真实性负责。如有虚假，将依法承担相应责任。</w:t>
      </w:r>
    </w:p>
    <w:p>
      <w:pPr>
        <w:spacing w:line="500" w:lineRule="exact"/>
        <w:ind w:firstLine="4320" w:firstLineChars="18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名称</w:t>
      </w:r>
      <w:r>
        <w:rPr>
          <w:rFonts w:hint="eastAsia" w:ascii="宋体" w:hAnsi="宋体" w:eastAsia="宋体" w:cs="宋体"/>
          <w:color w:val="auto"/>
          <w:sz w:val="24"/>
          <w:szCs w:val="24"/>
        </w:rPr>
        <w:t>（公章）：</w:t>
      </w:r>
    </w:p>
    <w:p>
      <w:pPr>
        <w:spacing w:line="500" w:lineRule="exact"/>
        <w:ind w:firstLine="3840" w:firstLineChars="1600"/>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投标日期：   年   月   日 </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注：后附监狱企业资格证明文件</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1.省级以上监狱管理局、戒毒管理局出具的属于监狱企业的证明文件；</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2.证明材料加盖供应商公章。</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（若响应性文件中无上述证明文件，则在评审时不考虑对该监狱企业的相关优惠。） </w:t>
      </w:r>
    </w:p>
    <w:p>
      <w:pPr>
        <w:spacing w:line="500" w:lineRule="exact"/>
        <w:rPr>
          <w:rFonts w:hint="eastAsia" w:ascii="宋体" w:hAnsi="宋体" w:eastAsia="宋体" w:cs="宋体"/>
          <w:color w:val="auto"/>
          <w:sz w:val="24"/>
          <w:szCs w:val="24"/>
        </w:rPr>
      </w:pP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残疾人福利性单位声明函</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本单位对上述声明的真实性负责。如有虚假，将依法承担相应责任。 </w:t>
      </w:r>
    </w:p>
    <w:p>
      <w:pPr>
        <w:spacing w:line="500" w:lineRule="exact"/>
        <w:rPr>
          <w:rFonts w:hint="eastAsia" w:ascii="宋体" w:hAnsi="宋体" w:eastAsia="宋体" w:cs="宋体"/>
          <w:color w:val="auto"/>
          <w:sz w:val="24"/>
          <w:szCs w:val="24"/>
        </w:rPr>
      </w:pPr>
    </w:p>
    <w:p>
      <w:pPr>
        <w:spacing w:line="500" w:lineRule="exact"/>
        <w:ind w:firstLine="5040" w:firstLineChars="21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名称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公</w:t>
      </w:r>
      <w:r>
        <w:rPr>
          <w:rFonts w:hint="eastAsia" w:ascii="宋体" w:hAnsi="宋体" w:eastAsia="宋体" w:cs="宋体"/>
          <w:color w:val="auto"/>
          <w:sz w:val="24"/>
          <w:szCs w:val="24"/>
        </w:rPr>
        <w:t>章）：</w:t>
      </w:r>
    </w:p>
    <w:p>
      <w:pPr>
        <w:spacing w:line="500" w:lineRule="exact"/>
        <w:ind w:firstLine="4800" w:firstLineChars="2000"/>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投标日期：   年   月   日 </w:t>
      </w:r>
    </w:p>
    <w:p>
      <w:pPr>
        <w:tabs>
          <w:tab w:val="left" w:pos="5580"/>
        </w:tabs>
        <w:spacing w:line="480" w:lineRule="exact"/>
        <w:rPr>
          <w:rFonts w:hint="eastAsia" w:ascii="宋体" w:hAnsi="宋体" w:eastAsia="宋体" w:cs="宋体"/>
          <w:b/>
          <w:color w:val="auto"/>
          <w:sz w:val="24"/>
          <w:szCs w:val="24"/>
        </w:rPr>
      </w:pPr>
      <w:r>
        <w:rPr>
          <w:rFonts w:hint="eastAsia" w:ascii="宋体" w:hAnsi="宋体" w:eastAsia="宋体" w:cs="宋体"/>
          <w:color w:val="auto"/>
          <w:sz w:val="24"/>
          <w:szCs w:val="24"/>
        </w:rPr>
        <w:br w:type="page"/>
      </w:r>
      <w:r>
        <w:rPr>
          <w:rFonts w:hint="eastAsia" w:ascii="宋体" w:hAnsi="宋体" w:eastAsia="宋体" w:cs="宋体"/>
          <w:b/>
          <w:color w:val="auto"/>
          <w:sz w:val="24"/>
          <w:szCs w:val="24"/>
        </w:rPr>
        <w:t>技术部分</w:t>
      </w:r>
    </w:p>
    <w:p>
      <w:pPr>
        <w:pStyle w:val="169"/>
        <w:spacing w:line="480" w:lineRule="exact"/>
        <w:outlineLvl w:val="1"/>
        <w:rPr>
          <w:rFonts w:hint="eastAsia" w:ascii="宋体" w:hAnsi="宋体" w:eastAsia="宋体" w:cs="宋体"/>
          <w:b/>
          <w:color w:val="auto"/>
        </w:rPr>
      </w:pPr>
      <w:bookmarkStart w:id="152" w:name="_Toc9566"/>
      <w:r>
        <w:rPr>
          <w:rFonts w:hint="eastAsia" w:ascii="宋体" w:hAnsi="宋体" w:eastAsia="宋体" w:cs="宋体"/>
          <w:b/>
          <w:color w:val="auto"/>
        </w:rPr>
        <w:t>附件1：技术响应与偏离表</w:t>
      </w:r>
      <w:bookmarkEnd w:id="151"/>
      <w:bookmarkEnd w:id="152"/>
    </w:p>
    <w:p>
      <w:pPr>
        <w:pStyle w:val="169"/>
        <w:spacing w:line="480" w:lineRule="exact"/>
        <w:ind w:hanging="23"/>
        <w:rPr>
          <w:rFonts w:hint="eastAsia" w:ascii="宋体" w:hAnsi="宋体" w:eastAsia="宋体" w:cs="宋体"/>
          <w:color w:val="auto"/>
          <w:u w:val="single"/>
        </w:rPr>
      </w:pPr>
      <w:r>
        <w:rPr>
          <w:rFonts w:hint="eastAsia" w:ascii="宋体" w:hAnsi="宋体" w:eastAsia="宋体" w:cs="宋体"/>
          <w:color w:val="auto"/>
        </w:rPr>
        <w:t xml:space="preserve">项目名称+标段：   　　　　　　　　　　　　　　  项目编号：                         </w:t>
      </w:r>
    </w:p>
    <w:tbl>
      <w:tblPr>
        <w:tblStyle w:val="31"/>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073"/>
        <w:gridCol w:w="2877"/>
        <w:gridCol w:w="1150"/>
        <w:gridCol w:w="2733"/>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474" w:type="dxa"/>
            <w:vMerge w:val="restart"/>
            <w:vAlign w:val="center"/>
          </w:tcPr>
          <w:p>
            <w:pPr>
              <w:pStyle w:val="16"/>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3950" w:type="dxa"/>
            <w:gridSpan w:val="2"/>
            <w:vAlign w:val="center"/>
          </w:tcPr>
          <w:p>
            <w:pPr>
              <w:pStyle w:val="16"/>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招标文件条款</w:t>
            </w:r>
          </w:p>
        </w:tc>
        <w:tc>
          <w:tcPr>
            <w:tcW w:w="3883" w:type="dxa"/>
            <w:gridSpan w:val="2"/>
            <w:vAlign w:val="center"/>
          </w:tcPr>
          <w:p>
            <w:pPr>
              <w:pStyle w:val="16"/>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投标文件条款</w:t>
            </w:r>
          </w:p>
        </w:tc>
        <w:tc>
          <w:tcPr>
            <w:tcW w:w="1150" w:type="dxa"/>
            <w:vMerge w:val="restart"/>
            <w:vAlign w:val="center"/>
          </w:tcPr>
          <w:p>
            <w:pPr>
              <w:pStyle w:val="16"/>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474" w:type="dxa"/>
            <w:vMerge w:val="continue"/>
            <w:vAlign w:val="center"/>
          </w:tcPr>
          <w:p>
            <w:pPr>
              <w:pStyle w:val="16"/>
              <w:spacing w:line="480" w:lineRule="exact"/>
              <w:jc w:val="center"/>
              <w:rPr>
                <w:rFonts w:hint="eastAsia" w:ascii="宋体" w:hAnsi="宋体" w:eastAsia="宋体" w:cs="宋体"/>
                <w:b/>
                <w:color w:val="auto"/>
                <w:sz w:val="24"/>
                <w:szCs w:val="24"/>
              </w:rPr>
            </w:pPr>
          </w:p>
        </w:tc>
        <w:tc>
          <w:tcPr>
            <w:tcW w:w="1073" w:type="dxa"/>
            <w:vAlign w:val="center"/>
          </w:tcPr>
          <w:p>
            <w:pPr>
              <w:pStyle w:val="16"/>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2877" w:type="dxa"/>
            <w:vAlign w:val="center"/>
          </w:tcPr>
          <w:p>
            <w:pPr>
              <w:pStyle w:val="16"/>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招标文件条款内容</w:t>
            </w:r>
          </w:p>
        </w:tc>
        <w:tc>
          <w:tcPr>
            <w:tcW w:w="1150" w:type="dxa"/>
            <w:vAlign w:val="center"/>
          </w:tcPr>
          <w:p>
            <w:pPr>
              <w:pStyle w:val="16"/>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2733" w:type="dxa"/>
            <w:vAlign w:val="center"/>
          </w:tcPr>
          <w:p>
            <w:pPr>
              <w:pStyle w:val="16"/>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投标文件对应条款</w:t>
            </w:r>
          </w:p>
        </w:tc>
        <w:tc>
          <w:tcPr>
            <w:tcW w:w="1150" w:type="dxa"/>
            <w:vMerge w:val="continue"/>
            <w:vAlign w:val="center"/>
          </w:tcPr>
          <w:p>
            <w:pPr>
              <w:pStyle w:val="16"/>
              <w:spacing w:line="480" w:lineRule="exact"/>
              <w:jc w:val="center"/>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vAlign w:val="center"/>
          </w:tcPr>
          <w:p>
            <w:pPr>
              <w:pStyle w:val="16"/>
              <w:spacing w:line="480" w:lineRule="exact"/>
              <w:jc w:val="center"/>
              <w:rPr>
                <w:rFonts w:hint="eastAsia" w:ascii="宋体" w:hAnsi="宋体" w:eastAsia="宋体" w:cs="宋体"/>
                <w:b/>
                <w:color w:val="auto"/>
                <w:sz w:val="24"/>
                <w:szCs w:val="24"/>
              </w:rPr>
            </w:pPr>
          </w:p>
        </w:tc>
        <w:tc>
          <w:tcPr>
            <w:tcW w:w="1073" w:type="dxa"/>
            <w:vAlign w:val="center"/>
          </w:tcPr>
          <w:p>
            <w:pPr>
              <w:pStyle w:val="16"/>
              <w:spacing w:line="480" w:lineRule="exact"/>
              <w:jc w:val="center"/>
              <w:rPr>
                <w:rFonts w:hint="eastAsia" w:ascii="宋体" w:hAnsi="宋体" w:eastAsia="宋体" w:cs="宋体"/>
                <w:b/>
                <w:color w:val="auto"/>
                <w:sz w:val="24"/>
                <w:szCs w:val="24"/>
              </w:rPr>
            </w:pPr>
          </w:p>
        </w:tc>
        <w:tc>
          <w:tcPr>
            <w:tcW w:w="2877" w:type="dxa"/>
            <w:vAlign w:val="center"/>
          </w:tcPr>
          <w:p>
            <w:pPr>
              <w:pStyle w:val="16"/>
              <w:spacing w:line="480" w:lineRule="exact"/>
              <w:jc w:val="center"/>
              <w:rPr>
                <w:rFonts w:hint="eastAsia" w:ascii="宋体" w:hAnsi="宋体" w:eastAsia="宋体" w:cs="宋体"/>
                <w:b/>
                <w:color w:val="auto"/>
                <w:sz w:val="24"/>
                <w:szCs w:val="24"/>
              </w:rPr>
            </w:pPr>
          </w:p>
        </w:tc>
        <w:tc>
          <w:tcPr>
            <w:tcW w:w="1150" w:type="dxa"/>
            <w:vAlign w:val="center"/>
          </w:tcPr>
          <w:p>
            <w:pPr>
              <w:pStyle w:val="16"/>
              <w:spacing w:line="480" w:lineRule="exact"/>
              <w:jc w:val="center"/>
              <w:rPr>
                <w:rFonts w:hint="eastAsia" w:ascii="宋体" w:hAnsi="宋体" w:eastAsia="宋体" w:cs="宋体"/>
                <w:b/>
                <w:color w:val="auto"/>
                <w:sz w:val="24"/>
                <w:szCs w:val="24"/>
              </w:rPr>
            </w:pPr>
          </w:p>
        </w:tc>
        <w:tc>
          <w:tcPr>
            <w:tcW w:w="2733" w:type="dxa"/>
            <w:vAlign w:val="center"/>
          </w:tcPr>
          <w:p>
            <w:pPr>
              <w:pStyle w:val="16"/>
              <w:spacing w:line="480" w:lineRule="exact"/>
              <w:jc w:val="center"/>
              <w:rPr>
                <w:rFonts w:hint="eastAsia" w:ascii="宋体" w:hAnsi="宋体" w:eastAsia="宋体" w:cs="宋体"/>
                <w:b/>
                <w:color w:val="auto"/>
                <w:sz w:val="24"/>
                <w:szCs w:val="24"/>
              </w:rPr>
            </w:pPr>
          </w:p>
        </w:tc>
        <w:tc>
          <w:tcPr>
            <w:tcW w:w="1150" w:type="dxa"/>
            <w:vAlign w:val="center"/>
          </w:tcPr>
          <w:p>
            <w:pPr>
              <w:pStyle w:val="16"/>
              <w:spacing w:line="480" w:lineRule="exact"/>
              <w:jc w:val="center"/>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vAlign w:val="center"/>
          </w:tcPr>
          <w:p>
            <w:pPr>
              <w:pStyle w:val="16"/>
              <w:spacing w:line="480" w:lineRule="exact"/>
              <w:jc w:val="center"/>
              <w:rPr>
                <w:rFonts w:hint="eastAsia" w:ascii="宋体" w:hAnsi="宋体" w:eastAsia="宋体" w:cs="宋体"/>
                <w:color w:val="auto"/>
                <w:sz w:val="24"/>
                <w:szCs w:val="24"/>
              </w:rPr>
            </w:pPr>
          </w:p>
        </w:tc>
        <w:tc>
          <w:tcPr>
            <w:tcW w:w="1073" w:type="dxa"/>
            <w:vAlign w:val="center"/>
          </w:tcPr>
          <w:p>
            <w:pPr>
              <w:pStyle w:val="16"/>
              <w:spacing w:line="480" w:lineRule="exact"/>
              <w:jc w:val="center"/>
              <w:rPr>
                <w:rFonts w:hint="eastAsia" w:ascii="宋体" w:hAnsi="宋体" w:eastAsia="宋体" w:cs="宋体"/>
                <w:color w:val="auto"/>
                <w:sz w:val="24"/>
                <w:szCs w:val="24"/>
              </w:rPr>
            </w:pPr>
          </w:p>
        </w:tc>
        <w:tc>
          <w:tcPr>
            <w:tcW w:w="2877"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c>
          <w:tcPr>
            <w:tcW w:w="2733"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vAlign w:val="center"/>
          </w:tcPr>
          <w:p>
            <w:pPr>
              <w:pStyle w:val="16"/>
              <w:spacing w:line="480" w:lineRule="exact"/>
              <w:jc w:val="center"/>
              <w:rPr>
                <w:rFonts w:hint="eastAsia" w:ascii="宋体" w:hAnsi="宋体" w:eastAsia="宋体" w:cs="宋体"/>
                <w:color w:val="auto"/>
                <w:sz w:val="24"/>
                <w:szCs w:val="24"/>
              </w:rPr>
            </w:pPr>
          </w:p>
        </w:tc>
        <w:tc>
          <w:tcPr>
            <w:tcW w:w="1073" w:type="dxa"/>
            <w:vAlign w:val="center"/>
          </w:tcPr>
          <w:p>
            <w:pPr>
              <w:pStyle w:val="16"/>
              <w:spacing w:line="480" w:lineRule="exact"/>
              <w:jc w:val="center"/>
              <w:rPr>
                <w:rFonts w:hint="eastAsia" w:ascii="宋体" w:hAnsi="宋体" w:eastAsia="宋体" w:cs="宋体"/>
                <w:color w:val="auto"/>
                <w:sz w:val="24"/>
                <w:szCs w:val="24"/>
              </w:rPr>
            </w:pPr>
          </w:p>
        </w:tc>
        <w:tc>
          <w:tcPr>
            <w:tcW w:w="2877"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c>
          <w:tcPr>
            <w:tcW w:w="2733"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vAlign w:val="center"/>
          </w:tcPr>
          <w:p>
            <w:pPr>
              <w:pStyle w:val="16"/>
              <w:spacing w:line="480" w:lineRule="exact"/>
              <w:jc w:val="center"/>
              <w:rPr>
                <w:rFonts w:hint="eastAsia" w:ascii="宋体" w:hAnsi="宋体" w:eastAsia="宋体" w:cs="宋体"/>
                <w:color w:val="auto"/>
                <w:sz w:val="24"/>
                <w:szCs w:val="24"/>
              </w:rPr>
            </w:pPr>
          </w:p>
        </w:tc>
        <w:tc>
          <w:tcPr>
            <w:tcW w:w="1073" w:type="dxa"/>
            <w:vAlign w:val="center"/>
          </w:tcPr>
          <w:p>
            <w:pPr>
              <w:pStyle w:val="16"/>
              <w:spacing w:line="480" w:lineRule="exact"/>
              <w:jc w:val="center"/>
              <w:rPr>
                <w:rFonts w:hint="eastAsia" w:ascii="宋体" w:hAnsi="宋体" w:eastAsia="宋体" w:cs="宋体"/>
                <w:color w:val="auto"/>
                <w:sz w:val="24"/>
                <w:szCs w:val="24"/>
              </w:rPr>
            </w:pPr>
          </w:p>
        </w:tc>
        <w:tc>
          <w:tcPr>
            <w:tcW w:w="2877"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c>
          <w:tcPr>
            <w:tcW w:w="2733"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vAlign w:val="center"/>
          </w:tcPr>
          <w:p>
            <w:pPr>
              <w:pStyle w:val="16"/>
              <w:spacing w:line="480" w:lineRule="exact"/>
              <w:jc w:val="center"/>
              <w:rPr>
                <w:rFonts w:hint="eastAsia" w:ascii="宋体" w:hAnsi="宋体" w:eastAsia="宋体" w:cs="宋体"/>
                <w:color w:val="auto"/>
                <w:sz w:val="24"/>
                <w:szCs w:val="24"/>
              </w:rPr>
            </w:pPr>
          </w:p>
        </w:tc>
        <w:tc>
          <w:tcPr>
            <w:tcW w:w="1073" w:type="dxa"/>
            <w:vAlign w:val="center"/>
          </w:tcPr>
          <w:p>
            <w:pPr>
              <w:pStyle w:val="16"/>
              <w:spacing w:line="480" w:lineRule="exact"/>
              <w:jc w:val="center"/>
              <w:rPr>
                <w:rFonts w:hint="eastAsia" w:ascii="宋体" w:hAnsi="宋体" w:eastAsia="宋体" w:cs="宋体"/>
                <w:color w:val="auto"/>
                <w:sz w:val="24"/>
                <w:szCs w:val="24"/>
              </w:rPr>
            </w:pPr>
          </w:p>
        </w:tc>
        <w:tc>
          <w:tcPr>
            <w:tcW w:w="2877"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c>
          <w:tcPr>
            <w:tcW w:w="2733"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74" w:type="dxa"/>
            <w:vAlign w:val="center"/>
          </w:tcPr>
          <w:p>
            <w:pPr>
              <w:pStyle w:val="16"/>
              <w:spacing w:line="480" w:lineRule="exact"/>
              <w:jc w:val="center"/>
              <w:rPr>
                <w:rFonts w:hint="eastAsia" w:ascii="宋体" w:hAnsi="宋体" w:eastAsia="宋体" w:cs="宋体"/>
                <w:color w:val="auto"/>
                <w:sz w:val="24"/>
                <w:szCs w:val="24"/>
              </w:rPr>
            </w:pPr>
          </w:p>
        </w:tc>
        <w:tc>
          <w:tcPr>
            <w:tcW w:w="1073" w:type="dxa"/>
            <w:vAlign w:val="center"/>
          </w:tcPr>
          <w:p>
            <w:pPr>
              <w:pStyle w:val="16"/>
              <w:spacing w:line="480" w:lineRule="exact"/>
              <w:jc w:val="center"/>
              <w:rPr>
                <w:rFonts w:hint="eastAsia" w:ascii="宋体" w:hAnsi="宋体" w:eastAsia="宋体" w:cs="宋体"/>
                <w:color w:val="auto"/>
                <w:sz w:val="24"/>
                <w:szCs w:val="24"/>
              </w:rPr>
            </w:pPr>
          </w:p>
        </w:tc>
        <w:tc>
          <w:tcPr>
            <w:tcW w:w="2877"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c>
          <w:tcPr>
            <w:tcW w:w="2733"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74" w:type="dxa"/>
            <w:vAlign w:val="center"/>
          </w:tcPr>
          <w:p>
            <w:pPr>
              <w:pStyle w:val="16"/>
              <w:spacing w:line="480" w:lineRule="exact"/>
              <w:jc w:val="center"/>
              <w:rPr>
                <w:rFonts w:hint="eastAsia" w:ascii="宋体" w:hAnsi="宋体" w:eastAsia="宋体" w:cs="宋体"/>
                <w:color w:val="auto"/>
                <w:sz w:val="24"/>
                <w:szCs w:val="24"/>
              </w:rPr>
            </w:pPr>
          </w:p>
        </w:tc>
        <w:tc>
          <w:tcPr>
            <w:tcW w:w="1073" w:type="dxa"/>
            <w:vAlign w:val="center"/>
          </w:tcPr>
          <w:p>
            <w:pPr>
              <w:pStyle w:val="16"/>
              <w:spacing w:line="480" w:lineRule="exact"/>
              <w:jc w:val="center"/>
              <w:rPr>
                <w:rFonts w:hint="eastAsia" w:ascii="宋体" w:hAnsi="宋体" w:eastAsia="宋体" w:cs="宋体"/>
                <w:color w:val="auto"/>
                <w:sz w:val="24"/>
                <w:szCs w:val="24"/>
              </w:rPr>
            </w:pPr>
          </w:p>
        </w:tc>
        <w:tc>
          <w:tcPr>
            <w:tcW w:w="2877"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c>
          <w:tcPr>
            <w:tcW w:w="2733"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74" w:type="dxa"/>
            <w:vAlign w:val="center"/>
          </w:tcPr>
          <w:p>
            <w:pPr>
              <w:pStyle w:val="16"/>
              <w:spacing w:line="480" w:lineRule="exact"/>
              <w:jc w:val="center"/>
              <w:rPr>
                <w:rFonts w:hint="eastAsia" w:ascii="宋体" w:hAnsi="宋体" w:eastAsia="宋体" w:cs="宋体"/>
                <w:color w:val="auto"/>
                <w:sz w:val="24"/>
                <w:szCs w:val="24"/>
              </w:rPr>
            </w:pPr>
          </w:p>
        </w:tc>
        <w:tc>
          <w:tcPr>
            <w:tcW w:w="1073" w:type="dxa"/>
            <w:vAlign w:val="center"/>
          </w:tcPr>
          <w:p>
            <w:pPr>
              <w:pStyle w:val="16"/>
              <w:spacing w:line="480" w:lineRule="exact"/>
              <w:jc w:val="center"/>
              <w:rPr>
                <w:rFonts w:hint="eastAsia" w:ascii="宋体" w:hAnsi="宋体" w:eastAsia="宋体" w:cs="宋体"/>
                <w:color w:val="auto"/>
                <w:sz w:val="24"/>
                <w:szCs w:val="24"/>
              </w:rPr>
            </w:pPr>
          </w:p>
        </w:tc>
        <w:tc>
          <w:tcPr>
            <w:tcW w:w="2877"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c>
          <w:tcPr>
            <w:tcW w:w="2733"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74" w:type="dxa"/>
            <w:vAlign w:val="center"/>
          </w:tcPr>
          <w:p>
            <w:pPr>
              <w:pStyle w:val="16"/>
              <w:spacing w:line="480" w:lineRule="exact"/>
              <w:jc w:val="center"/>
              <w:rPr>
                <w:rFonts w:hint="eastAsia" w:ascii="宋体" w:hAnsi="宋体" w:eastAsia="宋体" w:cs="宋体"/>
                <w:color w:val="auto"/>
                <w:sz w:val="24"/>
                <w:szCs w:val="24"/>
              </w:rPr>
            </w:pPr>
          </w:p>
          <w:p>
            <w:pPr>
              <w:pStyle w:val="16"/>
              <w:spacing w:line="480" w:lineRule="exact"/>
              <w:jc w:val="center"/>
              <w:rPr>
                <w:rFonts w:hint="eastAsia" w:ascii="宋体" w:hAnsi="宋体" w:eastAsia="宋体" w:cs="宋体"/>
                <w:color w:val="auto"/>
                <w:sz w:val="24"/>
                <w:szCs w:val="24"/>
              </w:rPr>
            </w:pPr>
          </w:p>
        </w:tc>
        <w:tc>
          <w:tcPr>
            <w:tcW w:w="1073" w:type="dxa"/>
            <w:vAlign w:val="center"/>
          </w:tcPr>
          <w:p>
            <w:pPr>
              <w:pStyle w:val="16"/>
              <w:spacing w:line="480" w:lineRule="exact"/>
              <w:jc w:val="center"/>
              <w:rPr>
                <w:rFonts w:hint="eastAsia" w:ascii="宋体" w:hAnsi="宋体" w:eastAsia="宋体" w:cs="宋体"/>
                <w:color w:val="auto"/>
                <w:sz w:val="24"/>
                <w:szCs w:val="24"/>
              </w:rPr>
            </w:pPr>
          </w:p>
        </w:tc>
        <w:tc>
          <w:tcPr>
            <w:tcW w:w="2877"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c>
          <w:tcPr>
            <w:tcW w:w="2733" w:type="dxa"/>
            <w:vAlign w:val="center"/>
          </w:tcPr>
          <w:p>
            <w:pPr>
              <w:pStyle w:val="16"/>
              <w:spacing w:line="480" w:lineRule="exact"/>
              <w:jc w:val="center"/>
              <w:rPr>
                <w:rFonts w:hint="eastAsia" w:ascii="宋体" w:hAnsi="宋体" w:eastAsia="宋体" w:cs="宋体"/>
                <w:color w:val="auto"/>
                <w:sz w:val="24"/>
                <w:szCs w:val="24"/>
              </w:rPr>
            </w:pPr>
          </w:p>
        </w:tc>
        <w:tc>
          <w:tcPr>
            <w:tcW w:w="1150" w:type="dxa"/>
            <w:vAlign w:val="center"/>
          </w:tcPr>
          <w:p>
            <w:pPr>
              <w:pStyle w:val="16"/>
              <w:spacing w:line="480" w:lineRule="exact"/>
              <w:jc w:val="center"/>
              <w:rPr>
                <w:rFonts w:hint="eastAsia" w:ascii="宋体" w:hAnsi="宋体" w:eastAsia="宋体" w:cs="宋体"/>
                <w:color w:val="auto"/>
                <w:sz w:val="24"/>
                <w:szCs w:val="24"/>
              </w:rPr>
            </w:pPr>
          </w:p>
        </w:tc>
      </w:tr>
    </w:tbl>
    <w:p>
      <w:pPr>
        <w:spacing w:line="480" w:lineRule="exact"/>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                                                                     </w:t>
      </w:r>
    </w:p>
    <w:p>
      <w:pPr>
        <w:pStyle w:val="169"/>
        <w:spacing w:line="480" w:lineRule="exact"/>
        <w:rPr>
          <w:rFonts w:hint="eastAsia" w:ascii="宋体" w:hAnsi="宋体" w:eastAsia="宋体" w:cs="宋体"/>
          <w:color w:val="auto"/>
        </w:rPr>
      </w:pPr>
    </w:p>
    <w:p>
      <w:pPr>
        <w:pStyle w:val="169"/>
        <w:spacing w:line="480" w:lineRule="exact"/>
        <w:rPr>
          <w:rFonts w:hint="eastAsia" w:ascii="宋体" w:hAnsi="宋体" w:eastAsia="宋体" w:cs="宋体"/>
          <w:color w:val="auto"/>
        </w:rPr>
      </w:pPr>
      <w:r>
        <w:rPr>
          <w:rFonts w:hint="eastAsia" w:ascii="宋体" w:hAnsi="宋体" w:eastAsia="宋体" w:cs="宋体"/>
          <w:color w:val="auto"/>
        </w:rPr>
        <w:t>注:若有偏离,请将具体偏离条款在“偏离情况”一栏中详细说明；若无偏离,请在“偏离情况”一栏中标注“无”字样，实际存在负偏离而在本表内没有列明的，视为虚假投标。</w:t>
      </w:r>
    </w:p>
    <w:p>
      <w:pPr>
        <w:pStyle w:val="169"/>
        <w:spacing w:line="480" w:lineRule="exact"/>
        <w:rPr>
          <w:rFonts w:hint="eastAsia" w:ascii="宋体" w:hAnsi="宋体" w:eastAsia="宋体" w:cs="宋体"/>
          <w:color w:val="auto"/>
        </w:rPr>
      </w:pPr>
    </w:p>
    <w:p>
      <w:pPr>
        <w:spacing w:line="480" w:lineRule="exact"/>
        <w:ind w:firstLine="5280" w:firstLineChars="2200"/>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供应商名称（盖章）：                            </w:t>
      </w:r>
    </w:p>
    <w:p>
      <w:pPr>
        <w:spacing w:line="480" w:lineRule="exact"/>
        <w:rPr>
          <w:rFonts w:hint="eastAsia" w:ascii="宋体" w:hAnsi="宋体" w:eastAsia="宋体" w:cs="宋体"/>
          <w:color w:val="auto"/>
          <w:sz w:val="24"/>
          <w:szCs w:val="24"/>
        </w:rPr>
      </w:pPr>
    </w:p>
    <w:p>
      <w:pPr>
        <w:pStyle w:val="169"/>
        <w:spacing w:line="480" w:lineRule="exact"/>
        <w:rPr>
          <w:rFonts w:hint="eastAsia" w:ascii="宋体" w:hAnsi="宋体" w:eastAsia="宋体" w:cs="宋体"/>
          <w:color w:val="auto"/>
        </w:rPr>
      </w:pPr>
      <w:r>
        <w:rPr>
          <w:rFonts w:hint="eastAsia" w:ascii="宋体" w:hAnsi="宋体" w:eastAsia="宋体" w:cs="宋体"/>
          <w:color w:val="auto"/>
        </w:rPr>
        <w:t xml:space="preserve">                                          日期：    年   月   日</w:t>
      </w:r>
    </w:p>
    <w:p>
      <w:pPr>
        <w:pStyle w:val="169"/>
        <w:spacing w:line="480" w:lineRule="exact"/>
        <w:rPr>
          <w:rFonts w:hint="eastAsia" w:ascii="宋体" w:hAnsi="宋体" w:eastAsia="宋体" w:cs="宋体"/>
          <w:b/>
          <w:color w:val="auto"/>
        </w:rPr>
      </w:pPr>
    </w:p>
    <w:p>
      <w:pPr>
        <w:pStyle w:val="169"/>
        <w:spacing w:line="480" w:lineRule="exact"/>
        <w:rPr>
          <w:rFonts w:hint="eastAsia" w:ascii="宋体" w:hAnsi="宋体" w:eastAsia="宋体" w:cs="宋体"/>
          <w:b/>
          <w:color w:val="auto"/>
        </w:rPr>
        <w:sectPr>
          <w:pgSz w:w="11906" w:h="16838"/>
          <w:pgMar w:top="1417" w:right="1418" w:bottom="1417" w:left="1418" w:header="851" w:footer="850" w:gutter="0"/>
          <w:pgNumType w:fmt="decimal"/>
          <w:cols w:space="720" w:num="1"/>
          <w:docGrid w:type="lines" w:linePitch="312" w:charSpace="0"/>
        </w:sectPr>
      </w:pPr>
    </w:p>
    <w:p>
      <w:pPr>
        <w:pStyle w:val="171"/>
        <w:spacing w:line="480" w:lineRule="exact"/>
        <w:ind w:left="420" w:leftChars="200"/>
        <w:rPr>
          <w:rFonts w:hint="eastAsia" w:ascii="宋体" w:hAnsi="宋体" w:eastAsia="宋体" w:cs="宋体"/>
          <w:b/>
          <w:color w:val="auto"/>
          <w:sz w:val="24"/>
          <w:szCs w:val="24"/>
        </w:rPr>
      </w:pPr>
      <w:bookmarkStart w:id="153" w:name="_Toc498343986"/>
      <w:r>
        <w:rPr>
          <w:rFonts w:hint="eastAsia" w:ascii="宋体" w:hAnsi="宋体" w:eastAsia="宋体" w:cs="宋体"/>
          <w:b/>
          <w:color w:val="auto"/>
          <w:sz w:val="24"/>
          <w:szCs w:val="24"/>
        </w:rPr>
        <w:t>附件2：项目服务方案</w:t>
      </w:r>
    </w:p>
    <w:p>
      <w:pPr>
        <w:spacing w:before="156" w:beforeLines="50"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投标人根据自身情况在投标文件中提供针对本项目编制的服务方案。服务方案应包括但不限于以下内容：</w:t>
      </w:r>
    </w:p>
    <w:p>
      <w:pPr>
        <w:spacing w:before="156" w:beforeLines="50" w:line="48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rPr>
        <w:t>1、项目</w:t>
      </w:r>
      <w:r>
        <w:rPr>
          <w:rFonts w:hint="eastAsia" w:ascii="宋体" w:hAnsi="宋体" w:eastAsia="宋体" w:cs="宋体"/>
          <w:color w:val="auto"/>
          <w:sz w:val="24"/>
          <w:szCs w:val="24"/>
          <w:lang w:val="en-US" w:eastAsia="zh-CN"/>
        </w:rPr>
        <w:t>理解</w:t>
      </w:r>
    </w:p>
    <w:p>
      <w:pPr>
        <w:spacing w:before="156" w:beforeLines="50"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sz w:val="24"/>
          <w:szCs w:val="24"/>
        </w:rPr>
        <w:t>审计工作方案</w:t>
      </w:r>
    </w:p>
    <w:p>
      <w:pPr>
        <w:spacing w:before="156" w:beforeLines="50"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3、工作重点、难点分析及对策</w:t>
      </w:r>
    </w:p>
    <w:p>
      <w:pPr>
        <w:spacing w:before="156" w:beforeLines="50"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进度控制措施</w:t>
      </w:r>
    </w:p>
    <w:p>
      <w:pPr>
        <w:spacing w:before="156" w:beforeLines="50"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风险控制情况</w:t>
      </w:r>
    </w:p>
    <w:p>
      <w:pPr>
        <w:spacing w:before="156" w:beforeLines="50"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质量保障措施</w:t>
      </w:r>
    </w:p>
    <w:p>
      <w:pPr>
        <w:spacing w:before="156" w:beforeLines="50"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7、增值服务及优惠条件</w:t>
      </w:r>
    </w:p>
    <w:p>
      <w:pPr>
        <w:spacing w:before="156" w:beforeLines="50" w:line="480" w:lineRule="exact"/>
        <w:ind w:firstLine="480" w:firstLineChars="200"/>
        <w:rPr>
          <w:rFonts w:hint="eastAsia" w:ascii="宋体" w:hAnsi="宋体" w:eastAsia="宋体" w:cs="宋体"/>
          <w:color w:val="auto"/>
          <w:sz w:val="24"/>
          <w:szCs w:val="24"/>
        </w:rPr>
      </w:pPr>
    </w:p>
    <w:p>
      <w:pPr>
        <w:spacing w:before="156" w:beforeLines="50" w:line="480" w:lineRule="exact"/>
        <w:ind w:firstLine="480" w:firstLineChars="200"/>
        <w:rPr>
          <w:rFonts w:hint="eastAsia" w:ascii="宋体" w:hAnsi="宋体" w:eastAsia="宋体" w:cs="宋体"/>
          <w:color w:val="auto"/>
          <w:sz w:val="24"/>
          <w:szCs w:val="24"/>
        </w:rPr>
      </w:pPr>
    </w:p>
    <w:p>
      <w:pPr>
        <w:pStyle w:val="169"/>
        <w:spacing w:line="480" w:lineRule="exact"/>
        <w:rPr>
          <w:rFonts w:hint="eastAsia" w:ascii="宋体" w:hAnsi="宋体" w:eastAsia="宋体" w:cs="宋体"/>
          <w:b/>
          <w:color w:val="auto"/>
        </w:rPr>
      </w:pPr>
    </w:p>
    <w:p>
      <w:pPr>
        <w:pStyle w:val="169"/>
        <w:spacing w:line="480" w:lineRule="exact"/>
        <w:rPr>
          <w:rFonts w:hint="eastAsia" w:ascii="宋体" w:hAnsi="宋体" w:eastAsia="宋体" w:cs="宋体"/>
          <w:b/>
          <w:color w:val="auto"/>
        </w:rPr>
      </w:pPr>
    </w:p>
    <w:p>
      <w:pPr>
        <w:pStyle w:val="169"/>
        <w:spacing w:line="480" w:lineRule="exact"/>
        <w:rPr>
          <w:rFonts w:hint="eastAsia" w:ascii="宋体" w:hAnsi="宋体" w:eastAsia="宋体" w:cs="宋体"/>
          <w:b/>
          <w:color w:val="auto"/>
        </w:rPr>
      </w:pPr>
    </w:p>
    <w:p>
      <w:pPr>
        <w:pStyle w:val="169"/>
        <w:spacing w:line="480" w:lineRule="exact"/>
        <w:rPr>
          <w:rFonts w:hint="eastAsia" w:ascii="宋体" w:hAnsi="宋体" w:eastAsia="宋体" w:cs="宋体"/>
          <w:b/>
          <w:color w:val="auto"/>
        </w:rPr>
      </w:pPr>
      <w:bookmarkStart w:id="154" w:name="_Toc8222"/>
    </w:p>
    <w:p>
      <w:pPr>
        <w:pStyle w:val="169"/>
        <w:spacing w:line="480" w:lineRule="exact"/>
        <w:rPr>
          <w:rFonts w:hint="eastAsia" w:ascii="宋体" w:hAnsi="宋体" w:eastAsia="宋体" w:cs="宋体"/>
          <w:b/>
          <w:color w:val="auto"/>
        </w:rPr>
      </w:pPr>
    </w:p>
    <w:p>
      <w:pPr>
        <w:pStyle w:val="169"/>
        <w:spacing w:line="480" w:lineRule="exact"/>
        <w:rPr>
          <w:rFonts w:hint="eastAsia" w:ascii="宋体" w:hAnsi="宋体" w:eastAsia="宋体" w:cs="宋体"/>
          <w:b/>
          <w:color w:val="auto"/>
        </w:rPr>
      </w:pPr>
    </w:p>
    <w:p>
      <w:pPr>
        <w:pStyle w:val="169"/>
        <w:spacing w:line="480" w:lineRule="exact"/>
        <w:rPr>
          <w:rFonts w:hint="eastAsia" w:ascii="宋体" w:hAnsi="宋体" w:eastAsia="宋体" w:cs="宋体"/>
          <w:b/>
          <w:color w:val="auto"/>
        </w:rPr>
      </w:pPr>
    </w:p>
    <w:p>
      <w:pPr>
        <w:pStyle w:val="169"/>
        <w:spacing w:line="480" w:lineRule="exact"/>
        <w:rPr>
          <w:rFonts w:hint="eastAsia" w:ascii="宋体" w:hAnsi="宋体" w:eastAsia="宋体" w:cs="宋体"/>
          <w:b/>
          <w:color w:val="auto"/>
        </w:rPr>
      </w:pPr>
    </w:p>
    <w:p>
      <w:pPr>
        <w:pStyle w:val="169"/>
        <w:spacing w:line="480" w:lineRule="exact"/>
        <w:rPr>
          <w:rFonts w:hint="eastAsia" w:ascii="宋体" w:hAnsi="宋体" w:eastAsia="宋体" w:cs="宋体"/>
          <w:b/>
          <w:color w:val="auto"/>
        </w:rPr>
      </w:pPr>
    </w:p>
    <w:p>
      <w:pPr>
        <w:pStyle w:val="169"/>
        <w:spacing w:line="480" w:lineRule="exact"/>
        <w:rPr>
          <w:rFonts w:hint="eastAsia" w:ascii="宋体" w:hAnsi="宋体" w:eastAsia="宋体" w:cs="宋体"/>
          <w:b/>
          <w:color w:val="auto"/>
        </w:rPr>
      </w:pPr>
    </w:p>
    <w:p>
      <w:pPr>
        <w:pStyle w:val="169"/>
        <w:spacing w:line="480" w:lineRule="exact"/>
        <w:rPr>
          <w:rFonts w:hint="eastAsia" w:ascii="宋体" w:hAnsi="宋体" w:eastAsia="宋体" w:cs="宋体"/>
          <w:b/>
          <w:color w:val="auto"/>
        </w:rPr>
      </w:pPr>
    </w:p>
    <w:p>
      <w:pPr>
        <w:pStyle w:val="169"/>
        <w:spacing w:line="480" w:lineRule="exact"/>
        <w:rPr>
          <w:rFonts w:hint="eastAsia" w:ascii="宋体" w:hAnsi="宋体" w:eastAsia="宋体" w:cs="宋体"/>
          <w:b/>
          <w:color w:val="auto"/>
        </w:rPr>
      </w:pPr>
    </w:p>
    <w:p>
      <w:pPr>
        <w:pStyle w:val="169"/>
        <w:spacing w:line="480" w:lineRule="exact"/>
        <w:rPr>
          <w:rFonts w:hint="eastAsia" w:ascii="宋体" w:hAnsi="宋体" w:eastAsia="宋体" w:cs="宋体"/>
          <w:b/>
          <w:color w:val="auto"/>
        </w:rPr>
      </w:pPr>
    </w:p>
    <w:p>
      <w:pPr>
        <w:pStyle w:val="169"/>
        <w:spacing w:line="480" w:lineRule="exact"/>
        <w:outlineLvl w:val="1"/>
        <w:rPr>
          <w:rFonts w:hint="eastAsia" w:ascii="宋体" w:hAnsi="宋体" w:eastAsia="宋体" w:cs="宋体"/>
          <w:b/>
          <w:color w:val="auto"/>
        </w:rPr>
      </w:pPr>
      <w:r>
        <w:rPr>
          <w:rFonts w:hint="eastAsia" w:ascii="宋体" w:hAnsi="宋体" w:eastAsia="宋体" w:cs="宋体"/>
          <w:b/>
          <w:color w:val="auto"/>
        </w:rPr>
        <w:t>附件3：企业项目业绩表</w:t>
      </w:r>
      <w:bookmarkEnd w:id="153"/>
      <w:bookmarkEnd w:id="154"/>
    </w:p>
    <w:p>
      <w:pPr>
        <w:pStyle w:val="169"/>
        <w:spacing w:line="480" w:lineRule="exact"/>
        <w:jc w:val="center"/>
        <w:rPr>
          <w:rFonts w:hint="eastAsia" w:ascii="宋体" w:hAnsi="宋体" w:eastAsia="宋体" w:cs="宋体"/>
          <w:color w:val="auto"/>
        </w:rPr>
      </w:pPr>
    </w:p>
    <w:p>
      <w:pPr>
        <w:pStyle w:val="169"/>
        <w:spacing w:line="480" w:lineRule="exact"/>
        <w:ind w:left="239" w:leftChars="114" w:firstLine="931" w:firstLineChars="388"/>
        <w:rPr>
          <w:rFonts w:hint="eastAsia" w:ascii="宋体" w:hAnsi="宋体" w:eastAsia="宋体" w:cs="宋体"/>
          <w:color w:val="auto"/>
        </w:rPr>
      </w:pPr>
      <w:r>
        <w:rPr>
          <w:rFonts w:hint="eastAsia" w:ascii="宋体" w:hAnsi="宋体" w:eastAsia="宋体" w:cs="宋体"/>
          <w:color w:val="auto"/>
        </w:rPr>
        <w:t xml:space="preserve">项目名称+标段：                          项目编号：                                                                        </w:t>
      </w:r>
    </w:p>
    <w:tbl>
      <w:tblPr>
        <w:tblStyle w:val="31"/>
        <w:tblW w:w="92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815"/>
        <w:gridCol w:w="1920"/>
        <w:gridCol w:w="2070"/>
        <w:gridCol w:w="1335"/>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578" w:type="dxa"/>
            <w:vAlign w:val="center"/>
          </w:tcPr>
          <w:p>
            <w:pPr>
              <w:pStyle w:val="169"/>
              <w:spacing w:line="480" w:lineRule="exact"/>
              <w:jc w:val="center"/>
              <w:rPr>
                <w:rFonts w:hint="eastAsia" w:ascii="宋体" w:hAnsi="宋体" w:eastAsia="宋体" w:cs="宋体"/>
                <w:color w:val="auto"/>
              </w:rPr>
            </w:pPr>
            <w:r>
              <w:rPr>
                <w:rFonts w:hint="eastAsia" w:ascii="宋体" w:hAnsi="宋体" w:eastAsia="宋体" w:cs="宋体"/>
                <w:color w:val="auto"/>
              </w:rPr>
              <w:t>序号</w:t>
            </w:r>
          </w:p>
        </w:tc>
        <w:tc>
          <w:tcPr>
            <w:tcW w:w="1815" w:type="dxa"/>
            <w:vAlign w:val="center"/>
          </w:tcPr>
          <w:p>
            <w:pPr>
              <w:pStyle w:val="169"/>
              <w:spacing w:line="480" w:lineRule="exact"/>
              <w:jc w:val="center"/>
              <w:rPr>
                <w:rFonts w:hint="eastAsia" w:ascii="宋体" w:hAnsi="宋体" w:eastAsia="宋体" w:cs="宋体"/>
                <w:color w:val="auto"/>
              </w:rPr>
            </w:pPr>
            <w:r>
              <w:rPr>
                <w:rFonts w:hint="eastAsia" w:ascii="宋体" w:hAnsi="宋体" w:eastAsia="宋体" w:cs="宋体"/>
                <w:color w:val="auto"/>
              </w:rPr>
              <w:t>项目名称</w:t>
            </w:r>
          </w:p>
        </w:tc>
        <w:tc>
          <w:tcPr>
            <w:tcW w:w="1920" w:type="dxa"/>
            <w:vAlign w:val="center"/>
          </w:tcPr>
          <w:p>
            <w:pPr>
              <w:pStyle w:val="169"/>
              <w:spacing w:line="480" w:lineRule="exact"/>
              <w:jc w:val="center"/>
              <w:rPr>
                <w:rFonts w:hint="eastAsia" w:ascii="宋体" w:hAnsi="宋体" w:eastAsia="宋体" w:cs="宋体"/>
                <w:color w:val="auto"/>
              </w:rPr>
            </w:pPr>
            <w:r>
              <w:rPr>
                <w:rFonts w:hint="eastAsia" w:ascii="宋体" w:hAnsi="宋体" w:eastAsia="宋体" w:cs="宋体"/>
                <w:color w:val="auto"/>
              </w:rPr>
              <w:t>项目简介</w:t>
            </w:r>
          </w:p>
        </w:tc>
        <w:tc>
          <w:tcPr>
            <w:tcW w:w="2070" w:type="dxa"/>
            <w:vAlign w:val="center"/>
          </w:tcPr>
          <w:p>
            <w:pPr>
              <w:pStyle w:val="169"/>
              <w:spacing w:line="480" w:lineRule="exact"/>
              <w:jc w:val="center"/>
              <w:rPr>
                <w:rFonts w:hint="eastAsia" w:ascii="宋体" w:hAnsi="宋体" w:eastAsia="宋体" w:cs="宋体"/>
                <w:color w:val="auto"/>
              </w:rPr>
            </w:pPr>
            <w:r>
              <w:rPr>
                <w:rFonts w:hint="eastAsia" w:ascii="宋体" w:hAnsi="宋体" w:eastAsia="宋体" w:cs="宋体"/>
                <w:color w:val="auto"/>
              </w:rPr>
              <w:t>合同金额（元）</w:t>
            </w:r>
          </w:p>
        </w:tc>
        <w:tc>
          <w:tcPr>
            <w:tcW w:w="1335" w:type="dxa"/>
            <w:vAlign w:val="center"/>
          </w:tcPr>
          <w:p>
            <w:pPr>
              <w:pStyle w:val="169"/>
              <w:spacing w:line="480" w:lineRule="exact"/>
              <w:jc w:val="center"/>
              <w:rPr>
                <w:rFonts w:hint="eastAsia" w:ascii="宋体" w:hAnsi="宋体" w:eastAsia="宋体" w:cs="宋体"/>
                <w:color w:val="auto"/>
              </w:rPr>
            </w:pPr>
            <w:r>
              <w:rPr>
                <w:rFonts w:hint="eastAsia" w:ascii="宋体" w:hAnsi="宋体" w:eastAsia="宋体" w:cs="宋体"/>
                <w:color w:val="auto"/>
              </w:rPr>
              <w:t>目前状态</w:t>
            </w:r>
          </w:p>
        </w:tc>
        <w:tc>
          <w:tcPr>
            <w:tcW w:w="1485" w:type="dxa"/>
            <w:vAlign w:val="center"/>
          </w:tcPr>
          <w:p>
            <w:pPr>
              <w:pStyle w:val="169"/>
              <w:spacing w:line="480" w:lineRule="exact"/>
              <w:jc w:val="center"/>
              <w:rPr>
                <w:rFonts w:hint="eastAsia" w:ascii="宋体" w:hAnsi="宋体" w:eastAsia="宋体" w:cs="宋体"/>
                <w:color w:val="auto"/>
              </w:rPr>
            </w:pPr>
            <w:r>
              <w:rPr>
                <w:rFonts w:hint="eastAsia" w:ascii="宋体" w:hAnsi="宋体" w:eastAsia="宋体" w:cs="宋体"/>
                <w:color w:val="auto"/>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78" w:type="dxa"/>
          </w:tcPr>
          <w:p>
            <w:pPr>
              <w:pStyle w:val="169"/>
              <w:spacing w:line="480" w:lineRule="exact"/>
              <w:rPr>
                <w:rFonts w:hint="eastAsia" w:ascii="宋体" w:hAnsi="宋体" w:eastAsia="宋体" w:cs="宋体"/>
                <w:color w:val="auto"/>
              </w:rPr>
            </w:pPr>
          </w:p>
        </w:tc>
        <w:tc>
          <w:tcPr>
            <w:tcW w:w="1815" w:type="dxa"/>
          </w:tcPr>
          <w:p>
            <w:pPr>
              <w:pStyle w:val="169"/>
              <w:spacing w:line="480" w:lineRule="exact"/>
              <w:rPr>
                <w:rFonts w:hint="eastAsia" w:ascii="宋体" w:hAnsi="宋体" w:eastAsia="宋体" w:cs="宋体"/>
                <w:color w:val="auto"/>
              </w:rPr>
            </w:pPr>
          </w:p>
        </w:tc>
        <w:tc>
          <w:tcPr>
            <w:tcW w:w="1920" w:type="dxa"/>
          </w:tcPr>
          <w:p>
            <w:pPr>
              <w:pStyle w:val="169"/>
              <w:spacing w:line="480" w:lineRule="exact"/>
              <w:rPr>
                <w:rFonts w:hint="eastAsia" w:ascii="宋体" w:hAnsi="宋体" w:eastAsia="宋体" w:cs="宋体"/>
                <w:color w:val="auto"/>
              </w:rPr>
            </w:pPr>
          </w:p>
        </w:tc>
        <w:tc>
          <w:tcPr>
            <w:tcW w:w="2070" w:type="dxa"/>
          </w:tcPr>
          <w:p>
            <w:pPr>
              <w:pStyle w:val="169"/>
              <w:spacing w:line="480" w:lineRule="exact"/>
              <w:rPr>
                <w:rFonts w:hint="eastAsia" w:ascii="宋体" w:hAnsi="宋体" w:eastAsia="宋体" w:cs="宋体"/>
                <w:color w:val="auto"/>
              </w:rPr>
            </w:pPr>
          </w:p>
        </w:tc>
        <w:tc>
          <w:tcPr>
            <w:tcW w:w="1335" w:type="dxa"/>
          </w:tcPr>
          <w:p>
            <w:pPr>
              <w:pStyle w:val="169"/>
              <w:spacing w:line="480" w:lineRule="exact"/>
              <w:rPr>
                <w:rFonts w:hint="eastAsia" w:ascii="宋体" w:hAnsi="宋体" w:eastAsia="宋体" w:cs="宋体"/>
                <w:color w:val="auto"/>
              </w:rPr>
            </w:pPr>
          </w:p>
        </w:tc>
        <w:tc>
          <w:tcPr>
            <w:tcW w:w="1485" w:type="dxa"/>
          </w:tcPr>
          <w:p>
            <w:pPr>
              <w:pStyle w:val="169"/>
              <w:spacing w:line="480" w:lineRule="exac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78" w:type="dxa"/>
          </w:tcPr>
          <w:p>
            <w:pPr>
              <w:pStyle w:val="169"/>
              <w:spacing w:line="480" w:lineRule="exact"/>
              <w:rPr>
                <w:rFonts w:hint="eastAsia" w:ascii="宋体" w:hAnsi="宋体" w:eastAsia="宋体" w:cs="宋体"/>
                <w:color w:val="auto"/>
              </w:rPr>
            </w:pPr>
          </w:p>
        </w:tc>
        <w:tc>
          <w:tcPr>
            <w:tcW w:w="1815" w:type="dxa"/>
          </w:tcPr>
          <w:p>
            <w:pPr>
              <w:pStyle w:val="169"/>
              <w:spacing w:line="480" w:lineRule="exact"/>
              <w:rPr>
                <w:rFonts w:hint="eastAsia" w:ascii="宋体" w:hAnsi="宋体" w:eastAsia="宋体" w:cs="宋体"/>
                <w:color w:val="auto"/>
              </w:rPr>
            </w:pPr>
          </w:p>
        </w:tc>
        <w:tc>
          <w:tcPr>
            <w:tcW w:w="1920" w:type="dxa"/>
          </w:tcPr>
          <w:p>
            <w:pPr>
              <w:pStyle w:val="169"/>
              <w:spacing w:line="480" w:lineRule="exact"/>
              <w:rPr>
                <w:rFonts w:hint="eastAsia" w:ascii="宋体" w:hAnsi="宋体" w:eastAsia="宋体" w:cs="宋体"/>
                <w:color w:val="auto"/>
              </w:rPr>
            </w:pPr>
          </w:p>
        </w:tc>
        <w:tc>
          <w:tcPr>
            <w:tcW w:w="2070" w:type="dxa"/>
          </w:tcPr>
          <w:p>
            <w:pPr>
              <w:pStyle w:val="169"/>
              <w:spacing w:line="480" w:lineRule="exact"/>
              <w:rPr>
                <w:rFonts w:hint="eastAsia" w:ascii="宋体" w:hAnsi="宋体" w:eastAsia="宋体" w:cs="宋体"/>
                <w:color w:val="auto"/>
              </w:rPr>
            </w:pPr>
          </w:p>
        </w:tc>
        <w:tc>
          <w:tcPr>
            <w:tcW w:w="1335" w:type="dxa"/>
          </w:tcPr>
          <w:p>
            <w:pPr>
              <w:pStyle w:val="169"/>
              <w:spacing w:line="480" w:lineRule="exact"/>
              <w:rPr>
                <w:rFonts w:hint="eastAsia" w:ascii="宋体" w:hAnsi="宋体" w:eastAsia="宋体" w:cs="宋体"/>
                <w:color w:val="auto"/>
              </w:rPr>
            </w:pPr>
          </w:p>
        </w:tc>
        <w:tc>
          <w:tcPr>
            <w:tcW w:w="1485" w:type="dxa"/>
          </w:tcPr>
          <w:p>
            <w:pPr>
              <w:pStyle w:val="169"/>
              <w:spacing w:line="480" w:lineRule="exac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78" w:type="dxa"/>
          </w:tcPr>
          <w:p>
            <w:pPr>
              <w:pStyle w:val="169"/>
              <w:spacing w:line="480" w:lineRule="exact"/>
              <w:rPr>
                <w:rFonts w:hint="eastAsia" w:ascii="宋体" w:hAnsi="宋体" w:eastAsia="宋体" w:cs="宋体"/>
                <w:color w:val="auto"/>
              </w:rPr>
            </w:pPr>
          </w:p>
        </w:tc>
        <w:tc>
          <w:tcPr>
            <w:tcW w:w="1815" w:type="dxa"/>
          </w:tcPr>
          <w:p>
            <w:pPr>
              <w:pStyle w:val="169"/>
              <w:spacing w:line="480" w:lineRule="exact"/>
              <w:rPr>
                <w:rFonts w:hint="eastAsia" w:ascii="宋体" w:hAnsi="宋体" w:eastAsia="宋体" w:cs="宋体"/>
                <w:color w:val="auto"/>
              </w:rPr>
            </w:pPr>
          </w:p>
        </w:tc>
        <w:tc>
          <w:tcPr>
            <w:tcW w:w="1920" w:type="dxa"/>
          </w:tcPr>
          <w:p>
            <w:pPr>
              <w:pStyle w:val="169"/>
              <w:spacing w:line="480" w:lineRule="exact"/>
              <w:rPr>
                <w:rFonts w:hint="eastAsia" w:ascii="宋体" w:hAnsi="宋体" w:eastAsia="宋体" w:cs="宋体"/>
                <w:color w:val="auto"/>
              </w:rPr>
            </w:pPr>
          </w:p>
        </w:tc>
        <w:tc>
          <w:tcPr>
            <w:tcW w:w="2070" w:type="dxa"/>
          </w:tcPr>
          <w:p>
            <w:pPr>
              <w:pStyle w:val="169"/>
              <w:spacing w:line="480" w:lineRule="exact"/>
              <w:rPr>
                <w:rFonts w:hint="eastAsia" w:ascii="宋体" w:hAnsi="宋体" w:eastAsia="宋体" w:cs="宋体"/>
                <w:color w:val="auto"/>
              </w:rPr>
            </w:pPr>
          </w:p>
        </w:tc>
        <w:tc>
          <w:tcPr>
            <w:tcW w:w="1335" w:type="dxa"/>
          </w:tcPr>
          <w:p>
            <w:pPr>
              <w:pStyle w:val="169"/>
              <w:spacing w:line="480" w:lineRule="exact"/>
              <w:rPr>
                <w:rFonts w:hint="eastAsia" w:ascii="宋体" w:hAnsi="宋体" w:eastAsia="宋体" w:cs="宋体"/>
                <w:color w:val="auto"/>
              </w:rPr>
            </w:pPr>
          </w:p>
        </w:tc>
        <w:tc>
          <w:tcPr>
            <w:tcW w:w="1485" w:type="dxa"/>
          </w:tcPr>
          <w:p>
            <w:pPr>
              <w:pStyle w:val="169"/>
              <w:spacing w:line="480" w:lineRule="exac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78" w:type="dxa"/>
          </w:tcPr>
          <w:p>
            <w:pPr>
              <w:pStyle w:val="169"/>
              <w:spacing w:line="480" w:lineRule="exact"/>
              <w:rPr>
                <w:rFonts w:hint="eastAsia" w:ascii="宋体" w:hAnsi="宋体" w:eastAsia="宋体" w:cs="宋体"/>
                <w:color w:val="auto"/>
              </w:rPr>
            </w:pPr>
          </w:p>
        </w:tc>
        <w:tc>
          <w:tcPr>
            <w:tcW w:w="1815" w:type="dxa"/>
          </w:tcPr>
          <w:p>
            <w:pPr>
              <w:pStyle w:val="169"/>
              <w:spacing w:line="480" w:lineRule="exact"/>
              <w:rPr>
                <w:rFonts w:hint="eastAsia" w:ascii="宋体" w:hAnsi="宋体" w:eastAsia="宋体" w:cs="宋体"/>
                <w:color w:val="auto"/>
              </w:rPr>
            </w:pPr>
          </w:p>
        </w:tc>
        <w:tc>
          <w:tcPr>
            <w:tcW w:w="1920" w:type="dxa"/>
          </w:tcPr>
          <w:p>
            <w:pPr>
              <w:pStyle w:val="169"/>
              <w:spacing w:line="480" w:lineRule="exact"/>
              <w:rPr>
                <w:rFonts w:hint="eastAsia" w:ascii="宋体" w:hAnsi="宋体" w:eastAsia="宋体" w:cs="宋体"/>
                <w:color w:val="auto"/>
              </w:rPr>
            </w:pPr>
          </w:p>
        </w:tc>
        <w:tc>
          <w:tcPr>
            <w:tcW w:w="2070" w:type="dxa"/>
          </w:tcPr>
          <w:p>
            <w:pPr>
              <w:pStyle w:val="169"/>
              <w:spacing w:line="480" w:lineRule="exact"/>
              <w:rPr>
                <w:rFonts w:hint="eastAsia" w:ascii="宋体" w:hAnsi="宋体" w:eastAsia="宋体" w:cs="宋体"/>
                <w:color w:val="auto"/>
              </w:rPr>
            </w:pPr>
          </w:p>
        </w:tc>
        <w:tc>
          <w:tcPr>
            <w:tcW w:w="1335" w:type="dxa"/>
          </w:tcPr>
          <w:p>
            <w:pPr>
              <w:pStyle w:val="169"/>
              <w:spacing w:line="480" w:lineRule="exact"/>
              <w:rPr>
                <w:rFonts w:hint="eastAsia" w:ascii="宋体" w:hAnsi="宋体" w:eastAsia="宋体" w:cs="宋体"/>
                <w:color w:val="auto"/>
              </w:rPr>
            </w:pPr>
          </w:p>
        </w:tc>
        <w:tc>
          <w:tcPr>
            <w:tcW w:w="1485" w:type="dxa"/>
          </w:tcPr>
          <w:p>
            <w:pPr>
              <w:pStyle w:val="169"/>
              <w:spacing w:line="480" w:lineRule="exac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78" w:type="dxa"/>
          </w:tcPr>
          <w:p>
            <w:pPr>
              <w:pStyle w:val="169"/>
              <w:spacing w:line="480" w:lineRule="exact"/>
              <w:rPr>
                <w:rFonts w:hint="eastAsia" w:ascii="宋体" w:hAnsi="宋体" w:eastAsia="宋体" w:cs="宋体"/>
                <w:color w:val="auto"/>
              </w:rPr>
            </w:pPr>
          </w:p>
        </w:tc>
        <w:tc>
          <w:tcPr>
            <w:tcW w:w="1815" w:type="dxa"/>
          </w:tcPr>
          <w:p>
            <w:pPr>
              <w:pStyle w:val="169"/>
              <w:spacing w:line="480" w:lineRule="exact"/>
              <w:rPr>
                <w:rFonts w:hint="eastAsia" w:ascii="宋体" w:hAnsi="宋体" w:eastAsia="宋体" w:cs="宋体"/>
                <w:color w:val="auto"/>
              </w:rPr>
            </w:pPr>
          </w:p>
        </w:tc>
        <w:tc>
          <w:tcPr>
            <w:tcW w:w="1920" w:type="dxa"/>
          </w:tcPr>
          <w:p>
            <w:pPr>
              <w:pStyle w:val="169"/>
              <w:spacing w:line="480" w:lineRule="exact"/>
              <w:rPr>
                <w:rFonts w:hint="eastAsia" w:ascii="宋体" w:hAnsi="宋体" w:eastAsia="宋体" w:cs="宋体"/>
                <w:color w:val="auto"/>
              </w:rPr>
            </w:pPr>
          </w:p>
        </w:tc>
        <w:tc>
          <w:tcPr>
            <w:tcW w:w="2070" w:type="dxa"/>
          </w:tcPr>
          <w:p>
            <w:pPr>
              <w:pStyle w:val="169"/>
              <w:spacing w:line="480" w:lineRule="exact"/>
              <w:rPr>
                <w:rFonts w:hint="eastAsia" w:ascii="宋体" w:hAnsi="宋体" w:eastAsia="宋体" w:cs="宋体"/>
                <w:color w:val="auto"/>
              </w:rPr>
            </w:pPr>
          </w:p>
        </w:tc>
        <w:tc>
          <w:tcPr>
            <w:tcW w:w="1335" w:type="dxa"/>
          </w:tcPr>
          <w:p>
            <w:pPr>
              <w:pStyle w:val="169"/>
              <w:spacing w:line="480" w:lineRule="exact"/>
              <w:rPr>
                <w:rFonts w:hint="eastAsia" w:ascii="宋体" w:hAnsi="宋体" w:eastAsia="宋体" w:cs="宋体"/>
                <w:color w:val="auto"/>
              </w:rPr>
            </w:pPr>
          </w:p>
        </w:tc>
        <w:tc>
          <w:tcPr>
            <w:tcW w:w="1485" w:type="dxa"/>
          </w:tcPr>
          <w:p>
            <w:pPr>
              <w:pStyle w:val="169"/>
              <w:spacing w:line="480" w:lineRule="exac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78" w:type="dxa"/>
          </w:tcPr>
          <w:p>
            <w:pPr>
              <w:pStyle w:val="169"/>
              <w:spacing w:line="480" w:lineRule="exact"/>
              <w:rPr>
                <w:rFonts w:hint="eastAsia" w:ascii="宋体" w:hAnsi="宋体" w:eastAsia="宋体" w:cs="宋体"/>
                <w:color w:val="auto"/>
              </w:rPr>
            </w:pPr>
          </w:p>
        </w:tc>
        <w:tc>
          <w:tcPr>
            <w:tcW w:w="1815" w:type="dxa"/>
          </w:tcPr>
          <w:p>
            <w:pPr>
              <w:pStyle w:val="169"/>
              <w:spacing w:line="480" w:lineRule="exact"/>
              <w:rPr>
                <w:rFonts w:hint="eastAsia" w:ascii="宋体" w:hAnsi="宋体" w:eastAsia="宋体" w:cs="宋体"/>
                <w:color w:val="auto"/>
              </w:rPr>
            </w:pPr>
          </w:p>
        </w:tc>
        <w:tc>
          <w:tcPr>
            <w:tcW w:w="1920" w:type="dxa"/>
          </w:tcPr>
          <w:p>
            <w:pPr>
              <w:pStyle w:val="169"/>
              <w:spacing w:line="480" w:lineRule="exact"/>
              <w:rPr>
                <w:rFonts w:hint="eastAsia" w:ascii="宋体" w:hAnsi="宋体" w:eastAsia="宋体" w:cs="宋体"/>
                <w:color w:val="auto"/>
              </w:rPr>
            </w:pPr>
          </w:p>
        </w:tc>
        <w:tc>
          <w:tcPr>
            <w:tcW w:w="2070" w:type="dxa"/>
          </w:tcPr>
          <w:p>
            <w:pPr>
              <w:pStyle w:val="169"/>
              <w:spacing w:line="480" w:lineRule="exact"/>
              <w:rPr>
                <w:rFonts w:hint="eastAsia" w:ascii="宋体" w:hAnsi="宋体" w:eastAsia="宋体" w:cs="宋体"/>
                <w:color w:val="auto"/>
              </w:rPr>
            </w:pPr>
          </w:p>
        </w:tc>
        <w:tc>
          <w:tcPr>
            <w:tcW w:w="1335" w:type="dxa"/>
          </w:tcPr>
          <w:p>
            <w:pPr>
              <w:pStyle w:val="169"/>
              <w:spacing w:line="480" w:lineRule="exact"/>
              <w:rPr>
                <w:rFonts w:hint="eastAsia" w:ascii="宋体" w:hAnsi="宋体" w:eastAsia="宋体" w:cs="宋体"/>
                <w:color w:val="auto"/>
              </w:rPr>
            </w:pPr>
          </w:p>
        </w:tc>
        <w:tc>
          <w:tcPr>
            <w:tcW w:w="1485" w:type="dxa"/>
          </w:tcPr>
          <w:p>
            <w:pPr>
              <w:pStyle w:val="169"/>
              <w:spacing w:line="480" w:lineRule="exac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78" w:type="dxa"/>
          </w:tcPr>
          <w:p>
            <w:pPr>
              <w:pStyle w:val="169"/>
              <w:spacing w:line="480" w:lineRule="exact"/>
              <w:rPr>
                <w:rFonts w:hint="eastAsia" w:ascii="宋体" w:hAnsi="宋体" w:eastAsia="宋体" w:cs="宋体"/>
                <w:color w:val="auto"/>
              </w:rPr>
            </w:pPr>
          </w:p>
        </w:tc>
        <w:tc>
          <w:tcPr>
            <w:tcW w:w="1815" w:type="dxa"/>
          </w:tcPr>
          <w:p>
            <w:pPr>
              <w:pStyle w:val="169"/>
              <w:spacing w:line="480" w:lineRule="exact"/>
              <w:rPr>
                <w:rFonts w:hint="eastAsia" w:ascii="宋体" w:hAnsi="宋体" w:eastAsia="宋体" w:cs="宋体"/>
                <w:color w:val="auto"/>
              </w:rPr>
            </w:pPr>
          </w:p>
        </w:tc>
        <w:tc>
          <w:tcPr>
            <w:tcW w:w="1920" w:type="dxa"/>
          </w:tcPr>
          <w:p>
            <w:pPr>
              <w:pStyle w:val="169"/>
              <w:spacing w:line="480" w:lineRule="exact"/>
              <w:rPr>
                <w:rFonts w:hint="eastAsia" w:ascii="宋体" w:hAnsi="宋体" w:eastAsia="宋体" w:cs="宋体"/>
                <w:color w:val="auto"/>
              </w:rPr>
            </w:pPr>
          </w:p>
        </w:tc>
        <w:tc>
          <w:tcPr>
            <w:tcW w:w="2070" w:type="dxa"/>
          </w:tcPr>
          <w:p>
            <w:pPr>
              <w:pStyle w:val="169"/>
              <w:spacing w:line="480" w:lineRule="exact"/>
              <w:rPr>
                <w:rFonts w:hint="eastAsia" w:ascii="宋体" w:hAnsi="宋体" w:eastAsia="宋体" w:cs="宋体"/>
                <w:color w:val="auto"/>
              </w:rPr>
            </w:pPr>
          </w:p>
        </w:tc>
        <w:tc>
          <w:tcPr>
            <w:tcW w:w="1335" w:type="dxa"/>
          </w:tcPr>
          <w:p>
            <w:pPr>
              <w:pStyle w:val="169"/>
              <w:spacing w:line="480" w:lineRule="exact"/>
              <w:rPr>
                <w:rFonts w:hint="eastAsia" w:ascii="宋体" w:hAnsi="宋体" w:eastAsia="宋体" w:cs="宋体"/>
                <w:color w:val="auto"/>
              </w:rPr>
            </w:pPr>
          </w:p>
        </w:tc>
        <w:tc>
          <w:tcPr>
            <w:tcW w:w="1485" w:type="dxa"/>
          </w:tcPr>
          <w:p>
            <w:pPr>
              <w:pStyle w:val="169"/>
              <w:spacing w:line="480" w:lineRule="exac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78" w:type="dxa"/>
          </w:tcPr>
          <w:p>
            <w:pPr>
              <w:pStyle w:val="169"/>
              <w:spacing w:line="480" w:lineRule="exact"/>
              <w:rPr>
                <w:rFonts w:hint="eastAsia" w:ascii="宋体" w:hAnsi="宋体" w:eastAsia="宋体" w:cs="宋体"/>
                <w:color w:val="auto"/>
              </w:rPr>
            </w:pPr>
          </w:p>
        </w:tc>
        <w:tc>
          <w:tcPr>
            <w:tcW w:w="1815" w:type="dxa"/>
          </w:tcPr>
          <w:p>
            <w:pPr>
              <w:pStyle w:val="169"/>
              <w:spacing w:line="480" w:lineRule="exact"/>
              <w:rPr>
                <w:rFonts w:hint="eastAsia" w:ascii="宋体" w:hAnsi="宋体" w:eastAsia="宋体" w:cs="宋体"/>
                <w:color w:val="auto"/>
              </w:rPr>
            </w:pPr>
          </w:p>
        </w:tc>
        <w:tc>
          <w:tcPr>
            <w:tcW w:w="1920" w:type="dxa"/>
          </w:tcPr>
          <w:p>
            <w:pPr>
              <w:pStyle w:val="169"/>
              <w:spacing w:line="480" w:lineRule="exact"/>
              <w:rPr>
                <w:rFonts w:hint="eastAsia" w:ascii="宋体" w:hAnsi="宋体" w:eastAsia="宋体" w:cs="宋体"/>
                <w:color w:val="auto"/>
              </w:rPr>
            </w:pPr>
          </w:p>
        </w:tc>
        <w:tc>
          <w:tcPr>
            <w:tcW w:w="2070" w:type="dxa"/>
          </w:tcPr>
          <w:p>
            <w:pPr>
              <w:pStyle w:val="169"/>
              <w:spacing w:line="480" w:lineRule="exact"/>
              <w:rPr>
                <w:rFonts w:hint="eastAsia" w:ascii="宋体" w:hAnsi="宋体" w:eastAsia="宋体" w:cs="宋体"/>
                <w:color w:val="auto"/>
              </w:rPr>
            </w:pPr>
          </w:p>
        </w:tc>
        <w:tc>
          <w:tcPr>
            <w:tcW w:w="1335" w:type="dxa"/>
          </w:tcPr>
          <w:p>
            <w:pPr>
              <w:pStyle w:val="169"/>
              <w:spacing w:line="480" w:lineRule="exact"/>
              <w:rPr>
                <w:rFonts w:hint="eastAsia" w:ascii="宋体" w:hAnsi="宋体" w:eastAsia="宋体" w:cs="宋体"/>
                <w:color w:val="auto"/>
              </w:rPr>
            </w:pPr>
          </w:p>
        </w:tc>
        <w:tc>
          <w:tcPr>
            <w:tcW w:w="1485" w:type="dxa"/>
          </w:tcPr>
          <w:p>
            <w:pPr>
              <w:pStyle w:val="169"/>
              <w:spacing w:line="480" w:lineRule="exact"/>
              <w:rPr>
                <w:rFonts w:hint="eastAsia" w:ascii="宋体" w:hAnsi="宋体" w:eastAsia="宋体" w:cs="宋体"/>
                <w:color w:val="auto"/>
              </w:rPr>
            </w:pPr>
          </w:p>
        </w:tc>
      </w:tr>
    </w:tbl>
    <w:p>
      <w:pPr>
        <w:spacing w:line="480" w:lineRule="exact"/>
        <w:rPr>
          <w:rFonts w:hint="eastAsia" w:ascii="宋体" w:hAnsi="宋体" w:eastAsia="宋体" w:cs="宋体"/>
          <w:b/>
          <w:bCs/>
          <w:color w:val="auto"/>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color w:val="auto"/>
          <w:sz w:val="24"/>
          <w:szCs w:val="24"/>
        </w:rPr>
        <w:t xml:space="preserve"> 注：</w:t>
      </w:r>
      <w:r>
        <w:rPr>
          <w:rFonts w:hint="eastAsia" w:ascii="宋体" w:hAnsi="宋体" w:eastAsia="宋体" w:cs="宋体"/>
          <w:color w:val="auto"/>
          <w:sz w:val="24"/>
          <w:szCs w:val="24"/>
          <w:lang w:val="en-US" w:eastAsia="zh-CN"/>
        </w:rPr>
        <w:t>投标人自2021-2023年以来审计过上市公司、大中型企业年度决算审计项目业绩，不少于2个(提供合同复印件，否则不得分。时间计算以报告出具日期为准)</w:t>
      </w:r>
      <w:r>
        <w:rPr>
          <w:rFonts w:hint="eastAsia" w:ascii="宋体" w:hAnsi="宋体" w:eastAsia="宋体" w:cs="宋体"/>
          <w:color w:val="auto"/>
          <w:sz w:val="24"/>
          <w:szCs w:val="24"/>
        </w:rPr>
        <w:t>。</w:t>
      </w:r>
    </w:p>
    <w:p>
      <w:pPr>
        <w:pStyle w:val="12"/>
        <w:spacing w:line="480" w:lineRule="exact"/>
        <w:rPr>
          <w:rFonts w:hint="eastAsia" w:ascii="宋体" w:hAnsi="宋体" w:eastAsia="宋体" w:cs="宋体"/>
          <w:color w:val="auto"/>
          <w:sz w:val="24"/>
          <w:szCs w:val="24"/>
        </w:rPr>
      </w:pPr>
    </w:p>
    <w:p>
      <w:pPr>
        <w:spacing w:line="480" w:lineRule="exact"/>
        <w:ind w:firstLine="6240" w:firstLineChars="26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供应商名称（盖章）：                            </w:t>
      </w:r>
    </w:p>
    <w:p>
      <w:pPr>
        <w:spacing w:line="480" w:lineRule="exact"/>
        <w:rPr>
          <w:rFonts w:hint="eastAsia" w:ascii="宋体" w:hAnsi="宋体" w:eastAsia="宋体" w:cs="宋体"/>
          <w:color w:val="auto"/>
          <w:sz w:val="24"/>
          <w:szCs w:val="24"/>
        </w:rPr>
      </w:pPr>
    </w:p>
    <w:p>
      <w:pPr>
        <w:snapToGrid w:val="0"/>
        <w:spacing w:before="50" w:after="50" w:line="480" w:lineRule="exact"/>
        <w:ind w:left="6335" w:leftChars="331" w:right="-817" w:rightChars="-389" w:hanging="5640" w:hangingChars="2350"/>
        <w:jc w:val="lef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日期：    年   月   日</w:t>
      </w:r>
    </w:p>
    <w:p>
      <w:pPr>
        <w:spacing w:line="480" w:lineRule="exact"/>
        <w:ind w:firstLine="482" w:firstLineChars="200"/>
        <w:rPr>
          <w:rFonts w:hint="eastAsia" w:ascii="宋体" w:hAnsi="宋体" w:eastAsia="宋体" w:cs="宋体"/>
          <w:b/>
          <w:color w:val="auto"/>
          <w:kern w:val="0"/>
          <w:sz w:val="24"/>
          <w:szCs w:val="24"/>
        </w:rPr>
      </w:pPr>
    </w:p>
    <w:p>
      <w:pPr>
        <w:spacing w:line="480" w:lineRule="exact"/>
        <w:ind w:firstLine="482" w:firstLineChars="200"/>
        <w:rPr>
          <w:rFonts w:hint="eastAsia" w:ascii="宋体" w:hAnsi="宋体" w:eastAsia="宋体" w:cs="宋体"/>
          <w:b/>
          <w:color w:val="auto"/>
          <w:kern w:val="0"/>
          <w:sz w:val="24"/>
          <w:szCs w:val="24"/>
        </w:rPr>
      </w:pPr>
    </w:p>
    <w:p>
      <w:pPr>
        <w:spacing w:line="480" w:lineRule="exact"/>
        <w:ind w:firstLine="482" w:firstLineChars="200"/>
        <w:rPr>
          <w:rFonts w:hint="eastAsia" w:ascii="宋体" w:hAnsi="宋体" w:eastAsia="宋体" w:cs="宋体"/>
          <w:b/>
          <w:color w:val="auto"/>
          <w:kern w:val="0"/>
          <w:sz w:val="24"/>
          <w:szCs w:val="24"/>
        </w:rPr>
      </w:pPr>
    </w:p>
    <w:p>
      <w:pPr>
        <w:spacing w:line="480" w:lineRule="exact"/>
        <w:ind w:firstLine="482" w:firstLineChars="200"/>
        <w:rPr>
          <w:rFonts w:hint="eastAsia" w:ascii="宋体" w:hAnsi="宋体" w:eastAsia="宋体" w:cs="宋体"/>
          <w:b/>
          <w:color w:val="auto"/>
          <w:kern w:val="0"/>
          <w:sz w:val="24"/>
          <w:szCs w:val="24"/>
        </w:rPr>
      </w:pPr>
    </w:p>
    <w:p>
      <w:pPr>
        <w:spacing w:line="480" w:lineRule="exact"/>
        <w:ind w:firstLine="482" w:firstLineChars="200"/>
        <w:rPr>
          <w:rFonts w:hint="eastAsia" w:ascii="宋体" w:hAnsi="宋体" w:eastAsia="宋体" w:cs="宋体"/>
          <w:b/>
          <w:color w:val="auto"/>
          <w:kern w:val="0"/>
          <w:sz w:val="24"/>
          <w:szCs w:val="24"/>
        </w:rPr>
      </w:pPr>
    </w:p>
    <w:p>
      <w:pPr>
        <w:pStyle w:val="169"/>
        <w:spacing w:line="480" w:lineRule="exact"/>
        <w:rPr>
          <w:rFonts w:hint="eastAsia" w:ascii="宋体" w:hAnsi="宋体" w:eastAsia="宋体" w:cs="宋体"/>
          <w:bCs/>
          <w:color w:val="auto"/>
        </w:rPr>
      </w:pPr>
    </w:p>
    <w:p>
      <w:pPr>
        <w:pStyle w:val="169"/>
        <w:spacing w:line="480" w:lineRule="exact"/>
        <w:rPr>
          <w:rFonts w:hint="eastAsia" w:ascii="宋体" w:hAnsi="宋体" w:eastAsia="宋体" w:cs="宋体"/>
          <w:bCs/>
          <w:color w:val="auto"/>
        </w:rPr>
      </w:pPr>
    </w:p>
    <w:p>
      <w:pPr>
        <w:spacing w:line="480" w:lineRule="exact"/>
        <w:rPr>
          <w:rFonts w:hint="eastAsia" w:ascii="宋体" w:hAnsi="宋体" w:eastAsia="宋体" w:cs="宋体"/>
          <w:b/>
          <w:color w:val="auto"/>
          <w:sz w:val="24"/>
          <w:szCs w:val="24"/>
        </w:rPr>
        <w:sectPr>
          <w:pgSz w:w="11906" w:h="16838"/>
          <w:pgMar w:top="1417" w:right="1418" w:bottom="1417" w:left="1418" w:header="851" w:footer="850" w:gutter="0"/>
          <w:pgNumType w:fmt="decimal"/>
          <w:cols w:space="720" w:num="1"/>
          <w:docGrid w:type="lines" w:linePitch="312" w:charSpace="0"/>
        </w:sectPr>
      </w:pPr>
    </w:p>
    <w:p>
      <w:pPr>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附件4、岗位及人员配置构成</w:t>
      </w:r>
    </w:p>
    <w:p>
      <w:pPr>
        <w:tabs>
          <w:tab w:val="left" w:pos="5580"/>
        </w:tabs>
        <w:spacing w:before="156" w:beforeLines="50" w:after="156" w:afterLines="50"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本项目服务人员包括管理层和各岗位服务人员的配置方案，项目负责人及项目组成员业绩和经验，提供项目组织结构图(自拟)；投标人根据自身人员配备方案情况合理设置、分配。</w:t>
      </w:r>
    </w:p>
    <w:p>
      <w:pPr>
        <w:tabs>
          <w:tab w:val="left" w:pos="5580"/>
        </w:tabs>
        <w:spacing w:before="156" w:beforeLines="50" w:after="156" w:afterLines="50"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（一）本项目服务人员包括管理层和各岗位服务人员，投标人根据自身情况合理设置、分配。</w:t>
      </w:r>
    </w:p>
    <w:tbl>
      <w:tblPr>
        <w:tblStyle w:val="31"/>
        <w:tblW w:w="0" w:type="auto"/>
        <w:tblInd w:w="0" w:type="dxa"/>
        <w:tblLayout w:type="fixed"/>
        <w:tblCellMar>
          <w:top w:w="0" w:type="dxa"/>
          <w:left w:w="108" w:type="dxa"/>
          <w:bottom w:w="0" w:type="dxa"/>
          <w:right w:w="108" w:type="dxa"/>
        </w:tblCellMar>
      </w:tblPr>
      <w:tblGrid>
        <w:gridCol w:w="1908"/>
        <w:gridCol w:w="4319"/>
        <w:gridCol w:w="3129"/>
      </w:tblGrid>
      <w:tr>
        <w:tblPrEx>
          <w:tblCellMar>
            <w:top w:w="0" w:type="dxa"/>
            <w:left w:w="108" w:type="dxa"/>
            <w:bottom w:w="0" w:type="dxa"/>
            <w:right w:w="108" w:type="dxa"/>
          </w:tblCellMar>
        </w:tblPrEx>
        <w:trPr>
          <w:trHeight w:val="451" w:hRule="atLeast"/>
        </w:trPr>
        <w:tc>
          <w:tcPr>
            <w:tcW w:w="1908"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4319"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岗位</w:t>
            </w:r>
          </w:p>
        </w:tc>
        <w:tc>
          <w:tcPr>
            <w:tcW w:w="3129"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人数</w:t>
            </w: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c>
          <w:tcPr>
            <w:tcW w:w="431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c>
          <w:tcPr>
            <w:tcW w:w="312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c>
          <w:tcPr>
            <w:tcW w:w="431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c>
          <w:tcPr>
            <w:tcW w:w="312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c>
          <w:tcPr>
            <w:tcW w:w="431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c>
          <w:tcPr>
            <w:tcW w:w="312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c>
          <w:tcPr>
            <w:tcW w:w="431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c>
          <w:tcPr>
            <w:tcW w:w="312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c>
          <w:tcPr>
            <w:tcW w:w="431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c>
          <w:tcPr>
            <w:tcW w:w="312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c>
          <w:tcPr>
            <w:tcW w:w="431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c>
          <w:tcPr>
            <w:tcW w:w="312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c>
          <w:tcPr>
            <w:tcW w:w="431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c>
          <w:tcPr>
            <w:tcW w:w="312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c>
          <w:tcPr>
            <w:tcW w:w="431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c>
          <w:tcPr>
            <w:tcW w:w="312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c>
          <w:tcPr>
            <w:tcW w:w="431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c>
          <w:tcPr>
            <w:tcW w:w="312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c>
          <w:tcPr>
            <w:tcW w:w="431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c>
          <w:tcPr>
            <w:tcW w:w="312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c>
          <w:tcPr>
            <w:tcW w:w="431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c>
          <w:tcPr>
            <w:tcW w:w="312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c>
          <w:tcPr>
            <w:tcW w:w="431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c>
          <w:tcPr>
            <w:tcW w:w="312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总计</w:t>
            </w:r>
          </w:p>
        </w:tc>
        <w:tc>
          <w:tcPr>
            <w:tcW w:w="4319" w:type="dxa"/>
            <w:tcBorders>
              <w:top w:val="nil"/>
              <w:left w:val="nil"/>
              <w:bottom w:val="single" w:color="auto" w:sz="4" w:space="0"/>
              <w:right w:val="single" w:color="auto" w:sz="4" w:space="0"/>
            </w:tcBorders>
            <w:vAlign w:val="center"/>
          </w:tcPr>
          <w:p>
            <w:pPr>
              <w:widowControl/>
              <w:spacing w:line="48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29" w:type="dxa"/>
            <w:tcBorders>
              <w:top w:val="nil"/>
              <w:left w:val="nil"/>
              <w:bottom w:val="single" w:color="auto" w:sz="4" w:space="0"/>
              <w:right w:val="single" w:color="auto" w:sz="4" w:space="0"/>
            </w:tcBorders>
            <w:vAlign w:val="center"/>
          </w:tcPr>
          <w:p>
            <w:pPr>
              <w:widowControl/>
              <w:spacing w:line="480" w:lineRule="exact"/>
              <w:jc w:val="center"/>
              <w:rPr>
                <w:rFonts w:hint="eastAsia" w:ascii="宋体" w:hAnsi="宋体" w:eastAsia="宋体" w:cs="宋体"/>
                <w:color w:val="auto"/>
                <w:kern w:val="0"/>
                <w:sz w:val="24"/>
                <w:szCs w:val="24"/>
              </w:rPr>
            </w:pPr>
          </w:p>
        </w:tc>
      </w:tr>
    </w:tbl>
    <w:p>
      <w:pPr>
        <w:spacing w:line="480" w:lineRule="exact"/>
        <w:ind w:firstLine="5760" w:firstLineChars="2400"/>
        <w:jc w:val="left"/>
        <w:rPr>
          <w:rFonts w:hint="eastAsia" w:ascii="宋体" w:hAnsi="宋体" w:eastAsia="宋体" w:cs="宋体"/>
          <w:color w:val="auto"/>
          <w:sz w:val="24"/>
          <w:szCs w:val="24"/>
        </w:rPr>
      </w:pPr>
    </w:p>
    <w:p>
      <w:pPr>
        <w:spacing w:line="480" w:lineRule="exact"/>
        <w:ind w:firstLine="5760" w:firstLineChars="2400"/>
        <w:jc w:val="left"/>
        <w:rPr>
          <w:rFonts w:hint="eastAsia" w:ascii="宋体" w:hAnsi="宋体" w:eastAsia="宋体" w:cs="宋体"/>
          <w:color w:val="auto"/>
          <w:sz w:val="24"/>
          <w:szCs w:val="24"/>
        </w:rPr>
      </w:pPr>
    </w:p>
    <w:p>
      <w:pPr>
        <w:spacing w:line="480" w:lineRule="exact"/>
        <w:ind w:firstLine="5760" w:firstLineChars="2400"/>
        <w:jc w:val="left"/>
        <w:rPr>
          <w:rFonts w:hint="eastAsia" w:ascii="宋体" w:hAnsi="宋体" w:eastAsia="宋体" w:cs="宋体"/>
          <w:color w:val="auto"/>
          <w:sz w:val="24"/>
          <w:szCs w:val="24"/>
        </w:rPr>
      </w:pPr>
    </w:p>
    <w:p>
      <w:pPr>
        <w:spacing w:line="480" w:lineRule="exact"/>
        <w:ind w:firstLine="5760" w:firstLineChars="24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供应商名称（盖章）：                            </w:t>
      </w:r>
    </w:p>
    <w:p>
      <w:pPr>
        <w:snapToGrid w:val="0"/>
        <w:spacing w:before="50" w:after="50" w:line="480" w:lineRule="exact"/>
        <w:ind w:left="6335" w:leftChars="331" w:right="-817" w:rightChars="-389" w:hanging="5640" w:hangingChars="2350"/>
        <w:jc w:val="left"/>
        <w:rPr>
          <w:rFonts w:hint="eastAsia" w:ascii="宋体" w:hAnsi="宋体" w:eastAsia="宋体" w:cs="宋体"/>
          <w:color w:val="auto"/>
          <w:sz w:val="24"/>
          <w:szCs w:val="24"/>
        </w:rPr>
      </w:pPr>
    </w:p>
    <w:p>
      <w:pPr>
        <w:snapToGrid w:val="0"/>
        <w:spacing w:before="50" w:after="50" w:line="480" w:lineRule="exact"/>
        <w:ind w:left="6335" w:leftChars="331" w:right="-817" w:rightChars="-389" w:hanging="5640" w:hangingChars="2350"/>
        <w:jc w:val="lef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日期：    年   月   日</w:t>
      </w:r>
    </w:p>
    <w:p>
      <w:pPr>
        <w:tabs>
          <w:tab w:val="left" w:pos="5580"/>
        </w:tabs>
        <w:spacing w:before="156" w:beforeLines="50" w:after="156" w:afterLines="50" w:line="480" w:lineRule="exact"/>
        <w:rPr>
          <w:rFonts w:hint="eastAsia" w:ascii="宋体" w:hAnsi="宋体" w:eastAsia="宋体" w:cs="宋体"/>
          <w:color w:val="auto"/>
          <w:kern w:val="0"/>
          <w:sz w:val="24"/>
          <w:szCs w:val="24"/>
        </w:rPr>
      </w:pPr>
    </w:p>
    <w:p>
      <w:pPr>
        <w:tabs>
          <w:tab w:val="left" w:pos="5580"/>
        </w:tabs>
        <w:spacing w:before="156" w:beforeLines="50" w:after="156" w:afterLines="50" w:line="480" w:lineRule="exact"/>
        <w:rPr>
          <w:rFonts w:hint="eastAsia" w:ascii="宋体" w:hAnsi="宋体" w:eastAsia="宋体" w:cs="宋体"/>
          <w:b/>
          <w:color w:val="auto"/>
          <w:kern w:val="0"/>
          <w:sz w:val="24"/>
          <w:szCs w:val="24"/>
        </w:rPr>
      </w:pPr>
      <w:r>
        <w:rPr>
          <w:rFonts w:hint="eastAsia" w:ascii="宋体" w:hAnsi="宋体" w:eastAsia="宋体" w:cs="宋体"/>
          <w:color w:val="auto"/>
          <w:kern w:val="0"/>
          <w:sz w:val="24"/>
          <w:szCs w:val="24"/>
        </w:rPr>
        <w:t>（二）人员配置方案，项目负责人业绩和经验，提供项目组织结构图(自拟)；拟派项目负责人资格证书。</w:t>
      </w:r>
    </w:p>
    <w:p>
      <w:pPr>
        <w:tabs>
          <w:tab w:val="left" w:pos="5580"/>
        </w:tabs>
        <w:spacing w:before="156" w:beforeLines="50" w:after="156" w:afterLines="50"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1.项目管理机构配备情况表</w:t>
      </w:r>
    </w:p>
    <w:tbl>
      <w:tblPr>
        <w:tblStyle w:val="3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992"/>
        <w:gridCol w:w="1588"/>
        <w:gridCol w:w="1418"/>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pStyle w:val="172"/>
              <w:spacing w:line="480" w:lineRule="exact"/>
              <w:rPr>
                <w:rFonts w:hint="eastAsia" w:ascii="宋体" w:hAnsi="宋体" w:eastAsia="宋体" w:cs="宋体"/>
                <w:color w:val="auto"/>
                <w:szCs w:val="24"/>
              </w:rPr>
            </w:pPr>
            <w:r>
              <w:rPr>
                <w:rFonts w:hint="eastAsia" w:ascii="宋体" w:hAnsi="宋体" w:eastAsia="宋体" w:cs="宋体"/>
                <w:color w:val="auto"/>
                <w:szCs w:val="24"/>
              </w:rPr>
              <w:t>姓名</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pStyle w:val="172"/>
              <w:spacing w:line="480" w:lineRule="exact"/>
              <w:rPr>
                <w:rFonts w:hint="eastAsia" w:ascii="宋体" w:hAnsi="宋体" w:eastAsia="宋体" w:cs="宋体"/>
                <w:color w:val="auto"/>
                <w:szCs w:val="24"/>
              </w:rPr>
            </w:pPr>
            <w:r>
              <w:rPr>
                <w:rFonts w:hint="eastAsia" w:ascii="宋体" w:hAnsi="宋体" w:eastAsia="宋体" w:cs="宋体"/>
                <w:color w:val="auto"/>
                <w:szCs w:val="24"/>
              </w:rPr>
              <w:t>职务</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pStyle w:val="172"/>
              <w:spacing w:line="480" w:lineRule="exact"/>
              <w:rPr>
                <w:rFonts w:hint="eastAsia" w:ascii="宋体" w:hAnsi="宋体" w:eastAsia="宋体" w:cs="宋体"/>
                <w:color w:val="auto"/>
                <w:szCs w:val="24"/>
              </w:rPr>
            </w:pPr>
            <w:r>
              <w:rPr>
                <w:rFonts w:hint="eastAsia" w:ascii="宋体" w:hAnsi="宋体" w:eastAsia="宋体" w:cs="宋体"/>
                <w:color w:val="auto"/>
                <w:szCs w:val="24"/>
              </w:rPr>
              <w:t>职称</w:t>
            </w:r>
          </w:p>
        </w:tc>
        <w:tc>
          <w:tcPr>
            <w:tcW w:w="6833" w:type="dxa"/>
            <w:gridSpan w:val="3"/>
            <w:tcBorders>
              <w:top w:val="single" w:color="auto" w:sz="4" w:space="0"/>
              <w:left w:val="single" w:color="auto" w:sz="4" w:space="0"/>
              <w:bottom w:val="single" w:color="auto" w:sz="4" w:space="0"/>
              <w:right w:val="single" w:color="auto" w:sz="4" w:space="0"/>
            </w:tcBorders>
            <w:vAlign w:val="center"/>
          </w:tcPr>
          <w:p>
            <w:pPr>
              <w:pStyle w:val="172"/>
              <w:spacing w:line="480" w:lineRule="exact"/>
              <w:ind w:firstLine="210"/>
              <w:jc w:val="center"/>
              <w:rPr>
                <w:rFonts w:hint="eastAsia" w:ascii="宋体" w:hAnsi="宋体" w:eastAsia="宋体" w:cs="宋体"/>
                <w:color w:val="auto"/>
                <w:szCs w:val="24"/>
              </w:rPr>
            </w:pPr>
            <w:r>
              <w:rPr>
                <w:rFonts w:hint="eastAsia" w:ascii="宋体" w:hAnsi="宋体" w:eastAsia="宋体" w:cs="宋体"/>
                <w:color w:val="auto"/>
                <w:szCs w:val="24"/>
              </w:rPr>
              <w:t>执业资格及工作经历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hint="eastAsia" w:ascii="宋体" w:hAnsi="宋体" w:eastAsia="宋体" w:cs="宋体"/>
                <w:color w:val="auto"/>
                <w:kern w:val="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hint="eastAsia" w:ascii="宋体" w:hAnsi="宋体" w:eastAsia="宋体" w:cs="宋体"/>
                <w:color w:val="auto"/>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hint="eastAsia" w:ascii="宋体" w:hAnsi="宋体" w:eastAsia="宋体" w:cs="宋体"/>
                <w:color w:val="auto"/>
                <w:kern w:val="0"/>
                <w:sz w:val="24"/>
                <w:szCs w:val="24"/>
              </w:rPr>
            </w:pPr>
          </w:p>
        </w:tc>
        <w:tc>
          <w:tcPr>
            <w:tcW w:w="1588" w:type="dxa"/>
            <w:tcBorders>
              <w:top w:val="single" w:color="auto" w:sz="4" w:space="0"/>
              <w:left w:val="single" w:color="auto" w:sz="4" w:space="0"/>
              <w:bottom w:val="single" w:color="auto" w:sz="4" w:space="0"/>
              <w:right w:val="single" w:color="auto" w:sz="4" w:space="0"/>
            </w:tcBorders>
            <w:vAlign w:val="center"/>
          </w:tcPr>
          <w:p>
            <w:pPr>
              <w:pStyle w:val="172"/>
              <w:spacing w:line="480" w:lineRule="exact"/>
              <w:rPr>
                <w:rFonts w:hint="eastAsia" w:ascii="宋体" w:hAnsi="宋体" w:eastAsia="宋体" w:cs="宋体"/>
                <w:color w:val="auto"/>
                <w:szCs w:val="24"/>
              </w:rPr>
            </w:pPr>
            <w:r>
              <w:rPr>
                <w:rFonts w:hint="eastAsia" w:ascii="宋体" w:hAnsi="宋体" w:eastAsia="宋体" w:cs="宋体"/>
                <w:color w:val="auto"/>
                <w:szCs w:val="24"/>
              </w:rPr>
              <w:t>执业资格</w:t>
            </w:r>
          </w:p>
        </w:tc>
        <w:tc>
          <w:tcPr>
            <w:tcW w:w="1418" w:type="dxa"/>
            <w:tcBorders>
              <w:top w:val="single" w:color="auto" w:sz="4" w:space="0"/>
              <w:left w:val="single" w:color="auto" w:sz="4" w:space="0"/>
              <w:bottom w:val="single" w:color="auto" w:sz="4" w:space="0"/>
              <w:right w:val="single" w:color="auto" w:sz="4" w:space="0"/>
            </w:tcBorders>
            <w:vAlign w:val="center"/>
          </w:tcPr>
          <w:p>
            <w:pPr>
              <w:pStyle w:val="172"/>
              <w:spacing w:line="480" w:lineRule="exact"/>
              <w:rPr>
                <w:rFonts w:hint="eastAsia" w:ascii="宋体" w:hAnsi="宋体" w:eastAsia="宋体" w:cs="宋体"/>
                <w:color w:val="auto"/>
                <w:szCs w:val="24"/>
              </w:rPr>
            </w:pPr>
            <w:r>
              <w:rPr>
                <w:rFonts w:hint="eastAsia" w:ascii="宋体" w:hAnsi="宋体" w:eastAsia="宋体" w:cs="宋体"/>
                <w:color w:val="auto"/>
                <w:szCs w:val="24"/>
              </w:rPr>
              <w:t>工作年限</w:t>
            </w:r>
          </w:p>
        </w:tc>
        <w:tc>
          <w:tcPr>
            <w:tcW w:w="3827"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个人参加类似项目的业绩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17"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851"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992"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1588"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3827"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851"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992"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1588"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3827"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851"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992"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1588"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3827"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851"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992"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1588"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3827"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851"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992"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1588"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c>
          <w:tcPr>
            <w:tcW w:w="3827" w:type="dxa"/>
            <w:tcBorders>
              <w:top w:val="single" w:color="auto" w:sz="4" w:space="0"/>
              <w:left w:val="single" w:color="auto" w:sz="4" w:space="0"/>
              <w:bottom w:val="single" w:color="auto" w:sz="4" w:space="0"/>
              <w:right w:val="single" w:color="auto" w:sz="4" w:space="0"/>
            </w:tcBorders>
          </w:tcPr>
          <w:p>
            <w:pPr>
              <w:pStyle w:val="172"/>
              <w:spacing w:line="480" w:lineRule="exact"/>
              <w:ind w:firstLine="210"/>
              <w:jc w:val="left"/>
              <w:rPr>
                <w:rFonts w:hint="eastAsia" w:ascii="宋体" w:hAnsi="宋体" w:eastAsia="宋体" w:cs="宋体"/>
                <w:color w:val="auto"/>
                <w:szCs w:val="24"/>
              </w:rPr>
            </w:pPr>
          </w:p>
        </w:tc>
      </w:tr>
    </w:tbl>
    <w:p>
      <w:pPr>
        <w:tabs>
          <w:tab w:val="left" w:pos="5580"/>
        </w:tabs>
        <w:spacing w:before="156" w:beforeLines="50" w:after="156" w:afterLines="50" w:line="480" w:lineRule="exact"/>
        <w:rPr>
          <w:rFonts w:hint="eastAsia" w:ascii="宋体" w:hAnsi="宋体" w:eastAsia="宋体" w:cs="宋体"/>
          <w:color w:val="auto"/>
          <w:kern w:val="0"/>
          <w:sz w:val="24"/>
          <w:szCs w:val="24"/>
        </w:rPr>
      </w:pPr>
      <w:r>
        <w:rPr>
          <w:rFonts w:hint="eastAsia" w:ascii="宋体" w:hAnsi="宋体" w:eastAsia="宋体" w:cs="宋体"/>
          <w:color w:val="auto"/>
          <w:sz w:val="24"/>
          <w:szCs w:val="24"/>
        </w:rPr>
        <w:t>说明：本表须附身份证、</w:t>
      </w:r>
      <w:r>
        <w:rPr>
          <w:rFonts w:hint="eastAsia" w:ascii="宋体" w:hAnsi="宋体" w:eastAsia="宋体" w:cs="宋体"/>
          <w:color w:val="auto"/>
          <w:sz w:val="24"/>
          <w:szCs w:val="24"/>
          <w:lang w:val="en-US" w:eastAsia="zh-CN"/>
        </w:rPr>
        <w:t>学历证、</w:t>
      </w:r>
      <w:r>
        <w:rPr>
          <w:rFonts w:hint="eastAsia" w:ascii="宋体" w:hAnsi="宋体" w:eastAsia="宋体" w:cs="宋体"/>
          <w:color w:val="auto"/>
          <w:sz w:val="24"/>
          <w:szCs w:val="24"/>
        </w:rPr>
        <w:t>注册证书、职称证等证明材料复印件</w:t>
      </w:r>
    </w:p>
    <w:p>
      <w:pPr>
        <w:tabs>
          <w:tab w:val="left" w:pos="5580"/>
        </w:tabs>
        <w:spacing w:before="156" w:beforeLines="50" w:after="156" w:afterLines="50" w:line="480" w:lineRule="exact"/>
        <w:rPr>
          <w:rFonts w:hint="eastAsia" w:ascii="宋体" w:hAnsi="宋体" w:eastAsia="宋体" w:cs="宋体"/>
          <w:color w:val="auto"/>
          <w:kern w:val="0"/>
          <w:sz w:val="24"/>
          <w:szCs w:val="24"/>
        </w:rPr>
      </w:pPr>
    </w:p>
    <w:p>
      <w:pPr>
        <w:tabs>
          <w:tab w:val="left" w:pos="5580"/>
        </w:tabs>
        <w:spacing w:before="156" w:beforeLines="50" w:after="156" w:afterLines="50" w:line="480" w:lineRule="exact"/>
        <w:rPr>
          <w:rFonts w:hint="eastAsia" w:ascii="宋体" w:hAnsi="宋体" w:eastAsia="宋体" w:cs="宋体"/>
          <w:color w:val="auto"/>
          <w:kern w:val="0"/>
          <w:sz w:val="24"/>
          <w:szCs w:val="24"/>
        </w:rPr>
      </w:pPr>
    </w:p>
    <w:p>
      <w:pPr>
        <w:tabs>
          <w:tab w:val="left" w:pos="5580"/>
        </w:tabs>
        <w:spacing w:before="156" w:beforeLines="50" w:after="156" w:afterLines="50" w:line="480" w:lineRule="exact"/>
        <w:rPr>
          <w:rFonts w:hint="eastAsia" w:ascii="宋体" w:hAnsi="宋体" w:eastAsia="宋体" w:cs="宋体"/>
          <w:color w:val="auto"/>
          <w:kern w:val="0"/>
          <w:sz w:val="24"/>
          <w:szCs w:val="24"/>
        </w:rPr>
      </w:pPr>
    </w:p>
    <w:p>
      <w:pPr>
        <w:tabs>
          <w:tab w:val="left" w:pos="5580"/>
        </w:tabs>
        <w:spacing w:before="156" w:beforeLines="50" w:after="156" w:afterLines="50" w:line="480" w:lineRule="exact"/>
        <w:rPr>
          <w:rFonts w:hint="eastAsia" w:ascii="宋体" w:hAnsi="宋体" w:eastAsia="宋体" w:cs="宋体"/>
          <w:color w:val="auto"/>
          <w:kern w:val="0"/>
          <w:sz w:val="24"/>
          <w:szCs w:val="24"/>
        </w:rPr>
      </w:pPr>
    </w:p>
    <w:p>
      <w:pPr>
        <w:tabs>
          <w:tab w:val="left" w:pos="5580"/>
        </w:tabs>
        <w:spacing w:before="156" w:beforeLines="50" w:after="156" w:afterLines="50" w:line="480" w:lineRule="exact"/>
        <w:rPr>
          <w:rFonts w:hint="eastAsia" w:ascii="宋体" w:hAnsi="宋体" w:eastAsia="宋体" w:cs="宋体"/>
          <w:color w:val="auto"/>
          <w:kern w:val="0"/>
          <w:sz w:val="24"/>
          <w:szCs w:val="24"/>
        </w:rPr>
      </w:pPr>
    </w:p>
    <w:p>
      <w:pPr>
        <w:tabs>
          <w:tab w:val="left" w:pos="5580"/>
        </w:tabs>
        <w:spacing w:before="156" w:beforeLines="50" w:after="156" w:afterLines="50" w:line="480" w:lineRule="exact"/>
        <w:rPr>
          <w:rFonts w:hint="eastAsia" w:ascii="宋体" w:hAnsi="宋体" w:eastAsia="宋体" w:cs="宋体"/>
          <w:color w:val="auto"/>
          <w:kern w:val="0"/>
          <w:sz w:val="24"/>
          <w:szCs w:val="24"/>
        </w:rPr>
      </w:pPr>
    </w:p>
    <w:p>
      <w:pPr>
        <w:tabs>
          <w:tab w:val="left" w:pos="5580"/>
        </w:tabs>
        <w:spacing w:before="156" w:beforeLines="50" w:after="156" w:afterLines="50" w:line="480" w:lineRule="exact"/>
        <w:rPr>
          <w:rFonts w:hint="eastAsia" w:ascii="宋体" w:hAnsi="宋体" w:eastAsia="宋体" w:cs="宋体"/>
          <w:color w:val="auto"/>
          <w:kern w:val="0"/>
          <w:sz w:val="24"/>
          <w:szCs w:val="24"/>
        </w:rPr>
      </w:pPr>
    </w:p>
    <w:p>
      <w:pPr>
        <w:tabs>
          <w:tab w:val="left" w:pos="5580"/>
        </w:tabs>
        <w:spacing w:before="156" w:beforeLines="50" w:after="156" w:afterLines="50" w:line="480" w:lineRule="exact"/>
        <w:rPr>
          <w:rFonts w:hint="eastAsia" w:ascii="宋体" w:hAnsi="宋体" w:eastAsia="宋体" w:cs="宋体"/>
          <w:color w:val="auto"/>
          <w:kern w:val="0"/>
          <w:sz w:val="24"/>
          <w:szCs w:val="24"/>
        </w:rPr>
      </w:pPr>
    </w:p>
    <w:p>
      <w:pPr>
        <w:pStyle w:val="8"/>
        <w:rPr>
          <w:rFonts w:hint="eastAsia" w:ascii="宋体" w:hAnsi="宋体" w:eastAsia="宋体" w:cs="宋体"/>
          <w:color w:val="auto"/>
        </w:rPr>
      </w:pPr>
    </w:p>
    <w:p>
      <w:pPr>
        <w:tabs>
          <w:tab w:val="left" w:pos="5580"/>
        </w:tabs>
        <w:spacing w:before="156" w:beforeLines="50" w:after="156" w:afterLines="50" w:line="480" w:lineRule="exact"/>
        <w:rPr>
          <w:rFonts w:hint="eastAsia" w:ascii="宋体" w:hAnsi="宋体" w:eastAsia="宋体" w:cs="宋体"/>
          <w:color w:val="auto"/>
          <w:kern w:val="0"/>
          <w:sz w:val="24"/>
          <w:szCs w:val="24"/>
        </w:rPr>
      </w:pPr>
    </w:p>
    <w:p>
      <w:pPr>
        <w:tabs>
          <w:tab w:val="left" w:pos="5580"/>
        </w:tabs>
        <w:spacing w:before="156" w:beforeLines="50" w:after="156" w:afterLines="50" w:line="480" w:lineRule="exact"/>
        <w:rPr>
          <w:rFonts w:hint="eastAsia" w:ascii="宋体" w:hAnsi="宋体" w:eastAsia="宋体" w:cs="宋体"/>
          <w:color w:val="auto"/>
          <w:kern w:val="0"/>
          <w:sz w:val="24"/>
          <w:szCs w:val="24"/>
        </w:rPr>
      </w:pPr>
    </w:p>
    <w:p>
      <w:pPr>
        <w:tabs>
          <w:tab w:val="left" w:pos="5580"/>
        </w:tabs>
        <w:spacing w:before="156" w:beforeLines="50" w:after="156" w:afterLines="50" w:line="48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2.项目负责人简历表</w:t>
      </w:r>
    </w:p>
    <w:tbl>
      <w:tblPr>
        <w:tblStyle w:val="31"/>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225"/>
        <w:gridCol w:w="385"/>
        <w:gridCol w:w="840"/>
        <w:gridCol w:w="540"/>
        <w:gridCol w:w="1140"/>
        <w:gridCol w:w="1080"/>
        <w:gridCol w:w="40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5" w:type="dxa"/>
            <w:tcBorders>
              <w:top w:val="single" w:color="auto" w:sz="4" w:space="0"/>
              <w:left w:val="single" w:color="auto" w:sz="4" w:space="0"/>
              <w:bottom w:val="single" w:color="auto" w:sz="4" w:space="0"/>
              <w:right w:val="single" w:color="auto" w:sz="4" w:space="0"/>
            </w:tcBorders>
            <w:vAlign w:val="center"/>
          </w:tcPr>
          <w:p>
            <w:pPr>
              <w:pStyle w:val="172"/>
              <w:spacing w:line="480" w:lineRule="exact"/>
              <w:rPr>
                <w:rFonts w:hint="eastAsia" w:ascii="宋体" w:hAnsi="宋体" w:eastAsia="宋体" w:cs="宋体"/>
                <w:color w:val="auto"/>
                <w:szCs w:val="24"/>
              </w:rPr>
            </w:pPr>
            <w:r>
              <w:rPr>
                <w:rFonts w:hint="eastAsia" w:ascii="宋体" w:hAnsi="宋体" w:eastAsia="宋体" w:cs="宋体"/>
                <w:color w:val="auto"/>
                <w:szCs w:val="24"/>
              </w:rPr>
              <w:t>姓名</w:t>
            </w:r>
          </w:p>
        </w:tc>
        <w:tc>
          <w:tcPr>
            <w:tcW w:w="2610" w:type="dxa"/>
            <w:gridSpan w:val="2"/>
            <w:tcBorders>
              <w:top w:val="single" w:color="auto" w:sz="4" w:space="0"/>
              <w:left w:val="single" w:color="auto" w:sz="4" w:space="0"/>
              <w:bottom w:val="single" w:color="auto" w:sz="4" w:space="0"/>
              <w:right w:val="single" w:color="auto" w:sz="4" w:space="0"/>
            </w:tcBorders>
            <w:vAlign w:val="center"/>
          </w:tcPr>
          <w:p>
            <w:pPr>
              <w:pStyle w:val="172"/>
              <w:spacing w:line="480" w:lineRule="exact"/>
              <w:ind w:firstLine="210"/>
              <w:jc w:val="center"/>
              <w:rPr>
                <w:rFonts w:hint="eastAsia" w:ascii="宋体" w:hAnsi="宋体" w:eastAsia="宋体" w:cs="宋体"/>
                <w:color w:val="auto"/>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72"/>
              <w:spacing w:line="480" w:lineRule="exact"/>
              <w:rPr>
                <w:rFonts w:hint="eastAsia" w:ascii="宋体" w:hAnsi="宋体" w:eastAsia="宋体" w:cs="宋体"/>
                <w:color w:val="auto"/>
                <w:szCs w:val="24"/>
              </w:rPr>
            </w:pPr>
            <w:r>
              <w:rPr>
                <w:rFonts w:hint="eastAsia" w:ascii="宋体" w:hAnsi="宋体" w:eastAsia="宋体" w:cs="宋体"/>
                <w:color w:val="auto"/>
                <w:szCs w:val="24"/>
              </w:rPr>
              <w:t>性别</w:t>
            </w:r>
          </w:p>
        </w:tc>
        <w:tc>
          <w:tcPr>
            <w:tcW w:w="1680" w:type="dxa"/>
            <w:gridSpan w:val="2"/>
            <w:tcBorders>
              <w:top w:val="single" w:color="auto" w:sz="4" w:space="0"/>
              <w:left w:val="single" w:color="auto" w:sz="4" w:space="0"/>
              <w:bottom w:val="single" w:color="auto" w:sz="4" w:space="0"/>
              <w:right w:val="single" w:color="auto" w:sz="4" w:space="0"/>
            </w:tcBorders>
            <w:vAlign w:val="center"/>
          </w:tcPr>
          <w:p>
            <w:pPr>
              <w:pStyle w:val="172"/>
              <w:spacing w:line="480" w:lineRule="exact"/>
              <w:ind w:firstLine="210"/>
              <w:jc w:val="center"/>
              <w:rPr>
                <w:rFonts w:hint="eastAsia" w:ascii="宋体" w:hAnsi="宋体" w:eastAsia="宋体" w:cs="宋体"/>
                <w:color w:val="auto"/>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172"/>
              <w:spacing w:line="480" w:lineRule="exact"/>
              <w:rPr>
                <w:rFonts w:hint="eastAsia" w:ascii="宋体" w:hAnsi="宋体" w:eastAsia="宋体" w:cs="宋体"/>
                <w:color w:val="auto"/>
                <w:szCs w:val="24"/>
              </w:rPr>
            </w:pPr>
            <w:r>
              <w:rPr>
                <w:rFonts w:hint="eastAsia" w:ascii="宋体" w:hAnsi="宋体" w:eastAsia="宋体" w:cs="宋体"/>
                <w:color w:val="auto"/>
                <w:szCs w:val="24"/>
              </w:rPr>
              <w:t>年龄</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pStyle w:val="172"/>
              <w:spacing w:line="480" w:lineRule="exact"/>
              <w:ind w:firstLine="210"/>
              <w:jc w:val="center"/>
              <w:rPr>
                <w:rFonts w:hint="eastAsia" w:ascii="宋体" w:hAnsi="宋体" w:eastAsia="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tcBorders>
              <w:top w:val="single" w:color="auto" w:sz="4" w:space="0"/>
              <w:left w:val="single" w:color="auto" w:sz="4" w:space="0"/>
              <w:bottom w:val="single" w:color="auto" w:sz="4" w:space="0"/>
              <w:right w:val="single" w:color="auto" w:sz="4" w:space="0"/>
            </w:tcBorders>
            <w:vAlign w:val="center"/>
          </w:tcPr>
          <w:p>
            <w:pPr>
              <w:pStyle w:val="172"/>
              <w:spacing w:line="480" w:lineRule="exact"/>
              <w:rPr>
                <w:rFonts w:hint="eastAsia" w:ascii="宋体" w:hAnsi="宋体" w:eastAsia="宋体" w:cs="宋体"/>
                <w:color w:val="auto"/>
                <w:szCs w:val="24"/>
              </w:rPr>
            </w:pPr>
            <w:r>
              <w:rPr>
                <w:rFonts w:hint="eastAsia" w:ascii="宋体" w:hAnsi="宋体" w:eastAsia="宋体" w:cs="宋体"/>
                <w:color w:val="auto"/>
                <w:szCs w:val="24"/>
              </w:rPr>
              <w:t>职务</w:t>
            </w:r>
          </w:p>
        </w:tc>
        <w:tc>
          <w:tcPr>
            <w:tcW w:w="2610" w:type="dxa"/>
            <w:gridSpan w:val="2"/>
            <w:tcBorders>
              <w:top w:val="single" w:color="auto" w:sz="4" w:space="0"/>
              <w:left w:val="single" w:color="auto" w:sz="4" w:space="0"/>
              <w:bottom w:val="single" w:color="auto" w:sz="4" w:space="0"/>
              <w:right w:val="single" w:color="auto" w:sz="4" w:space="0"/>
            </w:tcBorders>
            <w:vAlign w:val="center"/>
          </w:tcPr>
          <w:p>
            <w:pPr>
              <w:pStyle w:val="172"/>
              <w:spacing w:line="480" w:lineRule="exact"/>
              <w:ind w:firstLine="210"/>
              <w:jc w:val="center"/>
              <w:rPr>
                <w:rFonts w:hint="eastAsia" w:ascii="宋体" w:hAnsi="宋体" w:eastAsia="宋体" w:cs="宋体"/>
                <w:color w:val="auto"/>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72"/>
              <w:spacing w:line="480" w:lineRule="exact"/>
              <w:rPr>
                <w:rFonts w:hint="eastAsia" w:ascii="宋体" w:hAnsi="宋体" w:eastAsia="宋体" w:cs="宋体"/>
                <w:color w:val="auto"/>
                <w:szCs w:val="24"/>
              </w:rPr>
            </w:pPr>
            <w:r>
              <w:rPr>
                <w:rFonts w:hint="eastAsia" w:ascii="宋体" w:hAnsi="宋体" w:eastAsia="宋体" w:cs="宋体"/>
                <w:color w:val="auto"/>
                <w:szCs w:val="24"/>
              </w:rPr>
              <w:t>职称</w:t>
            </w:r>
          </w:p>
        </w:tc>
        <w:tc>
          <w:tcPr>
            <w:tcW w:w="1680" w:type="dxa"/>
            <w:gridSpan w:val="2"/>
            <w:tcBorders>
              <w:top w:val="single" w:color="auto" w:sz="4" w:space="0"/>
              <w:left w:val="single" w:color="auto" w:sz="4" w:space="0"/>
              <w:bottom w:val="single" w:color="auto" w:sz="4" w:space="0"/>
              <w:right w:val="single" w:color="auto" w:sz="4" w:space="0"/>
            </w:tcBorders>
            <w:vAlign w:val="center"/>
          </w:tcPr>
          <w:p>
            <w:pPr>
              <w:pStyle w:val="172"/>
              <w:spacing w:line="480" w:lineRule="exact"/>
              <w:ind w:firstLine="210"/>
              <w:jc w:val="center"/>
              <w:rPr>
                <w:rFonts w:hint="eastAsia" w:ascii="宋体" w:hAnsi="宋体" w:eastAsia="宋体" w:cs="宋体"/>
                <w:color w:val="auto"/>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172"/>
              <w:spacing w:line="480" w:lineRule="exact"/>
              <w:rPr>
                <w:rFonts w:hint="eastAsia" w:ascii="宋体" w:hAnsi="宋体" w:eastAsia="宋体" w:cs="宋体"/>
                <w:color w:val="auto"/>
                <w:szCs w:val="24"/>
              </w:rPr>
            </w:pPr>
            <w:r>
              <w:rPr>
                <w:rFonts w:hint="eastAsia" w:ascii="宋体" w:hAnsi="宋体" w:eastAsia="宋体" w:cs="宋体"/>
                <w:color w:val="auto"/>
                <w:szCs w:val="24"/>
              </w:rPr>
              <w:t>注册证书初始日期</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pStyle w:val="172"/>
              <w:spacing w:line="480" w:lineRule="exact"/>
              <w:ind w:firstLine="210"/>
              <w:jc w:val="center"/>
              <w:rPr>
                <w:rFonts w:hint="eastAsia" w:ascii="宋体" w:hAnsi="宋体" w:eastAsia="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60" w:type="dxa"/>
            <w:gridSpan w:val="2"/>
            <w:tcBorders>
              <w:top w:val="single" w:color="auto" w:sz="4" w:space="0"/>
              <w:left w:val="single" w:color="auto" w:sz="4" w:space="0"/>
              <w:bottom w:val="single" w:color="auto" w:sz="4" w:space="0"/>
              <w:right w:val="single" w:color="auto" w:sz="4" w:space="0"/>
            </w:tcBorders>
            <w:vAlign w:val="center"/>
          </w:tcPr>
          <w:p>
            <w:pPr>
              <w:pStyle w:val="172"/>
              <w:spacing w:line="480" w:lineRule="exact"/>
              <w:rPr>
                <w:rFonts w:hint="eastAsia" w:ascii="宋体" w:hAnsi="宋体" w:eastAsia="宋体" w:cs="宋体"/>
                <w:color w:val="auto"/>
                <w:szCs w:val="24"/>
              </w:rPr>
            </w:pPr>
            <w:r>
              <w:rPr>
                <w:rFonts w:hint="eastAsia" w:ascii="宋体" w:hAnsi="宋体" w:eastAsia="宋体" w:cs="宋体"/>
                <w:color w:val="auto"/>
                <w:szCs w:val="24"/>
              </w:rPr>
              <w:t>参加工作时间</w:t>
            </w:r>
          </w:p>
        </w:tc>
        <w:tc>
          <w:tcPr>
            <w:tcW w:w="1765" w:type="dxa"/>
            <w:gridSpan w:val="3"/>
            <w:tcBorders>
              <w:top w:val="single" w:color="auto" w:sz="4" w:space="0"/>
              <w:left w:val="single" w:color="auto" w:sz="4" w:space="0"/>
              <w:bottom w:val="single" w:color="auto" w:sz="4" w:space="0"/>
              <w:right w:val="single" w:color="auto" w:sz="4" w:space="0"/>
            </w:tcBorders>
            <w:vAlign w:val="center"/>
          </w:tcPr>
          <w:p>
            <w:pPr>
              <w:pStyle w:val="172"/>
              <w:spacing w:line="480" w:lineRule="exact"/>
              <w:ind w:firstLine="210"/>
              <w:jc w:val="center"/>
              <w:rPr>
                <w:rFonts w:hint="eastAsia" w:ascii="宋体" w:hAnsi="宋体" w:eastAsia="宋体" w:cs="宋体"/>
                <w:color w:val="auto"/>
                <w:szCs w:val="24"/>
              </w:rPr>
            </w:pPr>
          </w:p>
        </w:tc>
        <w:tc>
          <w:tcPr>
            <w:tcW w:w="2625" w:type="dxa"/>
            <w:gridSpan w:val="3"/>
            <w:tcBorders>
              <w:top w:val="single" w:color="auto" w:sz="4" w:space="0"/>
              <w:left w:val="single" w:color="auto" w:sz="4" w:space="0"/>
              <w:bottom w:val="single" w:color="auto" w:sz="4" w:space="0"/>
              <w:right w:val="single" w:color="auto" w:sz="4" w:space="0"/>
            </w:tcBorders>
            <w:vAlign w:val="center"/>
          </w:tcPr>
          <w:p>
            <w:pPr>
              <w:pStyle w:val="172"/>
              <w:spacing w:line="480" w:lineRule="exact"/>
              <w:ind w:firstLine="210"/>
              <w:jc w:val="center"/>
              <w:rPr>
                <w:rFonts w:hint="eastAsia" w:ascii="宋体" w:hAnsi="宋体" w:eastAsia="宋体" w:cs="宋体"/>
                <w:color w:val="auto"/>
                <w:szCs w:val="24"/>
              </w:rPr>
            </w:pPr>
            <w:r>
              <w:rPr>
                <w:rFonts w:hint="eastAsia" w:ascii="宋体" w:hAnsi="宋体" w:eastAsia="宋体" w:cs="宋体"/>
                <w:color w:val="auto"/>
                <w:szCs w:val="24"/>
              </w:rPr>
              <w:t>担任项目负责人年限</w:t>
            </w:r>
          </w:p>
        </w:tc>
        <w:tc>
          <w:tcPr>
            <w:tcW w:w="1395" w:type="dxa"/>
            <w:tcBorders>
              <w:top w:val="single" w:color="auto" w:sz="4" w:space="0"/>
              <w:left w:val="single" w:color="auto" w:sz="4" w:space="0"/>
              <w:bottom w:val="single" w:color="auto" w:sz="4" w:space="0"/>
              <w:right w:val="single" w:color="auto" w:sz="4" w:space="0"/>
            </w:tcBorders>
            <w:vAlign w:val="center"/>
          </w:tcPr>
          <w:p>
            <w:pPr>
              <w:pStyle w:val="172"/>
              <w:spacing w:line="480" w:lineRule="exact"/>
              <w:ind w:firstLine="210"/>
              <w:jc w:val="left"/>
              <w:rPr>
                <w:rFonts w:hint="eastAsia" w:ascii="宋体" w:hAnsi="宋体" w:eastAsia="宋体" w:cs="宋体"/>
                <w:color w:val="auto"/>
                <w:szCs w:val="24"/>
              </w:rPr>
            </w:pPr>
          </w:p>
        </w:tc>
      </w:tr>
    </w:tbl>
    <w:p>
      <w:pPr>
        <w:tabs>
          <w:tab w:val="left" w:pos="5580"/>
        </w:tabs>
        <w:spacing w:before="156" w:beforeLines="50" w:after="156" w:afterLines="50"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说明：本表须附身份证、</w:t>
      </w:r>
      <w:r>
        <w:rPr>
          <w:rFonts w:hint="eastAsia" w:ascii="宋体" w:hAnsi="宋体" w:eastAsia="宋体" w:cs="宋体"/>
          <w:color w:val="auto"/>
          <w:sz w:val="24"/>
          <w:szCs w:val="24"/>
          <w:lang w:val="en-US" w:eastAsia="zh-CN"/>
        </w:rPr>
        <w:t>学历证、</w:t>
      </w:r>
      <w:r>
        <w:rPr>
          <w:rFonts w:hint="eastAsia" w:ascii="宋体" w:hAnsi="宋体" w:eastAsia="宋体" w:cs="宋体"/>
          <w:color w:val="auto"/>
          <w:sz w:val="24"/>
          <w:szCs w:val="24"/>
        </w:rPr>
        <w:t>注册证书、专业技术职称资格证书、近半年社保缴纳证明、</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rPr>
        <w:t>类似业绩（</w:t>
      </w:r>
      <w:r>
        <w:rPr>
          <w:rFonts w:hint="eastAsia" w:ascii="宋体" w:hAnsi="宋体" w:eastAsia="宋体" w:cs="宋体"/>
          <w:color w:val="auto"/>
          <w:sz w:val="24"/>
          <w:szCs w:val="24"/>
          <w:lang w:val="en-US" w:eastAsia="zh-CN"/>
        </w:rPr>
        <w:t>业绩需提供</w:t>
      </w:r>
      <w:r>
        <w:rPr>
          <w:rFonts w:hint="eastAsia" w:ascii="宋体" w:hAnsi="宋体" w:cs="宋体"/>
          <w:color w:val="auto"/>
          <w:sz w:val="24"/>
          <w:szCs w:val="24"/>
          <w:lang w:val="en-US" w:eastAsia="zh-CN"/>
        </w:rPr>
        <w:t>中标通知书或合同复印件</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）等证明材料</w:t>
      </w:r>
      <w:r>
        <w:rPr>
          <w:rFonts w:hint="eastAsia" w:ascii="宋体" w:hAnsi="宋体" w:eastAsia="宋体" w:cs="宋体"/>
          <w:color w:val="auto"/>
          <w:sz w:val="24"/>
          <w:szCs w:val="24"/>
          <w:lang w:val="en-US" w:eastAsia="zh-CN"/>
        </w:rPr>
        <w:t>复印件</w:t>
      </w:r>
    </w:p>
    <w:p>
      <w:pPr>
        <w:spacing w:line="480" w:lineRule="exact"/>
        <w:ind w:firstLine="480" w:firstLineChars="200"/>
        <w:rPr>
          <w:rFonts w:hint="eastAsia" w:ascii="宋体" w:hAnsi="宋体" w:eastAsia="宋体" w:cs="宋体"/>
          <w:color w:val="auto"/>
          <w:sz w:val="24"/>
          <w:szCs w:val="24"/>
        </w:rPr>
      </w:pPr>
    </w:p>
    <w:p>
      <w:pPr>
        <w:spacing w:line="480" w:lineRule="exact"/>
        <w:ind w:firstLine="5760" w:firstLineChars="24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供应商名称（盖章）：                            </w:t>
      </w:r>
    </w:p>
    <w:p>
      <w:pPr>
        <w:spacing w:line="480" w:lineRule="exact"/>
        <w:ind w:firstLine="5040" w:firstLineChars="2100"/>
        <w:rPr>
          <w:rFonts w:hint="eastAsia" w:ascii="宋体" w:hAnsi="宋体" w:eastAsia="宋体" w:cs="宋体"/>
          <w:color w:val="auto"/>
          <w:sz w:val="24"/>
          <w:szCs w:val="24"/>
        </w:rPr>
      </w:pPr>
    </w:p>
    <w:p>
      <w:pPr>
        <w:snapToGrid w:val="0"/>
        <w:spacing w:before="50" w:after="50" w:line="480" w:lineRule="exact"/>
        <w:ind w:left="6335" w:leftChars="331" w:right="-817" w:rightChars="-389" w:hanging="5640" w:hangingChars="2350"/>
        <w:jc w:val="lef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日期：    年   月   日</w:t>
      </w:r>
    </w:p>
    <w:p>
      <w:pPr>
        <w:spacing w:line="480" w:lineRule="exact"/>
        <w:rPr>
          <w:rFonts w:hint="eastAsia" w:ascii="宋体" w:hAnsi="宋体" w:eastAsia="宋体" w:cs="宋体"/>
          <w:b/>
          <w:color w:val="auto"/>
          <w:sz w:val="24"/>
          <w:szCs w:val="24"/>
        </w:rPr>
      </w:pPr>
    </w:p>
    <w:p>
      <w:pPr>
        <w:pStyle w:val="8"/>
        <w:spacing w:line="480" w:lineRule="exact"/>
        <w:rPr>
          <w:rFonts w:hint="eastAsia" w:ascii="宋体" w:hAnsi="宋体" w:eastAsia="宋体" w:cs="宋体"/>
          <w:color w:val="auto"/>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pStyle w:val="2"/>
        <w:widowControl w:val="0"/>
        <w:numPr>
          <w:ilvl w:val="0"/>
          <w:numId w:val="0"/>
        </w:numPr>
        <w:jc w:val="both"/>
        <w:rPr>
          <w:rFonts w:hint="eastAsia"/>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pStyle w:val="8"/>
        <w:rPr>
          <w:rFonts w:hint="eastAsia" w:ascii="宋体" w:hAnsi="宋体" w:eastAsia="宋体" w:cs="宋体"/>
          <w:color w:val="auto"/>
        </w:rPr>
      </w:pPr>
    </w:p>
    <w:p>
      <w:pPr>
        <w:rPr>
          <w:rFonts w:hint="eastAsia" w:ascii="宋体" w:hAnsi="宋体" w:eastAsia="宋体" w:cs="宋体"/>
          <w:color w:val="auto"/>
        </w:rPr>
      </w:pPr>
    </w:p>
    <w:p>
      <w:pPr>
        <w:spacing w:line="480" w:lineRule="exact"/>
        <w:rPr>
          <w:rFonts w:hint="eastAsia" w:ascii="宋体" w:hAnsi="宋体" w:eastAsia="宋体" w:cs="宋体"/>
          <w:b/>
          <w:color w:val="auto"/>
          <w:sz w:val="24"/>
          <w:szCs w:val="24"/>
        </w:rPr>
      </w:pPr>
    </w:p>
    <w:p>
      <w:pPr>
        <w:pStyle w:val="30"/>
        <w:ind w:firstLine="480"/>
        <w:rPr>
          <w:rFonts w:hint="eastAsia" w:ascii="宋体" w:hAnsi="宋体" w:eastAsia="宋体" w:cs="宋体"/>
          <w:color w:val="auto"/>
          <w:sz w:val="24"/>
          <w:szCs w:val="24"/>
        </w:rPr>
      </w:pPr>
    </w:p>
    <w:p>
      <w:pPr>
        <w:spacing w:line="480" w:lineRule="exact"/>
        <w:outlineLvl w:val="0"/>
        <w:rPr>
          <w:rFonts w:hint="eastAsia" w:ascii="宋体" w:hAnsi="宋体" w:eastAsia="宋体" w:cs="宋体"/>
          <w:bCs/>
          <w:color w:val="auto"/>
          <w:sz w:val="24"/>
          <w:szCs w:val="24"/>
        </w:rPr>
      </w:pPr>
      <w:bookmarkStart w:id="155" w:name="_Toc15298"/>
      <w:bookmarkStart w:id="156" w:name="_Toc2307"/>
      <w:bookmarkStart w:id="157" w:name="_Toc28982"/>
      <w:r>
        <w:rPr>
          <w:rFonts w:hint="eastAsia" w:ascii="宋体" w:hAnsi="宋体" w:eastAsia="宋体" w:cs="宋体"/>
          <w:b/>
          <w:color w:val="auto"/>
          <w:sz w:val="24"/>
          <w:szCs w:val="24"/>
        </w:rPr>
        <w:t>附件5、其他服务承诺</w:t>
      </w:r>
      <w:bookmarkEnd w:id="155"/>
      <w:bookmarkEnd w:id="156"/>
      <w:bookmarkEnd w:id="157"/>
    </w:p>
    <w:p>
      <w:pPr>
        <w:pStyle w:val="6"/>
        <w:spacing w:line="480" w:lineRule="exact"/>
        <w:ind w:firstLine="480"/>
        <w:rPr>
          <w:rFonts w:hint="eastAsia" w:ascii="宋体" w:hAnsi="宋体" w:eastAsia="宋体" w:cs="宋体"/>
          <w:bCs/>
          <w:color w:val="auto"/>
          <w:sz w:val="24"/>
          <w:szCs w:val="24"/>
        </w:rPr>
      </w:pPr>
      <w:r>
        <w:rPr>
          <w:rFonts w:hint="eastAsia" w:ascii="宋体" w:hAnsi="宋体" w:eastAsia="宋体" w:cs="宋体"/>
          <w:bCs/>
          <w:color w:val="auto"/>
          <w:sz w:val="24"/>
          <w:szCs w:val="24"/>
        </w:rPr>
        <w:t>（格式自拟）</w:t>
      </w: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rPr>
          <w:rFonts w:hint="eastAsia" w:ascii="宋体" w:hAnsi="宋体" w:eastAsia="宋体" w:cs="宋体"/>
          <w:b/>
          <w:color w:val="auto"/>
          <w:sz w:val="24"/>
          <w:szCs w:val="24"/>
        </w:rPr>
      </w:pPr>
    </w:p>
    <w:p>
      <w:pPr>
        <w:spacing w:line="480" w:lineRule="exact"/>
        <w:outlineLvl w:val="0"/>
        <w:rPr>
          <w:rFonts w:hint="eastAsia" w:ascii="宋体" w:hAnsi="宋体" w:eastAsia="宋体" w:cs="宋体"/>
          <w:b/>
          <w:color w:val="auto"/>
          <w:sz w:val="24"/>
          <w:szCs w:val="24"/>
        </w:rPr>
      </w:pPr>
      <w:bookmarkStart w:id="158" w:name="_Toc8030"/>
      <w:bookmarkStart w:id="159" w:name="_Toc21096"/>
      <w:bookmarkStart w:id="160" w:name="_Toc5862"/>
      <w:r>
        <w:rPr>
          <w:rFonts w:hint="eastAsia" w:ascii="宋体" w:hAnsi="宋体" w:eastAsia="宋体" w:cs="宋体"/>
          <w:b/>
          <w:color w:val="auto"/>
          <w:sz w:val="24"/>
          <w:szCs w:val="24"/>
        </w:rPr>
        <w:t>附件6、供应商认为需要提供的其他材料</w:t>
      </w:r>
      <w:bookmarkEnd w:id="158"/>
      <w:bookmarkEnd w:id="159"/>
      <w:bookmarkEnd w:id="160"/>
    </w:p>
    <w:p>
      <w:pPr>
        <w:pStyle w:val="6"/>
        <w:spacing w:line="480" w:lineRule="exact"/>
        <w:ind w:firstLine="480"/>
        <w:rPr>
          <w:rFonts w:hint="eastAsia" w:ascii="宋体" w:hAnsi="宋体" w:eastAsia="宋体" w:cs="宋体"/>
          <w:color w:val="auto"/>
          <w:sz w:val="24"/>
          <w:szCs w:val="24"/>
        </w:rPr>
      </w:pPr>
      <w:r>
        <w:rPr>
          <w:rFonts w:hint="eastAsia" w:ascii="宋体" w:hAnsi="宋体" w:eastAsia="宋体" w:cs="宋体"/>
          <w:bCs/>
          <w:color w:val="auto"/>
          <w:sz w:val="24"/>
          <w:szCs w:val="24"/>
        </w:rPr>
        <w:t>（格式自拟）</w:t>
      </w:r>
    </w:p>
    <w:p>
      <w:pPr>
        <w:pStyle w:val="8"/>
        <w:spacing w:line="480" w:lineRule="exact"/>
        <w:rPr>
          <w:rFonts w:hint="eastAsia" w:ascii="宋体" w:hAnsi="宋体" w:eastAsia="宋体" w:cs="宋体"/>
          <w:color w:val="auto"/>
        </w:rPr>
      </w:pPr>
    </w:p>
    <w:p>
      <w:pPr>
        <w:spacing w:line="480" w:lineRule="exact"/>
        <w:rPr>
          <w:rFonts w:hint="eastAsia" w:ascii="宋体" w:hAnsi="宋体" w:eastAsia="宋体" w:cs="宋体"/>
          <w:color w:val="auto"/>
          <w:sz w:val="24"/>
          <w:szCs w:val="24"/>
        </w:rPr>
      </w:pPr>
    </w:p>
    <w:p>
      <w:pPr>
        <w:pStyle w:val="8"/>
        <w:spacing w:line="480" w:lineRule="exact"/>
        <w:rPr>
          <w:rFonts w:hint="eastAsia" w:ascii="宋体" w:hAnsi="宋体" w:eastAsia="宋体" w:cs="宋体"/>
          <w:color w:val="auto"/>
        </w:rPr>
      </w:pPr>
    </w:p>
    <w:p>
      <w:pPr>
        <w:spacing w:line="480" w:lineRule="exact"/>
        <w:rPr>
          <w:rFonts w:hint="eastAsia" w:ascii="宋体" w:hAnsi="宋体" w:eastAsia="宋体" w:cs="宋体"/>
          <w:color w:val="auto"/>
          <w:sz w:val="24"/>
          <w:szCs w:val="24"/>
        </w:rPr>
      </w:pPr>
    </w:p>
    <w:p>
      <w:pPr>
        <w:pStyle w:val="8"/>
        <w:spacing w:line="480" w:lineRule="exact"/>
        <w:rPr>
          <w:rFonts w:hint="eastAsia" w:ascii="宋体" w:hAnsi="宋体" w:eastAsia="宋体" w:cs="宋体"/>
          <w:color w:val="auto"/>
        </w:rPr>
      </w:pPr>
    </w:p>
    <w:p>
      <w:pPr>
        <w:pStyle w:val="21"/>
        <w:spacing w:line="480" w:lineRule="exact"/>
        <w:rPr>
          <w:rFonts w:hint="eastAsia" w:ascii="宋体" w:hAnsi="宋体" w:eastAsia="宋体" w:cs="宋体"/>
          <w:b/>
          <w:bCs/>
          <w:color w:val="auto"/>
          <w:sz w:val="24"/>
          <w:szCs w:val="24"/>
        </w:rPr>
      </w:pPr>
    </w:p>
    <w:sectPr>
      <w:headerReference r:id="rId12" w:type="default"/>
      <w:footerReference r:id="rId1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opperplate Gothic Bold">
    <w:altName w:val="Segoe Print"/>
    <w:panose1 w:val="00000000000000000000"/>
    <w:charset w:val="00"/>
    <w:family w:val="swiss"/>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320"/>
        <w:tab w:val="right" w:pos="8640"/>
        <w:tab w:val="clear" w:pos="4153"/>
        <w:tab w:val="clear" w:pos="8306"/>
      </w:tabs>
      <w:rPr>
        <w:rStyle w:val="36"/>
      </w:rPr>
    </w:pPr>
  </w:p>
  <w:p>
    <w:pPr>
      <w:pStyle w:val="21"/>
      <w:tabs>
        <w:tab w:val="center" w:pos="4320"/>
        <w:tab w:val="right" w:pos="864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320"/>
        <w:tab w:val="right" w:pos="8640"/>
        <w:tab w:val="clear" w:pos="4153"/>
        <w:tab w:val="clear" w:pos="8306"/>
      </w:tabs>
      <w:rPr>
        <w:rStyle w:val="36"/>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3</w:t>
                    </w:r>
                    <w:r>
                      <w:fldChar w:fldCharType="end"/>
                    </w:r>
                  </w:p>
                </w:txbxContent>
              </v:textbox>
            </v:shape>
          </w:pict>
        </mc:Fallback>
      </mc:AlternateContent>
    </w:r>
  </w:p>
  <w:p>
    <w:pPr>
      <w:pStyle w:val="21"/>
      <w:tabs>
        <w:tab w:val="center" w:pos="4320"/>
        <w:tab w:val="right" w:pos="8640"/>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dashDotStroked" w:color="auto" w:sz="24" w:space="0"/>
      </w:pBdr>
    </w:pPr>
    <w:r>
      <w:rPr>
        <w:rFonts w:hint="eastAsia"/>
        <w:b/>
        <w:i/>
      </w:rPr>
      <w:t>电话：0991-8897121传真：0991-8897121</w:t>
    </w:r>
    <w:r>
      <w:rPr>
        <w:rFonts w:hint="eastAsia"/>
        <w:b/>
      </w:rPr>
      <w:t xml:space="preserve">   </w:t>
    </w:r>
    <w:r>
      <w:rPr>
        <w:b/>
      </w:rPr>
      <w:t xml:space="preserve">    </w:t>
    </w:r>
    <w:r>
      <w:rPr>
        <w:rFonts w:hint="eastAsia"/>
        <w:b/>
      </w:rPr>
      <w:t xml:space="preserve">                                                  </w:t>
    </w:r>
    <w:r>
      <w:rPr>
        <w:rFonts w:hint="eastAsia"/>
        <w:b/>
        <w:i/>
      </w:rPr>
      <w:t>新疆昌盛方略项目管理有限公司编制</w:t>
    </w:r>
  </w:p>
  <w:p>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70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ashDotStroked" w:color="auto" w:sz="24" w:space="1"/>
      </w:pBdr>
      <w:jc w:val="both"/>
    </w:pPr>
    <w:r>
      <w:rPr>
        <w:rFonts w:hint="eastAsia"/>
        <w:b/>
        <w:bCs/>
        <w:i/>
        <w:iCs/>
      </w:rPr>
      <w:t>新疆冠农天府果蔬食品有限责任公司饮料前处理设备竞争性磋商文件                                                                                    编号0689-xtgj0412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Style w:val="165"/>
        <w:u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7AAAD"/>
    <w:multiLevelType w:val="singleLevel"/>
    <w:tmpl w:val="8C37AAAD"/>
    <w:lvl w:ilvl="0" w:tentative="0">
      <w:start w:val="1"/>
      <w:numFmt w:val="decimal"/>
      <w:lvlText w:val="%1."/>
      <w:lvlJc w:val="left"/>
      <w:pPr>
        <w:tabs>
          <w:tab w:val="left" w:pos="312"/>
        </w:tabs>
      </w:pPr>
    </w:lvl>
  </w:abstractNum>
  <w:abstractNum w:abstractNumId="1">
    <w:nsid w:val="96E3356E"/>
    <w:multiLevelType w:val="singleLevel"/>
    <w:tmpl w:val="96E3356E"/>
    <w:lvl w:ilvl="0" w:tentative="0">
      <w:start w:val="1"/>
      <w:numFmt w:val="chineseCounting"/>
      <w:suff w:val="space"/>
      <w:lvlText w:val="第%1章"/>
      <w:lvlJc w:val="left"/>
      <w:rPr>
        <w:rFonts w:hint="eastAsia"/>
      </w:rPr>
    </w:lvl>
  </w:abstractNum>
  <w:abstractNum w:abstractNumId="2">
    <w:nsid w:val="B18BD565"/>
    <w:multiLevelType w:val="singleLevel"/>
    <w:tmpl w:val="B18BD565"/>
    <w:lvl w:ilvl="0" w:tentative="0">
      <w:start w:val="6"/>
      <w:numFmt w:val="chineseCounting"/>
      <w:suff w:val="space"/>
      <w:lvlText w:val="第%1章"/>
      <w:lvlJc w:val="left"/>
      <w:pPr>
        <w:ind w:left="2940"/>
      </w:pPr>
      <w:rPr>
        <w:rFonts w:hint="eastAsia"/>
      </w:rPr>
    </w:lvl>
  </w:abstractNum>
  <w:abstractNum w:abstractNumId="3">
    <w:nsid w:val="CB1E2E03"/>
    <w:multiLevelType w:val="singleLevel"/>
    <w:tmpl w:val="CB1E2E03"/>
    <w:lvl w:ilvl="0" w:tentative="0">
      <w:start w:val="1"/>
      <w:numFmt w:val="bullet"/>
      <w:pStyle w:val="2"/>
      <w:lvlText w:val=""/>
      <w:lvlJc w:val="left"/>
      <w:pPr>
        <w:tabs>
          <w:tab w:val="left" w:pos="1200"/>
        </w:tabs>
        <w:ind w:left="1200" w:hanging="360"/>
      </w:pPr>
      <w:rPr>
        <w:rFonts w:hint="default" w:ascii="Wingdings" w:hAnsi="Wingdings"/>
      </w:rPr>
    </w:lvl>
  </w:abstractNum>
  <w:abstractNum w:abstractNumId="4">
    <w:nsid w:val="D092732E"/>
    <w:multiLevelType w:val="singleLevel"/>
    <w:tmpl w:val="D092732E"/>
    <w:lvl w:ilvl="0" w:tentative="0">
      <w:start w:val="1"/>
      <w:numFmt w:val="decimal"/>
      <w:pStyle w:val="17"/>
      <w:lvlText w:val="%1."/>
      <w:lvlJc w:val="left"/>
      <w:pPr>
        <w:tabs>
          <w:tab w:val="left" w:pos="2040"/>
        </w:tabs>
        <w:ind w:left="2040" w:hanging="360"/>
      </w:pPr>
    </w:lvl>
  </w:abstractNum>
  <w:abstractNum w:abstractNumId="5">
    <w:nsid w:val="1F3C70D3"/>
    <w:multiLevelType w:val="singleLevel"/>
    <w:tmpl w:val="1F3C70D3"/>
    <w:lvl w:ilvl="0" w:tentative="0">
      <w:start w:val="2"/>
      <w:numFmt w:val="chineseCounting"/>
      <w:lvlText w:val="%1."/>
      <w:lvlJc w:val="left"/>
      <w:pPr>
        <w:tabs>
          <w:tab w:val="left" w:pos="312"/>
        </w:tabs>
      </w:pPr>
      <w:rPr>
        <w:rFonts w:hint="eastAsia"/>
      </w:rPr>
    </w:lvl>
  </w:abstractNum>
  <w:abstractNum w:abstractNumId="6">
    <w:nsid w:val="403F59B1"/>
    <w:multiLevelType w:val="singleLevel"/>
    <w:tmpl w:val="403F59B1"/>
    <w:lvl w:ilvl="0" w:tentative="0">
      <w:start w:val="4"/>
      <w:numFmt w:val="chineseCounting"/>
      <w:suff w:val="space"/>
      <w:lvlText w:val="第%1章"/>
      <w:lvlJc w:val="left"/>
      <w:rPr>
        <w:rFonts w:hint="eastAsia"/>
      </w:rPr>
    </w:lvl>
  </w:abstractNum>
  <w:abstractNum w:abstractNumId="7">
    <w:nsid w:val="5130A947"/>
    <w:multiLevelType w:val="singleLevel"/>
    <w:tmpl w:val="5130A947"/>
    <w:lvl w:ilvl="0" w:tentative="0">
      <w:start w:val="3"/>
      <w:numFmt w:val="decimal"/>
      <w:suff w:val="nothing"/>
      <w:lvlText w:val="%1、"/>
      <w:lvlJc w:val="left"/>
    </w:lvl>
  </w:abstractNum>
  <w:abstractNum w:abstractNumId="8">
    <w:nsid w:val="58CF1A1F"/>
    <w:multiLevelType w:val="singleLevel"/>
    <w:tmpl w:val="58CF1A1F"/>
    <w:lvl w:ilvl="0" w:tentative="0">
      <w:start w:val="1"/>
      <w:numFmt w:val="decimal"/>
      <w:suff w:val="nothing"/>
      <w:lvlText w:val="（%1）"/>
      <w:lvlJc w:val="left"/>
    </w:lvl>
  </w:abstractNum>
  <w:abstractNum w:abstractNumId="9">
    <w:nsid w:val="6177B2A4"/>
    <w:multiLevelType w:val="singleLevel"/>
    <w:tmpl w:val="6177B2A4"/>
    <w:lvl w:ilvl="0" w:tentative="0">
      <w:start w:val="7"/>
      <w:numFmt w:val="chineseCounting"/>
      <w:suff w:val="nothing"/>
      <w:lvlText w:val="%1、"/>
      <w:lvlJc w:val="left"/>
      <w:rPr>
        <w:rFonts w:hint="eastAsia"/>
      </w:rPr>
    </w:lvl>
  </w:abstractNum>
  <w:abstractNum w:abstractNumId="10">
    <w:nsid w:val="61B0DCED"/>
    <w:multiLevelType w:val="multilevel"/>
    <w:tmpl w:val="61B0DCED"/>
    <w:lvl w:ilvl="0" w:tentative="0">
      <w:start w:val="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num w:numId="1">
    <w:abstractNumId w:val="3"/>
  </w:num>
  <w:num w:numId="2">
    <w:abstractNumId w:val="4"/>
  </w:num>
  <w:num w:numId="3">
    <w:abstractNumId w:val="1"/>
  </w:num>
  <w:num w:numId="4">
    <w:abstractNumId w:val="9"/>
  </w:num>
  <w:num w:numId="5">
    <w:abstractNumId w:val="0"/>
  </w:num>
  <w:num w:numId="6">
    <w:abstractNumId w:val="8"/>
  </w:num>
  <w:num w:numId="7">
    <w:abstractNumId w:val="6"/>
  </w:num>
  <w:num w:numId="8">
    <w:abstractNumId w:val="5"/>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WI1N2IwYjczOGVkNmZiYjMzYWMxMzU5Y2Q2NmYifQ=="/>
  </w:docVars>
  <w:rsids>
    <w:rsidRoot w:val="0FAA24C9"/>
    <w:rsid w:val="000533CC"/>
    <w:rsid w:val="0005636A"/>
    <w:rsid w:val="00113C67"/>
    <w:rsid w:val="00137C3C"/>
    <w:rsid w:val="00164EBE"/>
    <w:rsid w:val="001A23D0"/>
    <w:rsid w:val="001D75E9"/>
    <w:rsid w:val="001F096B"/>
    <w:rsid w:val="00201E59"/>
    <w:rsid w:val="00272E2F"/>
    <w:rsid w:val="00276675"/>
    <w:rsid w:val="002C104D"/>
    <w:rsid w:val="002F25F3"/>
    <w:rsid w:val="00307D19"/>
    <w:rsid w:val="00355B31"/>
    <w:rsid w:val="00384E4C"/>
    <w:rsid w:val="003A2606"/>
    <w:rsid w:val="003B7896"/>
    <w:rsid w:val="003E58D2"/>
    <w:rsid w:val="003E66C3"/>
    <w:rsid w:val="004318FB"/>
    <w:rsid w:val="004623E0"/>
    <w:rsid w:val="00477C57"/>
    <w:rsid w:val="004B0AA2"/>
    <w:rsid w:val="004F0D6C"/>
    <w:rsid w:val="004F5093"/>
    <w:rsid w:val="005252A7"/>
    <w:rsid w:val="00550B79"/>
    <w:rsid w:val="00562356"/>
    <w:rsid w:val="00586B78"/>
    <w:rsid w:val="005B4664"/>
    <w:rsid w:val="00633250"/>
    <w:rsid w:val="00637011"/>
    <w:rsid w:val="00674B66"/>
    <w:rsid w:val="007113E6"/>
    <w:rsid w:val="0075194A"/>
    <w:rsid w:val="007B0F2E"/>
    <w:rsid w:val="007E7539"/>
    <w:rsid w:val="007F7B59"/>
    <w:rsid w:val="0088405D"/>
    <w:rsid w:val="00906363"/>
    <w:rsid w:val="00991756"/>
    <w:rsid w:val="009A0272"/>
    <w:rsid w:val="009F1128"/>
    <w:rsid w:val="00A12AB8"/>
    <w:rsid w:val="00AC24C9"/>
    <w:rsid w:val="00AF22B4"/>
    <w:rsid w:val="00B04CFB"/>
    <w:rsid w:val="00B31156"/>
    <w:rsid w:val="00B744A5"/>
    <w:rsid w:val="00BB075F"/>
    <w:rsid w:val="00C277B6"/>
    <w:rsid w:val="00C921E7"/>
    <w:rsid w:val="00CA6428"/>
    <w:rsid w:val="00CA6B39"/>
    <w:rsid w:val="00CC2E22"/>
    <w:rsid w:val="00CC666C"/>
    <w:rsid w:val="00D06400"/>
    <w:rsid w:val="00D16AD3"/>
    <w:rsid w:val="00D43CAF"/>
    <w:rsid w:val="00D70D74"/>
    <w:rsid w:val="00D82787"/>
    <w:rsid w:val="00DA30C1"/>
    <w:rsid w:val="00DB44BB"/>
    <w:rsid w:val="00DB74C5"/>
    <w:rsid w:val="00DD153B"/>
    <w:rsid w:val="00DE71BF"/>
    <w:rsid w:val="00E85A96"/>
    <w:rsid w:val="00EC248C"/>
    <w:rsid w:val="00ED3A26"/>
    <w:rsid w:val="00F06523"/>
    <w:rsid w:val="00FC0541"/>
    <w:rsid w:val="010D1216"/>
    <w:rsid w:val="01154D6C"/>
    <w:rsid w:val="011C7D8D"/>
    <w:rsid w:val="013802E1"/>
    <w:rsid w:val="01500BCF"/>
    <w:rsid w:val="016842F5"/>
    <w:rsid w:val="016B10BF"/>
    <w:rsid w:val="01814E06"/>
    <w:rsid w:val="01837B27"/>
    <w:rsid w:val="018E5569"/>
    <w:rsid w:val="01B948CE"/>
    <w:rsid w:val="01C34DEB"/>
    <w:rsid w:val="01E07F0A"/>
    <w:rsid w:val="01E4018B"/>
    <w:rsid w:val="01F24EC8"/>
    <w:rsid w:val="01FA5CC7"/>
    <w:rsid w:val="0205454C"/>
    <w:rsid w:val="021063F6"/>
    <w:rsid w:val="02160447"/>
    <w:rsid w:val="02502E75"/>
    <w:rsid w:val="025301E4"/>
    <w:rsid w:val="025B098A"/>
    <w:rsid w:val="025E4419"/>
    <w:rsid w:val="026928EC"/>
    <w:rsid w:val="027935E3"/>
    <w:rsid w:val="0283087A"/>
    <w:rsid w:val="0287325E"/>
    <w:rsid w:val="02A22FFC"/>
    <w:rsid w:val="02B250DA"/>
    <w:rsid w:val="02D94562"/>
    <w:rsid w:val="02E467D7"/>
    <w:rsid w:val="02EE3C8E"/>
    <w:rsid w:val="03042E50"/>
    <w:rsid w:val="03140D1C"/>
    <w:rsid w:val="03194D86"/>
    <w:rsid w:val="031A4756"/>
    <w:rsid w:val="031E75DF"/>
    <w:rsid w:val="03416644"/>
    <w:rsid w:val="035A14B4"/>
    <w:rsid w:val="036613DF"/>
    <w:rsid w:val="039748C3"/>
    <w:rsid w:val="0397697C"/>
    <w:rsid w:val="039A3530"/>
    <w:rsid w:val="039E02DA"/>
    <w:rsid w:val="03AF7AA5"/>
    <w:rsid w:val="03C07D1D"/>
    <w:rsid w:val="03CB7521"/>
    <w:rsid w:val="03CD3699"/>
    <w:rsid w:val="03D367FD"/>
    <w:rsid w:val="03E0619A"/>
    <w:rsid w:val="03E8394F"/>
    <w:rsid w:val="03ED14DD"/>
    <w:rsid w:val="03FB2B4D"/>
    <w:rsid w:val="041604C9"/>
    <w:rsid w:val="041B4F7F"/>
    <w:rsid w:val="043673BB"/>
    <w:rsid w:val="043B1A52"/>
    <w:rsid w:val="043B45AF"/>
    <w:rsid w:val="04456553"/>
    <w:rsid w:val="04507E25"/>
    <w:rsid w:val="046F4A95"/>
    <w:rsid w:val="04700ADD"/>
    <w:rsid w:val="047A1F15"/>
    <w:rsid w:val="04802215"/>
    <w:rsid w:val="049C1399"/>
    <w:rsid w:val="049F179C"/>
    <w:rsid w:val="04B41770"/>
    <w:rsid w:val="04C41524"/>
    <w:rsid w:val="04EF44A2"/>
    <w:rsid w:val="04FC4849"/>
    <w:rsid w:val="050009F6"/>
    <w:rsid w:val="05110136"/>
    <w:rsid w:val="05250C8C"/>
    <w:rsid w:val="052519AC"/>
    <w:rsid w:val="053B54C8"/>
    <w:rsid w:val="054F4FCA"/>
    <w:rsid w:val="0569278C"/>
    <w:rsid w:val="05721901"/>
    <w:rsid w:val="059416D3"/>
    <w:rsid w:val="059C53EE"/>
    <w:rsid w:val="05A01303"/>
    <w:rsid w:val="05A54E44"/>
    <w:rsid w:val="05AA6B7A"/>
    <w:rsid w:val="05AD2F2F"/>
    <w:rsid w:val="05B06B0A"/>
    <w:rsid w:val="05B677BD"/>
    <w:rsid w:val="05BB79A2"/>
    <w:rsid w:val="05BC4EBF"/>
    <w:rsid w:val="05C36F41"/>
    <w:rsid w:val="05E555A9"/>
    <w:rsid w:val="05ED6391"/>
    <w:rsid w:val="05F17B3F"/>
    <w:rsid w:val="05F94FAD"/>
    <w:rsid w:val="06014A09"/>
    <w:rsid w:val="0606276D"/>
    <w:rsid w:val="06072997"/>
    <w:rsid w:val="062A31D9"/>
    <w:rsid w:val="06326298"/>
    <w:rsid w:val="06386789"/>
    <w:rsid w:val="064415AD"/>
    <w:rsid w:val="064D216F"/>
    <w:rsid w:val="065A4CE1"/>
    <w:rsid w:val="065C7911"/>
    <w:rsid w:val="066F0487"/>
    <w:rsid w:val="067A0640"/>
    <w:rsid w:val="0680491F"/>
    <w:rsid w:val="06AE3ED0"/>
    <w:rsid w:val="06C05C91"/>
    <w:rsid w:val="06D43AC3"/>
    <w:rsid w:val="06DD2E85"/>
    <w:rsid w:val="06E70520"/>
    <w:rsid w:val="06E90938"/>
    <w:rsid w:val="06F86ED3"/>
    <w:rsid w:val="06FC5504"/>
    <w:rsid w:val="07056164"/>
    <w:rsid w:val="07071332"/>
    <w:rsid w:val="07083103"/>
    <w:rsid w:val="070C0DE9"/>
    <w:rsid w:val="071518E0"/>
    <w:rsid w:val="07247C28"/>
    <w:rsid w:val="073A2C89"/>
    <w:rsid w:val="074E04D3"/>
    <w:rsid w:val="075122CB"/>
    <w:rsid w:val="075B3E6D"/>
    <w:rsid w:val="075F72C5"/>
    <w:rsid w:val="07612C2A"/>
    <w:rsid w:val="07671619"/>
    <w:rsid w:val="077F773F"/>
    <w:rsid w:val="07880D92"/>
    <w:rsid w:val="07AA14BB"/>
    <w:rsid w:val="07B863A4"/>
    <w:rsid w:val="07BD5605"/>
    <w:rsid w:val="07DB3FE9"/>
    <w:rsid w:val="07F41FC9"/>
    <w:rsid w:val="07F71C96"/>
    <w:rsid w:val="080D0FCE"/>
    <w:rsid w:val="08103B31"/>
    <w:rsid w:val="08164B29"/>
    <w:rsid w:val="08172B86"/>
    <w:rsid w:val="08352CF5"/>
    <w:rsid w:val="08480BA0"/>
    <w:rsid w:val="084942C4"/>
    <w:rsid w:val="085044B5"/>
    <w:rsid w:val="085B7D92"/>
    <w:rsid w:val="085D729A"/>
    <w:rsid w:val="085E311D"/>
    <w:rsid w:val="085F41E7"/>
    <w:rsid w:val="08645CA2"/>
    <w:rsid w:val="08772639"/>
    <w:rsid w:val="08782428"/>
    <w:rsid w:val="088465AE"/>
    <w:rsid w:val="08A536A2"/>
    <w:rsid w:val="08A62B0C"/>
    <w:rsid w:val="08AC4182"/>
    <w:rsid w:val="08B13C8B"/>
    <w:rsid w:val="08B52534"/>
    <w:rsid w:val="08BE6542"/>
    <w:rsid w:val="08BF5E85"/>
    <w:rsid w:val="08C0550B"/>
    <w:rsid w:val="08CD5FAC"/>
    <w:rsid w:val="08D5349F"/>
    <w:rsid w:val="08E663E0"/>
    <w:rsid w:val="08F25909"/>
    <w:rsid w:val="090677E4"/>
    <w:rsid w:val="090F56CC"/>
    <w:rsid w:val="09115EBF"/>
    <w:rsid w:val="09273848"/>
    <w:rsid w:val="09294965"/>
    <w:rsid w:val="0973577B"/>
    <w:rsid w:val="09755361"/>
    <w:rsid w:val="099A631D"/>
    <w:rsid w:val="099A6B36"/>
    <w:rsid w:val="099D723C"/>
    <w:rsid w:val="09A2265A"/>
    <w:rsid w:val="09C52B06"/>
    <w:rsid w:val="09CD5335"/>
    <w:rsid w:val="09CD55A0"/>
    <w:rsid w:val="09CE0CDC"/>
    <w:rsid w:val="09D176A0"/>
    <w:rsid w:val="09D203AF"/>
    <w:rsid w:val="09E6022E"/>
    <w:rsid w:val="09E729EC"/>
    <w:rsid w:val="09F2219C"/>
    <w:rsid w:val="09F948E9"/>
    <w:rsid w:val="09FA1D41"/>
    <w:rsid w:val="09FE1F9C"/>
    <w:rsid w:val="0A4A6EAF"/>
    <w:rsid w:val="0A4C0F8F"/>
    <w:rsid w:val="0A4E3476"/>
    <w:rsid w:val="0A544126"/>
    <w:rsid w:val="0A6B50BE"/>
    <w:rsid w:val="0A772C00"/>
    <w:rsid w:val="0A7D34B5"/>
    <w:rsid w:val="0A926DCA"/>
    <w:rsid w:val="0AA55754"/>
    <w:rsid w:val="0AA56711"/>
    <w:rsid w:val="0AAF451C"/>
    <w:rsid w:val="0AAF76A1"/>
    <w:rsid w:val="0AC36050"/>
    <w:rsid w:val="0ACF5621"/>
    <w:rsid w:val="0AE35771"/>
    <w:rsid w:val="0AE738B8"/>
    <w:rsid w:val="0AEC6BB1"/>
    <w:rsid w:val="0AF52362"/>
    <w:rsid w:val="0AF67A36"/>
    <w:rsid w:val="0B0554E4"/>
    <w:rsid w:val="0B09449C"/>
    <w:rsid w:val="0B0E24E2"/>
    <w:rsid w:val="0B1F3325"/>
    <w:rsid w:val="0B22656E"/>
    <w:rsid w:val="0B326B04"/>
    <w:rsid w:val="0B37442F"/>
    <w:rsid w:val="0B3A3F88"/>
    <w:rsid w:val="0B3C4373"/>
    <w:rsid w:val="0B3F3064"/>
    <w:rsid w:val="0B49098D"/>
    <w:rsid w:val="0B4C0AFC"/>
    <w:rsid w:val="0B58424A"/>
    <w:rsid w:val="0B754425"/>
    <w:rsid w:val="0B85530C"/>
    <w:rsid w:val="0B89515B"/>
    <w:rsid w:val="0B8F578B"/>
    <w:rsid w:val="0B916414"/>
    <w:rsid w:val="0B981928"/>
    <w:rsid w:val="0B9A74E0"/>
    <w:rsid w:val="0BAA2C10"/>
    <w:rsid w:val="0BCD449B"/>
    <w:rsid w:val="0BE15321"/>
    <w:rsid w:val="0C036ABF"/>
    <w:rsid w:val="0C0F1085"/>
    <w:rsid w:val="0C19403F"/>
    <w:rsid w:val="0C226FB7"/>
    <w:rsid w:val="0C243D5F"/>
    <w:rsid w:val="0C262763"/>
    <w:rsid w:val="0C3D0E61"/>
    <w:rsid w:val="0C556FE0"/>
    <w:rsid w:val="0C605926"/>
    <w:rsid w:val="0C667EE1"/>
    <w:rsid w:val="0C936F33"/>
    <w:rsid w:val="0C9A5332"/>
    <w:rsid w:val="0C9B1348"/>
    <w:rsid w:val="0C9F3AAA"/>
    <w:rsid w:val="0CB86BF9"/>
    <w:rsid w:val="0CBD30C0"/>
    <w:rsid w:val="0CBE4718"/>
    <w:rsid w:val="0CBF5962"/>
    <w:rsid w:val="0CC154D4"/>
    <w:rsid w:val="0CDA5183"/>
    <w:rsid w:val="0CED734F"/>
    <w:rsid w:val="0CF514A4"/>
    <w:rsid w:val="0CF664C2"/>
    <w:rsid w:val="0CFE3F9D"/>
    <w:rsid w:val="0CFF4A30"/>
    <w:rsid w:val="0D04166C"/>
    <w:rsid w:val="0D0A5405"/>
    <w:rsid w:val="0D0B3406"/>
    <w:rsid w:val="0D1800F1"/>
    <w:rsid w:val="0D1850CB"/>
    <w:rsid w:val="0D351199"/>
    <w:rsid w:val="0D3D0B2F"/>
    <w:rsid w:val="0D4753EC"/>
    <w:rsid w:val="0D51737D"/>
    <w:rsid w:val="0D7762F7"/>
    <w:rsid w:val="0D8917BD"/>
    <w:rsid w:val="0D956F5E"/>
    <w:rsid w:val="0DB173F8"/>
    <w:rsid w:val="0DD009AF"/>
    <w:rsid w:val="0DD048C9"/>
    <w:rsid w:val="0DD10A36"/>
    <w:rsid w:val="0DDA54A9"/>
    <w:rsid w:val="0DE01BEB"/>
    <w:rsid w:val="0DE86463"/>
    <w:rsid w:val="0DF419D2"/>
    <w:rsid w:val="0DF60B0C"/>
    <w:rsid w:val="0DFA7A51"/>
    <w:rsid w:val="0E0A3C29"/>
    <w:rsid w:val="0E0F52F5"/>
    <w:rsid w:val="0E1B0896"/>
    <w:rsid w:val="0E230D23"/>
    <w:rsid w:val="0E254250"/>
    <w:rsid w:val="0E404EE0"/>
    <w:rsid w:val="0E4723E1"/>
    <w:rsid w:val="0E586123"/>
    <w:rsid w:val="0E605C15"/>
    <w:rsid w:val="0E682BD2"/>
    <w:rsid w:val="0E7578AD"/>
    <w:rsid w:val="0E7604F3"/>
    <w:rsid w:val="0E854374"/>
    <w:rsid w:val="0E870159"/>
    <w:rsid w:val="0E970BC9"/>
    <w:rsid w:val="0E9A43A1"/>
    <w:rsid w:val="0E9E38A2"/>
    <w:rsid w:val="0EB96325"/>
    <w:rsid w:val="0EC17328"/>
    <w:rsid w:val="0EE0544F"/>
    <w:rsid w:val="0EF91AAA"/>
    <w:rsid w:val="0F0041DF"/>
    <w:rsid w:val="0F13565E"/>
    <w:rsid w:val="0F155ADF"/>
    <w:rsid w:val="0F203E31"/>
    <w:rsid w:val="0F372EFF"/>
    <w:rsid w:val="0F4548E8"/>
    <w:rsid w:val="0F56313A"/>
    <w:rsid w:val="0F695347"/>
    <w:rsid w:val="0F81463C"/>
    <w:rsid w:val="0F901EF7"/>
    <w:rsid w:val="0F966961"/>
    <w:rsid w:val="0FAA24C9"/>
    <w:rsid w:val="0FBD29FA"/>
    <w:rsid w:val="0FBF6731"/>
    <w:rsid w:val="0FD33C2A"/>
    <w:rsid w:val="0FD60B62"/>
    <w:rsid w:val="0FE80EEC"/>
    <w:rsid w:val="0FFE5F72"/>
    <w:rsid w:val="10012AFD"/>
    <w:rsid w:val="100331F8"/>
    <w:rsid w:val="1006587F"/>
    <w:rsid w:val="100E0CA0"/>
    <w:rsid w:val="100E1873"/>
    <w:rsid w:val="101A53FD"/>
    <w:rsid w:val="102B2D45"/>
    <w:rsid w:val="10332263"/>
    <w:rsid w:val="1039780C"/>
    <w:rsid w:val="103D132E"/>
    <w:rsid w:val="10660F5F"/>
    <w:rsid w:val="106B0219"/>
    <w:rsid w:val="10897DA7"/>
    <w:rsid w:val="10964D46"/>
    <w:rsid w:val="10967FF6"/>
    <w:rsid w:val="10B46258"/>
    <w:rsid w:val="10B830CC"/>
    <w:rsid w:val="10CF5736"/>
    <w:rsid w:val="10DB4DBC"/>
    <w:rsid w:val="10E37AA4"/>
    <w:rsid w:val="10E478F8"/>
    <w:rsid w:val="10EE2681"/>
    <w:rsid w:val="10F12154"/>
    <w:rsid w:val="10FF2FB7"/>
    <w:rsid w:val="1104727F"/>
    <w:rsid w:val="11086DA6"/>
    <w:rsid w:val="110E2C20"/>
    <w:rsid w:val="11137A76"/>
    <w:rsid w:val="112540BD"/>
    <w:rsid w:val="11307B37"/>
    <w:rsid w:val="1135095D"/>
    <w:rsid w:val="114E0140"/>
    <w:rsid w:val="115B4997"/>
    <w:rsid w:val="115D4CF9"/>
    <w:rsid w:val="11656EA8"/>
    <w:rsid w:val="11680FC0"/>
    <w:rsid w:val="11762689"/>
    <w:rsid w:val="11830317"/>
    <w:rsid w:val="118F74BF"/>
    <w:rsid w:val="11B2346C"/>
    <w:rsid w:val="11BD2C81"/>
    <w:rsid w:val="11D31F78"/>
    <w:rsid w:val="11D778C3"/>
    <w:rsid w:val="11EA4A23"/>
    <w:rsid w:val="11F94B6B"/>
    <w:rsid w:val="11FA259F"/>
    <w:rsid w:val="12005974"/>
    <w:rsid w:val="120D414E"/>
    <w:rsid w:val="12156031"/>
    <w:rsid w:val="122348C9"/>
    <w:rsid w:val="1224672E"/>
    <w:rsid w:val="1229001F"/>
    <w:rsid w:val="123B21A3"/>
    <w:rsid w:val="124473D0"/>
    <w:rsid w:val="124B736C"/>
    <w:rsid w:val="12584576"/>
    <w:rsid w:val="126208E0"/>
    <w:rsid w:val="12742D20"/>
    <w:rsid w:val="127500A3"/>
    <w:rsid w:val="12876E19"/>
    <w:rsid w:val="12882A1E"/>
    <w:rsid w:val="128A506D"/>
    <w:rsid w:val="12945774"/>
    <w:rsid w:val="12BD65FB"/>
    <w:rsid w:val="12C00264"/>
    <w:rsid w:val="12CC707F"/>
    <w:rsid w:val="12D06DD8"/>
    <w:rsid w:val="12DB61D9"/>
    <w:rsid w:val="12DF3880"/>
    <w:rsid w:val="12E44C53"/>
    <w:rsid w:val="12E806A4"/>
    <w:rsid w:val="12EA2980"/>
    <w:rsid w:val="12F57CF2"/>
    <w:rsid w:val="12FA4259"/>
    <w:rsid w:val="13023C27"/>
    <w:rsid w:val="1309727C"/>
    <w:rsid w:val="130A37E6"/>
    <w:rsid w:val="130B7D87"/>
    <w:rsid w:val="131119A8"/>
    <w:rsid w:val="13184E3F"/>
    <w:rsid w:val="131E2378"/>
    <w:rsid w:val="136D3BB7"/>
    <w:rsid w:val="1382293A"/>
    <w:rsid w:val="139E775A"/>
    <w:rsid w:val="13A56471"/>
    <w:rsid w:val="13B55AC4"/>
    <w:rsid w:val="13B82C9D"/>
    <w:rsid w:val="13BA7B63"/>
    <w:rsid w:val="13BF2DE8"/>
    <w:rsid w:val="13C934A4"/>
    <w:rsid w:val="13CB68D8"/>
    <w:rsid w:val="13CF46F0"/>
    <w:rsid w:val="13DC5BB8"/>
    <w:rsid w:val="13E8297C"/>
    <w:rsid w:val="13F91304"/>
    <w:rsid w:val="140E2F18"/>
    <w:rsid w:val="1411735E"/>
    <w:rsid w:val="142578FE"/>
    <w:rsid w:val="1438213E"/>
    <w:rsid w:val="14383441"/>
    <w:rsid w:val="143C09AA"/>
    <w:rsid w:val="1440059B"/>
    <w:rsid w:val="14411497"/>
    <w:rsid w:val="146A7C13"/>
    <w:rsid w:val="14721670"/>
    <w:rsid w:val="14755BA6"/>
    <w:rsid w:val="14804855"/>
    <w:rsid w:val="14817B9F"/>
    <w:rsid w:val="14844AD6"/>
    <w:rsid w:val="148864DE"/>
    <w:rsid w:val="148C01CF"/>
    <w:rsid w:val="14963E1D"/>
    <w:rsid w:val="14A24CEF"/>
    <w:rsid w:val="14B31A79"/>
    <w:rsid w:val="14B34649"/>
    <w:rsid w:val="14B77F9F"/>
    <w:rsid w:val="14CD025E"/>
    <w:rsid w:val="14CD4B36"/>
    <w:rsid w:val="14E46F81"/>
    <w:rsid w:val="14E83C52"/>
    <w:rsid w:val="15056CAE"/>
    <w:rsid w:val="150A7670"/>
    <w:rsid w:val="151447EE"/>
    <w:rsid w:val="152F5BD5"/>
    <w:rsid w:val="15413A61"/>
    <w:rsid w:val="154D199A"/>
    <w:rsid w:val="15527F85"/>
    <w:rsid w:val="155736A9"/>
    <w:rsid w:val="156E6667"/>
    <w:rsid w:val="15740523"/>
    <w:rsid w:val="15741B6F"/>
    <w:rsid w:val="15776FD1"/>
    <w:rsid w:val="15846FF6"/>
    <w:rsid w:val="158C2C80"/>
    <w:rsid w:val="158D4E40"/>
    <w:rsid w:val="15940302"/>
    <w:rsid w:val="159554CC"/>
    <w:rsid w:val="15971E31"/>
    <w:rsid w:val="15AE2C04"/>
    <w:rsid w:val="15B23837"/>
    <w:rsid w:val="15B93E11"/>
    <w:rsid w:val="15C41FA7"/>
    <w:rsid w:val="15CB289F"/>
    <w:rsid w:val="15CB4235"/>
    <w:rsid w:val="15D60D5E"/>
    <w:rsid w:val="15E601FD"/>
    <w:rsid w:val="15EC0FE0"/>
    <w:rsid w:val="15F206C8"/>
    <w:rsid w:val="15FE383E"/>
    <w:rsid w:val="160D085B"/>
    <w:rsid w:val="161B34D0"/>
    <w:rsid w:val="161D5470"/>
    <w:rsid w:val="161E4941"/>
    <w:rsid w:val="162072E5"/>
    <w:rsid w:val="16292FEF"/>
    <w:rsid w:val="162D2E1F"/>
    <w:rsid w:val="162F1895"/>
    <w:rsid w:val="16302456"/>
    <w:rsid w:val="16330C14"/>
    <w:rsid w:val="163A71DA"/>
    <w:rsid w:val="16543FCA"/>
    <w:rsid w:val="166073AD"/>
    <w:rsid w:val="16727B7C"/>
    <w:rsid w:val="167D7186"/>
    <w:rsid w:val="16847C05"/>
    <w:rsid w:val="169647EC"/>
    <w:rsid w:val="169948C6"/>
    <w:rsid w:val="169D6A63"/>
    <w:rsid w:val="16A4342A"/>
    <w:rsid w:val="16A80456"/>
    <w:rsid w:val="16AB307E"/>
    <w:rsid w:val="16AC2336"/>
    <w:rsid w:val="16AC7AE0"/>
    <w:rsid w:val="16C33617"/>
    <w:rsid w:val="16CB5DE9"/>
    <w:rsid w:val="16DB6E8A"/>
    <w:rsid w:val="16E1660B"/>
    <w:rsid w:val="16F02065"/>
    <w:rsid w:val="17032C67"/>
    <w:rsid w:val="1718217F"/>
    <w:rsid w:val="17275F9D"/>
    <w:rsid w:val="172813C3"/>
    <w:rsid w:val="172926AA"/>
    <w:rsid w:val="17356180"/>
    <w:rsid w:val="17415D92"/>
    <w:rsid w:val="1766475C"/>
    <w:rsid w:val="176776E9"/>
    <w:rsid w:val="178346CA"/>
    <w:rsid w:val="178E5893"/>
    <w:rsid w:val="17A0001E"/>
    <w:rsid w:val="17A45C76"/>
    <w:rsid w:val="17A47A20"/>
    <w:rsid w:val="17C004D1"/>
    <w:rsid w:val="17C46F7C"/>
    <w:rsid w:val="17C92388"/>
    <w:rsid w:val="17D1774F"/>
    <w:rsid w:val="17E142FC"/>
    <w:rsid w:val="17E3563D"/>
    <w:rsid w:val="17EE3A7B"/>
    <w:rsid w:val="17EF3C8C"/>
    <w:rsid w:val="181339E4"/>
    <w:rsid w:val="18150771"/>
    <w:rsid w:val="18155F70"/>
    <w:rsid w:val="18157E9B"/>
    <w:rsid w:val="181C650E"/>
    <w:rsid w:val="181D4710"/>
    <w:rsid w:val="181E5476"/>
    <w:rsid w:val="182236D1"/>
    <w:rsid w:val="183150B6"/>
    <w:rsid w:val="184E4F83"/>
    <w:rsid w:val="18531273"/>
    <w:rsid w:val="1860255E"/>
    <w:rsid w:val="18742DB0"/>
    <w:rsid w:val="18A163C4"/>
    <w:rsid w:val="18C87DE7"/>
    <w:rsid w:val="18C9062F"/>
    <w:rsid w:val="18D33FE5"/>
    <w:rsid w:val="18DB217D"/>
    <w:rsid w:val="18E5080F"/>
    <w:rsid w:val="18F96E43"/>
    <w:rsid w:val="191E1465"/>
    <w:rsid w:val="192D2209"/>
    <w:rsid w:val="19352974"/>
    <w:rsid w:val="19421CE8"/>
    <w:rsid w:val="194C2D53"/>
    <w:rsid w:val="195405C1"/>
    <w:rsid w:val="196318CF"/>
    <w:rsid w:val="19706939"/>
    <w:rsid w:val="19865830"/>
    <w:rsid w:val="19A04C3F"/>
    <w:rsid w:val="19A61189"/>
    <w:rsid w:val="19BB1A52"/>
    <w:rsid w:val="19BD23EB"/>
    <w:rsid w:val="19C57FA2"/>
    <w:rsid w:val="19D23524"/>
    <w:rsid w:val="19D716BC"/>
    <w:rsid w:val="19E80F3C"/>
    <w:rsid w:val="19EB593C"/>
    <w:rsid w:val="19F20168"/>
    <w:rsid w:val="19FC2862"/>
    <w:rsid w:val="19FE3B50"/>
    <w:rsid w:val="1A0E12D6"/>
    <w:rsid w:val="1A103CE4"/>
    <w:rsid w:val="1A1456DB"/>
    <w:rsid w:val="1A176EF9"/>
    <w:rsid w:val="1A1F09C5"/>
    <w:rsid w:val="1A297FFC"/>
    <w:rsid w:val="1A402272"/>
    <w:rsid w:val="1A7F0990"/>
    <w:rsid w:val="1A8B3CEC"/>
    <w:rsid w:val="1A930709"/>
    <w:rsid w:val="1A9A0D30"/>
    <w:rsid w:val="1AAA1228"/>
    <w:rsid w:val="1AAE5CFD"/>
    <w:rsid w:val="1AC36123"/>
    <w:rsid w:val="1AD50FFA"/>
    <w:rsid w:val="1AD6523F"/>
    <w:rsid w:val="1AD96CFD"/>
    <w:rsid w:val="1AEB00E6"/>
    <w:rsid w:val="1AEB7512"/>
    <w:rsid w:val="1AEC2756"/>
    <w:rsid w:val="1AFC7398"/>
    <w:rsid w:val="1B056E0B"/>
    <w:rsid w:val="1B0C3124"/>
    <w:rsid w:val="1B117719"/>
    <w:rsid w:val="1B137EF1"/>
    <w:rsid w:val="1B1A25F2"/>
    <w:rsid w:val="1B4E2235"/>
    <w:rsid w:val="1B5C6854"/>
    <w:rsid w:val="1B6442B5"/>
    <w:rsid w:val="1B6666DD"/>
    <w:rsid w:val="1B734FE9"/>
    <w:rsid w:val="1B7B2154"/>
    <w:rsid w:val="1B815E0A"/>
    <w:rsid w:val="1B89786F"/>
    <w:rsid w:val="1BA04C89"/>
    <w:rsid w:val="1BA073FA"/>
    <w:rsid w:val="1BA44B08"/>
    <w:rsid w:val="1BAD69CB"/>
    <w:rsid w:val="1BB03D43"/>
    <w:rsid w:val="1BBC04A4"/>
    <w:rsid w:val="1BD66D6A"/>
    <w:rsid w:val="1BD81A4F"/>
    <w:rsid w:val="1BE33D40"/>
    <w:rsid w:val="1BEB5B1D"/>
    <w:rsid w:val="1BF55DD0"/>
    <w:rsid w:val="1BFB1EDC"/>
    <w:rsid w:val="1BFC5AEE"/>
    <w:rsid w:val="1BFD3EBA"/>
    <w:rsid w:val="1C1757AE"/>
    <w:rsid w:val="1C287FEC"/>
    <w:rsid w:val="1C336618"/>
    <w:rsid w:val="1C453D0F"/>
    <w:rsid w:val="1C47336F"/>
    <w:rsid w:val="1C4A4239"/>
    <w:rsid w:val="1C4D39FA"/>
    <w:rsid w:val="1C546EB6"/>
    <w:rsid w:val="1C5B47F3"/>
    <w:rsid w:val="1C630B0C"/>
    <w:rsid w:val="1C7A15D2"/>
    <w:rsid w:val="1C880674"/>
    <w:rsid w:val="1C8A6681"/>
    <w:rsid w:val="1C8E01EA"/>
    <w:rsid w:val="1CA131EB"/>
    <w:rsid w:val="1CAE3F11"/>
    <w:rsid w:val="1CB01F9F"/>
    <w:rsid w:val="1CBC236F"/>
    <w:rsid w:val="1CBE45B6"/>
    <w:rsid w:val="1CC0645C"/>
    <w:rsid w:val="1CC533F6"/>
    <w:rsid w:val="1CD232F0"/>
    <w:rsid w:val="1CFA0F48"/>
    <w:rsid w:val="1CFA4308"/>
    <w:rsid w:val="1D047349"/>
    <w:rsid w:val="1D0A3F28"/>
    <w:rsid w:val="1D135975"/>
    <w:rsid w:val="1D196EE0"/>
    <w:rsid w:val="1D5C2120"/>
    <w:rsid w:val="1D7155D9"/>
    <w:rsid w:val="1D7215D7"/>
    <w:rsid w:val="1D7A6239"/>
    <w:rsid w:val="1D7C09D7"/>
    <w:rsid w:val="1DB779F3"/>
    <w:rsid w:val="1DD91F79"/>
    <w:rsid w:val="1DDE0422"/>
    <w:rsid w:val="1DE123A9"/>
    <w:rsid w:val="1DE13B0A"/>
    <w:rsid w:val="1DE644FA"/>
    <w:rsid w:val="1DED29DB"/>
    <w:rsid w:val="1DF97481"/>
    <w:rsid w:val="1DFA5540"/>
    <w:rsid w:val="1E066F8F"/>
    <w:rsid w:val="1E0859AB"/>
    <w:rsid w:val="1E0C4E89"/>
    <w:rsid w:val="1E1C256D"/>
    <w:rsid w:val="1E1E4331"/>
    <w:rsid w:val="1E242B02"/>
    <w:rsid w:val="1E275E84"/>
    <w:rsid w:val="1E2E7842"/>
    <w:rsid w:val="1E33647B"/>
    <w:rsid w:val="1E8F312B"/>
    <w:rsid w:val="1E92038B"/>
    <w:rsid w:val="1E94684C"/>
    <w:rsid w:val="1EA563AC"/>
    <w:rsid w:val="1EB85A5C"/>
    <w:rsid w:val="1EC3214D"/>
    <w:rsid w:val="1EC83061"/>
    <w:rsid w:val="1ECE22A0"/>
    <w:rsid w:val="1EFF5E55"/>
    <w:rsid w:val="1F1365CD"/>
    <w:rsid w:val="1F241A44"/>
    <w:rsid w:val="1F280B2F"/>
    <w:rsid w:val="1F285E5B"/>
    <w:rsid w:val="1F4728CC"/>
    <w:rsid w:val="1F533349"/>
    <w:rsid w:val="1F580291"/>
    <w:rsid w:val="1F5A0553"/>
    <w:rsid w:val="1F646EAB"/>
    <w:rsid w:val="1F7613F2"/>
    <w:rsid w:val="1F78217C"/>
    <w:rsid w:val="1F7B43D6"/>
    <w:rsid w:val="1F831A75"/>
    <w:rsid w:val="1F9729B9"/>
    <w:rsid w:val="1F9C4949"/>
    <w:rsid w:val="1F9D713F"/>
    <w:rsid w:val="1FB15504"/>
    <w:rsid w:val="1FB725B9"/>
    <w:rsid w:val="1FBC3618"/>
    <w:rsid w:val="1FDD2C04"/>
    <w:rsid w:val="1FF169C6"/>
    <w:rsid w:val="1FF43D8D"/>
    <w:rsid w:val="1FF47C3E"/>
    <w:rsid w:val="1FFE3A86"/>
    <w:rsid w:val="200A3C6B"/>
    <w:rsid w:val="2014791B"/>
    <w:rsid w:val="2017722E"/>
    <w:rsid w:val="203B11FD"/>
    <w:rsid w:val="2046789D"/>
    <w:rsid w:val="20550C07"/>
    <w:rsid w:val="205768F6"/>
    <w:rsid w:val="206144C1"/>
    <w:rsid w:val="20615B4D"/>
    <w:rsid w:val="20767A2B"/>
    <w:rsid w:val="20927C7D"/>
    <w:rsid w:val="20A102AB"/>
    <w:rsid w:val="20A70704"/>
    <w:rsid w:val="20AC1F59"/>
    <w:rsid w:val="20B20273"/>
    <w:rsid w:val="20C341F3"/>
    <w:rsid w:val="20C41BA4"/>
    <w:rsid w:val="20CA47D5"/>
    <w:rsid w:val="20CB551C"/>
    <w:rsid w:val="20D906B3"/>
    <w:rsid w:val="20EB4BEE"/>
    <w:rsid w:val="20FD757A"/>
    <w:rsid w:val="212029D3"/>
    <w:rsid w:val="212D42FB"/>
    <w:rsid w:val="212F71F4"/>
    <w:rsid w:val="21305A7E"/>
    <w:rsid w:val="21336BDC"/>
    <w:rsid w:val="213B7E89"/>
    <w:rsid w:val="214F3516"/>
    <w:rsid w:val="217E1BC2"/>
    <w:rsid w:val="21855441"/>
    <w:rsid w:val="21923FE3"/>
    <w:rsid w:val="219D0840"/>
    <w:rsid w:val="21A51657"/>
    <w:rsid w:val="21A5330D"/>
    <w:rsid w:val="21A66EA4"/>
    <w:rsid w:val="21AA15E0"/>
    <w:rsid w:val="21BA00EA"/>
    <w:rsid w:val="21C46EE0"/>
    <w:rsid w:val="21E4265A"/>
    <w:rsid w:val="21E6262F"/>
    <w:rsid w:val="21E670B2"/>
    <w:rsid w:val="21FA75BE"/>
    <w:rsid w:val="22082D8E"/>
    <w:rsid w:val="220E78F4"/>
    <w:rsid w:val="22141606"/>
    <w:rsid w:val="2215743D"/>
    <w:rsid w:val="2218125B"/>
    <w:rsid w:val="22191992"/>
    <w:rsid w:val="221F1A14"/>
    <w:rsid w:val="22215CCB"/>
    <w:rsid w:val="22246041"/>
    <w:rsid w:val="222819B0"/>
    <w:rsid w:val="22306992"/>
    <w:rsid w:val="22444D3F"/>
    <w:rsid w:val="225A6178"/>
    <w:rsid w:val="226C110E"/>
    <w:rsid w:val="226C7EAD"/>
    <w:rsid w:val="227B1788"/>
    <w:rsid w:val="2287276E"/>
    <w:rsid w:val="22972B19"/>
    <w:rsid w:val="22A76B8B"/>
    <w:rsid w:val="22AF4C4B"/>
    <w:rsid w:val="22B1580D"/>
    <w:rsid w:val="22B42CE8"/>
    <w:rsid w:val="22B91715"/>
    <w:rsid w:val="22BB46D0"/>
    <w:rsid w:val="22BF7A5A"/>
    <w:rsid w:val="22CD7B1E"/>
    <w:rsid w:val="22CF280F"/>
    <w:rsid w:val="22D71CCE"/>
    <w:rsid w:val="22DC6E5F"/>
    <w:rsid w:val="230E0541"/>
    <w:rsid w:val="230E09B9"/>
    <w:rsid w:val="230F695C"/>
    <w:rsid w:val="2318273C"/>
    <w:rsid w:val="231B7A50"/>
    <w:rsid w:val="231E5487"/>
    <w:rsid w:val="23304EC9"/>
    <w:rsid w:val="23354C4F"/>
    <w:rsid w:val="23390B7D"/>
    <w:rsid w:val="233F3B2E"/>
    <w:rsid w:val="235A2EF8"/>
    <w:rsid w:val="2371557B"/>
    <w:rsid w:val="2373169E"/>
    <w:rsid w:val="2393656B"/>
    <w:rsid w:val="23A66D9E"/>
    <w:rsid w:val="23B42A97"/>
    <w:rsid w:val="23BA7BEB"/>
    <w:rsid w:val="23C82BE0"/>
    <w:rsid w:val="23D6701B"/>
    <w:rsid w:val="23F44EDC"/>
    <w:rsid w:val="240C2FCC"/>
    <w:rsid w:val="240D23C8"/>
    <w:rsid w:val="240F61AE"/>
    <w:rsid w:val="241C5E2C"/>
    <w:rsid w:val="2430214F"/>
    <w:rsid w:val="2432053D"/>
    <w:rsid w:val="24423971"/>
    <w:rsid w:val="24446010"/>
    <w:rsid w:val="245D2C3A"/>
    <w:rsid w:val="24623233"/>
    <w:rsid w:val="246A5362"/>
    <w:rsid w:val="247709EA"/>
    <w:rsid w:val="24805EC6"/>
    <w:rsid w:val="249B24AC"/>
    <w:rsid w:val="24A4176A"/>
    <w:rsid w:val="24BD0B3D"/>
    <w:rsid w:val="24C13EA2"/>
    <w:rsid w:val="24C3428E"/>
    <w:rsid w:val="24C83871"/>
    <w:rsid w:val="24CF5802"/>
    <w:rsid w:val="24D226AD"/>
    <w:rsid w:val="24DE13DE"/>
    <w:rsid w:val="24E83293"/>
    <w:rsid w:val="24EA3CF3"/>
    <w:rsid w:val="24F043E3"/>
    <w:rsid w:val="25070B7E"/>
    <w:rsid w:val="251B5204"/>
    <w:rsid w:val="251E51DC"/>
    <w:rsid w:val="25293DCF"/>
    <w:rsid w:val="252A5803"/>
    <w:rsid w:val="25316209"/>
    <w:rsid w:val="25353F06"/>
    <w:rsid w:val="2535636D"/>
    <w:rsid w:val="2536079B"/>
    <w:rsid w:val="253E6AD7"/>
    <w:rsid w:val="2542387F"/>
    <w:rsid w:val="254F76BC"/>
    <w:rsid w:val="25527C11"/>
    <w:rsid w:val="25667FAB"/>
    <w:rsid w:val="25840572"/>
    <w:rsid w:val="25897363"/>
    <w:rsid w:val="25954FC4"/>
    <w:rsid w:val="25A01A17"/>
    <w:rsid w:val="25A140C4"/>
    <w:rsid w:val="25A7468E"/>
    <w:rsid w:val="25B61F3B"/>
    <w:rsid w:val="25B72C56"/>
    <w:rsid w:val="25CD09AA"/>
    <w:rsid w:val="25DE60CD"/>
    <w:rsid w:val="25E248B8"/>
    <w:rsid w:val="25EE545D"/>
    <w:rsid w:val="25FE2914"/>
    <w:rsid w:val="26056F6F"/>
    <w:rsid w:val="2607528A"/>
    <w:rsid w:val="26085B13"/>
    <w:rsid w:val="260E0770"/>
    <w:rsid w:val="26236893"/>
    <w:rsid w:val="26596753"/>
    <w:rsid w:val="26674600"/>
    <w:rsid w:val="26760048"/>
    <w:rsid w:val="2676586C"/>
    <w:rsid w:val="2680308F"/>
    <w:rsid w:val="26861182"/>
    <w:rsid w:val="268F59E4"/>
    <w:rsid w:val="26A10819"/>
    <w:rsid w:val="26AF5F40"/>
    <w:rsid w:val="26B42824"/>
    <w:rsid w:val="26BD74F7"/>
    <w:rsid w:val="26C97DB5"/>
    <w:rsid w:val="26D815D8"/>
    <w:rsid w:val="26DB7A94"/>
    <w:rsid w:val="26DE4AF7"/>
    <w:rsid w:val="26E255E4"/>
    <w:rsid w:val="26F106F2"/>
    <w:rsid w:val="2737031C"/>
    <w:rsid w:val="27444A9E"/>
    <w:rsid w:val="2748030C"/>
    <w:rsid w:val="275071E1"/>
    <w:rsid w:val="27580A6C"/>
    <w:rsid w:val="27746B6E"/>
    <w:rsid w:val="277D71B0"/>
    <w:rsid w:val="278B71FF"/>
    <w:rsid w:val="279D6968"/>
    <w:rsid w:val="27A70263"/>
    <w:rsid w:val="27B52034"/>
    <w:rsid w:val="27BE66CB"/>
    <w:rsid w:val="27CF6170"/>
    <w:rsid w:val="27D54613"/>
    <w:rsid w:val="27DA799D"/>
    <w:rsid w:val="27DD7CFA"/>
    <w:rsid w:val="27E82A68"/>
    <w:rsid w:val="27EB75E2"/>
    <w:rsid w:val="28025474"/>
    <w:rsid w:val="280568E7"/>
    <w:rsid w:val="281474F1"/>
    <w:rsid w:val="28161711"/>
    <w:rsid w:val="282179AD"/>
    <w:rsid w:val="283F049A"/>
    <w:rsid w:val="284D6049"/>
    <w:rsid w:val="2873016B"/>
    <w:rsid w:val="287B2A62"/>
    <w:rsid w:val="288804D7"/>
    <w:rsid w:val="2889627A"/>
    <w:rsid w:val="288A4419"/>
    <w:rsid w:val="288A601B"/>
    <w:rsid w:val="288C138C"/>
    <w:rsid w:val="288F0D6A"/>
    <w:rsid w:val="28A001FD"/>
    <w:rsid w:val="28A17F47"/>
    <w:rsid w:val="28A347F1"/>
    <w:rsid w:val="28A971C1"/>
    <w:rsid w:val="28B63FEC"/>
    <w:rsid w:val="28D102A7"/>
    <w:rsid w:val="28D23865"/>
    <w:rsid w:val="28D80025"/>
    <w:rsid w:val="28DD3D2A"/>
    <w:rsid w:val="28E75BDC"/>
    <w:rsid w:val="28F61250"/>
    <w:rsid w:val="29267101"/>
    <w:rsid w:val="2927451B"/>
    <w:rsid w:val="295061C3"/>
    <w:rsid w:val="295F5D66"/>
    <w:rsid w:val="29610BF5"/>
    <w:rsid w:val="29676EB2"/>
    <w:rsid w:val="297C77EF"/>
    <w:rsid w:val="298A1451"/>
    <w:rsid w:val="29A167F6"/>
    <w:rsid w:val="29AC39BF"/>
    <w:rsid w:val="29C36A3D"/>
    <w:rsid w:val="29CB590E"/>
    <w:rsid w:val="29D0769E"/>
    <w:rsid w:val="29D81FF4"/>
    <w:rsid w:val="29E067D9"/>
    <w:rsid w:val="2A053032"/>
    <w:rsid w:val="2A0B1548"/>
    <w:rsid w:val="2A183942"/>
    <w:rsid w:val="2A226AFC"/>
    <w:rsid w:val="2A331ED6"/>
    <w:rsid w:val="2A3C44C8"/>
    <w:rsid w:val="2A4F27C9"/>
    <w:rsid w:val="2A5B7590"/>
    <w:rsid w:val="2A5F3635"/>
    <w:rsid w:val="2A645C0E"/>
    <w:rsid w:val="2A8F1883"/>
    <w:rsid w:val="2A9636A8"/>
    <w:rsid w:val="2A9E3B95"/>
    <w:rsid w:val="2AA17001"/>
    <w:rsid w:val="2AAF4687"/>
    <w:rsid w:val="2AB828DE"/>
    <w:rsid w:val="2AB85556"/>
    <w:rsid w:val="2AC11542"/>
    <w:rsid w:val="2AC31965"/>
    <w:rsid w:val="2AC36B80"/>
    <w:rsid w:val="2AD50709"/>
    <w:rsid w:val="2AD80B84"/>
    <w:rsid w:val="2ADA2C1A"/>
    <w:rsid w:val="2ADA40CB"/>
    <w:rsid w:val="2ADE2791"/>
    <w:rsid w:val="2AE077E1"/>
    <w:rsid w:val="2AE81523"/>
    <w:rsid w:val="2AFD5D59"/>
    <w:rsid w:val="2B0821B3"/>
    <w:rsid w:val="2B5C5E90"/>
    <w:rsid w:val="2B5F121E"/>
    <w:rsid w:val="2B731971"/>
    <w:rsid w:val="2B7948F0"/>
    <w:rsid w:val="2B846A17"/>
    <w:rsid w:val="2B88123E"/>
    <w:rsid w:val="2B9013E6"/>
    <w:rsid w:val="2B933432"/>
    <w:rsid w:val="2BAD149E"/>
    <w:rsid w:val="2BB3702B"/>
    <w:rsid w:val="2BC705B9"/>
    <w:rsid w:val="2BCC3F31"/>
    <w:rsid w:val="2BE41F78"/>
    <w:rsid w:val="2BE62B05"/>
    <w:rsid w:val="2BE67F8C"/>
    <w:rsid w:val="2BE918AC"/>
    <w:rsid w:val="2BF55F44"/>
    <w:rsid w:val="2BFC5AF1"/>
    <w:rsid w:val="2C001A29"/>
    <w:rsid w:val="2C055CF6"/>
    <w:rsid w:val="2C0A3348"/>
    <w:rsid w:val="2C0B0A24"/>
    <w:rsid w:val="2C2254E4"/>
    <w:rsid w:val="2C322004"/>
    <w:rsid w:val="2C391923"/>
    <w:rsid w:val="2C3B37D7"/>
    <w:rsid w:val="2C3E15F7"/>
    <w:rsid w:val="2C461BA9"/>
    <w:rsid w:val="2C50397B"/>
    <w:rsid w:val="2C586C53"/>
    <w:rsid w:val="2C5937E0"/>
    <w:rsid w:val="2C654441"/>
    <w:rsid w:val="2C6A001A"/>
    <w:rsid w:val="2C6C721E"/>
    <w:rsid w:val="2C913D12"/>
    <w:rsid w:val="2C9A08C9"/>
    <w:rsid w:val="2CA115FD"/>
    <w:rsid w:val="2CB01322"/>
    <w:rsid w:val="2CB537A1"/>
    <w:rsid w:val="2CC804D2"/>
    <w:rsid w:val="2CD87450"/>
    <w:rsid w:val="2CEA18CF"/>
    <w:rsid w:val="2D0F537E"/>
    <w:rsid w:val="2D134ACF"/>
    <w:rsid w:val="2D221A87"/>
    <w:rsid w:val="2D2B1DAD"/>
    <w:rsid w:val="2D2C6FF8"/>
    <w:rsid w:val="2D385A0F"/>
    <w:rsid w:val="2D3F03B1"/>
    <w:rsid w:val="2D46445A"/>
    <w:rsid w:val="2D510F64"/>
    <w:rsid w:val="2D63237A"/>
    <w:rsid w:val="2D6712BE"/>
    <w:rsid w:val="2D771A65"/>
    <w:rsid w:val="2D795FF0"/>
    <w:rsid w:val="2D7C1645"/>
    <w:rsid w:val="2D7F365D"/>
    <w:rsid w:val="2D801824"/>
    <w:rsid w:val="2D9E59D0"/>
    <w:rsid w:val="2DA041BD"/>
    <w:rsid w:val="2DB32D77"/>
    <w:rsid w:val="2DBD00CD"/>
    <w:rsid w:val="2DC22A6D"/>
    <w:rsid w:val="2DCB1B17"/>
    <w:rsid w:val="2DD60F9C"/>
    <w:rsid w:val="2DE4560B"/>
    <w:rsid w:val="2DEC184E"/>
    <w:rsid w:val="2DF01FF7"/>
    <w:rsid w:val="2E073A06"/>
    <w:rsid w:val="2E102690"/>
    <w:rsid w:val="2E1C00EF"/>
    <w:rsid w:val="2E2F69B3"/>
    <w:rsid w:val="2E31104E"/>
    <w:rsid w:val="2E336724"/>
    <w:rsid w:val="2E3B15FC"/>
    <w:rsid w:val="2E782ACB"/>
    <w:rsid w:val="2E83611E"/>
    <w:rsid w:val="2E8770B4"/>
    <w:rsid w:val="2E9702ED"/>
    <w:rsid w:val="2E9B45EA"/>
    <w:rsid w:val="2EC513CE"/>
    <w:rsid w:val="2ED51B47"/>
    <w:rsid w:val="2ED61251"/>
    <w:rsid w:val="2EDD25C3"/>
    <w:rsid w:val="2EE10ABC"/>
    <w:rsid w:val="2EED05EA"/>
    <w:rsid w:val="2EF774D2"/>
    <w:rsid w:val="2EF96223"/>
    <w:rsid w:val="2F036EBD"/>
    <w:rsid w:val="2F275285"/>
    <w:rsid w:val="2F285130"/>
    <w:rsid w:val="2F4765A8"/>
    <w:rsid w:val="2F4A6B57"/>
    <w:rsid w:val="2F4D52EC"/>
    <w:rsid w:val="2F4E078F"/>
    <w:rsid w:val="2F5249E3"/>
    <w:rsid w:val="2F5D3FD9"/>
    <w:rsid w:val="2F63628B"/>
    <w:rsid w:val="2F6909B6"/>
    <w:rsid w:val="2F704D32"/>
    <w:rsid w:val="2F7B420B"/>
    <w:rsid w:val="2F824C10"/>
    <w:rsid w:val="2FA51AA6"/>
    <w:rsid w:val="2FBC09C9"/>
    <w:rsid w:val="2FBC6BAB"/>
    <w:rsid w:val="2FC20F53"/>
    <w:rsid w:val="2FC54803"/>
    <w:rsid w:val="2FC671B5"/>
    <w:rsid w:val="2FC817C7"/>
    <w:rsid w:val="2FD74181"/>
    <w:rsid w:val="2FEA0717"/>
    <w:rsid w:val="2FF00F91"/>
    <w:rsid w:val="2FF408FA"/>
    <w:rsid w:val="2FFF7BB1"/>
    <w:rsid w:val="302C632A"/>
    <w:rsid w:val="30631DA8"/>
    <w:rsid w:val="306572FF"/>
    <w:rsid w:val="306746F8"/>
    <w:rsid w:val="306C2BA1"/>
    <w:rsid w:val="307D35F2"/>
    <w:rsid w:val="308D373F"/>
    <w:rsid w:val="30AC04B7"/>
    <w:rsid w:val="30C31729"/>
    <w:rsid w:val="30FC7C9A"/>
    <w:rsid w:val="31122A48"/>
    <w:rsid w:val="311C1988"/>
    <w:rsid w:val="311C20DD"/>
    <w:rsid w:val="311F5AEC"/>
    <w:rsid w:val="31281779"/>
    <w:rsid w:val="314B3AEB"/>
    <w:rsid w:val="315429BA"/>
    <w:rsid w:val="315954C3"/>
    <w:rsid w:val="3167679F"/>
    <w:rsid w:val="31841F64"/>
    <w:rsid w:val="31921FF1"/>
    <w:rsid w:val="319C29BE"/>
    <w:rsid w:val="31A33CBC"/>
    <w:rsid w:val="31AB31AB"/>
    <w:rsid w:val="31B02875"/>
    <w:rsid w:val="31C1650E"/>
    <w:rsid w:val="31C474F4"/>
    <w:rsid w:val="31C47E8E"/>
    <w:rsid w:val="31D014F0"/>
    <w:rsid w:val="31E03506"/>
    <w:rsid w:val="31E728A7"/>
    <w:rsid w:val="31E84717"/>
    <w:rsid w:val="31EC2E81"/>
    <w:rsid w:val="31F02577"/>
    <w:rsid w:val="3200614D"/>
    <w:rsid w:val="320A71C8"/>
    <w:rsid w:val="32180050"/>
    <w:rsid w:val="3225706A"/>
    <w:rsid w:val="32280BC9"/>
    <w:rsid w:val="322B4626"/>
    <w:rsid w:val="323A125F"/>
    <w:rsid w:val="32450F49"/>
    <w:rsid w:val="3252150A"/>
    <w:rsid w:val="325D3534"/>
    <w:rsid w:val="32747B64"/>
    <w:rsid w:val="327550D2"/>
    <w:rsid w:val="3284677A"/>
    <w:rsid w:val="32954475"/>
    <w:rsid w:val="329D3BB7"/>
    <w:rsid w:val="329E4569"/>
    <w:rsid w:val="32A328AD"/>
    <w:rsid w:val="32C338EB"/>
    <w:rsid w:val="32C42603"/>
    <w:rsid w:val="32E55937"/>
    <w:rsid w:val="32EE6794"/>
    <w:rsid w:val="32F41542"/>
    <w:rsid w:val="32F42A00"/>
    <w:rsid w:val="33033C73"/>
    <w:rsid w:val="33160FA9"/>
    <w:rsid w:val="3324290A"/>
    <w:rsid w:val="332606EB"/>
    <w:rsid w:val="33310314"/>
    <w:rsid w:val="333849F1"/>
    <w:rsid w:val="333C473C"/>
    <w:rsid w:val="333E1CE2"/>
    <w:rsid w:val="334B7C5D"/>
    <w:rsid w:val="334F4CDD"/>
    <w:rsid w:val="33596310"/>
    <w:rsid w:val="335B51FF"/>
    <w:rsid w:val="335C6096"/>
    <w:rsid w:val="335D56D5"/>
    <w:rsid w:val="335E3023"/>
    <w:rsid w:val="33604D31"/>
    <w:rsid w:val="336F3BCB"/>
    <w:rsid w:val="33786021"/>
    <w:rsid w:val="33801E85"/>
    <w:rsid w:val="33826122"/>
    <w:rsid w:val="338772AD"/>
    <w:rsid w:val="339F0D3F"/>
    <w:rsid w:val="33A2531C"/>
    <w:rsid w:val="33A36EF0"/>
    <w:rsid w:val="33A80F60"/>
    <w:rsid w:val="33A848E9"/>
    <w:rsid w:val="33AB060C"/>
    <w:rsid w:val="33BC5798"/>
    <w:rsid w:val="33C82202"/>
    <w:rsid w:val="33C906A6"/>
    <w:rsid w:val="33D6312E"/>
    <w:rsid w:val="33D81385"/>
    <w:rsid w:val="34016A07"/>
    <w:rsid w:val="34237C42"/>
    <w:rsid w:val="342E266F"/>
    <w:rsid w:val="34304C83"/>
    <w:rsid w:val="3438550B"/>
    <w:rsid w:val="34463B81"/>
    <w:rsid w:val="34474D8A"/>
    <w:rsid w:val="3455118C"/>
    <w:rsid w:val="345A1F3D"/>
    <w:rsid w:val="34604579"/>
    <w:rsid w:val="34623155"/>
    <w:rsid w:val="346F4502"/>
    <w:rsid w:val="34703220"/>
    <w:rsid w:val="34761A97"/>
    <w:rsid w:val="3478394B"/>
    <w:rsid w:val="348B354C"/>
    <w:rsid w:val="348C36F5"/>
    <w:rsid w:val="349365D3"/>
    <w:rsid w:val="34A9736C"/>
    <w:rsid w:val="34BF46E2"/>
    <w:rsid w:val="34D00AAA"/>
    <w:rsid w:val="34D5546B"/>
    <w:rsid w:val="34DF08A7"/>
    <w:rsid w:val="34E945B2"/>
    <w:rsid w:val="34EB65E3"/>
    <w:rsid w:val="34EB68D6"/>
    <w:rsid w:val="34ED5102"/>
    <w:rsid w:val="34F36613"/>
    <w:rsid w:val="34FE1235"/>
    <w:rsid w:val="3508600E"/>
    <w:rsid w:val="35514403"/>
    <w:rsid w:val="356A3897"/>
    <w:rsid w:val="35815742"/>
    <w:rsid w:val="35AB622E"/>
    <w:rsid w:val="35B23123"/>
    <w:rsid w:val="35BA66BE"/>
    <w:rsid w:val="35BD0324"/>
    <w:rsid w:val="35C2322C"/>
    <w:rsid w:val="35D002CE"/>
    <w:rsid w:val="35D22728"/>
    <w:rsid w:val="35D921AC"/>
    <w:rsid w:val="35DB5F06"/>
    <w:rsid w:val="35DE0F45"/>
    <w:rsid w:val="35E2167B"/>
    <w:rsid w:val="35E479BF"/>
    <w:rsid w:val="36113E4F"/>
    <w:rsid w:val="36283746"/>
    <w:rsid w:val="363057C6"/>
    <w:rsid w:val="3638030B"/>
    <w:rsid w:val="363B17A8"/>
    <w:rsid w:val="3650755C"/>
    <w:rsid w:val="367236C3"/>
    <w:rsid w:val="36780419"/>
    <w:rsid w:val="367A52A6"/>
    <w:rsid w:val="367F4D2F"/>
    <w:rsid w:val="36950F47"/>
    <w:rsid w:val="36A23A1E"/>
    <w:rsid w:val="36A67D7C"/>
    <w:rsid w:val="36BF0BEA"/>
    <w:rsid w:val="36C0364D"/>
    <w:rsid w:val="36F67736"/>
    <w:rsid w:val="36FC6F90"/>
    <w:rsid w:val="36FF5D28"/>
    <w:rsid w:val="370C18DA"/>
    <w:rsid w:val="37216B4E"/>
    <w:rsid w:val="374A35B0"/>
    <w:rsid w:val="374C09B5"/>
    <w:rsid w:val="3752579F"/>
    <w:rsid w:val="376F7F52"/>
    <w:rsid w:val="37746473"/>
    <w:rsid w:val="377E373D"/>
    <w:rsid w:val="37982568"/>
    <w:rsid w:val="379D1853"/>
    <w:rsid w:val="37AC346D"/>
    <w:rsid w:val="37B66882"/>
    <w:rsid w:val="37BA7DEB"/>
    <w:rsid w:val="37C77A50"/>
    <w:rsid w:val="37D039A3"/>
    <w:rsid w:val="37F82D2D"/>
    <w:rsid w:val="38067194"/>
    <w:rsid w:val="38094C3F"/>
    <w:rsid w:val="381B5863"/>
    <w:rsid w:val="381D481F"/>
    <w:rsid w:val="382627B5"/>
    <w:rsid w:val="38264069"/>
    <w:rsid w:val="38350054"/>
    <w:rsid w:val="38371F7A"/>
    <w:rsid w:val="38453C8A"/>
    <w:rsid w:val="384E25EE"/>
    <w:rsid w:val="386C0E36"/>
    <w:rsid w:val="387401CF"/>
    <w:rsid w:val="387A756F"/>
    <w:rsid w:val="38846DDC"/>
    <w:rsid w:val="38861502"/>
    <w:rsid w:val="388E40A9"/>
    <w:rsid w:val="3894334C"/>
    <w:rsid w:val="38A316EA"/>
    <w:rsid w:val="38AB5253"/>
    <w:rsid w:val="38AF7C96"/>
    <w:rsid w:val="38B60C81"/>
    <w:rsid w:val="38B67026"/>
    <w:rsid w:val="38C13AE8"/>
    <w:rsid w:val="38C72FE6"/>
    <w:rsid w:val="38D10996"/>
    <w:rsid w:val="38D472E7"/>
    <w:rsid w:val="38D919EE"/>
    <w:rsid w:val="38DF47F7"/>
    <w:rsid w:val="38E4444C"/>
    <w:rsid w:val="38E45869"/>
    <w:rsid w:val="391E52FC"/>
    <w:rsid w:val="394659DC"/>
    <w:rsid w:val="39484071"/>
    <w:rsid w:val="39504079"/>
    <w:rsid w:val="39555209"/>
    <w:rsid w:val="39715DE9"/>
    <w:rsid w:val="39734C4D"/>
    <w:rsid w:val="398471C8"/>
    <w:rsid w:val="399B0CCB"/>
    <w:rsid w:val="399F26C1"/>
    <w:rsid w:val="39A737C1"/>
    <w:rsid w:val="39A760E9"/>
    <w:rsid w:val="39C00D97"/>
    <w:rsid w:val="39CD7331"/>
    <w:rsid w:val="39CF7A1E"/>
    <w:rsid w:val="3A032892"/>
    <w:rsid w:val="3A034143"/>
    <w:rsid w:val="3A050D91"/>
    <w:rsid w:val="3A137B01"/>
    <w:rsid w:val="3A2029A5"/>
    <w:rsid w:val="3A364943"/>
    <w:rsid w:val="3A671825"/>
    <w:rsid w:val="3A6E41F3"/>
    <w:rsid w:val="3A6E5A1F"/>
    <w:rsid w:val="3A7862C9"/>
    <w:rsid w:val="3A7B4FB1"/>
    <w:rsid w:val="3A80540E"/>
    <w:rsid w:val="3A8712BC"/>
    <w:rsid w:val="3A9410E5"/>
    <w:rsid w:val="3A943DAD"/>
    <w:rsid w:val="3AAA6FCF"/>
    <w:rsid w:val="3AB3366A"/>
    <w:rsid w:val="3ABC0D59"/>
    <w:rsid w:val="3AC67BE0"/>
    <w:rsid w:val="3AD426E6"/>
    <w:rsid w:val="3AE62BE7"/>
    <w:rsid w:val="3AE824A9"/>
    <w:rsid w:val="3AEC005F"/>
    <w:rsid w:val="3B116B65"/>
    <w:rsid w:val="3B134AB3"/>
    <w:rsid w:val="3B2A656A"/>
    <w:rsid w:val="3B2B6A11"/>
    <w:rsid w:val="3B58385E"/>
    <w:rsid w:val="3B627994"/>
    <w:rsid w:val="3B7B1D0E"/>
    <w:rsid w:val="3B846004"/>
    <w:rsid w:val="3B8A3054"/>
    <w:rsid w:val="3B9C43E8"/>
    <w:rsid w:val="3B9C573F"/>
    <w:rsid w:val="3BA8684B"/>
    <w:rsid w:val="3BAF0C0C"/>
    <w:rsid w:val="3BD81C7B"/>
    <w:rsid w:val="3BE35981"/>
    <w:rsid w:val="3BE95E3D"/>
    <w:rsid w:val="3BFA631D"/>
    <w:rsid w:val="3BFC3422"/>
    <w:rsid w:val="3C014530"/>
    <w:rsid w:val="3C1958B7"/>
    <w:rsid w:val="3C215F09"/>
    <w:rsid w:val="3C2B2D73"/>
    <w:rsid w:val="3C2E5C69"/>
    <w:rsid w:val="3C393B02"/>
    <w:rsid w:val="3C5404F0"/>
    <w:rsid w:val="3C555EF4"/>
    <w:rsid w:val="3C572A22"/>
    <w:rsid w:val="3C575A7E"/>
    <w:rsid w:val="3C6075C7"/>
    <w:rsid w:val="3C740B4E"/>
    <w:rsid w:val="3C767139"/>
    <w:rsid w:val="3C7F0DC6"/>
    <w:rsid w:val="3C8228CB"/>
    <w:rsid w:val="3CB50927"/>
    <w:rsid w:val="3CBF05FF"/>
    <w:rsid w:val="3CC412CB"/>
    <w:rsid w:val="3CCD615B"/>
    <w:rsid w:val="3CDF517B"/>
    <w:rsid w:val="3CFC5224"/>
    <w:rsid w:val="3D0208CC"/>
    <w:rsid w:val="3D0908F9"/>
    <w:rsid w:val="3D093D3F"/>
    <w:rsid w:val="3D0A71C7"/>
    <w:rsid w:val="3D181DB7"/>
    <w:rsid w:val="3D1F499D"/>
    <w:rsid w:val="3D28218B"/>
    <w:rsid w:val="3D4138EB"/>
    <w:rsid w:val="3D4C63F1"/>
    <w:rsid w:val="3D5E178F"/>
    <w:rsid w:val="3D63344A"/>
    <w:rsid w:val="3D6922CC"/>
    <w:rsid w:val="3D713866"/>
    <w:rsid w:val="3D7459BC"/>
    <w:rsid w:val="3D7541AD"/>
    <w:rsid w:val="3D83104B"/>
    <w:rsid w:val="3D974D73"/>
    <w:rsid w:val="3DA26A67"/>
    <w:rsid w:val="3DA714EF"/>
    <w:rsid w:val="3DA97573"/>
    <w:rsid w:val="3DB941AD"/>
    <w:rsid w:val="3DBA0A76"/>
    <w:rsid w:val="3DD1650F"/>
    <w:rsid w:val="3DD22AAE"/>
    <w:rsid w:val="3DD939A3"/>
    <w:rsid w:val="3DDD7691"/>
    <w:rsid w:val="3DE10350"/>
    <w:rsid w:val="3DF86FF9"/>
    <w:rsid w:val="3DFC09A0"/>
    <w:rsid w:val="3E035F97"/>
    <w:rsid w:val="3E1A33B0"/>
    <w:rsid w:val="3E240CF1"/>
    <w:rsid w:val="3E325230"/>
    <w:rsid w:val="3E38421D"/>
    <w:rsid w:val="3E3F6990"/>
    <w:rsid w:val="3E4963BE"/>
    <w:rsid w:val="3E565779"/>
    <w:rsid w:val="3E5B3681"/>
    <w:rsid w:val="3E724967"/>
    <w:rsid w:val="3E847867"/>
    <w:rsid w:val="3E930016"/>
    <w:rsid w:val="3E9D64EA"/>
    <w:rsid w:val="3EA63BB2"/>
    <w:rsid w:val="3EB35C96"/>
    <w:rsid w:val="3EB43064"/>
    <w:rsid w:val="3ECC149F"/>
    <w:rsid w:val="3EE45DF5"/>
    <w:rsid w:val="3EED799A"/>
    <w:rsid w:val="3EEF0F2C"/>
    <w:rsid w:val="3EFC27D2"/>
    <w:rsid w:val="3EFD12CB"/>
    <w:rsid w:val="3F023042"/>
    <w:rsid w:val="3F1943DC"/>
    <w:rsid w:val="3F260FBD"/>
    <w:rsid w:val="3F30737D"/>
    <w:rsid w:val="3F4D3C87"/>
    <w:rsid w:val="3F4D5F49"/>
    <w:rsid w:val="3F4E01C3"/>
    <w:rsid w:val="3F533601"/>
    <w:rsid w:val="3F6A15D5"/>
    <w:rsid w:val="3F704255"/>
    <w:rsid w:val="3F8F3110"/>
    <w:rsid w:val="3FA4089E"/>
    <w:rsid w:val="3FB77D9D"/>
    <w:rsid w:val="3FC873FB"/>
    <w:rsid w:val="3FD53C06"/>
    <w:rsid w:val="3FEF44A8"/>
    <w:rsid w:val="400F11A0"/>
    <w:rsid w:val="401B6E52"/>
    <w:rsid w:val="402A2E32"/>
    <w:rsid w:val="40337F01"/>
    <w:rsid w:val="40393EFF"/>
    <w:rsid w:val="403B0E28"/>
    <w:rsid w:val="40590106"/>
    <w:rsid w:val="405978FE"/>
    <w:rsid w:val="40604C81"/>
    <w:rsid w:val="40664E5C"/>
    <w:rsid w:val="406B6D64"/>
    <w:rsid w:val="40730B0B"/>
    <w:rsid w:val="40857378"/>
    <w:rsid w:val="408D7AED"/>
    <w:rsid w:val="40B23226"/>
    <w:rsid w:val="40BB5886"/>
    <w:rsid w:val="40BE0DD8"/>
    <w:rsid w:val="40CC2CD2"/>
    <w:rsid w:val="40CD71B8"/>
    <w:rsid w:val="40D62D5D"/>
    <w:rsid w:val="40DE6086"/>
    <w:rsid w:val="40EC7661"/>
    <w:rsid w:val="40F40979"/>
    <w:rsid w:val="4106727E"/>
    <w:rsid w:val="41075A22"/>
    <w:rsid w:val="411860C5"/>
    <w:rsid w:val="411D0364"/>
    <w:rsid w:val="4120245E"/>
    <w:rsid w:val="41206955"/>
    <w:rsid w:val="41225E3E"/>
    <w:rsid w:val="412445C9"/>
    <w:rsid w:val="41305D69"/>
    <w:rsid w:val="41390DE7"/>
    <w:rsid w:val="413E1473"/>
    <w:rsid w:val="414E0AE8"/>
    <w:rsid w:val="41604D1E"/>
    <w:rsid w:val="41637311"/>
    <w:rsid w:val="4170789E"/>
    <w:rsid w:val="41751DC5"/>
    <w:rsid w:val="417C05F2"/>
    <w:rsid w:val="41835A7E"/>
    <w:rsid w:val="41920CF9"/>
    <w:rsid w:val="4193612D"/>
    <w:rsid w:val="41AC203E"/>
    <w:rsid w:val="41B24F9E"/>
    <w:rsid w:val="41B4201F"/>
    <w:rsid w:val="41BB6C5E"/>
    <w:rsid w:val="41C97E84"/>
    <w:rsid w:val="41CD0471"/>
    <w:rsid w:val="41E136D6"/>
    <w:rsid w:val="41E44059"/>
    <w:rsid w:val="41E5542D"/>
    <w:rsid w:val="41E67BDB"/>
    <w:rsid w:val="4203237B"/>
    <w:rsid w:val="42081C6C"/>
    <w:rsid w:val="421F6C20"/>
    <w:rsid w:val="42413E62"/>
    <w:rsid w:val="424469F7"/>
    <w:rsid w:val="425375C2"/>
    <w:rsid w:val="427B09F3"/>
    <w:rsid w:val="428D02C8"/>
    <w:rsid w:val="428D7500"/>
    <w:rsid w:val="42927337"/>
    <w:rsid w:val="4293269E"/>
    <w:rsid w:val="429455D3"/>
    <w:rsid w:val="42AB7D17"/>
    <w:rsid w:val="42AE694C"/>
    <w:rsid w:val="42C21911"/>
    <w:rsid w:val="42F64A8D"/>
    <w:rsid w:val="430C3E05"/>
    <w:rsid w:val="43142BAC"/>
    <w:rsid w:val="43164E2B"/>
    <w:rsid w:val="43172899"/>
    <w:rsid w:val="431C323E"/>
    <w:rsid w:val="432D3987"/>
    <w:rsid w:val="433042F8"/>
    <w:rsid w:val="433475F1"/>
    <w:rsid w:val="434C5B7E"/>
    <w:rsid w:val="43553D34"/>
    <w:rsid w:val="435F7004"/>
    <w:rsid w:val="4366186C"/>
    <w:rsid w:val="43701CB4"/>
    <w:rsid w:val="43711A12"/>
    <w:rsid w:val="439946BF"/>
    <w:rsid w:val="43AA1C29"/>
    <w:rsid w:val="43B322B9"/>
    <w:rsid w:val="43B81849"/>
    <w:rsid w:val="43BB4E34"/>
    <w:rsid w:val="43BE1CB9"/>
    <w:rsid w:val="43BE3B42"/>
    <w:rsid w:val="43C14C23"/>
    <w:rsid w:val="43C50B7B"/>
    <w:rsid w:val="43CD6851"/>
    <w:rsid w:val="43D168F0"/>
    <w:rsid w:val="43EC07A0"/>
    <w:rsid w:val="43F24CF8"/>
    <w:rsid w:val="43FD7035"/>
    <w:rsid w:val="44267B27"/>
    <w:rsid w:val="442D492C"/>
    <w:rsid w:val="442F7275"/>
    <w:rsid w:val="442F75C0"/>
    <w:rsid w:val="44376043"/>
    <w:rsid w:val="444447F0"/>
    <w:rsid w:val="444745AF"/>
    <w:rsid w:val="44576FD6"/>
    <w:rsid w:val="448C2943"/>
    <w:rsid w:val="448E7EC4"/>
    <w:rsid w:val="449026BA"/>
    <w:rsid w:val="44931446"/>
    <w:rsid w:val="44A86E54"/>
    <w:rsid w:val="44B207D1"/>
    <w:rsid w:val="44C36443"/>
    <w:rsid w:val="44D457C4"/>
    <w:rsid w:val="44DE1C34"/>
    <w:rsid w:val="44E93466"/>
    <w:rsid w:val="44EB3AE3"/>
    <w:rsid w:val="44F3027E"/>
    <w:rsid w:val="44F311AD"/>
    <w:rsid w:val="4500375D"/>
    <w:rsid w:val="450651CC"/>
    <w:rsid w:val="45073B77"/>
    <w:rsid w:val="45091F87"/>
    <w:rsid w:val="4511644F"/>
    <w:rsid w:val="451B044F"/>
    <w:rsid w:val="45214818"/>
    <w:rsid w:val="45235D98"/>
    <w:rsid w:val="45446C95"/>
    <w:rsid w:val="45731203"/>
    <w:rsid w:val="457A72D2"/>
    <w:rsid w:val="458C3155"/>
    <w:rsid w:val="458F3B58"/>
    <w:rsid w:val="459D54CA"/>
    <w:rsid w:val="45A068BB"/>
    <w:rsid w:val="45A604D0"/>
    <w:rsid w:val="45AB0412"/>
    <w:rsid w:val="45AC518A"/>
    <w:rsid w:val="45B474E0"/>
    <w:rsid w:val="45C31CCD"/>
    <w:rsid w:val="45DA3CEF"/>
    <w:rsid w:val="4603042C"/>
    <w:rsid w:val="460C4FFC"/>
    <w:rsid w:val="460D35A0"/>
    <w:rsid w:val="46170431"/>
    <w:rsid w:val="46212264"/>
    <w:rsid w:val="463B2239"/>
    <w:rsid w:val="463E41FE"/>
    <w:rsid w:val="46464ADB"/>
    <w:rsid w:val="464D018B"/>
    <w:rsid w:val="465373AE"/>
    <w:rsid w:val="46767024"/>
    <w:rsid w:val="46775E94"/>
    <w:rsid w:val="46820892"/>
    <w:rsid w:val="46A41C10"/>
    <w:rsid w:val="46A70773"/>
    <w:rsid w:val="46BB7ADE"/>
    <w:rsid w:val="46CD3499"/>
    <w:rsid w:val="46D4525D"/>
    <w:rsid w:val="46DD6356"/>
    <w:rsid w:val="46E53E72"/>
    <w:rsid w:val="46ED08BC"/>
    <w:rsid w:val="46EE3E18"/>
    <w:rsid w:val="46EF632C"/>
    <w:rsid w:val="46F24DE9"/>
    <w:rsid w:val="46F326EF"/>
    <w:rsid w:val="47091E48"/>
    <w:rsid w:val="470C1B95"/>
    <w:rsid w:val="470E6E0A"/>
    <w:rsid w:val="47132A8C"/>
    <w:rsid w:val="472E49D4"/>
    <w:rsid w:val="47302AAB"/>
    <w:rsid w:val="47314D24"/>
    <w:rsid w:val="47365E5A"/>
    <w:rsid w:val="473D5D0C"/>
    <w:rsid w:val="4750335E"/>
    <w:rsid w:val="475410B9"/>
    <w:rsid w:val="476017A8"/>
    <w:rsid w:val="4763001B"/>
    <w:rsid w:val="47664443"/>
    <w:rsid w:val="47771C3D"/>
    <w:rsid w:val="477F7238"/>
    <w:rsid w:val="47832A70"/>
    <w:rsid w:val="47B92877"/>
    <w:rsid w:val="47BE67BD"/>
    <w:rsid w:val="47C03CB8"/>
    <w:rsid w:val="47C16CED"/>
    <w:rsid w:val="47D1078A"/>
    <w:rsid w:val="47E9497E"/>
    <w:rsid w:val="47EC513E"/>
    <w:rsid w:val="47EF5388"/>
    <w:rsid w:val="47FA6FF8"/>
    <w:rsid w:val="48002C3E"/>
    <w:rsid w:val="481B0E24"/>
    <w:rsid w:val="4823025C"/>
    <w:rsid w:val="48257C53"/>
    <w:rsid w:val="482835D7"/>
    <w:rsid w:val="4838275A"/>
    <w:rsid w:val="4838414E"/>
    <w:rsid w:val="483E1376"/>
    <w:rsid w:val="483E25EE"/>
    <w:rsid w:val="484E0612"/>
    <w:rsid w:val="486120DD"/>
    <w:rsid w:val="486E3021"/>
    <w:rsid w:val="4872063A"/>
    <w:rsid w:val="48793528"/>
    <w:rsid w:val="4882304B"/>
    <w:rsid w:val="488831E9"/>
    <w:rsid w:val="48921B34"/>
    <w:rsid w:val="489E7C5C"/>
    <w:rsid w:val="48A457E7"/>
    <w:rsid w:val="48A47783"/>
    <w:rsid w:val="48A47B43"/>
    <w:rsid w:val="48C15BDB"/>
    <w:rsid w:val="48C9061B"/>
    <w:rsid w:val="48E555DF"/>
    <w:rsid w:val="48F3269C"/>
    <w:rsid w:val="48FA3DD7"/>
    <w:rsid w:val="490112B5"/>
    <w:rsid w:val="49021A9C"/>
    <w:rsid w:val="4911463E"/>
    <w:rsid w:val="49131A69"/>
    <w:rsid w:val="49134C6E"/>
    <w:rsid w:val="49257435"/>
    <w:rsid w:val="4930741E"/>
    <w:rsid w:val="494A4975"/>
    <w:rsid w:val="49550D2C"/>
    <w:rsid w:val="49597C9E"/>
    <w:rsid w:val="495D1248"/>
    <w:rsid w:val="495F3E26"/>
    <w:rsid w:val="498D555C"/>
    <w:rsid w:val="498E59E8"/>
    <w:rsid w:val="4991736F"/>
    <w:rsid w:val="4993054F"/>
    <w:rsid w:val="49A437E6"/>
    <w:rsid w:val="49B00208"/>
    <w:rsid w:val="49B57E64"/>
    <w:rsid w:val="49C41576"/>
    <w:rsid w:val="49CE1B85"/>
    <w:rsid w:val="49D96D2D"/>
    <w:rsid w:val="49E072CF"/>
    <w:rsid w:val="49F00341"/>
    <w:rsid w:val="49F4171D"/>
    <w:rsid w:val="49F455D2"/>
    <w:rsid w:val="4A0901C4"/>
    <w:rsid w:val="4A0E4855"/>
    <w:rsid w:val="4A16118F"/>
    <w:rsid w:val="4A1817A4"/>
    <w:rsid w:val="4A18515C"/>
    <w:rsid w:val="4A23792D"/>
    <w:rsid w:val="4A44297F"/>
    <w:rsid w:val="4A454020"/>
    <w:rsid w:val="4A46095F"/>
    <w:rsid w:val="4A4D5956"/>
    <w:rsid w:val="4A533378"/>
    <w:rsid w:val="4A5641D3"/>
    <w:rsid w:val="4A6161A7"/>
    <w:rsid w:val="4A7163AD"/>
    <w:rsid w:val="4A72006C"/>
    <w:rsid w:val="4A790AF7"/>
    <w:rsid w:val="4A7D7F4A"/>
    <w:rsid w:val="4A7E6F7D"/>
    <w:rsid w:val="4A820E4A"/>
    <w:rsid w:val="4A856CFA"/>
    <w:rsid w:val="4A9015B5"/>
    <w:rsid w:val="4A99363B"/>
    <w:rsid w:val="4AAA2ED4"/>
    <w:rsid w:val="4AAC2A7D"/>
    <w:rsid w:val="4AAF28BE"/>
    <w:rsid w:val="4AC72014"/>
    <w:rsid w:val="4ADE149F"/>
    <w:rsid w:val="4AE53FC3"/>
    <w:rsid w:val="4B072416"/>
    <w:rsid w:val="4B30495C"/>
    <w:rsid w:val="4B33422D"/>
    <w:rsid w:val="4B466A0E"/>
    <w:rsid w:val="4B4B0DD2"/>
    <w:rsid w:val="4B4F366C"/>
    <w:rsid w:val="4B4F6718"/>
    <w:rsid w:val="4B535C56"/>
    <w:rsid w:val="4B5A6C7D"/>
    <w:rsid w:val="4B6D7968"/>
    <w:rsid w:val="4B8572AA"/>
    <w:rsid w:val="4B8E4BF1"/>
    <w:rsid w:val="4BAB366E"/>
    <w:rsid w:val="4BB143EB"/>
    <w:rsid w:val="4BB158A2"/>
    <w:rsid w:val="4BB478F4"/>
    <w:rsid w:val="4BB844B7"/>
    <w:rsid w:val="4BBD3B56"/>
    <w:rsid w:val="4BC71DD3"/>
    <w:rsid w:val="4BCC27B9"/>
    <w:rsid w:val="4BCC7AF8"/>
    <w:rsid w:val="4BD15998"/>
    <w:rsid w:val="4BDB10C5"/>
    <w:rsid w:val="4BDF3807"/>
    <w:rsid w:val="4C0A37C3"/>
    <w:rsid w:val="4C370289"/>
    <w:rsid w:val="4C403A3F"/>
    <w:rsid w:val="4C4F083F"/>
    <w:rsid w:val="4C503442"/>
    <w:rsid w:val="4C52416A"/>
    <w:rsid w:val="4C562B54"/>
    <w:rsid w:val="4C6535AC"/>
    <w:rsid w:val="4C671ED2"/>
    <w:rsid w:val="4C7B2E0F"/>
    <w:rsid w:val="4C817542"/>
    <w:rsid w:val="4CAD462F"/>
    <w:rsid w:val="4CAE276E"/>
    <w:rsid w:val="4CD5557F"/>
    <w:rsid w:val="4CD7476D"/>
    <w:rsid w:val="4CDF1BA2"/>
    <w:rsid w:val="4CEA33B5"/>
    <w:rsid w:val="4D054EB8"/>
    <w:rsid w:val="4D084077"/>
    <w:rsid w:val="4D0B0C3B"/>
    <w:rsid w:val="4D1C4511"/>
    <w:rsid w:val="4D1D3A63"/>
    <w:rsid w:val="4D257107"/>
    <w:rsid w:val="4D335A14"/>
    <w:rsid w:val="4D3759E7"/>
    <w:rsid w:val="4D4C1813"/>
    <w:rsid w:val="4D51770D"/>
    <w:rsid w:val="4D5822F3"/>
    <w:rsid w:val="4D5D039E"/>
    <w:rsid w:val="4D613104"/>
    <w:rsid w:val="4D81042B"/>
    <w:rsid w:val="4D952F08"/>
    <w:rsid w:val="4DAA7472"/>
    <w:rsid w:val="4DAD63CC"/>
    <w:rsid w:val="4DB910A5"/>
    <w:rsid w:val="4DC11FA2"/>
    <w:rsid w:val="4DC53833"/>
    <w:rsid w:val="4DC923D9"/>
    <w:rsid w:val="4DCC40A8"/>
    <w:rsid w:val="4DCD5259"/>
    <w:rsid w:val="4DF179BB"/>
    <w:rsid w:val="4E0061B2"/>
    <w:rsid w:val="4E023F6C"/>
    <w:rsid w:val="4E043AD1"/>
    <w:rsid w:val="4E1463D1"/>
    <w:rsid w:val="4E176F28"/>
    <w:rsid w:val="4E242CC1"/>
    <w:rsid w:val="4E350A8F"/>
    <w:rsid w:val="4E431C16"/>
    <w:rsid w:val="4E5130A0"/>
    <w:rsid w:val="4E597C9A"/>
    <w:rsid w:val="4E627E8B"/>
    <w:rsid w:val="4E665E0A"/>
    <w:rsid w:val="4E7C5555"/>
    <w:rsid w:val="4E8B0BC6"/>
    <w:rsid w:val="4E8F65B1"/>
    <w:rsid w:val="4E9855F7"/>
    <w:rsid w:val="4E9C39D8"/>
    <w:rsid w:val="4E9F3B2D"/>
    <w:rsid w:val="4EAE10A5"/>
    <w:rsid w:val="4EB776BA"/>
    <w:rsid w:val="4EBC1736"/>
    <w:rsid w:val="4EC363B7"/>
    <w:rsid w:val="4EC868EA"/>
    <w:rsid w:val="4ECA1987"/>
    <w:rsid w:val="4ECA6C97"/>
    <w:rsid w:val="4EE60890"/>
    <w:rsid w:val="4EF05369"/>
    <w:rsid w:val="4EF12EE8"/>
    <w:rsid w:val="4EFD054B"/>
    <w:rsid w:val="4F160EB4"/>
    <w:rsid w:val="4F2121E4"/>
    <w:rsid w:val="4F3F7ADC"/>
    <w:rsid w:val="4F4C0EE6"/>
    <w:rsid w:val="4F4C715A"/>
    <w:rsid w:val="4F4F236F"/>
    <w:rsid w:val="4F522FD0"/>
    <w:rsid w:val="4F585CE5"/>
    <w:rsid w:val="4F930DF8"/>
    <w:rsid w:val="4F936636"/>
    <w:rsid w:val="4FA70729"/>
    <w:rsid w:val="4FAB3CD1"/>
    <w:rsid w:val="4FB42314"/>
    <w:rsid w:val="4FC455E0"/>
    <w:rsid w:val="4FC7719D"/>
    <w:rsid w:val="4FD31624"/>
    <w:rsid w:val="4FD56593"/>
    <w:rsid w:val="4FD85F41"/>
    <w:rsid w:val="50034E9D"/>
    <w:rsid w:val="500F2D7F"/>
    <w:rsid w:val="501B30BE"/>
    <w:rsid w:val="50260564"/>
    <w:rsid w:val="50283C5D"/>
    <w:rsid w:val="502A756E"/>
    <w:rsid w:val="50300C1A"/>
    <w:rsid w:val="50327B73"/>
    <w:rsid w:val="50343328"/>
    <w:rsid w:val="50465235"/>
    <w:rsid w:val="505849A0"/>
    <w:rsid w:val="505D2CE3"/>
    <w:rsid w:val="50627942"/>
    <w:rsid w:val="506337F2"/>
    <w:rsid w:val="50792EE1"/>
    <w:rsid w:val="508752E1"/>
    <w:rsid w:val="509327D3"/>
    <w:rsid w:val="50AC2EBD"/>
    <w:rsid w:val="50B035F8"/>
    <w:rsid w:val="50C730A0"/>
    <w:rsid w:val="50D07195"/>
    <w:rsid w:val="50D11633"/>
    <w:rsid w:val="50D21A86"/>
    <w:rsid w:val="50D303E1"/>
    <w:rsid w:val="50E61579"/>
    <w:rsid w:val="50E94461"/>
    <w:rsid w:val="50E96015"/>
    <w:rsid w:val="50FD0350"/>
    <w:rsid w:val="50FD2526"/>
    <w:rsid w:val="50FF1BA5"/>
    <w:rsid w:val="51020CD9"/>
    <w:rsid w:val="51066AFE"/>
    <w:rsid w:val="510D5695"/>
    <w:rsid w:val="51182583"/>
    <w:rsid w:val="511D3E82"/>
    <w:rsid w:val="511E43A8"/>
    <w:rsid w:val="512B6D4F"/>
    <w:rsid w:val="512B6ED1"/>
    <w:rsid w:val="513019A7"/>
    <w:rsid w:val="513858DD"/>
    <w:rsid w:val="513F3655"/>
    <w:rsid w:val="5144121C"/>
    <w:rsid w:val="515A5514"/>
    <w:rsid w:val="51643C3A"/>
    <w:rsid w:val="51681689"/>
    <w:rsid w:val="517274AF"/>
    <w:rsid w:val="51736DAF"/>
    <w:rsid w:val="517B1337"/>
    <w:rsid w:val="517E775D"/>
    <w:rsid w:val="519060CC"/>
    <w:rsid w:val="51936F75"/>
    <w:rsid w:val="51AC5468"/>
    <w:rsid w:val="51B56C44"/>
    <w:rsid w:val="51BD07DD"/>
    <w:rsid w:val="51C159D4"/>
    <w:rsid w:val="51CF666F"/>
    <w:rsid w:val="51D00C90"/>
    <w:rsid w:val="51DC1F2B"/>
    <w:rsid w:val="51DC76FB"/>
    <w:rsid w:val="51E71B9C"/>
    <w:rsid w:val="51FA22B6"/>
    <w:rsid w:val="51FF5500"/>
    <w:rsid w:val="52031EB9"/>
    <w:rsid w:val="520E3345"/>
    <w:rsid w:val="52341F45"/>
    <w:rsid w:val="52350388"/>
    <w:rsid w:val="52381C82"/>
    <w:rsid w:val="52456D22"/>
    <w:rsid w:val="524A1B8F"/>
    <w:rsid w:val="524C1154"/>
    <w:rsid w:val="525B745B"/>
    <w:rsid w:val="528A290B"/>
    <w:rsid w:val="528F3DD2"/>
    <w:rsid w:val="528F411E"/>
    <w:rsid w:val="52947D5D"/>
    <w:rsid w:val="529906FD"/>
    <w:rsid w:val="52A202D6"/>
    <w:rsid w:val="52BB0A0D"/>
    <w:rsid w:val="52C8641F"/>
    <w:rsid w:val="52DE5593"/>
    <w:rsid w:val="52E35E36"/>
    <w:rsid w:val="52E7341D"/>
    <w:rsid w:val="52E80405"/>
    <w:rsid w:val="52E968E9"/>
    <w:rsid w:val="52EC6452"/>
    <w:rsid w:val="52ED4447"/>
    <w:rsid w:val="52FB3865"/>
    <w:rsid w:val="53131861"/>
    <w:rsid w:val="53156D61"/>
    <w:rsid w:val="531D60E0"/>
    <w:rsid w:val="531F42C6"/>
    <w:rsid w:val="53226E3B"/>
    <w:rsid w:val="532F4F75"/>
    <w:rsid w:val="533D0A07"/>
    <w:rsid w:val="53426C88"/>
    <w:rsid w:val="534A40B2"/>
    <w:rsid w:val="535C7A75"/>
    <w:rsid w:val="535E6E83"/>
    <w:rsid w:val="53663AB3"/>
    <w:rsid w:val="536F483D"/>
    <w:rsid w:val="537C3FD0"/>
    <w:rsid w:val="5382152B"/>
    <w:rsid w:val="53954C96"/>
    <w:rsid w:val="53A117C9"/>
    <w:rsid w:val="53B45FF3"/>
    <w:rsid w:val="53B472A1"/>
    <w:rsid w:val="53B8754D"/>
    <w:rsid w:val="53D30FC5"/>
    <w:rsid w:val="53D33A20"/>
    <w:rsid w:val="53DA4BF5"/>
    <w:rsid w:val="53F93585"/>
    <w:rsid w:val="53FC0B71"/>
    <w:rsid w:val="54062FD3"/>
    <w:rsid w:val="54163463"/>
    <w:rsid w:val="54226C02"/>
    <w:rsid w:val="542E6EC5"/>
    <w:rsid w:val="542F6235"/>
    <w:rsid w:val="54334675"/>
    <w:rsid w:val="546914E7"/>
    <w:rsid w:val="546B0211"/>
    <w:rsid w:val="54751CD9"/>
    <w:rsid w:val="54754FCD"/>
    <w:rsid w:val="54844287"/>
    <w:rsid w:val="548C4E94"/>
    <w:rsid w:val="54910B42"/>
    <w:rsid w:val="549E50CD"/>
    <w:rsid w:val="54A000BB"/>
    <w:rsid w:val="54A91DB3"/>
    <w:rsid w:val="54B760C8"/>
    <w:rsid w:val="54C6308C"/>
    <w:rsid w:val="54DE6C60"/>
    <w:rsid w:val="54E00027"/>
    <w:rsid w:val="54F00442"/>
    <w:rsid w:val="54F44ED4"/>
    <w:rsid w:val="54FF481C"/>
    <w:rsid w:val="55043EC4"/>
    <w:rsid w:val="55124573"/>
    <w:rsid w:val="55193DA0"/>
    <w:rsid w:val="55205D5C"/>
    <w:rsid w:val="55221609"/>
    <w:rsid w:val="55222709"/>
    <w:rsid w:val="55461127"/>
    <w:rsid w:val="555C3D9A"/>
    <w:rsid w:val="555C5395"/>
    <w:rsid w:val="55614BC6"/>
    <w:rsid w:val="559324A6"/>
    <w:rsid w:val="559A6954"/>
    <w:rsid w:val="55A7748D"/>
    <w:rsid w:val="55B746E1"/>
    <w:rsid w:val="55C354CC"/>
    <w:rsid w:val="55C64A63"/>
    <w:rsid w:val="55CE1BF3"/>
    <w:rsid w:val="55DC244A"/>
    <w:rsid w:val="55ED059A"/>
    <w:rsid w:val="55ED0D3D"/>
    <w:rsid w:val="55F923D4"/>
    <w:rsid w:val="560709CC"/>
    <w:rsid w:val="5613089F"/>
    <w:rsid w:val="561F2CF4"/>
    <w:rsid w:val="562728D7"/>
    <w:rsid w:val="563C3431"/>
    <w:rsid w:val="565F0DE5"/>
    <w:rsid w:val="56632C88"/>
    <w:rsid w:val="56802FE9"/>
    <w:rsid w:val="56853950"/>
    <w:rsid w:val="5691358D"/>
    <w:rsid w:val="569475D0"/>
    <w:rsid w:val="56957765"/>
    <w:rsid w:val="56961C9A"/>
    <w:rsid w:val="56A66424"/>
    <w:rsid w:val="56AF137D"/>
    <w:rsid w:val="56C00177"/>
    <w:rsid w:val="56C74BD3"/>
    <w:rsid w:val="56CB5221"/>
    <w:rsid w:val="56CF7052"/>
    <w:rsid w:val="56D27BBB"/>
    <w:rsid w:val="56D47C6C"/>
    <w:rsid w:val="56EB0421"/>
    <w:rsid w:val="56EB59BB"/>
    <w:rsid w:val="570229A2"/>
    <w:rsid w:val="570C7437"/>
    <w:rsid w:val="570E0CCD"/>
    <w:rsid w:val="57126198"/>
    <w:rsid w:val="57144344"/>
    <w:rsid w:val="572711D8"/>
    <w:rsid w:val="574513FE"/>
    <w:rsid w:val="57503906"/>
    <w:rsid w:val="57616863"/>
    <w:rsid w:val="57641A87"/>
    <w:rsid w:val="576B290A"/>
    <w:rsid w:val="579E4352"/>
    <w:rsid w:val="579F7777"/>
    <w:rsid w:val="57AB514A"/>
    <w:rsid w:val="57BE2D82"/>
    <w:rsid w:val="57C258B7"/>
    <w:rsid w:val="57C326D0"/>
    <w:rsid w:val="57C3352B"/>
    <w:rsid w:val="57C56DDC"/>
    <w:rsid w:val="57EC01D6"/>
    <w:rsid w:val="57EC6FB1"/>
    <w:rsid w:val="57F52861"/>
    <w:rsid w:val="57F832AC"/>
    <w:rsid w:val="5807646D"/>
    <w:rsid w:val="58084A6B"/>
    <w:rsid w:val="58156DDC"/>
    <w:rsid w:val="582025FB"/>
    <w:rsid w:val="58217F1C"/>
    <w:rsid w:val="58303A4F"/>
    <w:rsid w:val="583C1762"/>
    <w:rsid w:val="583C1F70"/>
    <w:rsid w:val="58433525"/>
    <w:rsid w:val="584D37A8"/>
    <w:rsid w:val="586066F7"/>
    <w:rsid w:val="586C01D1"/>
    <w:rsid w:val="58736E4A"/>
    <w:rsid w:val="587D1FAB"/>
    <w:rsid w:val="587F582C"/>
    <w:rsid w:val="589D0998"/>
    <w:rsid w:val="58A824B5"/>
    <w:rsid w:val="58B570B2"/>
    <w:rsid w:val="58C9223C"/>
    <w:rsid w:val="58D94EDB"/>
    <w:rsid w:val="58DA31AB"/>
    <w:rsid w:val="58DB2FF3"/>
    <w:rsid w:val="58DD2CA0"/>
    <w:rsid w:val="58F27199"/>
    <w:rsid w:val="58F5223D"/>
    <w:rsid w:val="59090EB5"/>
    <w:rsid w:val="59156413"/>
    <w:rsid w:val="59162166"/>
    <w:rsid w:val="5918021C"/>
    <w:rsid w:val="591F17FE"/>
    <w:rsid w:val="5929568E"/>
    <w:rsid w:val="59400076"/>
    <w:rsid w:val="5945637A"/>
    <w:rsid w:val="595D4081"/>
    <w:rsid w:val="59631459"/>
    <w:rsid w:val="59750488"/>
    <w:rsid w:val="598D07A3"/>
    <w:rsid w:val="59C305C5"/>
    <w:rsid w:val="59CB1CC2"/>
    <w:rsid w:val="59D53627"/>
    <w:rsid w:val="59D87CB9"/>
    <w:rsid w:val="59DB2BF2"/>
    <w:rsid w:val="59DB6397"/>
    <w:rsid w:val="59E62820"/>
    <w:rsid w:val="59EE14E4"/>
    <w:rsid w:val="59F84792"/>
    <w:rsid w:val="59FB72BF"/>
    <w:rsid w:val="59FF5FD0"/>
    <w:rsid w:val="5A237C25"/>
    <w:rsid w:val="5A3B21E9"/>
    <w:rsid w:val="5A3D465C"/>
    <w:rsid w:val="5A4B32B7"/>
    <w:rsid w:val="5A5A0798"/>
    <w:rsid w:val="5A636C14"/>
    <w:rsid w:val="5A764B1E"/>
    <w:rsid w:val="5A8241B5"/>
    <w:rsid w:val="5A8E687F"/>
    <w:rsid w:val="5A8F1320"/>
    <w:rsid w:val="5AA449C3"/>
    <w:rsid w:val="5AA64A76"/>
    <w:rsid w:val="5AAD50B0"/>
    <w:rsid w:val="5ACF4F7E"/>
    <w:rsid w:val="5ADE7689"/>
    <w:rsid w:val="5AF03C9A"/>
    <w:rsid w:val="5AF8432C"/>
    <w:rsid w:val="5B0239BF"/>
    <w:rsid w:val="5B1335B9"/>
    <w:rsid w:val="5B1E4B86"/>
    <w:rsid w:val="5B21056E"/>
    <w:rsid w:val="5B210929"/>
    <w:rsid w:val="5B21480A"/>
    <w:rsid w:val="5B3E26FB"/>
    <w:rsid w:val="5B413B37"/>
    <w:rsid w:val="5B505221"/>
    <w:rsid w:val="5B53325B"/>
    <w:rsid w:val="5B5D3DE7"/>
    <w:rsid w:val="5B694AC4"/>
    <w:rsid w:val="5B774F5A"/>
    <w:rsid w:val="5B787BBA"/>
    <w:rsid w:val="5B797D4A"/>
    <w:rsid w:val="5B7B71E1"/>
    <w:rsid w:val="5B7D4553"/>
    <w:rsid w:val="5B93138D"/>
    <w:rsid w:val="5B9F52E7"/>
    <w:rsid w:val="5BA16712"/>
    <w:rsid w:val="5BB21A38"/>
    <w:rsid w:val="5BB66E8D"/>
    <w:rsid w:val="5BBF2A77"/>
    <w:rsid w:val="5BCA2A99"/>
    <w:rsid w:val="5BCF6C2D"/>
    <w:rsid w:val="5BD54BB5"/>
    <w:rsid w:val="5BD62C1B"/>
    <w:rsid w:val="5BE774D1"/>
    <w:rsid w:val="5BE85F6E"/>
    <w:rsid w:val="5BF05D68"/>
    <w:rsid w:val="5C063CBA"/>
    <w:rsid w:val="5C0727C3"/>
    <w:rsid w:val="5C1E2605"/>
    <w:rsid w:val="5C284E49"/>
    <w:rsid w:val="5C29128B"/>
    <w:rsid w:val="5C31122C"/>
    <w:rsid w:val="5C316307"/>
    <w:rsid w:val="5C38391F"/>
    <w:rsid w:val="5C3C5C0E"/>
    <w:rsid w:val="5C3E7934"/>
    <w:rsid w:val="5C4412B0"/>
    <w:rsid w:val="5C451873"/>
    <w:rsid w:val="5C4D7198"/>
    <w:rsid w:val="5C4F3BE8"/>
    <w:rsid w:val="5C694931"/>
    <w:rsid w:val="5C7C5800"/>
    <w:rsid w:val="5C8E1738"/>
    <w:rsid w:val="5C970628"/>
    <w:rsid w:val="5CA5297B"/>
    <w:rsid w:val="5CB25944"/>
    <w:rsid w:val="5CB466CB"/>
    <w:rsid w:val="5CBE4706"/>
    <w:rsid w:val="5CD94DB3"/>
    <w:rsid w:val="5CDE6259"/>
    <w:rsid w:val="5D047889"/>
    <w:rsid w:val="5D0E6D04"/>
    <w:rsid w:val="5D2A5076"/>
    <w:rsid w:val="5D3B0A6D"/>
    <w:rsid w:val="5D452C00"/>
    <w:rsid w:val="5D4A22F0"/>
    <w:rsid w:val="5D5F1DE9"/>
    <w:rsid w:val="5D746194"/>
    <w:rsid w:val="5D7B4285"/>
    <w:rsid w:val="5D7D5C7F"/>
    <w:rsid w:val="5D7E1BB5"/>
    <w:rsid w:val="5D8E0C72"/>
    <w:rsid w:val="5D922C35"/>
    <w:rsid w:val="5DA063B7"/>
    <w:rsid w:val="5DA1409A"/>
    <w:rsid w:val="5DB03DFD"/>
    <w:rsid w:val="5DBB7BD5"/>
    <w:rsid w:val="5DBD7141"/>
    <w:rsid w:val="5DC46EC3"/>
    <w:rsid w:val="5DC607A6"/>
    <w:rsid w:val="5DD846EA"/>
    <w:rsid w:val="5DDB69A3"/>
    <w:rsid w:val="5DE57538"/>
    <w:rsid w:val="5DE75AF3"/>
    <w:rsid w:val="5DF009A4"/>
    <w:rsid w:val="5DF015A8"/>
    <w:rsid w:val="5DFD59E5"/>
    <w:rsid w:val="5E051726"/>
    <w:rsid w:val="5E2D4CB6"/>
    <w:rsid w:val="5E3333B5"/>
    <w:rsid w:val="5E4B16FA"/>
    <w:rsid w:val="5E4D15A5"/>
    <w:rsid w:val="5E4E3750"/>
    <w:rsid w:val="5E5C4573"/>
    <w:rsid w:val="5E766E90"/>
    <w:rsid w:val="5E870B1C"/>
    <w:rsid w:val="5E87474A"/>
    <w:rsid w:val="5E8B740E"/>
    <w:rsid w:val="5E953BF9"/>
    <w:rsid w:val="5EA028E0"/>
    <w:rsid w:val="5EA21FDC"/>
    <w:rsid w:val="5EA320C2"/>
    <w:rsid w:val="5EA4163B"/>
    <w:rsid w:val="5EBC0CA5"/>
    <w:rsid w:val="5EBC62B1"/>
    <w:rsid w:val="5EC32A6C"/>
    <w:rsid w:val="5EE10C8D"/>
    <w:rsid w:val="5EEF124B"/>
    <w:rsid w:val="5EF16331"/>
    <w:rsid w:val="5EF17A51"/>
    <w:rsid w:val="5EF56D72"/>
    <w:rsid w:val="5EFD2C99"/>
    <w:rsid w:val="5EFF02EA"/>
    <w:rsid w:val="5F3461D4"/>
    <w:rsid w:val="5F391F09"/>
    <w:rsid w:val="5F3E4043"/>
    <w:rsid w:val="5F477CA1"/>
    <w:rsid w:val="5F483EA7"/>
    <w:rsid w:val="5F5C1D3D"/>
    <w:rsid w:val="5F5F1949"/>
    <w:rsid w:val="5F9035E9"/>
    <w:rsid w:val="5F994328"/>
    <w:rsid w:val="5FB52C88"/>
    <w:rsid w:val="5FBC711C"/>
    <w:rsid w:val="5FC53B36"/>
    <w:rsid w:val="5FCC4D7D"/>
    <w:rsid w:val="5FCE022F"/>
    <w:rsid w:val="5FD24D70"/>
    <w:rsid w:val="5FD84E25"/>
    <w:rsid w:val="5FE414BD"/>
    <w:rsid w:val="5FE75713"/>
    <w:rsid w:val="5FE763FE"/>
    <w:rsid w:val="5FEE6493"/>
    <w:rsid w:val="5FF7219F"/>
    <w:rsid w:val="600337E3"/>
    <w:rsid w:val="600E3FAB"/>
    <w:rsid w:val="601252E0"/>
    <w:rsid w:val="601A60B6"/>
    <w:rsid w:val="60204505"/>
    <w:rsid w:val="60240E0D"/>
    <w:rsid w:val="602D1D3E"/>
    <w:rsid w:val="603D2331"/>
    <w:rsid w:val="604563E1"/>
    <w:rsid w:val="604D380B"/>
    <w:rsid w:val="606836D6"/>
    <w:rsid w:val="6082326B"/>
    <w:rsid w:val="608E4DD3"/>
    <w:rsid w:val="609B77D0"/>
    <w:rsid w:val="609E44BC"/>
    <w:rsid w:val="60B15256"/>
    <w:rsid w:val="60C54871"/>
    <w:rsid w:val="60C70223"/>
    <w:rsid w:val="60D054BE"/>
    <w:rsid w:val="60D0634D"/>
    <w:rsid w:val="60DF7561"/>
    <w:rsid w:val="60E23588"/>
    <w:rsid w:val="60EB6A8E"/>
    <w:rsid w:val="60EC07AD"/>
    <w:rsid w:val="60EF1460"/>
    <w:rsid w:val="60EF4AC1"/>
    <w:rsid w:val="60F53A65"/>
    <w:rsid w:val="60FC14FE"/>
    <w:rsid w:val="61091335"/>
    <w:rsid w:val="61100044"/>
    <w:rsid w:val="6124507F"/>
    <w:rsid w:val="613A4F43"/>
    <w:rsid w:val="61446506"/>
    <w:rsid w:val="61647EEF"/>
    <w:rsid w:val="617B6B33"/>
    <w:rsid w:val="6186794E"/>
    <w:rsid w:val="61920DB6"/>
    <w:rsid w:val="61980248"/>
    <w:rsid w:val="619D7D9C"/>
    <w:rsid w:val="61A35533"/>
    <w:rsid w:val="61BC3EFA"/>
    <w:rsid w:val="61C960D4"/>
    <w:rsid w:val="61CB2393"/>
    <w:rsid w:val="61D14B09"/>
    <w:rsid w:val="61DE18F2"/>
    <w:rsid w:val="61E300C4"/>
    <w:rsid w:val="61F64E11"/>
    <w:rsid w:val="62276A4D"/>
    <w:rsid w:val="62295352"/>
    <w:rsid w:val="62313B0B"/>
    <w:rsid w:val="623F12A7"/>
    <w:rsid w:val="624228CE"/>
    <w:rsid w:val="624A14E1"/>
    <w:rsid w:val="6277573C"/>
    <w:rsid w:val="62825EEF"/>
    <w:rsid w:val="62895A80"/>
    <w:rsid w:val="628A7BEB"/>
    <w:rsid w:val="628B1891"/>
    <w:rsid w:val="628C2519"/>
    <w:rsid w:val="62911CBB"/>
    <w:rsid w:val="62C51497"/>
    <w:rsid w:val="62C531E2"/>
    <w:rsid w:val="62D3401D"/>
    <w:rsid w:val="63032B20"/>
    <w:rsid w:val="63102F1B"/>
    <w:rsid w:val="63123E35"/>
    <w:rsid w:val="6327709C"/>
    <w:rsid w:val="632A5C84"/>
    <w:rsid w:val="632F0B1F"/>
    <w:rsid w:val="63415397"/>
    <w:rsid w:val="63472E65"/>
    <w:rsid w:val="63524EC0"/>
    <w:rsid w:val="63675193"/>
    <w:rsid w:val="63721199"/>
    <w:rsid w:val="63735B9F"/>
    <w:rsid w:val="63757D9B"/>
    <w:rsid w:val="637768DA"/>
    <w:rsid w:val="63832138"/>
    <w:rsid w:val="639F0283"/>
    <w:rsid w:val="63AD4666"/>
    <w:rsid w:val="63AF1D76"/>
    <w:rsid w:val="63AF257E"/>
    <w:rsid w:val="63B554BC"/>
    <w:rsid w:val="63B6506A"/>
    <w:rsid w:val="63C138ED"/>
    <w:rsid w:val="63E3779B"/>
    <w:rsid w:val="63E97B06"/>
    <w:rsid w:val="63EC6223"/>
    <w:rsid w:val="63F64269"/>
    <w:rsid w:val="63FB3240"/>
    <w:rsid w:val="640C2F61"/>
    <w:rsid w:val="6411509B"/>
    <w:rsid w:val="641316E5"/>
    <w:rsid w:val="642B3519"/>
    <w:rsid w:val="643A75D6"/>
    <w:rsid w:val="644D0422"/>
    <w:rsid w:val="645244CF"/>
    <w:rsid w:val="64580ACC"/>
    <w:rsid w:val="645B265F"/>
    <w:rsid w:val="645B3CB7"/>
    <w:rsid w:val="646016F5"/>
    <w:rsid w:val="64640BC0"/>
    <w:rsid w:val="64777174"/>
    <w:rsid w:val="64833705"/>
    <w:rsid w:val="64856B4A"/>
    <w:rsid w:val="648A7EB8"/>
    <w:rsid w:val="64970D92"/>
    <w:rsid w:val="64AA73BB"/>
    <w:rsid w:val="64AF6212"/>
    <w:rsid w:val="64B66154"/>
    <w:rsid w:val="64BE7506"/>
    <w:rsid w:val="64C75099"/>
    <w:rsid w:val="64CA4553"/>
    <w:rsid w:val="64CC6D55"/>
    <w:rsid w:val="64D441F2"/>
    <w:rsid w:val="64D5640B"/>
    <w:rsid w:val="64DC7C61"/>
    <w:rsid w:val="64EB1F8A"/>
    <w:rsid w:val="64EE04D3"/>
    <w:rsid w:val="64F14497"/>
    <w:rsid w:val="6518783F"/>
    <w:rsid w:val="65206A54"/>
    <w:rsid w:val="65481A51"/>
    <w:rsid w:val="65490FD0"/>
    <w:rsid w:val="65557A72"/>
    <w:rsid w:val="656D0763"/>
    <w:rsid w:val="657510AC"/>
    <w:rsid w:val="65781F83"/>
    <w:rsid w:val="65861765"/>
    <w:rsid w:val="659C3D07"/>
    <w:rsid w:val="659F393F"/>
    <w:rsid w:val="65A8591D"/>
    <w:rsid w:val="65B968BD"/>
    <w:rsid w:val="65BF338E"/>
    <w:rsid w:val="65CC75F7"/>
    <w:rsid w:val="65CE2013"/>
    <w:rsid w:val="65CF7A7E"/>
    <w:rsid w:val="65D61D48"/>
    <w:rsid w:val="65E16894"/>
    <w:rsid w:val="660F72D8"/>
    <w:rsid w:val="66106088"/>
    <w:rsid w:val="661D7800"/>
    <w:rsid w:val="66277DA6"/>
    <w:rsid w:val="66310B2C"/>
    <w:rsid w:val="66343738"/>
    <w:rsid w:val="66374762"/>
    <w:rsid w:val="663C61B6"/>
    <w:rsid w:val="66461E5B"/>
    <w:rsid w:val="66516F4F"/>
    <w:rsid w:val="66575D99"/>
    <w:rsid w:val="66665A8C"/>
    <w:rsid w:val="66690CC5"/>
    <w:rsid w:val="669B680C"/>
    <w:rsid w:val="66B20767"/>
    <w:rsid w:val="66B2692E"/>
    <w:rsid w:val="66CC0FE3"/>
    <w:rsid w:val="66E4416C"/>
    <w:rsid w:val="67085D01"/>
    <w:rsid w:val="672F4DCC"/>
    <w:rsid w:val="67330BCE"/>
    <w:rsid w:val="67330ECC"/>
    <w:rsid w:val="673347A6"/>
    <w:rsid w:val="673427FB"/>
    <w:rsid w:val="673C4D73"/>
    <w:rsid w:val="67451938"/>
    <w:rsid w:val="674C07D7"/>
    <w:rsid w:val="6759228F"/>
    <w:rsid w:val="67595A9A"/>
    <w:rsid w:val="67597F9E"/>
    <w:rsid w:val="675B3813"/>
    <w:rsid w:val="675E0346"/>
    <w:rsid w:val="675E047D"/>
    <w:rsid w:val="67BE6FC1"/>
    <w:rsid w:val="67C40CED"/>
    <w:rsid w:val="67C83F2A"/>
    <w:rsid w:val="67C854E5"/>
    <w:rsid w:val="67DE7F8B"/>
    <w:rsid w:val="67E01D12"/>
    <w:rsid w:val="67EB4E15"/>
    <w:rsid w:val="68083716"/>
    <w:rsid w:val="680B257F"/>
    <w:rsid w:val="680D2629"/>
    <w:rsid w:val="680E5CA1"/>
    <w:rsid w:val="681D7ED5"/>
    <w:rsid w:val="68264A44"/>
    <w:rsid w:val="683345AF"/>
    <w:rsid w:val="683C5D05"/>
    <w:rsid w:val="68490472"/>
    <w:rsid w:val="6849385F"/>
    <w:rsid w:val="68542772"/>
    <w:rsid w:val="68625B07"/>
    <w:rsid w:val="68700C5C"/>
    <w:rsid w:val="6877084A"/>
    <w:rsid w:val="687B1E79"/>
    <w:rsid w:val="687C19B5"/>
    <w:rsid w:val="68936020"/>
    <w:rsid w:val="689D1B89"/>
    <w:rsid w:val="68A01E0C"/>
    <w:rsid w:val="68CB7E3E"/>
    <w:rsid w:val="68D66E01"/>
    <w:rsid w:val="68DD29DF"/>
    <w:rsid w:val="68E475C7"/>
    <w:rsid w:val="68E849E7"/>
    <w:rsid w:val="68EA7B78"/>
    <w:rsid w:val="68FC383A"/>
    <w:rsid w:val="69207C6F"/>
    <w:rsid w:val="69283E2B"/>
    <w:rsid w:val="69332DC6"/>
    <w:rsid w:val="695D4FFB"/>
    <w:rsid w:val="69606089"/>
    <w:rsid w:val="696F55C6"/>
    <w:rsid w:val="698133CC"/>
    <w:rsid w:val="699F6EBE"/>
    <w:rsid w:val="69A709A5"/>
    <w:rsid w:val="69B06AE6"/>
    <w:rsid w:val="69B17658"/>
    <w:rsid w:val="69B85659"/>
    <w:rsid w:val="69C60A1F"/>
    <w:rsid w:val="69C91885"/>
    <w:rsid w:val="69CA4A95"/>
    <w:rsid w:val="69D21B99"/>
    <w:rsid w:val="69EC5915"/>
    <w:rsid w:val="69F02954"/>
    <w:rsid w:val="69F605C4"/>
    <w:rsid w:val="69F9276C"/>
    <w:rsid w:val="6A022BAE"/>
    <w:rsid w:val="6A0802D5"/>
    <w:rsid w:val="6A0D26F1"/>
    <w:rsid w:val="6A0E760E"/>
    <w:rsid w:val="6A1D5AF0"/>
    <w:rsid w:val="6A265F6E"/>
    <w:rsid w:val="6A4E6463"/>
    <w:rsid w:val="6A5B2744"/>
    <w:rsid w:val="6A5B4233"/>
    <w:rsid w:val="6A6219BB"/>
    <w:rsid w:val="6A6316E6"/>
    <w:rsid w:val="6A680374"/>
    <w:rsid w:val="6A7203FE"/>
    <w:rsid w:val="6A724B20"/>
    <w:rsid w:val="6A766B93"/>
    <w:rsid w:val="6A775D1A"/>
    <w:rsid w:val="6A875191"/>
    <w:rsid w:val="6A93149A"/>
    <w:rsid w:val="6AAB41CE"/>
    <w:rsid w:val="6ACF0B24"/>
    <w:rsid w:val="6AD05183"/>
    <w:rsid w:val="6AD3030D"/>
    <w:rsid w:val="6AD837CE"/>
    <w:rsid w:val="6AED3AF8"/>
    <w:rsid w:val="6AEF231B"/>
    <w:rsid w:val="6B042FAF"/>
    <w:rsid w:val="6B1572BB"/>
    <w:rsid w:val="6B290093"/>
    <w:rsid w:val="6B317074"/>
    <w:rsid w:val="6B345C5B"/>
    <w:rsid w:val="6B347C3F"/>
    <w:rsid w:val="6B4B2321"/>
    <w:rsid w:val="6B52287D"/>
    <w:rsid w:val="6B547B35"/>
    <w:rsid w:val="6B5E6BB9"/>
    <w:rsid w:val="6B754B17"/>
    <w:rsid w:val="6B7567CD"/>
    <w:rsid w:val="6B8B4420"/>
    <w:rsid w:val="6B996DC5"/>
    <w:rsid w:val="6BA517AF"/>
    <w:rsid w:val="6BB60AD5"/>
    <w:rsid w:val="6BB74B75"/>
    <w:rsid w:val="6BC37624"/>
    <w:rsid w:val="6BCB608E"/>
    <w:rsid w:val="6BCE350F"/>
    <w:rsid w:val="6BCF21C8"/>
    <w:rsid w:val="6BEA3EFA"/>
    <w:rsid w:val="6BED7642"/>
    <w:rsid w:val="6BF6237D"/>
    <w:rsid w:val="6BFE715B"/>
    <w:rsid w:val="6BFF53CE"/>
    <w:rsid w:val="6C006D16"/>
    <w:rsid w:val="6C07342E"/>
    <w:rsid w:val="6C1A73E6"/>
    <w:rsid w:val="6C2A3284"/>
    <w:rsid w:val="6C365F2C"/>
    <w:rsid w:val="6C3B4109"/>
    <w:rsid w:val="6C422B64"/>
    <w:rsid w:val="6C464196"/>
    <w:rsid w:val="6C4B1DB8"/>
    <w:rsid w:val="6C5B625A"/>
    <w:rsid w:val="6C5F3557"/>
    <w:rsid w:val="6C614E28"/>
    <w:rsid w:val="6C703F1B"/>
    <w:rsid w:val="6C774FB8"/>
    <w:rsid w:val="6C8F2627"/>
    <w:rsid w:val="6C93655D"/>
    <w:rsid w:val="6C955932"/>
    <w:rsid w:val="6C9F64B5"/>
    <w:rsid w:val="6C9F7F08"/>
    <w:rsid w:val="6CC52DD8"/>
    <w:rsid w:val="6CC67608"/>
    <w:rsid w:val="6CEC5623"/>
    <w:rsid w:val="6CEF1CD0"/>
    <w:rsid w:val="6CF34500"/>
    <w:rsid w:val="6CF65E2E"/>
    <w:rsid w:val="6D023FA9"/>
    <w:rsid w:val="6D080BB5"/>
    <w:rsid w:val="6D0E0362"/>
    <w:rsid w:val="6D137856"/>
    <w:rsid w:val="6D151B20"/>
    <w:rsid w:val="6D1A4ED9"/>
    <w:rsid w:val="6D1F5FFF"/>
    <w:rsid w:val="6D2856A4"/>
    <w:rsid w:val="6D35457E"/>
    <w:rsid w:val="6D357DB1"/>
    <w:rsid w:val="6D3E11B3"/>
    <w:rsid w:val="6D550EDC"/>
    <w:rsid w:val="6D5D5BF3"/>
    <w:rsid w:val="6D5E228E"/>
    <w:rsid w:val="6D65423A"/>
    <w:rsid w:val="6D832BCE"/>
    <w:rsid w:val="6D861127"/>
    <w:rsid w:val="6D8623AE"/>
    <w:rsid w:val="6DA55867"/>
    <w:rsid w:val="6DA918DE"/>
    <w:rsid w:val="6DBE4DEF"/>
    <w:rsid w:val="6DC530AE"/>
    <w:rsid w:val="6DD05B6C"/>
    <w:rsid w:val="6DE634F9"/>
    <w:rsid w:val="6DF54322"/>
    <w:rsid w:val="6DFC2FDD"/>
    <w:rsid w:val="6DFC6B12"/>
    <w:rsid w:val="6E007C98"/>
    <w:rsid w:val="6E02353D"/>
    <w:rsid w:val="6E204B9A"/>
    <w:rsid w:val="6E2965A6"/>
    <w:rsid w:val="6E302C11"/>
    <w:rsid w:val="6E3E4282"/>
    <w:rsid w:val="6E3E4973"/>
    <w:rsid w:val="6E5C409F"/>
    <w:rsid w:val="6E5D0DB2"/>
    <w:rsid w:val="6E643B7D"/>
    <w:rsid w:val="6E646EF9"/>
    <w:rsid w:val="6E777ABB"/>
    <w:rsid w:val="6E7838B5"/>
    <w:rsid w:val="6E881FC8"/>
    <w:rsid w:val="6E8B1484"/>
    <w:rsid w:val="6E907D8D"/>
    <w:rsid w:val="6E9E54B3"/>
    <w:rsid w:val="6EA14181"/>
    <w:rsid w:val="6EA53068"/>
    <w:rsid w:val="6EAE0F61"/>
    <w:rsid w:val="6EB870F1"/>
    <w:rsid w:val="6EC817F4"/>
    <w:rsid w:val="6EEB3447"/>
    <w:rsid w:val="6EEE2083"/>
    <w:rsid w:val="6EFD7B81"/>
    <w:rsid w:val="6F227892"/>
    <w:rsid w:val="6F2A4225"/>
    <w:rsid w:val="6F302474"/>
    <w:rsid w:val="6F362BFD"/>
    <w:rsid w:val="6F5705BE"/>
    <w:rsid w:val="6F5C645E"/>
    <w:rsid w:val="6F70242D"/>
    <w:rsid w:val="6F7B6855"/>
    <w:rsid w:val="6F7E37CB"/>
    <w:rsid w:val="6F9522E4"/>
    <w:rsid w:val="6F9633D8"/>
    <w:rsid w:val="6FA23B2D"/>
    <w:rsid w:val="6FA40D5B"/>
    <w:rsid w:val="6FAA270C"/>
    <w:rsid w:val="6FAE5398"/>
    <w:rsid w:val="6FB163D2"/>
    <w:rsid w:val="6FEC6D26"/>
    <w:rsid w:val="6FED71FD"/>
    <w:rsid w:val="6FF51CC9"/>
    <w:rsid w:val="70126F50"/>
    <w:rsid w:val="70205308"/>
    <w:rsid w:val="70263C30"/>
    <w:rsid w:val="703A18A8"/>
    <w:rsid w:val="70404FA0"/>
    <w:rsid w:val="70453303"/>
    <w:rsid w:val="7045525E"/>
    <w:rsid w:val="70492189"/>
    <w:rsid w:val="704C2E4C"/>
    <w:rsid w:val="704C6B5B"/>
    <w:rsid w:val="705A5E7D"/>
    <w:rsid w:val="705E2B46"/>
    <w:rsid w:val="70651716"/>
    <w:rsid w:val="706A05AE"/>
    <w:rsid w:val="707153BC"/>
    <w:rsid w:val="70723275"/>
    <w:rsid w:val="707976B5"/>
    <w:rsid w:val="707E680A"/>
    <w:rsid w:val="708057EF"/>
    <w:rsid w:val="708606F2"/>
    <w:rsid w:val="7089589F"/>
    <w:rsid w:val="708A240A"/>
    <w:rsid w:val="708D79F2"/>
    <w:rsid w:val="708E6222"/>
    <w:rsid w:val="709557F8"/>
    <w:rsid w:val="709C2D8A"/>
    <w:rsid w:val="70C65B6C"/>
    <w:rsid w:val="70DD2684"/>
    <w:rsid w:val="70DF0E27"/>
    <w:rsid w:val="70EE14F8"/>
    <w:rsid w:val="70EF0949"/>
    <w:rsid w:val="70F62888"/>
    <w:rsid w:val="70F71EA6"/>
    <w:rsid w:val="70F8054C"/>
    <w:rsid w:val="70FA046A"/>
    <w:rsid w:val="70FD30A5"/>
    <w:rsid w:val="70FE4F97"/>
    <w:rsid w:val="71056663"/>
    <w:rsid w:val="7121719C"/>
    <w:rsid w:val="71266954"/>
    <w:rsid w:val="712D2EC9"/>
    <w:rsid w:val="713B4B14"/>
    <w:rsid w:val="713B6A41"/>
    <w:rsid w:val="71421D81"/>
    <w:rsid w:val="714D4207"/>
    <w:rsid w:val="71507783"/>
    <w:rsid w:val="7153545E"/>
    <w:rsid w:val="7160334F"/>
    <w:rsid w:val="716A3370"/>
    <w:rsid w:val="716A7E9B"/>
    <w:rsid w:val="71764586"/>
    <w:rsid w:val="71812FCF"/>
    <w:rsid w:val="71813F83"/>
    <w:rsid w:val="718751AE"/>
    <w:rsid w:val="718A441C"/>
    <w:rsid w:val="719E47B3"/>
    <w:rsid w:val="71AA49AE"/>
    <w:rsid w:val="71C04156"/>
    <w:rsid w:val="71C07801"/>
    <w:rsid w:val="71C337BC"/>
    <w:rsid w:val="71CB1F9B"/>
    <w:rsid w:val="71DF43B5"/>
    <w:rsid w:val="71F524FC"/>
    <w:rsid w:val="71F67DB7"/>
    <w:rsid w:val="71FC1DC3"/>
    <w:rsid w:val="721206AE"/>
    <w:rsid w:val="72206EB5"/>
    <w:rsid w:val="72243ED1"/>
    <w:rsid w:val="722A4E9B"/>
    <w:rsid w:val="722B234A"/>
    <w:rsid w:val="723D6584"/>
    <w:rsid w:val="723D7EC3"/>
    <w:rsid w:val="724B546C"/>
    <w:rsid w:val="72630FA0"/>
    <w:rsid w:val="728050A1"/>
    <w:rsid w:val="72893258"/>
    <w:rsid w:val="72990297"/>
    <w:rsid w:val="72A87228"/>
    <w:rsid w:val="72AD0644"/>
    <w:rsid w:val="72CB26E9"/>
    <w:rsid w:val="72CB6B94"/>
    <w:rsid w:val="72D2387E"/>
    <w:rsid w:val="72EC5911"/>
    <w:rsid w:val="731B1FC6"/>
    <w:rsid w:val="732B1961"/>
    <w:rsid w:val="73362069"/>
    <w:rsid w:val="736D5BC1"/>
    <w:rsid w:val="73721C0F"/>
    <w:rsid w:val="73765019"/>
    <w:rsid w:val="7389702B"/>
    <w:rsid w:val="7394646A"/>
    <w:rsid w:val="7398173F"/>
    <w:rsid w:val="73AC2120"/>
    <w:rsid w:val="73B210F3"/>
    <w:rsid w:val="73BF4CD3"/>
    <w:rsid w:val="73C675F7"/>
    <w:rsid w:val="73CD60DD"/>
    <w:rsid w:val="73E247C0"/>
    <w:rsid w:val="74087D6B"/>
    <w:rsid w:val="740D287E"/>
    <w:rsid w:val="740E3466"/>
    <w:rsid w:val="741D4CEE"/>
    <w:rsid w:val="741F2DE6"/>
    <w:rsid w:val="74255C5B"/>
    <w:rsid w:val="74267AF8"/>
    <w:rsid w:val="742967CC"/>
    <w:rsid w:val="744359E5"/>
    <w:rsid w:val="744E440C"/>
    <w:rsid w:val="746A2D1F"/>
    <w:rsid w:val="74732CDE"/>
    <w:rsid w:val="747E5161"/>
    <w:rsid w:val="748A6114"/>
    <w:rsid w:val="748E37DD"/>
    <w:rsid w:val="749E04E4"/>
    <w:rsid w:val="749E6D98"/>
    <w:rsid w:val="74A45853"/>
    <w:rsid w:val="74AD024E"/>
    <w:rsid w:val="74AD3489"/>
    <w:rsid w:val="74DC3843"/>
    <w:rsid w:val="74DE345F"/>
    <w:rsid w:val="74DE6ABD"/>
    <w:rsid w:val="74E80CC2"/>
    <w:rsid w:val="74F736ED"/>
    <w:rsid w:val="75021427"/>
    <w:rsid w:val="750C09A2"/>
    <w:rsid w:val="752464B7"/>
    <w:rsid w:val="752A38BD"/>
    <w:rsid w:val="752D26E3"/>
    <w:rsid w:val="752F46D7"/>
    <w:rsid w:val="753532CE"/>
    <w:rsid w:val="753C4AB3"/>
    <w:rsid w:val="753D46F5"/>
    <w:rsid w:val="75524A1E"/>
    <w:rsid w:val="75550DED"/>
    <w:rsid w:val="755745F1"/>
    <w:rsid w:val="755A4261"/>
    <w:rsid w:val="75605322"/>
    <w:rsid w:val="75631192"/>
    <w:rsid w:val="75760BA8"/>
    <w:rsid w:val="757C645F"/>
    <w:rsid w:val="75822AFF"/>
    <w:rsid w:val="75874FD0"/>
    <w:rsid w:val="758771B4"/>
    <w:rsid w:val="75947FEE"/>
    <w:rsid w:val="759F0F57"/>
    <w:rsid w:val="75AA2DCF"/>
    <w:rsid w:val="75B37BEE"/>
    <w:rsid w:val="75C23FDB"/>
    <w:rsid w:val="75C9553E"/>
    <w:rsid w:val="75D80CEA"/>
    <w:rsid w:val="75E24BD4"/>
    <w:rsid w:val="75E83EC1"/>
    <w:rsid w:val="75EC3030"/>
    <w:rsid w:val="75EF6C62"/>
    <w:rsid w:val="76040264"/>
    <w:rsid w:val="76086870"/>
    <w:rsid w:val="760E15E9"/>
    <w:rsid w:val="76113221"/>
    <w:rsid w:val="7619723A"/>
    <w:rsid w:val="76382BB8"/>
    <w:rsid w:val="763D4B99"/>
    <w:rsid w:val="764A7981"/>
    <w:rsid w:val="764D3192"/>
    <w:rsid w:val="767D7ABD"/>
    <w:rsid w:val="76867C43"/>
    <w:rsid w:val="769856A5"/>
    <w:rsid w:val="76A62DF9"/>
    <w:rsid w:val="76AD0EED"/>
    <w:rsid w:val="76AF0DF6"/>
    <w:rsid w:val="76B953A4"/>
    <w:rsid w:val="76D40628"/>
    <w:rsid w:val="76E32D2B"/>
    <w:rsid w:val="76FA4901"/>
    <w:rsid w:val="77185800"/>
    <w:rsid w:val="772A0666"/>
    <w:rsid w:val="7730316B"/>
    <w:rsid w:val="7734363C"/>
    <w:rsid w:val="7754553F"/>
    <w:rsid w:val="775636D6"/>
    <w:rsid w:val="77601DD7"/>
    <w:rsid w:val="7768467B"/>
    <w:rsid w:val="776E39F1"/>
    <w:rsid w:val="777C57C2"/>
    <w:rsid w:val="77847B12"/>
    <w:rsid w:val="7791087F"/>
    <w:rsid w:val="779F7A8D"/>
    <w:rsid w:val="77AA324D"/>
    <w:rsid w:val="77AA36A2"/>
    <w:rsid w:val="77B1120E"/>
    <w:rsid w:val="77B229E2"/>
    <w:rsid w:val="77BE6726"/>
    <w:rsid w:val="780008E1"/>
    <w:rsid w:val="78030F61"/>
    <w:rsid w:val="7804276A"/>
    <w:rsid w:val="78070135"/>
    <w:rsid w:val="781064D2"/>
    <w:rsid w:val="78207845"/>
    <w:rsid w:val="782B0F7B"/>
    <w:rsid w:val="783D4C08"/>
    <w:rsid w:val="784B5B84"/>
    <w:rsid w:val="784E2652"/>
    <w:rsid w:val="785119AF"/>
    <w:rsid w:val="78686040"/>
    <w:rsid w:val="786A2F57"/>
    <w:rsid w:val="786B3787"/>
    <w:rsid w:val="787241D9"/>
    <w:rsid w:val="78791148"/>
    <w:rsid w:val="788D6475"/>
    <w:rsid w:val="78934C84"/>
    <w:rsid w:val="78A47E89"/>
    <w:rsid w:val="78A974C5"/>
    <w:rsid w:val="78B425FE"/>
    <w:rsid w:val="78C850D4"/>
    <w:rsid w:val="78D61716"/>
    <w:rsid w:val="78E77A3B"/>
    <w:rsid w:val="78ED461C"/>
    <w:rsid w:val="78F14FF4"/>
    <w:rsid w:val="78FE48DC"/>
    <w:rsid w:val="79070592"/>
    <w:rsid w:val="790F31FE"/>
    <w:rsid w:val="7946777A"/>
    <w:rsid w:val="79586B8B"/>
    <w:rsid w:val="795907CC"/>
    <w:rsid w:val="79626D8A"/>
    <w:rsid w:val="79777C57"/>
    <w:rsid w:val="79830157"/>
    <w:rsid w:val="798A4BD6"/>
    <w:rsid w:val="798C7C00"/>
    <w:rsid w:val="798D2979"/>
    <w:rsid w:val="79B003C4"/>
    <w:rsid w:val="79B416AE"/>
    <w:rsid w:val="79BC076D"/>
    <w:rsid w:val="79C072EB"/>
    <w:rsid w:val="79C14601"/>
    <w:rsid w:val="79C26034"/>
    <w:rsid w:val="79D519B4"/>
    <w:rsid w:val="79DB3FB6"/>
    <w:rsid w:val="79E35790"/>
    <w:rsid w:val="79E37328"/>
    <w:rsid w:val="79EC364C"/>
    <w:rsid w:val="7A08100E"/>
    <w:rsid w:val="7A0C72AB"/>
    <w:rsid w:val="7A2168B6"/>
    <w:rsid w:val="7A267DBF"/>
    <w:rsid w:val="7A2D1B4D"/>
    <w:rsid w:val="7A2F7512"/>
    <w:rsid w:val="7A3E5CFE"/>
    <w:rsid w:val="7A3F07D1"/>
    <w:rsid w:val="7A4546B0"/>
    <w:rsid w:val="7A4F66E9"/>
    <w:rsid w:val="7A6D2E14"/>
    <w:rsid w:val="7A6F3981"/>
    <w:rsid w:val="7A731583"/>
    <w:rsid w:val="7A7E0ED4"/>
    <w:rsid w:val="7A8379D7"/>
    <w:rsid w:val="7A8F1874"/>
    <w:rsid w:val="7AA97303"/>
    <w:rsid w:val="7AB648A3"/>
    <w:rsid w:val="7ABF4BFD"/>
    <w:rsid w:val="7AC0769A"/>
    <w:rsid w:val="7AC82819"/>
    <w:rsid w:val="7ACF12A2"/>
    <w:rsid w:val="7AD466AB"/>
    <w:rsid w:val="7AD67875"/>
    <w:rsid w:val="7AD90925"/>
    <w:rsid w:val="7AD95519"/>
    <w:rsid w:val="7ADC2C51"/>
    <w:rsid w:val="7AE7470A"/>
    <w:rsid w:val="7AF10E75"/>
    <w:rsid w:val="7AF2471D"/>
    <w:rsid w:val="7B036367"/>
    <w:rsid w:val="7B0C796E"/>
    <w:rsid w:val="7B2A766C"/>
    <w:rsid w:val="7B3E6227"/>
    <w:rsid w:val="7B5613F0"/>
    <w:rsid w:val="7B5B5708"/>
    <w:rsid w:val="7B6230E2"/>
    <w:rsid w:val="7B6B6949"/>
    <w:rsid w:val="7B766E99"/>
    <w:rsid w:val="7B9558E8"/>
    <w:rsid w:val="7B9B7D1F"/>
    <w:rsid w:val="7BAB328E"/>
    <w:rsid w:val="7BAF09E4"/>
    <w:rsid w:val="7BB56A2E"/>
    <w:rsid w:val="7BBC657E"/>
    <w:rsid w:val="7BBE16E0"/>
    <w:rsid w:val="7BC41E5B"/>
    <w:rsid w:val="7BC42FA2"/>
    <w:rsid w:val="7BD53FAA"/>
    <w:rsid w:val="7BEA2DCB"/>
    <w:rsid w:val="7BFF2C50"/>
    <w:rsid w:val="7C0248BF"/>
    <w:rsid w:val="7C0531AF"/>
    <w:rsid w:val="7C0D16EC"/>
    <w:rsid w:val="7C2015AF"/>
    <w:rsid w:val="7C260578"/>
    <w:rsid w:val="7C301F71"/>
    <w:rsid w:val="7C327358"/>
    <w:rsid w:val="7C514665"/>
    <w:rsid w:val="7C5B3CF3"/>
    <w:rsid w:val="7C6163D3"/>
    <w:rsid w:val="7C753763"/>
    <w:rsid w:val="7C7830A0"/>
    <w:rsid w:val="7C7F1203"/>
    <w:rsid w:val="7C861233"/>
    <w:rsid w:val="7C86358B"/>
    <w:rsid w:val="7CA424CB"/>
    <w:rsid w:val="7CBB0B9C"/>
    <w:rsid w:val="7CD107B0"/>
    <w:rsid w:val="7CD31D2E"/>
    <w:rsid w:val="7CDB22DD"/>
    <w:rsid w:val="7CFA19F6"/>
    <w:rsid w:val="7CFC4CE4"/>
    <w:rsid w:val="7D232704"/>
    <w:rsid w:val="7D2E6B63"/>
    <w:rsid w:val="7D330ED8"/>
    <w:rsid w:val="7D397B53"/>
    <w:rsid w:val="7D47754B"/>
    <w:rsid w:val="7D4C1310"/>
    <w:rsid w:val="7D566C4C"/>
    <w:rsid w:val="7D575434"/>
    <w:rsid w:val="7D5C158D"/>
    <w:rsid w:val="7D873047"/>
    <w:rsid w:val="7D8C4A94"/>
    <w:rsid w:val="7D8C7B60"/>
    <w:rsid w:val="7D9417A7"/>
    <w:rsid w:val="7D9D0247"/>
    <w:rsid w:val="7DA31D3A"/>
    <w:rsid w:val="7DA84B9B"/>
    <w:rsid w:val="7DB041C0"/>
    <w:rsid w:val="7DB34F6D"/>
    <w:rsid w:val="7DB701D1"/>
    <w:rsid w:val="7DC5124A"/>
    <w:rsid w:val="7DF1439D"/>
    <w:rsid w:val="7DF2227D"/>
    <w:rsid w:val="7DF47C83"/>
    <w:rsid w:val="7E08440D"/>
    <w:rsid w:val="7E0A4EFF"/>
    <w:rsid w:val="7E19605A"/>
    <w:rsid w:val="7E4D25B2"/>
    <w:rsid w:val="7E4F60E7"/>
    <w:rsid w:val="7E503552"/>
    <w:rsid w:val="7E5B0325"/>
    <w:rsid w:val="7E615D10"/>
    <w:rsid w:val="7E662EF1"/>
    <w:rsid w:val="7E6C60EF"/>
    <w:rsid w:val="7E6E35D3"/>
    <w:rsid w:val="7E722B42"/>
    <w:rsid w:val="7E74766B"/>
    <w:rsid w:val="7E823789"/>
    <w:rsid w:val="7E9A1C29"/>
    <w:rsid w:val="7EC365FC"/>
    <w:rsid w:val="7EC503C4"/>
    <w:rsid w:val="7ECD1B01"/>
    <w:rsid w:val="7ED33C84"/>
    <w:rsid w:val="7EDA006E"/>
    <w:rsid w:val="7EDF2A10"/>
    <w:rsid w:val="7EF77B5D"/>
    <w:rsid w:val="7EF85566"/>
    <w:rsid w:val="7F035CA5"/>
    <w:rsid w:val="7F06150E"/>
    <w:rsid w:val="7F0A4E60"/>
    <w:rsid w:val="7F11728C"/>
    <w:rsid w:val="7F180908"/>
    <w:rsid w:val="7F191F8E"/>
    <w:rsid w:val="7F1B0882"/>
    <w:rsid w:val="7F2208E4"/>
    <w:rsid w:val="7F3E10B2"/>
    <w:rsid w:val="7F427191"/>
    <w:rsid w:val="7F477013"/>
    <w:rsid w:val="7F4C205B"/>
    <w:rsid w:val="7F522C51"/>
    <w:rsid w:val="7F5237DF"/>
    <w:rsid w:val="7F6B22CE"/>
    <w:rsid w:val="7F6F617E"/>
    <w:rsid w:val="7F8A51B5"/>
    <w:rsid w:val="7F9441A2"/>
    <w:rsid w:val="7F9D4539"/>
    <w:rsid w:val="7F9D6925"/>
    <w:rsid w:val="7F9E1E32"/>
    <w:rsid w:val="7FAE51BB"/>
    <w:rsid w:val="7FBB65B0"/>
    <w:rsid w:val="7FBE555F"/>
    <w:rsid w:val="7FDB29B2"/>
    <w:rsid w:val="7FE472EA"/>
    <w:rsid w:val="7FE47DF8"/>
    <w:rsid w:val="7FEB4059"/>
    <w:rsid w:val="7FEE3395"/>
    <w:rsid w:val="7FF35F8F"/>
    <w:rsid w:val="7FF60B82"/>
    <w:rsid w:val="7FF87AFA"/>
    <w:rsid w:val="7FFC3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340" w:after="330" w:line="578" w:lineRule="auto"/>
      <w:outlineLvl w:val="0"/>
    </w:pPr>
    <w:rPr>
      <w:bCs/>
      <w:kern w:val="44"/>
      <w:sz w:val="44"/>
      <w:szCs w:val="44"/>
    </w:rPr>
  </w:style>
  <w:style w:type="paragraph" w:styleId="4">
    <w:name w:val="heading 2"/>
    <w:basedOn w:val="1"/>
    <w:next w:val="1"/>
    <w:qFormat/>
    <w:uiPriority w:val="0"/>
    <w:pPr>
      <w:keepNext/>
      <w:keepLines/>
      <w:spacing w:before="260" w:after="260"/>
      <w:contextualSpacing/>
      <w:outlineLvl w:val="1"/>
    </w:pPr>
    <w:rPr>
      <w:rFonts w:ascii="宋体"/>
      <w:szCs w:val="28"/>
    </w:rPr>
  </w:style>
  <w:style w:type="paragraph" w:styleId="5">
    <w:name w:val="heading 3"/>
    <w:basedOn w:val="1"/>
    <w:next w:val="1"/>
    <w:qFormat/>
    <w:uiPriority w:val="0"/>
    <w:pPr>
      <w:adjustRightInd w:val="0"/>
      <w:snapToGrid w:val="0"/>
      <w:spacing w:line="500" w:lineRule="exact"/>
      <w:ind w:left="-88" w:leftChars="-42"/>
      <w:jc w:val="center"/>
      <w:outlineLvl w:val="2"/>
    </w:pPr>
    <w:rPr>
      <w:rFonts w:ascii="仿宋_GB2312" w:hAnsi="宋体"/>
      <w:b/>
      <w:sz w:val="32"/>
      <w:szCs w:val="32"/>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List Bullet 3"/>
    <w:basedOn w:val="1"/>
    <w:qFormat/>
    <w:uiPriority w:val="0"/>
    <w:pPr>
      <w:numPr>
        <w:ilvl w:val="0"/>
        <w:numId w:val="1"/>
      </w:numPr>
    </w:pPr>
  </w:style>
  <w:style w:type="paragraph" w:styleId="6">
    <w:name w:val="Normal Indent"/>
    <w:basedOn w:val="1"/>
    <w:next w:val="1"/>
    <w:qFormat/>
    <w:uiPriority w:val="0"/>
    <w:pPr>
      <w:ind w:firstLine="420" w:firstLineChars="200"/>
    </w:pPr>
  </w:style>
  <w:style w:type="paragraph" w:styleId="7">
    <w:name w:val="index 5"/>
    <w:basedOn w:val="1"/>
    <w:next w:val="1"/>
    <w:unhideWhenUsed/>
    <w:qFormat/>
    <w:uiPriority w:val="99"/>
    <w:pPr>
      <w:ind w:left="1680"/>
    </w:pPr>
  </w:style>
  <w:style w:type="paragraph" w:styleId="8">
    <w:name w:val="toa heading"/>
    <w:basedOn w:val="1"/>
    <w:next w:val="1"/>
    <w:semiHidden/>
    <w:qFormat/>
    <w:uiPriority w:val="99"/>
    <w:pPr>
      <w:spacing w:before="120"/>
    </w:pPr>
    <w:rPr>
      <w:rFonts w:ascii="Arial" w:hAnsi="Arial" w:cs="Arial"/>
      <w:sz w:val="24"/>
      <w:szCs w:val="24"/>
    </w:rPr>
  </w:style>
  <w:style w:type="paragraph" w:styleId="9">
    <w:name w:val="annotation text"/>
    <w:basedOn w:val="1"/>
    <w:unhideWhenUsed/>
    <w:qFormat/>
    <w:uiPriority w:val="99"/>
    <w:rPr>
      <w:rFonts w:cs="Times New Roman"/>
    </w:rPr>
  </w:style>
  <w:style w:type="paragraph" w:styleId="10">
    <w:name w:val="index 6"/>
    <w:basedOn w:val="1"/>
    <w:next w:val="1"/>
    <w:qFormat/>
    <w:uiPriority w:val="99"/>
    <w:pPr>
      <w:ind w:left="2100"/>
    </w:pPr>
  </w:style>
  <w:style w:type="paragraph" w:styleId="11">
    <w:name w:val="Body Text 3"/>
    <w:basedOn w:val="1"/>
    <w:next w:val="1"/>
    <w:qFormat/>
    <w:uiPriority w:val="0"/>
    <w:pPr>
      <w:spacing w:after="120" w:line="540" w:lineRule="exact"/>
      <w:ind w:firstLine="200" w:firstLineChars="200"/>
    </w:pPr>
    <w:rPr>
      <w:rFonts w:eastAsia="仿宋_GB2312"/>
      <w:sz w:val="16"/>
      <w:szCs w:val="16"/>
    </w:rPr>
  </w:style>
  <w:style w:type="paragraph" w:styleId="12">
    <w:name w:val="Body Text"/>
    <w:basedOn w:val="1"/>
    <w:next w:val="11"/>
    <w:qFormat/>
    <w:uiPriority w:val="0"/>
    <w:pPr>
      <w:widowControl/>
      <w:jc w:val="left"/>
    </w:pPr>
    <w:rPr>
      <w:rFonts w:ascii="Times New Roman" w:hAnsi="Times New Roman"/>
      <w:kern w:val="0"/>
    </w:rPr>
  </w:style>
  <w:style w:type="paragraph" w:styleId="13">
    <w:name w:val="Body Text Indent"/>
    <w:basedOn w:val="1"/>
    <w:next w:val="14"/>
    <w:semiHidden/>
    <w:qFormat/>
    <w:uiPriority w:val="99"/>
    <w:pPr>
      <w:spacing w:after="120"/>
      <w:ind w:left="420" w:leftChars="200"/>
    </w:pPr>
  </w:style>
  <w:style w:type="paragraph" w:styleId="14">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15">
    <w:name w:val="toc 3"/>
    <w:basedOn w:val="1"/>
    <w:next w:val="1"/>
    <w:unhideWhenUsed/>
    <w:qFormat/>
    <w:uiPriority w:val="39"/>
    <w:pPr>
      <w:ind w:left="840" w:leftChars="400"/>
    </w:pPr>
  </w:style>
  <w:style w:type="paragraph" w:styleId="16">
    <w:name w:val="Plain Text"/>
    <w:basedOn w:val="1"/>
    <w:next w:val="17"/>
    <w:qFormat/>
    <w:uiPriority w:val="0"/>
    <w:rPr>
      <w:rFonts w:ascii="宋体" w:hAnsi="宋体"/>
    </w:rPr>
  </w:style>
  <w:style w:type="paragraph" w:styleId="17">
    <w:name w:val="List Number 5"/>
    <w:basedOn w:val="1"/>
    <w:qFormat/>
    <w:uiPriority w:val="0"/>
    <w:pPr>
      <w:numPr>
        <w:ilvl w:val="0"/>
        <w:numId w:val="2"/>
      </w:numPr>
    </w:pPr>
  </w:style>
  <w:style w:type="paragraph" w:styleId="18">
    <w:name w:val="endnote text"/>
    <w:basedOn w:val="19"/>
    <w:qFormat/>
    <w:uiPriority w:val="0"/>
    <w:pPr>
      <w:snapToGrid w:val="0"/>
      <w:jc w:val="left"/>
    </w:pPr>
    <w:rPr>
      <w:kern w:val="0"/>
      <w:sz w:val="24"/>
      <w:szCs w:val="24"/>
    </w:rPr>
  </w:style>
  <w:style w:type="paragraph" w:customStyle="1" w:styleId="19">
    <w:name w:val="正文_3_1"/>
    <w:qFormat/>
    <w:uiPriority w:val="0"/>
    <w:pPr>
      <w:widowControl w:val="0"/>
      <w:jc w:val="both"/>
    </w:pPr>
    <w:rPr>
      <w:rFonts w:ascii="Calibri" w:hAnsi="Calibri" w:eastAsia="宋体" w:cs="Times New Roman"/>
      <w:kern w:val="2"/>
      <w:sz w:val="21"/>
      <w:szCs w:val="22"/>
      <w:lang w:val="en-US" w:eastAsia="zh-CN" w:bidi="ar-SA"/>
    </w:rPr>
  </w:style>
  <w:style w:type="paragraph" w:styleId="20">
    <w:name w:val="Balloon Text"/>
    <w:basedOn w:val="1"/>
    <w:link w:val="147"/>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link w:val="148"/>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8222"/>
      </w:tabs>
      <w:spacing w:line="440" w:lineRule="exact"/>
      <w:ind w:right="231" w:rightChars="110"/>
    </w:pPr>
    <w:rPr>
      <w:sz w:val="28"/>
    </w:rPr>
  </w:style>
  <w:style w:type="paragraph" w:styleId="24">
    <w:name w:val="Subtitle"/>
    <w:basedOn w:val="1"/>
    <w:next w:val="1"/>
    <w:link w:val="181"/>
    <w:qFormat/>
    <w:uiPriority w:val="0"/>
    <w:pPr>
      <w:spacing w:before="240" w:after="60" w:line="312" w:lineRule="auto"/>
      <w:jc w:val="center"/>
      <w:outlineLvl w:val="1"/>
    </w:pPr>
    <w:rPr>
      <w:rFonts w:ascii="Arial" w:hAnsi="Arial"/>
      <w:b/>
      <w:kern w:val="28"/>
      <w:sz w:val="32"/>
    </w:rPr>
  </w:style>
  <w:style w:type="paragraph" w:styleId="25">
    <w:name w:val="footnote text"/>
    <w:basedOn w:val="1"/>
    <w:next w:val="7"/>
    <w:qFormat/>
    <w:uiPriority w:val="0"/>
    <w:pPr>
      <w:snapToGrid w:val="0"/>
    </w:pPr>
    <w:rPr>
      <w:sz w:val="18"/>
    </w:rPr>
  </w:style>
  <w:style w:type="paragraph" w:styleId="26">
    <w:name w:val="toc 2"/>
    <w:basedOn w:val="1"/>
    <w:next w:val="1"/>
    <w:qFormat/>
    <w:uiPriority w:val="0"/>
    <w:pPr>
      <w:ind w:left="420" w:leftChars="200"/>
    </w:pPr>
  </w:style>
  <w:style w:type="paragraph" w:styleId="27">
    <w:name w:val="Body Text 2"/>
    <w:basedOn w:val="1"/>
    <w:qFormat/>
    <w:uiPriority w:val="0"/>
    <w:rPr>
      <w:rFonts w:ascii="楷体_GB2312" w:hAnsi="Copperplate Gothic Bold" w:eastAsia="楷体_GB2312"/>
      <w:sz w:val="28"/>
    </w:rPr>
  </w:style>
  <w:style w:type="paragraph" w:styleId="28">
    <w:name w:val="Title"/>
    <w:basedOn w:val="1"/>
    <w:next w:val="1"/>
    <w:link w:val="180"/>
    <w:qFormat/>
    <w:uiPriority w:val="10"/>
    <w:pPr>
      <w:spacing w:before="60" w:after="60"/>
      <w:jc w:val="center"/>
      <w:outlineLvl w:val="0"/>
    </w:pPr>
    <w:rPr>
      <w:rFonts w:ascii="Cambria" w:hAnsi="Cambria" w:cs="Times New Roman"/>
      <w:b/>
      <w:bCs/>
      <w:szCs w:val="32"/>
    </w:rPr>
  </w:style>
  <w:style w:type="paragraph" w:styleId="29">
    <w:name w:val="Body Text First Indent"/>
    <w:basedOn w:val="12"/>
    <w:next w:val="1"/>
    <w:qFormat/>
    <w:uiPriority w:val="0"/>
    <w:pPr>
      <w:spacing w:line="540" w:lineRule="exact"/>
      <w:ind w:firstLine="420" w:firstLineChars="100"/>
    </w:pPr>
    <w:rPr>
      <w:rFonts w:eastAsia="仿宋_GB2312"/>
      <w:sz w:val="28"/>
      <w:szCs w:val="24"/>
    </w:rPr>
  </w:style>
  <w:style w:type="paragraph" w:styleId="30">
    <w:name w:val="Body Text First Indent 2"/>
    <w:basedOn w:val="13"/>
    <w:next w:val="1"/>
    <w:qFormat/>
    <w:uiPriority w:val="99"/>
    <w:pPr>
      <w:ind w:firstLine="420" w:firstLineChars="200"/>
    </w:p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endnote reference"/>
    <w:qFormat/>
    <w:uiPriority w:val="0"/>
    <w:rPr>
      <w:rFonts w:ascii="Calibri" w:hAnsi="Calibri" w:eastAsia="宋体" w:cs="Times New Roman"/>
      <w:vertAlign w:val="superscript"/>
    </w:rPr>
  </w:style>
  <w:style w:type="character" w:styleId="36">
    <w:name w:val="page number"/>
    <w:basedOn w:val="33"/>
    <w:qFormat/>
    <w:uiPriority w:val="99"/>
    <w:rPr>
      <w:rFonts w:cs="Times New Roman"/>
    </w:rPr>
  </w:style>
  <w:style w:type="character" w:styleId="37">
    <w:name w:val="FollowedHyperlink"/>
    <w:basedOn w:val="33"/>
    <w:qFormat/>
    <w:uiPriority w:val="0"/>
    <w:rPr>
      <w:color w:val="666666"/>
      <w:u w:val="none"/>
    </w:rPr>
  </w:style>
  <w:style w:type="character" w:styleId="38">
    <w:name w:val="Hyperlink"/>
    <w:basedOn w:val="33"/>
    <w:qFormat/>
    <w:uiPriority w:val="99"/>
    <w:rPr>
      <w:color w:val="0000FF"/>
      <w:u w:val="single"/>
    </w:rPr>
  </w:style>
  <w:style w:type="character" w:styleId="39">
    <w:name w:val="HTML Sample"/>
    <w:basedOn w:val="33"/>
    <w:qFormat/>
    <w:uiPriority w:val="0"/>
    <w:rPr>
      <w:rFonts w:ascii="Courier New" w:hAnsi="Courier New"/>
    </w:rPr>
  </w:style>
  <w:style w:type="paragraph" w:customStyle="1" w:styleId="40">
    <w:name w:val="章标题"/>
    <w:basedOn w:val="1"/>
    <w:next w:val="41"/>
    <w:qFormat/>
    <w:uiPriority w:val="0"/>
    <w:pPr>
      <w:widowControl/>
      <w:spacing w:before="158" w:after="153" w:line="323" w:lineRule="atLeast"/>
      <w:jc w:val="center"/>
      <w:textAlignment w:val="baseline"/>
    </w:pPr>
    <w:rPr>
      <w:rFonts w:ascii="Arial" w:eastAsia="黑体"/>
      <w:color w:val="000000"/>
      <w:kern w:val="0"/>
      <w:sz w:val="31"/>
    </w:rPr>
  </w:style>
  <w:style w:type="paragraph" w:customStyle="1" w:styleId="41">
    <w:name w:val="段"/>
    <w:next w:val="1"/>
    <w:qFormat/>
    <w:uiPriority w:val="0"/>
    <w:pPr>
      <w:autoSpaceDE w:val="0"/>
      <w:autoSpaceDN w:val="0"/>
      <w:spacing w:before="120" w:after="120" w:line="360" w:lineRule="auto"/>
      <w:ind w:left="720" w:firstLine="200" w:firstLineChars="200"/>
      <w:jc w:val="both"/>
    </w:pPr>
    <w:rPr>
      <w:rFonts w:ascii="宋体" w:hAnsi="Times New Roman" w:eastAsia="宋体" w:cs="宋体"/>
      <w:sz w:val="21"/>
      <w:szCs w:val="21"/>
      <w:lang w:val="en-US" w:eastAsia="zh-CN" w:bidi="ar-SA"/>
    </w:rPr>
  </w:style>
  <w:style w:type="paragraph" w:customStyle="1" w:styleId="4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2_0_0"/>
    <w:basedOn w:val="44"/>
    <w:qFormat/>
    <w:uiPriority w:val="0"/>
    <w:rPr>
      <w:rFonts w:ascii="Calibri" w:hAnsi="Calibri"/>
    </w:rPr>
  </w:style>
  <w:style w:type="paragraph" w:customStyle="1" w:styleId="44">
    <w:name w:val="正文_3_0"/>
    <w:basedOn w:val="45"/>
    <w:next w:val="48"/>
    <w:qFormat/>
    <w:uiPriority w:val="0"/>
  </w:style>
  <w:style w:type="paragraph" w:customStyle="1" w:styleId="45">
    <w:name w:val="正文_4_0"/>
    <w:next w:val="4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TOAHeading"/>
    <w:basedOn w:val="47"/>
    <w:next w:val="45"/>
    <w:qFormat/>
    <w:uiPriority w:val="0"/>
    <w:pPr>
      <w:spacing w:before="120"/>
      <w:textAlignment w:val="baseline"/>
    </w:pPr>
    <w:rPr>
      <w:rFonts w:ascii="Cambria" w:hAnsi="Cambria"/>
      <w:szCs w:val="22"/>
    </w:rPr>
  </w:style>
  <w:style w:type="paragraph" w:customStyle="1" w:styleId="47">
    <w:name w:val="正文_4_0_0"/>
    <w:next w:val="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引文目录标题_0_0_1"/>
    <w:basedOn w:val="44"/>
    <w:next w:val="49"/>
    <w:unhideWhenUsed/>
    <w:qFormat/>
    <w:uiPriority w:val="99"/>
    <w:pPr>
      <w:spacing w:before="120" w:after="100" w:afterAutospacing="1"/>
    </w:pPr>
    <w:rPr>
      <w:rFonts w:ascii="Arial" w:hAnsi="Arial" w:cs="Arial"/>
      <w:sz w:val="24"/>
      <w:szCs w:val="24"/>
    </w:rPr>
  </w:style>
  <w:style w:type="paragraph" w:customStyle="1" w:styleId="49">
    <w:name w:val="正文_1_0_2"/>
    <w:next w:val="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1_0"/>
    <w:basedOn w:val="51"/>
    <w:qFormat/>
    <w:uiPriority w:val="0"/>
    <w:rPr>
      <w:rFonts w:ascii="Times New Roman" w:hAnsi="Times New Roman" w:eastAsia="宋体"/>
    </w:rPr>
  </w:style>
  <w:style w:type="paragraph" w:customStyle="1" w:styleId="51">
    <w:name w:val="正文_2"/>
    <w:basedOn w:val="52"/>
    <w:qFormat/>
    <w:uiPriority w:val="0"/>
    <w:rPr>
      <w:rFonts w:ascii="Calibri" w:hAnsi="Calibri"/>
      <w:sz w:val="21"/>
      <w:szCs w:val="22"/>
    </w:rPr>
  </w:style>
  <w:style w:type="paragraph" w:customStyle="1" w:styleId="52">
    <w:name w:val="正文_4"/>
    <w:qFormat/>
    <w:uiPriority w:val="0"/>
    <w:pPr>
      <w:widowControl w:val="0"/>
      <w:jc w:val="both"/>
    </w:pPr>
    <w:rPr>
      <w:rFonts w:ascii="Times New Roman" w:hAnsi="Times New Roman" w:eastAsia="仿宋_GB2312" w:cs="Times New Roman"/>
      <w:kern w:val="2"/>
      <w:sz w:val="28"/>
      <w:szCs w:val="24"/>
      <w:lang w:val="en-US" w:eastAsia="zh-CN" w:bidi="ar-SA"/>
    </w:rPr>
  </w:style>
  <w:style w:type="character" w:customStyle="1" w:styleId="53">
    <w:name w:val="超链接_0"/>
    <w:qFormat/>
    <w:uiPriority w:val="99"/>
    <w:rPr>
      <w:rFonts w:ascii="Calibri" w:hAnsi="Calibri"/>
      <w:color w:val="0000FF"/>
      <w:u w:val="single"/>
    </w:rPr>
  </w:style>
  <w:style w:type="paragraph" w:customStyle="1" w:styleId="54">
    <w:name w:val="正文_2_0_0_0"/>
    <w:basedOn w:val="55"/>
    <w:next w:val="56"/>
    <w:qFormat/>
    <w:uiPriority w:val="0"/>
  </w:style>
  <w:style w:type="paragraph" w:customStyle="1" w:styleId="55">
    <w:name w:val="正文_3_0_0"/>
    <w:basedOn w:val="43"/>
    <w:qFormat/>
    <w:uiPriority w:val="0"/>
  </w:style>
  <w:style w:type="paragraph" w:customStyle="1" w:styleId="56">
    <w:name w:val="引文目录标题_1_0"/>
    <w:basedOn w:val="54"/>
    <w:next w:val="54"/>
    <w:qFormat/>
    <w:uiPriority w:val="0"/>
    <w:pPr>
      <w:spacing w:before="120"/>
    </w:pPr>
    <w:rPr>
      <w:rFonts w:ascii="Arial" w:hAnsi="Arial" w:cs="Arial"/>
      <w:sz w:val="24"/>
      <w:szCs w:val="24"/>
    </w:rPr>
  </w:style>
  <w:style w:type="paragraph" w:customStyle="1" w:styleId="57">
    <w:name w:val="正文文本_0"/>
    <w:basedOn w:val="58"/>
    <w:unhideWhenUsed/>
    <w:qFormat/>
    <w:uiPriority w:val="0"/>
    <w:pPr>
      <w:spacing w:after="120"/>
    </w:pPr>
  </w:style>
  <w:style w:type="paragraph" w:customStyle="1" w:styleId="5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_5_0_0"/>
    <w:basedOn w:val="60"/>
    <w:qFormat/>
    <w:uiPriority w:val="0"/>
    <w:rPr>
      <w:rFonts w:ascii="Calibri" w:hAnsi="Calibri"/>
      <w:szCs w:val="21"/>
    </w:rPr>
  </w:style>
  <w:style w:type="paragraph" w:customStyle="1" w:styleId="60">
    <w:name w:val="正文_4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1_0_0_0_0"/>
    <w:basedOn w:val="62"/>
    <w:next w:val="64"/>
    <w:qFormat/>
    <w:uiPriority w:val="0"/>
    <w:rPr>
      <w:rFonts w:ascii="Calibri" w:hAnsi="Calibri"/>
      <w:szCs w:val="21"/>
    </w:rPr>
  </w:style>
  <w:style w:type="paragraph" w:customStyle="1" w:styleId="62">
    <w:name w:val="正文_2_1_1"/>
    <w:basedOn w:val="63"/>
    <w:qFormat/>
    <w:uiPriority w:val="0"/>
    <w:rPr>
      <w:szCs w:val="22"/>
    </w:rPr>
  </w:style>
  <w:style w:type="paragraph" w:customStyle="1" w:styleId="63">
    <w:name w:val="正文_3_0_0_0_0"/>
    <w:basedOn w:val="47"/>
    <w:qFormat/>
    <w:uiPriority w:val="0"/>
  </w:style>
  <w:style w:type="paragraph" w:customStyle="1" w:styleId="64">
    <w:name w:val="引文目录标题_0_0_0_0_0"/>
    <w:basedOn w:val="65"/>
    <w:next w:val="61"/>
    <w:unhideWhenUsed/>
    <w:qFormat/>
    <w:uiPriority w:val="99"/>
    <w:pPr>
      <w:spacing w:before="120" w:after="100" w:afterAutospacing="1"/>
    </w:pPr>
    <w:rPr>
      <w:rFonts w:ascii="Arial" w:hAnsi="Arial" w:cs="Arial"/>
      <w:sz w:val="24"/>
    </w:rPr>
  </w:style>
  <w:style w:type="paragraph" w:customStyle="1" w:styleId="65">
    <w:name w:val="正文_3_0_0_1"/>
    <w:basedOn w:val="47"/>
    <w:next w:val="64"/>
    <w:qFormat/>
    <w:uiPriority w:val="0"/>
  </w:style>
  <w:style w:type="paragraph" w:customStyle="1" w:styleId="66">
    <w:name w:val="正文缩进_0_0_0"/>
    <w:basedOn w:val="67"/>
    <w:unhideWhenUsed/>
    <w:qFormat/>
    <w:uiPriority w:val="0"/>
    <w:pPr>
      <w:ind w:firstLine="420" w:firstLineChars="200"/>
    </w:pPr>
  </w:style>
  <w:style w:type="paragraph" w:customStyle="1" w:styleId="67">
    <w:name w:val="正文_0_1_1"/>
    <w:basedOn w:val="68"/>
    <w:qFormat/>
    <w:uiPriority w:val="0"/>
    <w:rPr>
      <w:rFonts w:ascii="Calibri" w:hAnsi="Calibri"/>
      <w:szCs w:val="22"/>
    </w:rPr>
  </w:style>
  <w:style w:type="paragraph" w:customStyle="1" w:styleId="68">
    <w:name w:val="正文_1_1_0"/>
    <w:next w:val="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引文目录标题_0_0"/>
    <w:basedOn w:val="70"/>
    <w:next w:val="70"/>
    <w:qFormat/>
    <w:uiPriority w:val="0"/>
    <w:pPr>
      <w:spacing w:before="120"/>
    </w:pPr>
    <w:rPr>
      <w:rFonts w:ascii="Arial" w:hAnsi="Arial" w:cs="Arial"/>
      <w:sz w:val="24"/>
      <w:szCs w:val="24"/>
    </w:rPr>
  </w:style>
  <w:style w:type="paragraph" w:customStyle="1" w:styleId="70">
    <w:name w:val="正文_5_0"/>
    <w:next w:val="6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正文缩进_0"/>
    <w:basedOn w:val="72"/>
    <w:unhideWhenUsed/>
    <w:qFormat/>
    <w:uiPriority w:val="0"/>
    <w:pPr>
      <w:ind w:firstLine="420" w:firstLineChars="200"/>
    </w:pPr>
  </w:style>
  <w:style w:type="paragraph" w:customStyle="1" w:styleId="72">
    <w:name w:val="正文_2_2"/>
    <w:basedOn w:val="19"/>
    <w:next w:val="73"/>
    <w:qFormat/>
    <w:uiPriority w:val="0"/>
  </w:style>
  <w:style w:type="paragraph" w:customStyle="1" w:styleId="73">
    <w:name w:val="引文目录标题_1_1"/>
    <w:basedOn w:val="72"/>
    <w:next w:val="72"/>
    <w:qFormat/>
    <w:uiPriority w:val="0"/>
    <w:pPr>
      <w:spacing w:before="120"/>
    </w:pPr>
    <w:rPr>
      <w:rFonts w:ascii="Arial" w:hAnsi="Arial" w:cs="Arial"/>
      <w:sz w:val="24"/>
      <w:szCs w:val="24"/>
    </w:rPr>
  </w:style>
  <w:style w:type="paragraph" w:customStyle="1" w:styleId="74">
    <w:name w:val="正文_4_1"/>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75">
    <w:name w:val="标题 2_0"/>
    <w:basedOn w:val="76"/>
    <w:next w:val="43"/>
    <w:qFormat/>
    <w:uiPriority w:val="0"/>
    <w:pPr>
      <w:adjustRightInd w:val="0"/>
      <w:snapToGrid w:val="0"/>
      <w:spacing w:line="500" w:lineRule="exact"/>
      <w:ind w:left="-88" w:leftChars="-42"/>
      <w:contextualSpacing/>
      <w:jc w:val="center"/>
      <w:outlineLvl w:val="1"/>
    </w:pPr>
    <w:rPr>
      <w:rFonts w:ascii="宋体" w:hAnsi="宋体"/>
      <w:bCs w:val="0"/>
      <w:szCs w:val="28"/>
    </w:rPr>
  </w:style>
  <w:style w:type="paragraph" w:customStyle="1" w:styleId="76">
    <w:name w:val="标题 3_0"/>
    <w:basedOn w:val="72"/>
    <w:next w:val="43"/>
    <w:unhideWhenUsed/>
    <w:qFormat/>
    <w:uiPriority w:val="9"/>
    <w:pPr>
      <w:keepNext/>
      <w:keepLines/>
      <w:spacing w:before="260" w:after="260" w:line="416" w:lineRule="auto"/>
      <w:outlineLvl w:val="2"/>
    </w:pPr>
    <w:rPr>
      <w:b/>
      <w:bCs/>
      <w:sz w:val="32"/>
      <w:szCs w:val="32"/>
    </w:rPr>
  </w:style>
  <w:style w:type="paragraph" w:customStyle="1" w:styleId="77">
    <w:name w:val="纯文本_0"/>
    <w:basedOn w:val="72"/>
    <w:qFormat/>
    <w:uiPriority w:val="0"/>
    <w:rPr>
      <w:rFonts w:ascii="宋体" w:hAnsi="Courier New"/>
      <w:szCs w:val="21"/>
    </w:rPr>
  </w:style>
  <w:style w:type="paragraph" w:customStyle="1" w:styleId="78">
    <w:name w:val="正文1"/>
    <w:qFormat/>
    <w:uiPriority w:val="0"/>
    <w:rPr>
      <w:rFonts w:ascii="Times New Roman" w:hAnsi="Times New Roman" w:eastAsia="Times New Roman" w:cs="Times New Roman"/>
      <w:sz w:val="24"/>
      <w:szCs w:val="24"/>
      <w:lang w:val="en-US" w:eastAsia="zh-CN" w:bidi="ar-SA"/>
    </w:rPr>
  </w:style>
  <w:style w:type="paragraph" w:customStyle="1" w:styleId="79">
    <w:name w:val="普通(网站)_0_0"/>
    <w:basedOn w:val="80"/>
    <w:qFormat/>
    <w:uiPriority w:val="99"/>
    <w:rPr>
      <w:rFonts w:ascii="Times New Roman" w:hAnsi="Times New Roman"/>
      <w:sz w:val="24"/>
    </w:rPr>
  </w:style>
  <w:style w:type="paragraph" w:customStyle="1" w:styleId="80">
    <w:name w:val="正文_0_2"/>
    <w:next w:val="8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1">
    <w:name w:val="引文目录标题1_0"/>
    <w:basedOn w:val="80"/>
    <w:next w:val="80"/>
    <w:qFormat/>
    <w:uiPriority w:val="0"/>
    <w:pPr>
      <w:spacing w:before="120"/>
    </w:pPr>
    <w:rPr>
      <w:rFonts w:ascii="Cambria" w:hAnsi="Cambria"/>
      <w:sz w:val="24"/>
    </w:rPr>
  </w:style>
  <w:style w:type="character" w:customStyle="1" w:styleId="82">
    <w:name w:val="NormalCharacter_2"/>
    <w:qFormat/>
    <w:uiPriority w:val="0"/>
    <w:rPr>
      <w:kern w:val="2"/>
      <w:sz w:val="21"/>
      <w:szCs w:val="22"/>
      <w:lang w:val="en-US" w:eastAsia="zh-CN" w:bidi="ar-SA"/>
    </w:rPr>
  </w:style>
  <w:style w:type="paragraph" w:customStyle="1" w:styleId="83">
    <w:name w:val="Normal_25"/>
    <w:qFormat/>
    <w:uiPriority w:val="0"/>
    <w:rPr>
      <w:rFonts w:ascii="Times New Roman" w:hAnsi="Times New Roman" w:eastAsia="Times New Roman" w:cs="Times New Roman"/>
      <w:sz w:val="24"/>
      <w:szCs w:val="24"/>
      <w:lang w:val="en-US" w:eastAsia="zh-CN" w:bidi="ar-SA"/>
    </w:rPr>
  </w:style>
  <w:style w:type="paragraph" w:customStyle="1" w:styleId="84">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Normal_1"/>
    <w:qFormat/>
    <w:uiPriority w:val="0"/>
    <w:rPr>
      <w:rFonts w:ascii="黑体" w:hAnsi="黑体" w:eastAsia="黑体" w:cs="Times New Roman"/>
      <w:b/>
      <w:sz w:val="32"/>
      <w:szCs w:val="24"/>
      <w:lang w:val="en-US" w:eastAsia="zh-CN" w:bidi="ar-SA"/>
    </w:rPr>
  </w:style>
  <w:style w:type="paragraph" w:customStyle="1" w:styleId="86">
    <w:name w:val="Normal_2"/>
    <w:qFormat/>
    <w:uiPriority w:val="0"/>
    <w:rPr>
      <w:rFonts w:ascii="黑体" w:hAnsi="黑体" w:eastAsia="黑体" w:cs="Times New Roman"/>
      <w:b/>
      <w:sz w:val="32"/>
      <w:szCs w:val="24"/>
      <w:lang w:val="en-US" w:eastAsia="zh-CN" w:bidi="ar-SA"/>
    </w:rPr>
  </w:style>
  <w:style w:type="paragraph" w:customStyle="1" w:styleId="87">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8">
    <w:name w:val="Normal_3"/>
    <w:qFormat/>
    <w:uiPriority w:val="0"/>
    <w:rPr>
      <w:rFonts w:ascii="黑体" w:hAnsi="黑体" w:eastAsia="黑体" w:cs="Times New Roman"/>
      <w:b/>
      <w:sz w:val="32"/>
      <w:szCs w:val="24"/>
      <w:lang w:val="en-US" w:eastAsia="zh-CN" w:bidi="ar-SA"/>
    </w:rPr>
  </w:style>
  <w:style w:type="paragraph" w:customStyle="1" w:styleId="89">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90">
    <w:name w:val="正文文本_1"/>
    <w:basedOn w:val="91"/>
    <w:unhideWhenUsed/>
    <w:qFormat/>
    <w:uiPriority w:val="0"/>
    <w:pPr>
      <w:spacing w:after="120"/>
    </w:pPr>
  </w:style>
  <w:style w:type="paragraph" w:customStyle="1" w:styleId="91">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Normal_4"/>
    <w:qFormat/>
    <w:uiPriority w:val="0"/>
    <w:rPr>
      <w:rFonts w:ascii="黑体" w:hAnsi="黑体" w:eastAsia="黑体" w:cs="Times New Roman"/>
      <w:b/>
      <w:sz w:val="32"/>
      <w:szCs w:val="24"/>
      <w:lang w:val="en-US" w:eastAsia="zh-CN" w:bidi="ar-SA"/>
    </w:rPr>
  </w:style>
  <w:style w:type="paragraph" w:customStyle="1" w:styleId="93">
    <w:name w:val="正文_2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95">
    <w:name w:val="Normal_5"/>
    <w:qFormat/>
    <w:uiPriority w:val="0"/>
    <w:rPr>
      <w:rFonts w:ascii="黑体" w:hAnsi="黑体" w:eastAsia="黑体" w:cs="Times New Roman"/>
      <w:b/>
      <w:sz w:val="32"/>
      <w:szCs w:val="24"/>
      <w:lang w:val="en-US" w:eastAsia="zh-CN" w:bidi="ar-SA"/>
    </w:rPr>
  </w:style>
  <w:style w:type="paragraph" w:customStyle="1" w:styleId="96">
    <w:name w:val="Normal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Normal_7"/>
    <w:qFormat/>
    <w:uiPriority w:val="0"/>
    <w:rPr>
      <w:rFonts w:ascii="黑体" w:hAnsi="黑体" w:eastAsia="黑体" w:cs="Times New Roman"/>
      <w:b/>
      <w:sz w:val="32"/>
      <w:szCs w:val="24"/>
      <w:lang w:val="en-US" w:eastAsia="zh-CN" w:bidi="ar-SA"/>
    </w:rPr>
  </w:style>
  <w:style w:type="paragraph" w:customStyle="1" w:styleId="98">
    <w:name w:val="正文文本_0_0"/>
    <w:basedOn w:val="19"/>
    <w:qFormat/>
    <w:uiPriority w:val="99"/>
    <w:rPr>
      <w:rFonts w:eastAsia="黑体"/>
      <w:kern w:val="0"/>
      <w:sz w:val="36"/>
      <w:szCs w:val="24"/>
    </w:rPr>
  </w:style>
  <w:style w:type="paragraph" w:customStyle="1" w:styleId="99">
    <w:name w:val="Normal_9"/>
    <w:qFormat/>
    <w:uiPriority w:val="0"/>
    <w:rPr>
      <w:rFonts w:ascii="黑体" w:hAnsi="黑体" w:eastAsia="黑体" w:cs="Times New Roman"/>
      <w:b/>
      <w:sz w:val="32"/>
      <w:szCs w:val="24"/>
      <w:lang w:val="en-US" w:eastAsia="zh-CN" w:bidi="ar-SA"/>
    </w:rPr>
  </w:style>
  <w:style w:type="paragraph" w:customStyle="1" w:styleId="100">
    <w:name w:val="正文_4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
    <w:name w:val="Normal_10"/>
    <w:qFormat/>
    <w:uiPriority w:val="0"/>
    <w:rPr>
      <w:rFonts w:ascii="黑体" w:hAnsi="黑体" w:eastAsia="黑体" w:cs="Times New Roman"/>
      <w:b/>
      <w:sz w:val="32"/>
      <w:szCs w:val="24"/>
      <w:lang w:val="en-US" w:eastAsia="zh-CN" w:bidi="ar-SA"/>
    </w:rPr>
  </w:style>
  <w:style w:type="paragraph" w:customStyle="1" w:styleId="102">
    <w:name w:val="正文_5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Normal_11"/>
    <w:qFormat/>
    <w:uiPriority w:val="0"/>
    <w:rPr>
      <w:rFonts w:ascii="黑体" w:hAnsi="黑体" w:eastAsia="黑体" w:cs="Times New Roman"/>
      <w:b/>
      <w:sz w:val="32"/>
      <w:szCs w:val="24"/>
      <w:lang w:val="en-US" w:eastAsia="zh-CN" w:bidi="ar-SA"/>
    </w:rPr>
  </w:style>
  <w:style w:type="paragraph" w:customStyle="1" w:styleId="105">
    <w:name w:val="正文_7"/>
    <w:next w:val="1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缩进_3"/>
    <w:basedOn w:val="105"/>
    <w:unhideWhenUsed/>
    <w:qFormat/>
    <w:uiPriority w:val="0"/>
    <w:pPr>
      <w:ind w:firstLine="420" w:firstLineChars="200"/>
    </w:pPr>
  </w:style>
  <w:style w:type="paragraph" w:customStyle="1" w:styleId="107">
    <w:name w:val="Normal_12"/>
    <w:qFormat/>
    <w:uiPriority w:val="0"/>
    <w:rPr>
      <w:rFonts w:ascii="黑体" w:hAnsi="黑体" w:eastAsia="黑体" w:cs="Times New Roman"/>
      <w:b/>
      <w:sz w:val="32"/>
      <w:szCs w:val="24"/>
      <w:lang w:val="en-US" w:eastAsia="zh-CN" w:bidi="ar-SA"/>
    </w:rPr>
  </w:style>
  <w:style w:type="paragraph" w:customStyle="1" w:styleId="108">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Normal_13"/>
    <w:qFormat/>
    <w:uiPriority w:val="0"/>
    <w:rPr>
      <w:rFonts w:ascii="黑体" w:hAnsi="黑体" w:eastAsia="黑体" w:cs="Times New Roman"/>
      <w:b/>
      <w:sz w:val="32"/>
      <w:szCs w:val="24"/>
      <w:lang w:val="en-US" w:eastAsia="zh-CN" w:bidi="ar-SA"/>
    </w:rPr>
  </w:style>
  <w:style w:type="paragraph" w:customStyle="1" w:styleId="110">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
    <w:name w:val="Normal_14"/>
    <w:qFormat/>
    <w:uiPriority w:val="0"/>
    <w:rPr>
      <w:rFonts w:ascii="黑体" w:hAnsi="黑体" w:eastAsia="黑体" w:cs="Times New Roman"/>
      <w:b/>
      <w:sz w:val="32"/>
      <w:szCs w:val="24"/>
      <w:lang w:val="en-US" w:eastAsia="zh-CN" w:bidi="ar-SA"/>
    </w:rPr>
  </w:style>
  <w:style w:type="paragraph" w:customStyle="1" w:styleId="112">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Normal_15"/>
    <w:qFormat/>
    <w:uiPriority w:val="0"/>
    <w:rPr>
      <w:rFonts w:ascii="黑体" w:hAnsi="黑体" w:eastAsia="黑体" w:cs="Times New Roman"/>
      <w:b/>
      <w:sz w:val="32"/>
      <w:szCs w:val="24"/>
      <w:lang w:val="en-US" w:eastAsia="zh-CN" w:bidi="ar-SA"/>
    </w:rPr>
  </w:style>
  <w:style w:type="paragraph" w:customStyle="1" w:styleId="114">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Normal_16"/>
    <w:qFormat/>
    <w:uiPriority w:val="0"/>
    <w:rPr>
      <w:rFonts w:ascii="黑体" w:hAnsi="黑体" w:eastAsia="黑体" w:cs="Times New Roman"/>
      <w:b/>
      <w:sz w:val="32"/>
      <w:szCs w:val="24"/>
      <w:lang w:val="en-US" w:eastAsia="zh-CN" w:bidi="ar-SA"/>
    </w:rPr>
  </w:style>
  <w:style w:type="paragraph" w:customStyle="1" w:styleId="116">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Normal_17"/>
    <w:qFormat/>
    <w:uiPriority w:val="0"/>
    <w:rPr>
      <w:rFonts w:ascii="黑体" w:hAnsi="黑体" w:eastAsia="黑体" w:cs="Times New Roman"/>
      <w:b/>
      <w:sz w:val="32"/>
      <w:szCs w:val="24"/>
      <w:lang w:val="en-US" w:eastAsia="zh-CN" w:bidi="ar-SA"/>
    </w:rPr>
  </w:style>
  <w:style w:type="paragraph" w:customStyle="1" w:styleId="118">
    <w:name w:val="正文_1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0_0_1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20">
    <w:name w:val="Normal_18"/>
    <w:qFormat/>
    <w:uiPriority w:val="0"/>
    <w:rPr>
      <w:rFonts w:ascii="黑体" w:hAnsi="黑体" w:eastAsia="黑体" w:cs="Times New Roman"/>
      <w:b/>
      <w:sz w:val="32"/>
      <w:szCs w:val="24"/>
      <w:lang w:val="en-US" w:eastAsia="zh-CN" w:bidi="ar-SA"/>
    </w:rPr>
  </w:style>
  <w:style w:type="paragraph" w:customStyle="1" w:styleId="121">
    <w:name w:val="正文_0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2">
    <w:name w:val="正文_4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正文_0_0_2"/>
    <w:qFormat/>
    <w:uiPriority w:val="0"/>
    <w:pPr>
      <w:widowControl w:val="0"/>
      <w:jc w:val="both"/>
    </w:pPr>
    <w:rPr>
      <w:rFonts w:ascii="Calibri" w:hAnsi="Calibri" w:eastAsia="宋体" w:cs="Times New Roman"/>
      <w:kern w:val="2"/>
      <w:sz w:val="28"/>
      <w:szCs w:val="22"/>
      <w:lang w:val="en-US" w:eastAsia="zh-CN" w:bidi="ar-SA"/>
    </w:rPr>
  </w:style>
  <w:style w:type="paragraph" w:customStyle="1" w:styleId="124">
    <w:name w:val="Normal_19"/>
    <w:qFormat/>
    <w:uiPriority w:val="0"/>
    <w:rPr>
      <w:rFonts w:ascii="黑体" w:hAnsi="黑体" w:eastAsia="黑体" w:cs="Times New Roman"/>
      <w:b/>
      <w:sz w:val="32"/>
      <w:szCs w:val="24"/>
      <w:lang w:val="en-US" w:eastAsia="zh-CN" w:bidi="ar-SA"/>
    </w:rPr>
  </w:style>
  <w:style w:type="paragraph" w:customStyle="1" w:styleId="125">
    <w:name w:val="正文_12_0"/>
    <w:next w:val="1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引文目录标题_1"/>
    <w:basedOn w:val="125"/>
    <w:next w:val="125"/>
    <w:semiHidden/>
    <w:qFormat/>
    <w:uiPriority w:val="0"/>
    <w:pPr>
      <w:spacing w:before="120"/>
    </w:pPr>
    <w:rPr>
      <w:rFonts w:ascii="Arial" w:hAnsi="Arial" w:cs="Arial"/>
      <w:sz w:val="24"/>
    </w:rPr>
  </w:style>
  <w:style w:type="paragraph" w:customStyle="1" w:styleId="127">
    <w:name w:val="目录 1_0"/>
    <w:basedOn w:val="125"/>
    <w:next w:val="125"/>
    <w:qFormat/>
    <w:uiPriority w:val="39"/>
    <w:pPr>
      <w:tabs>
        <w:tab w:val="right" w:leader="dot" w:pos="8222"/>
      </w:tabs>
      <w:spacing w:line="440" w:lineRule="exact"/>
      <w:ind w:right="231" w:rightChars="110"/>
    </w:pPr>
    <w:rPr>
      <w:sz w:val="28"/>
    </w:rPr>
  </w:style>
  <w:style w:type="paragraph" w:customStyle="1" w:styleId="128">
    <w:name w:val="正文_0_0_11"/>
    <w:qFormat/>
    <w:uiPriority w:val="0"/>
    <w:pPr>
      <w:widowControl w:val="0"/>
      <w:jc w:val="both"/>
    </w:pPr>
    <w:rPr>
      <w:rFonts w:ascii="Calibri" w:hAnsi="Calibri" w:eastAsia="宋体" w:cs="Times New Roman"/>
      <w:kern w:val="2"/>
      <w:sz w:val="28"/>
      <w:szCs w:val="22"/>
      <w:lang w:val="en-US" w:eastAsia="zh-CN" w:bidi="ar-SA"/>
    </w:rPr>
  </w:style>
  <w:style w:type="paragraph" w:customStyle="1" w:styleId="129">
    <w:name w:val="Normal_20"/>
    <w:qFormat/>
    <w:uiPriority w:val="0"/>
    <w:rPr>
      <w:rFonts w:ascii="黑体" w:hAnsi="黑体" w:eastAsia="黑体" w:cs="Times New Roman"/>
      <w:b/>
      <w:sz w:val="32"/>
      <w:szCs w:val="24"/>
      <w:lang w:val="en-US" w:eastAsia="zh-CN" w:bidi="ar-SA"/>
    </w:rPr>
  </w:style>
  <w:style w:type="paragraph" w:customStyle="1" w:styleId="130">
    <w:name w:val="正文_13_0"/>
    <w:next w:val="13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引文目录标题_0_1"/>
    <w:basedOn w:val="130"/>
    <w:next w:val="130"/>
    <w:semiHidden/>
    <w:qFormat/>
    <w:uiPriority w:val="0"/>
    <w:pPr>
      <w:spacing w:before="120"/>
    </w:pPr>
    <w:rPr>
      <w:rFonts w:ascii="Arial" w:hAnsi="Arial" w:cs="Arial"/>
      <w:sz w:val="24"/>
    </w:rPr>
  </w:style>
  <w:style w:type="paragraph" w:customStyle="1" w:styleId="132">
    <w:name w:val="正文_0_0_11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33">
    <w:name w:val="Normal_21"/>
    <w:qFormat/>
    <w:uiPriority w:val="0"/>
    <w:rPr>
      <w:rFonts w:ascii="黑体" w:hAnsi="黑体" w:eastAsia="黑体" w:cs="Times New Roman"/>
      <w:b/>
      <w:sz w:val="32"/>
      <w:szCs w:val="24"/>
      <w:lang w:val="en-US" w:eastAsia="zh-CN" w:bidi="ar-SA"/>
    </w:rPr>
  </w:style>
  <w:style w:type="paragraph" w:customStyle="1" w:styleId="134">
    <w:name w:val="Normal_22"/>
    <w:qFormat/>
    <w:uiPriority w:val="0"/>
    <w:rPr>
      <w:rFonts w:ascii="黑体" w:hAnsi="黑体" w:eastAsia="黑体" w:cs="Times New Roman"/>
      <w:b/>
      <w:sz w:val="32"/>
      <w:szCs w:val="24"/>
      <w:lang w:val="en-US" w:eastAsia="zh-CN" w:bidi="ar-SA"/>
    </w:rPr>
  </w:style>
  <w:style w:type="paragraph" w:customStyle="1" w:styleId="135">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Normal_23"/>
    <w:qFormat/>
    <w:uiPriority w:val="0"/>
    <w:rPr>
      <w:rFonts w:ascii="黑体" w:hAnsi="黑体" w:eastAsia="黑体" w:cs="Times New Roman"/>
      <w:b/>
      <w:sz w:val="32"/>
      <w:szCs w:val="24"/>
      <w:lang w:val="en-US" w:eastAsia="zh-CN" w:bidi="ar-SA"/>
    </w:rPr>
  </w:style>
  <w:style w:type="paragraph" w:customStyle="1" w:styleId="137">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正文缩进_1"/>
    <w:basedOn w:val="137"/>
    <w:unhideWhenUsed/>
    <w:qFormat/>
    <w:uiPriority w:val="0"/>
    <w:pPr>
      <w:ind w:firstLine="420" w:firstLineChars="200"/>
    </w:pPr>
  </w:style>
  <w:style w:type="paragraph" w:customStyle="1" w:styleId="139">
    <w:name w:val="Normal_24"/>
    <w:qFormat/>
    <w:uiPriority w:val="0"/>
    <w:rPr>
      <w:rFonts w:ascii="黑体" w:hAnsi="黑体" w:eastAsia="黑体" w:cs="Times New Roman"/>
      <w:b/>
      <w:sz w:val="32"/>
      <w:szCs w:val="24"/>
      <w:lang w:val="en-US" w:eastAsia="zh-CN" w:bidi="ar-SA"/>
    </w:rPr>
  </w:style>
  <w:style w:type="paragraph" w:customStyle="1" w:styleId="140">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普通(网站)_0"/>
    <w:basedOn w:val="142"/>
    <w:qFormat/>
    <w:uiPriority w:val="0"/>
    <w:pPr>
      <w:widowControl/>
      <w:spacing w:before="100" w:beforeAutospacing="1" w:after="100" w:afterAutospacing="1"/>
      <w:jc w:val="left"/>
    </w:pPr>
    <w:rPr>
      <w:rFonts w:ascii="宋体" w:hAnsi="宋体"/>
      <w:kern w:val="0"/>
      <w:sz w:val="24"/>
    </w:rPr>
  </w:style>
  <w:style w:type="paragraph" w:customStyle="1" w:styleId="142">
    <w:name w:val="正文_0_1"/>
    <w:next w:val="14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
    <w:name w:val="引文目录标题1"/>
    <w:basedOn w:val="142"/>
    <w:next w:val="142"/>
    <w:qFormat/>
    <w:uiPriority w:val="0"/>
    <w:pPr>
      <w:spacing w:before="120"/>
    </w:pPr>
    <w:rPr>
      <w:rFonts w:ascii="Cambria" w:hAnsi="Cambria"/>
      <w:sz w:val="24"/>
    </w:rPr>
  </w:style>
  <w:style w:type="character" w:customStyle="1" w:styleId="144">
    <w:name w:val="blue"/>
    <w:basedOn w:val="33"/>
    <w:qFormat/>
    <w:uiPriority w:val="0"/>
    <w:rPr>
      <w:color w:val="5096D4"/>
      <w:sz w:val="24"/>
      <w:szCs w:val="24"/>
    </w:rPr>
  </w:style>
  <w:style w:type="character" w:customStyle="1" w:styleId="145">
    <w:name w:val="red"/>
    <w:basedOn w:val="33"/>
    <w:qFormat/>
    <w:uiPriority w:val="0"/>
    <w:rPr>
      <w:color w:val="E13636"/>
      <w:sz w:val="27"/>
      <w:szCs w:val="27"/>
    </w:rPr>
  </w:style>
  <w:style w:type="character" w:customStyle="1" w:styleId="146">
    <w:name w:val="blue2"/>
    <w:basedOn w:val="33"/>
    <w:qFormat/>
    <w:uiPriority w:val="0"/>
    <w:rPr>
      <w:color w:val="5096D4"/>
      <w:sz w:val="24"/>
      <w:szCs w:val="24"/>
    </w:rPr>
  </w:style>
  <w:style w:type="character" w:customStyle="1" w:styleId="147">
    <w:name w:val="批注框文本 字符"/>
    <w:basedOn w:val="33"/>
    <w:link w:val="20"/>
    <w:qFormat/>
    <w:uiPriority w:val="0"/>
    <w:rPr>
      <w:rFonts w:ascii="Calibri" w:hAnsi="Calibri"/>
      <w:kern w:val="2"/>
      <w:sz w:val="18"/>
      <w:szCs w:val="18"/>
    </w:rPr>
  </w:style>
  <w:style w:type="character" w:customStyle="1" w:styleId="148">
    <w:name w:val="页眉 字符"/>
    <w:basedOn w:val="33"/>
    <w:link w:val="22"/>
    <w:qFormat/>
    <w:uiPriority w:val="0"/>
    <w:rPr>
      <w:rFonts w:ascii="Calibri" w:hAnsi="Calibri"/>
      <w:kern w:val="2"/>
      <w:sz w:val="18"/>
      <w:szCs w:val="18"/>
    </w:rPr>
  </w:style>
  <w:style w:type="paragraph" w:customStyle="1" w:styleId="149">
    <w:name w:val="Normal_0"/>
    <w:qFormat/>
    <w:uiPriority w:val="0"/>
    <w:rPr>
      <w:rFonts w:ascii="Times New Roman" w:hAnsi="Times New Roman" w:eastAsia="Times New Roman" w:cs="Times New Roman"/>
      <w:sz w:val="24"/>
      <w:szCs w:val="24"/>
      <w:lang w:val="en-US" w:eastAsia="zh-CN" w:bidi="ar-SA"/>
    </w:rPr>
  </w:style>
  <w:style w:type="paragraph" w:customStyle="1" w:styleId="150">
    <w:name w:val="正文_7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1">
    <w:name w:val="正文2"/>
    <w:qFormat/>
    <w:uiPriority w:val="0"/>
    <w:rPr>
      <w:rFonts w:ascii="Times New Roman" w:hAnsi="Times New Roman" w:eastAsia="Times New Roman" w:cs="Times New Roman"/>
      <w:sz w:val="24"/>
      <w:szCs w:val="24"/>
      <w:lang w:val="en-US" w:eastAsia="zh-CN" w:bidi="ar-SA"/>
    </w:rPr>
  </w:style>
  <w:style w:type="paragraph" w:customStyle="1" w:styleId="152">
    <w:name w:val="Normal_9_0"/>
    <w:qFormat/>
    <w:uiPriority w:val="0"/>
    <w:rPr>
      <w:rFonts w:ascii="黑体" w:hAnsi="黑体" w:eastAsia="黑体" w:cs="Times New Roman"/>
      <w:b/>
      <w:sz w:val="32"/>
      <w:szCs w:val="24"/>
      <w:lang w:val="en-US" w:eastAsia="zh-CN" w:bidi="ar-SA"/>
    </w:rPr>
  </w:style>
  <w:style w:type="paragraph" w:customStyle="1" w:styleId="153">
    <w:name w:val="正文_6_0_0"/>
    <w:next w:val="15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4">
    <w:name w:val="页脚_3_0"/>
    <w:basedOn w:val="153"/>
    <w:unhideWhenUsed/>
    <w:qFormat/>
    <w:uiPriority w:val="99"/>
    <w:pPr>
      <w:tabs>
        <w:tab w:val="center" w:pos="4153"/>
        <w:tab w:val="right" w:pos="8306"/>
      </w:tabs>
      <w:snapToGrid w:val="0"/>
      <w:jc w:val="left"/>
    </w:pPr>
    <w:rPr>
      <w:sz w:val="18"/>
      <w:szCs w:val="18"/>
    </w:rPr>
  </w:style>
  <w:style w:type="paragraph" w:customStyle="1" w:styleId="155">
    <w:name w:val="正文_6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Other|1"/>
    <w:basedOn w:val="1"/>
    <w:qFormat/>
    <w:uiPriority w:val="0"/>
    <w:rPr>
      <w:rFonts w:ascii="宋体" w:hAnsi="宋体" w:cs="宋体"/>
      <w:lang w:val="zh-TW" w:eastAsia="zh-TW" w:bidi="zh-TW"/>
    </w:rPr>
  </w:style>
  <w:style w:type="paragraph" w:customStyle="1" w:styleId="157">
    <w:name w:val="Char Char2"/>
    <w:basedOn w:val="1"/>
    <w:qFormat/>
    <w:uiPriority w:val="0"/>
    <w:rPr>
      <w:rFonts w:ascii="Tahoma" w:hAnsi="Tahoma"/>
      <w:sz w:val="24"/>
      <w:szCs w:val="20"/>
    </w:rPr>
  </w:style>
  <w:style w:type="character" w:customStyle="1" w:styleId="158">
    <w:name w:val="msochangeprop"/>
    <w:basedOn w:val="33"/>
    <w:qFormat/>
    <w:uiPriority w:val="0"/>
  </w:style>
  <w:style w:type="paragraph" w:customStyle="1" w:styleId="159">
    <w:name w:val="Body text|1"/>
    <w:basedOn w:val="1"/>
    <w:qFormat/>
    <w:uiPriority w:val="0"/>
    <w:pPr>
      <w:spacing w:line="391" w:lineRule="auto"/>
      <w:ind w:firstLine="400"/>
    </w:pPr>
    <w:rPr>
      <w:rFonts w:ascii="宋体" w:hAnsi="宋体" w:cs="宋体"/>
      <w:sz w:val="30"/>
      <w:szCs w:val="30"/>
      <w:lang w:val="zh-TW" w:eastAsia="zh-TW" w:bidi="zh-TW"/>
    </w:rPr>
  </w:style>
  <w:style w:type="character" w:customStyle="1" w:styleId="160">
    <w:name w:val="标题1"/>
    <w:basedOn w:val="33"/>
    <w:qFormat/>
    <w:uiPriority w:val="0"/>
  </w:style>
  <w:style w:type="paragraph" w:customStyle="1" w:styleId="161">
    <w:name w:val="正文空2格  1."/>
    <w:basedOn w:val="1"/>
    <w:qFormat/>
    <w:uiPriority w:val="0"/>
    <w:pPr>
      <w:ind w:firstLine="480" w:firstLineChars="200"/>
    </w:pPr>
    <w:rPr>
      <w:rFonts w:cs="宋体"/>
      <w:szCs w:val="20"/>
    </w:rPr>
  </w:style>
  <w:style w:type="character" w:customStyle="1" w:styleId="162">
    <w:name w:val="rec-status-desc"/>
    <w:basedOn w:val="33"/>
    <w:qFormat/>
    <w:uiPriority w:val="0"/>
  </w:style>
  <w:style w:type="character" w:customStyle="1" w:styleId="163">
    <w:name w:val="rec-volume"/>
    <w:basedOn w:val="33"/>
    <w:qFormat/>
    <w:uiPriority w:val="0"/>
  </w:style>
  <w:style w:type="character" w:customStyle="1" w:styleId="164">
    <w:name w:val="rec-time"/>
    <w:basedOn w:val="33"/>
    <w:qFormat/>
    <w:uiPriority w:val="0"/>
  </w:style>
  <w:style w:type="character" w:customStyle="1" w:styleId="165">
    <w:name w:val="NormalCharacter"/>
    <w:qFormat/>
    <w:uiPriority w:val="99"/>
  </w:style>
  <w:style w:type="paragraph" w:customStyle="1" w:styleId="166">
    <w:name w:val="BodyText1I"/>
    <w:basedOn w:val="167"/>
    <w:qFormat/>
    <w:uiPriority w:val="99"/>
    <w:pPr>
      <w:ind w:firstLine="420" w:firstLineChars="100"/>
    </w:pPr>
    <w:rPr>
      <w:rFonts w:ascii="宋体" w:hAnsi="宋体"/>
      <w:sz w:val="24"/>
      <w:szCs w:val="24"/>
    </w:rPr>
  </w:style>
  <w:style w:type="paragraph" w:customStyle="1" w:styleId="167">
    <w:name w:val="BodyText"/>
    <w:basedOn w:val="1"/>
    <w:next w:val="168"/>
    <w:qFormat/>
    <w:uiPriority w:val="99"/>
    <w:pPr>
      <w:spacing w:after="120"/>
    </w:pPr>
    <w:rPr>
      <w:kern w:val="1"/>
    </w:rPr>
  </w:style>
  <w:style w:type="paragraph" w:customStyle="1" w:styleId="168">
    <w:name w:val="TOC2"/>
    <w:basedOn w:val="1"/>
    <w:next w:val="1"/>
    <w:qFormat/>
    <w:uiPriority w:val="99"/>
    <w:pPr>
      <w:ind w:left="210"/>
      <w:jc w:val="left"/>
    </w:pPr>
    <w:rPr>
      <w:smallCaps/>
      <w:kern w:val="1"/>
      <w:sz w:val="20"/>
    </w:rPr>
  </w:style>
  <w:style w:type="paragraph" w:customStyle="1" w:styleId="169">
    <w:name w:val="Default Text"/>
    <w:qFormat/>
    <w:uiPriority w:val="0"/>
    <w:pPr>
      <w:widowControl w:val="0"/>
      <w:autoSpaceDE w:val="0"/>
      <w:autoSpaceDN w:val="0"/>
      <w:adjustRightInd w:val="0"/>
    </w:pPr>
    <w:rPr>
      <w:rFonts w:ascii="Calibri" w:hAnsi="Calibri" w:eastAsia="宋体" w:cs="宋体"/>
      <w:color w:val="000000"/>
      <w:sz w:val="24"/>
      <w:szCs w:val="24"/>
      <w:lang w:val="en-US" w:eastAsia="zh-CN" w:bidi="ar-SA"/>
    </w:rPr>
  </w:style>
  <w:style w:type="paragraph" w:customStyle="1" w:styleId="170">
    <w:name w:val="È±Ê¡ÎÄ±¾"/>
    <w:basedOn w:val="1"/>
    <w:qFormat/>
    <w:uiPriority w:val="0"/>
    <w:pPr>
      <w:widowControl/>
      <w:overflowPunct w:val="0"/>
      <w:autoSpaceDE w:val="0"/>
      <w:autoSpaceDN w:val="0"/>
      <w:adjustRightInd w:val="0"/>
      <w:jc w:val="left"/>
    </w:pPr>
    <w:rPr>
      <w:kern w:val="0"/>
      <w:sz w:val="24"/>
    </w:rPr>
  </w:style>
  <w:style w:type="paragraph" w:customStyle="1" w:styleId="171">
    <w:name w:val="样式 标题 2 + Times New Roman 四号 非加粗 段前: 5 磅 段后: 0 磅 行距: 固定值 20..."/>
    <w:basedOn w:val="4"/>
    <w:qFormat/>
    <w:uiPriority w:val="0"/>
    <w:pPr>
      <w:spacing w:before="100" w:line="400" w:lineRule="exact"/>
    </w:pPr>
    <w:rPr>
      <w:rFonts w:ascii="Times New Roman" w:hAnsi="Times New Roman" w:cs="宋体"/>
      <w:sz w:val="28"/>
    </w:rPr>
  </w:style>
  <w:style w:type="paragraph" w:customStyle="1" w:styleId="172">
    <w:name w:val="正文3"/>
    <w:qFormat/>
    <w:uiPriority w:val="0"/>
    <w:pPr>
      <w:widowControl w:val="0"/>
      <w:adjustRightInd w:val="0"/>
      <w:spacing w:line="312" w:lineRule="atLeast"/>
      <w:jc w:val="both"/>
    </w:pPr>
    <w:rPr>
      <w:rFonts w:ascii="宋体" w:hAnsi="Calibri" w:eastAsia="宋体" w:cs="Times New Roman"/>
      <w:sz w:val="24"/>
      <w:lang w:val="en-US" w:eastAsia="zh-CN" w:bidi="ar-SA"/>
    </w:rPr>
  </w:style>
  <w:style w:type="paragraph" w:customStyle="1" w:styleId="173">
    <w:name w:val="目录 41"/>
    <w:basedOn w:val="1"/>
    <w:next w:val="1"/>
    <w:qFormat/>
    <w:uiPriority w:val="0"/>
    <w:pPr>
      <w:ind w:left="630"/>
      <w:jc w:val="left"/>
    </w:pPr>
    <w:rPr>
      <w:sz w:val="18"/>
    </w:rPr>
  </w:style>
  <w:style w:type="paragraph" w:customStyle="1" w:styleId="174">
    <w:name w:val="WPSOffice手动目录 1"/>
    <w:qFormat/>
    <w:uiPriority w:val="0"/>
    <w:rPr>
      <w:rFonts w:ascii="Times New Roman" w:hAnsi="Times New Roman" w:eastAsia="宋体" w:cs="Times New Roman"/>
      <w:lang w:val="en-US" w:eastAsia="zh-CN" w:bidi="ar-SA"/>
    </w:rPr>
  </w:style>
  <w:style w:type="paragraph" w:customStyle="1" w:styleId="175">
    <w:name w:val="正文21"/>
    <w:qFormat/>
    <w:uiPriority w:val="0"/>
    <w:pPr>
      <w:widowControl w:val="0"/>
      <w:jc w:val="both"/>
    </w:pPr>
    <w:rPr>
      <w:rFonts w:ascii="Times New Roman" w:hAnsi="Times New Roman" w:eastAsia="Times New Roman" w:cs="Times New Roman"/>
      <w:lang w:val="en-US" w:eastAsia="zh-CN" w:bidi="ar-SA"/>
    </w:rPr>
  </w:style>
  <w:style w:type="paragraph" w:customStyle="1" w:styleId="176">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177">
    <w:name w:val="_Style 10"/>
    <w:basedOn w:val="3"/>
    <w:next w:val="1"/>
    <w:qFormat/>
    <w:uiPriority w:val="0"/>
    <w:pPr>
      <w:widowControl w:val="0"/>
      <w:spacing w:line="576" w:lineRule="auto"/>
      <w:jc w:val="both"/>
      <w:outlineLvl w:val="9"/>
    </w:pPr>
    <w:rPr>
      <w:rFonts w:ascii="Calibri" w:hAnsi="Calibri" w:cs="Times New Roman"/>
    </w:rPr>
  </w:style>
  <w:style w:type="paragraph" w:customStyle="1" w:styleId="178">
    <w:name w:val="p0"/>
    <w:basedOn w:val="1"/>
    <w:qFormat/>
    <w:uiPriority w:val="0"/>
    <w:pPr>
      <w:jc w:val="both"/>
    </w:pPr>
    <w:rPr>
      <w:rFonts w:ascii="Times New Roman" w:hAnsi="Times New Roman" w:cs="Times New Roman"/>
      <w:sz w:val="21"/>
      <w:szCs w:val="21"/>
    </w:rPr>
  </w:style>
  <w:style w:type="character" w:customStyle="1" w:styleId="179">
    <w:name w:val="15"/>
    <w:qFormat/>
    <w:uiPriority w:val="0"/>
    <w:rPr>
      <w:rFonts w:hint="default" w:ascii="Times New Roman" w:hAnsi="Times New Roman" w:cs="Times New Roman"/>
      <w:color w:val="464445"/>
      <w:u w:val="none"/>
    </w:rPr>
  </w:style>
  <w:style w:type="character" w:customStyle="1" w:styleId="180">
    <w:name w:val="标题 Char"/>
    <w:link w:val="28"/>
    <w:qFormat/>
    <w:uiPriority w:val="10"/>
    <w:rPr>
      <w:rFonts w:ascii="Cambria" w:hAnsi="Cambria" w:cs="Times New Roman"/>
      <w:b/>
      <w:bCs/>
      <w:szCs w:val="32"/>
    </w:rPr>
  </w:style>
  <w:style w:type="character" w:customStyle="1" w:styleId="181">
    <w:name w:val="副标题 Char"/>
    <w:link w:val="24"/>
    <w:qFormat/>
    <w:uiPriority w:val="11"/>
    <w:rPr>
      <w:rFonts w:ascii="Arial" w:hAnsi="Arial"/>
      <w:b/>
      <w:kern w:val="28"/>
      <w:sz w:val="32"/>
    </w:rPr>
  </w:style>
  <w:style w:type="paragraph" w:customStyle="1" w:styleId="182">
    <w:name w:val="Table Text"/>
    <w:basedOn w:val="1"/>
    <w:semiHidden/>
    <w:qFormat/>
    <w:uiPriority w:val="0"/>
    <w:rPr>
      <w:rFonts w:ascii="仿宋" w:hAnsi="仿宋" w:eastAsia="仿宋" w:cs="仿宋"/>
      <w:sz w:val="24"/>
      <w:szCs w:val="24"/>
      <w:lang w:val="en-US" w:eastAsia="en-US" w:bidi="ar-SA"/>
    </w:rPr>
  </w:style>
  <w:style w:type="table" w:customStyle="1" w:styleId="18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76AF2F-4066-4E62-82C5-735793186017}">
  <ds:schemaRefs/>
</ds:datastoreItem>
</file>

<file path=docProps/app.xml><?xml version="1.0" encoding="utf-8"?>
<Properties xmlns="http://schemas.openxmlformats.org/officeDocument/2006/extended-properties" xmlns:vt="http://schemas.openxmlformats.org/officeDocument/2006/docPropsVTypes">
  <Template>Normal</Template>
  <Pages>81</Pages>
  <Words>36931</Words>
  <Characters>39665</Characters>
  <Lines>266</Lines>
  <Paragraphs>75</Paragraphs>
  <TotalTime>41</TotalTime>
  <ScaleCrop>false</ScaleCrop>
  <LinksUpToDate>false</LinksUpToDate>
  <CharactersWithSpaces>42538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2021-04-20T04:35:00Z</dcterms:created>
  <dc:creator>小小草</dc:creator>
  <cp:lastModifiedBy>CSFL</cp:lastModifiedBy>
  <cp:lastPrinted>2023-10-18T07:59:00Z</cp:lastPrinted>
  <dcterms:modified xsi:type="dcterms:W3CDTF">2023-10-24T11:43:22Z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D03EEC70646D4E42991A23E4D77E4DF0_13</vt:lpwstr>
  </property>
</Properties>
</file>