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hint="eastAsia" w:ascii="宋体" w:hAnsi="宋体" w:eastAsia="宋体" w:cs="宋体"/>
          <w:b/>
          <w:bCs/>
          <w:i w:val="0"/>
          <w:iCs w:val="0"/>
          <w:color w:val="auto"/>
          <w:sz w:val="52"/>
          <w:szCs w:val="52"/>
          <w:highlight w:val="none"/>
        </w:rPr>
      </w:pPr>
    </w:p>
    <w:p>
      <w:pPr>
        <w:spacing w:line="240" w:lineRule="auto"/>
        <w:jc w:val="center"/>
        <w:rPr>
          <w:rFonts w:hint="eastAsia" w:ascii="宋体" w:hAnsi="宋体" w:eastAsia="宋体" w:cs="宋体"/>
          <w:b/>
          <w:i w:val="0"/>
          <w:iCs w:val="0"/>
          <w:color w:val="auto"/>
          <w:sz w:val="56"/>
          <w:szCs w:val="56"/>
          <w:highlight w:val="none"/>
        </w:rPr>
      </w:pPr>
      <w:r>
        <w:rPr>
          <w:rFonts w:hint="eastAsia" w:ascii="宋体" w:hAnsi="宋体" w:cs="宋体"/>
          <w:b/>
          <w:bCs/>
          <w:i w:val="0"/>
          <w:iCs w:val="0"/>
          <w:color w:val="auto"/>
          <w:sz w:val="56"/>
          <w:szCs w:val="56"/>
          <w:highlight w:val="none"/>
          <w:lang w:eastAsia="zh-CN"/>
        </w:rPr>
        <w:t>沙雅县城市空气质量优化配套基础工程</w:t>
      </w:r>
    </w:p>
    <w:p>
      <w:pPr>
        <w:spacing w:line="600" w:lineRule="auto"/>
        <w:jc w:val="both"/>
        <w:rPr>
          <w:rFonts w:hint="eastAsia" w:ascii="宋体" w:hAnsi="宋体" w:eastAsia="宋体" w:cs="宋体"/>
          <w:b/>
          <w:i w:val="0"/>
          <w:iCs w:val="0"/>
          <w:color w:val="auto"/>
          <w:sz w:val="32"/>
          <w:szCs w:val="32"/>
          <w:highlight w:val="none"/>
        </w:rPr>
      </w:pPr>
    </w:p>
    <w:p>
      <w:pPr>
        <w:pStyle w:val="24"/>
        <w:rPr>
          <w:rFonts w:hint="eastAsia" w:ascii="宋体" w:hAnsi="宋体" w:eastAsia="宋体" w:cs="宋体"/>
          <w:b/>
          <w:i w:val="0"/>
          <w:iCs w:val="0"/>
          <w:color w:val="auto"/>
          <w:sz w:val="32"/>
          <w:szCs w:val="32"/>
          <w:highlight w:val="none"/>
        </w:rPr>
      </w:pPr>
    </w:p>
    <w:p>
      <w:pPr>
        <w:pStyle w:val="24"/>
        <w:rPr>
          <w:rFonts w:hint="eastAsia" w:ascii="宋体" w:hAnsi="宋体" w:eastAsia="宋体" w:cs="宋体"/>
          <w:b/>
          <w:i w:val="0"/>
          <w:iCs w:val="0"/>
          <w:color w:val="auto"/>
          <w:sz w:val="32"/>
          <w:szCs w:val="32"/>
          <w:highlight w:val="none"/>
        </w:rPr>
      </w:pPr>
    </w:p>
    <w:p>
      <w:pPr>
        <w:pStyle w:val="24"/>
        <w:rPr>
          <w:rFonts w:hint="eastAsia" w:ascii="宋体" w:hAnsi="宋体" w:eastAsia="宋体" w:cs="宋体"/>
          <w:b/>
          <w:i w:val="0"/>
          <w:iCs w:val="0"/>
          <w:color w:val="auto"/>
          <w:sz w:val="32"/>
          <w:szCs w:val="32"/>
          <w:highlight w:val="none"/>
        </w:rPr>
      </w:pPr>
    </w:p>
    <w:p>
      <w:pPr>
        <w:pStyle w:val="24"/>
        <w:rPr>
          <w:rFonts w:hint="eastAsia" w:ascii="宋体" w:hAnsi="宋体" w:eastAsia="宋体" w:cs="宋体"/>
          <w:b/>
          <w:i w:val="0"/>
          <w:iCs w:val="0"/>
          <w:color w:val="auto"/>
          <w:sz w:val="32"/>
          <w:szCs w:val="32"/>
          <w:highlight w:val="none"/>
        </w:rPr>
      </w:pPr>
    </w:p>
    <w:p>
      <w:pPr>
        <w:pStyle w:val="24"/>
        <w:rPr>
          <w:rFonts w:hint="eastAsia" w:ascii="宋体" w:hAnsi="宋体" w:eastAsia="宋体" w:cs="宋体"/>
          <w:b/>
          <w:i w:val="0"/>
          <w:iCs w:val="0"/>
          <w:color w:val="auto"/>
          <w:sz w:val="32"/>
          <w:szCs w:val="32"/>
          <w:highlight w:val="none"/>
        </w:rPr>
      </w:pPr>
    </w:p>
    <w:p>
      <w:pPr>
        <w:pStyle w:val="24"/>
        <w:rPr>
          <w:rFonts w:hint="eastAsia" w:ascii="宋体" w:hAnsi="宋体" w:eastAsia="宋体" w:cs="宋体"/>
          <w:b/>
          <w:i w:val="0"/>
          <w:iCs w:val="0"/>
          <w:color w:val="auto"/>
          <w:sz w:val="32"/>
          <w:szCs w:val="32"/>
          <w:highlight w:val="none"/>
        </w:rPr>
      </w:pPr>
    </w:p>
    <w:p>
      <w:pPr>
        <w:jc w:val="center"/>
        <w:rPr>
          <w:rFonts w:hint="eastAsia" w:ascii="宋体" w:hAnsi="宋体" w:eastAsia="宋体" w:cs="宋体"/>
          <w:b/>
          <w:i w:val="0"/>
          <w:iCs w:val="0"/>
          <w:color w:val="auto"/>
          <w:sz w:val="96"/>
          <w:szCs w:val="96"/>
          <w:highlight w:val="none"/>
        </w:rPr>
      </w:pPr>
      <w:r>
        <w:rPr>
          <w:rFonts w:hint="eastAsia" w:ascii="宋体" w:hAnsi="宋体" w:eastAsia="宋体" w:cs="宋体"/>
          <w:b/>
          <w:i w:val="0"/>
          <w:iCs w:val="0"/>
          <w:color w:val="auto"/>
          <w:sz w:val="96"/>
          <w:szCs w:val="96"/>
          <w:highlight w:val="none"/>
          <w:lang w:val="en-US" w:eastAsia="zh-CN"/>
        </w:rPr>
        <w:t>竞争性磋商</w:t>
      </w:r>
      <w:r>
        <w:rPr>
          <w:rFonts w:hint="eastAsia" w:ascii="宋体" w:hAnsi="宋体" w:eastAsia="宋体" w:cs="宋体"/>
          <w:b/>
          <w:i w:val="0"/>
          <w:iCs w:val="0"/>
          <w:color w:val="auto"/>
          <w:sz w:val="96"/>
          <w:szCs w:val="96"/>
          <w:highlight w:val="none"/>
        </w:rPr>
        <w:t>文件</w:t>
      </w:r>
    </w:p>
    <w:p>
      <w:pPr>
        <w:rPr>
          <w:rFonts w:hint="eastAsia" w:ascii="宋体" w:hAnsi="宋体" w:eastAsia="宋体" w:cs="宋体"/>
          <w:i w:val="0"/>
          <w:iCs w:val="0"/>
          <w:color w:val="auto"/>
          <w:highlight w:val="none"/>
        </w:rPr>
      </w:pPr>
    </w:p>
    <w:p>
      <w:pPr>
        <w:rPr>
          <w:rFonts w:hint="eastAsia" w:ascii="宋体" w:hAnsi="宋体" w:eastAsia="宋体" w:cs="宋体"/>
          <w:i w:val="0"/>
          <w:iCs w:val="0"/>
          <w:color w:val="auto"/>
          <w:highlight w:val="none"/>
        </w:rPr>
      </w:pPr>
    </w:p>
    <w:p>
      <w:pPr>
        <w:rPr>
          <w:rFonts w:hint="eastAsia" w:ascii="宋体" w:hAnsi="宋体" w:eastAsia="宋体" w:cs="宋体"/>
          <w:i w:val="0"/>
          <w:iCs w:val="0"/>
          <w:color w:val="auto"/>
          <w:highlight w:val="none"/>
        </w:rPr>
      </w:pPr>
    </w:p>
    <w:p>
      <w:pPr>
        <w:rPr>
          <w:rFonts w:hint="eastAsia" w:ascii="宋体" w:hAnsi="宋体" w:eastAsia="宋体" w:cs="宋体"/>
          <w:i w:val="0"/>
          <w:iCs w:val="0"/>
          <w:color w:val="auto"/>
          <w:highlight w:val="none"/>
        </w:rPr>
      </w:pPr>
    </w:p>
    <w:p>
      <w:pPr>
        <w:rPr>
          <w:rFonts w:hint="eastAsia" w:ascii="宋体" w:hAnsi="宋体" w:eastAsia="宋体" w:cs="宋体"/>
          <w:i w:val="0"/>
          <w:iCs w:val="0"/>
          <w:color w:val="auto"/>
          <w:highlight w:val="none"/>
        </w:rPr>
      </w:pPr>
    </w:p>
    <w:p>
      <w:pPr>
        <w:rPr>
          <w:rFonts w:hint="eastAsia" w:ascii="宋体" w:hAnsi="宋体" w:eastAsia="宋体" w:cs="宋体"/>
          <w:i w:val="0"/>
          <w:iCs w:val="0"/>
          <w:color w:val="auto"/>
          <w:highlight w:val="none"/>
        </w:rPr>
      </w:pPr>
    </w:p>
    <w:p>
      <w:pPr>
        <w:rPr>
          <w:rFonts w:hint="eastAsia" w:ascii="宋体" w:hAnsi="宋体" w:eastAsia="宋体" w:cs="宋体"/>
          <w:i w:val="0"/>
          <w:iCs w:val="0"/>
          <w:color w:val="auto"/>
          <w:highlight w:val="none"/>
        </w:rPr>
      </w:pPr>
    </w:p>
    <w:p>
      <w:pPr>
        <w:rPr>
          <w:rFonts w:hint="eastAsia" w:ascii="宋体" w:hAnsi="宋体" w:eastAsia="宋体" w:cs="宋体"/>
          <w:i w:val="0"/>
          <w:iCs w:val="0"/>
          <w:color w:val="auto"/>
          <w:highlight w:val="none"/>
        </w:rPr>
      </w:pPr>
    </w:p>
    <w:p>
      <w:pPr>
        <w:rPr>
          <w:rFonts w:hint="eastAsia" w:ascii="宋体" w:hAnsi="宋体" w:eastAsia="宋体" w:cs="宋体"/>
          <w:i w:val="0"/>
          <w:iCs w:val="0"/>
          <w:color w:val="auto"/>
          <w:highlight w:val="none"/>
        </w:rPr>
      </w:pPr>
    </w:p>
    <w:p>
      <w:pPr>
        <w:rPr>
          <w:rFonts w:hint="eastAsia" w:ascii="宋体" w:hAnsi="宋体" w:eastAsia="宋体" w:cs="宋体"/>
          <w:i w:val="0"/>
          <w:iCs w:val="0"/>
          <w:color w:val="auto"/>
          <w:highlight w:val="none"/>
        </w:rPr>
      </w:pPr>
    </w:p>
    <w:p>
      <w:pPr>
        <w:rPr>
          <w:rFonts w:hint="eastAsia" w:ascii="宋体" w:hAnsi="宋体" w:eastAsia="宋体" w:cs="宋体"/>
          <w:i w:val="0"/>
          <w:iCs w:val="0"/>
          <w:color w:val="auto"/>
          <w:highlight w:val="none"/>
        </w:rPr>
      </w:pPr>
    </w:p>
    <w:p>
      <w:pPr>
        <w:pStyle w:val="5"/>
        <w:rPr>
          <w:rFonts w:hint="eastAsia" w:ascii="宋体" w:hAnsi="宋体" w:eastAsia="宋体" w:cs="宋体"/>
          <w:i w:val="0"/>
          <w:iCs w:val="0"/>
          <w:color w:val="auto"/>
          <w:highlight w:val="none"/>
        </w:rPr>
      </w:pPr>
    </w:p>
    <w:p>
      <w:pPr>
        <w:pStyle w:val="6"/>
        <w:rPr>
          <w:rFonts w:hint="eastAsia" w:ascii="宋体" w:hAnsi="宋体" w:eastAsia="宋体" w:cs="宋体"/>
          <w:i w:val="0"/>
          <w:iCs w:val="0"/>
          <w:color w:val="auto"/>
          <w:highlight w:val="none"/>
        </w:rPr>
      </w:pPr>
    </w:p>
    <w:p>
      <w:pPr>
        <w:rPr>
          <w:rFonts w:hint="eastAsia" w:ascii="宋体" w:hAnsi="宋体" w:eastAsia="宋体" w:cs="宋体"/>
          <w:i w:val="0"/>
          <w:iCs w:val="0"/>
          <w:color w:val="auto"/>
          <w:highlight w:val="none"/>
        </w:rPr>
      </w:pPr>
    </w:p>
    <w:p>
      <w:pPr>
        <w:pStyle w:val="7"/>
        <w:widowControl/>
        <w:adjustRightInd/>
        <w:spacing w:line="700" w:lineRule="exact"/>
        <w:ind w:firstLine="1606" w:firstLineChars="500"/>
        <w:jc w:val="left"/>
        <w:textAlignment w:val="auto"/>
        <w:rPr>
          <w:rFonts w:hint="default" w:ascii="宋体" w:hAnsi="宋体" w:eastAsia="宋体" w:cs="宋体"/>
          <w:b/>
          <w:i w:val="0"/>
          <w:iCs w:val="0"/>
          <w:color w:val="auto"/>
          <w:sz w:val="32"/>
          <w:szCs w:val="32"/>
          <w:highlight w:val="none"/>
          <w:lang w:val="en-US" w:eastAsia="zh-CN"/>
        </w:rPr>
      </w:pPr>
      <w:r>
        <w:rPr>
          <w:rFonts w:hint="eastAsia" w:ascii="宋体" w:hAnsi="宋体" w:eastAsia="宋体" w:cs="宋体"/>
          <w:b/>
          <w:i w:val="0"/>
          <w:iCs w:val="0"/>
          <w:color w:val="auto"/>
          <w:sz w:val="32"/>
          <w:szCs w:val="32"/>
          <w:highlight w:val="none"/>
        </w:rPr>
        <w:t>招标人：</w:t>
      </w:r>
      <w:r>
        <w:rPr>
          <w:rFonts w:hint="eastAsia" w:ascii="宋体" w:hAnsi="宋体" w:cs="宋体"/>
          <w:b/>
          <w:i w:val="0"/>
          <w:iCs w:val="0"/>
          <w:color w:val="auto"/>
          <w:sz w:val="32"/>
          <w:szCs w:val="32"/>
          <w:highlight w:val="none"/>
          <w:lang w:eastAsia="zh-CN"/>
        </w:rPr>
        <w:t>沙雅县人工影响天气办公室</w:t>
      </w:r>
    </w:p>
    <w:p>
      <w:pPr>
        <w:ind w:firstLine="1606" w:firstLineChars="500"/>
        <w:jc w:val="left"/>
        <w:rPr>
          <w:rFonts w:hint="eastAsia" w:ascii="宋体" w:hAnsi="宋体" w:eastAsia="宋体" w:cs="宋体"/>
          <w:b/>
          <w:i w:val="0"/>
          <w:iCs w:val="0"/>
          <w:color w:val="auto"/>
          <w:sz w:val="32"/>
          <w:szCs w:val="32"/>
          <w:highlight w:val="none"/>
          <w:lang w:eastAsia="zh-CN"/>
        </w:rPr>
      </w:pPr>
      <w:r>
        <w:rPr>
          <w:rFonts w:hint="eastAsia" w:ascii="宋体" w:hAnsi="宋体" w:eastAsia="宋体" w:cs="宋体"/>
          <w:b/>
          <w:i w:val="0"/>
          <w:iCs w:val="0"/>
          <w:color w:val="auto"/>
          <w:sz w:val="32"/>
          <w:szCs w:val="32"/>
          <w:highlight w:val="none"/>
        </w:rPr>
        <w:t>招标代理机构：新疆希林森建设项目管理有限公司</w:t>
      </w:r>
    </w:p>
    <w:p>
      <w:pPr>
        <w:ind w:firstLine="1606" w:firstLineChars="500"/>
        <w:jc w:val="left"/>
        <w:rPr>
          <w:rFonts w:hint="default" w:ascii="宋体" w:hAnsi="宋体" w:eastAsia="宋体" w:cs="宋体"/>
          <w:b/>
          <w:i w:val="0"/>
          <w:iCs w:val="0"/>
          <w:color w:val="auto"/>
          <w:sz w:val="32"/>
          <w:szCs w:val="32"/>
          <w:highlight w:val="none"/>
          <w:lang w:val="en-US" w:eastAsia="zh-CN"/>
        </w:rPr>
      </w:pPr>
      <w:r>
        <w:rPr>
          <w:rFonts w:hint="eastAsia" w:ascii="宋体" w:hAnsi="宋体" w:eastAsia="宋体" w:cs="宋体"/>
          <w:b/>
          <w:i w:val="0"/>
          <w:iCs w:val="0"/>
          <w:color w:val="auto"/>
          <w:sz w:val="32"/>
          <w:szCs w:val="32"/>
          <w:highlight w:val="none"/>
        </w:rPr>
        <w:t>项目编号：</w:t>
      </w:r>
      <w:r>
        <w:rPr>
          <w:rFonts w:hint="eastAsia" w:ascii="宋体" w:hAnsi="宋体" w:cs="宋体"/>
          <w:b/>
          <w:i w:val="0"/>
          <w:iCs w:val="0"/>
          <w:color w:val="auto"/>
          <w:sz w:val="32"/>
          <w:szCs w:val="32"/>
          <w:highlight w:val="none"/>
          <w:lang w:eastAsia="zh-CN"/>
        </w:rPr>
        <w:t>SYX-</w:t>
      </w:r>
      <w:r>
        <w:rPr>
          <w:rFonts w:hint="eastAsia" w:ascii="宋体" w:hAnsi="宋体" w:cs="宋体"/>
          <w:b/>
          <w:i w:val="0"/>
          <w:iCs w:val="0"/>
          <w:color w:val="auto"/>
          <w:sz w:val="32"/>
          <w:szCs w:val="32"/>
          <w:highlight w:val="none"/>
          <w:lang w:val="en-US" w:eastAsia="zh-CN"/>
        </w:rPr>
        <w:t>XLS</w:t>
      </w:r>
      <w:r>
        <w:rPr>
          <w:rFonts w:hint="eastAsia" w:ascii="宋体" w:hAnsi="宋体" w:cs="宋体"/>
          <w:b/>
          <w:i w:val="0"/>
          <w:iCs w:val="0"/>
          <w:color w:val="auto"/>
          <w:sz w:val="32"/>
          <w:szCs w:val="32"/>
          <w:highlight w:val="none"/>
          <w:lang w:eastAsia="zh-CN"/>
        </w:rPr>
        <w:t>CG-0</w:t>
      </w:r>
      <w:r>
        <w:rPr>
          <w:rFonts w:hint="eastAsia" w:ascii="宋体" w:hAnsi="宋体" w:cs="宋体"/>
          <w:b/>
          <w:i w:val="0"/>
          <w:iCs w:val="0"/>
          <w:color w:val="auto"/>
          <w:sz w:val="32"/>
          <w:szCs w:val="32"/>
          <w:highlight w:val="none"/>
          <w:lang w:val="en-US" w:eastAsia="zh-CN"/>
        </w:rPr>
        <w:t>1</w:t>
      </w:r>
    </w:p>
    <w:p>
      <w:pPr>
        <w:ind w:firstLine="1606" w:firstLineChars="500"/>
        <w:jc w:val="left"/>
        <w:rPr>
          <w:rFonts w:hint="eastAsia" w:ascii="宋体" w:hAnsi="宋体" w:eastAsia="宋体" w:cs="宋体"/>
          <w:b/>
          <w:i w:val="0"/>
          <w:iCs w:val="0"/>
          <w:color w:val="auto"/>
          <w:sz w:val="44"/>
          <w:szCs w:val="44"/>
          <w:highlight w:val="none"/>
        </w:rPr>
        <w:sectPr>
          <w:headerReference r:id="rId3" w:type="default"/>
          <w:pgSz w:w="11907" w:h="16840"/>
          <w:pgMar w:top="1440" w:right="1474" w:bottom="1440" w:left="1474" w:header="851" w:footer="992" w:gutter="0"/>
          <w:pgNumType w:start="0"/>
          <w:cols w:space="720" w:num="1"/>
          <w:docGrid w:linePitch="312" w:charSpace="0"/>
        </w:sectPr>
      </w:pPr>
      <w:r>
        <w:rPr>
          <w:rFonts w:hint="eastAsia" w:ascii="宋体" w:hAnsi="宋体" w:eastAsia="宋体" w:cs="宋体"/>
          <w:b/>
          <w:i w:val="0"/>
          <w:iCs w:val="0"/>
          <w:color w:val="auto"/>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2628900</wp:posOffset>
                </wp:positionH>
                <wp:positionV relativeFrom="paragraph">
                  <wp:posOffset>952500</wp:posOffset>
                </wp:positionV>
                <wp:extent cx="114300" cy="198120"/>
                <wp:effectExtent l="0" t="0" r="0" b="11430"/>
                <wp:wrapNone/>
                <wp:docPr id="4" name="矩形 4"/>
                <wp:cNvGraphicFramePr/>
                <a:graphic xmlns:a="http://schemas.openxmlformats.org/drawingml/2006/main">
                  <a:graphicData uri="http://schemas.microsoft.com/office/word/2010/wordprocessingShape">
                    <wps:wsp>
                      <wps:cNvSpPr/>
                      <wps:spPr>
                        <a:xfrm>
                          <a:off x="0" y="0"/>
                          <a:ext cx="114300" cy="19812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207pt;margin-top:75pt;height:15.6pt;width:9pt;z-index:251660288;mso-width-relative:page;mso-height-relative:page;" fillcolor="#FFFFFF" filled="t" stroked="f" coordsize="21600,21600" o:gfxdata="UEsDBAoAAAAAAIdO4kAAAAAAAAAAAAAAAAAEAAAAZHJzL1BLAwQUAAAACACHTuJAbbKtkNcAAAAL&#10;AQAADwAAAGRycy9kb3ducmV2LnhtbE1PQU7DMBC8I/EHa5G4UTtpGpU0Tg9IPQEH2kpct/E2iRrb&#10;IXba8HuWE9xmdkazM+V2tr240hg67zQkCwWCXO1N5xoNx8PuaQ0iRHQGe+9IwzcF2Fb3dyUWxt/c&#10;B133sREc4kKBGtoYh0LKULdkMSz8QI61sx8tRqZjI82INw63vUyVyqXFzvGHFgd6aam+7CerAfPM&#10;fL2fl2+H1ynH52ZWu9Wn0vrxIVEbEJHm+GeG3/pcHSrudPKTM0H0GrIk4y2RhZViwI5smTI48WWd&#10;pCCrUv7fUP0AUEsDBBQAAAAIAIdO4kDn5pJetgEAAGkDAAAOAAAAZHJzL2Uyb0RvYy54bWytU82O&#10;0zAQviPxDpbvNEmp0BI13QNVuSBYaeEBXMdJLPlPM26TPg0SNx6Cx0G8BmMn24XlsgdycGY8M9/M&#10;902yvZ2sYWcFqL1reLUqOVNO+la7vuFfPh9e3XCGUbhWGO9Uwy8K+e3u5YvtGGq19oM3rQJGIA7r&#10;MTR8iDHURYFyUFbgygflKNh5sCKSC33RghgJ3ZpiXZZvitFDG8BLhUi3+znIF0R4DqDvOi3V3suT&#10;VS7OqKCMiEQJBx2Q7/K0Xadk/NR1qCIzDSemMZ/UhOxjOovdVtQ9iDBouYwgnjPCE05WaEdNr1B7&#10;EQU7gf4HymoJHn0XV9LbYiaSFSEWVflEm/tBBJW5kNQYrqLj/4OVH893wHTb8A1nTlha+K+v33/+&#10;+MY2SZsxYE0p9+EOFg/JTESnDmx6EwU2ZT0vVz3VFJmky6ravC5JaUmh6u1Ntc56F4/FATC+V96y&#10;ZDQcaF1ZRXH+gJEaUupDSuqF3uj2oI3JDvTHdwbYWdBqD/lJE1PJX2nGpWTnU9kcTjdFIjZTSVac&#10;jtPC7+jbCylyCqD7gWaqMmhKog1k+OVrSSv+08+gj3/I7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tsq2Q1wAAAAsBAAAPAAAAAAAAAAEAIAAAACIAAABkcnMvZG93bnJldi54bWxQSwECFAAUAAAA&#10;CACHTuJA5+aSXrYBAABpAwAADgAAAAAAAAABACAAAAAmAQAAZHJzL2Uyb0RvYy54bWxQSwUGAAAA&#10;AAYABgBZAQAATgUAAAAA&#10;">
                <v:fill on="t" focussize="0,0"/>
                <v:stroke on="f"/>
                <v:imagedata o:title=""/>
                <o:lock v:ext="edit" aspectratio="f"/>
                <v:textbox>
                  <w:txbxContent>
                    <w:p/>
                  </w:txbxContent>
                </v:textbox>
              </v:rect>
            </w:pict>
          </mc:Fallback>
        </mc:AlternateContent>
      </w:r>
      <w:r>
        <w:rPr>
          <w:rFonts w:hint="eastAsia" w:ascii="宋体" w:hAnsi="宋体" w:eastAsia="宋体" w:cs="宋体"/>
          <w:b/>
          <w:i w:val="0"/>
          <w:iCs w:val="0"/>
          <w:color w:val="auto"/>
          <w:sz w:val="32"/>
          <w:szCs w:val="32"/>
          <w:highlight w:val="none"/>
        </w:rPr>
        <w:t>日期：二〇二</w:t>
      </w:r>
      <w:r>
        <w:rPr>
          <w:rFonts w:hint="eastAsia" w:ascii="宋体" w:hAnsi="宋体" w:eastAsia="宋体" w:cs="宋体"/>
          <w:b/>
          <w:i w:val="0"/>
          <w:iCs w:val="0"/>
          <w:color w:val="auto"/>
          <w:sz w:val="32"/>
          <w:szCs w:val="32"/>
          <w:highlight w:val="none"/>
          <w:lang w:eastAsia="zh-CN"/>
        </w:rPr>
        <w:t>三</w:t>
      </w:r>
      <w:r>
        <w:rPr>
          <w:rFonts w:hint="eastAsia" w:ascii="宋体" w:hAnsi="宋体" w:eastAsia="宋体" w:cs="宋体"/>
          <w:b/>
          <w:i w:val="0"/>
          <w:iCs w:val="0"/>
          <w:color w:val="auto"/>
          <w:sz w:val="32"/>
          <w:szCs w:val="32"/>
          <w:highlight w:val="none"/>
        </w:rPr>
        <w:t>年</w:t>
      </w:r>
      <w:r>
        <w:rPr>
          <w:rFonts w:hint="eastAsia" w:ascii="宋体" w:hAnsi="宋体" w:cs="宋体"/>
          <w:b/>
          <w:i w:val="0"/>
          <w:iCs w:val="0"/>
          <w:color w:val="auto"/>
          <w:sz w:val="32"/>
          <w:szCs w:val="32"/>
          <w:highlight w:val="none"/>
          <w:lang w:val="en-US" w:eastAsia="zh-CN"/>
        </w:rPr>
        <w:t>十</w:t>
      </w:r>
      <w:r>
        <w:rPr>
          <w:rFonts w:hint="eastAsia" w:ascii="宋体" w:hAnsi="宋体" w:eastAsia="宋体" w:cs="宋体"/>
          <w:b/>
          <w:i w:val="0"/>
          <w:iCs w:val="0"/>
          <w:color w:val="auto"/>
          <w:sz w:val="32"/>
          <w:szCs w:val="32"/>
          <w:highlight w:val="none"/>
        </w:rPr>
        <w:t>月</w:t>
      </w: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r>
        <w:rPr>
          <w:rFonts w:hint="eastAsia" w:ascii="宋体" w:hAnsi="宋体" w:eastAsia="宋体" w:cs="宋体"/>
          <w:b/>
          <w:i w:val="0"/>
          <w:iCs w:val="0"/>
          <w:color w:val="auto"/>
          <w:sz w:val="36"/>
          <w:szCs w:val="36"/>
          <w:highlight w:val="none"/>
          <w:lang w:eastAsia="zh-CN"/>
        </w:rPr>
        <w:t>竞争性磋商文件</w:t>
      </w:r>
    </w:p>
    <w:p>
      <w:pPr>
        <w:spacing w:line="480" w:lineRule="exact"/>
        <w:ind w:firstLine="281" w:firstLineChars="100"/>
        <w:jc w:val="center"/>
        <w:rPr>
          <w:rFonts w:hint="eastAsia" w:ascii="宋体" w:hAnsi="宋体" w:eastAsia="宋体" w:cs="宋体"/>
          <w:b/>
          <w:i w:val="0"/>
          <w:iCs w:val="0"/>
          <w:color w:val="auto"/>
          <w:sz w:val="28"/>
          <w:szCs w:val="28"/>
          <w:highlight w:val="none"/>
        </w:rPr>
      </w:pPr>
    </w:p>
    <w:p>
      <w:pPr>
        <w:spacing w:line="480" w:lineRule="exact"/>
        <w:ind w:firstLine="281" w:firstLineChars="100"/>
        <w:jc w:val="center"/>
        <w:rPr>
          <w:rFonts w:hint="eastAsia" w:ascii="宋体" w:hAnsi="宋体" w:eastAsia="宋体" w:cs="宋体"/>
          <w:b/>
          <w:i w:val="0"/>
          <w:iCs w:val="0"/>
          <w:color w:val="auto"/>
          <w:sz w:val="36"/>
          <w:szCs w:val="36"/>
          <w:highlight w:val="none"/>
        </w:rPr>
      </w:pPr>
      <w:r>
        <w:rPr>
          <w:rFonts w:hint="eastAsia" w:ascii="宋体" w:hAnsi="宋体" w:eastAsia="宋体" w:cs="宋体"/>
          <w:b/>
          <w:i w:val="0"/>
          <w:iCs w:val="0"/>
          <w:color w:val="auto"/>
          <w:sz w:val="28"/>
          <w:szCs w:val="28"/>
          <w:highlight w:val="none"/>
        </w:rPr>
        <w:t xml:space="preserve">  </w:t>
      </w:r>
    </w:p>
    <w:p>
      <w:pPr>
        <w:spacing w:line="600" w:lineRule="exact"/>
        <w:ind w:left="1433" w:leftChars="-95" w:hanging="1632" w:hangingChars="583"/>
        <w:rPr>
          <w:rFonts w:hint="eastAsia" w:ascii="宋体" w:hAnsi="宋体" w:eastAsia="宋体" w:cs="宋体"/>
          <w:i w:val="0"/>
          <w:iCs w:val="0"/>
          <w:color w:val="auto"/>
          <w:sz w:val="28"/>
          <w:szCs w:val="28"/>
          <w:highlight w:val="none"/>
          <w:lang w:eastAsia="zh-CN"/>
        </w:rPr>
      </w:pPr>
      <w:r>
        <w:rPr>
          <w:rFonts w:hint="eastAsia" w:ascii="宋体" w:hAnsi="宋体" w:eastAsia="宋体" w:cs="宋体"/>
          <w:i w:val="0"/>
          <w:iCs w:val="0"/>
          <w:color w:val="auto"/>
          <w:sz w:val="28"/>
          <w:szCs w:val="28"/>
          <w:highlight w:val="none"/>
        </w:rPr>
        <w:t>工程名称：</w:t>
      </w:r>
      <w:r>
        <w:rPr>
          <w:rFonts w:hint="eastAsia" w:ascii="宋体" w:hAnsi="宋体" w:cs="宋体"/>
          <w:i w:val="0"/>
          <w:iCs w:val="0"/>
          <w:color w:val="auto"/>
          <w:sz w:val="28"/>
          <w:szCs w:val="28"/>
          <w:highlight w:val="none"/>
          <w:lang w:eastAsia="zh-CN"/>
        </w:rPr>
        <w:t>沙雅县城市空气质量优化配套基础工程</w:t>
      </w:r>
    </w:p>
    <w:p>
      <w:pPr>
        <w:spacing w:line="600" w:lineRule="exact"/>
        <w:ind w:left="1433" w:leftChars="-95" w:hanging="1632" w:hangingChars="583"/>
        <w:rPr>
          <w:rFonts w:hint="eastAsia" w:ascii="宋体" w:hAnsi="宋体" w:eastAsia="宋体" w:cs="宋体"/>
          <w:i w:val="0"/>
          <w:iCs w:val="0"/>
          <w:color w:val="auto"/>
          <w:sz w:val="28"/>
          <w:szCs w:val="28"/>
          <w:highlight w:val="none"/>
          <w:lang w:eastAsia="zh-CN"/>
        </w:rPr>
      </w:pPr>
      <w:r>
        <w:rPr>
          <w:rFonts w:hint="eastAsia" w:ascii="宋体" w:hAnsi="宋体" w:eastAsia="宋体" w:cs="宋体"/>
          <w:i w:val="0"/>
          <w:iCs w:val="0"/>
          <w:color w:val="auto"/>
          <w:sz w:val="28"/>
          <w:szCs w:val="28"/>
          <w:highlight w:val="none"/>
        </w:rPr>
        <w:t>招 标 人（公章）：</w:t>
      </w:r>
      <w:r>
        <w:rPr>
          <w:rFonts w:hint="eastAsia" w:ascii="宋体" w:hAnsi="宋体" w:cs="宋体"/>
          <w:i w:val="0"/>
          <w:iCs w:val="0"/>
          <w:color w:val="auto"/>
          <w:sz w:val="28"/>
          <w:szCs w:val="28"/>
          <w:highlight w:val="none"/>
          <w:lang w:eastAsia="zh-CN"/>
        </w:rPr>
        <w:t>沙雅县人工影响天气办公室</w:t>
      </w:r>
    </w:p>
    <w:p>
      <w:pPr>
        <w:spacing w:line="600" w:lineRule="exact"/>
        <w:ind w:left="1433" w:leftChars="-95" w:hanging="1632" w:hangingChars="583"/>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法定代表人（</w:t>
      </w:r>
      <w:r>
        <w:rPr>
          <w:rFonts w:hint="eastAsia" w:ascii="宋体" w:hAnsi="宋体" w:eastAsia="宋体" w:cs="宋体"/>
          <w:i w:val="0"/>
          <w:iCs w:val="0"/>
          <w:color w:val="auto"/>
          <w:sz w:val="28"/>
          <w:szCs w:val="28"/>
          <w:highlight w:val="none"/>
          <w:lang w:eastAsia="zh-CN"/>
        </w:rPr>
        <w:t>签</w:t>
      </w:r>
      <w:r>
        <w:rPr>
          <w:rFonts w:hint="eastAsia" w:ascii="宋体" w:hAnsi="宋体" w:eastAsia="宋体" w:cs="宋体"/>
          <w:i w:val="0"/>
          <w:iCs w:val="0"/>
          <w:color w:val="auto"/>
          <w:sz w:val="28"/>
          <w:szCs w:val="28"/>
          <w:highlight w:val="none"/>
        </w:rPr>
        <w:t>章）：</w:t>
      </w:r>
    </w:p>
    <w:p>
      <w:pPr>
        <w:spacing w:line="600" w:lineRule="exact"/>
        <w:ind w:left="1433" w:leftChars="-95" w:hanging="1632" w:hangingChars="583"/>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rPr>
        <w:t>联 系 人：</w:t>
      </w:r>
      <w:r>
        <w:rPr>
          <w:rFonts w:hint="eastAsia" w:ascii="宋体" w:hAnsi="宋体" w:cs="宋体"/>
          <w:i w:val="0"/>
          <w:iCs w:val="0"/>
          <w:color w:val="auto"/>
          <w:sz w:val="28"/>
          <w:szCs w:val="28"/>
          <w:highlight w:val="none"/>
          <w:lang w:val="en-US" w:eastAsia="zh-CN"/>
        </w:rPr>
        <w:t>古里巴哈</w:t>
      </w:r>
    </w:p>
    <w:p>
      <w:pPr>
        <w:spacing w:line="600" w:lineRule="exact"/>
        <w:ind w:left="1433" w:leftChars="-95" w:hanging="1632" w:hangingChars="583"/>
        <w:rPr>
          <w:rFonts w:hint="default"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rPr>
        <w:t>联系电话：</w:t>
      </w:r>
      <w:r>
        <w:rPr>
          <w:rFonts w:hint="eastAsia" w:ascii="宋体" w:hAnsi="宋体" w:cs="宋体"/>
          <w:i w:val="0"/>
          <w:iCs w:val="0"/>
          <w:color w:val="auto"/>
          <w:sz w:val="28"/>
          <w:szCs w:val="28"/>
          <w:highlight w:val="none"/>
          <w:lang w:val="en-US" w:eastAsia="zh-CN"/>
        </w:rPr>
        <w:t>13279066107</w:t>
      </w:r>
    </w:p>
    <w:p>
      <w:pPr>
        <w:spacing w:line="600" w:lineRule="exact"/>
        <w:ind w:left="1433" w:leftChars="-95" w:hanging="1632" w:hangingChars="583"/>
        <w:rPr>
          <w:rFonts w:hint="eastAsia" w:ascii="宋体" w:hAnsi="宋体" w:eastAsia="宋体" w:cs="宋体"/>
          <w:i w:val="0"/>
          <w:iCs w:val="0"/>
          <w:color w:val="auto"/>
          <w:sz w:val="28"/>
          <w:szCs w:val="28"/>
          <w:highlight w:val="none"/>
        </w:rPr>
      </w:pPr>
    </w:p>
    <w:p>
      <w:pPr>
        <w:spacing w:line="400" w:lineRule="exact"/>
        <w:ind w:left="1433" w:leftChars="-95" w:hanging="1632" w:hangingChars="583"/>
        <w:rPr>
          <w:rFonts w:hint="eastAsia" w:ascii="宋体" w:hAnsi="宋体" w:eastAsia="宋体" w:cs="宋体"/>
          <w:i w:val="0"/>
          <w:iCs w:val="0"/>
          <w:color w:val="auto"/>
          <w:sz w:val="28"/>
          <w:szCs w:val="28"/>
          <w:highlight w:val="none"/>
        </w:rPr>
      </w:pPr>
    </w:p>
    <w:p>
      <w:pPr>
        <w:spacing w:line="400" w:lineRule="exact"/>
        <w:ind w:left="1433" w:leftChars="-95" w:hanging="1632" w:hangingChars="583"/>
        <w:rPr>
          <w:rFonts w:hint="eastAsia" w:ascii="宋体" w:hAnsi="宋体" w:eastAsia="宋体" w:cs="宋体"/>
          <w:i w:val="0"/>
          <w:iCs w:val="0"/>
          <w:color w:val="auto"/>
          <w:sz w:val="28"/>
          <w:szCs w:val="28"/>
          <w:highlight w:val="none"/>
        </w:rPr>
      </w:pPr>
    </w:p>
    <w:p>
      <w:pPr>
        <w:spacing w:line="400" w:lineRule="exact"/>
        <w:ind w:left="1433" w:leftChars="-95" w:hanging="1632" w:hangingChars="583"/>
        <w:rPr>
          <w:rFonts w:hint="eastAsia" w:ascii="宋体" w:hAnsi="宋体" w:eastAsia="宋体" w:cs="宋体"/>
          <w:i w:val="0"/>
          <w:iCs w:val="0"/>
          <w:color w:val="auto"/>
          <w:sz w:val="28"/>
          <w:szCs w:val="28"/>
          <w:highlight w:val="none"/>
        </w:rPr>
      </w:pPr>
    </w:p>
    <w:p>
      <w:pPr>
        <w:spacing w:line="600" w:lineRule="exact"/>
        <w:ind w:left="1433" w:leftChars="-95" w:hanging="1632" w:hangingChars="583"/>
        <w:rPr>
          <w:rFonts w:hint="eastAsia" w:ascii="宋体" w:hAnsi="宋体" w:eastAsia="宋体" w:cs="宋体"/>
          <w:i w:val="0"/>
          <w:iCs w:val="0"/>
          <w:color w:val="auto"/>
          <w:sz w:val="28"/>
          <w:szCs w:val="28"/>
          <w:highlight w:val="none"/>
        </w:rPr>
      </w:pPr>
    </w:p>
    <w:p>
      <w:pPr>
        <w:spacing w:line="600" w:lineRule="exact"/>
        <w:ind w:left="1433" w:leftChars="-95" w:hanging="1632" w:hangingChars="583"/>
        <w:rPr>
          <w:rFonts w:hint="eastAsia" w:ascii="宋体" w:hAnsi="宋体" w:eastAsia="宋体" w:cs="宋体"/>
          <w:i w:val="0"/>
          <w:iCs w:val="0"/>
          <w:color w:val="auto"/>
          <w:sz w:val="28"/>
          <w:szCs w:val="28"/>
          <w:highlight w:val="none"/>
          <w:lang w:eastAsia="zh-CN"/>
        </w:rPr>
      </w:pPr>
      <w:r>
        <w:rPr>
          <w:rFonts w:hint="eastAsia" w:ascii="宋体" w:hAnsi="宋体" w:eastAsia="宋体" w:cs="宋体"/>
          <w:i w:val="0"/>
          <w:iCs w:val="0"/>
          <w:color w:val="auto"/>
          <w:sz w:val="28"/>
          <w:szCs w:val="28"/>
          <w:highlight w:val="none"/>
        </w:rPr>
        <w:t>招标代理机构（公章）：新疆希林森建设项目管理有限公司</w:t>
      </w:r>
    </w:p>
    <w:p>
      <w:pPr>
        <w:spacing w:line="600" w:lineRule="exact"/>
        <w:ind w:left="1433" w:leftChars="-95" w:hanging="1632" w:hangingChars="583"/>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法定代表人（</w:t>
      </w:r>
      <w:r>
        <w:rPr>
          <w:rFonts w:hint="eastAsia" w:ascii="宋体" w:hAnsi="宋体" w:eastAsia="宋体" w:cs="宋体"/>
          <w:i w:val="0"/>
          <w:iCs w:val="0"/>
          <w:color w:val="auto"/>
          <w:sz w:val="28"/>
          <w:szCs w:val="28"/>
          <w:highlight w:val="none"/>
          <w:lang w:eastAsia="zh-CN"/>
        </w:rPr>
        <w:t>签</w:t>
      </w:r>
      <w:r>
        <w:rPr>
          <w:rFonts w:hint="eastAsia" w:ascii="宋体" w:hAnsi="宋体" w:eastAsia="宋体" w:cs="宋体"/>
          <w:i w:val="0"/>
          <w:iCs w:val="0"/>
          <w:color w:val="auto"/>
          <w:sz w:val="28"/>
          <w:szCs w:val="28"/>
          <w:highlight w:val="none"/>
        </w:rPr>
        <w:t xml:space="preserve">章）： </w:t>
      </w:r>
    </w:p>
    <w:p>
      <w:pPr>
        <w:spacing w:line="600" w:lineRule="exact"/>
        <w:ind w:left="1433" w:leftChars="-95" w:hanging="1632" w:hangingChars="583"/>
        <w:rPr>
          <w:rFonts w:hint="eastAsia" w:ascii="宋体" w:hAnsi="宋体" w:eastAsia="宋体" w:cs="宋体"/>
          <w:i w:val="0"/>
          <w:iCs w:val="0"/>
          <w:color w:val="auto"/>
          <w:sz w:val="28"/>
          <w:szCs w:val="28"/>
          <w:highlight w:val="none"/>
          <w:lang w:eastAsia="zh-CN"/>
        </w:rPr>
      </w:pPr>
      <w:r>
        <w:rPr>
          <w:rFonts w:hint="eastAsia" w:ascii="宋体" w:hAnsi="宋体" w:eastAsia="宋体" w:cs="宋体"/>
          <w:i w:val="0"/>
          <w:iCs w:val="0"/>
          <w:color w:val="auto"/>
          <w:sz w:val="28"/>
          <w:szCs w:val="28"/>
          <w:highlight w:val="none"/>
        </w:rPr>
        <w:t>联 系 人：</w:t>
      </w:r>
      <w:r>
        <w:rPr>
          <w:rFonts w:hint="eastAsia" w:ascii="宋体" w:hAnsi="宋体" w:cs="宋体"/>
          <w:i w:val="0"/>
          <w:iCs w:val="0"/>
          <w:color w:val="auto"/>
          <w:sz w:val="28"/>
          <w:szCs w:val="28"/>
          <w:highlight w:val="none"/>
          <w:lang w:val="en-US" w:eastAsia="zh-CN"/>
        </w:rPr>
        <w:t>蒋丹丹</w:t>
      </w:r>
    </w:p>
    <w:p>
      <w:pPr>
        <w:spacing w:line="600" w:lineRule="exact"/>
        <w:ind w:left="1433" w:leftChars="-95" w:hanging="1632" w:hangingChars="583"/>
        <w:rPr>
          <w:rFonts w:hint="default" w:ascii="宋体" w:hAnsi="宋体" w:eastAsia="宋体" w:cs="宋体"/>
          <w:i w:val="0"/>
          <w:iCs w:val="0"/>
          <w:color w:val="auto"/>
          <w:sz w:val="28"/>
          <w:szCs w:val="28"/>
          <w:highlight w:val="none"/>
          <w:lang w:val="en-US"/>
        </w:rPr>
      </w:pPr>
      <w:r>
        <w:rPr>
          <w:rFonts w:hint="eastAsia" w:ascii="宋体" w:hAnsi="宋体" w:eastAsia="宋体" w:cs="宋体"/>
          <w:i w:val="0"/>
          <w:iCs w:val="0"/>
          <w:color w:val="auto"/>
          <w:sz w:val="28"/>
          <w:szCs w:val="28"/>
          <w:highlight w:val="none"/>
        </w:rPr>
        <w:t>电    话：</w:t>
      </w:r>
      <w:r>
        <w:rPr>
          <w:rFonts w:hint="eastAsia" w:ascii="宋体" w:hAnsi="宋体" w:cs="宋体"/>
          <w:i w:val="0"/>
          <w:iCs w:val="0"/>
          <w:color w:val="auto"/>
          <w:sz w:val="28"/>
          <w:szCs w:val="28"/>
          <w:highlight w:val="none"/>
          <w:lang w:val="en-US" w:eastAsia="zh-CN"/>
        </w:rPr>
        <w:t>15199201462</w:t>
      </w:r>
    </w:p>
    <w:p>
      <w:pPr>
        <w:spacing w:line="600" w:lineRule="exact"/>
        <w:ind w:left="1433" w:leftChars="-95" w:hanging="1632" w:hangingChars="583"/>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rPr>
        <w:t>联系地址：新疆阿克苏地区库车市东城街道长安社区幸福路65号开发区企业公馆A座207室</w:t>
      </w:r>
      <w:r>
        <w:rPr>
          <w:rFonts w:hint="eastAsia" w:ascii="宋体" w:hAnsi="宋体" w:eastAsia="宋体" w:cs="宋体"/>
          <w:i w:val="0"/>
          <w:iCs w:val="0"/>
          <w:color w:val="auto"/>
          <w:sz w:val="28"/>
          <w:szCs w:val="28"/>
          <w:highlight w:val="none"/>
          <w:lang w:val="en-US" w:eastAsia="zh-CN"/>
        </w:rPr>
        <w:t xml:space="preserve">  </w:t>
      </w:r>
    </w:p>
    <w:p>
      <w:pPr>
        <w:spacing w:line="600" w:lineRule="exact"/>
        <w:ind w:left="1433" w:leftChars="-95" w:hanging="1632" w:hangingChars="583"/>
        <w:rPr>
          <w:rFonts w:hint="eastAsia" w:ascii="宋体" w:hAnsi="宋体" w:eastAsia="宋体" w:cs="宋体"/>
          <w:i w:val="0"/>
          <w:iCs w:val="0"/>
          <w:color w:val="auto"/>
          <w:sz w:val="28"/>
          <w:szCs w:val="28"/>
          <w:highlight w:val="none"/>
        </w:rPr>
      </w:pPr>
    </w:p>
    <w:p>
      <w:pPr>
        <w:spacing w:line="500" w:lineRule="exact"/>
        <w:ind w:left="1440" w:leftChars="-95" w:hanging="1639" w:hangingChars="583"/>
        <w:rPr>
          <w:rFonts w:hint="eastAsia" w:ascii="宋体" w:hAnsi="宋体" w:eastAsia="宋体" w:cs="宋体"/>
          <w:b/>
          <w:i w:val="0"/>
          <w:iCs w:val="0"/>
          <w:color w:val="auto"/>
          <w:sz w:val="28"/>
          <w:szCs w:val="28"/>
          <w:highlight w:val="none"/>
        </w:rPr>
      </w:pPr>
    </w:p>
    <w:p>
      <w:pPr>
        <w:ind w:left="1433" w:leftChars="-95" w:hanging="1632" w:hangingChars="583"/>
        <w:rPr>
          <w:rFonts w:hint="eastAsia" w:ascii="宋体" w:hAnsi="宋体" w:eastAsia="宋体" w:cs="宋体"/>
          <w:i w:val="0"/>
          <w:iCs w:val="0"/>
          <w:color w:val="auto"/>
          <w:sz w:val="28"/>
          <w:szCs w:val="28"/>
          <w:highlight w:val="none"/>
        </w:rPr>
      </w:pPr>
    </w:p>
    <w:p>
      <w:pPr>
        <w:jc w:val="center"/>
        <w:rPr>
          <w:rFonts w:hint="eastAsia" w:ascii="宋体" w:hAnsi="宋体" w:eastAsia="宋体" w:cs="宋体"/>
          <w:b/>
          <w:i w:val="0"/>
          <w:iCs w:val="0"/>
          <w:color w:val="auto"/>
          <w:sz w:val="48"/>
          <w:szCs w:val="48"/>
          <w:highlight w:val="none"/>
        </w:rPr>
      </w:pPr>
    </w:p>
    <w:p>
      <w:pPr>
        <w:jc w:val="center"/>
        <w:rPr>
          <w:rFonts w:hint="eastAsia" w:ascii="宋体" w:hAnsi="宋体" w:eastAsia="宋体" w:cs="宋体"/>
          <w:i w:val="0"/>
          <w:iCs w:val="0"/>
          <w:color w:val="auto"/>
          <w:sz w:val="32"/>
          <w:szCs w:val="32"/>
          <w:highlight w:val="none"/>
        </w:rPr>
      </w:pPr>
      <w:r>
        <w:rPr>
          <w:rFonts w:hint="eastAsia" w:ascii="宋体" w:hAnsi="宋体" w:eastAsia="宋体" w:cs="宋体"/>
          <w:i w:val="0"/>
          <w:iCs w:val="0"/>
          <w:color w:val="auto"/>
          <w:sz w:val="32"/>
          <w:szCs w:val="32"/>
          <w:highlight w:val="none"/>
        </w:rPr>
        <w:t>二0二</w:t>
      </w:r>
      <w:r>
        <w:rPr>
          <w:rFonts w:hint="eastAsia" w:ascii="宋体" w:hAnsi="宋体" w:eastAsia="宋体" w:cs="宋体"/>
          <w:i w:val="0"/>
          <w:iCs w:val="0"/>
          <w:color w:val="auto"/>
          <w:sz w:val="32"/>
          <w:szCs w:val="32"/>
          <w:highlight w:val="none"/>
          <w:lang w:eastAsia="zh-CN"/>
        </w:rPr>
        <w:t>三</w:t>
      </w:r>
      <w:r>
        <w:rPr>
          <w:rFonts w:hint="eastAsia" w:ascii="宋体" w:hAnsi="宋体" w:eastAsia="宋体" w:cs="宋体"/>
          <w:i w:val="0"/>
          <w:iCs w:val="0"/>
          <w:color w:val="auto"/>
          <w:sz w:val="32"/>
          <w:szCs w:val="32"/>
          <w:highlight w:val="none"/>
        </w:rPr>
        <w:t>年</w:t>
      </w:r>
      <w:r>
        <w:rPr>
          <w:rFonts w:hint="eastAsia" w:ascii="宋体" w:hAnsi="宋体" w:cs="宋体"/>
          <w:i w:val="0"/>
          <w:iCs w:val="0"/>
          <w:color w:val="auto"/>
          <w:sz w:val="32"/>
          <w:szCs w:val="32"/>
          <w:highlight w:val="none"/>
          <w:lang w:val="en-US" w:eastAsia="zh-CN"/>
        </w:rPr>
        <w:t>十</w:t>
      </w:r>
      <w:r>
        <w:rPr>
          <w:rFonts w:hint="eastAsia" w:ascii="宋体" w:hAnsi="宋体" w:eastAsia="宋体" w:cs="宋体"/>
          <w:i w:val="0"/>
          <w:iCs w:val="0"/>
          <w:color w:val="auto"/>
          <w:sz w:val="32"/>
          <w:szCs w:val="32"/>
          <w:highlight w:val="none"/>
        </w:rPr>
        <w:t>月</w:t>
      </w:r>
    </w:p>
    <w:p>
      <w:pPr>
        <w:jc w:val="center"/>
        <w:rPr>
          <w:rFonts w:hint="eastAsia" w:ascii="宋体" w:hAnsi="宋体" w:eastAsia="宋体" w:cs="宋体"/>
          <w:i w:val="0"/>
          <w:iCs w:val="0"/>
          <w:color w:val="auto"/>
          <w:sz w:val="32"/>
          <w:szCs w:val="32"/>
          <w:highlight w:val="none"/>
        </w:rPr>
      </w:pPr>
    </w:p>
    <w:p>
      <w:pPr>
        <w:jc w:val="both"/>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r>
        <w:rPr>
          <w:rFonts w:hint="eastAsia" w:ascii="宋体" w:hAnsi="宋体" w:eastAsia="宋体" w:cs="宋体"/>
          <w:i w:val="0"/>
          <w:iCs w:val="0"/>
          <w:color w:val="auto"/>
          <w:sz w:val="32"/>
          <w:szCs w:val="32"/>
          <w:highlight w:val="none"/>
        </w:rPr>
        <w:t>目  录</w:t>
      </w:r>
    </w:p>
    <w:p>
      <w:pPr>
        <w:pStyle w:val="15"/>
        <w:tabs>
          <w:tab w:val="right" w:leader="dot" w:pos="8959"/>
        </w:tabs>
        <w:spacing w:line="360" w:lineRule="auto"/>
        <w:rPr>
          <w:color w:val="auto"/>
          <w:sz w:val="32"/>
          <w:szCs w:val="32"/>
          <w:highlight w:val="none"/>
        </w:rPr>
      </w:pPr>
      <w:r>
        <w:rPr>
          <w:rFonts w:hint="eastAsia" w:ascii="宋体" w:hAnsi="宋体" w:eastAsia="宋体" w:cs="宋体"/>
          <w:b/>
          <w:i w:val="0"/>
          <w:iCs w:val="0"/>
          <w:color w:val="auto"/>
          <w:sz w:val="32"/>
          <w:szCs w:val="32"/>
          <w:highlight w:val="none"/>
        </w:rPr>
        <w:fldChar w:fldCharType="begin"/>
      </w:r>
      <w:r>
        <w:rPr>
          <w:rFonts w:hint="eastAsia" w:ascii="宋体" w:hAnsi="宋体" w:eastAsia="宋体" w:cs="宋体"/>
          <w:b/>
          <w:i w:val="0"/>
          <w:iCs w:val="0"/>
          <w:color w:val="auto"/>
          <w:sz w:val="32"/>
          <w:szCs w:val="32"/>
          <w:highlight w:val="none"/>
        </w:rPr>
        <w:instrText xml:space="preserve">TOC \o "1-1" \h \u </w:instrText>
      </w:r>
      <w:r>
        <w:rPr>
          <w:rFonts w:hint="eastAsia" w:ascii="宋体" w:hAnsi="宋体" w:eastAsia="宋体" w:cs="宋体"/>
          <w:b/>
          <w:i w:val="0"/>
          <w:iCs w:val="0"/>
          <w:color w:val="auto"/>
          <w:sz w:val="32"/>
          <w:szCs w:val="32"/>
          <w:highlight w:val="none"/>
        </w:rPr>
        <w:fldChar w:fldCharType="separate"/>
      </w:r>
      <w:r>
        <w:rPr>
          <w:rFonts w:hint="eastAsia" w:ascii="宋体" w:hAnsi="宋体" w:eastAsia="宋体" w:cs="宋体"/>
          <w:i w:val="0"/>
          <w:iCs w:val="0"/>
          <w:color w:val="auto"/>
          <w:sz w:val="32"/>
          <w:szCs w:val="32"/>
          <w:highlight w:val="none"/>
        </w:rPr>
        <w:fldChar w:fldCharType="begin"/>
      </w:r>
      <w:r>
        <w:rPr>
          <w:rFonts w:hint="eastAsia" w:ascii="宋体" w:hAnsi="宋体" w:eastAsia="宋体" w:cs="宋体"/>
          <w:i w:val="0"/>
          <w:iCs w:val="0"/>
          <w:color w:val="auto"/>
          <w:sz w:val="32"/>
          <w:szCs w:val="32"/>
          <w:highlight w:val="none"/>
        </w:rPr>
        <w:instrText xml:space="preserve"> HYPERLINK \l _Toc27597 </w:instrText>
      </w:r>
      <w:r>
        <w:rPr>
          <w:rFonts w:hint="eastAsia" w:ascii="宋体" w:hAnsi="宋体" w:eastAsia="宋体" w:cs="宋体"/>
          <w:i w:val="0"/>
          <w:iCs w:val="0"/>
          <w:color w:val="auto"/>
          <w:sz w:val="32"/>
          <w:szCs w:val="32"/>
          <w:highlight w:val="none"/>
        </w:rPr>
        <w:fldChar w:fldCharType="separate"/>
      </w:r>
      <w:r>
        <w:rPr>
          <w:rFonts w:hint="eastAsia"/>
          <w:color w:val="auto"/>
          <w:sz w:val="32"/>
          <w:szCs w:val="32"/>
          <w:highlight w:val="none"/>
        </w:rPr>
        <w:t>第一章  招标公告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_Toc27597 </w:instrText>
      </w:r>
      <w:r>
        <w:rPr>
          <w:color w:val="auto"/>
          <w:sz w:val="32"/>
          <w:szCs w:val="32"/>
          <w:highlight w:val="none"/>
        </w:rPr>
        <w:fldChar w:fldCharType="separate"/>
      </w:r>
      <w:r>
        <w:rPr>
          <w:color w:val="auto"/>
          <w:sz w:val="32"/>
          <w:szCs w:val="32"/>
          <w:highlight w:val="none"/>
        </w:rPr>
        <w:t>1</w:t>
      </w:r>
      <w:r>
        <w:rPr>
          <w:color w:val="auto"/>
          <w:sz w:val="32"/>
          <w:szCs w:val="32"/>
          <w:highlight w:val="none"/>
        </w:rPr>
        <w:fldChar w:fldCharType="end"/>
      </w:r>
      <w:r>
        <w:rPr>
          <w:rFonts w:hint="eastAsia" w:ascii="宋体" w:hAnsi="宋体" w:eastAsia="宋体" w:cs="宋体"/>
          <w:i w:val="0"/>
          <w:iCs w:val="0"/>
          <w:color w:val="auto"/>
          <w:sz w:val="32"/>
          <w:szCs w:val="32"/>
          <w:highlight w:val="none"/>
        </w:rPr>
        <w:fldChar w:fldCharType="end"/>
      </w:r>
    </w:p>
    <w:p>
      <w:pPr>
        <w:pStyle w:val="15"/>
        <w:tabs>
          <w:tab w:val="right" w:leader="dot" w:pos="8959"/>
        </w:tabs>
        <w:spacing w:line="360" w:lineRule="auto"/>
        <w:rPr>
          <w:color w:val="auto"/>
          <w:sz w:val="32"/>
          <w:szCs w:val="32"/>
          <w:highlight w:val="none"/>
        </w:rPr>
      </w:pPr>
      <w:r>
        <w:rPr>
          <w:rFonts w:hint="eastAsia" w:ascii="宋体" w:hAnsi="宋体" w:eastAsia="宋体" w:cs="宋体"/>
          <w:i w:val="0"/>
          <w:iCs w:val="0"/>
          <w:color w:val="auto"/>
          <w:sz w:val="32"/>
          <w:szCs w:val="32"/>
          <w:highlight w:val="none"/>
        </w:rPr>
        <w:fldChar w:fldCharType="begin"/>
      </w:r>
      <w:r>
        <w:rPr>
          <w:rFonts w:hint="eastAsia" w:ascii="宋体" w:hAnsi="宋体" w:eastAsia="宋体" w:cs="宋体"/>
          <w:i w:val="0"/>
          <w:iCs w:val="0"/>
          <w:color w:val="auto"/>
          <w:sz w:val="32"/>
          <w:szCs w:val="32"/>
          <w:highlight w:val="none"/>
        </w:rPr>
        <w:instrText xml:space="preserve"> HYPERLINK \l _Toc21246 </w:instrText>
      </w:r>
      <w:r>
        <w:rPr>
          <w:rFonts w:hint="eastAsia" w:ascii="宋体" w:hAnsi="宋体" w:eastAsia="宋体" w:cs="宋体"/>
          <w:i w:val="0"/>
          <w:iCs w:val="0"/>
          <w:color w:val="auto"/>
          <w:sz w:val="32"/>
          <w:szCs w:val="32"/>
          <w:highlight w:val="none"/>
        </w:rPr>
        <w:fldChar w:fldCharType="separate"/>
      </w:r>
      <w:r>
        <w:rPr>
          <w:rFonts w:hint="eastAsia"/>
          <w:color w:val="auto"/>
          <w:sz w:val="32"/>
          <w:szCs w:val="32"/>
          <w:highlight w:val="none"/>
        </w:rPr>
        <w:t>第二章  投标人须知</w:t>
      </w:r>
      <w:r>
        <w:rPr>
          <w:color w:val="auto"/>
          <w:sz w:val="32"/>
          <w:szCs w:val="32"/>
          <w:highlight w:val="none"/>
        </w:rPr>
        <w:tab/>
      </w:r>
      <w:r>
        <w:rPr>
          <w:rFonts w:hint="eastAsia"/>
          <w:color w:val="auto"/>
          <w:sz w:val="32"/>
          <w:szCs w:val="32"/>
          <w:highlight w:val="none"/>
          <w:lang w:val="en-US" w:eastAsia="zh-CN"/>
        </w:rPr>
        <w:t>5</w:t>
      </w:r>
      <w:r>
        <w:rPr>
          <w:rFonts w:hint="eastAsia" w:ascii="宋体" w:hAnsi="宋体" w:eastAsia="宋体" w:cs="宋体"/>
          <w:i w:val="0"/>
          <w:iCs w:val="0"/>
          <w:color w:val="auto"/>
          <w:sz w:val="32"/>
          <w:szCs w:val="32"/>
          <w:highlight w:val="none"/>
        </w:rPr>
        <w:fldChar w:fldCharType="end"/>
      </w:r>
    </w:p>
    <w:p>
      <w:pPr>
        <w:pStyle w:val="15"/>
        <w:tabs>
          <w:tab w:val="right" w:leader="dot" w:pos="8959"/>
        </w:tabs>
        <w:spacing w:line="360" w:lineRule="auto"/>
        <w:rPr>
          <w:rFonts w:hint="eastAsia" w:eastAsia="宋体"/>
          <w:color w:val="auto"/>
          <w:sz w:val="32"/>
          <w:szCs w:val="32"/>
          <w:highlight w:val="none"/>
          <w:lang w:val="en-US" w:eastAsia="zh-CN"/>
        </w:rPr>
      </w:pPr>
      <w:r>
        <w:rPr>
          <w:rFonts w:hint="eastAsia" w:ascii="宋体" w:hAnsi="宋体" w:eastAsia="宋体" w:cs="宋体"/>
          <w:i w:val="0"/>
          <w:iCs w:val="0"/>
          <w:color w:val="auto"/>
          <w:sz w:val="32"/>
          <w:szCs w:val="32"/>
          <w:highlight w:val="none"/>
        </w:rPr>
        <w:fldChar w:fldCharType="begin"/>
      </w:r>
      <w:r>
        <w:rPr>
          <w:rFonts w:hint="eastAsia" w:ascii="宋体" w:hAnsi="宋体" w:eastAsia="宋体" w:cs="宋体"/>
          <w:i w:val="0"/>
          <w:iCs w:val="0"/>
          <w:color w:val="auto"/>
          <w:sz w:val="32"/>
          <w:szCs w:val="32"/>
          <w:highlight w:val="none"/>
        </w:rPr>
        <w:instrText xml:space="preserve"> HYPERLINK \l _Toc21310 </w:instrText>
      </w:r>
      <w:r>
        <w:rPr>
          <w:rFonts w:hint="eastAsia" w:ascii="宋体" w:hAnsi="宋体" w:eastAsia="宋体" w:cs="宋体"/>
          <w:i w:val="0"/>
          <w:iCs w:val="0"/>
          <w:color w:val="auto"/>
          <w:sz w:val="32"/>
          <w:szCs w:val="32"/>
          <w:highlight w:val="none"/>
        </w:rPr>
        <w:fldChar w:fldCharType="separate"/>
      </w:r>
      <w:r>
        <w:rPr>
          <w:rFonts w:hint="eastAsia"/>
          <w:color w:val="auto"/>
          <w:sz w:val="32"/>
          <w:szCs w:val="32"/>
          <w:highlight w:val="none"/>
        </w:rPr>
        <w:t>第</w:t>
      </w:r>
      <w:r>
        <w:rPr>
          <w:rFonts w:hint="eastAsia"/>
          <w:color w:val="auto"/>
          <w:sz w:val="32"/>
          <w:szCs w:val="32"/>
          <w:highlight w:val="none"/>
          <w:lang w:val="en-US" w:eastAsia="zh-CN"/>
        </w:rPr>
        <w:t>三</w:t>
      </w:r>
      <w:r>
        <w:rPr>
          <w:rFonts w:hint="eastAsia"/>
          <w:color w:val="auto"/>
          <w:sz w:val="32"/>
          <w:szCs w:val="32"/>
          <w:highlight w:val="none"/>
          <w:lang w:eastAsia="zh-CN"/>
        </w:rPr>
        <w:t>章</w:t>
      </w:r>
      <w:r>
        <w:rPr>
          <w:rFonts w:hint="eastAsia"/>
          <w:color w:val="auto"/>
          <w:sz w:val="32"/>
          <w:szCs w:val="32"/>
          <w:highlight w:val="none"/>
          <w:lang w:val="en-US" w:eastAsia="zh-CN"/>
        </w:rPr>
        <w:t xml:space="preserve">  </w:t>
      </w:r>
      <w:r>
        <w:rPr>
          <w:rFonts w:hint="eastAsia"/>
          <w:color w:val="auto"/>
          <w:sz w:val="32"/>
          <w:szCs w:val="32"/>
          <w:highlight w:val="none"/>
        </w:rPr>
        <w:t>招标书</w:t>
      </w:r>
      <w:r>
        <w:rPr>
          <w:color w:val="auto"/>
          <w:sz w:val="32"/>
          <w:szCs w:val="32"/>
          <w:highlight w:val="none"/>
        </w:rPr>
        <w:tab/>
      </w:r>
      <w:r>
        <w:rPr>
          <w:rFonts w:hint="eastAsia"/>
          <w:color w:val="auto"/>
          <w:sz w:val="32"/>
          <w:szCs w:val="32"/>
          <w:highlight w:val="none"/>
          <w:lang w:val="en-US" w:eastAsia="zh-CN"/>
        </w:rPr>
        <w:t>1</w:t>
      </w:r>
      <w:r>
        <w:rPr>
          <w:rFonts w:hint="eastAsia" w:ascii="宋体" w:hAnsi="宋体" w:eastAsia="宋体" w:cs="宋体"/>
          <w:i w:val="0"/>
          <w:iCs w:val="0"/>
          <w:color w:val="auto"/>
          <w:sz w:val="32"/>
          <w:szCs w:val="32"/>
          <w:highlight w:val="none"/>
        </w:rPr>
        <w:fldChar w:fldCharType="end"/>
      </w:r>
      <w:r>
        <w:rPr>
          <w:rFonts w:hint="eastAsia" w:ascii="宋体" w:hAnsi="宋体" w:eastAsia="宋体" w:cs="宋体"/>
          <w:i w:val="0"/>
          <w:iCs w:val="0"/>
          <w:color w:val="auto"/>
          <w:sz w:val="32"/>
          <w:szCs w:val="32"/>
          <w:highlight w:val="none"/>
          <w:lang w:val="en-US" w:eastAsia="zh-CN"/>
        </w:rPr>
        <w:t>1</w:t>
      </w:r>
    </w:p>
    <w:p>
      <w:pPr>
        <w:pStyle w:val="15"/>
        <w:tabs>
          <w:tab w:val="right" w:leader="dot" w:pos="8959"/>
        </w:tabs>
        <w:spacing w:line="360" w:lineRule="auto"/>
        <w:rPr>
          <w:rFonts w:hint="eastAsia" w:ascii="宋体" w:hAnsi="宋体" w:eastAsia="宋体" w:cs="宋体"/>
          <w:i w:val="0"/>
          <w:iCs w:val="0"/>
          <w:color w:val="auto"/>
          <w:sz w:val="32"/>
          <w:szCs w:val="32"/>
          <w:highlight w:val="none"/>
          <w:lang w:val="en-US" w:eastAsia="zh-CN"/>
        </w:rPr>
      </w:pPr>
      <w:r>
        <w:rPr>
          <w:rFonts w:hint="eastAsia" w:ascii="宋体" w:hAnsi="宋体" w:eastAsia="宋体" w:cs="宋体"/>
          <w:i w:val="0"/>
          <w:iCs w:val="0"/>
          <w:color w:val="auto"/>
          <w:sz w:val="32"/>
          <w:szCs w:val="32"/>
          <w:highlight w:val="none"/>
        </w:rPr>
        <w:fldChar w:fldCharType="begin"/>
      </w:r>
      <w:r>
        <w:rPr>
          <w:rFonts w:hint="eastAsia" w:ascii="宋体" w:hAnsi="宋体" w:eastAsia="宋体" w:cs="宋体"/>
          <w:i w:val="0"/>
          <w:iCs w:val="0"/>
          <w:color w:val="auto"/>
          <w:sz w:val="32"/>
          <w:szCs w:val="32"/>
          <w:highlight w:val="none"/>
        </w:rPr>
        <w:instrText xml:space="preserve"> HYPERLINK \l _Toc22965 </w:instrText>
      </w:r>
      <w:r>
        <w:rPr>
          <w:rFonts w:hint="eastAsia" w:ascii="宋体" w:hAnsi="宋体" w:eastAsia="宋体" w:cs="宋体"/>
          <w:i w:val="0"/>
          <w:iCs w:val="0"/>
          <w:color w:val="auto"/>
          <w:sz w:val="32"/>
          <w:szCs w:val="32"/>
          <w:highlight w:val="none"/>
        </w:rPr>
        <w:fldChar w:fldCharType="separate"/>
      </w:r>
      <w:r>
        <w:rPr>
          <w:rFonts w:hint="eastAsia"/>
          <w:color w:val="auto"/>
          <w:sz w:val="32"/>
          <w:szCs w:val="32"/>
          <w:highlight w:val="none"/>
        </w:rPr>
        <w:t>第</w:t>
      </w:r>
      <w:r>
        <w:rPr>
          <w:rFonts w:hint="eastAsia"/>
          <w:color w:val="auto"/>
          <w:sz w:val="32"/>
          <w:szCs w:val="32"/>
          <w:highlight w:val="none"/>
          <w:lang w:eastAsia="zh-CN"/>
        </w:rPr>
        <w:t>四章</w:t>
      </w:r>
      <w:r>
        <w:rPr>
          <w:rFonts w:hint="eastAsia"/>
          <w:color w:val="auto"/>
          <w:sz w:val="32"/>
          <w:szCs w:val="32"/>
          <w:highlight w:val="none"/>
        </w:rPr>
        <w:t xml:space="preserve">  合同主要条款</w:t>
      </w:r>
      <w:r>
        <w:rPr>
          <w:color w:val="auto"/>
          <w:sz w:val="32"/>
          <w:szCs w:val="32"/>
          <w:highlight w:val="none"/>
        </w:rPr>
        <w:tab/>
      </w:r>
      <w:r>
        <w:rPr>
          <w:rFonts w:hint="eastAsia"/>
          <w:color w:val="auto"/>
          <w:sz w:val="32"/>
          <w:szCs w:val="32"/>
          <w:highlight w:val="none"/>
          <w:lang w:val="en-US" w:eastAsia="zh-CN"/>
        </w:rPr>
        <w:t>2</w:t>
      </w:r>
      <w:r>
        <w:rPr>
          <w:rFonts w:hint="eastAsia" w:ascii="宋体" w:hAnsi="宋体" w:eastAsia="宋体" w:cs="宋体"/>
          <w:i w:val="0"/>
          <w:iCs w:val="0"/>
          <w:color w:val="auto"/>
          <w:sz w:val="32"/>
          <w:szCs w:val="32"/>
          <w:highlight w:val="none"/>
        </w:rPr>
        <w:fldChar w:fldCharType="end"/>
      </w:r>
      <w:r>
        <w:rPr>
          <w:rFonts w:hint="eastAsia" w:ascii="宋体" w:hAnsi="宋体" w:eastAsia="宋体" w:cs="宋体"/>
          <w:i w:val="0"/>
          <w:iCs w:val="0"/>
          <w:color w:val="auto"/>
          <w:sz w:val="32"/>
          <w:szCs w:val="32"/>
          <w:highlight w:val="none"/>
          <w:lang w:val="en-US" w:eastAsia="zh-CN"/>
        </w:rPr>
        <w:t>9</w:t>
      </w:r>
    </w:p>
    <w:p>
      <w:pPr>
        <w:rPr>
          <w:rFonts w:hint="default" w:ascii="宋体" w:hAnsi="宋体" w:eastAsia="宋体" w:cs="宋体"/>
          <w:i w:val="0"/>
          <w:iCs w:val="0"/>
          <w:color w:val="auto"/>
          <w:sz w:val="32"/>
          <w:szCs w:val="32"/>
          <w:highlight w:val="none"/>
          <w:lang w:val="en-US" w:eastAsia="zh-CN"/>
        </w:rPr>
      </w:pPr>
      <w:r>
        <w:rPr>
          <w:rFonts w:hint="eastAsia" w:ascii="宋体" w:hAnsi="宋体" w:eastAsia="宋体" w:cs="宋体"/>
          <w:i w:val="0"/>
          <w:iCs w:val="0"/>
          <w:color w:val="auto"/>
          <w:sz w:val="32"/>
          <w:szCs w:val="32"/>
          <w:highlight w:val="none"/>
          <w:lang w:val="en-US" w:eastAsia="zh-CN"/>
        </w:rPr>
        <w:t>第五章  采购</w:t>
      </w:r>
      <w:r>
        <w:rPr>
          <w:rFonts w:hint="eastAsia" w:ascii="宋体" w:hAnsi="宋体" w:cs="宋体"/>
          <w:i w:val="0"/>
          <w:iCs w:val="0"/>
          <w:color w:val="auto"/>
          <w:sz w:val="32"/>
          <w:szCs w:val="32"/>
          <w:highlight w:val="none"/>
          <w:lang w:val="en-US" w:eastAsia="zh-CN"/>
        </w:rPr>
        <w:t>需求</w:t>
      </w:r>
      <w:r>
        <w:rPr>
          <w:rFonts w:hint="eastAsia" w:eastAsia="宋体"/>
          <w:color w:val="auto"/>
          <w:sz w:val="32"/>
          <w:szCs w:val="32"/>
          <w:highlight w:val="none"/>
          <w:lang w:val="en-US" w:eastAsia="zh-CN"/>
        </w:rPr>
        <w:t>...........................................................................30</w:t>
      </w:r>
    </w:p>
    <w:p>
      <w:pPr>
        <w:pStyle w:val="8"/>
        <w:rPr>
          <w:rFonts w:hint="default"/>
          <w:color w:val="auto"/>
          <w:lang w:val="en-US" w:eastAsia="zh-CN"/>
        </w:rPr>
      </w:pPr>
    </w:p>
    <w:p>
      <w:pPr>
        <w:pStyle w:val="15"/>
        <w:tabs>
          <w:tab w:val="right" w:leader="dot" w:pos="8959"/>
        </w:tabs>
        <w:spacing w:line="360" w:lineRule="auto"/>
        <w:rPr>
          <w:rFonts w:hint="eastAsia" w:eastAsia="宋体"/>
          <w:color w:val="auto"/>
          <w:sz w:val="32"/>
          <w:szCs w:val="32"/>
          <w:highlight w:val="none"/>
          <w:lang w:val="en-US" w:eastAsia="zh-CN"/>
        </w:rPr>
      </w:pPr>
      <w:r>
        <w:rPr>
          <w:rFonts w:hint="eastAsia" w:ascii="宋体" w:hAnsi="宋体" w:eastAsia="宋体" w:cs="宋体"/>
          <w:i w:val="0"/>
          <w:iCs w:val="0"/>
          <w:color w:val="auto"/>
          <w:sz w:val="32"/>
          <w:szCs w:val="32"/>
          <w:highlight w:val="none"/>
        </w:rPr>
        <w:fldChar w:fldCharType="begin"/>
      </w:r>
      <w:r>
        <w:rPr>
          <w:rFonts w:hint="eastAsia" w:ascii="宋体" w:hAnsi="宋体" w:eastAsia="宋体" w:cs="宋体"/>
          <w:i w:val="0"/>
          <w:iCs w:val="0"/>
          <w:color w:val="auto"/>
          <w:sz w:val="32"/>
          <w:szCs w:val="32"/>
          <w:highlight w:val="none"/>
        </w:rPr>
        <w:instrText xml:space="preserve"> HYPERLINK \l _Toc30358 </w:instrText>
      </w:r>
      <w:r>
        <w:rPr>
          <w:rFonts w:hint="eastAsia" w:ascii="宋体" w:hAnsi="宋体" w:eastAsia="宋体" w:cs="宋体"/>
          <w:i w:val="0"/>
          <w:iCs w:val="0"/>
          <w:color w:val="auto"/>
          <w:sz w:val="32"/>
          <w:szCs w:val="32"/>
          <w:highlight w:val="none"/>
        </w:rPr>
        <w:fldChar w:fldCharType="separate"/>
      </w:r>
      <w:r>
        <w:rPr>
          <w:rFonts w:hint="eastAsia"/>
          <w:color w:val="auto"/>
          <w:sz w:val="32"/>
          <w:szCs w:val="32"/>
          <w:highlight w:val="none"/>
        </w:rPr>
        <w:t>第</w:t>
      </w:r>
      <w:r>
        <w:rPr>
          <w:rFonts w:hint="eastAsia"/>
          <w:color w:val="auto"/>
          <w:sz w:val="32"/>
          <w:szCs w:val="32"/>
          <w:highlight w:val="none"/>
          <w:lang w:eastAsia="zh-CN"/>
        </w:rPr>
        <w:t>六章</w:t>
      </w:r>
      <w:r>
        <w:rPr>
          <w:rFonts w:hint="eastAsia"/>
          <w:color w:val="auto"/>
          <w:sz w:val="32"/>
          <w:szCs w:val="32"/>
          <w:highlight w:val="none"/>
        </w:rPr>
        <w:t xml:space="preserve">  响应文件格式</w:t>
      </w:r>
      <w:r>
        <w:rPr>
          <w:color w:val="auto"/>
          <w:sz w:val="32"/>
          <w:szCs w:val="32"/>
          <w:highlight w:val="none"/>
        </w:rPr>
        <w:tab/>
      </w:r>
      <w:r>
        <w:rPr>
          <w:rFonts w:hint="eastAsia"/>
          <w:color w:val="auto"/>
          <w:sz w:val="32"/>
          <w:szCs w:val="32"/>
          <w:highlight w:val="none"/>
          <w:lang w:val="en-US" w:eastAsia="zh-CN"/>
        </w:rPr>
        <w:t>3</w:t>
      </w:r>
      <w:r>
        <w:rPr>
          <w:rFonts w:hint="eastAsia" w:ascii="宋体" w:hAnsi="宋体" w:eastAsia="宋体" w:cs="宋体"/>
          <w:i w:val="0"/>
          <w:iCs w:val="0"/>
          <w:color w:val="auto"/>
          <w:sz w:val="32"/>
          <w:szCs w:val="32"/>
          <w:highlight w:val="none"/>
        </w:rPr>
        <w:fldChar w:fldCharType="end"/>
      </w:r>
      <w:r>
        <w:rPr>
          <w:rFonts w:hint="eastAsia" w:ascii="宋体" w:hAnsi="宋体" w:eastAsia="宋体" w:cs="宋体"/>
          <w:i w:val="0"/>
          <w:iCs w:val="0"/>
          <w:color w:val="auto"/>
          <w:sz w:val="32"/>
          <w:szCs w:val="32"/>
          <w:highlight w:val="none"/>
          <w:lang w:val="en-US" w:eastAsia="zh-CN"/>
        </w:rPr>
        <w:t>1</w:t>
      </w:r>
    </w:p>
    <w:p>
      <w:pPr>
        <w:spacing w:line="480" w:lineRule="exact"/>
        <w:ind w:firstLine="320" w:firstLineChars="100"/>
        <w:jc w:val="center"/>
        <w:rPr>
          <w:rFonts w:hint="eastAsia" w:ascii="宋体" w:hAnsi="宋体" w:eastAsia="宋体" w:cs="宋体"/>
          <w:i w:val="0"/>
          <w:iCs w:val="0"/>
          <w:color w:val="auto"/>
          <w:sz w:val="32"/>
          <w:szCs w:val="32"/>
          <w:highlight w:val="none"/>
        </w:rPr>
      </w:pPr>
      <w:r>
        <w:rPr>
          <w:rFonts w:hint="eastAsia" w:ascii="宋体" w:hAnsi="宋体" w:eastAsia="宋体" w:cs="宋体"/>
          <w:i w:val="0"/>
          <w:iCs w:val="0"/>
          <w:color w:val="auto"/>
          <w:sz w:val="32"/>
          <w:szCs w:val="32"/>
          <w:highlight w:val="none"/>
        </w:rPr>
        <w:fldChar w:fldCharType="end"/>
      </w: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jc w:val="both"/>
        <w:rPr>
          <w:rFonts w:hint="eastAsia" w:ascii="宋体" w:hAnsi="宋体" w:eastAsia="宋体" w:cs="宋体"/>
          <w:i w:val="0"/>
          <w:iCs w:val="0"/>
          <w:color w:val="auto"/>
          <w:sz w:val="32"/>
          <w:szCs w:val="32"/>
          <w:highlight w:val="none"/>
        </w:rPr>
      </w:pPr>
    </w:p>
    <w:p>
      <w:pPr>
        <w:pStyle w:val="2"/>
        <w:numPr>
          <w:ilvl w:val="0"/>
          <w:numId w:val="0"/>
        </w:numPr>
        <w:bidi w:val="0"/>
        <w:spacing w:line="240" w:lineRule="auto"/>
        <w:ind w:leftChars="0"/>
        <w:jc w:val="center"/>
        <w:rPr>
          <w:rFonts w:hint="eastAsia"/>
          <w:color w:val="auto"/>
          <w:highlight w:val="none"/>
        </w:rPr>
        <w:sectPr>
          <w:footerReference r:id="rId4" w:type="default"/>
          <w:pgSz w:w="11907" w:h="16840"/>
          <w:pgMar w:top="1440" w:right="1474" w:bottom="1440" w:left="1474" w:header="851" w:footer="992" w:gutter="0"/>
          <w:pgNumType w:fmt="decimal" w:start="1"/>
          <w:cols w:space="720" w:num="1"/>
          <w:docGrid w:linePitch="312" w:charSpace="0"/>
        </w:sectPr>
      </w:pPr>
      <w:bookmarkStart w:id="0" w:name="_Toc27597"/>
    </w:p>
    <w:p>
      <w:pPr>
        <w:pStyle w:val="2"/>
        <w:numPr>
          <w:ilvl w:val="0"/>
          <w:numId w:val="2"/>
        </w:numPr>
        <w:bidi w:val="0"/>
        <w:spacing w:line="240" w:lineRule="auto"/>
        <w:ind w:leftChars="0"/>
        <w:jc w:val="center"/>
        <w:rPr>
          <w:rFonts w:hint="eastAsia"/>
          <w:color w:val="auto"/>
          <w:highlight w:val="none"/>
          <w:lang w:val="en-US" w:eastAsia="zh-CN"/>
        </w:rPr>
      </w:pPr>
      <w:r>
        <w:rPr>
          <w:rFonts w:hint="eastAsia"/>
          <w:color w:val="auto"/>
          <w:highlight w:val="none"/>
        </w:rPr>
        <w:t xml:space="preserve"> </w:t>
      </w:r>
      <w:bookmarkEnd w:id="0"/>
      <w:r>
        <w:rPr>
          <w:rFonts w:hint="eastAsia"/>
          <w:color w:val="auto"/>
          <w:highlight w:val="none"/>
          <w:lang w:val="en-US" w:eastAsia="zh-CN"/>
        </w:rPr>
        <w:t>磋商公告</w:t>
      </w:r>
    </w:p>
    <w:p>
      <w:pPr>
        <w:numPr>
          <w:ilvl w:val="0"/>
          <w:numId w:val="0"/>
        </w:numPr>
        <w:rPr>
          <w:rFonts w:hint="eastAsia" w:eastAsia="宋体"/>
          <w:lang w:eastAsia="zh-CN"/>
        </w:rPr>
      </w:pP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bookmarkStart w:id="1" w:name="_Toc415483389"/>
      <w:bookmarkStart w:id="2" w:name="_Toc21246"/>
    </w:p>
    <w:p>
      <w:pPr>
        <w:suppressAutoHyphens/>
        <w:spacing w:before="280" w:after="280" w:line="560" w:lineRule="exact"/>
        <w:jc w:val="center"/>
        <w:outlineLvl w:val="0"/>
        <w:rPr>
          <w:rFonts w:hint="eastAsia" w:ascii="宋体" w:hAnsi="宋体" w:eastAsia="宋体" w:cs="宋体"/>
          <w:b/>
          <w:bCs/>
          <w:color w:val="auto"/>
          <w:kern w:val="1"/>
          <w:sz w:val="36"/>
          <w:highlight w:val="none"/>
          <w:lang w:val="en-US" w:eastAsia="zh-CN"/>
        </w:rPr>
      </w:pPr>
      <w:r>
        <w:rPr>
          <w:rFonts w:hint="eastAsia" w:ascii="宋体" w:hAnsi="宋体" w:eastAsia="宋体" w:cs="宋体"/>
          <w:b/>
          <w:bCs/>
          <w:color w:val="auto"/>
          <w:kern w:val="1"/>
          <w:sz w:val="36"/>
          <w:highlight w:val="none"/>
          <w:lang w:val="en-US" w:eastAsia="zh-CN"/>
        </w:rPr>
        <w:br w:type="page"/>
      </w:r>
      <w:r>
        <w:rPr>
          <w:rFonts w:hint="eastAsia" w:ascii="宋体" w:hAnsi="宋体" w:eastAsia="宋体" w:cs="宋体"/>
          <w:b/>
          <w:bCs/>
          <w:color w:val="auto"/>
          <w:kern w:val="1"/>
          <w:sz w:val="36"/>
          <w:highlight w:val="none"/>
          <w:lang w:val="en-US" w:eastAsia="zh-CN"/>
        </w:rPr>
        <w:t>第二章  投标人须知</w:t>
      </w:r>
      <w:bookmarkEnd w:id="1"/>
      <w:bookmarkEnd w:id="2"/>
    </w:p>
    <w:p>
      <w:pPr>
        <w:pStyle w:val="25"/>
        <w:jc w:val="center"/>
        <w:rPr>
          <w:rFonts w:hint="eastAsia" w:ascii="宋体" w:hAnsi="宋体" w:eastAsia="宋体" w:cs="宋体"/>
          <w:i w:val="0"/>
          <w:iCs w:val="0"/>
          <w:color w:val="auto"/>
          <w:highlight w:val="none"/>
        </w:rPr>
      </w:pPr>
      <w:bookmarkStart w:id="3" w:name="_Toc189727030"/>
      <w:bookmarkStart w:id="4" w:name="_Toc213396760"/>
      <w:bookmarkStart w:id="5" w:name="_Toc263352864"/>
      <w:bookmarkStart w:id="6" w:name="_Toc213397010"/>
      <w:bookmarkStart w:id="7" w:name="_Toc213496268"/>
      <w:bookmarkStart w:id="8" w:name="_Toc213396946"/>
      <w:bookmarkStart w:id="9" w:name="_Toc217446032"/>
      <w:bookmarkStart w:id="10" w:name="_Toc460703949"/>
      <w:r>
        <w:rPr>
          <w:rFonts w:hint="eastAsia" w:ascii="宋体" w:hAnsi="宋体" w:eastAsia="宋体" w:cs="宋体"/>
          <w:i w:val="0"/>
          <w:iCs w:val="0"/>
          <w:color w:val="auto"/>
          <w:highlight w:val="none"/>
        </w:rPr>
        <w:t>一、</w:t>
      </w:r>
      <w:r>
        <w:rPr>
          <w:rFonts w:hint="eastAsia" w:eastAsia="宋体" w:cs="宋体"/>
          <w:i w:val="0"/>
          <w:iCs w:val="0"/>
          <w:color w:val="auto"/>
          <w:highlight w:val="none"/>
          <w:lang w:eastAsia="zh-CN"/>
        </w:rPr>
        <w:t>投标人</w:t>
      </w:r>
      <w:r>
        <w:rPr>
          <w:rFonts w:hint="eastAsia" w:ascii="宋体" w:hAnsi="宋体" w:eastAsia="宋体" w:cs="宋体"/>
          <w:i w:val="0"/>
          <w:iCs w:val="0"/>
          <w:color w:val="auto"/>
          <w:highlight w:val="none"/>
        </w:rPr>
        <w:t>须知前附表</w:t>
      </w:r>
      <w:bookmarkEnd w:id="3"/>
      <w:bookmarkEnd w:id="4"/>
      <w:bookmarkEnd w:id="5"/>
      <w:bookmarkEnd w:id="6"/>
      <w:bookmarkEnd w:id="7"/>
      <w:bookmarkEnd w:id="8"/>
      <w:bookmarkEnd w:id="9"/>
      <w:bookmarkEnd w:id="10"/>
    </w:p>
    <w:tbl>
      <w:tblPr>
        <w:tblStyle w:val="19"/>
        <w:tblW w:w="10030" w:type="dxa"/>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
      <w:tblGrid>
        <w:gridCol w:w="824"/>
        <w:gridCol w:w="2082"/>
        <w:gridCol w:w="7124"/>
      </w:tblGrid>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52"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1</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采购人</w:t>
            </w:r>
          </w:p>
        </w:tc>
        <w:tc>
          <w:tcPr>
            <w:tcW w:w="7124"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cs="宋体"/>
                <w:i w:val="0"/>
                <w:iCs w:val="0"/>
                <w:color w:val="auto"/>
                <w:sz w:val="24"/>
                <w:highlight w:val="none"/>
                <w:lang w:eastAsia="zh-CN"/>
              </w:rPr>
              <w:t>沙雅县人工影响天气办公室</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217"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2</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采购代理机构</w:t>
            </w:r>
          </w:p>
        </w:tc>
        <w:tc>
          <w:tcPr>
            <w:tcW w:w="7124"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名    称：新疆希林森建设项目管理有限公司</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地    址：新疆阿克苏地区库车市东城街道长安社区幸福路65号开发区企业公馆A座207室</w:t>
            </w:r>
            <w:r>
              <w:rPr>
                <w:rFonts w:hint="eastAsia" w:ascii="宋体" w:hAnsi="宋体" w:eastAsia="宋体" w:cs="宋体"/>
                <w:i w:val="0"/>
                <w:iCs w:val="0"/>
                <w:color w:val="auto"/>
                <w:sz w:val="24"/>
                <w:highlight w:val="none"/>
                <w:lang w:val="en-US" w:eastAsia="zh-CN"/>
              </w:rPr>
              <w:t xml:space="preserve">  </w:t>
            </w:r>
          </w:p>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联 系 人：</w:t>
            </w:r>
            <w:r>
              <w:rPr>
                <w:rFonts w:hint="eastAsia" w:ascii="宋体" w:hAnsi="宋体" w:cs="宋体"/>
                <w:i w:val="0"/>
                <w:iCs w:val="0"/>
                <w:color w:val="auto"/>
                <w:sz w:val="24"/>
                <w:highlight w:val="none"/>
                <w:lang w:val="en-US" w:eastAsia="zh-CN"/>
              </w:rPr>
              <w:t>蒋丹丹</w:t>
            </w:r>
          </w:p>
          <w:p>
            <w:pP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rPr>
              <w:t>电    话：</w:t>
            </w:r>
            <w:r>
              <w:rPr>
                <w:rFonts w:hint="eastAsia" w:ascii="宋体" w:hAnsi="宋体" w:cs="宋体"/>
                <w:i w:val="0"/>
                <w:iCs w:val="0"/>
                <w:color w:val="auto"/>
                <w:sz w:val="24"/>
                <w:highlight w:val="none"/>
                <w:lang w:val="en-US" w:eastAsia="zh-CN"/>
              </w:rPr>
              <w:t>15199201462</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采购项目名称</w:t>
            </w:r>
          </w:p>
        </w:tc>
        <w:tc>
          <w:tcPr>
            <w:tcW w:w="7124" w:type="dxa"/>
            <w:noWrap w:val="0"/>
            <w:vAlign w:val="center"/>
          </w:tcPr>
          <w:p>
            <w:pPr>
              <w:spacing w:line="400" w:lineRule="exact"/>
              <w:rPr>
                <w:rFonts w:hint="eastAsia" w:ascii="宋体" w:hAnsi="宋体" w:eastAsia="宋体" w:cs="宋体"/>
                <w:i w:val="0"/>
                <w:iCs w:val="0"/>
                <w:color w:val="auto"/>
                <w:sz w:val="24"/>
                <w:highlight w:val="none"/>
                <w:lang w:eastAsia="zh-CN"/>
              </w:rPr>
            </w:pPr>
            <w:r>
              <w:rPr>
                <w:rFonts w:hint="eastAsia" w:ascii="宋体" w:hAnsi="宋体" w:cs="宋体"/>
                <w:i w:val="0"/>
                <w:iCs w:val="0"/>
                <w:color w:val="auto"/>
                <w:sz w:val="24"/>
                <w:highlight w:val="none"/>
                <w:lang w:val="en-US" w:eastAsia="zh-CN"/>
              </w:rPr>
              <w:t>沙雅县城市空气质量优化配套基础工程</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4</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采购文件编号</w:t>
            </w:r>
          </w:p>
        </w:tc>
        <w:tc>
          <w:tcPr>
            <w:tcW w:w="7124" w:type="dxa"/>
            <w:noWrap w:val="0"/>
            <w:vAlign w:val="center"/>
          </w:tcPr>
          <w:p>
            <w:pP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eastAsia="zh-CN"/>
              </w:rPr>
              <w:t>SYX-</w:t>
            </w:r>
            <w:r>
              <w:rPr>
                <w:rFonts w:hint="eastAsia" w:ascii="宋体" w:hAnsi="宋体" w:cs="宋体"/>
                <w:i w:val="0"/>
                <w:iCs w:val="0"/>
                <w:color w:val="auto"/>
                <w:sz w:val="24"/>
                <w:highlight w:val="none"/>
                <w:lang w:val="en-US" w:eastAsia="zh-CN"/>
              </w:rPr>
              <w:t>SLS</w:t>
            </w:r>
            <w:r>
              <w:rPr>
                <w:rFonts w:hint="eastAsia" w:ascii="宋体" w:hAnsi="宋体" w:eastAsia="宋体" w:cs="宋体"/>
                <w:i w:val="0"/>
                <w:iCs w:val="0"/>
                <w:color w:val="auto"/>
                <w:sz w:val="24"/>
                <w:highlight w:val="none"/>
                <w:lang w:eastAsia="zh-CN"/>
              </w:rPr>
              <w:t>CG-0</w:t>
            </w:r>
            <w:r>
              <w:rPr>
                <w:rFonts w:hint="eastAsia" w:ascii="宋体" w:hAnsi="宋体" w:cs="宋体"/>
                <w:i w:val="0"/>
                <w:iCs w:val="0"/>
                <w:color w:val="auto"/>
                <w:sz w:val="24"/>
                <w:highlight w:val="none"/>
                <w:lang w:val="en-US" w:eastAsia="zh-CN"/>
              </w:rPr>
              <w:t>1</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2"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5</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资金来源</w:t>
            </w:r>
          </w:p>
        </w:tc>
        <w:tc>
          <w:tcPr>
            <w:tcW w:w="7124"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cs="宋体"/>
                <w:i w:val="0"/>
                <w:iCs w:val="0"/>
                <w:color w:val="auto"/>
                <w:sz w:val="24"/>
                <w:highlight w:val="none"/>
                <w:lang w:val="en-US" w:eastAsia="zh-CN"/>
              </w:rPr>
              <w:t>财政资金</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6</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最高限价</w:t>
            </w:r>
          </w:p>
        </w:tc>
        <w:tc>
          <w:tcPr>
            <w:tcW w:w="7124" w:type="dxa"/>
            <w:noWrap w:val="0"/>
            <w:vAlign w:val="center"/>
          </w:tcPr>
          <w:p>
            <w:pPr>
              <w:rPr>
                <w:rFonts w:hint="default"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1500000.00</w:t>
            </w:r>
            <w:r>
              <w:rPr>
                <w:rFonts w:hint="eastAsia" w:ascii="宋体" w:hAnsi="宋体" w:eastAsia="宋体" w:cs="宋体"/>
                <w:i w:val="0"/>
                <w:iCs w:val="0"/>
                <w:color w:val="auto"/>
                <w:sz w:val="24"/>
                <w:highlight w:val="none"/>
                <w:lang w:val="en-US" w:eastAsia="zh-CN"/>
              </w:rPr>
              <w:t>元</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30"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7</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采购方式</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竞争性磋商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8</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评审方法</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在满足采购方所需提供服务的基础上进行综合评标，汇总得分由高到低的顺序确定中标候选人。</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818" w:hRule="atLeast"/>
          <w:jc w:val="center"/>
        </w:trPr>
        <w:tc>
          <w:tcPr>
            <w:tcW w:w="824" w:type="dxa"/>
            <w:noWrap w:val="0"/>
            <w:vAlign w:val="center"/>
          </w:tcPr>
          <w:p>
            <w:pPr>
              <w:jc w:val="cente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lang w:val="en-US" w:eastAsia="zh-CN"/>
              </w:rPr>
              <w:t>9</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投标报价</w:t>
            </w:r>
          </w:p>
        </w:tc>
        <w:tc>
          <w:tcPr>
            <w:tcW w:w="7124"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不得超过磋商文件中规定的最高限价。</w:t>
            </w:r>
            <w:r>
              <w:rPr>
                <w:rFonts w:hint="eastAsia" w:ascii="宋体" w:hAnsi="宋体" w:eastAsia="宋体" w:cs="宋体"/>
                <w:i w:val="0"/>
                <w:iCs w:val="0"/>
                <w:color w:val="auto"/>
                <w:sz w:val="24"/>
                <w:highlight w:val="none"/>
                <w:lang w:eastAsia="zh-CN"/>
              </w:rPr>
              <w:t>本项目采用二轮报价，即标书内报价为第一轮报价，</w:t>
            </w:r>
            <w:r>
              <w:rPr>
                <w:rFonts w:hint="eastAsia" w:ascii="宋体" w:hAnsi="宋体" w:cs="宋体"/>
                <w:i w:val="0"/>
                <w:iCs w:val="0"/>
                <w:color w:val="auto"/>
                <w:sz w:val="24"/>
                <w:highlight w:val="none"/>
                <w:lang w:val="en-US" w:eastAsia="zh-CN"/>
              </w:rPr>
              <w:t>线上</w:t>
            </w:r>
            <w:r>
              <w:rPr>
                <w:rFonts w:hint="eastAsia" w:ascii="宋体" w:hAnsi="宋体" w:eastAsia="宋体" w:cs="宋体"/>
                <w:i w:val="0"/>
                <w:iCs w:val="0"/>
                <w:color w:val="auto"/>
                <w:sz w:val="24"/>
                <w:highlight w:val="none"/>
                <w:lang w:eastAsia="zh-CN"/>
              </w:rPr>
              <w:t>报价为第二轮报价。</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33" w:hRule="atLeast"/>
          <w:jc w:val="center"/>
        </w:trPr>
        <w:tc>
          <w:tcPr>
            <w:tcW w:w="824" w:type="dxa"/>
            <w:tcBorders>
              <w:top w:val="single" w:color="auto" w:sz="4" w:space="0"/>
            </w:tcBorders>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10</w:t>
            </w:r>
          </w:p>
        </w:tc>
        <w:tc>
          <w:tcPr>
            <w:tcW w:w="2082" w:type="dxa"/>
            <w:tcBorders>
              <w:top w:val="single" w:color="auto" w:sz="4" w:space="0"/>
            </w:tcBorders>
            <w:noWrap w:val="0"/>
            <w:vAlign w:val="center"/>
          </w:tcPr>
          <w:p>
            <w:pPr>
              <w:rPr>
                <w:rFonts w:hint="default"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服务期限</w:t>
            </w:r>
          </w:p>
        </w:tc>
        <w:tc>
          <w:tcPr>
            <w:tcW w:w="7124" w:type="dxa"/>
            <w:tcBorders>
              <w:top w:val="single" w:color="auto" w:sz="4" w:space="0"/>
            </w:tcBorders>
            <w:noWrap w:val="0"/>
            <w:vAlign w:val="center"/>
          </w:tcPr>
          <w:p>
            <w:pPr>
              <w:rPr>
                <w:rFonts w:hint="default"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7</w:t>
            </w:r>
            <w:r>
              <w:rPr>
                <w:rFonts w:hint="eastAsia" w:ascii="宋体" w:hAnsi="宋体" w:eastAsia="宋体" w:cs="宋体"/>
                <w:i w:val="0"/>
                <w:iCs w:val="0"/>
                <w:color w:val="auto"/>
                <w:sz w:val="24"/>
                <w:highlight w:val="none"/>
                <w:lang w:val="en-US" w:eastAsia="zh-CN"/>
              </w:rPr>
              <w:t>日历天</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11</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联合体投标</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不允许联合体参加磋商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12</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供应商提出问题</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的截止时间</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若有疑问，请于磋商文件规定的磋商截止时间3日前将问题以书面形式提交招标代理人</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75"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13</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采购人说明澄清</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的时间</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人、采购代理机构可以对已发出的磋商文件进行必要的澄清或者修改，采购人、采购代理机构应当在提交首次响应文件截止时间至少5日前，以书面形式通知所有获取磋商文件的供应商；不足5日的，采购人、采购代理机构应当顺延提交首次响应文件截止时间。</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文件的澄清或修改将以发布澄清或变更公告为准（同招标公告发布网站），所有投标供应商应关注网站及时查看，采购人不再进行书面或其他形式通知，未看变更或澄清公告并由此导致的一切后果均由投标供应商自负。</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8"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14</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分包</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本项目不允许分包和转包</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94"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15</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构成磋商文件的</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其他文件</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磋商文件的澄清、修改书及有关补充通知为磋商文件的有效组成部分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11"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16</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投标截止时间</w:t>
            </w:r>
          </w:p>
        </w:tc>
        <w:tc>
          <w:tcPr>
            <w:tcW w:w="7124"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cs="宋体"/>
                <w:i w:val="0"/>
                <w:iCs w:val="0"/>
                <w:color w:val="auto"/>
                <w:sz w:val="24"/>
                <w:highlight w:val="none"/>
                <w:lang w:val="en-US" w:eastAsia="zh-CN"/>
              </w:rPr>
              <w:t>2023年11月06日16:00（北京时间）</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17</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磋商有效期</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磋商截止之日起30日历天</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17"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18</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磋商保证金</w:t>
            </w:r>
          </w:p>
        </w:tc>
        <w:tc>
          <w:tcPr>
            <w:tcW w:w="7124" w:type="dxa"/>
            <w:noWrap w:val="0"/>
            <w:vAlign w:val="center"/>
          </w:tcPr>
          <w:p>
            <w:pPr>
              <w:rPr>
                <w:rFonts w:hint="default"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本项目不做要求</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08"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19</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备选方案</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不接受备选方案和多个报价</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08"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20</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评标委员会的组建</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评标委员会由</w:t>
            </w:r>
            <w:r>
              <w:rPr>
                <w:rFonts w:hint="eastAsia" w:ascii="宋体" w:hAnsi="宋体" w:eastAsia="宋体" w:cs="宋体"/>
                <w:i w:val="0"/>
                <w:iCs w:val="0"/>
                <w:color w:val="auto"/>
                <w:sz w:val="24"/>
                <w:highlight w:val="none"/>
                <w:u w:val="single"/>
              </w:rPr>
              <w:t xml:space="preserve"> </w:t>
            </w:r>
            <w:r>
              <w:rPr>
                <w:rFonts w:hint="eastAsia" w:ascii="宋体" w:hAnsi="宋体" w:cs="宋体"/>
                <w:i w:val="0"/>
                <w:iCs w:val="0"/>
                <w:color w:val="auto"/>
                <w:sz w:val="24"/>
                <w:highlight w:val="none"/>
                <w:u w:val="single"/>
                <w:lang w:val="en-US" w:eastAsia="zh-CN"/>
              </w:rPr>
              <w:t>3</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人构成，其中招标人代表 0 人（应当具备评标专家相应的或者类似的条件），专家</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u w:val="single"/>
                <w:lang w:val="en-US" w:eastAsia="zh-CN"/>
              </w:rPr>
              <w:t>3</w:t>
            </w:r>
            <w:r>
              <w:rPr>
                <w:rFonts w:hint="eastAsia" w:ascii="宋体" w:hAnsi="宋体" w:eastAsia="宋体" w:cs="宋体"/>
                <w:i w:val="0"/>
                <w:iCs w:val="0"/>
                <w:color w:val="auto"/>
                <w:sz w:val="24"/>
                <w:highlight w:val="none"/>
              </w:rPr>
              <w:t>人；</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评标专家确定方式： 从政府采购专家库随机抽取</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评标委员会推荐中标候选人的人数：</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u w:val="single"/>
                <w:lang w:val="en-US" w:eastAsia="zh-CN"/>
              </w:rPr>
              <w:t>3</w:t>
            </w:r>
            <w:r>
              <w:rPr>
                <w:rFonts w:hint="eastAsia" w:ascii="宋体" w:hAnsi="宋体" w:eastAsia="宋体" w:cs="宋体"/>
                <w:i w:val="0"/>
                <w:iCs w:val="0"/>
                <w:color w:val="auto"/>
                <w:sz w:val="24"/>
                <w:highlight w:val="none"/>
              </w:rPr>
              <w:t>人</w:t>
            </w:r>
          </w:p>
          <w:p>
            <w:pPr>
              <w:rPr>
                <w:rFonts w:hint="eastAsia"/>
                <w:color w:val="auto"/>
              </w:rPr>
            </w:pPr>
            <w:r>
              <w:rPr>
                <w:rFonts w:hint="eastAsia" w:ascii="宋体" w:hAnsi="宋体" w:eastAsia="宋体" w:cs="宋体"/>
                <w:i w:val="0"/>
                <w:iCs w:val="0"/>
                <w:color w:val="auto"/>
                <w:sz w:val="24"/>
                <w:highlight w:val="none"/>
              </w:rPr>
              <w:t>是否授权评标委员会确定中标人：否</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59"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21</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投标人资格条件</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投标人资格条件、能力和信誉：</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资格条件：</w:t>
            </w:r>
            <w:r>
              <w:rPr>
                <w:rFonts w:hint="eastAsia" w:ascii="宋体" w:hAnsi="宋体" w:eastAsia="宋体" w:cs="宋体"/>
                <w:i w:val="0"/>
                <w:iCs w:val="0"/>
                <w:color w:val="auto"/>
                <w:sz w:val="24"/>
                <w:highlight w:val="none"/>
                <w:lang w:eastAsia="zh-CN"/>
              </w:rPr>
              <w:t>（一）</w:t>
            </w:r>
            <w:r>
              <w:rPr>
                <w:rFonts w:hint="eastAsia" w:ascii="宋体" w:hAnsi="宋体" w:eastAsia="宋体" w:cs="宋体"/>
                <w:i w:val="0"/>
                <w:iCs w:val="0"/>
                <w:color w:val="auto"/>
                <w:sz w:val="24"/>
                <w:highlight w:val="none"/>
              </w:rPr>
              <w:t>符合《中华人民共和国政府采购法》第二十二条规定的条件，具备相应资质的投标人：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numPr>
                <w:ilvl w:val="0"/>
                <w:numId w:val="0"/>
              </w:num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eastAsia="zh-CN"/>
              </w:rPr>
              <w:t>（二）</w:t>
            </w:r>
            <w:r>
              <w:rPr>
                <w:rFonts w:hint="eastAsia" w:ascii="宋体" w:hAnsi="宋体" w:cs="宋体"/>
                <w:i w:val="0"/>
                <w:iCs w:val="0"/>
                <w:color w:val="auto"/>
                <w:sz w:val="24"/>
                <w:highlight w:val="none"/>
                <w:lang w:eastAsia="zh-CN"/>
              </w:rPr>
              <w:t>具有有效的营业执照；</w:t>
            </w:r>
          </w:p>
          <w:p>
            <w:pPr>
              <w:numPr>
                <w:ilvl w:val="0"/>
                <w:numId w:val="3"/>
              </w:num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法定代表人身份证明、授权委托人身份证明及授权委托书；</w:t>
            </w:r>
          </w:p>
          <w:p>
            <w:pPr>
              <w:numPr>
                <w:ilvl w:val="0"/>
                <w:numId w:val="3"/>
              </w:num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具有近</w:t>
            </w:r>
            <w:r>
              <w:rPr>
                <w:rFonts w:hint="eastAsia" w:ascii="宋体" w:hAnsi="宋体" w:cs="宋体"/>
                <w:i w:val="0"/>
                <w:iCs w:val="0"/>
                <w:color w:val="auto"/>
                <w:sz w:val="24"/>
                <w:highlight w:val="none"/>
                <w:lang w:val="en-US" w:eastAsia="zh-CN"/>
              </w:rPr>
              <w:t>三</w:t>
            </w:r>
            <w:r>
              <w:rPr>
                <w:rFonts w:hint="eastAsia" w:ascii="宋体" w:hAnsi="宋体" w:eastAsia="宋体" w:cs="宋体"/>
                <w:i w:val="0"/>
                <w:iCs w:val="0"/>
                <w:color w:val="auto"/>
                <w:sz w:val="24"/>
                <w:highlight w:val="none"/>
                <w:lang w:val="en-US" w:eastAsia="zh-CN"/>
              </w:rPr>
              <w:t>个月的社保证明（需有相关人员的社保缴纳明细，退休人员需提供退休证明</w:t>
            </w:r>
            <w:r>
              <w:rPr>
                <w:rFonts w:hint="eastAsia" w:ascii="宋体" w:hAnsi="宋体" w:cs="宋体"/>
                <w:i w:val="0"/>
                <w:iCs w:val="0"/>
                <w:color w:val="auto"/>
                <w:sz w:val="24"/>
                <w:highlight w:val="none"/>
                <w:lang w:val="en-US" w:eastAsia="zh-CN"/>
              </w:rPr>
              <w:t>，新成立的企业提供企业成立至今的社保即可</w:t>
            </w:r>
            <w:r>
              <w:rPr>
                <w:rFonts w:hint="eastAsia" w:ascii="宋体" w:hAnsi="宋体" w:eastAsia="宋体" w:cs="宋体"/>
                <w:i w:val="0"/>
                <w:iCs w:val="0"/>
                <w:color w:val="auto"/>
                <w:sz w:val="24"/>
                <w:highlight w:val="none"/>
                <w:lang w:val="en-US" w:eastAsia="zh-CN"/>
              </w:rPr>
              <w:t>）和完税证明、近</w:t>
            </w:r>
            <w:r>
              <w:rPr>
                <w:rFonts w:hint="eastAsia" w:ascii="宋体" w:hAnsi="宋体" w:cs="宋体"/>
                <w:i w:val="0"/>
                <w:iCs w:val="0"/>
                <w:color w:val="auto"/>
                <w:sz w:val="24"/>
                <w:highlight w:val="none"/>
                <w:lang w:val="en-US" w:eastAsia="zh-CN"/>
              </w:rPr>
              <w:t>一</w:t>
            </w:r>
            <w:r>
              <w:rPr>
                <w:rFonts w:hint="eastAsia" w:ascii="宋体" w:hAnsi="宋体" w:eastAsia="宋体" w:cs="宋体"/>
                <w:i w:val="0"/>
                <w:iCs w:val="0"/>
                <w:color w:val="auto"/>
                <w:sz w:val="24"/>
                <w:highlight w:val="none"/>
                <w:lang w:val="en-US" w:eastAsia="zh-CN"/>
              </w:rPr>
              <w:t>年</w:t>
            </w:r>
            <w:r>
              <w:rPr>
                <w:rFonts w:hint="eastAsia" w:ascii="宋体" w:hAnsi="宋体" w:cs="宋体"/>
                <w:i w:val="0"/>
                <w:iCs w:val="0"/>
                <w:color w:val="auto"/>
                <w:sz w:val="24"/>
                <w:highlight w:val="none"/>
                <w:lang w:val="en-US" w:eastAsia="zh-CN"/>
              </w:rPr>
              <w:t>（2022年）</w:t>
            </w:r>
            <w:r>
              <w:rPr>
                <w:rFonts w:hint="eastAsia" w:ascii="宋体" w:hAnsi="宋体" w:eastAsia="宋体" w:cs="宋体"/>
                <w:i w:val="0"/>
                <w:iCs w:val="0"/>
                <w:color w:val="auto"/>
                <w:sz w:val="24"/>
                <w:highlight w:val="none"/>
                <w:lang w:val="en-US" w:eastAsia="zh-CN"/>
              </w:rPr>
              <w:t>的财务审计报告（企业成立不足</w:t>
            </w:r>
            <w:r>
              <w:rPr>
                <w:rFonts w:hint="eastAsia" w:ascii="宋体" w:hAnsi="宋体" w:cs="宋体"/>
                <w:i w:val="0"/>
                <w:iCs w:val="0"/>
                <w:color w:val="auto"/>
                <w:sz w:val="24"/>
                <w:highlight w:val="none"/>
                <w:lang w:val="en-US" w:eastAsia="zh-CN"/>
              </w:rPr>
              <w:t>一</w:t>
            </w:r>
            <w:r>
              <w:rPr>
                <w:rFonts w:hint="eastAsia" w:ascii="宋体" w:hAnsi="宋体" w:eastAsia="宋体" w:cs="宋体"/>
                <w:i w:val="0"/>
                <w:iCs w:val="0"/>
                <w:color w:val="auto"/>
                <w:sz w:val="24"/>
                <w:highlight w:val="none"/>
                <w:lang w:val="en-US" w:eastAsia="zh-CN"/>
              </w:rPr>
              <w:t>年的提供成立至今的财务审计报告，成立不足一年的提供成立至今的财务报表，包含资产负债表、现金流量表、利润表）；</w:t>
            </w:r>
          </w:p>
          <w:p>
            <w:pPr>
              <w:numPr>
                <w:ilvl w:val="0"/>
                <w:numId w:val="3"/>
              </w:numPr>
              <w:ind w:left="0" w:leftChars="0" w:firstLine="0" w:firstLineChars="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供应商未被列入</w:t>
            </w:r>
            <w:r>
              <w:rPr>
                <w:rFonts w:hint="eastAsia" w:ascii="宋体" w:hAnsi="宋体" w:eastAsia="宋体" w:cs="宋体"/>
                <w:i w:val="0"/>
                <w:iCs w:val="0"/>
                <w:color w:val="auto"/>
                <w:sz w:val="24"/>
                <w:highlight w:val="none"/>
                <w:lang w:val="en-US" w:eastAsia="ar-SA"/>
              </w:rPr>
              <w:t>“信用中国”网站信用信息报告和国家企业信用信息公示报告、中国政府采购</w:t>
            </w:r>
            <w:r>
              <w:rPr>
                <w:rFonts w:hint="eastAsia" w:ascii="宋体" w:hAnsi="宋体" w:eastAsia="宋体" w:cs="宋体"/>
                <w:i w:val="0"/>
                <w:iCs w:val="0"/>
                <w:color w:val="auto"/>
                <w:sz w:val="24"/>
                <w:highlight w:val="none"/>
                <w:lang w:val="en-US" w:eastAsia="zh-CN"/>
              </w:rPr>
              <w:t>被列入严重违法失信行为记录名单（尚在处罚期内的）；（在“信用中国”网站和“中国政府采购网”网站查询结果为准，如相关失信记录已失效，供应商需提供相关证明资料）</w:t>
            </w:r>
          </w:p>
          <w:p>
            <w:pPr>
              <w:pStyle w:val="8"/>
              <w:numPr>
                <w:ilvl w:val="0"/>
                <w:numId w:val="3"/>
              </w:numPr>
              <w:ind w:left="0" w:leftChars="0" w:firstLine="0" w:firstLineChars="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投标人需要提供《</w:t>
            </w:r>
            <w:r>
              <w:rPr>
                <w:rFonts w:hint="eastAsia" w:ascii="宋体" w:hAnsi="宋体" w:eastAsia="宋体" w:cs="宋体"/>
                <w:i w:val="0"/>
                <w:iCs w:val="0"/>
                <w:color w:val="auto"/>
                <w:kern w:val="2"/>
                <w:sz w:val="24"/>
                <w:szCs w:val="24"/>
                <w:highlight w:val="none"/>
                <w:lang w:val="en-US" w:eastAsia="ar-SA" w:bidi="ar-SA"/>
              </w:rPr>
              <w:t>无重大违法记录声明书</w:t>
            </w:r>
            <w:r>
              <w:rPr>
                <w:rFonts w:hint="eastAsia" w:ascii="宋体" w:hAnsi="宋体" w:eastAsia="宋体" w:cs="宋体"/>
                <w:i w:val="0"/>
                <w:iCs w:val="0"/>
                <w:color w:val="auto"/>
                <w:kern w:val="2"/>
                <w:sz w:val="24"/>
                <w:szCs w:val="24"/>
                <w:highlight w:val="none"/>
                <w:lang w:val="en-US" w:eastAsia="zh-CN" w:bidi="ar-SA"/>
              </w:rPr>
              <w:t>》、《</w:t>
            </w:r>
            <w:r>
              <w:rPr>
                <w:rFonts w:hint="eastAsia" w:ascii="宋体" w:hAnsi="宋体" w:eastAsia="宋体" w:cs="宋体"/>
                <w:i w:val="0"/>
                <w:iCs w:val="0"/>
                <w:color w:val="auto"/>
                <w:kern w:val="2"/>
                <w:sz w:val="24"/>
                <w:szCs w:val="24"/>
                <w:highlight w:val="none"/>
                <w:lang w:val="en-US" w:eastAsia="ar-SA" w:bidi="ar-SA"/>
              </w:rPr>
              <w:t>反商业贿赂承诺书</w:t>
            </w:r>
            <w:r>
              <w:rPr>
                <w:rFonts w:hint="eastAsia" w:ascii="宋体" w:hAnsi="宋体" w:eastAsia="宋体" w:cs="宋体"/>
                <w:i w:val="0"/>
                <w:iCs w:val="0"/>
                <w:color w:val="auto"/>
                <w:kern w:val="2"/>
                <w:sz w:val="24"/>
                <w:szCs w:val="24"/>
                <w:highlight w:val="none"/>
                <w:lang w:val="en-US" w:eastAsia="zh-CN" w:bidi="ar-SA"/>
              </w:rPr>
              <w:t>》、《诚信投标承诺书》</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w:t>
            </w:r>
            <w:r>
              <w:rPr>
                <w:rFonts w:hint="eastAsia" w:ascii="宋体" w:hAnsi="宋体" w:cs="宋体"/>
                <w:i w:val="0"/>
                <w:iCs w:val="0"/>
                <w:color w:val="auto"/>
                <w:sz w:val="24"/>
                <w:highlight w:val="none"/>
                <w:lang w:val="en-US" w:eastAsia="zh-CN"/>
              </w:rPr>
              <w:t>七</w:t>
            </w:r>
            <w:r>
              <w:rPr>
                <w:rFonts w:hint="eastAsia" w:ascii="宋体" w:hAnsi="宋体" w:eastAsia="宋体" w:cs="宋体"/>
                <w:i w:val="0"/>
                <w:iCs w:val="0"/>
                <w:color w:val="auto"/>
                <w:sz w:val="24"/>
                <w:highlight w:val="none"/>
                <w:lang w:val="en-US" w:eastAsia="zh-CN"/>
              </w:rPr>
              <w:t>）本项目不接受联合体投标。</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w:t>
            </w:r>
            <w:r>
              <w:rPr>
                <w:rFonts w:hint="eastAsia" w:ascii="宋体" w:hAnsi="宋体" w:cs="宋体"/>
                <w:i w:val="0"/>
                <w:iCs w:val="0"/>
                <w:color w:val="auto"/>
                <w:sz w:val="24"/>
                <w:highlight w:val="none"/>
                <w:lang w:val="en-US" w:eastAsia="zh-CN"/>
              </w:rPr>
              <w:t>八</w:t>
            </w:r>
            <w:r>
              <w:rPr>
                <w:rFonts w:hint="eastAsia" w:ascii="宋体" w:hAnsi="宋体" w:eastAsia="宋体" w:cs="宋体"/>
                <w:i w:val="0"/>
                <w:iCs w:val="0"/>
                <w:color w:val="auto"/>
                <w:sz w:val="24"/>
                <w:highlight w:val="none"/>
                <w:lang w:val="en-US" w:eastAsia="zh-CN"/>
              </w:rPr>
              <w:t>）符合竞争性磋商文件中其他实质性要</w:t>
            </w:r>
            <w:r>
              <w:rPr>
                <w:rFonts w:hint="eastAsia" w:ascii="宋体" w:hAnsi="宋体" w:eastAsia="宋体" w:cs="宋体"/>
                <w:i w:val="0"/>
                <w:iCs w:val="0"/>
                <w:color w:val="auto"/>
                <w:sz w:val="24"/>
                <w:highlight w:val="none"/>
              </w:rPr>
              <w:t>求。</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财务要求：财务状况良好。</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信誉要求：良好，无不良行为记录。</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其他要求：符合国家相关规范标准。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22</w:t>
            </w:r>
          </w:p>
        </w:tc>
        <w:tc>
          <w:tcPr>
            <w:tcW w:w="2082" w:type="dxa"/>
            <w:noWrap w:val="0"/>
            <w:vAlign w:val="center"/>
          </w:tcPr>
          <w:p>
            <w:pPr>
              <w:rPr>
                <w:rFonts w:hint="eastAsia" w:ascii="宋体" w:hAnsi="宋体" w:eastAsia="宋体" w:cs="宋体"/>
                <w:i w:val="0"/>
                <w:iCs w:val="0"/>
                <w:color w:val="auto"/>
                <w:sz w:val="24"/>
                <w:highlight w:val="none"/>
              </w:rPr>
            </w:pPr>
            <w:r>
              <w:rPr>
                <w:rFonts w:hint="eastAsia"/>
                <w:color w:val="auto"/>
                <w:sz w:val="24"/>
                <w:szCs w:val="24"/>
                <w:lang w:eastAsia="zh-CN"/>
              </w:rPr>
              <w:t>响应文件</w:t>
            </w:r>
            <w:r>
              <w:rPr>
                <w:rFonts w:hint="eastAsia"/>
                <w:color w:val="auto"/>
                <w:sz w:val="24"/>
                <w:szCs w:val="24"/>
              </w:rPr>
              <w:t>的要求</w:t>
            </w:r>
          </w:p>
        </w:tc>
        <w:tc>
          <w:tcPr>
            <w:tcW w:w="7124" w:type="dxa"/>
            <w:noWrap w:val="0"/>
            <w:vAlign w:val="center"/>
          </w:tcPr>
          <w:p>
            <w:pP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本项目实行电子招投标，供应商须登录政府采购云平台申请获取采购文件，并需要使用CA锁，在新疆政府采购网--下载专区下载--供应商客户端制作投标文件，并生成JMBS格式加密文件，在投标截止前上传至政府采购云平台。若供应商参与投标,自行承担与投标有关的一切费用。</w:t>
            </w:r>
          </w:p>
          <w:p>
            <w:pP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3、供应商可前往新疆政府采购网（http://www.ccgp-xinjiang.gov.cn/）下载专区，下载政府采购云平台电子投标客户端，安装完成后，可通过账号密码或CA登录客户端进行响应文件制作。在使用政府采购云平台电子投标客户端时，建议使用WIN7及以上操作系统。如有问题可拨打政府采购云平台客户服务热线400-881-7190进行咨询。</w:t>
            </w:r>
          </w:p>
          <w:p>
            <w:pP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4、供应商在开标时须携带制作加密电子响应文件所使用的CA锁，电脑须提前配置好浏览器（建议使用360浏览器或谷歌浏览器），以便开标时在线解密。</w:t>
            </w:r>
          </w:p>
          <w:p>
            <w:pP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5、投标供应商应当在投标截止时间前，将生成的“JMBS格式电子加密响应文件”上传递交至“政府采购云平台”，投标截止时间以后上传递交的响应文件将被“政府采购云平台”拒收。</w:t>
            </w:r>
          </w:p>
          <w:p>
            <w:pPr>
              <w:rPr>
                <w:rFonts w:hint="eastAsia" w:ascii="宋体" w:hAnsi="宋体" w:eastAsia="宋体" w:cs="宋体"/>
                <w:i w:val="0"/>
                <w:iCs w:val="0"/>
                <w:color w:val="auto"/>
                <w:sz w:val="24"/>
                <w:highlight w:val="none"/>
                <w:lang w:eastAsia="zh-CN"/>
              </w:rPr>
            </w:pP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b/>
                <w:bCs/>
                <w:color w:val="auto"/>
                <w:sz w:val="24"/>
                <w:szCs w:val="24"/>
                <w:lang w:val="en-US" w:eastAsia="zh-CN"/>
              </w:rPr>
              <w:t>评标结束后，各投标单位须在一周内按招标文件要求将纸质版投标文件递交至招标代理处（所产生的的费用投标单位自理）</w:t>
            </w:r>
            <w:r>
              <w:rPr>
                <w:rFonts w:hint="eastAsia" w:ascii="Times New Roman" w:hAnsi="Times New Roman" w:eastAsia="宋体" w:cs="Times New Roman"/>
                <w:color w:val="auto"/>
                <w:sz w:val="24"/>
                <w:szCs w:val="24"/>
                <w:lang w:val="en-US" w:eastAsia="zh-CN"/>
              </w:rPr>
              <w:t>。纸质版投标文件可通过加密电子版投标文件打印生成，应当与电子版投标文件一致。【1、份数要求：</w:t>
            </w:r>
            <w:r>
              <w:rPr>
                <w:rFonts w:hint="eastAsia" w:ascii="Times New Roman" w:hAnsi="Times New Roman" w:eastAsia="宋体" w:cs="Times New Roman"/>
                <w:b/>
                <w:bCs/>
                <w:color w:val="auto"/>
                <w:sz w:val="24"/>
                <w:szCs w:val="24"/>
                <w:lang w:val="en-US" w:eastAsia="zh-CN"/>
              </w:rPr>
              <w:t>正本壹份、副本壹份，电子标壹份（U盘）</w:t>
            </w:r>
            <w:r>
              <w:rPr>
                <w:rFonts w:hint="eastAsia" w:ascii="Times New Roman" w:hAnsi="Times New Roman" w:eastAsia="宋体" w:cs="Times New Roman"/>
                <w:color w:val="auto"/>
                <w:sz w:val="24"/>
                <w:szCs w:val="24"/>
                <w:lang w:val="en-US" w:eastAsia="zh-CN"/>
              </w:rPr>
              <w:t>。2、装订要求：响应文件商务技术部分装订成一册，响应文件的装订必须采用死页胶粘本。】</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83"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23</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递交响应文件地点</w:t>
            </w:r>
          </w:p>
        </w:tc>
        <w:tc>
          <w:tcPr>
            <w:tcW w:w="7124"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cs="宋体"/>
                <w:color w:val="auto"/>
                <w:sz w:val="24"/>
                <w:lang w:val="en-US" w:eastAsia="zh-CN"/>
              </w:rPr>
              <w:t>政府采购云平台（</w:t>
            </w:r>
            <w:r>
              <w:rPr>
                <w:rFonts w:hint="eastAsia" w:ascii="Times New Roman" w:hAnsi="Times New Roman" w:eastAsia="宋体" w:cs="Times New Roman"/>
                <w:color w:val="auto"/>
                <w:sz w:val="24"/>
                <w:szCs w:val="24"/>
                <w:lang w:val="en-US" w:eastAsia="zh-CN"/>
              </w:rPr>
              <w:t>政采云网上不见面开评标系统</w:t>
            </w:r>
            <w:r>
              <w:rPr>
                <w:rFonts w:hint="eastAsia" w:ascii="宋体" w:hAnsi="宋体" w:cs="宋体"/>
                <w:color w:val="auto"/>
                <w:sz w:val="24"/>
                <w:lang w:val="en-US" w:eastAsia="zh-CN"/>
              </w:rPr>
              <w:t>）</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24</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磋商时间和地点</w:t>
            </w:r>
          </w:p>
        </w:tc>
        <w:tc>
          <w:tcPr>
            <w:tcW w:w="7124" w:type="dxa"/>
            <w:noWrap w:val="0"/>
            <w:vAlign w:val="center"/>
          </w:tcPr>
          <w:p>
            <w:pPr>
              <w:rPr>
                <w:rFonts w:hint="default" w:ascii="宋体" w:hAnsi="宋体" w:eastAsia="宋体" w:cs="宋体"/>
                <w:i w:val="0"/>
                <w:iCs w:val="0"/>
                <w:color w:val="FF0000"/>
                <w:sz w:val="24"/>
                <w:highlight w:val="none"/>
                <w:lang w:val="en-US" w:eastAsia="zh-CN"/>
              </w:rPr>
            </w:pPr>
            <w:r>
              <w:rPr>
                <w:rFonts w:hint="eastAsia" w:ascii="宋体" w:hAnsi="宋体" w:eastAsia="宋体" w:cs="宋体"/>
                <w:i w:val="0"/>
                <w:iCs w:val="0"/>
                <w:color w:val="auto"/>
                <w:sz w:val="24"/>
                <w:highlight w:val="none"/>
              </w:rPr>
              <w:t>磋商时间：</w:t>
            </w:r>
            <w:r>
              <w:rPr>
                <w:rFonts w:hint="eastAsia" w:ascii="宋体" w:hAnsi="宋体" w:cs="宋体"/>
                <w:i w:val="0"/>
                <w:iCs w:val="0"/>
                <w:color w:val="auto"/>
                <w:sz w:val="24"/>
                <w:highlight w:val="none"/>
                <w:lang w:val="en-US" w:eastAsia="zh-CN"/>
              </w:rPr>
              <w:t>2023年11月06</w:t>
            </w:r>
            <w:bookmarkStart w:id="51" w:name="_GoBack"/>
            <w:bookmarkEnd w:id="51"/>
            <w:r>
              <w:rPr>
                <w:rFonts w:hint="eastAsia" w:ascii="宋体" w:hAnsi="宋体" w:cs="宋体"/>
                <w:i w:val="0"/>
                <w:iCs w:val="0"/>
                <w:color w:val="auto"/>
                <w:sz w:val="24"/>
                <w:highlight w:val="none"/>
                <w:lang w:val="en-US" w:eastAsia="zh-CN"/>
              </w:rPr>
              <w:t>日16:00（北京时间）</w:t>
            </w:r>
          </w:p>
          <w:p>
            <w:pPr>
              <w:rPr>
                <w:rFonts w:hint="eastAsia" w:ascii="Times New Roman" w:hAnsi="Times New Roman" w:eastAsia="宋体" w:cs="Times New Roman"/>
                <w:color w:val="auto"/>
                <w:sz w:val="24"/>
                <w:szCs w:val="24"/>
                <w:lang w:val="en-US" w:eastAsia="zh-CN"/>
              </w:rPr>
            </w:pPr>
            <w:r>
              <w:rPr>
                <w:rFonts w:hint="eastAsia" w:ascii="宋体" w:hAnsi="宋体" w:eastAsia="宋体" w:cs="宋体"/>
                <w:i w:val="0"/>
                <w:iCs w:val="0"/>
                <w:color w:val="auto"/>
                <w:sz w:val="24"/>
                <w:highlight w:val="none"/>
              </w:rPr>
              <w:t>磋商地点：</w:t>
            </w:r>
            <w:r>
              <w:rPr>
                <w:rFonts w:hint="eastAsia" w:ascii="Times New Roman" w:hAnsi="Times New Roman" w:eastAsia="宋体" w:cs="Times New Roman"/>
                <w:color w:val="auto"/>
                <w:sz w:val="24"/>
                <w:szCs w:val="24"/>
                <w:lang w:val="en-US" w:eastAsia="zh-CN"/>
              </w:rPr>
              <w:t>政府采购云平台（政采云网上不见面开评标系统）</w:t>
            </w:r>
          </w:p>
          <w:p>
            <w:pPr>
              <w:rPr>
                <w:rFonts w:hint="eastAsia" w:ascii="宋体" w:hAnsi="宋体" w:eastAsia="宋体" w:cs="宋体"/>
                <w:i w:val="0"/>
                <w:iCs w:val="0"/>
                <w:color w:val="auto"/>
                <w:sz w:val="24"/>
                <w:highlight w:val="none"/>
              </w:rPr>
            </w:pPr>
            <w:r>
              <w:rPr>
                <w:rFonts w:hint="eastAsia" w:ascii="Times New Roman" w:hAnsi="Times New Roman" w:eastAsia="宋体" w:cs="Times New Roman"/>
                <w:color w:val="auto"/>
                <w:sz w:val="24"/>
                <w:szCs w:val="24"/>
                <w:lang w:val="en-US" w:eastAsia="zh-CN"/>
              </w:rPr>
              <w:t>备注：供应商需要使用CA锁，登录政府采购云平台电子投标客户端制作响应文件，将生成的“JMBS格式电子加密响应文件”上传递交至“政府采购云平台”</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25</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场地使用费</w:t>
            </w:r>
          </w:p>
        </w:tc>
        <w:tc>
          <w:tcPr>
            <w:tcW w:w="7124" w:type="dxa"/>
            <w:noWrap w:val="0"/>
            <w:vAlign w:val="center"/>
          </w:tcPr>
          <w:p>
            <w:pP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投标人在提交投标文件时，需按交易场所的规定缴纳场地使用费，未按相关规定缴纳场地使用费的，则视为无效投标。</w:t>
            </w:r>
          </w:p>
          <w:p>
            <w:pP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注：场地费总金额≤6000元，则1000元/家；场地费总金额＞6000元，则6000÷总参与投标家数。</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26</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政府采购其他政策</w:t>
            </w:r>
          </w:p>
        </w:tc>
        <w:tc>
          <w:tcPr>
            <w:tcW w:w="7124"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1、政府采购强制采购：（1）标记*符号的节能产品；（2）其他采购《节能产品政府采购清单》内的产品。</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2、政府采购优先采购：(1)非标记*符号的节能产品；(2)环境标志产品；</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3、采购产品为《节能产品政府采购清单》内非标记*符号的节能产品及《环境标志产品政府采购清单》内的产品：</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响应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27</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支持中小企业发展</w:t>
            </w:r>
          </w:p>
        </w:tc>
        <w:tc>
          <w:tcPr>
            <w:tcW w:w="7124"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根据中华人民共和国财政部、中华人民共和国工业和信息化部《政府采购促进中小企业发展管理办法》(财库〔2020〕46号)文件的规定，属于中小企业评审优惠内容及幅度如下：在政府采购活动中，供应商提供的货物、工程或者服务符合下列情形的，享受本办法规定的中小企业扶持政策：</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 xml:space="preserve">（一）在货物采购项目中，货物由中小企业制造，即货物由中小企业生产且使用该中小企业商号或者注册商标； </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 xml:space="preserve">（二）在工程采购项目中，工程由中小企业承建，即工程施工单位为中小企业； </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 xml:space="preserve">（三）在服务采购项目中，服务由中小企业承接，即提2 供服务的人员为中小企业依照《中华人民共和国劳动合同法》订立劳动合同的从业人员。 </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 xml:space="preserve">在货物采购项目中，供应商提供的货物既有中小企业制造货物，也有大型企业制造货物的，不享受本办法规定的中小企业扶持政策。 </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以联合体形式参加政府采购活动，联合体各方均为中小企业的，联合体视同中小企业。其中，联合体各方均为小微企业的，联合体视同小微企业。</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28</w:t>
            </w:r>
          </w:p>
        </w:tc>
        <w:tc>
          <w:tcPr>
            <w:tcW w:w="2082" w:type="dxa"/>
            <w:noWrap w:val="0"/>
            <w:vAlign w:val="center"/>
          </w:tcPr>
          <w:p>
            <w:pPr>
              <w:jc w:val="cente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特别提示</w:t>
            </w:r>
          </w:p>
        </w:tc>
        <w:tc>
          <w:tcPr>
            <w:tcW w:w="7124"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29</w:t>
            </w:r>
          </w:p>
        </w:tc>
        <w:tc>
          <w:tcPr>
            <w:tcW w:w="2082" w:type="dxa"/>
            <w:noWrap w:val="0"/>
            <w:vAlign w:val="center"/>
          </w:tcPr>
          <w:p>
            <w:pPr>
              <w:jc w:val="center"/>
              <w:rPr>
                <w:rFonts w:hint="eastAsia" w:ascii="宋体" w:hAnsi="宋体" w:eastAsia="宋体" w:cs="宋体"/>
                <w:i w:val="0"/>
                <w:iCs w:val="0"/>
                <w:color w:val="auto"/>
                <w:sz w:val="24"/>
                <w:highlight w:val="none"/>
                <w:lang w:val="en-US" w:eastAsia="zh-CN"/>
              </w:rPr>
            </w:pPr>
          </w:p>
          <w:p>
            <w:pPr>
              <w:jc w:val="center"/>
              <w:rPr>
                <w:rFonts w:hint="eastAsia" w:ascii="宋体" w:hAnsi="宋体" w:eastAsia="宋体" w:cs="宋体"/>
                <w:i w:val="0"/>
                <w:iCs w:val="0"/>
                <w:color w:val="auto"/>
                <w:sz w:val="24"/>
                <w:highlight w:val="none"/>
                <w:lang w:val="en-US" w:eastAsia="zh-CN"/>
              </w:rPr>
            </w:pPr>
          </w:p>
          <w:p>
            <w:pPr>
              <w:jc w:val="cente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投标人不得存在下列情形之一</w:t>
            </w:r>
          </w:p>
          <w:p>
            <w:pPr>
              <w:jc w:val="center"/>
              <w:rPr>
                <w:rFonts w:hint="eastAsia" w:ascii="宋体" w:hAnsi="宋体" w:eastAsia="宋体" w:cs="宋体"/>
                <w:i w:val="0"/>
                <w:iCs w:val="0"/>
                <w:color w:val="auto"/>
                <w:sz w:val="24"/>
                <w:highlight w:val="none"/>
              </w:rPr>
            </w:pPr>
          </w:p>
        </w:tc>
        <w:tc>
          <w:tcPr>
            <w:tcW w:w="7124"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（1）与招标人存在利害关系且可能影响招标公正性；</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（2）与本招标项目的其他投标人为同一个单位负责人；</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（3）与本招标项目的其他投标人存在控股、管理关系；</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（4）被依法暂停或者取消投标资格；</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（5）被责令停产停业、暂扣或者吊销许可证、暂扣或者吊销执照；</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（6）进入清算程序，或被宣告破产，或其他丧失履约能力的情形；</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（7）被工商行政管理机关在全国企业信用信息公示系统中列入严重违法失信企业名单；</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（8）被最高人民法院在“信用中国”网站（www.creditchina.gov.cn）或各级信用信息共享平台中列入失信被执行人名单；</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（9）在近三年内投标人或其法定代表人、拟委任的项目负责人有行贿犯罪行为的；</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（10）法律法规或投标人须知前附表规定的其他情形。</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30</w:t>
            </w:r>
          </w:p>
        </w:tc>
        <w:tc>
          <w:tcPr>
            <w:tcW w:w="2082" w:type="dxa"/>
            <w:noWrap w:val="0"/>
            <w:vAlign w:val="center"/>
          </w:tcPr>
          <w:p>
            <w:pPr>
              <w:spacing w:line="360" w:lineRule="auto"/>
              <w:jc w:val="center"/>
              <w:rPr>
                <w:rFonts w:hint="eastAsia" w:ascii="宋体" w:hAnsi="宋体" w:cs="宋体"/>
                <w:color w:val="auto"/>
                <w:sz w:val="24"/>
                <w:u w:val="none"/>
              </w:rPr>
            </w:pPr>
            <w:r>
              <w:rPr>
                <w:rFonts w:hint="eastAsia" w:ascii="宋体" w:hAnsi="宋体" w:cs="宋体"/>
                <w:color w:val="auto"/>
                <w:sz w:val="24"/>
                <w:u w:val="none"/>
              </w:rPr>
              <w:t>低于成本价不正当竞争预防措施</w:t>
            </w:r>
          </w:p>
          <w:p>
            <w:pPr>
              <w:rPr>
                <w:rFonts w:hint="eastAsia" w:ascii="宋体" w:hAnsi="宋体" w:eastAsia="宋体" w:cs="宋体"/>
                <w:i w:val="0"/>
                <w:iCs w:val="0"/>
                <w:color w:val="auto"/>
                <w:sz w:val="24"/>
                <w:highlight w:val="none"/>
              </w:rPr>
            </w:pPr>
          </w:p>
        </w:tc>
        <w:tc>
          <w:tcPr>
            <w:tcW w:w="7124" w:type="dxa"/>
            <w:noWrap w:val="0"/>
            <w:vAlign w:val="center"/>
          </w:tcPr>
          <w:p>
            <w:pPr>
              <w:ind w:firstLine="480"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根据“财政部87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文件作为无效处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31</w:t>
            </w:r>
          </w:p>
        </w:tc>
        <w:tc>
          <w:tcPr>
            <w:tcW w:w="2082" w:type="dxa"/>
            <w:noWrap w:val="0"/>
            <w:vAlign w:val="center"/>
          </w:tcPr>
          <w:p>
            <w:pPr>
              <w:rPr>
                <w:rFonts w:hint="eastAsia" w:ascii="宋体" w:hAnsi="宋体" w:eastAsia="宋体" w:cs="宋体"/>
                <w:i w:val="0"/>
                <w:iCs w:val="0"/>
                <w:color w:val="auto"/>
                <w:sz w:val="24"/>
                <w:highlight w:val="none"/>
                <w:lang w:val="en-US" w:eastAsia="zh-CN"/>
              </w:rPr>
            </w:pPr>
          </w:p>
          <w:p>
            <w:pPr>
              <w:rPr>
                <w:rFonts w:hint="eastAsia" w:ascii="宋体" w:hAnsi="宋体" w:eastAsia="宋体" w:cs="宋体"/>
                <w:i w:val="0"/>
                <w:iCs w:val="0"/>
                <w:color w:val="auto"/>
                <w:sz w:val="24"/>
                <w:highlight w:val="none"/>
                <w:lang w:val="en-US" w:eastAsia="zh-CN"/>
              </w:rPr>
            </w:pPr>
          </w:p>
          <w:p>
            <w:pPr>
              <w:jc w:val="cente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竞争性磋商文件的澄清和质疑</w:t>
            </w:r>
          </w:p>
          <w:p>
            <w:pPr>
              <w:rPr>
                <w:rFonts w:hint="eastAsia" w:ascii="宋体" w:hAnsi="宋体" w:eastAsia="宋体" w:cs="宋体"/>
                <w:i w:val="0"/>
                <w:iCs w:val="0"/>
                <w:color w:val="auto"/>
                <w:sz w:val="24"/>
                <w:highlight w:val="none"/>
              </w:rPr>
            </w:pPr>
          </w:p>
        </w:tc>
        <w:tc>
          <w:tcPr>
            <w:tcW w:w="7124"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1、综合说明</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2、对竞争性磋商文件的澄清和质疑</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投标人应尽早领取竞争性磋商文件，若对竞争性磋商文件有疑问需要澄清或质疑，须在开标7日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项目名称）澄清或质疑使用”字样，并由身份证持有人签字确认。上述资料均须加盖公章。</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招标人在投标截止日3天前根据澄清或质疑函的具体内容相应作出答复或不予答复，答复内容不得涉及商业秘密。作出答复的将以书面形式通知提出澄清或质疑的投标人和其他有关投标人，或在新疆政府采购网上予以公布。递交质疑的投标人和其他有关投标人在被告知、收到上述公告、通知或答疑书后，应立即向招标人回函确认。未确认情况应当视为对质疑答复的知晓，也将视为对质疑答复内容接受的默认。对于未在响应文件中对修改内容做实质性响应的，对其产生的不利因素由未确认者自行承担。同时招标人可以酌情延长投标截止时间。</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3、对招标过程和拟中标结果的质疑</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投标人认为招标过程和拟中标结果使自己的权益受到损害的，可以在投标人于新疆政府采购网发布拟中标结果之日起3个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该复印件用于在（项目名称）”字样，并由身份证持有人签字确认。上述资料均须加盖公章。</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招标人应在受理投标人的书面质疑后，根据质疑函的具体内容及时向递交质疑函的投标人作出答复或不予答复，答复内容不得涉及商业秘密。作出答复的以书面形式通知递交质疑的投标人和其他有关投标人。递交质疑的投标人和其他有关投标人在被告知、收到上述公告、通知或答疑书后，应立即向招标人回函确认。未确认情况应当视为对质疑答复的知晓，也将视为对质疑答复内容接受的默认。</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4、澄清或质疑不予受理的情况，有下列情形之一的，属于无效质疑，被质疑人不予受理，由此产生的影响由投标人自行承担：</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(一)不是参与该政府采购项目活动供应商的;</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(二)被质疑人为采购人或政府采购代理机构之外的；</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(三)所有质疑事项超过质疑有效期的；</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(四)以具有法律效力的文书送达之外方式提出的；</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(五) 未按上述规定递交澄清或质疑函的；</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(六) 其它不符合受理条件的情形。</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5、其他</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澄清或质疑函递交地点：新疆阿克苏地区库车市东城街道长安社区幸福路65号开发区企业公馆A座207室</w:t>
            </w:r>
            <w:r>
              <w:rPr>
                <w:rStyle w:val="22"/>
                <w:rFonts w:hint="eastAsia" w:ascii="宋体" w:hAnsi="宋体" w:eastAsia="宋体" w:cs="宋体"/>
                <w:b w:val="0"/>
                <w:bCs w:val="0"/>
                <w:i w:val="0"/>
                <w:caps w:val="0"/>
                <w:color w:val="auto"/>
                <w:spacing w:val="0"/>
                <w:sz w:val="24"/>
                <w:szCs w:val="24"/>
                <w:highlight w:val="none"/>
                <w:lang w:val="en-US" w:eastAsia="zh-CN"/>
              </w:rPr>
              <w:t xml:space="preserve">  </w:t>
            </w:r>
          </w:p>
          <w:p>
            <w:pP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联系电话：</w:t>
            </w:r>
            <w:r>
              <w:rPr>
                <w:rFonts w:hint="eastAsia" w:ascii="宋体" w:hAnsi="宋体" w:cs="宋体"/>
                <w:i w:val="0"/>
                <w:iCs w:val="0"/>
                <w:color w:val="auto"/>
                <w:sz w:val="24"/>
                <w:highlight w:val="none"/>
                <w:lang w:val="en-US" w:eastAsia="zh-CN"/>
              </w:rPr>
              <w:t>15199201462</w:t>
            </w:r>
          </w:p>
        </w:tc>
      </w:tr>
    </w:tbl>
    <w:p>
      <w:pPr>
        <w:jc w:val="center"/>
        <w:rPr>
          <w:rFonts w:hint="eastAsia" w:ascii="宋体" w:hAnsi="宋体" w:eastAsia="宋体" w:cs="宋体"/>
          <w:b/>
          <w:i w:val="0"/>
          <w:iCs w:val="0"/>
          <w:color w:val="auto"/>
          <w:sz w:val="32"/>
          <w:szCs w:val="32"/>
          <w:highlight w:val="none"/>
        </w:rPr>
      </w:pPr>
      <w:bookmarkStart w:id="11" w:name="_Toc415483390"/>
      <w:r>
        <w:rPr>
          <w:rFonts w:hint="eastAsia" w:ascii="宋体" w:hAnsi="宋体" w:eastAsia="宋体" w:cs="宋体"/>
          <w:b/>
          <w:i w:val="0"/>
          <w:iCs w:val="0"/>
          <w:color w:val="auto"/>
          <w:sz w:val="32"/>
          <w:szCs w:val="32"/>
          <w:highlight w:val="none"/>
          <w:lang w:eastAsia="zh-CN"/>
        </w:rPr>
        <w:br w:type="page"/>
      </w:r>
      <w:r>
        <w:rPr>
          <w:rFonts w:hint="eastAsia" w:ascii="宋体" w:hAnsi="宋体" w:eastAsia="宋体" w:cs="宋体"/>
          <w:b/>
          <w:i w:val="0"/>
          <w:iCs w:val="0"/>
          <w:color w:val="auto"/>
          <w:sz w:val="32"/>
          <w:szCs w:val="32"/>
          <w:highlight w:val="none"/>
          <w:lang w:eastAsia="zh-CN"/>
        </w:rPr>
        <w:t>三</w:t>
      </w:r>
      <w:r>
        <w:rPr>
          <w:rFonts w:hint="eastAsia" w:ascii="宋体" w:hAnsi="宋体" w:eastAsia="宋体" w:cs="宋体"/>
          <w:b/>
          <w:i w:val="0"/>
          <w:iCs w:val="0"/>
          <w:color w:val="auto"/>
          <w:sz w:val="32"/>
          <w:szCs w:val="32"/>
          <w:highlight w:val="none"/>
        </w:rPr>
        <w:t>、投标须知</w:t>
      </w:r>
      <w:bookmarkEnd w:id="11"/>
    </w:p>
    <w:p>
      <w:pPr>
        <w:pStyle w:val="26"/>
        <w:numPr>
          <w:ilvl w:val="0"/>
          <w:numId w:val="0"/>
        </w:numPr>
        <w:ind w:leftChars="0"/>
        <w:jc w:val="center"/>
        <w:rPr>
          <w:rFonts w:hint="eastAsia"/>
          <w:b/>
          <w:bCs/>
          <w:color w:val="auto"/>
          <w:sz w:val="28"/>
          <w:szCs w:val="21"/>
        </w:rPr>
      </w:pPr>
      <w:bookmarkStart w:id="12" w:name="_Toc415483391"/>
      <w:r>
        <w:rPr>
          <w:rFonts w:hint="eastAsia"/>
          <w:b/>
          <w:bCs/>
          <w:color w:val="auto"/>
          <w:sz w:val="28"/>
          <w:szCs w:val="21"/>
          <w:lang w:eastAsia="zh-CN"/>
        </w:rPr>
        <w:t>一</w:t>
      </w:r>
      <w:r>
        <w:rPr>
          <w:rFonts w:hint="eastAsia"/>
          <w:b/>
          <w:bCs/>
          <w:color w:val="auto"/>
          <w:sz w:val="28"/>
          <w:szCs w:val="21"/>
        </w:rPr>
        <w:t>、总则</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 合格的投标人</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 符合《中华人民共和国政府采购法》第二十二条规定的条件，具备独立承担民事责任能力的在中华人民共和国境内注册的，有承担本次招标采购项目服务能力的及符合条件的法人或其他组织。</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1.2 有效的营业执照；</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1.3 投标人在本次招标活动中，必须遵循《中华人民共和国招标投标法》、《中华人民共和国招标投标法实施条例》、《政府采购货物和服务招标投标管理办法》（财政部87号令）等相关法律法规的规定。</w:t>
      </w:r>
    </w:p>
    <w:p>
      <w:pPr>
        <w:pStyle w:val="8"/>
        <w:numPr>
          <w:ilvl w:val="0"/>
          <w:numId w:val="0"/>
        </w:numPr>
        <w:ind w:leftChars="0" w:firstLine="480" w:firstLineChars="200"/>
        <w:rPr>
          <w:rFonts w:hint="default"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1.4  投标人参加政府采购活动，需要提供《</w:t>
      </w:r>
      <w:r>
        <w:rPr>
          <w:rFonts w:hint="eastAsia" w:ascii="宋体" w:hAnsi="宋体" w:eastAsia="宋体" w:cs="宋体"/>
          <w:i w:val="0"/>
          <w:iCs w:val="0"/>
          <w:color w:val="auto"/>
          <w:kern w:val="2"/>
          <w:sz w:val="24"/>
          <w:szCs w:val="24"/>
          <w:highlight w:val="none"/>
          <w:lang w:val="en-US" w:eastAsia="ar-SA" w:bidi="ar-SA"/>
        </w:rPr>
        <w:t>无重大违法记录声明书</w:t>
      </w:r>
      <w:r>
        <w:rPr>
          <w:rFonts w:hint="eastAsia" w:ascii="宋体" w:hAnsi="宋体" w:eastAsia="宋体" w:cs="宋体"/>
          <w:i w:val="0"/>
          <w:iCs w:val="0"/>
          <w:color w:val="auto"/>
          <w:kern w:val="2"/>
          <w:sz w:val="24"/>
          <w:szCs w:val="24"/>
          <w:highlight w:val="none"/>
          <w:lang w:val="en-US" w:eastAsia="zh-CN" w:bidi="ar-SA"/>
        </w:rPr>
        <w:t>》、《</w:t>
      </w:r>
      <w:r>
        <w:rPr>
          <w:rFonts w:hint="eastAsia" w:ascii="宋体" w:hAnsi="宋体" w:eastAsia="宋体" w:cs="宋体"/>
          <w:i w:val="0"/>
          <w:iCs w:val="0"/>
          <w:color w:val="auto"/>
          <w:kern w:val="2"/>
          <w:sz w:val="24"/>
          <w:szCs w:val="24"/>
          <w:highlight w:val="none"/>
          <w:lang w:val="en-US" w:eastAsia="ar-SA" w:bidi="ar-SA"/>
        </w:rPr>
        <w:t>反商业贿赂承诺书</w:t>
      </w:r>
      <w:r>
        <w:rPr>
          <w:rFonts w:hint="eastAsia" w:ascii="宋体" w:hAnsi="宋体" w:eastAsia="宋体" w:cs="宋体"/>
          <w:i w:val="0"/>
          <w:iCs w:val="0"/>
          <w:color w:val="auto"/>
          <w:kern w:val="2"/>
          <w:sz w:val="24"/>
          <w:szCs w:val="24"/>
          <w:highlight w:val="none"/>
          <w:lang w:val="en-US" w:eastAsia="zh-CN" w:bidi="ar-SA"/>
        </w:rPr>
        <w:t>》、《诚信投标承诺书》等承诺。</w:t>
      </w:r>
    </w:p>
    <w:p>
      <w:pPr>
        <w:pStyle w:val="27"/>
        <w:spacing w:line="360" w:lineRule="auto"/>
        <w:ind w:firstLine="567"/>
        <w:jc w:val="both"/>
        <w:rPr>
          <w:rFonts w:hint="eastAsia" w:ascii="宋体" w:hAnsi="宋体" w:cs="宋体"/>
          <w:bCs/>
          <w:color w:val="auto"/>
          <w:szCs w:val="24"/>
        </w:rPr>
      </w:pPr>
      <w:r>
        <w:rPr>
          <w:rFonts w:hint="eastAsia" w:ascii="宋体" w:hAnsi="宋体" w:cs="宋体"/>
          <w:bCs/>
          <w:color w:val="auto"/>
          <w:szCs w:val="24"/>
        </w:rPr>
        <w:t>，需提供书面声明。</w:t>
      </w:r>
    </w:p>
    <w:p>
      <w:pPr>
        <w:pStyle w:val="27"/>
        <w:spacing w:line="360" w:lineRule="auto"/>
        <w:ind w:firstLine="567"/>
        <w:jc w:val="both"/>
        <w:rPr>
          <w:rFonts w:hint="eastAsia" w:ascii="宋体" w:hAnsi="宋体" w:cs="宋体"/>
          <w:bCs/>
          <w:color w:val="auto"/>
          <w:szCs w:val="24"/>
        </w:rPr>
      </w:pPr>
      <w:r>
        <w:rPr>
          <w:rFonts w:hint="eastAsia" w:ascii="宋体" w:hAnsi="宋体" w:cs="宋体"/>
          <w:bCs/>
          <w:color w:val="auto"/>
          <w:szCs w:val="24"/>
        </w:rPr>
        <w:t>1.5  为保证政府采购活动公平、公正、诚实信用，投标人提供的材料及技术参数应真实有效，投标文件内提供书面诚信投标承诺书。</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cs="宋体"/>
          <w:bCs/>
          <w:color w:val="auto"/>
          <w:szCs w:val="24"/>
          <w:lang w:val="en-US" w:eastAsia="zh-CN"/>
        </w:rPr>
        <w:t>1.6 未保证本次招标活动公平竞争，杜绝任何形式的商业贿赂行为，投标文件内必须提供反商业贿赂承诺书。</w:t>
      </w:r>
    </w:p>
    <w:p>
      <w:pPr>
        <w:pStyle w:val="27"/>
        <w:spacing w:line="360" w:lineRule="auto"/>
        <w:ind w:left="561" w:leftChars="267" w:firstLine="2" w:firstLineChars="1"/>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  不符合以上条款规定的投标人，其投标无效。</w:t>
      </w:r>
    </w:p>
    <w:p>
      <w:pPr>
        <w:pStyle w:val="27"/>
        <w:spacing w:line="360" w:lineRule="auto"/>
        <w:ind w:left="561" w:leftChars="267" w:firstLine="2" w:firstLineChars="1"/>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 定义</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2.1“采购代理机构”系指新疆希林森建设项目管理有限公司。</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2.2“投标人”系指向采购代理机构提交响应文件的服务供应商或货物制造商或代理商。</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2.3“货物”系指卖方按合同要求，须向买方提供的设计文件、货物、机械、材料、备品、手册及其他技术资料和材料。详见《政府采购品目分类目录》(财库[2013]189号)。</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2.4“服务”系指按合同规定卖方须承担的运输、装卸、安装调试、技术协助、培训和交付使用后保修期内应履行的义务及售后服务等其他类似的义务。</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2.5“卖方”系指提供合同货物和服务的经济实体。本次招标指中标人。</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2.6“买方”系指购买货物和服务的单位，即为本次招标的采购人。</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2.7“节能产品”或者“环保产品”是指财政部发布最新一期的《节能产品政府采购清单》或者《环境标志产品政府采购清单》的产品，可在中国政府采购网(www.ccgp.gov.cn)查询。</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2.8“进口产品”是指通过中国海关报关验放进入中国境内且产自关境外的产品，详见《关于政府采购进口产品管理有关问题的通知》(财库[2007]119号)及《关于政府采购进口产品管理有关问题的通知》（财办库（2008）248号）。</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2.9 “语言文字”招标响应文件使用的语言文字为中文。专用术语使用外文的，应附有中文注释。</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2.10“计量单位”所有计量均采用中华人民共和国法定计量单位。</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 其他要求</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3.1 投标费用</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投标人应自行承担所有与本次招标投标有关的费用，而不论投标的结果如何。 </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3.2 采购进口产品</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3.2.1 除投标人须知前附表另有规定外，本项目拒绝进口产品参加招标采购活动。</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3.2.2 本章第4.1款规定同意购买进口产品的，本项目采购活动不限制满足竞争性磋商文件要求的国内产品参与招标。</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3.3 政府采购政策支持 </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3.3.1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产品优惠累加优惠。财政部门关于政府采购强制采购、优先采购的政策规定可在中国政府采购网(www.ccgp.gov.cn)查询。本项目价格扣除比例见投标人须知前附表。</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3.3.2 同一项目中部分产品属于优先采购政策的，评审时只对该部分产品的报价实行价格优惠。</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3.3.3 为推进政府采购诚信体系建设，供应商在签署相关承诺，提供相关信息前，应认真阅读财政部门相关政策规定。</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二、竞争性磋商文件</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 竞争性磋商文件</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4.1 竞争性磋商文件用以阐明所需货物或服务、招标投标程序和合同条款。包括：</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4.1.1 招标公告</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4.1.2 投标人须知</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4.1.3 合同条款及格式</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4.1.4 采购需求</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4.1.5 响应文件格式</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4.1.6 其他资料</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4.2 投标人应认真阅读竞争性磋商文件中所有的事项、格式、条款和规范等要求。如果没有按照竞争性磋商文件要求提交全部资料或者响应文件没有对竞争性磋商文件做出实质性响应，其投标将被拒绝。</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5. 竞争性磋商文件的澄清和修改</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5.1 招标人如需对已发出的竞争性磋商文件进行必要澄清或者修改的，招标代理机构将在竞争性磋商文件要求提交响应文件截止时间15日前，以书面形式通知所有获取竞争性磋商文件的投标人。该澄清或者修改的内容为竞争性磋商文件的组成部分。</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6. 延长开标时间</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招标人视采购具体情况如需延长投标截止时间和开标时间，招标代理机构将在竞争性磋商文件要求提交响应文件的截止时间3日前，将变更时间书面通知所有获取竞争性磋商文件的投标人。</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三、响应文件的编制</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7. 响应文件的编写</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7.1 投标人应仔细阅读竞争性磋商文件,了解竞争性磋商文件的要求，并在充分理解竞争性磋商文件提出的货物技术规范、服务和商务条款后的基础上制作响应文件。</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8. 投标的语言及计量单位</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8.1 投标人的响应文件以及投标人与采购代理机构就有关招标活动的所有来往函电均应使用中文。如果响应文件或与投标有关的其它文件、信件及来往函电以其它语言书写的，投标人应将其译成中文。</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8.2 响应文件中所使用的计量单位除竞争性磋商文件中有特殊规定外，一律使用法定计量单位。</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 响应文件构成</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9.1  投标人编写的响应文件应包含以下内容:</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9.1.1 资格、资信证明文件(以下文件必须在有效期内)</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 企业营业执照；</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 法定代表人身份证明、授权委托人身份证明及授权委托书</w:t>
      </w:r>
    </w:p>
    <w:p>
      <w:pPr>
        <w:pStyle w:val="27"/>
        <w:spacing w:line="360" w:lineRule="auto"/>
        <w:ind w:firstLine="480" w:firstLineChars="200"/>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（3）投标人认为有必要提供的声明及文件资料（包括但不限于近</w:t>
      </w:r>
      <w:r>
        <w:rPr>
          <w:rFonts w:hint="eastAsia" w:ascii="宋体" w:hAnsi="宋体" w:cs="宋体"/>
          <w:i w:val="0"/>
          <w:iCs w:val="0"/>
          <w:color w:val="auto"/>
          <w:kern w:val="2"/>
          <w:sz w:val="24"/>
          <w:szCs w:val="24"/>
          <w:highlight w:val="none"/>
          <w:lang w:val="en-US" w:eastAsia="zh-CN" w:bidi="ar-SA"/>
        </w:rPr>
        <w:t>一</w:t>
      </w:r>
      <w:r>
        <w:rPr>
          <w:rFonts w:hint="eastAsia" w:ascii="宋体" w:hAnsi="宋体" w:eastAsia="宋体" w:cs="宋体"/>
          <w:i w:val="0"/>
          <w:iCs w:val="0"/>
          <w:color w:val="auto"/>
          <w:kern w:val="2"/>
          <w:sz w:val="24"/>
          <w:szCs w:val="24"/>
          <w:highlight w:val="none"/>
          <w:lang w:val="en-US" w:eastAsia="zh-CN" w:bidi="ar-SA"/>
        </w:rPr>
        <w:t>年</w:t>
      </w:r>
      <w:r>
        <w:rPr>
          <w:rFonts w:hint="eastAsia" w:ascii="宋体" w:hAnsi="宋体" w:cs="宋体"/>
          <w:i w:val="0"/>
          <w:iCs w:val="0"/>
          <w:color w:val="auto"/>
          <w:kern w:val="2"/>
          <w:sz w:val="24"/>
          <w:szCs w:val="24"/>
          <w:highlight w:val="none"/>
          <w:lang w:val="en-US" w:eastAsia="zh-CN" w:bidi="ar-SA"/>
        </w:rPr>
        <w:t>（2022年）</w:t>
      </w:r>
      <w:r>
        <w:rPr>
          <w:rFonts w:hint="eastAsia" w:ascii="宋体" w:hAnsi="宋体" w:eastAsia="宋体" w:cs="宋体"/>
          <w:i w:val="0"/>
          <w:iCs w:val="0"/>
          <w:color w:val="auto"/>
          <w:kern w:val="2"/>
          <w:sz w:val="24"/>
          <w:szCs w:val="24"/>
          <w:highlight w:val="none"/>
          <w:lang w:val="en-US" w:eastAsia="zh-CN" w:bidi="ar-SA"/>
        </w:rPr>
        <w:t>财务审计报告、近六个月的完税证明、社保缴纳记录等）</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9.1.2 商务文件</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 投标函</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 法定代表人身份证明授权委托书</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 法定代表人的授权委托书</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w:t>
      </w:r>
      <w:r>
        <w:rPr>
          <w:rFonts w:hint="eastAsia" w:ascii="宋体" w:hAnsi="宋体" w:cs="宋体"/>
          <w:i w:val="0"/>
          <w:iCs w:val="0"/>
          <w:color w:val="auto"/>
          <w:kern w:val="2"/>
          <w:sz w:val="24"/>
          <w:szCs w:val="24"/>
          <w:highlight w:val="none"/>
          <w:lang w:val="en-US" w:eastAsia="zh-CN" w:bidi="ar-SA"/>
        </w:rPr>
        <w:t>4</w:t>
      </w:r>
      <w:r>
        <w:rPr>
          <w:rFonts w:hint="eastAsia" w:ascii="宋体" w:hAnsi="宋体" w:eastAsia="宋体" w:cs="宋体"/>
          <w:i w:val="0"/>
          <w:iCs w:val="0"/>
          <w:color w:val="auto"/>
          <w:kern w:val="2"/>
          <w:sz w:val="24"/>
          <w:szCs w:val="24"/>
          <w:highlight w:val="none"/>
          <w:lang w:val="en-US" w:eastAsia="zh-CN" w:bidi="ar-SA"/>
        </w:rPr>
        <w:t>) 《</w:t>
      </w:r>
      <w:r>
        <w:rPr>
          <w:rFonts w:hint="eastAsia" w:ascii="宋体" w:hAnsi="宋体" w:eastAsia="宋体" w:cs="宋体"/>
          <w:i w:val="0"/>
          <w:iCs w:val="0"/>
          <w:color w:val="auto"/>
          <w:kern w:val="2"/>
          <w:sz w:val="24"/>
          <w:szCs w:val="24"/>
          <w:highlight w:val="none"/>
          <w:lang w:val="en-US" w:eastAsia="ar-SA" w:bidi="ar-SA"/>
        </w:rPr>
        <w:t>无重大违法记录声明书</w:t>
      </w:r>
      <w:r>
        <w:rPr>
          <w:rFonts w:hint="eastAsia" w:ascii="宋体" w:hAnsi="宋体" w:eastAsia="宋体" w:cs="宋体"/>
          <w:i w:val="0"/>
          <w:iCs w:val="0"/>
          <w:color w:val="auto"/>
          <w:kern w:val="2"/>
          <w:sz w:val="24"/>
          <w:szCs w:val="24"/>
          <w:highlight w:val="none"/>
          <w:lang w:val="en-US" w:eastAsia="zh-CN" w:bidi="ar-SA"/>
        </w:rPr>
        <w:t>》、《</w:t>
      </w:r>
      <w:r>
        <w:rPr>
          <w:rFonts w:hint="eastAsia" w:ascii="宋体" w:hAnsi="宋体" w:eastAsia="宋体" w:cs="宋体"/>
          <w:i w:val="0"/>
          <w:iCs w:val="0"/>
          <w:color w:val="auto"/>
          <w:kern w:val="2"/>
          <w:sz w:val="24"/>
          <w:szCs w:val="24"/>
          <w:highlight w:val="none"/>
          <w:lang w:val="en-US" w:eastAsia="ar-SA" w:bidi="ar-SA"/>
        </w:rPr>
        <w:t>反商业贿赂承诺书</w:t>
      </w:r>
      <w:r>
        <w:rPr>
          <w:rFonts w:hint="eastAsia" w:ascii="宋体" w:hAnsi="宋体" w:eastAsia="宋体" w:cs="宋体"/>
          <w:i w:val="0"/>
          <w:iCs w:val="0"/>
          <w:color w:val="auto"/>
          <w:kern w:val="2"/>
          <w:sz w:val="24"/>
          <w:szCs w:val="24"/>
          <w:highlight w:val="none"/>
          <w:lang w:val="en-US" w:eastAsia="zh-CN" w:bidi="ar-SA"/>
        </w:rPr>
        <w:t>》、《诚信投标承诺书》等承诺。</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w:t>
      </w:r>
      <w:r>
        <w:rPr>
          <w:rFonts w:hint="eastAsia" w:ascii="宋体" w:hAnsi="宋体" w:cs="宋体"/>
          <w:i w:val="0"/>
          <w:iCs w:val="0"/>
          <w:color w:val="auto"/>
          <w:kern w:val="2"/>
          <w:sz w:val="24"/>
          <w:szCs w:val="24"/>
          <w:highlight w:val="none"/>
          <w:lang w:val="en-US" w:eastAsia="zh-CN" w:bidi="ar-SA"/>
        </w:rPr>
        <w:t>5</w:t>
      </w:r>
      <w:r>
        <w:rPr>
          <w:rFonts w:hint="eastAsia" w:ascii="宋体" w:hAnsi="宋体" w:eastAsia="宋体" w:cs="宋体"/>
          <w:i w:val="0"/>
          <w:iCs w:val="0"/>
          <w:color w:val="auto"/>
          <w:kern w:val="2"/>
          <w:sz w:val="24"/>
          <w:szCs w:val="24"/>
          <w:highlight w:val="none"/>
          <w:lang w:val="en-US" w:eastAsia="zh-CN" w:bidi="ar-SA"/>
        </w:rPr>
        <w:t>) 开标一览表</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w:t>
      </w:r>
      <w:r>
        <w:rPr>
          <w:rFonts w:hint="eastAsia" w:ascii="宋体" w:hAnsi="宋体" w:cs="宋体"/>
          <w:i w:val="0"/>
          <w:iCs w:val="0"/>
          <w:color w:val="auto"/>
          <w:kern w:val="2"/>
          <w:sz w:val="24"/>
          <w:szCs w:val="24"/>
          <w:highlight w:val="none"/>
          <w:lang w:val="en-US" w:eastAsia="zh-CN" w:bidi="ar-SA"/>
        </w:rPr>
        <w:t>6</w:t>
      </w:r>
      <w:r>
        <w:rPr>
          <w:rFonts w:hint="eastAsia" w:ascii="宋体" w:hAnsi="宋体" w:eastAsia="宋体" w:cs="宋体"/>
          <w:i w:val="0"/>
          <w:iCs w:val="0"/>
          <w:color w:val="auto"/>
          <w:kern w:val="2"/>
          <w:sz w:val="24"/>
          <w:szCs w:val="24"/>
          <w:highlight w:val="none"/>
          <w:lang w:val="en-US" w:eastAsia="zh-CN" w:bidi="ar-SA"/>
        </w:rPr>
        <w:t>) 投标人</w:t>
      </w:r>
      <w:r>
        <w:rPr>
          <w:rFonts w:hint="eastAsia" w:ascii="宋体" w:hAnsi="宋体" w:cs="宋体"/>
          <w:i w:val="0"/>
          <w:iCs w:val="0"/>
          <w:color w:val="auto"/>
          <w:kern w:val="2"/>
          <w:sz w:val="24"/>
          <w:szCs w:val="24"/>
          <w:highlight w:val="none"/>
          <w:lang w:val="en-US" w:eastAsia="zh-CN" w:bidi="ar-SA"/>
        </w:rPr>
        <w:t>基本情况表</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w:t>
      </w:r>
      <w:r>
        <w:rPr>
          <w:rFonts w:hint="eastAsia" w:ascii="宋体" w:hAnsi="宋体" w:cs="宋体"/>
          <w:i w:val="0"/>
          <w:iCs w:val="0"/>
          <w:color w:val="auto"/>
          <w:kern w:val="2"/>
          <w:sz w:val="24"/>
          <w:szCs w:val="24"/>
          <w:highlight w:val="none"/>
          <w:lang w:val="en-US" w:eastAsia="zh-CN" w:bidi="ar-SA"/>
        </w:rPr>
        <w:t>7</w:t>
      </w:r>
      <w:r>
        <w:rPr>
          <w:rFonts w:hint="eastAsia" w:ascii="宋体" w:hAnsi="宋体" w:eastAsia="宋体" w:cs="宋体"/>
          <w:i w:val="0"/>
          <w:iCs w:val="0"/>
          <w:color w:val="auto"/>
          <w:kern w:val="2"/>
          <w:sz w:val="24"/>
          <w:szCs w:val="24"/>
          <w:highlight w:val="none"/>
          <w:lang w:val="en-US" w:eastAsia="zh-CN" w:bidi="ar-SA"/>
        </w:rPr>
        <w:t>) 公司人员规模及构成</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w:t>
      </w:r>
      <w:r>
        <w:rPr>
          <w:rFonts w:hint="eastAsia" w:ascii="宋体" w:hAnsi="宋体" w:cs="宋体"/>
          <w:i w:val="0"/>
          <w:iCs w:val="0"/>
          <w:color w:val="auto"/>
          <w:kern w:val="2"/>
          <w:sz w:val="24"/>
          <w:szCs w:val="24"/>
          <w:highlight w:val="none"/>
          <w:lang w:val="en-US" w:eastAsia="zh-CN" w:bidi="ar-SA"/>
        </w:rPr>
        <w:t>8</w:t>
      </w:r>
      <w:r>
        <w:rPr>
          <w:rFonts w:hint="eastAsia" w:ascii="宋体" w:hAnsi="宋体" w:eastAsia="宋体" w:cs="宋体"/>
          <w:i w:val="0"/>
          <w:iCs w:val="0"/>
          <w:color w:val="auto"/>
          <w:kern w:val="2"/>
          <w:sz w:val="24"/>
          <w:szCs w:val="24"/>
          <w:highlight w:val="none"/>
          <w:lang w:val="en-US" w:eastAsia="zh-CN" w:bidi="ar-SA"/>
        </w:rPr>
        <w:t xml:space="preserve">) </w:t>
      </w:r>
      <w:r>
        <w:rPr>
          <w:rFonts w:hint="eastAsia" w:ascii="宋体" w:hAnsi="宋体" w:cs="宋体"/>
          <w:i w:val="0"/>
          <w:iCs w:val="0"/>
          <w:color w:val="auto"/>
          <w:kern w:val="2"/>
          <w:sz w:val="24"/>
          <w:szCs w:val="24"/>
          <w:highlight w:val="none"/>
          <w:lang w:val="en-US" w:eastAsia="zh-CN" w:bidi="ar-SA"/>
        </w:rPr>
        <w:t>拟投入项目人员情况一览表</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w:t>
      </w:r>
      <w:r>
        <w:rPr>
          <w:rFonts w:hint="eastAsia" w:ascii="宋体" w:hAnsi="宋体" w:cs="宋体"/>
          <w:i w:val="0"/>
          <w:iCs w:val="0"/>
          <w:color w:val="auto"/>
          <w:kern w:val="2"/>
          <w:sz w:val="24"/>
          <w:szCs w:val="24"/>
          <w:highlight w:val="none"/>
          <w:lang w:val="en-US" w:eastAsia="zh-CN" w:bidi="ar-SA"/>
        </w:rPr>
        <w:t>9</w:t>
      </w:r>
      <w:r>
        <w:rPr>
          <w:rFonts w:hint="eastAsia" w:ascii="宋体" w:hAnsi="宋体" w:eastAsia="宋体" w:cs="宋体"/>
          <w:i w:val="0"/>
          <w:iCs w:val="0"/>
          <w:color w:val="auto"/>
          <w:kern w:val="2"/>
          <w:sz w:val="24"/>
          <w:szCs w:val="24"/>
          <w:highlight w:val="none"/>
          <w:lang w:val="en-US" w:eastAsia="zh-CN" w:bidi="ar-SA"/>
        </w:rPr>
        <w:t>)中小企业声明函</w:t>
      </w:r>
    </w:p>
    <w:p>
      <w:pPr>
        <w:pStyle w:val="27"/>
        <w:spacing w:line="360" w:lineRule="auto"/>
        <w:ind w:firstLine="567"/>
        <w:jc w:val="both"/>
        <w:rPr>
          <w:rFonts w:hint="default"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w:t>
      </w:r>
      <w:r>
        <w:rPr>
          <w:rFonts w:hint="eastAsia" w:ascii="宋体" w:hAnsi="宋体" w:cs="宋体"/>
          <w:i w:val="0"/>
          <w:iCs w:val="0"/>
          <w:color w:val="auto"/>
          <w:kern w:val="2"/>
          <w:sz w:val="24"/>
          <w:szCs w:val="24"/>
          <w:highlight w:val="none"/>
          <w:lang w:val="en-US" w:eastAsia="zh-CN" w:bidi="ar-SA"/>
        </w:rPr>
        <w:t>0</w:t>
      </w:r>
      <w:r>
        <w:rPr>
          <w:rFonts w:hint="eastAsia" w:ascii="宋体" w:hAnsi="宋体" w:eastAsia="宋体" w:cs="宋体"/>
          <w:i w:val="0"/>
          <w:iCs w:val="0"/>
          <w:color w:val="auto"/>
          <w:kern w:val="2"/>
          <w:sz w:val="24"/>
          <w:szCs w:val="24"/>
          <w:highlight w:val="none"/>
          <w:lang w:val="en-US" w:eastAsia="zh-CN" w:bidi="ar-SA"/>
        </w:rPr>
        <w:t>)其他材料</w:t>
      </w:r>
    </w:p>
    <w:p>
      <w:pPr>
        <w:pStyle w:val="27"/>
        <w:spacing w:line="360" w:lineRule="auto"/>
        <w:ind w:firstLine="567"/>
        <w:jc w:val="both"/>
        <w:rPr>
          <w:rFonts w:hint="default"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9.1.3 技术文件</w:t>
      </w:r>
      <w:r>
        <w:rPr>
          <w:rFonts w:hint="eastAsia" w:ascii="宋体" w:hAnsi="宋体" w:cs="宋体"/>
          <w:i w:val="0"/>
          <w:iCs w:val="0"/>
          <w:color w:val="auto"/>
          <w:kern w:val="2"/>
          <w:sz w:val="24"/>
          <w:szCs w:val="24"/>
          <w:highlight w:val="none"/>
          <w:lang w:val="en-US" w:eastAsia="zh-CN" w:bidi="ar-SA"/>
        </w:rPr>
        <w:t>包含内容</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 实施方案</w:t>
      </w:r>
    </w:p>
    <w:p>
      <w:pPr>
        <w:pStyle w:val="27"/>
        <w:spacing w:line="360" w:lineRule="auto"/>
        <w:ind w:firstLine="567"/>
        <w:jc w:val="both"/>
        <w:rPr>
          <w:rFonts w:hint="eastAsia" w:ascii="宋体" w:hAnsi="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(2) </w:t>
      </w:r>
      <w:r>
        <w:rPr>
          <w:rFonts w:hint="eastAsia" w:ascii="宋体" w:hAnsi="宋体" w:cs="宋体"/>
          <w:i w:val="0"/>
          <w:iCs w:val="0"/>
          <w:color w:val="auto"/>
          <w:kern w:val="2"/>
          <w:sz w:val="24"/>
          <w:szCs w:val="24"/>
          <w:highlight w:val="none"/>
          <w:lang w:val="en-US" w:eastAsia="zh-CN" w:bidi="ar-SA"/>
        </w:rPr>
        <w:t>售后服务方案</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 投标人认为有必要提供的声明及文件资料</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9.1.4 电子标书</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本项目实行电子招投标，供应商需要使用CA锁，在新疆政府采购网--下载专区下载--供应商客户端制作投标文件，并生成JMBS格式加密文件，在投标截止前上传至政府采购云平台。</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9.2 第9.1.1条中第(1)(2)(3)项、第9.1.2条中第(1)(2)(3)(4)项、第9.1.3条中第(1)(2)(3)项为必备项，投标人在响应文件中必须提供有关材料，如果缺项，将导致投标失败。</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9.3 投标人在投标中违反国家有关法律法规的强制性规定的，其投标按未满足竞争性磋商文件实质性要求处理。</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10.  投标书格式</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10.1  投标人应按竞争性磋商文件提供的格式完整地填写所提供的货物、服务、数量及价格。</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  投标报价</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11.1  投标人应按竞争性磋商文件要求，标明拟提供服务的单价和总价。如单价和总价不符，以单价累计为准。</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11.2 本标针对每种服务只接受一个报价，不接受备选方案，但不拒绝优惠声明。</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11.3  投标人应按竞争性磋商文件的要求对有关设计文件、服务的全部内容进行报价。</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12.   投标货币</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12.1 本次投标货币为人民币。</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13.  证明投标人合格和资格的文件</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13.1 投标人应提交证明其有资格参加投标和一旦其投标被接受则有能力履行合同的文件，并作为其响应文件的一部分。</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13.2 投标人应填写并提交竞争性磋商文件所要求的资格证明类文件。</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14.  证明服务的合格性和符合竞争性磋商文件规定的文件</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14.1 投标人应提交竞争性磋商文件要求的服务的合格性及符合竞争性磋商文件规定的证明文件。证明文件可以是图纸和资料等，并作为响应文件的一部分。</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14.2 投标人应逐条阅读竞争性磋商文件要求的技术规格条款要求，指出自己提供的服务是否对竞争性磋商文件做出实质性的响应，并将不能响应之处在竞争性磋商文件所附的“技术规格偏离表”一一列出。否则，将视为投标人同意、确认或接受竞争性磋商文件的全部或相应部分的要求。</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15.  响应文件的有效期</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15.1  响应文件从实际开标之日起30天内有效。</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15.2  在特殊情况下, 在原投标有效期届满之前，采购代理机构、招标人可与投标单位协商延长响应文件的有效期，并经投标方确认。</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15.3 投标人在投标有效期内撤销响应文件的，采购代理机构可以不退还投标保证金。</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  响应文件的书写要求、标记要求、签署，未按要求编制，响应文件将不能通过符合性检查，按重大偏离处理。</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16.1  响应文件须用不褪色的墨水笔书写。</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16.2  响应文件的书写应清楚工整，修改处应由法定代表人或投标人授权代表签章。</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16.3  未实质性响应竞争性磋商文件、或者关键字迹潦草、关键内容表达不清、或者未按要求填写编制、或者可能导致非唯一理解的响应文件将被拒绝。</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16.4  响应文件具有法律效力,若响应文件与采购需求要求不一致，其内容影响成交结果时，责任由供应商自行承担。 </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16.5 为了保证响应文件的合法性、安全性和完整性，响应文件必须逐页加盖单位公章。授权代表须将 “法人授权书”（原件）附在响应文件中。</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16.6 除供应商对错处做必要修改外，响应文件不得行间插字、涂改或增删。如有修改错漏处，必须由响应文件签署人签字或盖章。</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16.7  响应文件的份数：详见《投标人须知前附表》。</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16.8  投标人可根据投标服务的具体需要自行编制其它文件纳入投标书中。</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16.9  纸质版响应文件的装订必须采用死页胶粘本，不允许活页形式装订（非胶粘方式装订的投标书一律视同活页装订）。</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  投标保证金</w:t>
      </w:r>
      <w:r>
        <w:rPr>
          <w:rFonts w:hint="eastAsia" w:ascii="宋体" w:hAnsi="宋体" w:cs="宋体"/>
          <w:i w:val="0"/>
          <w:iCs w:val="0"/>
          <w:color w:val="auto"/>
          <w:kern w:val="2"/>
          <w:sz w:val="24"/>
          <w:szCs w:val="24"/>
          <w:highlight w:val="none"/>
          <w:lang w:val="en-US" w:eastAsia="zh-CN" w:bidi="ar-SA"/>
        </w:rPr>
        <w:t>（本项目不做要求）</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17.1  投标保证金金额：详见投标人须知前附表规定。</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17.2  投标保证金用于保护本次招标免受投标人的违规、违约行为而引起的风险。</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17.3  投标保证金应用人民币，由投标人按第二章《投标人须知》中明确的银行、帐号等信息，于开标前缴纳。对未按要求提交投标保证金的投标书，采购代理机构将视为不响应投标而予以拒绝。</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17.4 投标保证金应以前附表要求的方式提交。投标保证金必须从各单位基本账户汇出。本标不接受银行保函形式的投标保证金。</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17.5  中标人的投标保证金自采购合同签定之日起5个工作日内不计利息予以退还。</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17.6  未中标人的投标保证金，自中标通知书发出之日起5个工作日内不计利息予以退还。</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17.7  发生以下情况中标人的投标保证金可能被没收：</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17.7.1 未按28条规定签定合同；</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17.7.2 未按第31条有关缴纳中标服务费的规定；</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17.7.3 未按竞争性磋商文件要求提交合同履约保证金的。</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四、响应文件的递交</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18.  响应文件递交的格式</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18.1  投标供应商应当在投标截止时间前，将生成的“JMBS格式电子加密响应文件”上传递交至“政府采购云平台”，投标截止时间以后上传递交的响应文件将被“政府采购云平台”拒收。</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18.2  未按本须知要求投递响应文件，造成无法投标或投标失败等后果的由供应商自行承担。</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19.  响应文件递交的截止日期</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19.1  投标人必须在《投标人须知前附表》中规定的时间之前将响应文件送达到规定的地点。</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19.2  超过竞争性磋商文件规定的投标截止时间送达的响应文件将不予接受。</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  响应文件的修改和撤销</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20.1  投标人对其响应文件进行的修改或撤销应以书面形式并在竞争性磋商文件规定的投标截止时间前送达招标人、采购代理机构手中。</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20.2  投标人对响应文件的修改或撤销应按竞争性磋商文件规定进行准备、标注和递交。</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20.3  投标截止时间以后，不允许对响应文件进行修改。</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20.4  投标人不得在投标截止时间起至响应文件有效期满前撤销响应文件。</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五、开标</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  开标</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21.1  除非采购代理机构另外书面通知，本标将按本竞争性磋商文件《投标人须知前附表》中规定的时间和地点开标。</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21.2  开标时，招标人、监督部门、公证部门的工作人员将对开标会议到场监督。</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21.3  开标时，投标单位完成在线解密后，由工作人员开始唱标。</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21.4  唱标完毕后，如果投标人对所唱内容有异议，应当场立即提出。经现场监标人员确认，认为有必要重新唱标的，由唱标员重新唱标。</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21.5  所有唱标均记录在案，并经监标人员或公证人员的签字，作为各投标人响应文件的组成部分。</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21.6  投标人代表对开标过程和开标记录有疑义，以及认为采购人、采购代理机构相关工作人员有需要回避的情形的，应当场提出询问或者回避申请。</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21.7  投标人未参加开标的，视同认可开标结果。</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六、评标和定标</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 评标原则</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22.1  本标的评标遵循公平、公正、科学、择优的原则。</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22.2  评标委员会将严格按照《中华人民共和国招标投标法》、《中华人民共和国招标投标法实施条例》、《政府采购货物和服务招标投标管理办法》（财政部87号令）的规定及相关法律法规的规定依法评标，维护招标投标各方当事人的合法权益。法律、法规、规章和省级以上财政部门涉及政府采购政策功能及其他规定，评标委员会应根据竞争性磋商文件规定，优先推荐节能、环保产品，优先考虑中小企业。投标人符合规定，获得相应政府采购政策优惠的，应提供相关证明材料。</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22.3  不徇私情，不明招暗定。</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22.4  资格审查合格的投标人，均有同等机会参加竞争。</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22.5  评标人员不得私自泄露评标内容，不得进行旨在影响评标结果公正、公平的任何活动。</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22.6  对于响应文件中含义不明确、同类问题表述不一致或者有明显文字和计算错误的内容，评标委员会应当以书面形式要求投标人作出必要的澄清、说明或者补正。</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  评标方法</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23.1  采购代理机构将根据有关法律法规的规定组建本次招标的评标委员会。评标委员会成员由本行业相关技术、经济等方面的专家组成。其中，技术、经济等方面的专家不少于成员总人数的三分之二。</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23.2  评标的依据为竞争性磋商文件和响应文件。根据相关法律法规的规定，评标委员会不以任何外部证据作为其评标的依据或标准。</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23.3  评标过程将严格保密。开标后直到授予中标人合同止，凡是属于审查、澄清、评价和比较的有关评标资料以及授标建议等均不得向投标人或其他无关的人员透露。</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23.4  在评标的整个过程中，投标人所进行的旨在影响评标结果的活动，可能导致其投标被拒绝，或者被取消中标资格。</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23.5  本次招标采用综合评分法进行评标。评标分初步评审和详细评审两个阶段。</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23.5.1  初步评审分为资格性检查和符合性检查，只有通过初步评审的响应文件才可进入详细评审阶段。</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23.5.2  详细评审分为经济报价部分和技术标评审两个部分。</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  初步评审</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A. 资格性检查：依据法律法规和竞争性磋商文件的规定，对响应文件中的资格证明、投标保证金等进行审查，以确定投标人是否具备投标资格。</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B. 符合性检查：依据竞争性磋商文件的规定，从响应文件的有效性、完整性和对竞争性磋商文件的响应程度进行审查，以确定是否对竞争性磋商文件的实质性要求作出响应，判定其内容是否真实可靠，是否满足竞争性磋商文件的最基本的实质性要求，是否存在重大偏离。重大偏离系指响应文件的有效性、真实性、合同的服务范围和采购需求等内容在实质上与竞争性磋商文件形成了重大的不一致，而这种不一致可能限制了买方的权力和投标人的义务，纠正或承认这些偏离将会对该投标人和其它投标人合理的竞争地位产生不公正的影响。与竞争性磋商文件有重大偏离的响应文件将被拒绝。</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具体评审内容系指：</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23.6.1  投标人不满足本竞争性磋商文件关于对投标人资格证明文件的规定；</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23.6.2  响应文件组成不完整，主要内容未能按竞争性磋商文件规定的内容、格式填写；</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23.6.3  响应文件的有效期不满足竞争性磋商文件的规定；</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23.6.4  响应文件没有按照规定签章的；</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23.6.5  投标代表授权书未能由法定代表人签署；</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23.6.6  响应文件针对每一项出现了两个或两个以上的报价；</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23.6.7  投标报价超过最高限价；</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23.6.8  明显不符合竞争性磋商文件关于对招标内容的要求；</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23.6.9  响应文件载明的招标项目工期超过竞争性磋商文件规定的期限；</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23.6.10 响应文件含有采购人不能接受的附加条件；</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23.6.11 不符合竞争性磋商文件规定的其他实质性要求。</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 对通过初步评审的响应文件，评标委员会将对其进行算术性修正。算术性修正是指对响应文件的报价明细进行校核，并对其算术上和运算上的差错给予修正。修正的原则如下：</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23.7.1  大写金额和小写金额不一致的，以大写金额为准；</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23.7.2  单价金额小数点或者百分比有明显错位的，以总价为准，并修改单价；</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23.7.3  总价金额与按单价汇总金额不一致的，以单价金额计算结果为准。</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23.7.4  同时出现两种以上不一致的，按照前款规定的顺序修正。修正后的报价需经投标人确认后产生约束力，投标人不确认的，其投标无效。</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23.7.5  投标人的澄清、说明或者补正应当采用书面形式，并加盖公章，或者由法定代表人或其授权的代表签字。投标人的澄清、说明或者补正不得超出响应文件的范围或者改变响应文件的实质性内容。</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23.7.6  对不同文字文本响应文件的解释发生异议的，以中文文本为准。</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23.7.7  评标委员会将拒绝被定为实质上非响应性的投标，投标人不能通过修正或撤销不符之处而使其投标成为响应性投标。</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23.7.8  评标委员会将允许投标中有微小的不正规、不一致或不规则，而该微小之处不构成重大偏离。</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23.8   磋商过程和评标准则</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23.9  通过初步评审及算术性修正的响应文件将进入详细评审阶段。</w:t>
      </w:r>
    </w:p>
    <w:p>
      <w:pPr>
        <w:pStyle w:val="27"/>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23.9.1  详细评审中，评标委员会将采用综合评估法中的打分法，以响应文件能最大限度地满足竞争性磋商文件中规定的各项评价标准为依据，独立地对各响应文件进行评审和打分。</w:t>
      </w:r>
    </w:p>
    <w:p>
      <w:pPr>
        <w:pStyle w:val="27"/>
        <w:spacing w:line="360" w:lineRule="auto"/>
        <w:ind w:firstLine="567"/>
        <w:jc w:val="both"/>
        <w:rPr>
          <w:rFonts w:hint="eastAsia" w:ascii="宋体" w:hAnsi="宋体" w:cs="宋体"/>
          <w:b/>
          <w:color w:val="auto"/>
          <w:sz w:val="24"/>
          <w:highlight w:val="none"/>
        </w:rPr>
      </w:pPr>
      <w:r>
        <w:rPr>
          <w:rFonts w:hint="eastAsia" w:ascii="宋体" w:hAnsi="宋体" w:eastAsia="宋体" w:cs="宋体"/>
          <w:i w:val="0"/>
          <w:iCs w:val="0"/>
          <w:color w:val="auto"/>
          <w:kern w:val="2"/>
          <w:sz w:val="24"/>
          <w:szCs w:val="24"/>
          <w:highlight w:val="none"/>
          <w:lang w:val="en-US" w:eastAsia="zh-CN" w:bidi="ar-SA"/>
        </w:rPr>
        <w:t>23.9.2  评标委员会将对下述评审因素进行量化，并根据评委会每个成员对响应文件的评审和理解进行打分。经济报价权重占</w:t>
      </w:r>
      <w:r>
        <w:rPr>
          <w:rFonts w:hint="eastAsia" w:ascii="宋体" w:hAnsi="宋体" w:cs="宋体"/>
          <w:i w:val="0"/>
          <w:iCs w:val="0"/>
          <w:color w:val="auto"/>
          <w:kern w:val="2"/>
          <w:sz w:val="24"/>
          <w:szCs w:val="24"/>
          <w:highlight w:val="none"/>
          <w:lang w:val="en-US" w:eastAsia="zh-CN" w:bidi="ar-SA"/>
        </w:rPr>
        <w:t>1</w:t>
      </w:r>
      <w:r>
        <w:rPr>
          <w:rFonts w:hint="eastAsia" w:ascii="宋体" w:hAnsi="宋体" w:eastAsia="宋体" w:cs="宋体"/>
          <w:i w:val="0"/>
          <w:iCs w:val="0"/>
          <w:color w:val="auto"/>
          <w:kern w:val="2"/>
          <w:sz w:val="24"/>
          <w:szCs w:val="24"/>
          <w:highlight w:val="none"/>
          <w:lang w:val="en-US" w:eastAsia="zh-CN" w:bidi="ar-SA"/>
        </w:rPr>
        <w:t>0%，技术标权重占</w:t>
      </w:r>
      <w:r>
        <w:rPr>
          <w:rFonts w:hint="eastAsia" w:ascii="宋体" w:hAnsi="宋体" w:cs="宋体"/>
          <w:i w:val="0"/>
          <w:iCs w:val="0"/>
          <w:color w:val="auto"/>
          <w:kern w:val="2"/>
          <w:sz w:val="24"/>
          <w:szCs w:val="24"/>
          <w:highlight w:val="none"/>
          <w:lang w:val="en-US" w:eastAsia="zh-CN" w:bidi="ar-SA"/>
        </w:rPr>
        <w:t>9</w:t>
      </w:r>
      <w:r>
        <w:rPr>
          <w:rFonts w:hint="eastAsia" w:ascii="宋体" w:hAnsi="宋体" w:eastAsia="宋体" w:cs="宋体"/>
          <w:i w:val="0"/>
          <w:iCs w:val="0"/>
          <w:color w:val="auto"/>
          <w:kern w:val="2"/>
          <w:sz w:val="24"/>
          <w:szCs w:val="24"/>
          <w:highlight w:val="none"/>
          <w:lang w:val="en-US" w:eastAsia="zh-CN" w:bidi="ar-SA"/>
        </w:rPr>
        <w:t>0%。投标人两部分的分值相加，即为该投标人的评标总得分。</w:t>
      </w:r>
    </w:p>
    <w:p>
      <w:pPr>
        <w:spacing w:line="360" w:lineRule="auto"/>
        <w:jc w:val="center"/>
        <w:outlineLvl w:val="2"/>
        <w:rPr>
          <w:rFonts w:hint="eastAsia" w:ascii="宋体" w:hAnsi="宋体" w:cs="宋体"/>
          <w:b/>
          <w:color w:val="auto"/>
          <w:sz w:val="24"/>
          <w:highlight w:val="none"/>
        </w:rPr>
      </w:pPr>
    </w:p>
    <w:p>
      <w:pPr>
        <w:rPr>
          <w:rFonts w:hint="eastAsia" w:ascii="宋体" w:hAnsi="宋体" w:cs="宋体"/>
          <w:b/>
          <w:color w:val="auto"/>
          <w:sz w:val="24"/>
          <w:highlight w:val="none"/>
        </w:rPr>
      </w:pPr>
      <w:r>
        <w:rPr>
          <w:rFonts w:hint="eastAsia" w:ascii="宋体" w:hAnsi="宋体" w:cs="宋体"/>
          <w:b/>
          <w:color w:val="auto"/>
          <w:sz w:val="24"/>
          <w:highlight w:val="none"/>
        </w:rPr>
        <w:br w:type="page"/>
      </w:r>
    </w:p>
    <w:p>
      <w:pPr>
        <w:spacing w:line="360" w:lineRule="auto"/>
        <w:jc w:val="center"/>
        <w:outlineLvl w:val="2"/>
        <w:rPr>
          <w:rFonts w:hint="eastAsia" w:ascii="宋体" w:hAnsi="宋体" w:cs="宋体"/>
          <w:b/>
          <w:color w:val="auto"/>
          <w:sz w:val="24"/>
        </w:rPr>
      </w:pPr>
      <w:r>
        <w:rPr>
          <w:rFonts w:hint="eastAsia" w:ascii="宋体" w:hAnsi="宋体" w:cs="宋体"/>
          <w:b/>
          <w:color w:val="auto"/>
          <w:sz w:val="24"/>
          <w:highlight w:val="none"/>
        </w:rPr>
        <w:t>初步评审标准</w:t>
      </w:r>
    </w:p>
    <w:tbl>
      <w:tblPr>
        <w:tblStyle w:val="19"/>
        <w:tblW w:w="9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510"/>
        <w:gridCol w:w="8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restart"/>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初步评审</w:t>
            </w:r>
          </w:p>
        </w:tc>
        <w:tc>
          <w:tcPr>
            <w:tcW w:w="8907" w:type="dxa"/>
            <w:gridSpan w:val="2"/>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center"/>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1</w:t>
            </w:r>
          </w:p>
        </w:tc>
        <w:tc>
          <w:tcPr>
            <w:tcW w:w="8397"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color w:val="auto"/>
                <w:sz w:val="24"/>
                <w:lang w:eastAsia="zh-CN"/>
              </w:rPr>
              <w:t>具有有效的营业执照；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2</w:t>
            </w:r>
          </w:p>
        </w:tc>
        <w:tc>
          <w:tcPr>
            <w:tcW w:w="8397"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color w:val="auto"/>
                <w:sz w:val="24"/>
                <w:lang w:val="en-US" w:eastAsia="zh-CN"/>
              </w:rPr>
              <w:t>具有近三个月的社保证明（需有相关人员的社保缴纳明细，退休人员需提供退休证明，新成立的企业提供企业成立至今的社保即可）</w:t>
            </w:r>
            <w:r>
              <w:rPr>
                <w:rFonts w:hint="eastAsia" w:ascii="宋体" w:hAnsi="宋体" w:cs="宋体"/>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3</w:t>
            </w:r>
          </w:p>
        </w:tc>
        <w:tc>
          <w:tcPr>
            <w:tcW w:w="8397"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i w:val="0"/>
                <w:iCs w:val="0"/>
                <w:color w:val="auto"/>
                <w:sz w:val="24"/>
                <w:highlight w:val="none"/>
                <w:lang w:val="en-US" w:eastAsia="zh-CN"/>
              </w:rPr>
              <w:t>具有近</w:t>
            </w:r>
            <w:r>
              <w:rPr>
                <w:rFonts w:hint="eastAsia" w:ascii="宋体" w:hAnsi="宋体" w:cs="宋体"/>
                <w:i w:val="0"/>
                <w:iCs w:val="0"/>
                <w:color w:val="auto"/>
                <w:sz w:val="24"/>
                <w:highlight w:val="none"/>
                <w:lang w:val="en-US" w:eastAsia="zh-CN"/>
              </w:rPr>
              <w:t>三</w:t>
            </w:r>
            <w:r>
              <w:rPr>
                <w:rFonts w:hint="eastAsia" w:ascii="宋体" w:hAnsi="宋体" w:eastAsia="宋体" w:cs="宋体"/>
                <w:i w:val="0"/>
                <w:iCs w:val="0"/>
                <w:color w:val="auto"/>
                <w:sz w:val="24"/>
                <w:highlight w:val="none"/>
                <w:lang w:val="en-US" w:eastAsia="zh-CN"/>
              </w:rPr>
              <w:t>个月完税证明</w:t>
            </w:r>
            <w:r>
              <w:rPr>
                <w:rFonts w:hint="eastAsia" w:ascii="宋体" w:hAnsi="宋体" w:eastAsia="宋体" w:cs="宋体"/>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4</w:t>
            </w:r>
          </w:p>
        </w:tc>
        <w:tc>
          <w:tcPr>
            <w:tcW w:w="8397"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近一年（2022年）的财务审计报告（企业成立不足一年的提供成立至今的财务审计报告，成立不足一年的提供成立至今的财务报表，包含资产负债表、现金流量表、利润表）</w:t>
            </w:r>
            <w:r>
              <w:rPr>
                <w:rFonts w:hint="eastAsia" w:ascii="宋体" w:hAnsi="宋体" w:eastAsia="宋体" w:cs="宋体"/>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5</w:t>
            </w:r>
          </w:p>
        </w:tc>
        <w:tc>
          <w:tcPr>
            <w:tcW w:w="8397"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i w:val="0"/>
                <w:iCs w:val="0"/>
                <w:color w:val="auto"/>
                <w:sz w:val="24"/>
                <w:highlight w:val="none"/>
                <w:lang w:val="en-US" w:eastAsia="zh-CN"/>
              </w:rPr>
              <w:t>供应商未被列入</w:t>
            </w:r>
            <w:r>
              <w:rPr>
                <w:rFonts w:hint="eastAsia" w:ascii="宋体" w:hAnsi="宋体" w:eastAsia="宋体" w:cs="宋体"/>
                <w:i w:val="0"/>
                <w:iCs w:val="0"/>
                <w:color w:val="auto"/>
                <w:sz w:val="24"/>
                <w:highlight w:val="none"/>
                <w:lang w:val="en-US" w:eastAsia="ar-SA"/>
              </w:rPr>
              <w:t>“信用中国”网站信用信息报告和国家企业信用信息公示报告、中国政府采购</w:t>
            </w:r>
            <w:r>
              <w:rPr>
                <w:rFonts w:hint="eastAsia" w:ascii="宋体" w:hAnsi="宋体" w:eastAsia="宋体" w:cs="宋体"/>
                <w:i w:val="0"/>
                <w:iCs w:val="0"/>
                <w:color w:val="auto"/>
                <w:sz w:val="24"/>
                <w:highlight w:val="none"/>
                <w:lang w:val="en-US" w:eastAsia="zh-CN"/>
              </w:rPr>
              <w:t>被列入严重违法失信行为记录名单（尚在处罚期内的）；（在“信用中国”网站和“中国政府采购网”网站查询结果为准，如相关失信记录已失效，供应商需提供相关证明资料）</w:t>
            </w:r>
            <w:r>
              <w:rPr>
                <w:rFonts w:hint="eastAsia" w:ascii="宋体" w:hAnsi="宋体" w:eastAsia="宋体" w:cs="宋体"/>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6</w:t>
            </w:r>
          </w:p>
        </w:tc>
        <w:tc>
          <w:tcPr>
            <w:tcW w:w="8397"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响应文件针对每一项出现了两个或两个以上的报价；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7</w:t>
            </w:r>
          </w:p>
        </w:tc>
        <w:tc>
          <w:tcPr>
            <w:tcW w:w="8397"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投标报价超过最高限价；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8</w:t>
            </w:r>
          </w:p>
        </w:tc>
        <w:tc>
          <w:tcPr>
            <w:tcW w:w="8397"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明显不符合竞争性磋商文件关于对招标内容的要求；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9</w:t>
            </w:r>
          </w:p>
        </w:tc>
        <w:tc>
          <w:tcPr>
            <w:tcW w:w="8397"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响应文件载明的招标项目工期超过竞争性磋商文件规定的期限；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10</w:t>
            </w:r>
          </w:p>
        </w:tc>
        <w:tc>
          <w:tcPr>
            <w:tcW w:w="8397"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响应文件含有采购人不能接受的附加条件；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11</w:t>
            </w:r>
          </w:p>
        </w:tc>
        <w:tc>
          <w:tcPr>
            <w:tcW w:w="8397"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不符合竞争性磋商文件规定的其他实质性要求。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52" w:type="dxa"/>
            <w:gridSpan w:val="3"/>
            <w:noWrap w:val="0"/>
            <w:vAlign w:val="center"/>
          </w:tcPr>
          <w:p>
            <w:pPr>
              <w:spacing w:line="360" w:lineRule="auto"/>
              <w:jc w:val="center"/>
              <w:rPr>
                <w:rFonts w:hint="eastAsia" w:ascii="宋体" w:hAnsi="宋体" w:cs="宋体"/>
                <w:b/>
                <w:bCs/>
                <w:color w:val="auto"/>
                <w:sz w:val="24"/>
              </w:rPr>
            </w:pPr>
            <w:r>
              <w:rPr>
                <w:rFonts w:hint="eastAsia" w:ascii="宋体" w:hAnsi="宋体" w:cs="宋体"/>
                <w:b/>
                <w:bCs/>
                <w:color w:val="auto"/>
                <w:sz w:val="24"/>
              </w:rPr>
              <w:t>初步评审合格后方可进入详细评审阶段</w:t>
            </w:r>
          </w:p>
        </w:tc>
      </w:tr>
    </w:tbl>
    <w:p>
      <w:pPr>
        <w:spacing w:line="360" w:lineRule="auto"/>
        <w:rPr>
          <w:rFonts w:hint="eastAsia" w:ascii="宋体" w:hAnsi="宋体" w:cs="宋体"/>
          <w:b/>
          <w:bCs/>
          <w:color w:val="auto"/>
          <w:sz w:val="24"/>
          <w:highlight w:val="none"/>
        </w:rPr>
      </w:pPr>
    </w:p>
    <w:p>
      <w:pPr>
        <w:pStyle w:val="5"/>
        <w:rPr>
          <w:rFonts w:hint="eastAsia" w:ascii="宋体" w:hAnsi="宋体" w:cs="宋体"/>
          <w:b/>
          <w:bCs/>
          <w:color w:val="auto"/>
          <w:sz w:val="24"/>
          <w:highlight w:val="none"/>
        </w:rPr>
      </w:pPr>
    </w:p>
    <w:p>
      <w:pPr>
        <w:pStyle w:val="6"/>
        <w:rPr>
          <w:rFonts w:hint="eastAsia"/>
          <w:color w:val="auto"/>
        </w:rPr>
      </w:pPr>
    </w:p>
    <w:p>
      <w:pPr>
        <w:spacing w:line="360" w:lineRule="auto"/>
        <w:jc w:val="both"/>
        <w:rPr>
          <w:rFonts w:hint="eastAsia" w:ascii="宋体" w:hAnsi="宋体" w:cs="宋体"/>
          <w:b/>
          <w:bCs/>
          <w:color w:val="auto"/>
          <w:sz w:val="24"/>
          <w:highlight w:val="none"/>
        </w:rPr>
      </w:pPr>
    </w:p>
    <w:p>
      <w:pPr>
        <w:spacing w:line="360" w:lineRule="auto"/>
        <w:jc w:val="center"/>
        <w:rPr>
          <w:rFonts w:hint="eastAsia" w:ascii="宋体" w:hAnsi="宋体" w:cs="宋体"/>
          <w:b/>
          <w:bCs/>
          <w:color w:val="auto"/>
          <w:sz w:val="24"/>
          <w:highlight w:val="none"/>
        </w:rPr>
      </w:pPr>
    </w:p>
    <w:p>
      <w:pPr>
        <w:spacing w:line="360" w:lineRule="auto"/>
        <w:jc w:val="center"/>
        <w:rPr>
          <w:rFonts w:hint="eastAsia" w:ascii="宋体" w:hAnsi="宋体" w:cs="宋体"/>
          <w:b/>
          <w:bCs/>
          <w:color w:val="auto"/>
          <w:sz w:val="24"/>
          <w:highlight w:val="none"/>
        </w:rPr>
      </w:pPr>
    </w:p>
    <w:p>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经济报价评分标准</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9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60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经</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济</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报</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价</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K1</w:t>
            </w:r>
          </w:p>
        </w:tc>
        <w:tc>
          <w:tcPr>
            <w:tcW w:w="9545" w:type="dxa"/>
            <w:noWrap w:val="0"/>
            <w:vAlign w:val="top"/>
          </w:tcPr>
          <w:p>
            <w:pPr>
              <w:pStyle w:val="28"/>
              <w:adjustRightInd w:val="0"/>
              <w:snapToGrid w:val="0"/>
              <w:spacing w:line="240" w:lineRule="auto"/>
              <w:ind w:firstLine="0" w:firstLineChars="0"/>
              <w:jc w:val="both"/>
              <w:rPr>
                <w:rFonts w:hint="eastAsia" w:ascii="宋体" w:hAnsi="宋体" w:eastAsia="宋体" w:cs="宋体"/>
                <w:bCs/>
                <w:color w:val="auto"/>
                <w:spacing w:val="-3"/>
                <w:sz w:val="24"/>
                <w:highlight w:val="none"/>
              </w:rPr>
            </w:pPr>
            <w:r>
              <w:rPr>
                <w:rFonts w:hint="eastAsia" w:ascii="宋体" w:hAnsi="宋体" w:eastAsia="宋体" w:cs="宋体"/>
                <w:bCs/>
                <w:color w:val="auto"/>
                <w:spacing w:val="-3"/>
                <w:sz w:val="24"/>
                <w:highlight w:val="none"/>
              </w:rPr>
              <w:t>经济报价得分计算：</w:t>
            </w:r>
          </w:p>
          <w:p>
            <w:pPr>
              <w:pStyle w:val="28"/>
              <w:adjustRightInd w:val="0"/>
              <w:snapToGrid w:val="0"/>
              <w:spacing w:line="240" w:lineRule="auto"/>
              <w:ind w:firstLine="471"/>
              <w:jc w:val="both"/>
              <w:rPr>
                <w:rFonts w:hint="eastAsia" w:ascii="宋体" w:hAnsi="宋体" w:eastAsia="宋体" w:cs="宋体"/>
                <w:b/>
                <w:color w:val="auto"/>
                <w:spacing w:val="-3"/>
                <w:sz w:val="24"/>
                <w:highlight w:val="none"/>
              </w:rPr>
            </w:pPr>
            <w:r>
              <w:rPr>
                <w:rFonts w:hint="eastAsia" w:ascii="宋体" w:hAnsi="宋体" w:eastAsia="宋体" w:cs="宋体"/>
                <w:b w:val="0"/>
                <w:color w:val="auto"/>
                <w:spacing w:val="-3"/>
                <w:sz w:val="24"/>
                <w:highlight w:val="none"/>
              </w:rPr>
              <w:t>（1）对于经济报价的评分，按以下方法进行：价格分采用低价优先法计算，即满足招标文件要求且投标价格最低的投标报价为评标基准价，其价格分为满分。其他投标人的价格分统一按照下列公式计算</w:t>
            </w:r>
            <w:r>
              <w:rPr>
                <w:rFonts w:hint="eastAsia" w:ascii="宋体" w:hAnsi="宋体" w:eastAsia="宋体" w:cs="宋体"/>
                <w:b w:val="0"/>
                <w:color w:val="auto"/>
                <w:spacing w:val="-3"/>
                <w:sz w:val="24"/>
                <w:highlight w:val="none"/>
                <w:lang w:eastAsia="zh-CN"/>
              </w:rPr>
              <w:t>，</w:t>
            </w:r>
            <w:r>
              <w:rPr>
                <w:rFonts w:hint="eastAsia" w:ascii="宋体" w:hAnsi="宋体" w:eastAsia="宋体" w:cs="宋体"/>
                <w:b/>
                <w:color w:val="auto"/>
                <w:spacing w:val="-3"/>
                <w:sz w:val="24"/>
                <w:highlight w:val="none"/>
                <w:lang w:val="en-US" w:eastAsia="zh-CN"/>
              </w:rPr>
              <w:t>因落实政府采购政策进行价格调整的，以调整后的价格计算评标基准价和投标报价。</w:t>
            </w:r>
          </w:p>
          <w:p>
            <w:pPr>
              <w:pStyle w:val="28"/>
              <w:adjustRightInd w:val="0"/>
              <w:snapToGrid w:val="0"/>
              <w:spacing w:line="240" w:lineRule="auto"/>
              <w:ind w:firstLine="471"/>
              <w:jc w:val="both"/>
              <w:rPr>
                <w:rFonts w:hint="eastAsia" w:ascii="宋体" w:hAnsi="宋体" w:eastAsia="宋体" w:cs="宋体"/>
                <w:b w:val="0"/>
                <w:color w:val="auto"/>
                <w:spacing w:val="-3"/>
                <w:sz w:val="24"/>
                <w:highlight w:val="none"/>
              </w:rPr>
            </w:pPr>
            <w:r>
              <w:rPr>
                <w:rFonts w:hint="eastAsia" w:ascii="宋体" w:hAnsi="宋体" w:eastAsia="宋体" w:cs="宋体"/>
                <w:b w:val="0"/>
                <w:color w:val="auto"/>
                <w:spacing w:val="-3"/>
                <w:sz w:val="24"/>
                <w:highlight w:val="none"/>
              </w:rPr>
              <w:t>投标报价得分=(评标基准价/投标报价)×</w:t>
            </w:r>
            <w:r>
              <w:rPr>
                <w:rFonts w:hint="eastAsia" w:ascii="宋体" w:hAnsi="宋体" w:eastAsia="宋体" w:cs="宋体"/>
                <w:b w:val="0"/>
                <w:color w:val="auto"/>
                <w:spacing w:val="-3"/>
                <w:sz w:val="24"/>
                <w:highlight w:val="none"/>
                <w:lang w:val="en-US" w:eastAsia="zh-CN"/>
              </w:rPr>
              <w:t>1</w:t>
            </w:r>
            <w:r>
              <w:rPr>
                <w:rFonts w:hint="eastAsia" w:ascii="宋体" w:hAnsi="宋体" w:eastAsia="宋体" w:cs="宋体"/>
                <w:b w:val="0"/>
                <w:color w:val="auto"/>
                <w:spacing w:val="-3"/>
                <w:sz w:val="24"/>
                <w:highlight w:val="none"/>
              </w:rPr>
              <w:t>0%×100</w:t>
            </w:r>
          </w:p>
          <w:p>
            <w:pPr>
              <w:pStyle w:val="28"/>
              <w:adjustRightInd w:val="0"/>
              <w:snapToGrid w:val="0"/>
              <w:spacing w:line="240" w:lineRule="auto"/>
              <w:ind w:firstLine="471"/>
              <w:jc w:val="both"/>
              <w:rPr>
                <w:rFonts w:hint="eastAsia" w:ascii="宋体" w:hAnsi="宋体" w:eastAsia="宋体" w:cs="宋体"/>
                <w:b w:val="0"/>
                <w:color w:val="auto"/>
                <w:spacing w:val="-3"/>
                <w:sz w:val="24"/>
                <w:highlight w:val="none"/>
              </w:rPr>
            </w:pPr>
            <w:r>
              <w:rPr>
                <w:rFonts w:hint="eastAsia" w:ascii="宋体" w:hAnsi="宋体" w:eastAsia="宋体" w:cs="宋体"/>
                <w:b w:val="0"/>
                <w:color w:val="auto"/>
                <w:spacing w:val="-3"/>
                <w:sz w:val="24"/>
                <w:highlight w:val="none"/>
              </w:rPr>
              <w:t>（2）</w:t>
            </w:r>
            <w:r>
              <w:rPr>
                <w:rFonts w:hint="eastAsia" w:ascii="宋体" w:hAnsi="宋体" w:eastAsia="宋体" w:cs="宋体"/>
                <w:bCs/>
                <w:color w:val="auto"/>
                <w:spacing w:val="-3"/>
                <w:sz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240" w:lineRule="auto"/>
              <w:ind w:right="0" w:rightChars="0"/>
              <w:jc w:val="left"/>
              <w:textAlignment w:val="auto"/>
              <w:outlineLvl w:val="9"/>
              <w:rPr>
                <w:rFonts w:hint="eastAsia" w:ascii="宋体" w:hAnsi="宋体" w:eastAsia="宋体" w:cs="宋体"/>
                <w:b w:val="0"/>
                <w:color w:val="auto"/>
                <w:spacing w:val="-3"/>
                <w:kern w:val="2"/>
                <w:sz w:val="24"/>
                <w:szCs w:val="24"/>
                <w:highlight w:val="none"/>
                <w:lang w:val="en-US" w:eastAsia="zh-CN" w:bidi="ar-SA"/>
              </w:rPr>
            </w:pPr>
            <w:r>
              <w:rPr>
                <w:rFonts w:hint="eastAsia" w:ascii="宋体" w:hAnsi="宋体" w:eastAsia="宋体" w:cs="宋体"/>
                <w:b w:val="0"/>
                <w:color w:val="auto"/>
                <w:spacing w:val="-3"/>
                <w:sz w:val="24"/>
                <w:highlight w:val="none"/>
              </w:rPr>
              <w:t>（3）</w:t>
            </w:r>
            <w:r>
              <w:rPr>
                <w:rFonts w:hint="eastAsia" w:ascii="宋体" w:hAnsi="宋体" w:eastAsia="宋体" w:cs="宋体"/>
                <w:b w:val="0"/>
                <w:color w:val="auto"/>
                <w:spacing w:val="-3"/>
                <w:kern w:val="2"/>
                <w:sz w:val="24"/>
                <w:szCs w:val="24"/>
                <w:highlight w:val="none"/>
                <w:lang w:val="en-US" w:eastAsia="zh-CN" w:bidi="ar-SA"/>
              </w:rPr>
              <w:t>在技术评审中，应当考虑设备的技术参数响应情况、设备技术水平、工艺水平等因素，以及设备的功能性、整体配套性、经济性、先进性、稳定性等因素；产品故障率情况及故障响应时间等因素；售后服务应当考虑其服务的承诺内容、具体措施及其可行性等因素；投标人有组织管理能力等。</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240" w:lineRule="auto"/>
              <w:ind w:right="0" w:rightChars="0"/>
              <w:jc w:val="left"/>
              <w:textAlignment w:val="auto"/>
              <w:outlineLvl w:val="9"/>
              <w:rPr>
                <w:rFonts w:hint="eastAsia" w:ascii="宋体" w:hAnsi="宋体" w:eastAsia="宋体" w:cs="宋体"/>
                <w:b w:val="0"/>
                <w:color w:val="auto"/>
                <w:spacing w:val="-3"/>
                <w:kern w:val="2"/>
                <w:sz w:val="24"/>
                <w:szCs w:val="24"/>
                <w:highlight w:val="none"/>
                <w:lang w:val="en-US" w:eastAsia="zh-CN" w:bidi="ar-SA"/>
              </w:rPr>
            </w:pPr>
            <w:r>
              <w:rPr>
                <w:rFonts w:hint="eastAsia" w:ascii="宋体" w:hAnsi="宋体" w:eastAsia="宋体" w:cs="宋体"/>
                <w:b/>
                <w:bCs/>
                <w:i w:val="0"/>
                <w:iCs w:val="0"/>
                <w:color w:val="auto"/>
                <w:spacing w:val="0"/>
                <w:sz w:val="24"/>
                <w:szCs w:val="24"/>
                <w:vertAlign w:val="baseline"/>
                <w:lang w:val="en-US" w:eastAsia="zh-CN"/>
              </w:rPr>
              <w:t>中型、小型、微型企业：</w:t>
            </w:r>
            <w:r>
              <w:rPr>
                <w:rFonts w:hint="eastAsia" w:ascii="宋体" w:hAnsi="宋体" w:eastAsia="宋体" w:cs="宋体"/>
                <w:b w:val="0"/>
                <w:color w:val="auto"/>
                <w:spacing w:val="-3"/>
                <w:kern w:val="2"/>
                <w:sz w:val="24"/>
                <w:szCs w:val="24"/>
                <w:highlight w:val="none"/>
                <w:lang w:val="en-US" w:eastAsia="zh-CN" w:bidi="ar-SA"/>
              </w:rPr>
              <w:t>根据《政府采购促进中小企业发展管理办法》（财库﹝2020﹞46 号）的规定</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240" w:lineRule="auto"/>
              <w:ind w:right="0" w:rightChars="0"/>
              <w:jc w:val="left"/>
              <w:textAlignment w:val="auto"/>
              <w:outlineLvl w:val="9"/>
              <w:rPr>
                <w:rFonts w:hint="eastAsia" w:ascii="宋体" w:hAnsi="宋体" w:eastAsia="宋体" w:cs="宋体"/>
                <w:b w:val="0"/>
                <w:color w:val="auto"/>
                <w:spacing w:val="-3"/>
                <w:kern w:val="2"/>
                <w:sz w:val="24"/>
                <w:szCs w:val="24"/>
                <w:highlight w:val="none"/>
                <w:lang w:val="en-US" w:eastAsia="zh-CN" w:bidi="ar-SA"/>
              </w:rPr>
            </w:pPr>
            <w:r>
              <w:rPr>
                <w:rFonts w:hint="eastAsia" w:ascii="宋体" w:hAnsi="宋体" w:eastAsia="宋体" w:cs="宋体"/>
                <w:b w:val="0"/>
                <w:color w:val="auto"/>
                <w:spacing w:val="-3"/>
                <w:kern w:val="2"/>
                <w:sz w:val="24"/>
                <w:szCs w:val="24"/>
                <w:highlight w:val="none"/>
                <w:lang w:val="en-US" w:eastAsia="zh-CN" w:bidi="ar-SA"/>
              </w:rPr>
              <w:t>（1）中小企业（含中型、小型、微型企业，下同）单独参加本项目的投标：</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240" w:lineRule="auto"/>
              <w:ind w:right="0" w:rightChars="0"/>
              <w:jc w:val="left"/>
              <w:textAlignment w:val="auto"/>
              <w:outlineLvl w:val="9"/>
              <w:rPr>
                <w:rFonts w:hint="eastAsia" w:ascii="宋体" w:hAnsi="宋体" w:eastAsia="宋体" w:cs="宋体"/>
                <w:b w:val="0"/>
                <w:color w:val="auto"/>
                <w:spacing w:val="-3"/>
                <w:kern w:val="2"/>
                <w:sz w:val="24"/>
                <w:szCs w:val="24"/>
                <w:highlight w:val="none"/>
                <w:lang w:val="en-US" w:eastAsia="zh-CN" w:bidi="ar-SA"/>
              </w:rPr>
            </w:pPr>
            <w:r>
              <w:rPr>
                <w:rFonts w:hint="eastAsia" w:ascii="宋体" w:hAnsi="宋体" w:eastAsia="宋体" w:cs="宋体"/>
                <w:b w:val="0"/>
                <w:color w:val="auto"/>
                <w:spacing w:val="-3"/>
                <w:kern w:val="2"/>
                <w:sz w:val="24"/>
                <w:szCs w:val="24"/>
                <w:highlight w:val="none"/>
                <w:lang w:val="en-US" w:eastAsia="zh-CN" w:bidi="ar-SA"/>
              </w:rPr>
              <w:t>①提供中型企业生产的产品，给予6%的价格扣除，用扣除后的价格参与评审。</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240" w:lineRule="auto"/>
              <w:ind w:right="0" w:rightChars="0"/>
              <w:jc w:val="left"/>
              <w:textAlignment w:val="auto"/>
              <w:outlineLvl w:val="9"/>
              <w:rPr>
                <w:rFonts w:hint="eastAsia" w:ascii="宋体" w:hAnsi="宋体" w:eastAsia="宋体" w:cs="宋体"/>
                <w:b w:val="0"/>
                <w:color w:val="auto"/>
                <w:spacing w:val="-3"/>
                <w:kern w:val="2"/>
                <w:sz w:val="24"/>
                <w:szCs w:val="24"/>
                <w:highlight w:val="none"/>
                <w:lang w:val="en-US" w:eastAsia="zh-CN" w:bidi="ar-SA"/>
              </w:rPr>
            </w:pPr>
            <w:r>
              <w:rPr>
                <w:rFonts w:hint="eastAsia" w:ascii="宋体" w:hAnsi="宋体" w:eastAsia="宋体" w:cs="宋体"/>
                <w:b w:val="0"/>
                <w:color w:val="auto"/>
                <w:spacing w:val="-3"/>
                <w:kern w:val="2"/>
                <w:sz w:val="24"/>
                <w:szCs w:val="24"/>
                <w:highlight w:val="none"/>
                <w:lang w:val="en-US" w:eastAsia="zh-CN" w:bidi="ar-SA"/>
              </w:rPr>
              <w:t>②提供小型企业生产的产品，给予8%的价格扣除，用扣除后的价格参与评审。</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240" w:lineRule="auto"/>
              <w:ind w:right="0" w:rightChars="0"/>
              <w:jc w:val="left"/>
              <w:textAlignment w:val="auto"/>
              <w:outlineLvl w:val="9"/>
              <w:rPr>
                <w:rFonts w:hint="eastAsia" w:ascii="宋体" w:hAnsi="宋体" w:eastAsia="宋体" w:cs="宋体"/>
                <w:b w:val="0"/>
                <w:color w:val="auto"/>
                <w:spacing w:val="-3"/>
                <w:kern w:val="2"/>
                <w:sz w:val="24"/>
                <w:szCs w:val="24"/>
                <w:highlight w:val="none"/>
                <w:lang w:val="en-US" w:eastAsia="zh-CN" w:bidi="ar-SA"/>
              </w:rPr>
            </w:pPr>
            <w:r>
              <w:rPr>
                <w:rFonts w:hint="eastAsia" w:ascii="宋体" w:hAnsi="宋体" w:eastAsia="宋体" w:cs="宋体"/>
                <w:b w:val="0"/>
                <w:color w:val="auto"/>
                <w:spacing w:val="-3"/>
                <w:kern w:val="2"/>
                <w:sz w:val="24"/>
                <w:szCs w:val="24"/>
                <w:highlight w:val="none"/>
                <w:lang w:val="en-US" w:eastAsia="zh-CN" w:bidi="ar-SA"/>
              </w:rPr>
              <w:t>③提供微型企业生产的产品，给予10%的价格扣除，用扣除后的价格参与评审。</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240" w:lineRule="auto"/>
              <w:ind w:right="0" w:rightChars="0"/>
              <w:jc w:val="left"/>
              <w:textAlignment w:val="auto"/>
              <w:outlineLvl w:val="9"/>
              <w:rPr>
                <w:rFonts w:hint="eastAsia" w:ascii="宋体" w:hAnsi="宋体" w:eastAsia="宋体" w:cs="宋体"/>
                <w:b w:val="0"/>
                <w:color w:val="auto"/>
                <w:spacing w:val="-3"/>
                <w:kern w:val="2"/>
                <w:sz w:val="24"/>
                <w:szCs w:val="24"/>
                <w:highlight w:val="none"/>
                <w:lang w:val="en-US" w:eastAsia="zh-CN" w:bidi="ar-SA"/>
              </w:rPr>
            </w:pPr>
            <w:r>
              <w:rPr>
                <w:rFonts w:hint="eastAsia" w:ascii="宋体" w:hAnsi="宋体" w:eastAsia="宋体" w:cs="宋体"/>
                <w:b w:val="0"/>
                <w:color w:val="auto"/>
                <w:spacing w:val="-3"/>
                <w:kern w:val="2"/>
                <w:sz w:val="24"/>
                <w:szCs w:val="24"/>
                <w:highlight w:val="none"/>
                <w:lang w:val="en-US" w:eastAsia="zh-CN" w:bidi="ar-SA"/>
              </w:rPr>
              <w:t>（2）参加本次采购活动的中小企业，应当在询价响应文件中提供有效的《中小企业声明函》，并对其真实性负责。</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240" w:lineRule="auto"/>
              <w:ind w:right="0" w:rightChars="0"/>
              <w:jc w:val="left"/>
              <w:textAlignment w:val="auto"/>
              <w:outlineLvl w:val="9"/>
              <w:rPr>
                <w:rFonts w:hint="eastAsia" w:ascii="宋体" w:hAnsi="宋体" w:eastAsia="宋体" w:cs="宋体"/>
                <w:b w:val="0"/>
                <w:color w:val="auto"/>
                <w:spacing w:val="-3"/>
                <w:kern w:val="2"/>
                <w:sz w:val="24"/>
                <w:szCs w:val="24"/>
                <w:highlight w:val="none"/>
                <w:lang w:val="en-US" w:eastAsia="zh-CN" w:bidi="ar-SA"/>
              </w:rPr>
            </w:pPr>
            <w:r>
              <w:rPr>
                <w:rFonts w:hint="eastAsia" w:ascii="宋体" w:hAnsi="宋体" w:eastAsia="宋体" w:cs="宋体"/>
                <w:b w:val="0"/>
                <w:color w:val="auto"/>
                <w:spacing w:val="-3"/>
                <w:kern w:val="2"/>
                <w:sz w:val="24"/>
                <w:szCs w:val="24"/>
                <w:highlight w:val="none"/>
                <w:lang w:val="en-US" w:eastAsia="zh-CN" w:bidi="ar-SA"/>
              </w:rPr>
              <w:t>（3）大中型企业和其他自然人、法人或者其他组织与小型、微型企业组成联合体共同参加本项目投标，凡联合协议中约定，小型、微型企业的协议合同金额占到联合体协议合同总金额30%以上的，给予联合体2%的价格扣除；联合体各方均为小型企业的，联合体视同为小型企业；联合体各方均为微型企业的，联合体视同为微型企业。</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240" w:lineRule="auto"/>
              <w:ind w:right="0" w:rightChars="0"/>
              <w:jc w:val="left"/>
              <w:textAlignment w:val="auto"/>
              <w:outlineLvl w:val="9"/>
              <w:rPr>
                <w:rFonts w:hint="eastAsia" w:ascii="宋体" w:hAnsi="宋体" w:eastAsia="宋体" w:cs="宋体"/>
                <w:b w:val="0"/>
                <w:color w:val="auto"/>
                <w:spacing w:val="-3"/>
                <w:kern w:val="2"/>
                <w:sz w:val="24"/>
                <w:szCs w:val="24"/>
                <w:highlight w:val="none"/>
                <w:lang w:val="en-US" w:eastAsia="zh-CN" w:bidi="ar-SA"/>
              </w:rPr>
            </w:pPr>
            <w:r>
              <w:rPr>
                <w:rFonts w:hint="eastAsia" w:ascii="宋体" w:hAnsi="宋体" w:eastAsia="宋体" w:cs="宋体"/>
                <w:b/>
                <w:bCs/>
                <w:i w:val="0"/>
                <w:iCs w:val="0"/>
                <w:color w:val="auto"/>
                <w:spacing w:val="0"/>
                <w:sz w:val="24"/>
                <w:szCs w:val="24"/>
                <w:vertAlign w:val="baseline"/>
                <w:lang w:val="en-US" w:eastAsia="zh-CN"/>
              </w:rPr>
              <w:t>监狱企业：</w:t>
            </w:r>
            <w:r>
              <w:rPr>
                <w:rFonts w:hint="eastAsia" w:ascii="宋体" w:hAnsi="宋体" w:eastAsia="宋体" w:cs="宋体"/>
                <w:b w:val="0"/>
                <w:color w:val="auto"/>
                <w:spacing w:val="-3"/>
                <w:kern w:val="2"/>
                <w:sz w:val="24"/>
                <w:szCs w:val="24"/>
                <w:highlight w:val="none"/>
                <w:lang w:val="en-US" w:eastAsia="zh-CN" w:bidi="ar-SA"/>
              </w:rPr>
              <w:t>监狱企业是指由司法部认定的为罪犯、戒毒人员提供生产项目和劳动对象，且全部产权属于司法部监狱管理局、戒毒管理局、直属煤矿管理局，各省、自治区、直辖市监狱管理局、戒毒管理局，各地（设区的市）监狱、强制戒毒隔离所、戒毒康复所，以及新疆生产建设兵团监狱管理局、戒毒管理局的企业。</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240" w:lineRule="auto"/>
              <w:ind w:right="0" w:rightChars="0"/>
              <w:jc w:val="left"/>
              <w:textAlignment w:val="auto"/>
              <w:outlineLvl w:val="9"/>
              <w:rPr>
                <w:rFonts w:hint="eastAsia" w:ascii="宋体" w:hAnsi="宋体" w:eastAsia="宋体" w:cs="宋体"/>
                <w:b w:val="0"/>
                <w:color w:val="auto"/>
                <w:spacing w:val="-3"/>
                <w:kern w:val="2"/>
                <w:sz w:val="24"/>
                <w:szCs w:val="24"/>
                <w:highlight w:val="none"/>
                <w:lang w:val="en-US" w:eastAsia="zh-CN" w:bidi="ar-SA"/>
              </w:rPr>
            </w:pPr>
            <w:r>
              <w:rPr>
                <w:rFonts w:hint="eastAsia" w:ascii="宋体" w:hAnsi="宋体" w:eastAsia="宋体" w:cs="宋体"/>
                <w:b w:val="0"/>
                <w:color w:val="auto"/>
                <w:spacing w:val="-3"/>
                <w:kern w:val="2"/>
                <w:sz w:val="24"/>
                <w:szCs w:val="24"/>
                <w:highlight w:val="none"/>
                <w:lang w:val="en-US" w:eastAsia="zh-CN" w:bidi="ar-SA"/>
              </w:rPr>
              <w:t>监狱企业视同微型企业。</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240" w:lineRule="auto"/>
              <w:ind w:right="0" w:rightChars="0"/>
              <w:jc w:val="left"/>
              <w:textAlignment w:val="auto"/>
              <w:outlineLvl w:val="9"/>
              <w:rPr>
                <w:rFonts w:hint="eastAsia" w:ascii="宋体" w:hAnsi="宋体" w:eastAsia="宋体" w:cs="宋体"/>
                <w:b w:val="0"/>
                <w:color w:val="auto"/>
                <w:spacing w:val="-3"/>
                <w:kern w:val="2"/>
                <w:sz w:val="24"/>
                <w:szCs w:val="24"/>
                <w:highlight w:val="none"/>
                <w:lang w:val="en-US" w:eastAsia="zh-CN" w:bidi="ar-SA"/>
              </w:rPr>
            </w:pPr>
            <w:r>
              <w:rPr>
                <w:rFonts w:hint="eastAsia" w:ascii="宋体" w:hAnsi="宋体" w:eastAsia="宋体" w:cs="宋体"/>
                <w:b w:val="0"/>
                <w:color w:val="auto"/>
                <w:spacing w:val="-3"/>
                <w:kern w:val="2"/>
                <w:sz w:val="24"/>
                <w:szCs w:val="24"/>
                <w:highlight w:val="none"/>
                <w:lang w:val="en-US" w:eastAsia="zh-CN" w:bidi="ar-SA"/>
              </w:rPr>
              <w:t>（1）监狱企业参加本项目的投标，视同微型企业投标，提供本单位生产的产品享受8%价格扣除。</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240"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color w:val="auto"/>
                <w:spacing w:val="-3"/>
                <w:kern w:val="2"/>
                <w:sz w:val="24"/>
                <w:szCs w:val="24"/>
                <w:highlight w:val="none"/>
                <w:lang w:val="en-US" w:eastAsia="zh-CN" w:bidi="ar-SA"/>
              </w:rPr>
              <w:t>（2）参加本次采购活动的监狱企业，应当在响应文件中提供由省级以上监狱管理局、戒毒管理局（含新疆建设生产兵团）出具的属于监狱企业的证明文件，不再提供《中小企业声明函》，不重复享受政策。</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240" w:lineRule="auto"/>
              <w:ind w:right="0" w:rightChars="0"/>
              <w:jc w:val="left"/>
              <w:textAlignment w:val="auto"/>
              <w:outlineLvl w:val="9"/>
              <w:rPr>
                <w:rFonts w:hint="eastAsia" w:ascii="宋体" w:hAnsi="宋体" w:eastAsia="宋体" w:cs="宋体"/>
                <w:b w:val="0"/>
                <w:color w:val="auto"/>
                <w:spacing w:val="-3"/>
                <w:kern w:val="2"/>
                <w:sz w:val="24"/>
                <w:szCs w:val="24"/>
                <w:highlight w:val="none"/>
                <w:lang w:val="en-US" w:eastAsia="zh-CN" w:bidi="ar-SA"/>
              </w:rPr>
            </w:pPr>
            <w:r>
              <w:rPr>
                <w:rFonts w:hint="eastAsia" w:ascii="宋体" w:hAnsi="宋体" w:eastAsia="宋体" w:cs="宋体"/>
                <w:b/>
                <w:bCs/>
                <w:i w:val="0"/>
                <w:iCs w:val="0"/>
                <w:color w:val="auto"/>
                <w:spacing w:val="0"/>
                <w:sz w:val="24"/>
                <w:szCs w:val="24"/>
                <w:vertAlign w:val="baseline"/>
                <w:lang w:val="en-US" w:eastAsia="zh-CN"/>
              </w:rPr>
              <w:t>残疾人福利性单位：</w:t>
            </w:r>
            <w:r>
              <w:rPr>
                <w:rFonts w:hint="eastAsia" w:ascii="宋体" w:hAnsi="宋体" w:eastAsia="宋体" w:cs="宋体"/>
                <w:b w:val="0"/>
                <w:color w:val="auto"/>
                <w:spacing w:val="-3"/>
                <w:kern w:val="2"/>
                <w:sz w:val="24"/>
                <w:szCs w:val="24"/>
                <w:highlight w:val="none"/>
                <w:lang w:val="en-US" w:eastAsia="zh-CN" w:bidi="ar-SA"/>
              </w:rPr>
              <w:t>根据财政部民政部《中国残疾人联合会关于促进残疾人就业政府采购政策的通知》（财库【2017】141号）的规定。</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240" w:lineRule="auto"/>
              <w:ind w:right="0" w:rightChars="0"/>
              <w:jc w:val="left"/>
              <w:textAlignment w:val="auto"/>
              <w:outlineLvl w:val="9"/>
              <w:rPr>
                <w:rFonts w:hint="eastAsia" w:ascii="宋体" w:hAnsi="宋体" w:eastAsia="宋体" w:cs="宋体"/>
                <w:b w:val="0"/>
                <w:color w:val="auto"/>
                <w:spacing w:val="-3"/>
                <w:kern w:val="2"/>
                <w:sz w:val="24"/>
                <w:szCs w:val="24"/>
                <w:highlight w:val="none"/>
                <w:lang w:val="en-US" w:eastAsia="zh-CN" w:bidi="ar-SA"/>
              </w:rPr>
            </w:pPr>
            <w:r>
              <w:rPr>
                <w:rFonts w:hint="eastAsia" w:ascii="宋体" w:hAnsi="宋体" w:eastAsia="宋体" w:cs="宋体"/>
                <w:b w:val="0"/>
                <w:color w:val="auto"/>
                <w:spacing w:val="-3"/>
                <w:kern w:val="2"/>
                <w:sz w:val="24"/>
                <w:szCs w:val="24"/>
                <w:highlight w:val="none"/>
                <w:lang w:val="en-US" w:eastAsia="zh-CN" w:bidi="ar-SA"/>
              </w:rPr>
              <w:t>（1）残疾人福利性单位参加本项目的投标，视同小型、微型企业投标，提供本单位生产的产品享受8%的价格扣除。</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240" w:lineRule="auto"/>
              <w:ind w:right="0" w:rightChars="0"/>
              <w:jc w:val="left"/>
              <w:textAlignment w:val="auto"/>
              <w:outlineLvl w:val="9"/>
              <w:rPr>
                <w:rFonts w:hint="eastAsia" w:ascii="宋体" w:hAnsi="宋体" w:eastAsia="宋体" w:cs="宋体"/>
                <w:b w:val="0"/>
                <w:color w:val="auto"/>
                <w:spacing w:val="-3"/>
                <w:kern w:val="2"/>
                <w:sz w:val="24"/>
                <w:szCs w:val="24"/>
                <w:highlight w:val="none"/>
                <w:lang w:val="en-US" w:eastAsia="zh-CN" w:bidi="ar-SA"/>
              </w:rPr>
            </w:pPr>
            <w:r>
              <w:rPr>
                <w:rFonts w:hint="eastAsia" w:ascii="宋体" w:hAnsi="宋体" w:eastAsia="宋体" w:cs="宋体"/>
                <w:b w:val="0"/>
                <w:color w:val="auto"/>
                <w:spacing w:val="-3"/>
                <w:kern w:val="2"/>
                <w:sz w:val="24"/>
                <w:szCs w:val="24"/>
                <w:highlight w:val="none"/>
                <w:lang w:val="en-US" w:eastAsia="zh-CN" w:bidi="ar-SA"/>
              </w:rPr>
              <w:t>（2）参加本次采购活动的残疾人福利性单位，应当在询价响应文件中提供由141号文规定的《残疾人福利性单位声明函》，不再提供《中小企业声明函》，不重复享受政策。</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240" w:lineRule="auto"/>
              <w:ind w:right="0" w:rightChars="0"/>
              <w:jc w:val="left"/>
              <w:textAlignment w:val="auto"/>
              <w:outlineLvl w:val="9"/>
              <w:rPr>
                <w:rFonts w:hint="eastAsia" w:ascii="宋体" w:hAnsi="宋体" w:eastAsia="宋体" w:cs="宋体"/>
                <w:b w:val="0"/>
                <w:color w:val="auto"/>
                <w:spacing w:val="-3"/>
                <w:kern w:val="2"/>
                <w:sz w:val="24"/>
                <w:szCs w:val="24"/>
                <w:highlight w:val="none"/>
                <w:lang w:val="en-US" w:eastAsia="zh-CN" w:bidi="ar-SA"/>
              </w:rPr>
            </w:pPr>
            <w:r>
              <w:rPr>
                <w:rFonts w:hint="eastAsia" w:ascii="宋体" w:hAnsi="宋体" w:eastAsia="宋体" w:cs="宋体"/>
                <w:b/>
                <w:bCs/>
                <w:i w:val="0"/>
                <w:iCs w:val="0"/>
                <w:color w:val="auto"/>
                <w:spacing w:val="0"/>
                <w:sz w:val="24"/>
                <w:szCs w:val="24"/>
                <w:vertAlign w:val="baseline"/>
                <w:lang w:val="en-US" w:eastAsia="zh-CN"/>
              </w:rPr>
              <w:t>节能及环境标志产品：</w:t>
            </w:r>
            <w:r>
              <w:rPr>
                <w:rFonts w:hint="eastAsia" w:ascii="宋体" w:hAnsi="宋体" w:eastAsia="宋体" w:cs="宋体"/>
                <w:b w:val="0"/>
                <w:color w:val="auto"/>
                <w:spacing w:val="-3"/>
                <w:kern w:val="2"/>
                <w:sz w:val="24"/>
                <w:szCs w:val="24"/>
                <w:highlight w:val="none"/>
                <w:lang w:val="en-US" w:eastAsia="zh-CN" w:bidi="ar-SA"/>
              </w:rPr>
              <w:t>（一）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240" w:lineRule="auto"/>
              <w:ind w:right="0" w:rightChars="0"/>
              <w:jc w:val="left"/>
              <w:textAlignment w:val="auto"/>
              <w:outlineLvl w:val="9"/>
              <w:rPr>
                <w:rFonts w:hint="eastAsia" w:ascii="宋体" w:hAnsi="宋体" w:eastAsia="宋体" w:cs="宋体"/>
                <w:b w:val="0"/>
                <w:color w:val="auto"/>
                <w:spacing w:val="-3"/>
                <w:kern w:val="2"/>
                <w:sz w:val="24"/>
                <w:szCs w:val="24"/>
                <w:highlight w:val="none"/>
                <w:lang w:val="en-US" w:eastAsia="zh-CN" w:bidi="ar-SA"/>
              </w:rPr>
            </w:pPr>
            <w:r>
              <w:rPr>
                <w:rFonts w:hint="eastAsia" w:ascii="宋体" w:hAnsi="宋体" w:eastAsia="宋体" w:cs="宋体"/>
                <w:b w:val="0"/>
                <w:color w:val="auto"/>
                <w:spacing w:val="-3"/>
                <w:kern w:val="2"/>
                <w:sz w:val="24"/>
                <w:szCs w:val="24"/>
                <w:highlight w:val="none"/>
                <w:lang w:val="en-US" w:eastAsia="zh-CN" w:bidi="ar-SA"/>
              </w:rPr>
              <w:t>（二）“节能产品”系指列入财政部、国家发改委最新公布《节能产品政府采购清单》的产品；“环境标志产品”系指列入财政部、环保部最新公布的《环境标志政府采购清单》的产品。同一合同包内的节能、环境标志、政府采购产品部分价格扣除只对属于清单内的非强制类产品进行价格扣除，强制类产品已作为投标时强制性要求不再给予价格扣除。若节能、环境标志清单内的产品仅是构成投标产品的部件、组件或零件的，则该投标产品不予价格扣除。</w:t>
            </w:r>
          </w:p>
          <w:p>
            <w:pPr>
              <w:pStyle w:val="28"/>
              <w:spacing w:line="240" w:lineRule="auto"/>
              <w:ind w:left="0" w:leftChars="0" w:firstLine="0" w:firstLineChars="0"/>
              <w:jc w:val="both"/>
              <w:rPr>
                <w:rFonts w:hint="eastAsia" w:ascii="宋体" w:hAnsi="宋体" w:eastAsia="宋体" w:cs="宋体"/>
                <w:b/>
                <w:bCs/>
                <w:i w:val="0"/>
                <w:iCs w:val="0"/>
                <w:color w:val="auto"/>
                <w:spacing w:val="0"/>
                <w:kern w:val="2"/>
                <w:sz w:val="24"/>
                <w:szCs w:val="24"/>
                <w:vertAlign w:val="baseline"/>
                <w:lang w:val="en-US" w:eastAsia="zh-CN" w:bidi="ar-SA"/>
              </w:rPr>
            </w:pPr>
            <w:r>
              <w:rPr>
                <w:rFonts w:hint="eastAsia" w:ascii="宋体" w:hAnsi="宋体" w:eastAsia="宋体" w:cs="宋体"/>
                <w:b/>
                <w:bCs/>
                <w:i w:val="0"/>
                <w:iCs w:val="0"/>
                <w:color w:val="auto"/>
                <w:spacing w:val="0"/>
                <w:kern w:val="2"/>
                <w:sz w:val="24"/>
                <w:szCs w:val="24"/>
                <w:vertAlign w:val="baseline"/>
                <w:lang w:val="en-US" w:eastAsia="zh-CN" w:bidi="ar-SA"/>
              </w:rPr>
              <w:t>价格项扣除：对于节能清单部分产品，环境清单部分产品的价格给予3%的扣除，用扣除后的价格参加评审。</w:t>
            </w:r>
          </w:p>
          <w:p>
            <w:pPr>
              <w:pStyle w:val="28"/>
              <w:keepLines w:val="0"/>
              <w:kinsoku/>
              <w:wordWrap/>
              <w:overflowPunct/>
              <w:bidi w:val="0"/>
              <w:spacing w:line="240" w:lineRule="auto"/>
              <w:ind w:left="0" w:lef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节能、环境标志产品评审优惠内容及加分幅度：</w:t>
            </w:r>
          </w:p>
          <w:p>
            <w:pPr>
              <w:pStyle w:val="28"/>
              <w:keepNext w:val="0"/>
              <w:keepLines w:val="0"/>
              <w:pageBreakBefore w:val="0"/>
              <w:widowControl w:val="0"/>
              <w:kinsoku/>
              <w:wordWrap/>
              <w:overflowPunct/>
              <w:topLinePunct w:val="0"/>
              <w:autoSpaceDE/>
              <w:autoSpaceDN/>
              <w:bidi w:val="0"/>
              <w:spacing w:line="240" w:lineRule="auto"/>
              <w:ind w:left="0" w:leftChars="0" w:right="0" w:rightChars="0" w:firstLine="480" w:firstLineChars="200"/>
              <w:jc w:val="both"/>
              <w:textAlignment w:val="auto"/>
              <w:outlineLvl w:val="9"/>
              <w:rPr>
                <w:rFonts w:hint="eastAsia" w:ascii="宋体" w:hAnsi="宋体" w:eastAsia="宋体" w:cs="宋体"/>
                <w:b w:val="0"/>
                <w:color w:val="auto"/>
                <w:spacing w:val="-3"/>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color w:val="auto"/>
                <w:sz w:val="24"/>
                <w:szCs w:val="24"/>
                <w:highlight w:val="none"/>
              </w:rPr>
              <w:t>根据《国务院办公厅关于建立政府强制采购节能产品制度的通知》（国办发[2007]51号）和财政部、发展改革委发布的《节能产品政府采购实施意见》（财库[2004]185号）以及《</w:t>
            </w:r>
            <w:r>
              <w:rPr>
                <w:rFonts w:hint="eastAsia" w:ascii="宋体" w:hAnsi="宋体" w:eastAsia="宋体" w:cs="宋体"/>
                <w:b w:val="0"/>
                <w:color w:val="auto"/>
                <w:spacing w:val="-3"/>
                <w:sz w:val="24"/>
                <w:szCs w:val="24"/>
                <w:highlight w:val="none"/>
              </w:rPr>
              <w:t>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pStyle w:val="2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80" w:firstLineChars="200"/>
              <w:jc w:val="both"/>
              <w:textAlignment w:val="auto"/>
              <w:outlineLvl w:val="9"/>
              <w:rPr>
                <w:rFonts w:hint="eastAsia" w:ascii="宋体" w:hAnsi="宋体" w:eastAsia="宋体" w:cs="宋体"/>
                <w:b w:val="0"/>
                <w:color w:val="auto"/>
                <w:spacing w:val="-3"/>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color w:val="auto"/>
                <w:spacing w:val="-3"/>
                <w:sz w:val="24"/>
                <w:szCs w:val="24"/>
                <w:highlight w:val="none"/>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pStyle w:val="28"/>
              <w:keepLines w:val="0"/>
              <w:kinsoku/>
              <w:wordWrap/>
              <w:overflowPunct/>
              <w:bidi w:val="0"/>
              <w:adjustRightInd w:val="0"/>
              <w:snapToGrid w:val="0"/>
              <w:spacing w:line="240" w:lineRule="auto"/>
              <w:ind w:firstLine="55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价格项加分：</w:t>
            </w:r>
          </w:p>
          <w:p>
            <w:pPr>
              <w:pStyle w:val="28"/>
              <w:keepLines w:val="0"/>
              <w:kinsoku/>
              <w:wordWrap/>
              <w:overflowPunct/>
              <w:bidi w:val="0"/>
              <w:adjustRightInd w:val="0"/>
              <w:snapToGrid w:val="0"/>
              <w:spacing w:line="24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1、（节能清单部分产品的价格/投标报价）×3%×价格项满分值</w:t>
            </w:r>
          </w:p>
          <w:p>
            <w:pPr>
              <w:pStyle w:val="28"/>
              <w:keepLines w:val="0"/>
              <w:kinsoku/>
              <w:wordWrap/>
              <w:overflowPunct/>
              <w:bidi w:val="0"/>
              <w:adjustRightInd w:val="0"/>
              <w:snapToGrid w:val="0"/>
              <w:spacing w:line="24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2、（环境清单部分产品的价格/投标报价）×3%×价格项满分值</w:t>
            </w:r>
          </w:p>
          <w:p>
            <w:pPr>
              <w:pStyle w:val="28"/>
              <w:keepLines w:val="0"/>
              <w:kinsoku/>
              <w:wordWrap/>
              <w:overflowPunct/>
              <w:bidi w:val="0"/>
              <w:adjustRightInd w:val="0"/>
              <w:snapToGrid w:val="0"/>
              <w:spacing w:line="240" w:lineRule="auto"/>
              <w:ind w:firstLine="55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技术项加分：</w:t>
            </w:r>
          </w:p>
          <w:p>
            <w:pPr>
              <w:pStyle w:val="28"/>
              <w:keepLines w:val="0"/>
              <w:kinsoku/>
              <w:wordWrap/>
              <w:overflowPunct/>
              <w:bidi w:val="0"/>
              <w:adjustRightInd w:val="0"/>
              <w:snapToGrid w:val="0"/>
              <w:spacing w:line="24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1、（节能清单部分产品的价格/投标报价）×3%×技术项满分值</w:t>
            </w:r>
          </w:p>
          <w:p>
            <w:pPr>
              <w:pStyle w:val="28"/>
              <w:keepLines w:val="0"/>
              <w:kinsoku/>
              <w:wordWrap/>
              <w:overflowPunct/>
              <w:bidi w:val="0"/>
              <w:adjustRightInd w:val="0"/>
              <w:snapToGrid w:val="0"/>
              <w:spacing w:line="24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2、（环境清单部分产品的价格/投标报价）×3%×技术项满分值</w:t>
            </w:r>
          </w:p>
          <w:p>
            <w:pPr>
              <w:pStyle w:val="28"/>
              <w:keepLines w:val="0"/>
              <w:kinsoku/>
              <w:wordWrap/>
              <w:overflowPunct/>
              <w:bidi w:val="0"/>
              <w:adjustRightInd w:val="0"/>
              <w:snapToGrid w:val="0"/>
              <w:spacing w:line="24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注：1、投标人须提供</w:t>
            </w:r>
            <w:r>
              <w:rPr>
                <w:rFonts w:hint="eastAsia" w:ascii="宋体" w:hAnsi="宋体" w:eastAsia="宋体" w:cs="宋体"/>
                <w:b w:val="0"/>
                <w:color w:val="auto"/>
                <w:spacing w:val="-3"/>
                <w:sz w:val="24"/>
                <w:szCs w:val="24"/>
                <w:highlight w:val="none"/>
                <w:lang w:val="en-US" w:eastAsia="zh-CN"/>
              </w:rPr>
              <w:t>最新一</w:t>
            </w:r>
            <w:r>
              <w:rPr>
                <w:rFonts w:hint="eastAsia" w:ascii="宋体" w:hAnsi="宋体" w:eastAsia="宋体" w:cs="宋体"/>
                <w:b w:val="0"/>
                <w:color w:val="auto"/>
                <w:spacing w:val="-3"/>
                <w:sz w:val="24"/>
                <w:szCs w:val="24"/>
                <w:highlight w:val="none"/>
              </w:rPr>
              <w:t>期《节能产品政府采购清单》关于投标产品当前页的打印件；</w:t>
            </w:r>
          </w:p>
          <w:p>
            <w:pPr>
              <w:pStyle w:val="28"/>
              <w:keepLines w:val="0"/>
              <w:kinsoku/>
              <w:wordWrap/>
              <w:overflowPunct/>
              <w:bidi w:val="0"/>
              <w:adjustRightInd w:val="0"/>
              <w:snapToGrid w:val="0"/>
              <w:spacing w:line="240" w:lineRule="auto"/>
              <w:ind w:firstLine="548"/>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pacing w:val="-3"/>
                <w:sz w:val="24"/>
                <w:szCs w:val="24"/>
                <w:highlight w:val="none"/>
              </w:rPr>
              <w:t>2、投标人提供</w:t>
            </w:r>
            <w:r>
              <w:rPr>
                <w:rFonts w:hint="eastAsia" w:ascii="宋体" w:hAnsi="宋体" w:eastAsia="宋体" w:cs="宋体"/>
                <w:b w:val="0"/>
                <w:color w:val="auto"/>
                <w:spacing w:val="-3"/>
                <w:sz w:val="24"/>
                <w:szCs w:val="24"/>
                <w:highlight w:val="none"/>
                <w:lang w:val="en-US" w:eastAsia="zh-CN"/>
              </w:rPr>
              <w:t>最新一</w:t>
            </w:r>
            <w:r>
              <w:rPr>
                <w:rFonts w:hint="eastAsia" w:ascii="宋体" w:hAnsi="宋体" w:eastAsia="宋体" w:cs="宋体"/>
                <w:b w:val="0"/>
                <w:color w:val="auto"/>
                <w:spacing w:val="-3"/>
                <w:sz w:val="24"/>
                <w:szCs w:val="24"/>
                <w:highlight w:val="none"/>
              </w:rPr>
              <w:t>期《环境标志产品政府采购清单》关于投标产品当前页的打印件；</w:t>
            </w:r>
          </w:p>
          <w:p>
            <w:pPr>
              <w:pStyle w:val="28"/>
              <w:spacing w:line="240" w:lineRule="auto"/>
              <w:ind w:firstLine="485"/>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最低报价不作为评标的唯一依据。采购人不承诺将合同授予报价最低的投标人。</w:t>
            </w:r>
          </w:p>
        </w:tc>
      </w:tr>
    </w:tbl>
    <w:p>
      <w:pPr>
        <w:pStyle w:val="8"/>
        <w:rPr>
          <w:rFonts w:hint="eastAsia"/>
          <w:color w:val="auto"/>
        </w:rPr>
      </w:pPr>
    </w:p>
    <w:p>
      <w:pPr>
        <w:keepNext/>
        <w:keepLines/>
        <w:pageBreakBefore/>
        <w:spacing w:line="264" w:lineRule="auto"/>
        <w:jc w:val="center"/>
        <w:rPr>
          <w:rFonts w:hint="eastAsia" w:ascii="宋体" w:hAnsi="宋体" w:cs="宋体"/>
          <w:color w:val="auto"/>
          <w:sz w:val="24"/>
          <w:highlight w:val="none"/>
        </w:rPr>
      </w:pPr>
      <w:r>
        <w:rPr>
          <w:rFonts w:hint="eastAsia" w:ascii="宋体" w:hAnsi="宋体" w:cs="宋体"/>
          <w:b/>
          <w:color w:val="auto"/>
          <w:sz w:val="24"/>
          <w:highlight w:val="none"/>
        </w:rPr>
        <w:t>技术标评分标准</w:t>
      </w:r>
    </w:p>
    <w:tbl>
      <w:tblPr>
        <w:tblStyle w:val="19"/>
        <w:tblW w:w="1008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49"/>
        <w:gridCol w:w="1261"/>
        <w:gridCol w:w="938"/>
        <w:gridCol w:w="72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649" w:type="dxa"/>
            <w:noWrap w:val="0"/>
            <w:vAlign w:val="center"/>
          </w:tcPr>
          <w:p>
            <w:pPr>
              <w:pStyle w:val="29"/>
              <w:spacing w:before="0" w:after="0" w:line="240" w:lineRule="auto"/>
              <w:ind w:firstLine="0"/>
              <w:jc w:val="center"/>
              <w:rPr>
                <w:rFonts w:hint="eastAsia" w:ascii="宋体" w:hAnsi="宋体" w:eastAsia="宋体" w:cs="宋体"/>
                <w:b/>
                <w:color w:val="auto"/>
              </w:rPr>
            </w:pPr>
            <w:r>
              <w:rPr>
                <w:rFonts w:hint="eastAsia" w:ascii="宋体" w:hAnsi="宋体" w:eastAsia="宋体" w:cs="宋体"/>
                <w:b/>
                <w:color w:val="auto"/>
              </w:rPr>
              <w:t>序号</w:t>
            </w:r>
          </w:p>
        </w:tc>
        <w:tc>
          <w:tcPr>
            <w:tcW w:w="1261" w:type="dxa"/>
            <w:noWrap w:val="0"/>
            <w:vAlign w:val="center"/>
          </w:tcPr>
          <w:p>
            <w:pPr>
              <w:pStyle w:val="29"/>
              <w:spacing w:before="0" w:after="0" w:line="240" w:lineRule="auto"/>
              <w:ind w:firstLine="0"/>
              <w:jc w:val="center"/>
              <w:rPr>
                <w:rFonts w:hint="eastAsia" w:ascii="宋体" w:hAnsi="宋体" w:eastAsia="宋体" w:cs="宋体"/>
                <w:b/>
                <w:color w:val="auto"/>
              </w:rPr>
            </w:pPr>
            <w:r>
              <w:rPr>
                <w:rFonts w:hint="eastAsia" w:ascii="宋体" w:hAnsi="宋体" w:eastAsia="宋体" w:cs="宋体"/>
                <w:b/>
                <w:color w:val="auto"/>
              </w:rPr>
              <w:t>考核项目</w:t>
            </w:r>
          </w:p>
        </w:tc>
        <w:tc>
          <w:tcPr>
            <w:tcW w:w="938" w:type="dxa"/>
            <w:noWrap w:val="0"/>
            <w:vAlign w:val="center"/>
          </w:tcPr>
          <w:p>
            <w:pPr>
              <w:pStyle w:val="29"/>
              <w:spacing w:before="0" w:after="0" w:line="240" w:lineRule="auto"/>
              <w:ind w:firstLine="0"/>
              <w:jc w:val="center"/>
              <w:rPr>
                <w:rFonts w:hint="eastAsia" w:ascii="宋体" w:hAnsi="宋体" w:eastAsia="宋体" w:cs="宋体"/>
                <w:b/>
                <w:color w:val="auto"/>
              </w:rPr>
            </w:pPr>
            <w:r>
              <w:rPr>
                <w:rFonts w:hint="eastAsia" w:ascii="宋体" w:hAnsi="宋体" w:eastAsia="宋体" w:cs="宋体"/>
                <w:b/>
                <w:color w:val="auto"/>
              </w:rPr>
              <w:t>分数</w:t>
            </w:r>
          </w:p>
        </w:tc>
        <w:tc>
          <w:tcPr>
            <w:tcW w:w="7234" w:type="dxa"/>
            <w:noWrap w:val="0"/>
            <w:vAlign w:val="center"/>
          </w:tcPr>
          <w:p>
            <w:pPr>
              <w:pStyle w:val="29"/>
              <w:spacing w:before="0" w:after="0" w:line="240" w:lineRule="auto"/>
              <w:ind w:firstLine="2486" w:firstLineChars="1032"/>
              <w:rPr>
                <w:rFonts w:hint="eastAsia" w:ascii="宋体" w:hAnsi="宋体" w:eastAsia="宋体" w:cs="宋体"/>
                <w:b/>
                <w:color w:val="auto"/>
              </w:rPr>
            </w:pPr>
            <w:r>
              <w:rPr>
                <w:rFonts w:hint="eastAsia" w:ascii="宋体" w:hAnsi="宋体" w:eastAsia="宋体" w:cs="宋体"/>
                <w:b/>
                <w:color w:val="auto"/>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03" w:hRule="atLeast"/>
          <w:jc w:val="center"/>
        </w:trPr>
        <w:tc>
          <w:tcPr>
            <w:tcW w:w="649" w:type="dxa"/>
            <w:tcBorders>
              <w:top w:val="single" w:color="auto" w:sz="4" w:space="0"/>
              <w:bottom w:val="single" w:color="auto" w:sz="4" w:space="0"/>
            </w:tcBorders>
            <w:noWrap w:val="0"/>
            <w:vAlign w:val="center"/>
          </w:tcPr>
          <w:p>
            <w:pPr>
              <w:pStyle w:val="29"/>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261" w:type="dxa"/>
            <w:tcBorders>
              <w:top w:val="single" w:color="auto" w:sz="4" w:space="0"/>
              <w:bottom w:val="single" w:color="auto" w:sz="4" w:space="0"/>
            </w:tcBorders>
            <w:noWrap w:val="0"/>
            <w:vAlign w:val="center"/>
          </w:tcPr>
          <w:p>
            <w:pPr>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实施方案</w:t>
            </w:r>
          </w:p>
        </w:tc>
        <w:tc>
          <w:tcPr>
            <w:tcW w:w="938" w:type="dxa"/>
            <w:tcBorders>
              <w:top w:val="single" w:color="auto" w:sz="4" w:space="0"/>
              <w:bottom w:val="single" w:color="auto" w:sz="4" w:space="0"/>
            </w:tcBorders>
            <w:noWrap w:val="0"/>
            <w:vAlign w:val="center"/>
          </w:tcPr>
          <w:p>
            <w:pPr>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分</w:t>
            </w:r>
          </w:p>
        </w:tc>
        <w:tc>
          <w:tcPr>
            <w:tcW w:w="7234" w:type="dxa"/>
            <w:tcBorders>
              <w:top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根据投标人是否提供切实可行的实施方案，针对本次服务的项目方案明确可行的得 </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分，基本可行的得3分，不可行的不得分；</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服务方案科学可行的得 </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分，基本可行的得 3分，不可行的不得分；</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各环节安排合理的得 </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 xml:space="preserve"> 分，基本可行的得3分，不可行的不得分；</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管理和服务方案制度完整的得</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 xml:space="preserve">分，基本可行的得3分，不可行的不得分；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技术服务工作范围、任务及目标明确的得 </w:t>
            </w:r>
            <w:r>
              <w:rPr>
                <w:rFonts w:hint="eastAsia" w:ascii="宋体" w:hAnsi="宋体" w:eastAsia="宋体" w:cs="宋体"/>
                <w:b w:val="0"/>
                <w:bCs w:val="0"/>
                <w:color w:val="auto"/>
                <w:sz w:val="24"/>
                <w:szCs w:val="24"/>
                <w:lang w:val="en-US" w:eastAsia="zh-CN"/>
              </w:rPr>
              <w:t>5分，</w:t>
            </w:r>
            <w:r>
              <w:rPr>
                <w:rFonts w:hint="eastAsia" w:ascii="宋体" w:hAnsi="宋体" w:eastAsia="宋体" w:cs="宋体"/>
                <w:color w:val="auto"/>
                <w:sz w:val="24"/>
                <w:szCs w:val="24"/>
                <w:lang w:val="en-US" w:eastAsia="zh-CN"/>
              </w:rPr>
              <w:t>基本可行的得 3 分，不可行的不得分；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50" w:hRule="atLeast"/>
          <w:jc w:val="center"/>
        </w:trPr>
        <w:tc>
          <w:tcPr>
            <w:tcW w:w="649" w:type="dxa"/>
            <w:tcBorders>
              <w:top w:val="single" w:color="auto" w:sz="4" w:space="0"/>
            </w:tcBorders>
            <w:noWrap w:val="0"/>
            <w:vAlign w:val="center"/>
          </w:tcPr>
          <w:p>
            <w:pPr>
              <w:pStyle w:val="29"/>
              <w:spacing w:line="320" w:lineRule="exact"/>
              <w:ind w:firstLine="0" w:firstLineChars="0"/>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w:t>
            </w:r>
          </w:p>
        </w:tc>
        <w:tc>
          <w:tcPr>
            <w:tcW w:w="1261" w:type="dxa"/>
            <w:tcBorders>
              <w:top w:val="single" w:color="auto" w:sz="4" w:space="0"/>
            </w:tcBorders>
            <w:noWrap w:val="0"/>
            <w:vAlign w:val="center"/>
          </w:tcPr>
          <w:p>
            <w:pPr>
              <w:pStyle w:val="29"/>
              <w:spacing w:line="320" w:lineRule="exact"/>
              <w:ind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合理化建议</w:t>
            </w:r>
          </w:p>
        </w:tc>
        <w:tc>
          <w:tcPr>
            <w:tcW w:w="938" w:type="dxa"/>
            <w:tcBorders>
              <w:top w:val="single" w:color="auto" w:sz="4" w:space="0"/>
            </w:tcBorders>
            <w:noWrap w:val="0"/>
            <w:vAlign w:val="center"/>
          </w:tcPr>
          <w:p>
            <w:pPr>
              <w:pStyle w:val="29"/>
              <w:spacing w:line="320" w:lineRule="exact"/>
              <w:ind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5</w:t>
            </w:r>
            <w:r>
              <w:rPr>
                <w:rFonts w:hint="eastAsia" w:ascii="宋体" w:hAnsi="宋体" w:eastAsia="宋体" w:cs="宋体"/>
                <w:b w:val="0"/>
                <w:bCs w:val="0"/>
                <w:color w:val="auto"/>
                <w:kern w:val="2"/>
                <w:sz w:val="24"/>
                <w:szCs w:val="24"/>
                <w:highlight w:val="none"/>
                <w:lang w:val="en-US" w:eastAsia="zh-CN" w:bidi="ar-SA"/>
              </w:rPr>
              <w:t>分</w:t>
            </w:r>
          </w:p>
        </w:tc>
        <w:tc>
          <w:tcPr>
            <w:tcW w:w="7234" w:type="dxa"/>
            <w:tcBorders>
              <w:top w:val="single" w:color="auto" w:sz="4" w:space="0"/>
              <w:bottom w:val="single" w:color="auto"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line="240" w:lineRule="exact"/>
              <w:ind w:firstLine="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针对本项目重难点分析，制定科学性、合理性、规范性进行对比。合理化建议积极意义、可行性、合理性等方面综合评比。对本项目的重点、难点分析全面并提出具有针对性的合理化建议，得</w:t>
            </w:r>
            <w:r>
              <w:rPr>
                <w:rFonts w:hint="eastAsia" w:ascii="宋体" w:hAnsi="宋体" w:cs="宋体"/>
                <w:b w:val="0"/>
                <w:bCs w:val="0"/>
                <w:color w:val="auto"/>
                <w:kern w:val="2"/>
                <w:sz w:val="24"/>
                <w:szCs w:val="24"/>
                <w:highlight w:val="none"/>
                <w:lang w:val="en-US" w:eastAsia="zh-CN" w:bidi="ar-SA"/>
              </w:rPr>
              <w:t>2-3</w:t>
            </w:r>
            <w:r>
              <w:rPr>
                <w:rFonts w:hint="eastAsia" w:ascii="宋体" w:hAnsi="宋体" w:eastAsia="宋体" w:cs="宋体"/>
                <w:b w:val="0"/>
                <w:bCs w:val="0"/>
                <w:color w:val="auto"/>
                <w:kern w:val="2"/>
                <w:sz w:val="24"/>
                <w:szCs w:val="24"/>
                <w:highlight w:val="none"/>
                <w:lang w:val="en-US" w:eastAsia="zh-CN" w:bidi="ar-SA"/>
              </w:rPr>
              <w:t xml:space="preserve">分 </w:t>
            </w:r>
          </w:p>
          <w:p>
            <w:pPr>
              <w:pStyle w:val="29"/>
              <w:keepNext w:val="0"/>
              <w:keepLines w:val="0"/>
              <w:pageBreakBefore w:val="0"/>
              <w:widowControl/>
              <w:kinsoku/>
              <w:wordWrap/>
              <w:overflowPunct/>
              <w:topLinePunct w:val="0"/>
              <w:autoSpaceDE/>
              <w:autoSpaceDN/>
              <w:bidi w:val="0"/>
              <w:adjustRightInd/>
              <w:snapToGrid/>
              <w:spacing w:line="240" w:lineRule="exact"/>
              <w:ind w:firstLine="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对本项目的重点、难点分析较全面并提出有效的合理化建议，得</w:t>
            </w:r>
            <w:r>
              <w:rPr>
                <w:rFonts w:hint="eastAsia" w:ascii="宋体" w:hAnsi="宋体" w:cs="宋体"/>
                <w:b w:val="0"/>
                <w:bCs w:val="0"/>
                <w:color w:val="auto"/>
                <w:kern w:val="2"/>
                <w:sz w:val="24"/>
                <w:szCs w:val="24"/>
                <w:highlight w:val="none"/>
                <w:lang w:val="en-US" w:eastAsia="zh-CN" w:bidi="ar-SA"/>
              </w:rPr>
              <w:t>1-2</w:t>
            </w:r>
            <w:r>
              <w:rPr>
                <w:rFonts w:hint="eastAsia" w:ascii="宋体" w:hAnsi="宋体" w:eastAsia="宋体" w:cs="宋体"/>
                <w:b w:val="0"/>
                <w:bCs w:val="0"/>
                <w:color w:val="auto"/>
                <w:kern w:val="2"/>
                <w:sz w:val="24"/>
                <w:szCs w:val="24"/>
                <w:highlight w:val="none"/>
                <w:lang w:val="en-US" w:eastAsia="zh-CN" w:bidi="ar-SA"/>
              </w:rPr>
              <w:t>分；</w:t>
            </w:r>
          </w:p>
          <w:p>
            <w:pPr>
              <w:pStyle w:val="29"/>
              <w:keepNext w:val="0"/>
              <w:keepLines w:val="0"/>
              <w:pageBreakBefore w:val="0"/>
              <w:widowControl/>
              <w:kinsoku/>
              <w:wordWrap/>
              <w:overflowPunct/>
              <w:topLinePunct w:val="0"/>
              <w:autoSpaceDE/>
              <w:autoSpaceDN/>
              <w:bidi w:val="0"/>
              <w:adjustRightInd/>
              <w:snapToGrid/>
              <w:spacing w:line="240" w:lineRule="exact"/>
              <w:ind w:firstLine="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对本项目的重点、难点分析不全面，提出的合理化建议缺少针对性，得</w:t>
            </w:r>
            <w:r>
              <w:rPr>
                <w:rFonts w:hint="eastAsia" w:ascii="宋体" w:hAnsi="宋体" w:cs="宋体"/>
                <w:b w:val="0"/>
                <w:bCs w:val="0"/>
                <w:color w:val="auto"/>
                <w:kern w:val="2"/>
                <w:sz w:val="24"/>
                <w:szCs w:val="24"/>
                <w:highlight w:val="none"/>
                <w:lang w:val="en-US" w:eastAsia="zh-CN" w:bidi="ar-SA"/>
              </w:rPr>
              <w:t>0-1</w:t>
            </w:r>
            <w:r>
              <w:rPr>
                <w:rFonts w:hint="eastAsia" w:ascii="宋体" w:hAnsi="宋体" w:eastAsia="宋体" w:cs="宋体"/>
                <w:b w:val="0"/>
                <w:bCs w:val="0"/>
                <w:color w:val="auto"/>
                <w:kern w:val="2"/>
                <w:sz w:val="24"/>
                <w:szCs w:val="24"/>
                <w:highlight w:val="none"/>
                <w:lang w:val="en-US" w:eastAsia="zh-CN" w:bidi="ar-SA"/>
              </w:rPr>
              <w:t>分；</w:t>
            </w:r>
          </w:p>
          <w:p>
            <w:pPr>
              <w:pStyle w:val="29"/>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方案不完整或未提供的不得分。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30" w:hRule="atLeast"/>
          <w:jc w:val="center"/>
        </w:trPr>
        <w:tc>
          <w:tcPr>
            <w:tcW w:w="649" w:type="dxa"/>
            <w:tcBorders>
              <w:top w:val="single" w:color="auto" w:sz="4" w:space="0"/>
              <w:bottom w:val="single" w:color="auto" w:sz="4" w:space="0"/>
            </w:tcBorders>
            <w:noWrap w:val="0"/>
            <w:vAlign w:val="center"/>
          </w:tcPr>
          <w:p>
            <w:pPr>
              <w:pStyle w:val="29"/>
              <w:spacing w:line="320" w:lineRule="exact"/>
              <w:ind w:firstLine="0" w:firstLineChars="0"/>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w:t>
            </w:r>
          </w:p>
        </w:tc>
        <w:tc>
          <w:tcPr>
            <w:tcW w:w="1261" w:type="dxa"/>
            <w:tcBorders>
              <w:top w:val="single" w:color="auto" w:sz="4" w:space="0"/>
              <w:bottom w:val="single" w:color="auto" w:sz="4" w:space="0"/>
            </w:tcBorders>
            <w:noWrap w:val="0"/>
            <w:vAlign w:val="center"/>
          </w:tcPr>
          <w:p>
            <w:pPr>
              <w:pStyle w:val="29"/>
              <w:spacing w:line="320" w:lineRule="exact"/>
              <w:ind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项目需求的理解与分析</w:t>
            </w:r>
          </w:p>
        </w:tc>
        <w:tc>
          <w:tcPr>
            <w:tcW w:w="938" w:type="dxa"/>
            <w:tcBorders>
              <w:top w:val="single" w:color="auto" w:sz="4" w:space="0"/>
              <w:bottom w:val="single" w:color="auto" w:sz="4" w:space="0"/>
            </w:tcBorders>
            <w:noWrap w:val="0"/>
            <w:vAlign w:val="center"/>
          </w:tcPr>
          <w:p>
            <w:pPr>
              <w:pStyle w:val="29"/>
              <w:spacing w:line="320" w:lineRule="exact"/>
              <w:ind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5</w:t>
            </w:r>
            <w:r>
              <w:rPr>
                <w:rFonts w:hint="eastAsia" w:ascii="宋体" w:hAnsi="宋体" w:eastAsia="宋体" w:cs="宋体"/>
                <w:b w:val="0"/>
                <w:bCs w:val="0"/>
                <w:color w:val="auto"/>
                <w:kern w:val="2"/>
                <w:sz w:val="24"/>
                <w:szCs w:val="24"/>
                <w:highlight w:val="none"/>
                <w:lang w:val="en-US" w:eastAsia="zh-CN" w:bidi="ar-SA"/>
              </w:rPr>
              <w:t>分</w:t>
            </w:r>
          </w:p>
        </w:tc>
        <w:tc>
          <w:tcPr>
            <w:tcW w:w="7234" w:type="dxa"/>
            <w:tcBorders>
              <w:top w:val="single" w:color="auto" w:sz="4" w:space="0"/>
              <w:bottom w:val="single" w:color="auto" w:sz="4" w:space="0"/>
            </w:tcBorders>
            <w:noWrap w:val="0"/>
            <w:vAlign w:val="center"/>
          </w:tcPr>
          <w:p>
            <w:pPr>
              <w:pStyle w:val="29"/>
              <w:spacing w:before="0" w:after="0" w:line="240" w:lineRule="auto"/>
              <w:ind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投标人能够充分理解项目需求，对项目情况的理解程度、是否熟悉项目所在领域情况、技术思路清晰，架构合理性、先进性、安全可靠性，逻辑层次的清晰性等进行评分。此项最高得</w:t>
            </w:r>
            <w:r>
              <w:rPr>
                <w:rFonts w:hint="eastAsia" w:ascii="宋体" w:hAnsi="宋体" w:cs="宋体"/>
                <w:b w:val="0"/>
                <w:bCs w:val="0"/>
                <w:color w:val="auto"/>
                <w:kern w:val="2"/>
                <w:sz w:val="24"/>
                <w:szCs w:val="24"/>
                <w:highlight w:val="none"/>
                <w:lang w:val="en-US" w:eastAsia="zh-CN" w:bidi="ar-SA"/>
              </w:rPr>
              <w:t>5</w:t>
            </w:r>
            <w:r>
              <w:rPr>
                <w:rFonts w:hint="eastAsia" w:ascii="宋体" w:hAnsi="宋体" w:eastAsia="宋体" w:cs="宋体"/>
                <w:b w:val="0"/>
                <w:bCs w:val="0"/>
                <w:color w:val="auto"/>
                <w:kern w:val="2"/>
                <w:sz w:val="24"/>
                <w:szCs w:val="24"/>
                <w:highlight w:val="none"/>
                <w:lang w:val="en-US" w:eastAsia="zh-CN" w:bidi="ar-SA"/>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649" w:type="dxa"/>
            <w:tcBorders>
              <w:top w:val="single" w:color="auto" w:sz="4" w:space="0"/>
              <w:bottom w:val="single" w:color="auto" w:sz="4" w:space="0"/>
            </w:tcBorders>
            <w:noWrap w:val="0"/>
            <w:vAlign w:val="center"/>
          </w:tcPr>
          <w:p>
            <w:pPr>
              <w:pStyle w:val="29"/>
              <w:spacing w:line="320" w:lineRule="exact"/>
              <w:ind w:firstLine="0" w:firstLineChars="0"/>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4</w:t>
            </w:r>
          </w:p>
        </w:tc>
        <w:tc>
          <w:tcPr>
            <w:tcW w:w="1261" w:type="dxa"/>
            <w:tcBorders>
              <w:top w:val="single" w:color="auto" w:sz="4" w:space="0"/>
              <w:bottom w:val="single" w:color="auto" w:sz="4" w:space="0"/>
            </w:tcBorders>
            <w:noWrap w:val="0"/>
            <w:vAlign w:val="center"/>
          </w:tcPr>
          <w:p>
            <w:pPr>
              <w:pStyle w:val="29"/>
              <w:spacing w:line="320" w:lineRule="exact"/>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企业综合实力</w:t>
            </w:r>
          </w:p>
        </w:tc>
        <w:tc>
          <w:tcPr>
            <w:tcW w:w="938" w:type="dxa"/>
            <w:tcBorders>
              <w:top w:val="single" w:color="auto" w:sz="4" w:space="0"/>
              <w:bottom w:val="single" w:color="auto" w:sz="4" w:space="0"/>
            </w:tcBorders>
            <w:noWrap w:val="0"/>
            <w:vAlign w:val="center"/>
          </w:tcPr>
          <w:p>
            <w:pPr>
              <w:pStyle w:val="29"/>
              <w:spacing w:line="320" w:lineRule="exact"/>
              <w:ind w:firstLine="0" w:firstLineChars="0"/>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15分</w:t>
            </w:r>
          </w:p>
        </w:tc>
        <w:tc>
          <w:tcPr>
            <w:tcW w:w="7234" w:type="dxa"/>
            <w:tcBorders>
              <w:top w:val="single" w:color="auto" w:sz="4" w:space="0"/>
              <w:bottom w:val="single" w:color="auto"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line="260" w:lineRule="exact"/>
              <w:ind w:firstLine="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1</w:t>
            </w:r>
            <w:r>
              <w:rPr>
                <w:rFonts w:hint="eastAsia" w:ascii="宋体" w:hAnsi="宋体" w:eastAsia="宋体" w:cs="宋体"/>
                <w:b w:val="0"/>
                <w:bCs w:val="0"/>
                <w:color w:val="auto"/>
                <w:kern w:val="2"/>
                <w:sz w:val="24"/>
                <w:szCs w:val="24"/>
                <w:highlight w:val="none"/>
                <w:lang w:val="en-US" w:eastAsia="zh-CN" w:bidi="ar-SA"/>
              </w:rPr>
              <w:t>.投标人或设备供应商具有软件集成能力CM</w:t>
            </w:r>
            <w:r>
              <w:rPr>
                <w:rFonts w:hint="eastAsia" w:ascii="宋体" w:hAnsi="宋体" w:cs="宋体"/>
                <w:b w:val="0"/>
                <w:bCs w:val="0"/>
                <w:color w:val="auto"/>
                <w:kern w:val="2"/>
                <w:sz w:val="24"/>
                <w:szCs w:val="24"/>
                <w:highlight w:val="none"/>
                <w:lang w:val="en-US" w:eastAsia="zh-CN" w:bidi="ar-SA"/>
              </w:rPr>
              <w:t>M</w:t>
            </w:r>
            <w:r>
              <w:rPr>
                <w:rFonts w:hint="eastAsia" w:ascii="宋体" w:hAnsi="宋体" w:eastAsia="宋体" w:cs="宋体"/>
                <w:b w:val="0"/>
                <w:bCs w:val="0"/>
                <w:color w:val="auto"/>
                <w:kern w:val="2"/>
                <w:sz w:val="24"/>
                <w:szCs w:val="24"/>
                <w:highlight w:val="none"/>
                <w:lang w:val="en-US" w:eastAsia="zh-CN" w:bidi="ar-SA"/>
              </w:rPr>
              <w:t>I3及以上证书得</w:t>
            </w:r>
            <w:r>
              <w:rPr>
                <w:rFonts w:hint="eastAsia" w:ascii="宋体" w:hAnsi="宋体" w:cs="宋体"/>
                <w:b w:val="0"/>
                <w:bCs w:val="0"/>
                <w:color w:val="auto"/>
                <w:kern w:val="2"/>
                <w:sz w:val="24"/>
                <w:szCs w:val="24"/>
                <w:highlight w:val="none"/>
                <w:lang w:val="en-US" w:eastAsia="zh-CN" w:bidi="ar-SA"/>
              </w:rPr>
              <w:t>3</w:t>
            </w:r>
            <w:r>
              <w:rPr>
                <w:rFonts w:hint="eastAsia" w:ascii="宋体" w:hAnsi="宋体" w:eastAsia="宋体" w:cs="宋体"/>
                <w:b w:val="0"/>
                <w:bCs w:val="0"/>
                <w:color w:val="auto"/>
                <w:kern w:val="2"/>
                <w:sz w:val="24"/>
                <w:szCs w:val="24"/>
                <w:highlight w:val="none"/>
                <w:lang w:val="en-US" w:eastAsia="zh-CN" w:bidi="ar-SA"/>
              </w:rPr>
              <w:t>分，不满足不得分。需提供相关证明材料</w:t>
            </w:r>
          </w:p>
          <w:p>
            <w:pPr>
              <w:pStyle w:val="29"/>
              <w:keepNext w:val="0"/>
              <w:keepLines w:val="0"/>
              <w:pageBreakBefore w:val="0"/>
              <w:widowControl/>
              <w:kinsoku/>
              <w:wordWrap/>
              <w:overflowPunct/>
              <w:topLinePunct w:val="0"/>
              <w:autoSpaceDE/>
              <w:autoSpaceDN/>
              <w:bidi w:val="0"/>
              <w:adjustRightInd/>
              <w:snapToGrid/>
              <w:spacing w:line="260" w:lineRule="exact"/>
              <w:ind w:firstLine="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(须提供证书复印件加盖投标人公章)</w:t>
            </w:r>
          </w:p>
          <w:p>
            <w:pPr>
              <w:pStyle w:val="29"/>
              <w:keepNext w:val="0"/>
              <w:keepLines w:val="0"/>
              <w:pageBreakBefore w:val="0"/>
              <w:widowControl/>
              <w:kinsoku/>
              <w:wordWrap/>
              <w:overflowPunct/>
              <w:topLinePunct w:val="0"/>
              <w:autoSpaceDE/>
              <w:autoSpaceDN/>
              <w:bidi w:val="0"/>
              <w:adjustRightInd/>
              <w:snapToGrid/>
              <w:spacing w:line="260" w:lineRule="exact"/>
              <w:ind w:firstLine="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kern w:val="2"/>
                <w:sz w:val="24"/>
                <w:szCs w:val="24"/>
                <w:highlight w:val="none"/>
                <w:lang w:val="en-US" w:eastAsia="zh-CN" w:bidi="ar-SA"/>
              </w:rPr>
              <w:t>.投标人或设备供应商具有商品售后服务体系认证(五星级)证书得</w:t>
            </w:r>
            <w:r>
              <w:rPr>
                <w:rFonts w:hint="eastAsia" w:ascii="宋体" w:hAnsi="宋体" w:cs="宋体"/>
                <w:b w:val="0"/>
                <w:bCs w:val="0"/>
                <w:color w:val="auto"/>
                <w:kern w:val="2"/>
                <w:sz w:val="24"/>
                <w:szCs w:val="24"/>
                <w:highlight w:val="none"/>
                <w:lang w:val="en-US" w:eastAsia="zh-CN" w:bidi="ar-SA"/>
              </w:rPr>
              <w:t>3</w:t>
            </w:r>
            <w:r>
              <w:rPr>
                <w:rFonts w:hint="eastAsia" w:ascii="宋体" w:hAnsi="宋体" w:eastAsia="宋体" w:cs="宋体"/>
                <w:b w:val="0"/>
                <w:bCs w:val="0"/>
                <w:color w:val="auto"/>
                <w:kern w:val="2"/>
                <w:sz w:val="24"/>
                <w:szCs w:val="24"/>
                <w:highlight w:val="none"/>
                <w:lang w:val="en-US" w:eastAsia="zh-CN" w:bidi="ar-SA"/>
              </w:rPr>
              <w:t>分，没有不得分。需提供相关证明材料</w:t>
            </w:r>
          </w:p>
          <w:p>
            <w:pPr>
              <w:pStyle w:val="29"/>
              <w:keepNext w:val="0"/>
              <w:keepLines w:val="0"/>
              <w:pageBreakBefore w:val="0"/>
              <w:widowControl/>
              <w:kinsoku/>
              <w:wordWrap/>
              <w:overflowPunct/>
              <w:topLinePunct w:val="0"/>
              <w:autoSpaceDE/>
              <w:autoSpaceDN/>
              <w:bidi w:val="0"/>
              <w:adjustRightInd/>
              <w:snapToGrid/>
              <w:spacing w:line="260" w:lineRule="exact"/>
              <w:ind w:firstLine="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(须提供有效期内的证书复印件加盖投标人公章)</w:t>
            </w:r>
          </w:p>
          <w:p>
            <w:pPr>
              <w:pStyle w:val="29"/>
              <w:keepNext w:val="0"/>
              <w:keepLines w:val="0"/>
              <w:pageBreakBefore w:val="0"/>
              <w:widowControl/>
              <w:kinsoku/>
              <w:wordWrap/>
              <w:overflowPunct/>
              <w:topLinePunct w:val="0"/>
              <w:autoSpaceDE/>
              <w:autoSpaceDN/>
              <w:bidi w:val="0"/>
              <w:adjustRightInd/>
              <w:snapToGrid/>
              <w:spacing w:line="260" w:lineRule="exact"/>
              <w:ind w:firstLine="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3</w:t>
            </w:r>
            <w:r>
              <w:rPr>
                <w:rFonts w:hint="eastAsia" w:ascii="宋体" w:hAnsi="宋体" w:eastAsia="宋体" w:cs="宋体"/>
                <w:b w:val="0"/>
                <w:bCs w:val="0"/>
                <w:color w:val="auto"/>
                <w:kern w:val="2"/>
                <w:sz w:val="24"/>
                <w:szCs w:val="24"/>
                <w:highlight w:val="none"/>
                <w:lang w:val="en-US" w:eastAsia="zh-CN" w:bidi="ar-SA"/>
              </w:rPr>
              <w:t>.投标人或设备供应商具备国家级科研工作站的得</w:t>
            </w:r>
            <w:r>
              <w:rPr>
                <w:rFonts w:hint="eastAsia" w:ascii="宋体" w:hAnsi="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kern w:val="2"/>
                <w:sz w:val="24"/>
                <w:szCs w:val="24"/>
                <w:highlight w:val="none"/>
                <w:lang w:val="en-US" w:eastAsia="zh-CN" w:bidi="ar-SA"/>
              </w:rPr>
              <w:t>分，省级科研工作站的得</w:t>
            </w:r>
            <w:r>
              <w:rPr>
                <w:rFonts w:hint="eastAsia" w:ascii="宋体" w:hAnsi="宋体" w:cs="宋体"/>
                <w:b w:val="0"/>
                <w:bCs w:val="0"/>
                <w:color w:val="auto"/>
                <w:kern w:val="2"/>
                <w:sz w:val="24"/>
                <w:szCs w:val="24"/>
                <w:highlight w:val="none"/>
                <w:lang w:val="en-US" w:eastAsia="zh-CN" w:bidi="ar-SA"/>
              </w:rPr>
              <w:t>1</w:t>
            </w:r>
            <w:r>
              <w:rPr>
                <w:rFonts w:hint="eastAsia" w:ascii="宋体" w:hAnsi="宋体" w:eastAsia="宋体" w:cs="宋体"/>
                <w:b w:val="0"/>
                <w:bCs w:val="0"/>
                <w:color w:val="auto"/>
                <w:kern w:val="2"/>
                <w:sz w:val="24"/>
                <w:szCs w:val="24"/>
                <w:highlight w:val="none"/>
                <w:lang w:val="en-US" w:eastAsia="zh-CN" w:bidi="ar-SA"/>
              </w:rPr>
              <w:t>分，其余不得分，满分为</w:t>
            </w:r>
            <w:r>
              <w:rPr>
                <w:rFonts w:hint="eastAsia" w:ascii="宋体" w:hAnsi="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kern w:val="2"/>
                <w:sz w:val="24"/>
                <w:szCs w:val="24"/>
                <w:highlight w:val="none"/>
                <w:lang w:val="en-US" w:eastAsia="zh-CN" w:bidi="ar-SA"/>
              </w:rPr>
              <w:t>分。</w:t>
            </w:r>
          </w:p>
          <w:p>
            <w:pPr>
              <w:pStyle w:val="29"/>
              <w:keepNext w:val="0"/>
              <w:keepLines w:val="0"/>
              <w:pageBreakBefore w:val="0"/>
              <w:widowControl/>
              <w:kinsoku/>
              <w:wordWrap/>
              <w:overflowPunct/>
              <w:topLinePunct w:val="0"/>
              <w:autoSpaceDE/>
              <w:autoSpaceDN/>
              <w:bidi w:val="0"/>
              <w:adjustRightInd/>
              <w:snapToGrid/>
              <w:spacing w:line="260" w:lineRule="exact"/>
              <w:ind w:firstLine="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(提供政府行政机关相关批文或网站公示截图)</w:t>
            </w:r>
          </w:p>
          <w:p>
            <w:pPr>
              <w:pStyle w:val="29"/>
              <w:keepNext w:val="0"/>
              <w:keepLines w:val="0"/>
              <w:pageBreakBefore w:val="0"/>
              <w:widowControl/>
              <w:kinsoku/>
              <w:wordWrap/>
              <w:overflowPunct/>
              <w:topLinePunct w:val="0"/>
              <w:autoSpaceDE/>
              <w:autoSpaceDN/>
              <w:bidi w:val="0"/>
              <w:adjustRightInd/>
              <w:snapToGrid/>
              <w:spacing w:line="260" w:lineRule="exact"/>
              <w:ind w:firstLine="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.投标人或设备供应商参与环保相关国家科技支撑计划课题的得</w:t>
            </w:r>
            <w:r>
              <w:rPr>
                <w:rFonts w:hint="eastAsia" w:ascii="宋体" w:hAnsi="宋体" w:cs="宋体"/>
                <w:b w:val="0"/>
                <w:bCs w:val="0"/>
                <w:color w:val="auto"/>
                <w:kern w:val="2"/>
                <w:sz w:val="24"/>
                <w:szCs w:val="24"/>
                <w:highlight w:val="none"/>
                <w:lang w:val="en-US" w:eastAsia="zh-CN" w:bidi="ar-SA"/>
              </w:rPr>
              <w:t>1</w:t>
            </w:r>
            <w:r>
              <w:rPr>
                <w:rFonts w:hint="eastAsia" w:ascii="宋体" w:hAnsi="宋体" w:eastAsia="宋体" w:cs="宋体"/>
                <w:b w:val="0"/>
                <w:bCs w:val="0"/>
                <w:color w:val="auto"/>
                <w:kern w:val="2"/>
                <w:sz w:val="24"/>
                <w:szCs w:val="24"/>
                <w:highlight w:val="none"/>
                <w:lang w:val="en-US" w:eastAsia="zh-CN" w:bidi="ar-SA"/>
              </w:rPr>
              <w:t>，最高得</w:t>
            </w:r>
            <w:r>
              <w:rPr>
                <w:rFonts w:hint="eastAsia" w:ascii="宋体" w:hAnsi="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kern w:val="2"/>
                <w:sz w:val="24"/>
                <w:szCs w:val="24"/>
                <w:highlight w:val="none"/>
                <w:lang w:val="en-US" w:eastAsia="zh-CN" w:bidi="ar-SA"/>
              </w:rPr>
              <w:t>分。</w:t>
            </w:r>
          </w:p>
          <w:p>
            <w:pPr>
              <w:pStyle w:val="29"/>
              <w:keepNext w:val="0"/>
              <w:keepLines w:val="0"/>
              <w:pageBreakBefore w:val="0"/>
              <w:widowControl/>
              <w:kinsoku/>
              <w:wordWrap/>
              <w:overflowPunct/>
              <w:topLinePunct w:val="0"/>
              <w:autoSpaceDE/>
              <w:autoSpaceDN/>
              <w:bidi w:val="0"/>
              <w:adjustRightInd/>
              <w:snapToGrid/>
              <w:spacing w:line="260" w:lineRule="exact"/>
              <w:ind w:firstLine="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(须提供课题项目任务书和验收复印件并加盖承担单位公章)</w:t>
            </w:r>
          </w:p>
          <w:p>
            <w:pPr>
              <w:pStyle w:val="29"/>
              <w:keepNext w:val="0"/>
              <w:keepLines w:val="0"/>
              <w:pageBreakBefore w:val="0"/>
              <w:widowControl/>
              <w:kinsoku/>
              <w:wordWrap/>
              <w:overflowPunct/>
              <w:topLinePunct w:val="0"/>
              <w:autoSpaceDE/>
              <w:autoSpaceDN/>
              <w:bidi w:val="0"/>
              <w:adjustRightInd/>
              <w:snapToGrid/>
              <w:spacing w:line="260" w:lineRule="exact"/>
              <w:ind w:firstLine="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5</w:t>
            </w:r>
            <w:r>
              <w:rPr>
                <w:rFonts w:hint="eastAsia" w:ascii="宋体" w:hAnsi="宋体" w:eastAsia="宋体" w:cs="宋体"/>
                <w:b w:val="0"/>
                <w:bCs w:val="0"/>
                <w:color w:val="auto"/>
                <w:kern w:val="2"/>
                <w:sz w:val="24"/>
                <w:szCs w:val="24"/>
                <w:highlight w:val="none"/>
                <w:lang w:val="en-US" w:eastAsia="zh-CN" w:bidi="ar-SA"/>
              </w:rPr>
              <w:t>.投标人或设备供应商入选工信部公示的符合《环保装备制造行业(环境监测仪器)规范条件》企业名单的，得</w:t>
            </w:r>
            <w:r>
              <w:rPr>
                <w:rFonts w:hint="eastAsia" w:ascii="宋体" w:hAnsi="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kern w:val="2"/>
                <w:sz w:val="24"/>
                <w:szCs w:val="24"/>
                <w:highlight w:val="none"/>
                <w:lang w:val="en-US" w:eastAsia="zh-CN" w:bidi="ar-SA"/>
              </w:rPr>
              <w:t>分。</w:t>
            </w:r>
          </w:p>
          <w:p>
            <w:pPr>
              <w:pStyle w:val="29"/>
              <w:keepNext w:val="0"/>
              <w:keepLines w:val="0"/>
              <w:pageBreakBefore w:val="0"/>
              <w:widowControl/>
              <w:kinsoku/>
              <w:wordWrap/>
              <w:overflowPunct/>
              <w:topLinePunct w:val="0"/>
              <w:autoSpaceDE/>
              <w:autoSpaceDN/>
              <w:bidi w:val="0"/>
              <w:adjustRightInd/>
              <w:snapToGrid/>
              <w:spacing w:line="260" w:lineRule="exact"/>
              <w:ind w:firstLine="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(须提供工信部公示的名单截图加盖投标单位公章。)</w:t>
            </w:r>
          </w:p>
          <w:p>
            <w:pPr>
              <w:pStyle w:val="29"/>
              <w:keepNext w:val="0"/>
              <w:keepLines w:val="0"/>
              <w:pageBreakBefore w:val="0"/>
              <w:widowControl/>
              <w:kinsoku/>
              <w:wordWrap/>
              <w:overflowPunct/>
              <w:topLinePunct w:val="0"/>
              <w:autoSpaceDE/>
              <w:autoSpaceDN/>
              <w:bidi w:val="0"/>
              <w:adjustRightInd/>
              <w:snapToGrid/>
              <w:spacing w:line="260" w:lineRule="exact"/>
              <w:ind w:firstLine="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6.</w:t>
            </w:r>
            <w:r>
              <w:rPr>
                <w:rFonts w:hint="eastAsia" w:ascii="宋体" w:hAnsi="宋体" w:eastAsia="宋体" w:cs="宋体"/>
                <w:b w:val="0"/>
                <w:bCs w:val="0"/>
                <w:color w:val="auto"/>
                <w:kern w:val="2"/>
                <w:sz w:val="24"/>
                <w:szCs w:val="24"/>
                <w:highlight w:val="none"/>
                <w:lang w:val="en-US" w:eastAsia="zh-CN" w:bidi="ar-SA"/>
              </w:rPr>
              <w:t>投标人或设备供应商固定资产具有可靠性试验设备(老化房、高低温交变湿热试验箱、振动实验台)至少各1台及以上，每有一项得</w:t>
            </w:r>
            <w:r>
              <w:rPr>
                <w:rFonts w:hint="eastAsia" w:ascii="宋体" w:hAnsi="宋体" w:cs="宋体"/>
                <w:b w:val="0"/>
                <w:bCs w:val="0"/>
                <w:color w:val="auto"/>
                <w:kern w:val="2"/>
                <w:sz w:val="24"/>
                <w:szCs w:val="24"/>
                <w:highlight w:val="none"/>
                <w:lang w:val="en-US" w:eastAsia="zh-CN" w:bidi="ar-SA"/>
              </w:rPr>
              <w:t>1</w:t>
            </w:r>
            <w:r>
              <w:rPr>
                <w:rFonts w:hint="eastAsia" w:ascii="宋体" w:hAnsi="宋体" w:eastAsia="宋体" w:cs="宋体"/>
                <w:b w:val="0"/>
                <w:bCs w:val="0"/>
                <w:color w:val="auto"/>
                <w:kern w:val="2"/>
                <w:sz w:val="24"/>
                <w:szCs w:val="24"/>
                <w:highlight w:val="none"/>
                <w:lang w:val="en-US" w:eastAsia="zh-CN" w:bidi="ar-SA"/>
              </w:rPr>
              <w:t>分，最高得</w:t>
            </w:r>
            <w:r>
              <w:rPr>
                <w:rFonts w:hint="eastAsia" w:ascii="宋体" w:hAnsi="宋体" w:cs="宋体"/>
                <w:b w:val="0"/>
                <w:bCs w:val="0"/>
                <w:color w:val="auto"/>
                <w:kern w:val="2"/>
                <w:sz w:val="24"/>
                <w:szCs w:val="24"/>
                <w:highlight w:val="none"/>
                <w:lang w:val="en-US" w:eastAsia="zh-CN" w:bidi="ar-SA"/>
              </w:rPr>
              <w:t>3</w:t>
            </w:r>
            <w:r>
              <w:rPr>
                <w:rFonts w:hint="eastAsia" w:ascii="宋体" w:hAnsi="宋体" w:eastAsia="宋体" w:cs="宋体"/>
                <w:b w:val="0"/>
                <w:bCs w:val="0"/>
                <w:color w:val="auto"/>
                <w:kern w:val="2"/>
                <w:sz w:val="24"/>
                <w:szCs w:val="24"/>
                <w:highlight w:val="none"/>
                <w:lang w:val="en-US" w:eastAsia="zh-CN" w:bidi="ar-SA"/>
              </w:rPr>
              <w:t>分。</w:t>
            </w:r>
          </w:p>
          <w:p>
            <w:pPr>
              <w:pStyle w:val="29"/>
              <w:keepNext w:val="0"/>
              <w:keepLines w:val="0"/>
              <w:pageBreakBefore w:val="0"/>
              <w:widowControl/>
              <w:kinsoku/>
              <w:wordWrap/>
              <w:overflowPunct/>
              <w:topLinePunct w:val="0"/>
              <w:autoSpaceDE/>
              <w:autoSpaceDN/>
              <w:bidi w:val="0"/>
              <w:adjustRightInd/>
              <w:snapToGrid/>
              <w:spacing w:line="260" w:lineRule="exact"/>
              <w:ind w:firstLine="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(提供相关设备购买发票的复印件或扫描件及设备实物照片作</w:t>
            </w:r>
          </w:p>
          <w:p>
            <w:pPr>
              <w:pStyle w:val="29"/>
              <w:keepNext w:val="0"/>
              <w:keepLines w:val="0"/>
              <w:pageBreakBefore w:val="0"/>
              <w:widowControl/>
              <w:kinsoku/>
              <w:wordWrap/>
              <w:overflowPunct/>
              <w:topLinePunct w:val="0"/>
              <w:autoSpaceDE/>
              <w:autoSpaceDN/>
              <w:bidi w:val="0"/>
              <w:adjustRightInd/>
              <w:snapToGrid/>
              <w:spacing w:line="260" w:lineRule="exact"/>
              <w:ind w:firstLine="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为证明)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4" w:hRule="atLeast"/>
          <w:jc w:val="center"/>
        </w:trPr>
        <w:tc>
          <w:tcPr>
            <w:tcW w:w="649" w:type="dxa"/>
            <w:tcBorders>
              <w:top w:val="single" w:color="auto" w:sz="4" w:space="0"/>
            </w:tcBorders>
            <w:noWrap w:val="0"/>
            <w:vAlign w:val="center"/>
          </w:tcPr>
          <w:p>
            <w:pPr>
              <w:pStyle w:val="29"/>
              <w:spacing w:line="320" w:lineRule="exact"/>
              <w:ind w:firstLine="0" w:firstLineChars="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p>
        </w:tc>
        <w:tc>
          <w:tcPr>
            <w:tcW w:w="1261" w:type="dxa"/>
            <w:tcBorders>
              <w:top w:val="single" w:color="auto" w:sz="4" w:space="0"/>
            </w:tcBorders>
            <w:noWrap w:val="0"/>
            <w:vAlign w:val="center"/>
          </w:tcPr>
          <w:p>
            <w:pPr>
              <w:pStyle w:val="29"/>
              <w:spacing w:line="320" w:lineRule="exact"/>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企业资信</w:t>
            </w:r>
          </w:p>
        </w:tc>
        <w:tc>
          <w:tcPr>
            <w:tcW w:w="938" w:type="dxa"/>
            <w:tcBorders>
              <w:top w:val="single" w:color="auto" w:sz="4" w:space="0"/>
            </w:tcBorders>
            <w:noWrap w:val="0"/>
            <w:vAlign w:val="center"/>
          </w:tcPr>
          <w:p>
            <w:pPr>
              <w:pStyle w:val="29"/>
              <w:spacing w:line="320" w:lineRule="exact"/>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6分</w:t>
            </w:r>
          </w:p>
        </w:tc>
        <w:tc>
          <w:tcPr>
            <w:tcW w:w="7234" w:type="dxa"/>
            <w:tcBorders>
              <w:top w:val="single" w:color="auto" w:sz="4" w:space="0"/>
            </w:tcBorders>
            <w:noWrap w:val="0"/>
            <w:vAlign w:val="center"/>
          </w:tcPr>
          <w:p>
            <w:pPr>
              <w:pStyle w:val="29"/>
              <w:spacing w:line="320" w:lineRule="exact"/>
              <w:ind w:firstLine="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无不良记录的得6分；</w:t>
            </w:r>
          </w:p>
          <w:p>
            <w:pPr>
              <w:pStyle w:val="29"/>
              <w:spacing w:line="320" w:lineRule="exact"/>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有不良记录的不得分。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87" w:hRule="atLeast"/>
          <w:jc w:val="center"/>
        </w:trPr>
        <w:tc>
          <w:tcPr>
            <w:tcW w:w="649" w:type="dxa"/>
            <w:tcBorders>
              <w:top w:val="single" w:color="auto" w:sz="4" w:space="0"/>
            </w:tcBorders>
            <w:noWrap w:val="0"/>
            <w:vAlign w:val="center"/>
          </w:tcPr>
          <w:p>
            <w:pPr>
              <w:pStyle w:val="29"/>
              <w:spacing w:line="320" w:lineRule="exact"/>
              <w:ind w:firstLine="0" w:firstLineChars="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p>
        </w:tc>
        <w:tc>
          <w:tcPr>
            <w:tcW w:w="1261" w:type="dxa"/>
            <w:tcBorders>
              <w:top w:val="single" w:color="auto" w:sz="4" w:space="0"/>
            </w:tcBorders>
            <w:noWrap w:val="0"/>
            <w:vAlign w:val="center"/>
          </w:tcPr>
          <w:p>
            <w:pPr>
              <w:pStyle w:val="29"/>
              <w:spacing w:line="320" w:lineRule="exact"/>
              <w:ind w:left="0" w:leftChars="0" w:firstLine="0" w:firstLineChars="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办公场所</w:t>
            </w:r>
          </w:p>
        </w:tc>
        <w:tc>
          <w:tcPr>
            <w:tcW w:w="938" w:type="dxa"/>
            <w:tcBorders>
              <w:top w:val="single" w:color="auto" w:sz="4" w:space="0"/>
            </w:tcBorders>
            <w:noWrap w:val="0"/>
            <w:vAlign w:val="center"/>
          </w:tcPr>
          <w:p>
            <w:pPr>
              <w:pStyle w:val="29"/>
              <w:spacing w:line="320" w:lineRule="exact"/>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5分</w:t>
            </w:r>
          </w:p>
        </w:tc>
        <w:tc>
          <w:tcPr>
            <w:tcW w:w="7234" w:type="dxa"/>
            <w:tcBorders>
              <w:top w:val="single" w:color="auto" w:sz="4" w:space="0"/>
            </w:tcBorders>
            <w:noWrap w:val="0"/>
            <w:vAlign w:val="center"/>
          </w:tcPr>
          <w:p>
            <w:pPr>
              <w:pStyle w:val="29"/>
              <w:spacing w:line="320" w:lineRule="exact"/>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在本地具备办公场所得5分，没有不得分，以场地租赁或购买合同做评分依据。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39" w:hRule="atLeast"/>
          <w:jc w:val="center"/>
        </w:trPr>
        <w:tc>
          <w:tcPr>
            <w:tcW w:w="649" w:type="dxa"/>
            <w:tcBorders>
              <w:top w:val="single" w:color="auto" w:sz="4" w:space="0"/>
              <w:bottom w:val="single" w:color="auto" w:sz="4" w:space="0"/>
            </w:tcBorders>
            <w:noWrap w:val="0"/>
            <w:vAlign w:val="center"/>
          </w:tcPr>
          <w:p>
            <w:pPr>
              <w:pStyle w:val="29"/>
              <w:spacing w:line="320" w:lineRule="exact"/>
              <w:ind w:firstLine="0" w:firstLineChars="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w:t>
            </w:r>
          </w:p>
        </w:tc>
        <w:tc>
          <w:tcPr>
            <w:tcW w:w="1261" w:type="dxa"/>
            <w:tcBorders>
              <w:top w:val="single" w:color="auto" w:sz="4" w:space="0"/>
              <w:bottom w:val="single" w:color="auto" w:sz="4" w:space="0"/>
            </w:tcBorders>
            <w:noWrap w:val="0"/>
            <w:vAlign w:val="center"/>
          </w:tcPr>
          <w:p>
            <w:pPr>
              <w:pStyle w:val="29"/>
              <w:spacing w:line="320" w:lineRule="exact"/>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售后服务方案</w:t>
            </w:r>
          </w:p>
        </w:tc>
        <w:tc>
          <w:tcPr>
            <w:tcW w:w="938" w:type="dxa"/>
            <w:tcBorders>
              <w:top w:val="single" w:color="auto" w:sz="4" w:space="0"/>
              <w:bottom w:val="single" w:color="auto" w:sz="4" w:space="0"/>
            </w:tcBorders>
            <w:noWrap w:val="0"/>
            <w:vAlign w:val="center"/>
          </w:tcPr>
          <w:p>
            <w:pPr>
              <w:pStyle w:val="29"/>
              <w:spacing w:line="320" w:lineRule="exact"/>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14分</w:t>
            </w:r>
          </w:p>
        </w:tc>
        <w:tc>
          <w:tcPr>
            <w:tcW w:w="7234" w:type="dxa"/>
            <w:tcBorders>
              <w:top w:val="single" w:color="auto" w:sz="4" w:space="0"/>
              <w:bottom w:val="single" w:color="auto" w:sz="4" w:space="0"/>
            </w:tcBorders>
            <w:noWrap w:val="0"/>
            <w:vAlign w:val="center"/>
          </w:tcPr>
          <w:p>
            <w:pPr>
              <w:pStyle w:val="29"/>
              <w:spacing w:line="320" w:lineRule="exact"/>
              <w:ind w:firstLine="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提供详细售后服务方案。1、视企业承诺的售后服务方案，方案完整，符合项目实际情况的得</w:t>
            </w:r>
            <w:r>
              <w:rPr>
                <w:rFonts w:hint="eastAsia" w:ascii="宋体" w:hAnsi="宋体" w:cs="宋体"/>
                <w:color w:val="auto"/>
                <w:kern w:val="2"/>
                <w:sz w:val="24"/>
                <w:szCs w:val="24"/>
                <w:highlight w:val="none"/>
                <w:lang w:val="en-US" w:eastAsia="zh-CN" w:bidi="ar-SA"/>
              </w:rPr>
              <w:t>7-10</w:t>
            </w:r>
            <w:r>
              <w:rPr>
                <w:rFonts w:hint="eastAsia" w:ascii="宋体" w:hAnsi="宋体" w:eastAsia="宋体" w:cs="宋体"/>
                <w:color w:val="auto"/>
                <w:kern w:val="2"/>
                <w:sz w:val="24"/>
                <w:szCs w:val="24"/>
                <w:highlight w:val="none"/>
                <w:lang w:val="en-US" w:eastAsia="zh-CN" w:bidi="ar-SA"/>
              </w:rPr>
              <w:t>分，方案勉强可行得</w:t>
            </w:r>
            <w:r>
              <w:rPr>
                <w:rFonts w:hint="eastAsia" w:ascii="宋体" w:hAnsi="宋体" w:cs="宋体"/>
                <w:color w:val="auto"/>
                <w:kern w:val="2"/>
                <w:sz w:val="24"/>
                <w:szCs w:val="24"/>
                <w:highlight w:val="none"/>
                <w:lang w:val="en-US" w:eastAsia="zh-CN" w:bidi="ar-SA"/>
              </w:rPr>
              <w:t>3-7</w:t>
            </w:r>
            <w:r>
              <w:rPr>
                <w:rFonts w:hint="eastAsia" w:ascii="宋体" w:hAnsi="宋体" w:eastAsia="宋体" w:cs="宋体"/>
                <w:color w:val="auto"/>
                <w:kern w:val="2"/>
                <w:sz w:val="24"/>
                <w:szCs w:val="24"/>
                <w:highlight w:val="none"/>
                <w:lang w:val="en-US" w:eastAsia="zh-CN" w:bidi="ar-SA"/>
              </w:rPr>
              <w:t>分，方案不完整的</w:t>
            </w:r>
            <w:r>
              <w:rPr>
                <w:rFonts w:hint="eastAsia" w:ascii="宋体" w:hAnsi="宋体" w:cs="宋体"/>
                <w:color w:val="auto"/>
                <w:kern w:val="2"/>
                <w:sz w:val="24"/>
                <w:szCs w:val="24"/>
                <w:highlight w:val="none"/>
                <w:lang w:val="en-US" w:eastAsia="zh-CN" w:bidi="ar-SA"/>
              </w:rPr>
              <w:t>1-3</w:t>
            </w:r>
            <w:r>
              <w:rPr>
                <w:rFonts w:hint="eastAsia" w:ascii="宋体" w:hAnsi="宋体" w:eastAsia="宋体" w:cs="宋体"/>
                <w:color w:val="auto"/>
                <w:kern w:val="2"/>
                <w:sz w:val="24"/>
                <w:szCs w:val="24"/>
                <w:highlight w:val="none"/>
                <w:lang w:val="en-US" w:eastAsia="zh-CN" w:bidi="ar-SA"/>
              </w:rPr>
              <w:t>分，未提供不得分。</w:t>
            </w:r>
          </w:p>
          <w:p>
            <w:pPr>
              <w:pStyle w:val="29"/>
              <w:numPr>
                <w:ilvl w:val="0"/>
                <w:numId w:val="4"/>
              </w:numPr>
              <w:spacing w:line="320" w:lineRule="exact"/>
              <w:ind w:firstLine="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维修能力证明，提供承诺函的得</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分，未提供不得分。</w:t>
            </w:r>
          </w:p>
          <w:p>
            <w:pPr>
              <w:pStyle w:val="29"/>
              <w:numPr>
                <w:ilvl w:val="0"/>
                <w:numId w:val="4"/>
              </w:numPr>
              <w:spacing w:line="320" w:lineRule="exact"/>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根据提供的针对当地实际情况制定服务承诺，提供承诺函得3分，未提供不得分。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29" w:hRule="atLeast"/>
          <w:jc w:val="center"/>
        </w:trPr>
        <w:tc>
          <w:tcPr>
            <w:tcW w:w="649" w:type="dxa"/>
            <w:tcBorders>
              <w:top w:val="single" w:color="auto" w:sz="4" w:space="0"/>
              <w:bottom w:val="single" w:color="auto" w:sz="4" w:space="0"/>
            </w:tcBorders>
            <w:noWrap w:val="0"/>
            <w:vAlign w:val="center"/>
          </w:tcPr>
          <w:p>
            <w:pPr>
              <w:pStyle w:val="29"/>
              <w:ind w:firstLine="240" w:firstLineChars="1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p>
        </w:tc>
        <w:tc>
          <w:tcPr>
            <w:tcW w:w="1261" w:type="dxa"/>
            <w:tcBorders>
              <w:top w:val="single" w:color="auto" w:sz="4" w:space="0"/>
              <w:bottom w:val="single" w:color="auto" w:sz="4" w:space="0"/>
            </w:tcBorders>
            <w:noWrap w:val="0"/>
            <w:vAlign w:val="center"/>
          </w:tcPr>
          <w:p>
            <w:pPr>
              <w:pStyle w:val="29"/>
              <w:spacing w:line="320" w:lineRule="exact"/>
              <w:ind w:firstLine="0" w:firstLineChars="0"/>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highlight w:val="none"/>
                <w:lang w:val="en-US" w:eastAsia="zh-CN" w:bidi="ar-SA"/>
              </w:rPr>
              <w:t>标书制作情况</w:t>
            </w:r>
          </w:p>
        </w:tc>
        <w:tc>
          <w:tcPr>
            <w:tcW w:w="938" w:type="dxa"/>
            <w:tcBorders>
              <w:top w:val="single" w:color="auto" w:sz="4" w:space="0"/>
              <w:bottom w:val="single" w:color="auto" w:sz="4" w:space="0"/>
            </w:tcBorders>
            <w:noWrap w:val="0"/>
            <w:vAlign w:val="center"/>
          </w:tcPr>
          <w:p>
            <w:pPr>
              <w:pStyle w:val="29"/>
              <w:spacing w:line="320" w:lineRule="exact"/>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highlight w:val="none"/>
                <w:lang w:val="en-US" w:eastAsia="zh-CN" w:bidi="ar-SA"/>
              </w:rPr>
              <w:t>5分</w:t>
            </w:r>
          </w:p>
        </w:tc>
        <w:tc>
          <w:tcPr>
            <w:tcW w:w="7234" w:type="dxa"/>
            <w:tcBorders>
              <w:top w:val="single" w:color="auto" w:sz="4" w:space="0"/>
              <w:bottom w:val="single" w:color="auto" w:sz="4" w:space="0"/>
            </w:tcBorders>
            <w:noWrap w:val="0"/>
            <w:vAlign w:val="center"/>
          </w:tcPr>
          <w:p>
            <w:pPr>
              <w:pStyle w:val="29"/>
              <w:spacing w:line="320" w:lineRule="exact"/>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highlight w:val="none"/>
                <w:lang w:val="en-US" w:eastAsia="zh-CN" w:bidi="ar-SA"/>
              </w:rPr>
              <w:t>标函质量非常好得5分，标函质量较好得3分，标函质量一般得2分，标函质量较差不得分。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39" w:hRule="atLeast"/>
          <w:jc w:val="center"/>
        </w:trPr>
        <w:tc>
          <w:tcPr>
            <w:tcW w:w="649" w:type="dxa"/>
            <w:tcBorders>
              <w:top w:val="single" w:color="auto" w:sz="4" w:space="0"/>
              <w:bottom w:val="single" w:color="auto" w:sz="4" w:space="0"/>
            </w:tcBorders>
            <w:noWrap w:val="0"/>
            <w:vAlign w:val="center"/>
          </w:tcPr>
          <w:p>
            <w:pPr>
              <w:pStyle w:val="29"/>
              <w:ind w:firstLine="240" w:firstLineChars="100"/>
              <w:rPr>
                <w:rFonts w:hint="eastAsia" w:ascii="宋体" w:hAnsi="宋体" w:cs="宋体"/>
                <w:color w:val="auto"/>
                <w:sz w:val="24"/>
                <w:szCs w:val="24"/>
                <w:lang w:val="en-US" w:eastAsia="zh-CN"/>
              </w:rPr>
            </w:pPr>
            <w:bookmarkStart w:id="13" w:name="_Toc21310"/>
            <w:r>
              <w:rPr>
                <w:rFonts w:hint="eastAsia" w:ascii="宋体" w:hAnsi="宋体" w:cs="宋体"/>
                <w:color w:val="auto"/>
                <w:sz w:val="24"/>
                <w:szCs w:val="24"/>
                <w:lang w:val="en-US" w:eastAsia="zh-CN"/>
              </w:rPr>
              <w:t>9</w:t>
            </w:r>
          </w:p>
        </w:tc>
        <w:tc>
          <w:tcPr>
            <w:tcW w:w="1261" w:type="dxa"/>
            <w:tcBorders>
              <w:top w:val="single" w:color="auto" w:sz="4" w:space="0"/>
              <w:bottom w:val="single" w:color="auto" w:sz="4" w:space="0"/>
            </w:tcBorders>
            <w:noWrap w:val="0"/>
            <w:vAlign w:val="center"/>
          </w:tcPr>
          <w:p>
            <w:pPr>
              <w:pStyle w:val="29"/>
              <w:spacing w:line="320" w:lineRule="exact"/>
              <w:ind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设备、工具、耗材装备配置</w:t>
            </w:r>
          </w:p>
        </w:tc>
        <w:tc>
          <w:tcPr>
            <w:tcW w:w="938" w:type="dxa"/>
            <w:tcBorders>
              <w:top w:val="single" w:color="auto" w:sz="4" w:space="0"/>
              <w:bottom w:val="single" w:color="auto" w:sz="4" w:space="0"/>
            </w:tcBorders>
            <w:noWrap w:val="0"/>
            <w:vAlign w:val="center"/>
          </w:tcPr>
          <w:p>
            <w:pPr>
              <w:spacing w:line="32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分</w:t>
            </w:r>
          </w:p>
        </w:tc>
        <w:tc>
          <w:tcPr>
            <w:tcW w:w="7234" w:type="dxa"/>
            <w:tcBorders>
              <w:top w:val="single" w:color="auto" w:sz="4" w:space="0"/>
              <w:bottom w:val="single" w:color="auto" w:sz="4" w:space="0"/>
            </w:tcBorders>
            <w:noWrap w:val="0"/>
            <w:vAlign w:val="center"/>
          </w:tcPr>
          <w:p>
            <w:pPr>
              <w:pStyle w:val="29"/>
              <w:spacing w:line="320" w:lineRule="exact"/>
              <w:ind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根据投标人为项目配置的设备及工具、消耗材料配备的满足性、合理性、实用性、先进性打分</w:t>
            </w:r>
            <w:r>
              <w:rPr>
                <w:rFonts w:hint="eastAsia" w:ascii="宋体" w:hAnsi="宋体" w:eastAsia="宋体" w:cs="宋体"/>
                <w:color w:val="auto"/>
                <w:sz w:val="24"/>
                <w:szCs w:val="24"/>
                <w:lang w:val="en-US" w:eastAsia="zh-CN"/>
              </w:rPr>
              <w:t>。（设备配置齐全、能很好满足基本要求得</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分；能基本满足要求的得</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分；其他酌情得0-2分）</w:t>
            </w:r>
          </w:p>
        </w:tc>
      </w:tr>
      <w:bookmarkEnd w:id="12"/>
    </w:tbl>
    <w:p>
      <w:pPr>
        <w:pStyle w:val="28"/>
        <w:spacing w:line="360" w:lineRule="auto"/>
        <w:ind w:firstLine="483"/>
        <w:jc w:val="both"/>
        <w:rPr>
          <w:rFonts w:hint="eastAsia" w:ascii="宋体" w:hAnsi="宋体" w:eastAsia="宋体" w:cs="宋体"/>
          <w:b w:val="0"/>
          <w:color w:val="auto"/>
          <w:sz w:val="24"/>
        </w:rPr>
      </w:pPr>
      <w:r>
        <w:rPr>
          <w:rFonts w:hint="eastAsia" w:ascii="宋体" w:hAnsi="宋体" w:eastAsia="宋体" w:cs="宋体"/>
          <w:b w:val="0"/>
          <w:color w:val="auto"/>
          <w:sz w:val="24"/>
        </w:rPr>
        <w:t>23.</w:t>
      </w:r>
      <w:r>
        <w:rPr>
          <w:rFonts w:hint="eastAsia" w:ascii="宋体" w:hAnsi="宋体" w:eastAsia="宋体" w:cs="宋体"/>
          <w:b w:val="0"/>
          <w:color w:val="auto"/>
          <w:sz w:val="24"/>
          <w:lang w:val="en-US" w:eastAsia="zh-CN"/>
        </w:rPr>
        <w:t>9</w:t>
      </w:r>
      <w:r>
        <w:rPr>
          <w:rFonts w:hint="eastAsia" w:ascii="宋体" w:hAnsi="宋体" w:eastAsia="宋体" w:cs="宋体"/>
          <w:b w:val="0"/>
          <w:color w:val="auto"/>
          <w:sz w:val="24"/>
        </w:rPr>
        <w:t>.3  各评标委员会成员对每个投标人的经济报价和技术标的打分合计即为该投标人的评标总得分。</w:t>
      </w:r>
    </w:p>
    <w:p>
      <w:pPr>
        <w:pStyle w:val="28"/>
        <w:spacing w:line="360" w:lineRule="auto"/>
        <w:ind w:firstLine="483"/>
        <w:jc w:val="both"/>
        <w:rPr>
          <w:rFonts w:hint="eastAsia" w:ascii="宋体" w:hAnsi="宋体" w:eastAsia="宋体" w:cs="宋体"/>
          <w:b w:val="0"/>
          <w:color w:val="auto"/>
          <w:sz w:val="24"/>
        </w:rPr>
      </w:pPr>
      <w:r>
        <w:rPr>
          <w:rFonts w:hint="eastAsia" w:ascii="宋体" w:hAnsi="宋体" w:eastAsia="宋体" w:cs="宋体"/>
          <w:b w:val="0"/>
          <w:color w:val="auto"/>
          <w:sz w:val="24"/>
        </w:rPr>
        <w:t>计算公式为：总评标得分=F1+F2</w:t>
      </w:r>
    </w:p>
    <w:p>
      <w:pPr>
        <w:pStyle w:val="28"/>
        <w:spacing w:line="360" w:lineRule="auto"/>
        <w:ind w:firstLine="483"/>
        <w:jc w:val="both"/>
        <w:rPr>
          <w:rFonts w:hint="eastAsia" w:ascii="宋体" w:hAnsi="宋体" w:eastAsia="宋体" w:cs="宋体"/>
          <w:b w:val="0"/>
          <w:color w:val="auto"/>
          <w:sz w:val="24"/>
        </w:rPr>
      </w:pPr>
      <w:r>
        <w:rPr>
          <w:rFonts w:hint="eastAsia" w:ascii="宋体" w:hAnsi="宋体" w:eastAsia="宋体" w:cs="宋体"/>
          <w:b w:val="0"/>
          <w:color w:val="auto"/>
          <w:sz w:val="24"/>
        </w:rPr>
        <w:t>其中：F1、F2分别为经济报价、技术标得分</w:t>
      </w:r>
    </w:p>
    <w:p>
      <w:pPr>
        <w:pStyle w:val="28"/>
        <w:spacing w:line="360" w:lineRule="auto"/>
        <w:ind w:firstLine="483"/>
        <w:jc w:val="both"/>
        <w:rPr>
          <w:rFonts w:hint="eastAsia" w:ascii="宋体" w:hAnsi="宋体" w:eastAsia="宋体" w:cs="宋体"/>
          <w:b w:val="0"/>
          <w:color w:val="auto"/>
          <w:sz w:val="24"/>
        </w:rPr>
      </w:pPr>
      <w:r>
        <w:rPr>
          <w:rFonts w:hint="eastAsia" w:ascii="宋体" w:hAnsi="宋体" w:eastAsia="宋体" w:cs="宋体"/>
          <w:b w:val="0"/>
          <w:color w:val="auto"/>
          <w:sz w:val="24"/>
        </w:rPr>
        <w:t>23.</w:t>
      </w:r>
      <w:r>
        <w:rPr>
          <w:rFonts w:hint="eastAsia" w:ascii="宋体" w:hAnsi="宋体" w:eastAsia="宋体" w:cs="宋体"/>
          <w:b w:val="0"/>
          <w:color w:val="auto"/>
          <w:sz w:val="24"/>
          <w:lang w:val="en-US" w:eastAsia="zh-CN"/>
        </w:rPr>
        <w:t>9</w:t>
      </w:r>
      <w:r>
        <w:rPr>
          <w:rFonts w:hint="eastAsia" w:ascii="宋体" w:hAnsi="宋体" w:eastAsia="宋体" w:cs="宋体"/>
          <w:b w:val="0"/>
          <w:color w:val="auto"/>
          <w:sz w:val="24"/>
        </w:rPr>
        <w:t>.4 评标报告签署前，经复核发现存在以下情形之一的：分值汇总计算错误的；分项评分超出评分标准范围的；评标委员会成员对客观评审因素评分不一致的；经评标委员会认定评分畸高、畸低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28"/>
        <w:spacing w:line="360" w:lineRule="auto"/>
        <w:ind w:firstLine="483"/>
        <w:jc w:val="both"/>
        <w:rPr>
          <w:rFonts w:hint="eastAsia" w:ascii="宋体" w:hAnsi="宋体" w:eastAsia="宋体" w:cs="宋体"/>
          <w:b w:val="0"/>
          <w:color w:val="auto"/>
          <w:sz w:val="24"/>
        </w:rPr>
      </w:pPr>
      <w:r>
        <w:rPr>
          <w:rFonts w:hint="eastAsia" w:ascii="宋体" w:hAnsi="宋体" w:eastAsia="宋体" w:cs="宋体"/>
          <w:b w:val="0"/>
          <w:color w:val="auto"/>
          <w:sz w:val="24"/>
        </w:rPr>
        <w:t>23.</w:t>
      </w:r>
      <w:r>
        <w:rPr>
          <w:rFonts w:hint="eastAsia" w:ascii="宋体" w:hAnsi="宋体" w:eastAsia="宋体" w:cs="宋体"/>
          <w:b w:val="0"/>
          <w:color w:val="auto"/>
          <w:sz w:val="24"/>
          <w:lang w:val="en-US" w:eastAsia="zh-CN"/>
        </w:rPr>
        <w:t>9</w:t>
      </w:r>
      <w:r>
        <w:rPr>
          <w:rFonts w:hint="eastAsia" w:ascii="宋体" w:hAnsi="宋体" w:eastAsia="宋体" w:cs="宋体"/>
          <w:b w:val="0"/>
          <w:color w:val="auto"/>
          <w:sz w:val="24"/>
        </w:rPr>
        <w:t>.5 评标委员会将按投标人得分顺序由高到低依次排名，得分相同的，按投标报价由低到高顺序排列。得分及报价相同的，按技术指标优劣顺序排列。得分最高的前一名至前三名投标人将成为中标候选人。</w:t>
      </w:r>
    </w:p>
    <w:p>
      <w:pPr>
        <w:pStyle w:val="28"/>
        <w:spacing w:line="360" w:lineRule="auto"/>
        <w:ind w:firstLine="483"/>
        <w:jc w:val="both"/>
        <w:rPr>
          <w:rFonts w:hint="eastAsia" w:ascii="宋体" w:hAnsi="宋体" w:eastAsia="宋体" w:cs="宋体"/>
          <w:b w:val="0"/>
          <w:color w:val="auto"/>
          <w:sz w:val="24"/>
        </w:rPr>
      </w:pPr>
      <w:r>
        <w:rPr>
          <w:rFonts w:hint="eastAsia" w:ascii="宋体" w:hAnsi="宋体" w:eastAsia="宋体" w:cs="宋体"/>
          <w:b w:val="0"/>
          <w:color w:val="auto"/>
          <w:sz w:val="24"/>
        </w:rPr>
        <w:t>23.</w:t>
      </w:r>
      <w:r>
        <w:rPr>
          <w:rFonts w:hint="eastAsia" w:ascii="宋体" w:hAnsi="宋体" w:eastAsia="宋体" w:cs="宋体"/>
          <w:b w:val="0"/>
          <w:color w:val="auto"/>
          <w:sz w:val="24"/>
          <w:lang w:val="en-US" w:eastAsia="zh-CN"/>
        </w:rPr>
        <w:t>9</w:t>
      </w:r>
      <w:r>
        <w:rPr>
          <w:rFonts w:hint="eastAsia" w:ascii="宋体" w:hAnsi="宋体" w:eastAsia="宋体" w:cs="宋体"/>
          <w:b w:val="0"/>
          <w:color w:val="auto"/>
          <w:sz w:val="24"/>
        </w:rPr>
        <w:t>.6 评标委员会成员对需要共同认定的事项存在争议的，应当按照少数服从多数的原则作出结论。持不同意见的评标委员会成员应当在评标报告上签署不同意见及理由，否则视为同意评标报告。</w:t>
      </w:r>
    </w:p>
    <w:p>
      <w:pPr>
        <w:pStyle w:val="27"/>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 xml:space="preserve">24. </w:t>
      </w:r>
      <w:r>
        <w:rPr>
          <w:rFonts w:hint="eastAsia" w:ascii="宋体" w:hAnsi="宋体" w:cs="宋体"/>
          <w:color w:val="auto"/>
          <w:kern w:val="2"/>
          <w:szCs w:val="24"/>
          <w:lang w:eastAsia="zh-CN"/>
        </w:rPr>
        <w:t>响应文件</w:t>
      </w:r>
      <w:r>
        <w:rPr>
          <w:rFonts w:hint="eastAsia" w:ascii="宋体" w:hAnsi="宋体" w:cs="宋体"/>
          <w:color w:val="auto"/>
          <w:kern w:val="2"/>
          <w:szCs w:val="24"/>
        </w:rPr>
        <w:t>的澄清</w:t>
      </w:r>
    </w:p>
    <w:p>
      <w:pPr>
        <w:pStyle w:val="27"/>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24.1  评标委员会在评标过程中有权随时请投标人就</w:t>
      </w:r>
      <w:r>
        <w:rPr>
          <w:rFonts w:hint="eastAsia" w:ascii="宋体" w:hAnsi="宋体" w:cs="宋体"/>
          <w:color w:val="auto"/>
          <w:kern w:val="2"/>
          <w:szCs w:val="24"/>
          <w:lang w:eastAsia="zh-CN"/>
        </w:rPr>
        <w:t>响应文件</w:t>
      </w:r>
      <w:r>
        <w:rPr>
          <w:rFonts w:hint="eastAsia" w:ascii="宋体" w:hAnsi="宋体" w:cs="宋体"/>
          <w:color w:val="auto"/>
          <w:kern w:val="2"/>
          <w:szCs w:val="24"/>
        </w:rPr>
        <w:t>中含混之处加以澄清或答疑。</w:t>
      </w:r>
    </w:p>
    <w:p>
      <w:pPr>
        <w:pStyle w:val="27"/>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 xml:space="preserve">24.2  </w:t>
      </w:r>
      <w:r>
        <w:rPr>
          <w:rFonts w:hint="eastAsia" w:ascii="宋体" w:hAnsi="宋体" w:cs="宋体"/>
          <w:color w:val="auto"/>
          <w:szCs w:val="24"/>
        </w:rPr>
        <w:t>投标人的澄清、说明或者补正应当采用书面形式，并加盖公章，或者由法定代表人或其授权的代表签字。</w:t>
      </w:r>
    </w:p>
    <w:p>
      <w:pPr>
        <w:pStyle w:val="27"/>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 xml:space="preserve">24.3  </w:t>
      </w:r>
      <w:r>
        <w:rPr>
          <w:rFonts w:hint="eastAsia" w:ascii="宋体" w:hAnsi="宋体" w:cs="宋体"/>
          <w:color w:val="auto"/>
          <w:szCs w:val="24"/>
        </w:rPr>
        <w:t>投标人的澄清、说明或者补正不得超出</w:t>
      </w:r>
      <w:r>
        <w:rPr>
          <w:rFonts w:hint="eastAsia" w:ascii="宋体" w:hAnsi="宋体" w:cs="宋体"/>
          <w:color w:val="auto"/>
          <w:szCs w:val="24"/>
          <w:lang w:eastAsia="zh-CN"/>
        </w:rPr>
        <w:t>响应文件</w:t>
      </w:r>
      <w:r>
        <w:rPr>
          <w:rFonts w:hint="eastAsia" w:ascii="宋体" w:hAnsi="宋体" w:cs="宋体"/>
          <w:color w:val="auto"/>
          <w:szCs w:val="24"/>
        </w:rPr>
        <w:t>的范围或者改变</w:t>
      </w:r>
      <w:r>
        <w:rPr>
          <w:rFonts w:hint="eastAsia" w:ascii="宋体" w:hAnsi="宋体" w:cs="宋体"/>
          <w:color w:val="auto"/>
          <w:szCs w:val="24"/>
          <w:lang w:eastAsia="zh-CN"/>
        </w:rPr>
        <w:t>响应文件</w:t>
      </w:r>
      <w:r>
        <w:rPr>
          <w:rFonts w:hint="eastAsia" w:ascii="宋体" w:hAnsi="宋体" w:cs="宋体"/>
          <w:color w:val="auto"/>
          <w:szCs w:val="24"/>
        </w:rPr>
        <w:t>的实质性内容。</w:t>
      </w:r>
    </w:p>
    <w:p>
      <w:pPr>
        <w:pStyle w:val="27"/>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24.4  投标人的澄清文件是</w:t>
      </w:r>
      <w:r>
        <w:rPr>
          <w:rFonts w:hint="eastAsia" w:ascii="宋体" w:hAnsi="宋体" w:cs="宋体"/>
          <w:color w:val="auto"/>
          <w:kern w:val="2"/>
          <w:szCs w:val="24"/>
          <w:lang w:eastAsia="zh-CN"/>
        </w:rPr>
        <w:t>响应文件</w:t>
      </w:r>
      <w:r>
        <w:rPr>
          <w:rFonts w:hint="eastAsia" w:ascii="宋体" w:hAnsi="宋体" w:cs="宋体"/>
          <w:color w:val="auto"/>
          <w:kern w:val="2"/>
          <w:szCs w:val="24"/>
        </w:rPr>
        <w:t>的组成部分，并取代</w:t>
      </w:r>
      <w:r>
        <w:rPr>
          <w:rFonts w:hint="eastAsia" w:ascii="宋体" w:hAnsi="宋体" w:cs="宋体"/>
          <w:color w:val="auto"/>
          <w:kern w:val="2"/>
          <w:szCs w:val="24"/>
          <w:lang w:eastAsia="zh-CN"/>
        </w:rPr>
        <w:t>响应文件</w:t>
      </w:r>
      <w:r>
        <w:rPr>
          <w:rFonts w:hint="eastAsia" w:ascii="宋体" w:hAnsi="宋体" w:cs="宋体"/>
          <w:color w:val="auto"/>
          <w:kern w:val="2"/>
          <w:szCs w:val="24"/>
        </w:rPr>
        <w:t>中被澄清的部分。</w:t>
      </w:r>
    </w:p>
    <w:p>
      <w:pPr>
        <w:pStyle w:val="27"/>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25. 中标人的确定</w:t>
      </w:r>
    </w:p>
    <w:p>
      <w:pPr>
        <w:pStyle w:val="27"/>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25.1  采购人应当自收到评标报告之日起5个工作日内，在评标报告确定的中标候选人名单中按顺序确定中标人。中标候选人并列的，由采购人或者采购人委托评标委员会按照</w:t>
      </w:r>
      <w:r>
        <w:rPr>
          <w:rFonts w:hint="eastAsia" w:ascii="宋体" w:hAnsi="宋体" w:cs="宋体"/>
          <w:color w:val="auto"/>
          <w:kern w:val="2"/>
          <w:szCs w:val="24"/>
          <w:lang w:eastAsia="zh-CN"/>
        </w:rPr>
        <w:t>竞争性磋商文件</w:t>
      </w:r>
      <w:r>
        <w:rPr>
          <w:rFonts w:hint="eastAsia" w:ascii="宋体" w:hAnsi="宋体" w:cs="宋体"/>
          <w:color w:val="auto"/>
          <w:kern w:val="2"/>
          <w:szCs w:val="24"/>
        </w:rPr>
        <w:t>规定的方式确定中标人；</w:t>
      </w:r>
      <w:r>
        <w:rPr>
          <w:rFonts w:hint="eastAsia" w:ascii="宋体" w:hAnsi="宋体" w:cs="宋体"/>
          <w:color w:val="auto"/>
          <w:kern w:val="2"/>
          <w:szCs w:val="24"/>
          <w:lang w:eastAsia="zh-CN"/>
        </w:rPr>
        <w:t>竞争性磋商文件</w:t>
      </w:r>
      <w:r>
        <w:rPr>
          <w:rFonts w:hint="eastAsia" w:ascii="宋体" w:hAnsi="宋体" w:cs="宋体"/>
          <w:color w:val="auto"/>
          <w:kern w:val="2"/>
          <w:szCs w:val="24"/>
        </w:rPr>
        <w:t>未规定的，采取随机抽取的方式确定。</w:t>
      </w:r>
    </w:p>
    <w:p>
      <w:pPr>
        <w:pStyle w:val="27"/>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25.2  采购人在收到评标报告5个工作日内未按评标报告推荐的中标候选人顺序确定中标人，又不能说明合法理由的，视同按评标报告推荐的顺序确定排名第一的中标候选人为中标人。</w:t>
      </w:r>
    </w:p>
    <w:p>
      <w:pPr>
        <w:pStyle w:val="27"/>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25.3  评标委员会按照</w:t>
      </w:r>
      <w:r>
        <w:rPr>
          <w:rFonts w:hint="eastAsia" w:ascii="宋体" w:hAnsi="宋体" w:cs="宋体"/>
          <w:color w:val="auto"/>
          <w:kern w:val="2"/>
          <w:szCs w:val="24"/>
          <w:lang w:eastAsia="zh-CN"/>
        </w:rPr>
        <w:t>竞争性磋商文件</w:t>
      </w:r>
      <w:r>
        <w:rPr>
          <w:rFonts w:hint="eastAsia" w:ascii="宋体" w:hAnsi="宋体" w:cs="宋体"/>
          <w:color w:val="auto"/>
          <w:kern w:val="2"/>
          <w:szCs w:val="24"/>
        </w:rPr>
        <w:t>的评标办法负责向采购人推荐中标候选人。评标委员会有权推荐一家或一至三家投标人为中标候选人、或者拒绝所有的投标人的投标。评标委员会成员无义务向投标人做出有关对评标的任何解释工作。</w:t>
      </w:r>
    </w:p>
    <w:p>
      <w:pPr>
        <w:pStyle w:val="27"/>
        <w:spacing w:line="360" w:lineRule="auto"/>
        <w:ind w:firstLine="480" w:firstLineChars="200"/>
        <w:jc w:val="both"/>
        <w:rPr>
          <w:rFonts w:hint="eastAsia" w:ascii="宋体" w:hAnsi="宋体" w:cs="宋体"/>
          <w:bCs/>
          <w:color w:val="auto"/>
          <w:szCs w:val="24"/>
        </w:rPr>
      </w:pPr>
      <w:r>
        <w:rPr>
          <w:rFonts w:hint="eastAsia" w:ascii="宋体" w:hAnsi="宋体" w:cs="宋体"/>
          <w:bCs/>
          <w:color w:val="auto"/>
          <w:szCs w:val="24"/>
        </w:rPr>
        <w:t>25.4  中标供应商拒绝与采购人签订合同的，采购人可以按照评审报告推荐的中标人名单排序，确定下一候选人为中标人，也可以重新开展政府采购活动。</w:t>
      </w:r>
    </w:p>
    <w:p>
      <w:pPr>
        <w:pStyle w:val="27"/>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26.  中标通知</w:t>
      </w:r>
    </w:p>
    <w:p>
      <w:pPr>
        <w:pStyle w:val="27"/>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26.1 在公告中标结果的同时，采购人或者采购代理机构向中标人发出中标通知书。</w:t>
      </w:r>
    </w:p>
    <w:p>
      <w:pPr>
        <w:pStyle w:val="27"/>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 xml:space="preserve">26.2 </w:t>
      </w:r>
      <w:r>
        <w:rPr>
          <w:rFonts w:hint="eastAsia" w:ascii="宋体" w:hAnsi="宋体" w:cs="宋体"/>
          <w:color w:val="auto"/>
          <w:szCs w:val="24"/>
        </w:rPr>
        <w:t>对于所有投标人的</w:t>
      </w:r>
      <w:r>
        <w:rPr>
          <w:rFonts w:hint="eastAsia" w:ascii="宋体" w:hAnsi="宋体" w:cs="宋体"/>
          <w:color w:val="auto"/>
          <w:szCs w:val="24"/>
          <w:lang w:eastAsia="zh-CN"/>
        </w:rPr>
        <w:t>响应文件</w:t>
      </w:r>
      <w:r>
        <w:rPr>
          <w:rFonts w:hint="eastAsia" w:ascii="宋体" w:hAnsi="宋体" w:cs="宋体"/>
          <w:color w:val="auto"/>
          <w:szCs w:val="24"/>
        </w:rPr>
        <w:t>均</w:t>
      </w:r>
      <w:r>
        <w:rPr>
          <w:rFonts w:hint="eastAsia" w:ascii="宋体" w:hAnsi="宋体" w:cs="宋体"/>
          <w:color w:val="auto"/>
          <w:szCs w:val="24"/>
          <w:shd w:val="clear" w:color="auto" w:fill="FFFFFF"/>
        </w:rPr>
        <w:t>不予以退还，但对其承担保密责任。</w:t>
      </w:r>
    </w:p>
    <w:p>
      <w:pPr>
        <w:pStyle w:val="27"/>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27. 拒绝某些或所有投标的权力。</w:t>
      </w:r>
    </w:p>
    <w:p>
      <w:pPr>
        <w:pStyle w:val="27"/>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27.1 采购人或采购代理机构有权在《中标通知书》发放之前的任何时候拒绝任何有不正当行为或扰乱正常招标工作的投标人，由此对相关投标人造成的损失不负责任。</w:t>
      </w:r>
    </w:p>
    <w:p>
      <w:pPr>
        <w:pStyle w:val="26"/>
        <w:numPr>
          <w:ilvl w:val="0"/>
          <w:numId w:val="0"/>
        </w:numPr>
        <w:ind w:leftChars="0"/>
        <w:jc w:val="center"/>
        <w:outlineLvl w:val="1"/>
        <w:rPr>
          <w:rFonts w:hint="eastAsia"/>
          <w:b/>
          <w:bCs/>
          <w:color w:val="auto"/>
        </w:rPr>
      </w:pPr>
      <w:r>
        <w:rPr>
          <w:rFonts w:hint="eastAsia"/>
          <w:b/>
          <w:bCs/>
          <w:color w:val="auto"/>
        </w:rPr>
        <w:t>七、授予合同</w:t>
      </w:r>
    </w:p>
    <w:p>
      <w:pPr>
        <w:pStyle w:val="27"/>
        <w:spacing w:line="360" w:lineRule="auto"/>
        <w:ind w:firstLine="480" w:firstLineChars="200"/>
        <w:jc w:val="both"/>
        <w:rPr>
          <w:rFonts w:hint="eastAsia" w:ascii="宋体" w:hAnsi="宋体" w:cs="宋体"/>
          <w:color w:val="auto"/>
          <w:szCs w:val="24"/>
        </w:rPr>
      </w:pPr>
      <w:r>
        <w:rPr>
          <w:rFonts w:hint="eastAsia" w:ascii="宋体" w:hAnsi="宋体" w:cs="宋体"/>
          <w:color w:val="auto"/>
          <w:szCs w:val="24"/>
        </w:rPr>
        <w:t>28.  签订合同</w:t>
      </w:r>
    </w:p>
    <w:p>
      <w:pPr>
        <w:pStyle w:val="27"/>
        <w:spacing w:line="360" w:lineRule="auto"/>
        <w:ind w:firstLine="480" w:firstLineChars="200"/>
        <w:jc w:val="both"/>
        <w:rPr>
          <w:rFonts w:hint="eastAsia" w:ascii="宋体" w:hAnsi="宋体" w:cs="宋体"/>
          <w:color w:val="auto"/>
          <w:szCs w:val="24"/>
        </w:rPr>
      </w:pPr>
      <w:r>
        <w:rPr>
          <w:rFonts w:hint="eastAsia" w:ascii="宋体" w:hAnsi="宋体" w:cs="宋体"/>
          <w:color w:val="auto"/>
          <w:szCs w:val="24"/>
        </w:rPr>
        <w:t>28.1  中标人收到《中标通知书》后，须按有关规定与采购人签定经济合同。合同的签订一般在《中标通知书》发出后30天内进行，但采购人事先约定的情况除外。</w:t>
      </w:r>
    </w:p>
    <w:p>
      <w:pPr>
        <w:pStyle w:val="27"/>
        <w:spacing w:line="360" w:lineRule="auto"/>
        <w:ind w:firstLine="480" w:firstLineChars="200"/>
        <w:jc w:val="both"/>
        <w:rPr>
          <w:rFonts w:hint="eastAsia" w:ascii="宋体" w:hAnsi="宋体" w:cs="宋体"/>
          <w:color w:val="auto"/>
          <w:szCs w:val="24"/>
        </w:rPr>
      </w:pPr>
      <w:r>
        <w:rPr>
          <w:rFonts w:hint="eastAsia" w:ascii="宋体" w:hAnsi="宋体" w:cs="宋体"/>
          <w:color w:val="auto"/>
          <w:szCs w:val="24"/>
        </w:rPr>
        <w:t>28.2  合同签订后，中标人应按合同的规定履行合同，未按规定履约的，采购人有权取消合同，并且不退还中标人的投标保证金。</w:t>
      </w:r>
    </w:p>
    <w:p>
      <w:pPr>
        <w:pStyle w:val="27"/>
        <w:spacing w:line="360" w:lineRule="auto"/>
        <w:ind w:firstLine="480" w:firstLineChars="200"/>
        <w:jc w:val="both"/>
        <w:rPr>
          <w:rFonts w:hint="eastAsia" w:ascii="宋体" w:hAnsi="宋体" w:cs="宋体"/>
          <w:color w:val="auto"/>
          <w:szCs w:val="24"/>
        </w:rPr>
      </w:pPr>
      <w:r>
        <w:rPr>
          <w:rFonts w:hint="eastAsia" w:ascii="宋体" w:hAnsi="宋体" w:cs="宋体"/>
          <w:color w:val="auto"/>
          <w:szCs w:val="24"/>
        </w:rPr>
        <w:t>28.3  中标合同不得转让或分包。如需对合同的非主体部分进行转让或分包，投标人必须在</w:t>
      </w:r>
      <w:r>
        <w:rPr>
          <w:rFonts w:hint="eastAsia" w:ascii="宋体" w:hAnsi="宋体" w:cs="宋体"/>
          <w:color w:val="auto"/>
          <w:szCs w:val="24"/>
          <w:lang w:eastAsia="zh-CN"/>
        </w:rPr>
        <w:t>响应文件</w:t>
      </w:r>
      <w:r>
        <w:rPr>
          <w:rFonts w:hint="eastAsia" w:ascii="宋体" w:hAnsi="宋体" w:cs="宋体"/>
          <w:color w:val="auto"/>
          <w:szCs w:val="24"/>
        </w:rPr>
        <w:t>中予以说明，并需经采购人同意。否则，采购人有权取消中标人的中标资格。</w:t>
      </w:r>
    </w:p>
    <w:p>
      <w:pPr>
        <w:pStyle w:val="27"/>
        <w:spacing w:line="360" w:lineRule="auto"/>
        <w:ind w:firstLine="480" w:firstLineChars="200"/>
        <w:jc w:val="both"/>
        <w:rPr>
          <w:rFonts w:hint="eastAsia" w:ascii="宋体" w:hAnsi="宋体" w:cs="宋体"/>
          <w:color w:val="auto"/>
          <w:szCs w:val="24"/>
        </w:rPr>
      </w:pPr>
      <w:r>
        <w:rPr>
          <w:rFonts w:hint="eastAsia" w:ascii="宋体" w:hAnsi="宋体" w:cs="宋体"/>
          <w:color w:val="auto"/>
          <w:szCs w:val="24"/>
        </w:rPr>
        <w:t>28.4  如中标人未按有关规定与采购人签订合同或提交合同履约保证金的，采购人可以选择其他中标候选人为中标人，并组织中标人和采购人签订经济合同。</w:t>
      </w:r>
    </w:p>
    <w:p>
      <w:pPr>
        <w:pStyle w:val="27"/>
        <w:spacing w:line="360" w:lineRule="auto"/>
        <w:ind w:firstLine="480" w:firstLineChars="200"/>
        <w:jc w:val="both"/>
        <w:rPr>
          <w:rFonts w:hint="eastAsia" w:ascii="宋体" w:hAnsi="宋体" w:cs="宋体"/>
          <w:color w:val="auto"/>
          <w:szCs w:val="24"/>
        </w:rPr>
      </w:pPr>
      <w:r>
        <w:rPr>
          <w:rFonts w:hint="eastAsia" w:ascii="宋体" w:hAnsi="宋体" w:cs="宋体"/>
          <w:color w:val="auto"/>
          <w:szCs w:val="24"/>
        </w:rPr>
        <w:t>28.5  合同履约保证金的形式为银行保函，另有约定的，按照约定条件执行。</w:t>
      </w:r>
    </w:p>
    <w:p>
      <w:pPr>
        <w:pStyle w:val="27"/>
        <w:spacing w:line="360" w:lineRule="auto"/>
        <w:ind w:firstLine="480" w:firstLineChars="200"/>
        <w:jc w:val="both"/>
        <w:rPr>
          <w:rFonts w:hint="eastAsia" w:ascii="宋体" w:hAnsi="宋体" w:cs="宋体"/>
          <w:color w:val="auto"/>
          <w:szCs w:val="24"/>
        </w:rPr>
      </w:pPr>
      <w:r>
        <w:rPr>
          <w:rFonts w:hint="eastAsia" w:ascii="宋体" w:hAnsi="宋体" w:cs="宋体"/>
          <w:color w:val="auto"/>
          <w:szCs w:val="24"/>
        </w:rPr>
        <w:t>29.  合同的组成</w:t>
      </w:r>
    </w:p>
    <w:p>
      <w:pPr>
        <w:pStyle w:val="27"/>
        <w:spacing w:line="360" w:lineRule="auto"/>
        <w:ind w:firstLine="480" w:firstLineChars="200"/>
        <w:jc w:val="both"/>
        <w:outlineLvl w:val="2"/>
        <w:rPr>
          <w:rFonts w:hint="eastAsia" w:ascii="宋体" w:hAnsi="宋体" w:cs="宋体"/>
          <w:color w:val="auto"/>
          <w:szCs w:val="24"/>
        </w:rPr>
      </w:pPr>
      <w:r>
        <w:rPr>
          <w:rFonts w:hint="eastAsia" w:ascii="宋体" w:hAnsi="宋体" w:cs="宋体"/>
          <w:color w:val="auto"/>
          <w:szCs w:val="24"/>
        </w:rPr>
        <w:t>29.1  下列文件均为经济合同不可分割的组成部分：</w:t>
      </w:r>
    </w:p>
    <w:p>
      <w:pPr>
        <w:pStyle w:val="27"/>
        <w:spacing w:line="360" w:lineRule="auto"/>
        <w:ind w:firstLine="480" w:firstLineChars="200"/>
        <w:jc w:val="both"/>
        <w:rPr>
          <w:rFonts w:hint="eastAsia" w:ascii="宋体" w:hAnsi="宋体" w:cs="宋体"/>
          <w:color w:val="auto"/>
          <w:szCs w:val="24"/>
        </w:rPr>
      </w:pPr>
      <w:r>
        <w:rPr>
          <w:rFonts w:hint="eastAsia" w:ascii="宋体" w:hAnsi="宋体" w:cs="宋体"/>
          <w:color w:val="auto"/>
          <w:szCs w:val="24"/>
        </w:rPr>
        <w:t xml:space="preserve">29.1.1  </w:t>
      </w:r>
      <w:r>
        <w:rPr>
          <w:rFonts w:hint="eastAsia" w:ascii="宋体" w:hAnsi="宋体" w:cs="宋体"/>
          <w:color w:val="auto"/>
          <w:szCs w:val="24"/>
          <w:lang w:eastAsia="zh-CN"/>
        </w:rPr>
        <w:t>竞争性磋商文件</w:t>
      </w:r>
      <w:r>
        <w:rPr>
          <w:rFonts w:hint="eastAsia" w:ascii="宋体" w:hAnsi="宋体" w:cs="宋体"/>
          <w:color w:val="auto"/>
          <w:szCs w:val="24"/>
        </w:rPr>
        <w:t>及其附件、澄清文件；</w:t>
      </w:r>
    </w:p>
    <w:p>
      <w:pPr>
        <w:pStyle w:val="27"/>
        <w:spacing w:line="360" w:lineRule="auto"/>
        <w:ind w:firstLine="480" w:firstLineChars="200"/>
        <w:jc w:val="both"/>
        <w:rPr>
          <w:rFonts w:hint="eastAsia" w:ascii="宋体" w:hAnsi="宋体" w:cs="宋体"/>
          <w:color w:val="auto"/>
          <w:szCs w:val="24"/>
        </w:rPr>
      </w:pPr>
      <w:r>
        <w:rPr>
          <w:rFonts w:hint="eastAsia" w:ascii="宋体" w:hAnsi="宋体" w:cs="宋体"/>
          <w:color w:val="auto"/>
          <w:szCs w:val="24"/>
        </w:rPr>
        <w:t>29.1.2  中标的</w:t>
      </w:r>
      <w:r>
        <w:rPr>
          <w:rFonts w:hint="eastAsia" w:ascii="宋体" w:hAnsi="宋体" w:cs="宋体"/>
          <w:color w:val="auto"/>
          <w:szCs w:val="24"/>
          <w:lang w:eastAsia="zh-CN"/>
        </w:rPr>
        <w:t>响应文件</w:t>
      </w:r>
      <w:r>
        <w:rPr>
          <w:rFonts w:hint="eastAsia" w:ascii="宋体" w:hAnsi="宋体" w:cs="宋体"/>
          <w:color w:val="auto"/>
          <w:szCs w:val="24"/>
        </w:rPr>
        <w:t xml:space="preserve">及其他附件； </w:t>
      </w:r>
    </w:p>
    <w:p>
      <w:pPr>
        <w:pStyle w:val="27"/>
        <w:spacing w:line="360" w:lineRule="auto"/>
        <w:ind w:firstLine="480" w:firstLineChars="200"/>
        <w:jc w:val="both"/>
        <w:rPr>
          <w:rFonts w:hint="eastAsia" w:ascii="宋体" w:hAnsi="宋体" w:cs="宋体"/>
          <w:color w:val="auto"/>
          <w:szCs w:val="24"/>
        </w:rPr>
      </w:pPr>
      <w:r>
        <w:rPr>
          <w:rFonts w:hint="eastAsia" w:ascii="宋体" w:hAnsi="宋体" w:cs="宋体"/>
          <w:color w:val="auto"/>
          <w:szCs w:val="24"/>
        </w:rPr>
        <w:t>29.1.3  经确认的答疑记录；</w:t>
      </w:r>
    </w:p>
    <w:p>
      <w:pPr>
        <w:pStyle w:val="27"/>
        <w:spacing w:line="360" w:lineRule="auto"/>
        <w:ind w:firstLine="480" w:firstLineChars="200"/>
        <w:jc w:val="both"/>
        <w:rPr>
          <w:rFonts w:hint="eastAsia" w:ascii="宋体" w:hAnsi="宋体" w:cs="宋体"/>
          <w:color w:val="auto"/>
          <w:szCs w:val="24"/>
        </w:rPr>
      </w:pPr>
      <w:r>
        <w:rPr>
          <w:rFonts w:hint="eastAsia" w:ascii="宋体" w:hAnsi="宋体" w:cs="宋体"/>
          <w:color w:val="auto"/>
          <w:szCs w:val="24"/>
        </w:rPr>
        <w:t>29.1.4  中标通知书。</w:t>
      </w:r>
    </w:p>
    <w:p>
      <w:pPr>
        <w:pStyle w:val="26"/>
        <w:numPr>
          <w:ilvl w:val="0"/>
          <w:numId w:val="0"/>
        </w:numPr>
        <w:ind w:leftChars="0"/>
        <w:jc w:val="center"/>
        <w:outlineLvl w:val="1"/>
        <w:rPr>
          <w:rFonts w:hint="eastAsia"/>
          <w:b/>
          <w:bCs/>
          <w:color w:val="auto"/>
        </w:rPr>
      </w:pPr>
      <w:r>
        <w:rPr>
          <w:rFonts w:hint="eastAsia"/>
          <w:b/>
          <w:bCs/>
          <w:color w:val="auto"/>
        </w:rPr>
        <w:t>八、买方授标时更改采购货物数量的权利</w:t>
      </w:r>
    </w:p>
    <w:p>
      <w:pPr>
        <w:pStyle w:val="30"/>
        <w:spacing w:line="360" w:lineRule="auto"/>
        <w:ind w:firstLine="483"/>
        <w:rPr>
          <w:rFonts w:hint="eastAsia" w:ascii="宋体" w:hAnsi="宋体" w:eastAsia="宋体" w:cs="宋体"/>
          <w:color w:val="auto"/>
          <w:sz w:val="24"/>
        </w:rPr>
      </w:pPr>
      <w:r>
        <w:rPr>
          <w:rFonts w:hint="eastAsia" w:ascii="宋体" w:hAnsi="宋体" w:eastAsia="宋体" w:cs="宋体"/>
          <w:color w:val="auto"/>
          <w:sz w:val="24"/>
        </w:rPr>
        <w:t>30. 买方在授予合同时有权按“投标人须知前附表”第12项约定的内容对“货物需求表”中规定的货物数量和服务予以局部增加或减少，但不得对单价或其它实质性内容做任何改变，对增减的数量按同类型中标产品价结算货款。</w:t>
      </w:r>
    </w:p>
    <w:p>
      <w:pPr>
        <w:pStyle w:val="26"/>
        <w:numPr>
          <w:ilvl w:val="0"/>
          <w:numId w:val="0"/>
        </w:numPr>
        <w:ind w:leftChars="0"/>
        <w:jc w:val="center"/>
        <w:outlineLvl w:val="1"/>
        <w:rPr>
          <w:rFonts w:hint="eastAsia"/>
          <w:b/>
          <w:bCs/>
          <w:color w:val="auto"/>
        </w:rPr>
      </w:pPr>
      <w:r>
        <w:rPr>
          <w:rFonts w:hint="eastAsia"/>
          <w:b/>
          <w:bCs/>
          <w:color w:val="auto"/>
        </w:rPr>
        <w:t>九、其他事项</w:t>
      </w:r>
    </w:p>
    <w:p>
      <w:pPr>
        <w:pStyle w:val="30"/>
        <w:spacing w:line="360" w:lineRule="auto"/>
        <w:ind w:firstLine="483"/>
        <w:rPr>
          <w:rFonts w:hint="eastAsia" w:ascii="宋体" w:hAnsi="宋体" w:eastAsia="宋体" w:cs="宋体"/>
          <w:color w:val="auto"/>
          <w:sz w:val="24"/>
        </w:rPr>
      </w:pPr>
      <w:r>
        <w:rPr>
          <w:rFonts w:hint="eastAsia" w:ascii="宋体" w:hAnsi="宋体" w:eastAsia="宋体" w:cs="宋体"/>
          <w:color w:val="auto"/>
          <w:sz w:val="24"/>
        </w:rPr>
        <w:t>31.  中标服务费</w:t>
      </w:r>
    </w:p>
    <w:p>
      <w:pPr>
        <w:pStyle w:val="30"/>
        <w:spacing w:line="360" w:lineRule="auto"/>
        <w:ind w:firstLine="483"/>
        <w:rPr>
          <w:rFonts w:hint="eastAsia" w:ascii="宋体" w:hAnsi="宋体" w:eastAsia="宋体" w:cs="宋体"/>
          <w:color w:val="auto"/>
          <w:sz w:val="24"/>
        </w:rPr>
      </w:pPr>
      <w:r>
        <w:rPr>
          <w:rFonts w:hint="eastAsia" w:ascii="宋体" w:hAnsi="宋体" w:eastAsia="宋体" w:cs="宋体"/>
          <w:color w:val="auto"/>
          <w:sz w:val="24"/>
        </w:rPr>
        <w:t>31.1 中标人应按本</w:t>
      </w:r>
      <w:r>
        <w:rPr>
          <w:rFonts w:hint="eastAsia" w:ascii="宋体" w:hAnsi="宋体" w:eastAsia="宋体" w:cs="宋体"/>
          <w:color w:val="auto"/>
          <w:sz w:val="24"/>
          <w:lang w:eastAsia="zh-CN"/>
        </w:rPr>
        <w:t>竞争性磋商文件</w:t>
      </w:r>
      <w:r>
        <w:rPr>
          <w:rFonts w:hint="eastAsia" w:ascii="宋体" w:hAnsi="宋体" w:eastAsia="宋体" w:cs="宋体"/>
          <w:color w:val="auto"/>
          <w:sz w:val="24"/>
        </w:rPr>
        <w:t>的规定，在《中标通知书》核发时至核发后3天内，向采购代理机构支付中标服务费。</w:t>
      </w:r>
    </w:p>
    <w:p>
      <w:pPr>
        <w:pStyle w:val="30"/>
        <w:spacing w:line="360" w:lineRule="auto"/>
        <w:ind w:firstLine="483"/>
        <w:rPr>
          <w:rFonts w:hint="eastAsia" w:ascii="宋体" w:hAnsi="宋体" w:eastAsia="宋体" w:cs="宋体"/>
          <w:color w:val="auto"/>
          <w:sz w:val="24"/>
        </w:rPr>
      </w:pPr>
      <w:bookmarkStart w:id="14" w:name="_Toc19074"/>
      <w:bookmarkStart w:id="15" w:name="_Toc14033"/>
      <w:r>
        <w:rPr>
          <w:rFonts w:hint="eastAsia" w:ascii="宋体" w:hAnsi="宋体" w:eastAsia="宋体" w:cs="宋体"/>
          <w:color w:val="auto"/>
          <w:sz w:val="24"/>
        </w:rPr>
        <w:t>31.2 中标服务费的计算基数是中标人投标报价的总金额，即中标通知书中载明的中标金额</w:t>
      </w:r>
      <w:bookmarkEnd w:id="14"/>
      <w:bookmarkEnd w:id="15"/>
      <w:r>
        <w:rPr>
          <w:rFonts w:hint="eastAsia" w:ascii="宋体" w:hAnsi="宋体" w:eastAsia="宋体" w:cs="宋体"/>
          <w:color w:val="auto"/>
          <w:sz w:val="24"/>
        </w:rPr>
        <w:t>。</w:t>
      </w:r>
    </w:p>
    <w:p>
      <w:pPr>
        <w:pStyle w:val="30"/>
        <w:spacing w:line="360" w:lineRule="auto"/>
        <w:ind w:firstLine="483"/>
        <w:rPr>
          <w:rFonts w:hint="eastAsia" w:ascii="宋体" w:hAnsi="宋体" w:eastAsia="宋体" w:cs="宋体"/>
          <w:color w:val="auto"/>
          <w:sz w:val="24"/>
        </w:rPr>
      </w:pPr>
      <w:bookmarkStart w:id="16" w:name="_Toc12711"/>
      <w:r>
        <w:rPr>
          <w:rFonts w:hint="eastAsia" w:ascii="宋体" w:hAnsi="宋体" w:eastAsia="宋体" w:cs="宋体"/>
          <w:color w:val="auto"/>
          <w:sz w:val="24"/>
        </w:rPr>
        <w:t>32. 参与本次招标的投标企业必须有商务、技术人员对评标委员会提出的商务、技术问题进行答疑。</w:t>
      </w:r>
      <w:bookmarkEnd w:id="16"/>
    </w:p>
    <w:p>
      <w:pPr>
        <w:pStyle w:val="30"/>
        <w:spacing w:line="360" w:lineRule="auto"/>
        <w:ind w:firstLine="483"/>
        <w:rPr>
          <w:rFonts w:hint="eastAsia" w:ascii="宋体" w:hAnsi="宋体" w:eastAsia="宋体" w:cs="宋体"/>
          <w:color w:val="auto"/>
          <w:sz w:val="24"/>
        </w:rPr>
      </w:pPr>
      <w:r>
        <w:rPr>
          <w:rFonts w:hint="eastAsia" w:ascii="宋体" w:hAnsi="宋体" w:eastAsia="宋体" w:cs="宋体"/>
          <w:color w:val="auto"/>
          <w:sz w:val="24"/>
        </w:rPr>
        <w:t>33. 有下列情形之一的，视为投标人串通投标，其投标无效：</w:t>
      </w:r>
    </w:p>
    <w:p>
      <w:pPr>
        <w:pStyle w:val="30"/>
        <w:spacing w:line="360" w:lineRule="auto"/>
        <w:ind w:firstLine="483"/>
        <w:rPr>
          <w:rFonts w:hint="eastAsia" w:ascii="宋体" w:hAnsi="宋体" w:eastAsia="宋体" w:cs="宋体"/>
          <w:color w:val="auto"/>
          <w:sz w:val="24"/>
        </w:rPr>
      </w:pPr>
      <w:r>
        <w:rPr>
          <w:rFonts w:hint="eastAsia" w:ascii="宋体" w:hAnsi="宋体" w:eastAsia="宋体" w:cs="宋体"/>
          <w:color w:val="auto"/>
          <w:sz w:val="24"/>
        </w:rPr>
        <w:t>33.1  不同投标人的</w:t>
      </w:r>
      <w:r>
        <w:rPr>
          <w:rFonts w:hint="eastAsia" w:ascii="宋体" w:hAnsi="宋体" w:eastAsia="宋体" w:cs="宋体"/>
          <w:color w:val="auto"/>
          <w:sz w:val="24"/>
          <w:lang w:eastAsia="zh-CN"/>
        </w:rPr>
        <w:t>响应文件</w:t>
      </w:r>
      <w:r>
        <w:rPr>
          <w:rFonts w:hint="eastAsia" w:ascii="宋体" w:hAnsi="宋体" w:eastAsia="宋体" w:cs="宋体"/>
          <w:color w:val="auto"/>
          <w:sz w:val="24"/>
        </w:rPr>
        <w:t>由同一单位或者个人编制；</w:t>
      </w:r>
    </w:p>
    <w:p>
      <w:pPr>
        <w:pStyle w:val="30"/>
        <w:spacing w:line="360" w:lineRule="auto"/>
        <w:ind w:firstLine="483"/>
        <w:rPr>
          <w:rFonts w:hint="eastAsia" w:ascii="宋体" w:hAnsi="宋体" w:eastAsia="宋体" w:cs="宋体"/>
          <w:color w:val="auto"/>
          <w:sz w:val="24"/>
        </w:rPr>
      </w:pPr>
      <w:r>
        <w:rPr>
          <w:rFonts w:hint="eastAsia" w:ascii="宋体" w:hAnsi="宋体" w:eastAsia="宋体" w:cs="宋体"/>
          <w:color w:val="auto"/>
          <w:sz w:val="24"/>
        </w:rPr>
        <w:t>33.2  不同投标人委托同一单位或者个人办理投标事宜；</w:t>
      </w:r>
    </w:p>
    <w:p>
      <w:pPr>
        <w:pStyle w:val="30"/>
        <w:spacing w:line="360" w:lineRule="auto"/>
        <w:ind w:firstLine="483"/>
        <w:rPr>
          <w:rFonts w:hint="eastAsia" w:ascii="宋体" w:hAnsi="宋体" w:eastAsia="宋体" w:cs="宋体"/>
          <w:color w:val="auto"/>
          <w:sz w:val="24"/>
        </w:rPr>
      </w:pPr>
      <w:r>
        <w:rPr>
          <w:rFonts w:hint="eastAsia" w:ascii="宋体" w:hAnsi="宋体" w:eastAsia="宋体" w:cs="宋体"/>
          <w:color w:val="auto"/>
          <w:sz w:val="24"/>
        </w:rPr>
        <w:t>33.3  不同投标人的</w:t>
      </w:r>
      <w:r>
        <w:rPr>
          <w:rFonts w:hint="eastAsia" w:ascii="宋体" w:hAnsi="宋体" w:eastAsia="宋体" w:cs="宋体"/>
          <w:color w:val="auto"/>
          <w:sz w:val="24"/>
          <w:lang w:eastAsia="zh-CN"/>
        </w:rPr>
        <w:t>响应文件</w:t>
      </w:r>
      <w:r>
        <w:rPr>
          <w:rFonts w:hint="eastAsia" w:ascii="宋体" w:hAnsi="宋体" w:eastAsia="宋体" w:cs="宋体"/>
          <w:color w:val="auto"/>
          <w:sz w:val="24"/>
        </w:rPr>
        <w:t>载明的项目管理成员或者联系人员为同一人；</w:t>
      </w:r>
    </w:p>
    <w:p>
      <w:pPr>
        <w:pStyle w:val="30"/>
        <w:spacing w:line="360" w:lineRule="auto"/>
        <w:ind w:firstLine="483"/>
        <w:rPr>
          <w:rFonts w:hint="eastAsia" w:ascii="宋体" w:hAnsi="宋体" w:eastAsia="宋体" w:cs="宋体"/>
          <w:color w:val="auto"/>
          <w:sz w:val="24"/>
        </w:rPr>
      </w:pPr>
      <w:r>
        <w:rPr>
          <w:rFonts w:hint="eastAsia" w:ascii="宋体" w:hAnsi="宋体" w:eastAsia="宋体" w:cs="宋体"/>
          <w:color w:val="auto"/>
          <w:sz w:val="24"/>
        </w:rPr>
        <w:t>33.4  不同投标人的</w:t>
      </w:r>
      <w:r>
        <w:rPr>
          <w:rFonts w:hint="eastAsia" w:ascii="宋体" w:hAnsi="宋体" w:eastAsia="宋体" w:cs="宋体"/>
          <w:color w:val="auto"/>
          <w:sz w:val="24"/>
          <w:lang w:eastAsia="zh-CN"/>
        </w:rPr>
        <w:t>响应文件</w:t>
      </w:r>
      <w:r>
        <w:rPr>
          <w:rFonts w:hint="eastAsia" w:ascii="宋体" w:hAnsi="宋体" w:eastAsia="宋体" w:cs="宋体"/>
          <w:color w:val="auto"/>
          <w:sz w:val="24"/>
        </w:rPr>
        <w:t>异常一致或者投标报价呈规律性差异；</w:t>
      </w:r>
    </w:p>
    <w:p>
      <w:pPr>
        <w:pStyle w:val="30"/>
        <w:spacing w:line="360" w:lineRule="auto"/>
        <w:ind w:firstLine="483"/>
        <w:rPr>
          <w:rFonts w:hint="eastAsia" w:ascii="宋体" w:hAnsi="宋体" w:eastAsia="宋体" w:cs="宋体"/>
          <w:color w:val="auto"/>
          <w:sz w:val="24"/>
        </w:rPr>
      </w:pPr>
      <w:r>
        <w:rPr>
          <w:rFonts w:hint="eastAsia" w:ascii="宋体" w:hAnsi="宋体" w:eastAsia="宋体" w:cs="宋体"/>
          <w:color w:val="auto"/>
          <w:sz w:val="24"/>
        </w:rPr>
        <w:t>33.5  不同投标人的</w:t>
      </w:r>
      <w:r>
        <w:rPr>
          <w:rFonts w:hint="eastAsia" w:ascii="宋体" w:hAnsi="宋体" w:eastAsia="宋体" w:cs="宋体"/>
          <w:color w:val="auto"/>
          <w:sz w:val="24"/>
          <w:lang w:eastAsia="zh-CN"/>
        </w:rPr>
        <w:t>响应文件</w:t>
      </w:r>
      <w:r>
        <w:rPr>
          <w:rFonts w:hint="eastAsia" w:ascii="宋体" w:hAnsi="宋体" w:eastAsia="宋体" w:cs="宋体"/>
          <w:color w:val="auto"/>
          <w:sz w:val="24"/>
        </w:rPr>
        <w:t>相互混装；</w:t>
      </w:r>
    </w:p>
    <w:p>
      <w:pPr>
        <w:pStyle w:val="30"/>
        <w:spacing w:line="360" w:lineRule="auto"/>
        <w:ind w:firstLine="483"/>
        <w:rPr>
          <w:rFonts w:hint="eastAsia" w:ascii="宋体" w:hAnsi="宋体" w:eastAsia="宋体" w:cs="宋体"/>
          <w:color w:val="auto"/>
          <w:sz w:val="24"/>
        </w:rPr>
      </w:pPr>
      <w:r>
        <w:rPr>
          <w:rFonts w:hint="eastAsia" w:ascii="宋体" w:hAnsi="宋体" w:eastAsia="宋体" w:cs="宋体"/>
          <w:color w:val="auto"/>
          <w:sz w:val="24"/>
        </w:rPr>
        <w:t>33.6  不同投标人的投标保证金从同一单位或者个人的账户转出。</w:t>
      </w:r>
    </w:p>
    <w:p>
      <w:pPr>
        <w:pStyle w:val="2"/>
        <w:keepNext w:val="0"/>
        <w:keepLines w:val="0"/>
        <w:numPr>
          <w:ilvl w:val="0"/>
          <w:numId w:val="0"/>
        </w:numPr>
        <w:adjustRightInd w:val="0"/>
        <w:snapToGrid w:val="0"/>
        <w:spacing w:before="120" w:after="120" w:line="360" w:lineRule="auto"/>
        <w:ind w:leftChars="0"/>
        <w:rPr>
          <w:rFonts w:hint="eastAsia" w:ascii="宋体" w:hAnsi="宋体" w:eastAsia="宋体" w:cs="宋体"/>
          <w:b/>
          <w:bCs w:val="0"/>
          <w:color w:val="auto"/>
          <w:sz w:val="24"/>
          <w:szCs w:val="24"/>
        </w:rPr>
      </w:pPr>
      <w:bookmarkStart w:id="17" w:name="_Toc179632627"/>
      <w:bookmarkStart w:id="18" w:name="_Toc144974577"/>
      <w:bookmarkStart w:id="19" w:name="_Toc152042387"/>
      <w:bookmarkStart w:id="20" w:name="_Toc470"/>
      <w:bookmarkStart w:id="21" w:name="_Toc7110"/>
      <w:bookmarkStart w:id="22" w:name="_Toc14852"/>
      <w:bookmarkStart w:id="23" w:name="_Toc29020"/>
      <w:bookmarkStart w:id="24" w:name="_Toc152045609"/>
    </w:p>
    <w:p>
      <w:pPr>
        <w:rPr>
          <w:rFonts w:hint="eastAsia" w:ascii="宋体" w:eastAsia="宋体" w:cs="Times New Roman"/>
          <w:b/>
          <w:color w:val="auto"/>
          <w:highlight w:val="none"/>
          <w:lang w:val="en-US" w:eastAsia="zh-CN"/>
        </w:rPr>
      </w:pPr>
      <w:r>
        <w:rPr>
          <w:rFonts w:hint="eastAsia" w:ascii="宋体" w:eastAsia="宋体" w:cs="Times New Roman"/>
          <w:b/>
          <w:color w:val="auto"/>
          <w:highlight w:val="none"/>
          <w:lang w:val="en-US" w:eastAsia="zh-CN"/>
        </w:rPr>
        <w:br w:type="page"/>
      </w:r>
    </w:p>
    <w:p>
      <w:pPr>
        <w:pStyle w:val="2"/>
        <w:numPr>
          <w:ilvl w:val="0"/>
          <w:numId w:val="0"/>
        </w:numPr>
        <w:bidi w:val="0"/>
        <w:spacing w:line="240" w:lineRule="auto"/>
        <w:ind w:leftChars="0"/>
        <w:jc w:val="center"/>
        <w:rPr>
          <w:rFonts w:hint="default" w:ascii="宋体" w:eastAsia="宋体" w:cs="Times New Roman"/>
          <w:b/>
          <w:color w:val="auto"/>
          <w:highlight w:val="none"/>
          <w:lang w:val="en-US" w:eastAsia="zh-CN"/>
        </w:rPr>
      </w:pPr>
      <w:r>
        <w:rPr>
          <w:rFonts w:hint="eastAsia" w:ascii="宋体" w:eastAsia="宋体" w:cs="Times New Roman"/>
          <w:b/>
          <w:color w:val="auto"/>
          <w:highlight w:val="none"/>
          <w:lang w:val="en-US" w:eastAsia="zh-CN"/>
        </w:rPr>
        <w:t>第四章 合同条款</w:t>
      </w:r>
      <w:bookmarkEnd w:id="17"/>
      <w:bookmarkEnd w:id="18"/>
      <w:bookmarkEnd w:id="19"/>
      <w:bookmarkEnd w:id="20"/>
      <w:bookmarkEnd w:id="21"/>
      <w:bookmarkEnd w:id="22"/>
      <w:bookmarkEnd w:id="23"/>
      <w:bookmarkEnd w:id="24"/>
      <w:bookmarkStart w:id="25" w:name="_Toc144974826"/>
      <w:bookmarkStart w:id="26" w:name="_Toc152042546"/>
      <w:bookmarkStart w:id="27" w:name="_Toc152045767"/>
      <w:bookmarkStart w:id="28" w:name="_Toc179632785"/>
    </w:p>
    <w:bookmarkEnd w:id="25"/>
    <w:bookmarkEnd w:id="26"/>
    <w:bookmarkEnd w:id="27"/>
    <w:bookmarkEnd w:id="28"/>
    <w:p>
      <w:pPr>
        <w:spacing w:line="360" w:lineRule="auto"/>
        <w:ind w:firstLine="482" w:firstLineChars="200"/>
        <w:jc w:val="center"/>
        <w:rPr>
          <w:rFonts w:hint="eastAsia" w:ascii="宋体" w:hAnsi="宋体" w:eastAsia="宋体" w:cs="宋体"/>
          <w:b/>
          <w:bCs w:val="0"/>
          <w:color w:val="auto"/>
          <w:kern w:val="2"/>
          <w:sz w:val="24"/>
          <w:szCs w:val="24"/>
          <w:lang w:val="en-US" w:eastAsia="zh-CN" w:bidi="ar-SA"/>
        </w:rPr>
      </w:pPr>
    </w:p>
    <w:p>
      <w:pPr>
        <w:jc w:val="cente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（此合同为格式范本，最终合同以双方协商为准）</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pStyle w:val="8"/>
        <w:rPr>
          <w:rFonts w:hint="eastAsia" w:ascii="宋体" w:hAnsi="宋体" w:eastAsia="宋体" w:cs="宋体"/>
          <w:i w:val="0"/>
          <w:iCs w:val="0"/>
          <w:color w:val="auto"/>
          <w:sz w:val="28"/>
          <w:szCs w:val="28"/>
          <w:highlight w:val="none"/>
        </w:rPr>
      </w:pPr>
    </w:p>
    <w:p>
      <w:pPr>
        <w:rPr>
          <w:rFonts w:hint="eastAsia"/>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XXXXXXXXXX项目合同</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 xml:space="preserve">甲方：XXXXXX                </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 xml:space="preserve">乙方：_____________________ </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签约地点：_____________________________</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签约日期：_____________________________</w:t>
      </w:r>
    </w:p>
    <w:p>
      <w:pPr>
        <w:rPr>
          <w:rFonts w:hint="eastAsia" w:ascii="宋体" w:hAnsi="宋体" w:eastAsia="宋体" w:cs="宋体"/>
          <w:i w:val="0"/>
          <w:iCs w:val="0"/>
          <w:color w:val="auto"/>
          <w:sz w:val="28"/>
          <w:szCs w:val="28"/>
          <w:highlight w:val="none"/>
        </w:rPr>
      </w:pPr>
    </w:p>
    <w:p>
      <w:pPr>
        <w:spacing w:line="540" w:lineRule="exact"/>
        <w:rPr>
          <w:rFonts w:hint="eastAsia" w:ascii="宋体" w:hAnsi="宋体" w:eastAsia="宋体" w:cs="宋体"/>
          <w:b/>
          <w:i w:val="0"/>
          <w:iCs w:val="0"/>
          <w:color w:val="auto"/>
          <w:sz w:val="28"/>
          <w:szCs w:val="28"/>
          <w:highlight w:val="none"/>
        </w:rPr>
      </w:pPr>
    </w:p>
    <w:p>
      <w:pPr>
        <w:pStyle w:val="5"/>
        <w:ind w:left="0" w:leftChars="0" w:firstLine="0" w:firstLineChars="0"/>
        <w:rPr>
          <w:rFonts w:hint="eastAsia"/>
          <w:b/>
          <w:color w:val="auto"/>
          <w:highlight w:val="none"/>
        </w:rPr>
      </w:pPr>
    </w:p>
    <w:bookmarkEnd w:id="13"/>
    <w:p>
      <w:pPr>
        <w:jc w:val="both"/>
        <w:rPr>
          <w:rFonts w:hint="eastAsia" w:ascii="宋体" w:hAnsi="华文宋体" w:eastAsia="宋体" w:cs="Times New Roman"/>
          <w:b/>
          <w:color w:val="auto"/>
          <w:kern w:val="44"/>
          <w:sz w:val="52"/>
          <w:szCs w:val="20"/>
          <w:highlight w:val="none"/>
          <w:lang w:val="en-US" w:eastAsia="zh-CN" w:bidi="ar-SA"/>
        </w:rPr>
      </w:pPr>
    </w:p>
    <w:p>
      <w:pPr>
        <w:pStyle w:val="17"/>
        <w:ind w:left="0" w:leftChars="0" w:firstLine="0" w:firstLineChars="0"/>
        <w:rPr>
          <w:rFonts w:hint="eastAsia"/>
          <w:color w:val="auto"/>
          <w:lang w:val="en-US" w:eastAsia="zh-CN"/>
        </w:rPr>
      </w:pPr>
    </w:p>
    <w:p>
      <w:pPr>
        <w:numPr>
          <w:ilvl w:val="0"/>
          <w:numId w:val="5"/>
        </w:numPr>
        <w:jc w:val="center"/>
        <w:rPr>
          <w:rFonts w:hint="eastAsia" w:ascii="宋体" w:hAnsi="华文宋体" w:eastAsia="宋体" w:cs="Times New Roman"/>
          <w:b/>
          <w:color w:val="auto"/>
          <w:kern w:val="44"/>
          <w:sz w:val="52"/>
          <w:szCs w:val="20"/>
          <w:highlight w:val="none"/>
          <w:lang w:val="en-US" w:eastAsia="zh-CN" w:bidi="ar-SA"/>
        </w:rPr>
      </w:pPr>
      <w:bookmarkStart w:id="29" w:name="_Toc22965"/>
      <w:bookmarkStart w:id="30" w:name="_Toc460703982"/>
      <w:r>
        <w:rPr>
          <w:rFonts w:hint="eastAsia" w:ascii="宋体" w:hAnsi="华文宋体" w:eastAsia="宋体" w:cs="Times New Roman"/>
          <w:b/>
          <w:color w:val="auto"/>
          <w:kern w:val="44"/>
          <w:sz w:val="52"/>
          <w:szCs w:val="20"/>
          <w:highlight w:val="none"/>
          <w:lang w:val="en-US" w:eastAsia="zh-CN" w:bidi="ar-SA"/>
        </w:rPr>
        <w:t>采购</w:t>
      </w:r>
      <w:r>
        <w:rPr>
          <w:rFonts w:hint="eastAsia" w:ascii="宋体" w:hAnsi="华文宋体" w:cs="Times New Roman"/>
          <w:b/>
          <w:color w:val="auto"/>
          <w:kern w:val="44"/>
          <w:sz w:val="52"/>
          <w:szCs w:val="20"/>
          <w:highlight w:val="none"/>
          <w:lang w:val="en-US" w:eastAsia="zh-CN" w:bidi="ar-SA"/>
        </w:rPr>
        <w:t>需</w:t>
      </w:r>
      <w:r>
        <w:rPr>
          <w:rFonts w:hint="eastAsia" w:ascii="宋体" w:hAnsi="华文宋体" w:eastAsia="宋体" w:cs="Times New Roman"/>
          <w:b/>
          <w:color w:val="auto"/>
          <w:kern w:val="44"/>
          <w:sz w:val="52"/>
          <w:szCs w:val="20"/>
          <w:highlight w:val="none"/>
          <w:lang w:val="en-US" w:eastAsia="zh-CN" w:bidi="ar-SA"/>
        </w:rPr>
        <w:t>求</w:t>
      </w:r>
    </w:p>
    <w:bookmarkEnd w:id="29"/>
    <w:bookmarkEnd w:id="30"/>
    <w:p>
      <w:pPr>
        <w:spacing w:before="0"/>
        <w:ind w:left="0" w:leftChars="0" w:right="512" w:firstLine="0" w:firstLineChars="0"/>
        <w:jc w:val="both"/>
        <w:rPr>
          <w:rFonts w:hint="default" w:ascii="Times New Roman" w:hAnsi="Times New Roman" w:eastAsia="宋体" w:cs="Times New Roman"/>
          <w:b/>
          <w:sz w:val="24"/>
          <w:szCs w:val="24"/>
        </w:rPr>
      </w:pPr>
      <w:bookmarkStart w:id="31" w:name="_Toc460703983"/>
      <w:bookmarkStart w:id="32" w:name="_Toc30358"/>
      <w:r>
        <w:rPr>
          <w:rFonts w:hint="eastAsia" w:cs="Times New Roman"/>
          <w:b/>
          <w:sz w:val="32"/>
          <w:lang w:val="en-US" w:eastAsia="zh-CN"/>
        </w:rPr>
        <w:t>一</w:t>
      </w:r>
      <w:r>
        <w:rPr>
          <w:rFonts w:hint="default" w:ascii="Times New Roman" w:hAnsi="Times New Roman" w:eastAsia="宋体" w:cs="Times New Roman"/>
          <w:b/>
          <w:sz w:val="24"/>
          <w:szCs w:val="24"/>
        </w:rPr>
        <w:t>、服务内容及要求</w:t>
      </w:r>
    </w:p>
    <w:p>
      <w:pPr>
        <w:keepNext w:val="0"/>
        <w:keepLines w:val="0"/>
        <w:pageBreakBefore w:val="0"/>
        <w:widowControl w:val="0"/>
        <w:kinsoku/>
        <w:wordWrap/>
        <w:overflowPunct/>
        <w:topLinePunct w:val="0"/>
        <w:autoSpaceDE w:val="0"/>
        <w:autoSpaceDN w:val="0"/>
        <w:bidi w:val="0"/>
        <w:adjustRightInd/>
        <w:snapToGrid/>
        <w:spacing w:before="160" w:after="160" w:line="360" w:lineRule="auto"/>
        <w:ind w:left="0" w:leftChars="0" w:right="0" w:firstLine="412" w:firstLineChars="171"/>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（一）具体项目表</w:t>
      </w:r>
    </w:p>
    <w:tbl>
      <w:tblPr>
        <w:tblStyle w:val="19"/>
        <w:tblW w:w="0" w:type="auto"/>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9"/>
        <w:gridCol w:w="2042"/>
        <w:gridCol w:w="3508"/>
        <w:gridCol w:w="2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83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default" w:ascii="Times New Roman" w:hAnsi="Times New Roman" w:eastAsia="宋体" w:cs="Times New Roman"/>
                <w:b/>
                <w:bCs/>
                <w:sz w:val="24"/>
              </w:rPr>
            </w:pPr>
            <w:r>
              <w:rPr>
                <w:rFonts w:hint="default" w:ascii="Times New Roman" w:hAnsi="Times New Roman" w:eastAsia="宋体" w:cs="Times New Roman"/>
                <w:b/>
                <w:bCs/>
                <w:sz w:val="24"/>
              </w:rPr>
              <w:t>序号</w:t>
            </w:r>
          </w:p>
        </w:tc>
        <w:tc>
          <w:tcPr>
            <w:tcW w:w="204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default" w:ascii="Times New Roman" w:hAnsi="Times New Roman" w:eastAsia="宋体" w:cs="Times New Roman"/>
                <w:b/>
                <w:bCs/>
                <w:sz w:val="24"/>
              </w:rPr>
            </w:pPr>
            <w:r>
              <w:rPr>
                <w:rFonts w:hint="default" w:ascii="Times New Roman" w:hAnsi="Times New Roman" w:eastAsia="宋体" w:cs="Times New Roman"/>
                <w:b/>
                <w:bCs/>
                <w:sz w:val="24"/>
              </w:rPr>
              <w:t>项目明细</w:t>
            </w:r>
          </w:p>
        </w:tc>
        <w:tc>
          <w:tcPr>
            <w:tcW w:w="350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default" w:ascii="Times New Roman" w:hAnsi="Times New Roman" w:eastAsia="宋体" w:cs="Times New Roman"/>
                <w:b/>
                <w:bCs/>
                <w:sz w:val="24"/>
              </w:rPr>
            </w:pPr>
            <w:r>
              <w:rPr>
                <w:rFonts w:hint="default" w:ascii="Times New Roman" w:hAnsi="Times New Roman" w:eastAsia="宋体" w:cs="Times New Roman"/>
                <w:b/>
                <w:bCs/>
                <w:sz w:val="24"/>
              </w:rPr>
              <w:t>子项</w:t>
            </w:r>
          </w:p>
        </w:tc>
        <w:tc>
          <w:tcPr>
            <w:tcW w:w="213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default" w:ascii="Times New Roman" w:hAnsi="Times New Roman" w:eastAsia="宋体" w:cs="Times New Roman"/>
                <w:b/>
                <w:bCs/>
                <w:sz w:val="24"/>
              </w:rPr>
            </w:pPr>
            <w:r>
              <w:rPr>
                <w:rFonts w:hint="default" w:ascii="Times New Roman" w:hAnsi="Times New Roman" w:eastAsia="宋体" w:cs="Times New Roman"/>
                <w:b/>
                <w:bCs/>
                <w:sz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83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1</w:t>
            </w:r>
          </w:p>
        </w:tc>
        <w:tc>
          <w:tcPr>
            <w:tcW w:w="204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大气污染复盘基</w:t>
            </w:r>
          </w:p>
          <w:p>
            <w:pPr>
              <w:pStyle w:val="3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础支撑服务</w:t>
            </w:r>
          </w:p>
        </w:tc>
        <w:tc>
          <w:tcPr>
            <w:tcW w:w="350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default" w:ascii="Times New Roman" w:hAnsi="Times New Roman" w:eastAsia="宋体" w:cs="Times New Roman"/>
                <w:sz w:val="24"/>
              </w:rPr>
            </w:pPr>
            <w:r>
              <w:rPr>
                <w:rFonts w:hint="eastAsia" w:ascii="Times New Roman" w:hAnsi="Times New Roman" w:cs="Times New Roman"/>
                <w:sz w:val="24"/>
                <w:lang w:val="en-US" w:eastAsia="zh-CN"/>
              </w:rPr>
              <w:t>空气站</w:t>
            </w:r>
            <w:r>
              <w:rPr>
                <w:rFonts w:hint="default" w:ascii="Times New Roman" w:hAnsi="Times New Roman" w:eastAsia="宋体" w:cs="Times New Roman"/>
                <w:sz w:val="24"/>
              </w:rPr>
              <w:t>空间展示、考核评估，管控建议报告</w:t>
            </w:r>
          </w:p>
        </w:tc>
        <w:tc>
          <w:tcPr>
            <w:tcW w:w="213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default" w:ascii="Times New Roman" w:hAnsi="Times New Roman" w:eastAsia="宋体" w:cs="Times New Roman"/>
                <w:sz w:val="24"/>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83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w:t>
            </w:r>
          </w:p>
        </w:tc>
        <w:tc>
          <w:tcPr>
            <w:tcW w:w="204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多维度数据</w:t>
            </w:r>
            <w:r>
              <w:rPr>
                <w:rFonts w:hint="default" w:ascii="Times New Roman" w:hAnsi="Times New Roman" w:eastAsia="宋体" w:cs="Times New Roman"/>
                <w:sz w:val="24"/>
                <w:lang w:val="en-US" w:eastAsia="zh-CN"/>
              </w:rPr>
              <w:t>监测</w:t>
            </w:r>
            <w:r>
              <w:rPr>
                <w:rFonts w:hint="default" w:ascii="Times New Roman" w:hAnsi="Times New Roman" w:eastAsia="宋体" w:cs="Times New Roman"/>
                <w:sz w:val="24"/>
              </w:rPr>
              <w:t>服务</w:t>
            </w:r>
          </w:p>
        </w:tc>
        <w:tc>
          <w:tcPr>
            <w:tcW w:w="350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提供一套标准空气站设备进行空气质量监测</w:t>
            </w:r>
          </w:p>
        </w:tc>
        <w:tc>
          <w:tcPr>
            <w:tcW w:w="213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eastAsia" w:ascii="Times New Roman" w:hAnsi="Times New Roman" w:eastAsia="宋体" w:cs="Times New Roman"/>
                <w:sz w:val="24"/>
                <w:highlight w:val="yellow"/>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83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w:t>
            </w:r>
          </w:p>
        </w:tc>
        <w:tc>
          <w:tcPr>
            <w:tcW w:w="204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站点建设服务</w:t>
            </w:r>
          </w:p>
        </w:tc>
        <w:tc>
          <w:tcPr>
            <w:tcW w:w="350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包括空气站点</w:t>
            </w:r>
            <w:r>
              <w:rPr>
                <w:rFonts w:hint="eastAsia" w:ascii="Times New Roman" w:hAnsi="Times New Roman" w:cs="Times New Roman"/>
                <w:sz w:val="24"/>
                <w:lang w:val="en-US" w:eastAsia="zh-CN"/>
              </w:rPr>
              <w:t>相关设施的建设</w:t>
            </w:r>
          </w:p>
        </w:tc>
        <w:tc>
          <w:tcPr>
            <w:tcW w:w="213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eastAsia" w:ascii="Times New Roman" w:hAnsi="Times New Roman" w:eastAsia="宋体" w:cs="Times New Roman"/>
                <w:sz w:val="24"/>
                <w:highlight w:val="yellow"/>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83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4</w:t>
            </w:r>
          </w:p>
        </w:tc>
        <w:tc>
          <w:tcPr>
            <w:tcW w:w="204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default" w:ascii="Times New Roman" w:hAnsi="Times New Roman" w:eastAsia="宋体" w:cs="Times New Roman"/>
                <w:sz w:val="24"/>
                <w:lang w:val="en-US" w:eastAsia="zh-CN"/>
              </w:rPr>
            </w:pPr>
            <w:r>
              <w:rPr>
                <w:rFonts w:hint="eastAsia" w:ascii="Times New Roman" w:hAnsi="Times New Roman" w:cs="Times New Roman"/>
                <w:sz w:val="24"/>
                <w:lang w:val="en-US" w:eastAsia="zh-CN"/>
              </w:rPr>
              <w:t>周边环境监测</w:t>
            </w:r>
            <w:r>
              <w:rPr>
                <w:rFonts w:hint="eastAsia" w:ascii="Times New Roman" w:hAnsi="Times New Roman" w:eastAsia="宋体" w:cs="Times New Roman"/>
                <w:sz w:val="24"/>
                <w:lang w:val="en-US" w:eastAsia="zh-CN"/>
              </w:rPr>
              <w:t>服务</w:t>
            </w:r>
          </w:p>
        </w:tc>
        <w:tc>
          <w:tcPr>
            <w:tcW w:w="350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default" w:ascii="Times New Roman" w:hAnsi="Times New Roman" w:eastAsia="宋体" w:cs="Times New Roman"/>
                <w:sz w:val="24"/>
                <w:lang w:val="en-US" w:eastAsia="zh-CN"/>
              </w:rPr>
            </w:pPr>
            <w:r>
              <w:rPr>
                <w:rFonts w:hint="eastAsia" w:ascii="Times New Roman" w:hAnsi="Times New Roman" w:cs="Times New Roman"/>
                <w:sz w:val="24"/>
                <w:lang w:val="en-US" w:eastAsia="zh-CN"/>
              </w:rPr>
              <w:t>监测周边环境PM2.5、PM10、NO2、SO2、CO、O3因子，进行来源分析并出具相关分析报告</w:t>
            </w:r>
          </w:p>
        </w:tc>
        <w:tc>
          <w:tcPr>
            <w:tcW w:w="213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eastAsia" w:ascii="Times New Roman" w:hAnsi="Times New Roman" w:eastAsia="宋体" w:cs="Times New Roman"/>
                <w:sz w:val="24"/>
                <w:highlight w:val="yellow"/>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83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default" w:ascii="Times New Roman" w:hAnsi="Times New Roman" w:eastAsia="宋体" w:cs="Times New Roman"/>
                <w:sz w:val="24"/>
                <w:lang w:val="en-US" w:eastAsia="zh-CN"/>
              </w:rPr>
            </w:pPr>
            <w:r>
              <w:rPr>
                <w:rFonts w:hint="eastAsia" w:ascii="Times New Roman" w:hAnsi="Times New Roman" w:cs="Times New Roman"/>
                <w:sz w:val="24"/>
                <w:lang w:val="en-US" w:eastAsia="zh-CN"/>
              </w:rPr>
              <w:t>5</w:t>
            </w:r>
          </w:p>
        </w:tc>
        <w:tc>
          <w:tcPr>
            <w:tcW w:w="204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eastAsia" w:ascii="Times New Roman" w:hAnsi="Times New Roman" w:cs="Times New Roman"/>
                <w:sz w:val="24"/>
                <w:lang w:val="en-US" w:eastAsia="zh-CN"/>
              </w:rPr>
            </w:pPr>
            <w:r>
              <w:rPr>
                <w:rFonts w:hint="eastAsia" w:ascii="Times New Roman" w:hAnsi="Times New Roman" w:eastAsia="宋体" w:cs="Times New Roman"/>
                <w:sz w:val="24"/>
                <w:lang w:val="en-US" w:eastAsia="zh-CN"/>
              </w:rPr>
              <w:t>监测设备运维服务</w:t>
            </w:r>
          </w:p>
        </w:tc>
        <w:tc>
          <w:tcPr>
            <w:tcW w:w="350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日常维护、质量控制、故障维修、年度检修、检定等工作</w:t>
            </w:r>
          </w:p>
        </w:tc>
        <w:tc>
          <w:tcPr>
            <w:tcW w:w="213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eastAsia" w:ascii="Times New Roman" w:hAnsi="Times New Roman" w:eastAsia="宋体" w:cs="Times New Roman"/>
                <w:sz w:val="24"/>
                <w:highlight w:val="yellow"/>
                <w:lang w:val="en-US" w:eastAsia="zh-CN"/>
              </w:rPr>
            </w:pPr>
          </w:p>
        </w:tc>
      </w:tr>
    </w:tbl>
    <w:p>
      <w:pPr>
        <w:spacing w:before="171" w:after="32"/>
        <w:ind w:left="420" w:right="0" w:firstLine="0"/>
        <w:jc w:val="left"/>
        <w:rPr>
          <w:rFonts w:hint="default" w:ascii="Times New Roman" w:hAnsi="Times New Roman" w:eastAsia="宋体" w:cs="Times New Roman"/>
          <w:b/>
          <w:sz w:val="28"/>
          <w:szCs w:val="24"/>
        </w:rPr>
      </w:pPr>
      <w:bookmarkStart w:id="33" w:name="（二）项目背景"/>
      <w:bookmarkEnd w:id="33"/>
    </w:p>
    <w:p>
      <w:pPr>
        <w:keepNext w:val="0"/>
        <w:keepLines w:val="0"/>
        <w:pageBreakBefore w:val="0"/>
        <w:widowControl w:val="0"/>
        <w:kinsoku/>
        <w:wordWrap/>
        <w:overflowPunct/>
        <w:topLinePunct w:val="0"/>
        <w:autoSpaceDE w:val="0"/>
        <w:autoSpaceDN w:val="0"/>
        <w:bidi w:val="0"/>
        <w:adjustRightInd/>
        <w:snapToGrid/>
        <w:spacing w:before="160" w:after="160" w:line="360" w:lineRule="auto"/>
        <w:ind w:left="0" w:leftChars="0" w:right="0" w:firstLine="481" w:firstLineChars="171"/>
        <w:jc w:val="left"/>
        <w:textAlignment w:val="auto"/>
        <w:rPr>
          <w:rFonts w:hint="default" w:ascii="Times New Roman" w:hAnsi="Times New Roman" w:eastAsia="宋体" w:cs="Times New Roman"/>
          <w:b/>
          <w:sz w:val="28"/>
          <w:szCs w:val="24"/>
        </w:rPr>
      </w:pPr>
      <w:r>
        <w:rPr>
          <w:rFonts w:hint="default" w:ascii="Times New Roman" w:hAnsi="Times New Roman" w:eastAsia="宋体" w:cs="Times New Roman"/>
          <w:b/>
          <w:sz w:val="28"/>
          <w:szCs w:val="24"/>
        </w:rPr>
        <w:t>（二）项目背景</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default" w:ascii="Times New Roman" w:hAnsi="Times New Roman" w:eastAsia="宋体" w:cs="Times New Roman"/>
          <w:b w:val="0"/>
          <w:bCs w:val="0"/>
          <w:spacing w:val="0"/>
          <w:sz w:val="24"/>
          <w:lang w:val="en-US" w:eastAsia="zh-CN"/>
        </w:rPr>
      </w:pPr>
      <w:r>
        <w:rPr>
          <w:rFonts w:hint="default" w:ascii="Times New Roman" w:hAnsi="Times New Roman" w:eastAsia="宋体" w:cs="Times New Roman"/>
          <w:b w:val="0"/>
          <w:bCs w:val="0"/>
          <w:spacing w:val="0"/>
          <w:sz w:val="24"/>
        </w:rPr>
        <w:t>近年来，</w:t>
      </w:r>
      <w:r>
        <w:rPr>
          <w:rFonts w:hint="eastAsia" w:cs="Times New Roman"/>
          <w:b w:val="0"/>
          <w:bCs w:val="0"/>
          <w:spacing w:val="0"/>
          <w:sz w:val="24"/>
          <w:lang w:val="en-US" w:eastAsia="zh-CN"/>
        </w:rPr>
        <w:t>沙雅县</w:t>
      </w:r>
      <w:r>
        <w:rPr>
          <w:rFonts w:hint="default" w:ascii="Times New Roman" w:hAnsi="Times New Roman" w:eastAsia="宋体" w:cs="Times New Roman"/>
          <w:b w:val="0"/>
          <w:bCs w:val="0"/>
          <w:spacing w:val="0"/>
          <w:sz w:val="24"/>
        </w:rPr>
        <w:t>采取了一系列大气污染综合整治措施，数据持续下降，空气质量初显成效，</w:t>
      </w:r>
      <w:r>
        <w:rPr>
          <w:rFonts w:hint="eastAsia" w:cs="Times New Roman"/>
          <w:b w:val="0"/>
          <w:bCs w:val="0"/>
          <w:spacing w:val="0"/>
          <w:sz w:val="24"/>
          <w:lang w:val="en-US" w:eastAsia="zh-CN"/>
        </w:rPr>
        <w:t>但</w:t>
      </w:r>
      <w:r>
        <w:rPr>
          <w:rFonts w:hint="default" w:ascii="Times New Roman" w:hAnsi="Times New Roman" w:eastAsia="宋体" w:cs="Times New Roman"/>
          <w:b w:val="0"/>
          <w:bCs w:val="0"/>
          <w:spacing w:val="0"/>
          <w:sz w:val="24"/>
          <w:lang w:val="en-US" w:eastAsia="zh-CN"/>
        </w:rPr>
        <w:t>目前</w:t>
      </w:r>
      <w:r>
        <w:rPr>
          <w:rFonts w:hint="default" w:ascii="Times New Roman" w:hAnsi="Times New Roman" w:eastAsia="宋体" w:cs="Times New Roman"/>
          <w:b w:val="0"/>
          <w:bCs w:val="0"/>
          <w:spacing w:val="0"/>
          <w:sz w:val="24"/>
        </w:rPr>
        <w:t>大气污染防控形势</w:t>
      </w:r>
      <w:r>
        <w:rPr>
          <w:rFonts w:hint="eastAsia" w:cs="Times New Roman"/>
          <w:b w:val="0"/>
          <w:bCs w:val="0"/>
          <w:spacing w:val="0"/>
          <w:sz w:val="24"/>
          <w:lang w:val="en-US" w:eastAsia="zh-CN"/>
        </w:rPr>
        <w:t>任然</w:t>
      </w:r>
      <w:r>
        <w:rPr>
          <w:rFonts w:hint="default" w:ascii="Times New Roman" w:hAnsi="Times New Roman" w:eastAsia="宋体" w:cs="Times New Roman"/>
          <w:b w:val="0"/>
          <w:bCs w:val="0"/>
          <w:spacing w:val="0"/>
          <w:sz w:val="24"/>
        </w:rPr>
        <w:t>十分严峻，</w:t>
      </w:r>
      <w:r>
        <w:rPr>
          <w:rFonts w:hint="eastAsia" w:cs="Times New Roman"/>
          <w:b w:val="0"/>
          <w:bCs w:val="0"/>
          <w:spacing w:val="0"/>
          <w:sz w:val="24"/>
          <w:lang w:val="en-US" w:eastAsia="zh-CN"/>
        </w:rPr>
        <w:t>沙雅县</w:t>
      </w:r>
      <w:r>
        <w:rPr>
          <w:rFonts w:hint="default" w:ascii="Times New Roman" w:hAnsi="Times New Roman" w:eastAsia="宋体" w:cs="Times New Roman"/>
          <w:b w:val="0"/>
          <w:bCs w:val="0"/>
          <w:spacing w:val="0"/>
          <w:sz w:val="24"/>
        </w:rPr>
        <w:t>环境分局现有的技术力量、人员及设备资源难以满足管控要求。</w:t>
      </w:r>
      <w:r>
        <w:rPr>
          <w:rFonts w:hint="eastAsia" w:cs="Times New Roman"/>
          <w:b w:val="0"/>
          <w:bCs w:val="0"/>
          <w:spacing w:val="0"/>
          <w:sz w:val="24"/>
          <w:lang w:val="en-US" w:eastAsia="zh-CN"/>
        </w:rPr>
        <w:t>为保证生态功能区县域环境空气质量监测的有效性和准确性，确保</w:t>
      </w:r>
      <w:r>
        <w:rPr>
          <w:rFonts w:hint="default" w:ascii="Times New Roman" w:hAnsi="Times New Roman" w:eastAsia="宋体" w:cs="Times New Roman"/>
          <w:b w:val="0"/>
          <w:bCs w:val="0"/>
          <w:spacing w:val="0"/>
          <w:sz w:val="24"/>
        </w:rPr>
        <w:t>打好蓝天保卫战，顺利完成年度大气目标考核任务，需引入</w:t>
      </w:r>
      <w:r>
        <w:rPr>
          <w:rFonts w:hint="eastAsia" w:cs="Times New Roman"/>
          <w:b w:val="0"/>
          <w:bCs w:val="0"/>
          <w:spacing w:val="0"/>
          <w:sz w:val="24"/>
          <w:lang w:val="en-US" w:eastAsia="zh-CN"/>
        </w:rPr>
        <w:t>专业</w:t>
      </w:r>
      <w:r>
        <w:rPr>
          <w:rFonts w:hint="default" w:ascii="Times New Roman" w:hAnsi="Times New Roman" w:eastAsia="宋体" w:cs="Times New Roman"/>
          <w:b w:val="0"/>
          <w:bCs w:val="0"/>
          <w:spacing w:val="0"/>
          <w:sz w:val="24"/>
        </w:rPr>
        <w:t>团队，实施大气管控服务项目</w:t>
      </w:r>
      <w:r>
        <w:rPr>
          <w:rFonts w:hint="eastAsia" w:cs="Times New Roman"/>
          <w:b w:val="0"/>
          <w:bCs w:val="0"/>
          <w:spacing w:val="0"/>
          <w:sz w:val="24"/>
          <w:lang w:eastAsia="zh-CN"/>
        </w:rPr>
        <w:t>，</w:t>
      </w:r>
      <w:r>
        <w:rPr>
          <w:rFonts w:hint="eastAsia" w:cs="Times New Roman"/>
          <w:b w:val="0"/>
          <w:bCs w:val="0"/>
          <w:spacing w:val="0"/>
          <w:sz w:val="24"/>
          <w:lang w:val="en-US" w:eastAsia="zh-CN"/>
        </w:rPr>
        <w:t>共计投资金额为150万元。</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default" w:ascii="Times New Roman" w:hAnsi="Times New Roman" w:eastAsia="宋体" w:cs="Times New Roman"/>
          <w:b w:val="0"/>
          <w:bCs w:val="0"/>
          <w:spacing w:val="0"/>
          <w:sz w:val="24"/>
        </w:rPr>
      </w:pPr>
      <w:r>
        <w:rPr>
          <w:rFonts w:hint="default" w:ascii="Times New Roman" w:hAnsi="Times New Roman" w:eastAsia="宋体" w:cs="Times New Roman"/>
          <w:b w:val="0"/>
          <w:bCs w:val="0"/>
          <w:spacing w:val="0"/>
          <w:sz w:val="24"/>
        </w:rPr>
        <w:t>该项目以持续</w:t>
      </w:r>
      <w:r>
        <w:rPr>
          <w:rFonts w:hint="eastAsia" w:cs="Times New Roman"/>
          <w:b w:val="0"/>
          <w:bCs w:val="0"/>
          <w:spacing w:val="0"/>
          <w:sz w:val="24"/>
          <w:lang w:val="en-US" w:eastAsia="zh-CN"/>
        </w:rPr>
        <w:t>监测</w:t>
      </w:r>
      <w:r>
        <w:rPr>
          <w:rFonts w:hint="default" w:ascii="Times New Roman" w:hAnsi="Times New Roman" w:eastAsia="宋体" w:cs="Times New Roman"/>
          <w:b w:val="0"/>
          <w:bCs w:val="0"/>
          <w:spacing w:val="0"/>
          <w:sz w:val="24"/>
        </w:rPr>
        <w:t>并</w:t>
      </w:r>
      <w:r>
        <w:rPr>
          <w:rFonts w:hint="eastAsia" w:cs="Times New Roman"/>
          <w:b w:val="0"/>
          <w:bCs w:val="0"/>
          <w:spacing w:val="0"/>
          <w:sz w:val="24"/>
          <w:lang w:val="en-US" w:eastAsia="zh-CN"/>
        </w:rPr>
        <w:t>对沙雅县生态</w:t>
      </w:r>
      <w:r>
        <w:rPr>
          <w:rFonts w:hint="default" w:ascii="Times New Roman" w:hAnsi="Times New Roman" w:eastAsia="宋体" w:cs="Times New Roman"/>
          <w:b w:val="0"/>
          <w:bCs w:val="0"/>
          <w:spacing w:val="0"/>
          <w:sz w:val="24"/>
        </w:rPr>
        <w:t>环境质量</w:t>
      </w:r>
      <w:r>
        <w:rPr>
          <w:rFonts w:hint="eastAsia" w:cs="Times New Roman"/>
          <w:b w:val="0"/>
          <w:bCs w:val="0"/>
          <w:spacing w:val="0"/>
          <w:sz w:val="24"/>
          <w:lang w:val="en-US" w:eastAsia="zh-CN"/>
        </w:rPr>
        <w:t>实时监测</w:t>
      </w:r>
      <w:r>
        <w:rPr>
          <w:rFonts w:hint="default" w:ascii="Times New Roman" w:hAnsi="Times New Roman" w:eastAsia="宋体" w:cs="Times New Roman"/>
          <w:b w:val="0"/>
          <w:bCs w:val="0"/>
          <w:spacing w:val="0"/>
          <w:sz w:val="24"/>
        </w:rPr>
        <w:t>为目标，</w:t>
      </w:r>
      <w:r>
        <w:rPr>
          <w:rFonts w:hint="eastAsia" w:cs="Times New Roman"/>
          <w:b w:val="0"/>
          <w:bCs w:val="0"/>
          <w:spacing w:val="0"/>
          <w:sz w:val="24"/>
          <w:lang w:val="en-US" w:eastAsia="zh-CN"/>
        </w:rPr>
        <w:t>并</w:t>
      </w:r>
      <w:r>
        <w:rPr>
          <w:rFonts w:hint="default" w:ascii="Times New Roman" w:hAnsi="Times New Roman" w:eastAsia="宋体" w:cs="Times New Roman"/>
          <w:b w:val="0"/>
          <w:bCs w:val="0"/>
          <w:spacing w:val="0"/>
          <w:sz w:val="24"/>
        </w:rPr>
        <w:t>协同</w:t>
      </w:r>
      <w:r>
        <w:rPr>
          <w:rFonts w:hint="eastAsia" w:cs="Times New Roman"/>
          <w:b w:val="0"/>
          <w:bCs w:val="0"/>
          <w:spacing w:val="0"/>
          <w:sz w:val="24"/>
          <w:lang w:val="en-US" w:eastAsia="zh-CN"/>
        </w:rPr>
        <w:t>分析</w:t>
      </w:r>
      <w:r>
        <w:rPr>
          <w:rFonts w:hint="default" w:ascii="Times New Roman" w:hAnsi="Times New Roman" w:eastAsia="宋体" w:cs="Times New Roman"/>
          <w:b w:val="0"/>
          <w:bCs w:val="0"/>
          <w:spacing w:val="0"/>
          <w:sz w:val="24"/>
        </w:rPr>
        <w:t>细颗粒物和臭氧，构建“科学分析+精细管理”深度融合，“边监测、边分析、边实施、边评估、边完善”的协同创新服务模式，力求做到大气污染防治问题精准、时间精准、区位精准、对象精准、措施精准的工作要求</w:t>
      </w:r>
      <w:r>
        <w:rPr>
          <w:rFonts w:hint="eastAsia" w:cs="Times New Roman"/>
          <w:b w:val="0"/>
          <w:bCs w:val="0"/>
          <w:spacing w:val="0"/>
          <w:sz w:val="24"/>
          <w:lang w:eastAsia="zh-CN"/>
        </w:rPr>
        <w:t>，</w:t>
      </w:r>
      <w:r>
        <w:rPr>
          <w:rFonts w:hint="default" w:ascii="Times New Roman" w:hAnsi="Times New Roman" w:eastAsia="宋体" w:cs="Times New Roman"/>
          <w:b w:val="0"/>
          <w:bCs w:val="0"/>
          <w:spacing w:val="0"/>
          <w:sz w:val="24"/>
        </w:rPr>
        <w:t>一是掌握</w:t>
      </w:r>
      <w:r>
        <w:rPr>
          <w:rFonts w:hint="eastAsia" w:cs="Times New Roman"/>
          <w:b w:val="0"/>
          <w:bCs w:val="0"/>
          <w:spacing w:val="0"/>
          <w:sz w:val="24"/>
          <w:lang w:val="en-US" w:eastAsia="zh-CN"/>
        </w:rPr>
        <w:t>管控</w:t>
      </w:r>
      <w:r>
        <w:rPr>
          <w:rFonts w:hint="default" w:ascii="Times New Roman" w:hAnsi="Times New Roman" w:eastAsia="宋体" w:cs="Times New Roman"/>
          <w:b w:val="0"/>
          <w:bCs w:val="0"/>
          <w:spacing w:val="0"/>
          <w:sz w:val="24"/>
        </w:rPr>
        <w:t>重点区域的主要污染源类型及不同季节污染源变化趋势，二是梳理各类大气污染源，制定大气污染巡查问题管理策略，快速、靶向定位污染源头，</w:t>
      </w:r>
      <w:r>
        <w:rPr>
          <w:rFonts w:hint="default" w:ascii="Times New Roman" w:hAnsi="Times New Roman" w:eastAsia="宋体" w:cs="Times New Roman"/>
          <w:b w:val="0"/>
          <w:bCs w:val="0"/>
          <w:spacing w:val="0"/>
          <w:sz w:val="24"/>
          <w:lang w:val="en-US" w:eastAsia="zh-CN"/>
        </w:rPr>
        <w:t>三</w:t>
      </w:r>
      <w:r>
        <w:rPr>
          <w:rFonts w:hint="default" w:ascii="Times New Roman" w:hAnsi="Times New Roman" w:eastAsia="宋体" w:cs="Times New Roman"/>
          <w:b w:val="0"/>
          <w:bCs w:val="0"/>
          <w:spacing w:val="0"/>
          <w:sz w:val="24"/>
        </w:rPr>
        <w:t>是组建驻场技术团队， 实时盯守数据，依据信息化手段分析结果精确指导污染管控措施制定，对于发现的问题做到“调度—响应—落实—反馈”闭环处理，助力完成目标考核任务，切实改善区域大气环境质量。</w:t>
      </w:r>
    </w:p>
    <w:p>
      <w:pPr>
        <w:keepNext w:val="0"/>
        <w:keepLines w:val="0"/>
        <w:pageBreakBefore w:val="0"/>
        <w:widowControl w:val="0"/>
        <w:kinsoku/>
        <w:wordWrap/>
        <w:overflowPunct/>
        <w:topLinePunct w:val="0"/>
        <w:autoSpaceDE w:val="0"/>
        <w:autoSpaceDN w:val="0"/>
        <w:bidi w:val="0"/>
        <w:adjustRightInd/>
        <w:snapToGrid/>
        <w:spacing w:before="160" w:after="160" w:line="360" w:lineRule="auto"/>
        <w:ind w:left="0" w:leftChars="0" w:right="0" w:firstLine="412" w:firstLineChars="171"/>
        <w:jc w:val="left"/>
        <w:textAlignment w:val="auto"/>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eastAsia="宋体" w:cs="宋体"/>
          <w:b/>
          <w:sz w:val="24"/>
          <w:szCs w:val="24"/>
          <w:lang w:val="en-US" w:eastAsia="zh-CN"/>
        </w:rPr>
        <w:t>三</w:t>
      </w:r>
      <w:r>
        <w:rPr>
          <w:rFonts w:hint="eastAsia" w:ascii="宋体" w:hAnsi="宋体" w:eastAsia="宋体" w:cs="宋体"/>
          <w:b/>
          <w:sz w:val="24"/>
          <w:szCs w:val="24"/>
        </w:rPr>
        <w:t>）服务</w:t>
      </w:r>
      <w:r>
        <w:rPr>
          <w:rFonts w:hint="eastAsia" w:ascii="宋体" w:hAnsi="宋体" w:eastAsia="宋体" w:cs="宋体"/>
          <w:b/>
          <w:sz w:val="24"/>
          <w:szCs w:val="24"/>
          <w:lang w:val="en-US" w:eastAsia="zh-CN"/>
        </w:rPr>
        <w:t>内容</w:t>
      </w:r>
    </w:p>
    <w:p>
      <w:pPr>
        <w:numPr>
          <w:ilvl w:val="0"/>
          <w:numId w:val="6"/>
        </w:numPr>
        <w:spacing w:line="360" w:lineRule="auto"/>
        <w:ind w:left="425" w:leftChars="0" w:hanging="425"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空气质量监测站点建设服务</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Times New Roman" w:hAnsi="Times New Roman" w:eastAsia="宋体" w:cs="Times New Roman"/>
          <w:b w:val="0"/>
          <w:bCs w:val="0"/>
          <w:spacing w:val="0"/>
          <w:sz w:val="24"/>
          <w:lang w:eastAsia="zh-CN"/>
        </w:rPr>
      </w:pPr>
      <w:r>
        <w:rPr>
          <w:rFonts w:hint="eastAsia" w:ascii="Times New Roman" w:hAnsi="Times New Roman" w:eastAsia="宋体" w:cs="Times New Roman"/>
          <w:b w:val="0"/>
          <w:bCs w:val="0"/>
          <w:spacing w:val="0"/>
          <w:sz w:val="24"/>
          <w:lang w:eastAsia="zh-CN"/>
        </w:rPr>
        <w:t>在</w:t>
      </w:r>
      <w:r>
        <w:rPr>
          <w:rFonts w:hint="eastAsia" w:ascii="Times New Roman" w:hAnsi="Times New Roman" w:eastAsia="宋体" w:cs="Times New Roman"/>
          <w:b w:val="0"/>
          <w:bCs w:val="0"/>
          <w:spacing w:val="0"/>
          <w:sz w:val="24"/>
          <w:lang w:val="en-US" w:eastAsia="zh-CN"/>
        </w:rPr>
        <w:t>沙雅县景观河</w:t>
      </w:r>
      <w:r>
        <w:rPr>
          <w:rFonts w:hint="eastAsia" w:ascii="Times New Roman" w:hAnsi="Times New Roman" w:eastAsia="宋体" w:cs="Times New Roman"/>
          <w:b w:val="0"/>
          <w:bCs w:val="0"/>
          <w:spacing w:val="0"/>
          <w:sz w:val="24"/>
          <w:lang w:eastAsia="zh-CN"/>
        </w:rPr>
        <w:t>建设</w:t>
      </w:r>
      <w:r>
        <w:rPr>
          <w:rFonts w:hint="eastAsia" w:ascii="Times New Roman" w:hAnsi="Times New Roman" w:eastAsia="宋体" w:cs="Times New Roman"/>
          <w:b w:val="0"/>
          <w:bCs w:val="0"/>
          <w:spacing w:val="0"/>
          <w:sz w:val="24"/>
          <w:lang w:val="en-US" w:eastAsia="zh-CN"/>
        </w:rPr>
        <w:t>空气质量监测站点</w:t>
      </w:r>
      <w:r>
        <w:rPr>
          <w:rFonts w:hint="eastAsia" w:ascii="Times New Roman" w:hAnsi="Times New Roman" w:eastAsia="宋体" w:cs="Times New Roman"/>
          <w:b w:val="0"/>
          <w:bCs w:val="0"/>
          <w:spacing w:val="0"/>
          <w:sz w:val="24"/>
          <w:lang w:eastAsia="zh-CN"/>
        </w:rPr>
        <w:t>，精准发力，科学治理，形成因地制宜的以“精细化监管”、“短期应急”和“长期改善”为核心的、科学的、定量的、信息化支撑的企业空气污染改善决策支持技术体系，实现周边区域空气质量统筹改善。</w:t>
      </w:r>
      <w:r>
        <w:rPr>
          <w:rFonts w:hint="eastAsia" w:ascii="Times New Roman" w:hAnsi="Times New Roman" w:eastAsia="宋体" w:cs="Times New Roman"/>
          <w:b w:val="0"/>
          <w:bCs w:val="0"/>
          <w:spacing w:val="0"/>
          <w:sz w:val="24"/>
          <w:lang w:val="en-US" w:eastAsia="zh-CN"/>
        </w:rPr>
        <w:t>建设</w:t>
      </w:r>
      <w:r>
        <w:rPr>
          <w:rFonts w:hint="eastAsia" w:ascii="Times New Roman" w:hAnsi="Times New Roman" w:eastAsia="宋体" w:cs="Times New Roman"/>
          <w:b w:val="0"/>
          <w:bCs w:val="0"/>
          <w:spacing w:val="0"/>
          <w:sz w:val="24"/>
          <w:lang w:eastAsia="zh-CN"/>
        </w:rPr>
        <w:t>区域内</w:t>
      </w:r>
      <w:r>
        <w:rPr>
          <w:rFonts w:hint="eastAsia" w:ascii="Times New Roman" w:hAnsi="Times New Roman" w:eastAsia="宋体" w:cs="Times New Roman"/>
          <w:b w:val="0"/>
          <w:bCs w:val="0"/>
          <w:spacing w:val="0"/>
          <w:sz w:val="24"/>
          <w:lang w:val="en-US" w:eastAsia="zh-CN"/>
        </w:rPr>
        <w:t>全覆盖的</w:t>
      </w:r>
      <w:r>
        <w:rPr>
          <w:rFonts w:hint="eastAsia" w:ascii="Times New Roman" w:hAnsi="Times New Roman" w:eastAsia="宋体" w:cs="Times New Roman"/>
          <w:b w:val="0"/>
          <w:bCs w:val="0"/>
          <w:spacing w:val="0"/>
          <w:sz w:val="24"/>
          <w:lang w:eastAsia="zh-CN"/>
        </w:rPr>
        <w:t>大气环境自动监测系统，一方面有利于企业及时采取必要的环保措施，提高环保措施的效率；另一方面可对区域内所存在的环境问题进行改进，降低生产生活带来的环境风险，同时对保护区域大气环境质量也起到积极的作用。</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Times New Roman" w:hAnsi="Times New Roman" w:eastAsia="宋体" w:cs="Times New Roman"/>
          <w:b w:val="0"/>
          <w:bCs w:val="0"/>
          <w:spacing w:val="0"/>
          <w:sz w:val="24"/>
          <w:lang w:eastAsia="zh-CN"/>
        </w:rPr>
      </w:pPr>
      <w:r>
        <w:rPr>
          <w:rFonts w:hint="eastAsia" w:ascii="Times New Roman" w:hAnsi="Times New Roman" w:eastAsia="宋体" w:cs="Times New Roman"/>
          <w:b w:val="0"/>
          <w:bCs w:val="0"/>
          <w:spacing w:val="0"/>
          <w:sz w:val="24"/>
          <w:lang w:eastAsia="zh-CN"/>
        </w:rPr>
        <w:t>建成</w:t>
      </w:r>
      <w:r>
        <w:rPr>
          <w:rFonts w:hint="eastAsia" w:ascii="Times New Roman" w:hAnsi="Times New Roman" w:eastAsia="宋体" w:cs="Times New Roman"/>
          <w:b w:val="0"/>
          <w:bCs w:val="0"/>
          <w:spacing w:val="0"/>
          <w:sz w:val="24"/>
          <w:lang w:val="en-US" w:eastAsia="zh-CN"/>
        </w:rPr>
        <w:t>沙雅县景观河</w:t>
      </w:r>
      <w:r>
        <w:rPr>
          <w:rFonts w:hint="eastAsia" w:ascii="Times New Roman" w:hAnsi="Times New Roman" w:eastAsia="宋体" w:cs="Times New Roman"/>
          <w:b w:val="0"/>
          <w:bCs w:val="0"/>
          <w:spacing w:val="0"/>
          <w:sz w:val="24"/>
          <w:lang w:eastAsia="zh-CN"/>
        </w:rPr>
        <w:t>环境监测系统，24小时实时感知大气污染物浓度和周边环境空气质量情况，做到区域内大气环境自动监测系统全覆盖，尽快实现“监测无空白”目标要求，全面掌握周边环境变化趋势，同时发出监测预警，精准锁定重点污染区域。</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Times New Roman" w:hAnsi="Times New Roman" w:eastAsia="宋体" w:cs="Times New Roman"/>
          <w:b w:val="0"/>
          <w:bCs w:val="0"/>
          <w:spacing w:val="0"/>
          <w:sz w:val="24"/>
          <w:lang w:eastAsia="zh-CN"/>
        </w:rPr>
      </w:pPr>
      <w:r>
        <w:rPr>
          <w:rFonts w:hint="eastAsia" w:ascii="Times New Roman" w:hAnsi="Times New Roman" w:eastAsia="宋体" w:cs="Times New Roman"/>
          <w:b w:val="0"/>
          <w:bCs w:val="0"/>
          <w:spacing w:val="0"/>
          <w:sz w:val="24"/>
          <w:lang w:eastAsia="zh-CN"/>
        </w:rPr>
        <w:t>利用平台数据进行精准分析，通过互联网整合各个监测设备数据，利用云计算、大数据等技术进行分析研究，精确掌握该区域的污染物浓度数据和环境空气质量状况，实时环境空气质量动态评估，为科学治污以及大气污染防治量化考核提供依据。</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sz w:val="24"/>
          <w:szCs w:val="24"/>
          <w:lang w:eastAsia="zh-CN"/>
        </w:rPr>
      </w:pPr>
      <w:r>
        <w:rPr>
          <w:rFonts w:hint="eastAsia" w:ascii="Times New Roman" w:hAnsi="Times New Roman" w:eastAsia="宋体" w:cs="Times New Roman"/>
          <w:b w:val="0"/>
          <w:bCs w:val="0"/>
          <w:spacing w:val="0"/>
          <w:sz w:val="24"/>
          <w:lang w:eastAsia="zh-CN"/>
        </w:rPr>
        <w:t>利用科学、准确的监测数据，为评价和考核区域的环境治理的效果提供有力支撑，更好落实本政府污染治理与监管机制。</w:t>
      </w:r>
    </w:p>
    <w:p>
      <w:pPr>
        <w:numPr>
          <w:ilvl w:val="0"/>
          <w:numId w:val="6"/>
        </w:numPr>
        <w:spacing w:line="360" w:lineRule="auto"/>
        <w:ind w:left="425" w:leftChars="0" w:hanging="425"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监测可视化软件系统</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Times New Roman" w:hAnsi="Times New Roman" w:eastAsia="宋体" w:cs="Times New Roman"/>
          <w:b w:val="0"/>
          <w:bCs w:val="0"/>
          <w:spacing w:val="0"/>
          <w:sz w:val="24"/>
          <w:lang w:val="en-US" w:eastAsia="zh-CN"/>
        </w:rPr>
      </w:pPr>
      <w:r>
        <w:rPr>
          <w:rFonts w:hint="eastAsia" w:ascii="Times New Roman" w:hAnsi="Times New Roman" w:eastAsia="宋体" w:cs="Times New Roman"/>
          <w:b w:val="0"/>
          <w:bCs w:val="0"/>
          <w:spacing w:val="0"/>
          <w:sz w:val="24"/>
          <w:lang w:val="en-US" w:eastAsia="zh-CN"/>
        </w:rPr>
        <w:t>通过空气质量监测系统平台，建立环境空气质量大数据库，对多种污染物进行综合分析，全面掌握污染物实时分布的浓度、形成的原因、传播过程及演化规律，通过构建污染物传播过程实时演化与污染源追踪数学模型，提供突发排放污染追踪、污染源在线源解析和长期达标规划等服务。</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Times New Roman" w:hAnsi="Times New Roman" w:eastAsia="宋体" w:cs="Times New Roman"/>
          <w:b w:val="0"/>
          <w:bCs w:val="0"/>
          <w:spacing w:val="0"/>
          <w:sz w:val="24"/>
          <w:lang w:val="en-US" w:eastAsia="zh-CN"/>
        </w:rPr>
      </w:pPr>
      <w:r>
        <w:rPr>
          <w:rFonts w:hint="eastAsia" w:ascii="Times New Roman" w:hAnsi="Times New Roman" w:eastAsia="宋体" w:cs="Times New Roman"/>
          <w:b w:val="0"/>
          <w:bCs w:val="0"/>
          <w:spacing w:val="0"/>
          <w:sz w:val="24"/>
          <w:lang w:val="en-US" w:eastAsia="zh-CN"/>
        </w:rPr>
        <w:t>实现大气环境质量监测、污染排放信息、管理人员的系统化全面化管理。</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Times New Roman" w:hAnsi="Times New Roman" w:eastAsia="宋体" w:cs="Times New Roman"/>
          <w:b w:val="0"/>
          <w:bCs w:val="0"/>
          <w:spacing w:val="0"/>
          <w:sz w:val="24"/>
          <w:lang w:val="en-US" w:eastAsia="zh-CN"/>
        </w:rPr>
      </w:pPr>
      <w:r>
        <w:rPr>
          <w:rFonts w:hint="eastAsia" w:ascii="Times New Roman" w:hAnsi="Times New Roman" w:eastAsia="宋体" w:cs="Times New Roman"/>
          <w:b w:val="0"/>
          <w:bCs w:val="0"/>
          <w:spacing w:val="0"/>
          <w:sz w:val="24"/>
          <w:lang w:val="en-US" w:eastAsia="zh-CN"/>
        </w:rPr>
        <w:t>区域内空气质量分布情况、污染排放情况、重污染处置情况通过“一张图”展现，一目了然。</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sz w:val="24"/>
          <w:szCs w:val="24"/>
          <w:lang w:val="zh-CN" w:eastAsia="zh-TW"/>
        </w:rPr>
      </w:pPr>
      <w:r>
        <w:rPr>
          <w:rFonts w:hint="eastAsia" w:ascii="Times New Roman" w:hAnsi="Times New Roman" w:eastAsia="宋体" w:cs="Times New Roman"/>
          <w:b w:val="0"/>
          <w:bCs w:val="0"/>
          <w:spacing w:val="0"/>
          <w:sz w:val="24"/>
          <w:lang w:val="en-US" w:eastAsia="zh-CN"/>
        </w:rPr>
        <w:t>实现监测与管理的联动与闭环管理；监测与监管执法联动快速响应机制，根据污染物排放和自动报警信息，实施现场同步监测与执法；监测与评价结果，为落实本区域环境质量改善、污染防治、主要污染物排放总量控制、生态保护等职责任务提供科学依据和技术支撑。</w:t>
      </w:r>
    </w:p>
    <w:p>
      <w:pPr>
        <w:numPr>
          <w:ilvl w:val="0"/>
          <w:numId w:val="6"/>
        </w:numPr>
        <w:spacing w:line="360" w:lineRule="auto"/>
        <w:ind w:left="425" w:leftChars="0" w:hanging="425" w:firstLineChars="0"/>
        <w:rPr>
          <w:rFonts w:hint="default" w:ascii="Times New Roman" w:hAnsi="Times New Roman" w:eastAsia="宋体" w:cs="宋体"/>
          <w:b/>
          <w:bCs/>
          <w:sz w:val="24"/>
          <w:szCs w:val="24"/>
          <w:lang w:val="en-US" w:eastAsia="zh-CN"/>
        </w:rPr>
      </w:pPr>
      <w:r>
        <w:rPr>
          <w:rFonts w:hint="default" w:ascii="Times New Roman" w:hAnsi="Times New Roman" w:eastAsia="宋体" w:cs="宋体"/>
          <w:b/>
          <w:bCs/>
          <w:sz w:val="24"/>
          <w:szCs w:val="24"/>
          <w:lang w:val="en-US" w:eastAsia="zh-CN"/>
        </w:rPr>
        <w:t>巡查服务</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default" w:ascii="Times New Roman" w:hAnsi="Times New Roman" w:eastAsia="宋体" w:cs="Times New Roman"/>
          <w:b w:val="0"/>
          <w:bCs w:val="0"/>
          <w:spacing w:val="0"/>
          <w:sz w:val="24"/>
        </w:rPr>
      </w:pPr>
      <w:r>
        <w:rPr>
          <w:rFonts w:hint="default" w:ascii="Times New Roman" w:hAnsi="Times New Roman" w:eastAsia="宋体" w:cs="Times New Roman"/>
          <w:b w:val="0"/>
          <w:bCs w:val="0"/>
          <w:spacing w:val="0"/>
          <w:sz w:val="24"/>
        </w:rPr>
        <w:t>根据管理需要，在</w:t>
      </w:r>
      <w:r>
        <w:rPr>
          <w:rFonts w:hint="eastAsia" w:cs="Times New Roman"/>
          <w:b w:val="0"/>
          <w:bCs w:val="0"/>
          <w:spacing w:val="0"/>
          <w:sz w:val="24"/>
          <w:lang w:val="en-US" w:eastAsia="zh-CN"/>
        </w:rPr>
        <w:t>周边排污</w:t>
      </w:r>
      <w:r>
        <w:rPr>
          <w:rFonts w:hint="default" w:ascii="Times New Roman" w:hAnsi="Times New Roman" w:eastAsia="宋体" w:cs="Times New Roman"/>
          <w:b w:val="0"/>
          <w:bCs w:val="0"/>
          <w:spacing w:val="0"/>
          <w:sz w:val="24"/>
        </w:rPr>
        <w:t>企业</w:t>
      </w:r>
      <w:r>
        <w:rPr>
          <w:rFonts w:hint="eastAsia" w:cs="Times New Roman"/>
          <w:b w:val="0"/>
          <w:bCs w:val="0"/>
          <w:spacing w:val="0"/>
          <w:sz w:val="24"/>
          <w:lang w:val="en-US" w:eastAsia="zh-CN"/>
        </w:rPr>
        <w:t>及公共环境情况</w:t>
      </w:r>
      <w:r>
        <w:rPr>
          <w:rFonts w:hint="default" w:ascii="Times New Roman" w:hAnsi="Times New Roman" w:eastAsia="宋体" w:cs="Times New Roman"/>
          <w:b w:val="0"/>
          <w:bCs w:val="0"/>
          <w:spacing w:val="0"/>
          <w:sz w:val="24"/>
        </w:rPr>
        <w:t>开展核查</w:t>
      </w:r>
      <w:r>
        <w:rPr>
          <w:rFonts w:hint="eastAsia" w:cs="Times New Roman"/>
          <w:b w:val="0"/>
          <w:bCs w:val="0"/>
          <w:spacing w:val="0"/>
          <w:sz w:val="24"/>
          <w:lang w:val="en-US" w:eastAsia="zh-CN"/>
        </w:rPr>
        <w:t>分析</w:t>
      </w:r>
      <w:r>
        <w:rPr>
          <w:rFonts w:hint="default" w:ascii="Times New Roman" w:hAnsi="Times New Roman" w:eastAsia="宋体" w:cs="Times New Roman"/>
          <w:b w:val="0"/>
          <w:bCs w:val="0"/>
          <w:spacing w:val="0"/>
          <w:sz w:val="24"/>
        </w:rPr>
        <w:t>工作。主要内容包括</w:t>
      </w:r>
      <w:r>
        <w:rPr>
          <w:rFonts w:hint="eastAsia" w:cs="Times New Roman"/>
          <w:b w:val="0"/>
          <w:bCs w:val="0"/>
          <w:spacing w:val="0"/>
          <w:sz w:val="24"/>
          <w:lang w:val="en-US" w:eastAsia="zh-CN"/>
        </w:rPr>
        <w:t>公共环境变化评估分析数据变化原因，对</w:t>
      </w:r>
      <w:r>
        <w:rPr>
          <w:rFonts w:hint="default" w:ascii="Times New Roman" w:hAnsi="Times New Roman" w:eastAsia="宋体" w:cs="Times New Roman"/>
          <w:b w:val="0"/>
          <w:bCs w:val="0"/>
          <w:spacing w:val="0"/>
          <w:sz w:val="24"/>
        </w:rPr>
        <w:t>企业现状评估、结合企业污染治理存在的问题，提出整改治理建议，指导治理及提标改造。</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default"/>
        </w:rPr>
      </w:pPr>
      <w:r>
        <w:rPr>
          <w:rFonts w:hint="default" w:ascii="Times New Roman" w:hAnsi="Times New Roman" w:eastAsia="宋体" w:cs="Times New Roman"/>
          <w:b w:val="0"/>
          <w:bCs w:val="0"/>
          <w:spacing w:val="0"/>
          <w:sz w:val="24"/>
        </w:rPr>
        <w:t>根据各</w:t>
      </w:r>
      <w:r>
        <w:rPr>
          <w:rFonts w:hint="eastAsia" w:cs="Times New Roman"/>
          <w:b w:val="0"/>
          <w:bCs w:val="0"/>
          <w:spacing w:val="0"/>
          <w:sz w:val="24"/>
          <w:lang w:val="en-US" w:eastAsia="zh-CN"/>
        </w:rPr>
        <w:t>排污</w:t>
      </w:r>
      <w:r>
        <w:rPr>
          <w:rFonts w:hint="default" w:ascii="Times New Roman" w:hAnsi="Times New Roman" w:eastAsia="宋体" w:cs="Times New Roman"/>
          <w:b w:val="0"/>
          <w:bCs w:val="0"/>
          <w:spacing w:val="0"/>
          <w:sz w:val="24"/>
        </w:rPr>
        <w:t>企业自身工艺装备技术水平、污染物排放现状， 制定针对性、有效适用的污染物深度控制技术路线，采取源头控制、精细化管理、优化生产过程、提标改造、末端深度治理、污染排放控制水平技术评估与差别化管控等手段，系统、全面地提升和改进对大气污染物的减排效果。</w:t>
      </w:r>
    </w:p>
    <w:p>
      <w:pPr>
        <w:numPr>
          <w:ilvl w:val="0"/>
          <w:numId w:val="6"/>
        </w:numPr>
        <w:spacing w:line="360" w:lineRule="auto"/>
        <w:ind w:left="425" w:leftChars="0" w:hanging="425" w:firstLineChars="0"/>
        <w:rPr>
          <w:rFonts w:hint="default" w:ascii="Times New Roman" w:hAnsi="Times New Roman" w:eastAsia="宋体" w:cs="宋体"/>
          <w:b/>
          <w:bCs/>
          <w:lang w:val="en-US" w:eastAsia="zh-CN"/>
        </w:rPr>
      </w:pPr>
      <w:r>
        <w:rPr>
          <w:rFonts w:hint="default" w:ascii="Times New Roman" w:hAnsi="Times New Roman" w:eastAsia="宋体" w:cs="宋体"/>
          <w:b/>
          <w:bCs/>
          <w:lang w:val="en-US" w:eastAsia="zh-CN"/>
        </w:rPr>
        <w:t>大气污染复盘基础支撑服务</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default"/>
        </w:rPr>
      </w:pPr>
      <w:r>
        <w:rPr>
          <w:rFonts w:hint="default" w:ascii="Times New Roman" w:hAnsi="Times New Roman" w:eastAsia="宋体" w:cs="Times New Roman"/>
          <w:b w:val="0"/>
          <w:bCs w:val="0"/>
          <w:spacing w:val="0"/>
          <w:sz w:val="24"/>
        </w:rPr>
        <w:t>结合制约</w:t>
      </w:r>
      <w:r>
        <w:rPr>
          <w:rFonts w:hint="eastAsia" w:cs="Times New Roman"/>
          <w:b w:val="0"/>
          <w:bCs w:val="0"/>
          <w:spacing w:val="0"/>
          <w:sz w:val="24"/>
          <w:lang w:val="en-US" w:eastAsia="zh-CN"/>
        </w:rPr>
        <w:t>县</w:t>
      </w:r>
      <w:r>
        <w:rPr>
          <w:rFonts w:hint="default" w:ascii="Times New Roman" w:hAnsi="Times New Roman" w:eastAsia="宋体" w:cs="Times New Roman"/>
          <w:b w:val="0"/>
          <w:bCs w:val="0"/>
          <w:spacing w:val="0"/>
          <w:sz w:val="24"/>
        </w:rPr>
        <w:t>区空气质量目标完成的重点时段、重点区域、重点因子和重点对象等，借助</w:t>
      </w:r>
      <w:r>
        <w:rPr>
          <w:rFonts w:hint="eastAsia" w:ascii="Times New Roman" w:hAnsi="Times New Roman" w:eastAsia="宋体" w:cs="Times New Roman"/>
          <w:b w:val="0"/>
          <w:bCs w:val="0"/>
          <w:spacing w:val="0"/>
          <w:sz w:val="24"/>
          <w:lang w:val="en-US" w:eastAsia="zh-CN"/>
        </w:rPr>
        <w:t>空气站</w:t>
      </w:r>
      <w:r>
        <w:rPr>
          <w:rFonts w:hint="eastAsia" w:cs="Times New Roman"/>
          <w:b w:val="0"/>
          <w:bCs w:val="0"/>
          <w:spacing w:val="0"/>
          <w:sz w:val="24"/>
          <w:lang w:val="en-US" w:eastAsia="zh-CN"/>
        </w:rPr>
        <w:t>监</w:t>
      </w:r>
      <w:r>
        <w:rPr>
          <w:rFonts w:hint="eastAsia" w:ascii="Times New Roman" w:hAnsi="Times New Roman" w:eastAsia="宋体" w:cs="Times New Roman"/>
          <w:b w:val="0"/>
          <w:bCs w:val="0"/>
          <w:spacing w:val="0"/>
          <w:sz w:val="24"/>
          <w:lang w:val="en-US" w:eastAsia="zh-CN"/>
        </w:rPr>
        <w:t>测设备</w:t>
      </w:r>
      <w:r>
        <w:rPr>
          <w:rFonts w:hint="default" w:ascii="Times New Roman" w:hAnsi="Times New Roman" w:eastAsia="宋体" w:cs="Times New Roman"/>
          <w:b w:val="0"/>
          <w:bCs w:val="0"/>
          <w:spacing w:val="0"/>
          <w:sz w:val="24"/>
        </w:rPr>
        <w:t>等手段，形成</w:t>
      </w:r>
      <w:r>
        <w:rPr>
          <w:rFonts w:hint="eastAsia" w:ascii="Times New Roman" w:hAnsi="Times New Roman" w:eastAsia="宋体" w:cs="Times New Roman"/>
          <w:b w:val="0"/>
          <w:bCs w:val="0"/>
          <w:spacing w:val="0"/>
          <w:sz w:val="24"/>
          <w:lang w:val="en-US" w:eastAsia="zh-CN"/>
        </w:rPr>
        <w:t>监测</w:t>
      </w:r>
      <w:r>
        <w:rPr>
          <w:rFonts w:hint="default" w:ascii="Times New Roman" w:hAnsi="Times New Roman" w:eastAsia="宋体" w:cs="Times New Roman"/>
          <w:b w:val="0"/>
          <w:bCs w:val="0"/>
          <w:spacing w:val="0"/>
          <w:sz w:val="24"/>
        </w:rPr>
        <w:t>周报并填写交办单向有关单位进行交办。对</w:t>
      </w:r>
      <w:r>
        <w:rPr>
          <w:rFonts w:hint="eastAsia" w:ascii="Times New Roman" w:hAnsi="Times New Roman" w:eastAsia="宋体" w:cs="Times New Roman"/>
          <w:b w:val="0"/>
          <w:bCs w:val="0"/>
          <w:spacing w:val="0"/>
          <w:sz w:val="24"/>
          <w:lang w:val="en-US" w:eastAsia="zh-CN"/>
        </w:rPr>
        <w:t>站点</w:t>
      </w:r>
      <w:r>
        <w:rPr>
          <w:rFonts w:hint="default" w:ascii="Times New Roman" w:hAnsi="Times New Roman" w:eastAsia="宋体" w:cs="Times New Roman"/>
          <w:b w:val="0"/>
          <w:bCs w:val="0"/>
          <w:spacing w:val="0"/>
          <w:sz w:val="24"/>
        </w:rPr>
        <w:t>的异常情况给出分析异常原因建议，提出监管意见。管控建议、</w:t>
      </w:r>
      <w:r>
        <w:rPr>
          <w:rFonts w:hint="eastAsia" w:ascii="Times New Roman" w:hAnsi="Times New Roman" w:eastAsia="宋体" w:cs="Times New Roman"/>
          <w:b w:val="0"/>
          <w:bCs w:val="0"/>
          <w:spacing w:val="0"/>
          <w:sz w:val="24"/>
          <w:lang w:val="en-US" w:eastAsia="zh-CN"/>
        </w:rPr>
        <w:t>异常</w:t>
      </w:r>
      <w:r>
        <w:rPr>
          <w:rFonts w:hint="default" w:ascii="Times New Roman" w:hAnsi="Times New Roman" w:eastAsia="宋体" w:cs="Times New Roman"/>
          <w:b w:val="0"/>
          <w:bCs w:val="0"/>
          <w:spacing w:val="0"/>
          <w:sz w:val="24"/>
        </w:rPr>
        <w:t>通报信息及时发送给</w:t>
      </w:r>
      <w:r>
        <w:rPr>
          <w:rFonts w:hint="eastAsia" w:cs="Times New Roman"/>
          <w:b w:val="0"/>
          <w:bCs w:val="0"/>
          <w:spacing w:val="0"/>
          <w:sz w:val="24"/>
          <w:lang w:val="en-US" w:eastAsia="zh-CN"/>
        </w:rPr>
        <w:t>相关部门</w:t>
      </w:r>
      <w:r>
        <w:rPr>
          <w:rFonts w:hint="default" w:ascii="Times New Roman" w:hAnsi="Times New Roman" w:eastAsia="宋体" w:cs="Times New Roman"/>
          <w:b w:val="0"/>
          <w:bCs w:val="0"/>
          <w:spacing w:val="0"/>
          <w:sz w:val="24"/>
        </w:rPr>
        <w:t>，供管理人员实时掌握最新信息，相关领导可根据这些实时信息确定实时管控方向，做出调度决定。</w:t>
      </w:r>
    </w:p>
    <w:p>
      <w:pPr>
        <w:numPr>
          <w:ilvl w:val="0"/>
          <w:numId w:val="6"/>
        </w:numPr>
        <w:spacing w:line="360" w:lineRule="auto"/>
        <w:ind w:left="425" w:leftChars="0" w:hanging="425" w:firstLineChars="0"/>
        <w:rPr>
          <w:rFonts w:hint="default" w:ascii="Times New Roman" w:hAnsi="Times New Roman" w:eastAsia="宋体" w:cs="宋体"/>
          <w:b/>
          <w:bCs/>
          <w:lang w:val="en-US" w:eastAsia="zh-CN"/>
        </w:rPr>
      </w:pPr>
      <w:r>
        <w:rPr>
          <w:rFonts w:hint="default" w:ascii="Times New Roman" w:hAnsi="Times New Roman" w:eastAsia="宋体" w:cs="宋体"/>
          <w:b/>
          <w:bCs/>
          <w:lang w:val="en-US" w:eastAsia="zh-CN"/>
        </w:rPr>
        <w:t>多维度数据监控预警服务</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default"/>
        </w:rPr>
      </w:pPr>
      <w:r>
        <w:rPr>
          <w:rFonts w:hint="default" w:ascii="Times New Roman" w:hAnsi="Times New Roman" w:eastAsia="宋体" w:cs="Times New Roman"/>
          <w:b w:val="0"/>
          <w:bCs w:val="0"/>
          <w:spacing w:val="0"/>
          <w:sz w:val="24"/>
          <w:highlight w:val="none"/>
        </w:rPr>
        <w:t>须组建</w:t>
      </w:r>
      <w:r>
        <w:rPr>
          <w:rFonts w:hint="eastAsia" w:cs="Times New Roman"/>
          <w:b w:val="0"/>
          <w:bCs w:val="0"/>
          <w:spacing w:val="0"/>
          <w:sz w:val="24"/>
          <w:highlight w:val="none"/>
          <w:lang w:val="en-US" w:eastAsia="zh-CN"/>
        </w:rPr>
        <w:t>专业技术团队</w:t>
      </w:r>
      <w:r>
        <w:rPr>
          <w:rFonts w:hint="default" w:ascii="Times New Roman" w:hAnsi="Times New Roman" w:eastAsia="宋体" w:cs="Times New Roman"/>
          <w:b w:val="0"/>
          <w:bCs w:val="0"/>
          <w:spacing w:val="0"/>
          <w:sz w:val="24"/>
          <w:highlight w:val="none"/>
        </w:rPr>
        <w:t>驻场，需包括项目负责人、数据分析师和驻点排查人员，服务期内须服从采购人管理，未经采购人同意不得擅自离岗。</w:t>
      </w:r>
      <w:r>
        <w:rPr>
          <w:rFonts w:hint="default" w:ascii="Times New Roman" w:hAnsi="Times New Roman" w:eastAsia="宋体" w:cs="Times New Roman"/>
          <w:b w:val="0"/>
          <w:bCs w:val="0"/>
          <w:spacing w:val="0"/>
          <w:sz w:val="24"/>
        </w:rPr>
        <w:t>技术团队基于空气质量监测数据，通过环境大数据分析和空气质量模型等多元模型分析，总结分析管控区域内每日、每周、每月、每季和每年的空气质量情况，抓准污染症结，快速诊断污染物排放趋势，追溯重点污染区域及重点污染源，以问题导向做好分析，以结果导向做好研判，结合实际情况给出科学精准的管控指导建议，形成空气质量研判分析周报、月报、季报、年报等，或根据需求不定期形成总结汇报。</w:t>
      </w:r>
    </w:p>
    <w:p>
      <w:pPr>
        <w:numPr>
          <w:ilvl w:val="0"/>
          <w:numId w:val="6"/>
        </w:numPr>
        <w:spacing w:line="360" w:lineRule="auto"/>
        <w:ind w:left="425" w:leftChars="0" w:hanging="425" w:firstLineChars="0"/>
        <w:rPr>
          <w:rFonts w:hint="default" w:ascii="Times New Roman" w:hAnsi="Times New Roman" w:eastAsia="宋体" w:cs="宋体"/>
          <w:b/>
          <w:bCs/>
          <w:sz w:val="24"/>
          <w:szCs w:val="24"/>
          <w:lang w:val="en-US" w:eastAsia="zh-CN"/>
        </w:rPr>
      </w:pPr>
      <w:r>
        <w:rPr>
          <w:rFonts w:hint="default" w:ascii="Times New Roman" w:hAnsi="Times New Roman" w:eastAsia="宋体" w:cs="宋体"/>
          <w:b/>
          <w:bCs/>
          <w:sz w:val="24"/>
          <w:szCs w:val="24"/>
          <w:lang w:val="en-US" w:eastAsia="zh-CN"/>
        </w:rPr>
        <w:t xml:space="preserve">研判分析服务 </w:t>
      </w:r>
    </w:p>
    <w:p>
      <w:pPr>
        <w:pStyle w:val="8"/>
        <w:numPr>
          <w:ilvl w:val="0"/>
          <w:numId w:val="7"/>
        </w:numPr>
        <w:spacing w:line="360" w:lineRule="auto"/>
        <w:ind w:left="425" w:leftChars="0" w:right="5520" w:rightChars="0" w:hanging="425" w:firstLineChars="0"/>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日常研判分析服务</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default" w:ascii="Times New Roman" w:hAnsi="Times New Roman" w:eastAsia="宋体" w:cs="Times New Roman"/>
          <w:b w:val="0"/>
          <w:bCs w:val="0"/>
          <w:spacing w:val="0"/>
          <w:sz w:val="24"/>
        </w:rPr>
      </w:pPr>
      <w:r>
        <w:rPr>
          <w:rFonts w:hint="default" w:ascii="Times New Roman" w:hAnsi="Times New Roman" w:eastAsia="宋体" w:cs="Times New Roman"/>
          <w:b w:val="0"/>
          <w:bCs w:val="0"/>
          <w:spacing w:val="0"/>
          <w:sz w:val="24"/>
        </w:rPr>
        <w:t>技术团队人员每天基于小时数据、分钟数据，结合实时监测数据、历史监测数据、气象数据、污染源数据等进行动态空气质量研判分析， 根据分析结果迅速</w:t>
      </w:r>
      <w:r>
        <w:rPr>
          <w:rFonts w:hint="eastAsia" w:cs="Times New Roman"/>
          <w:b w:val="0"/>
          <w:bCs w:val="0"/>
          <w:spacing w:val="0"/>
          <w:sz w:val="24"/>
          <w:lang w:val="en-US" w:eastAsia="zh-CN"/>
        </w:rPr>
        <w:t>汇总上报至相关环保部门，配合</w:t>
      </w:r>
      <w:r>
        <w:rPr>
          <w:rFonts w:hint="default" w:ascii="Times New Roman" w:hAnsi="Times New Roman" w:eastAsia="宋体" w:cs="Times New Roman"/>
          <w:b w:val="0"/>
          <w:bCs w:val="0"/>
          <w:spacing w:val="0"/>
          <w:sz w:val="24"/>
        </w:rPr>
        <w:t>排查管</w:t>
      </w:r>
      <w:r>
        <w:rPr>
          <w:rFonts w:hint="default" w:ascii="Times New Roman" w:hAnsi="Times New Roman" w:eastAsia="宋体" w:cs="Times New Roman"/>
          <w:b w:val="0"/>
          <w:bCs w:val="0"/>
          <w:spacing w:val="-11"/>
        </w:rPr>
        <w:t>控</w:t>
      </w:r>
      <w:r>
        <w:rPr>
          <w:rFonts w:hint="default" w:ascii="Times New Roman" w:hAnsi="Times New Roman" w:eastAsia="宋体" w:cs="Times New Roman"/>
          <w:b w:val="0"/>
          <w:bCs w:val="0"/>
          <w:spacing w:val="0"/>
          <w:sz w:val="24"/>
        </w:rPr>
        <w:t>，减少污染</w:t>
      </w:r>
      <w:r>
        <w:rPr>
          <w:rFonts w:hint="eastAsia" w:ascii="Times New Roman" w:hAnsi="Times New Roman" w:eastAsia="宋体" w:cs="Times New Roman"/>
          <w:b w:val="0"/>
          <w:bCs w:val="0"/>
          <w:spacing w:val="0"/>
          <w:sz w:val="24"/>
          <w:lang w:val="en-US" w:eastAsia="zh-CN"/>
        </w:rPr>
        <w:t>排放</w:t>
      </w:r>
      <w:r>
        <w:rPr>
          <w:rFonts w:hint="default" w:ascii="Times New Roman" w:hAnsi="Times New Roman" w:eastAsia="宋体" w:cs="Times New Roman"/>
          <w:b w:val="0"/>
          <w:bCs w:val="0"/>
          <w:spacing w:val="0"/>
          <w:sz w:val="24"/>
        </w:rPr>
        <w:t>。结合其他平台多模式预测结果进行综合分析，跟踪观测气象条件变化趋势，若有突发状况发生，及时发布预警通知，通过详细研判多项污染物变化、气象数据、巡查发现问题等，编写指导性建议，迅速在工作群中发布管控指令， 指导各单位立即排查管控，尽可能减轻不利气象条件对我区空气质量的影响。</w:t>
      </w:r>
    </w:p>
    <w:p>
      <w:pPr>
        <w:pStyle w:val="8"/>
        <w:numPr>
          <w:ilvl w:val="0"/>
          <w:numId w:val="7"/>
        </w:numPr>
        <w:spacing w:line="360" w:lineRule="auto"/>
        <w:ind w:left="425" w:leftChars="0" w:right="5520" w:rightChars="0" w:hanging="425" w:firstLineChars="0"/>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专项研判分析服务</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default" w:ascii="Times New Roman" w:hAnsi="Times New Roman" w:eastAsia="宋体" w:cs="Times New Roman"/>
          <w:b w:val="0"/>
          <w:bCs w:val="0"/>
          <w:spacing w:val="0"/>
          <w:sz w:val="24"/>
        </w:rPr>
      </w:pPr>
      <w:r>
        <w:rPr>
          <w:rFonts w:hint="default" w:ascii="Times New Roman" w:hAnsi="Times New Roman" w:eastAsia="宋体" w:cs="Times New Roman"/>
          <w:b w:val="0"/>
          <w:bCs w:val="0"/>
          <w:spacing w:val="0"/>
          <w:sz w:val="24"/>
        </w:rPr>
        <w:t>针对各项专项管控建议中明确的各部门重点工作或按照应急管控的相关要求，对施工扬尘管控、道路扬尘防治、重点</w:t>
      </w:r>
      <w:r>
        <w:rPr>
          <w:rFonts w:hint="eastAsia" w:ascii="Times New Roman" w:hAnsi="Times New Roman" w:eastAsia="宋体" w:cs="Times New Roman"/>
          <w:b w:val="0"/>
          <w:bCs w:val="0"/>
          <w:spacing w:val="0"/>
          <w:sz w:val="24"/>
          <w:lang w:val="en-US" w:eastAsia="zh-CN"/>
        </w:rPr>
        <w:t>企业排放</w:t>
      </w:r>
      <w:r>
        <w:rPr>
          <w:rFonts w:hint="default" w:ascii="Times New Roman" w:hAnsi="Times New Roman" w:eastAsia="宋体" w:cs="Times New Roman"/>
          <w:b w:val="0"/>
          <w:bCs w:val="0"/>
          <w:spacing w:val="0"/>
          <w:sz w:val="24"/>
        </w:rPr>
        <w:t>治理等措施落实情况进行专项核查，总结问题并形成问题台账，交办责任单位。</w:t>
      </w:r>
    </w:p>
    <w:p>
      <w:pPr>
        <w:ind w:left="0" w:leftChars="0" w:firstLine="0" w:firstLineChars="0"/>
        <w:rPr>
          <w:rFonts w:hint="default" w:ascii="Times New Roman" w:hAnsi="Times New Roman" w:eastAsia="宋体" w:cs="Times New Roman"/>
          <w:b w:val="0"/>
          <w:bCs w:val="0"/>
          <w:spacing w:val="0"/>
          <w:sz w:val="24"/>
        </w:rPr>
      </w:pPr>
    </w:p>
    <w:p>
      <w:pPr>
        <w:numPr>
          <w:ilvl w:val="0"/>
          <w:numId w:val="6"/>
        </w:numPr>
        <w:ind w:left="425" w:leftChars="0" w:hanging="425" w:firstLineChars="0"/>
        <w:rPr>
          <w:rFonts w:hint="default" w:ascii="Times New Roman" w:hAnsi="Times New Roman" w:eastAsia="宋体" w:cs="宋体"/>
          <w:b/>
          <w:bCs/>
          <w:lang w:val="en-US" w:eastAsia="zh-CN"/>
        </w:rPr>
      </w:pPr>
      <w:r>
        <w:rPr>
          <w:rFonts w:hint="eastAsia" w:ascii="Times New Roman" w:hAnsi="Times New Roman" w:eastAsia="宋体" w:cs="宋体"/>
          <w:b/>
          <w:bCs/>
          <w:lang w:val="en-US" w:eastAsia="zh-CN"/>
        </w:rPr>
        <w:t>运维服务要求</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default" w:ascii="Times New Roman" w:hAnsi="Times New Roman" w:eastAsia="宋体" w:cs="Times New Roman"/>
          <w:b w:val="0"/>
          <w:bCs w:val="0"/>
          <w:spacing w:val="0"/>
          <w:sz w:val="24"/>
        </w:rPr>
      </w:pPr>
      <w:r>
        <w:rPr>
          <w:rFonts w:hint="default" w:ascii="Times New Roman" w:hAnsi="Times New Roman" w:eastAsia="宋体" w:cs="Times New Roman"/>
          <w:b w:val="0"/>
          <w:bCs w:val="0"/>
          <w:spacing w:val="0"/>
          <w:sz w:val="24"/>
        </w:rPr>
        <w:t>运维服务范围为：包括监测仪器、气象仪器和辅助设备设施三部分。其中，监测仪器包括SO2、NO2(NOX、NO)、CO、O3、PM10、PM2.5指标分析仪、零气发生器、动态校准仪。气象仪器主要包括风速、风向、温度、湿度、气压等气象五参数监测仪器，辅助设备设施包括采样系统、数据采集与传输软硬件、钢瓶气、UPS、制冷系统、供电系统、视频监控系统、子站站房、安防设施等的日常维护、质量控制、设备更换维修、年度检修、数据传输等工作，并须接受</w:t>
      </w:r>
      <w:r>
        <w:rPr>
          <w:rFonts w:hint="default" w:ascii="Times New Roman" w:hAnsi="Times New Roman" w:eastAsia="宋体" w:cs="Times New Roman"/>
          <w:b w:val="0"/>
          <w:bCs w:val="0"/>
          <w:spacing w:val="0"/>
          <w:sz w:val="24"/>
          <w:lang w:val="en-US" w:eastAsia="zh-CN"/>
        </w:rPr>
        <w:t>高新</w:t>
      </w:r>
      <w:r>
        <w:rPr>
          <w:rFonts w:hint="default" w:ascii="Times New Roman" w:hAnsi="Times New Roman" w:eastAsia="宋体" w:cs="Times New Roman"/>
          <w:b w:val="0"/>
          <w:bCs w:val="0"/>
          <w:spacing w:val="0"/>
          <w:sz w:val="24"/>
        </w:rPr>
        <w:t>区生态环境分局的质控检查和考核，确保空气自动监测站全部监测仪器正常、稳定运行</w:t>
      </w:r>
      <w:r>
        <w:rPr>
          <w:rFonts w:hint="default" w:ascii="Times New Roman" w:hAnsi="Times New Roman" w:eastAsia="宋体" w:cs="Times New Roman"/>
          <w:b w:val="0"/>
          <w:bCs w:val="0"/>
          <w:spacing w:val="0"/>
          <w:sz w:val="24"/>
          <w:lang w:eastAsia="zh-CN"/>
        </w:rPr>
        <w:t>，</w:t>
      </w:r>
      <w:r>
        <w:rPr>
          <w:rFonts w:hint="default" w:ascii="Times New Roman" w:hAnsi="Times New Roman" w:eastAsia="宋体" w:cs="Times New Roman"/>
          <w:b w:val="0"/>
          <w:bCs w:val="0"/>
          <w:spacing w:val="0"/>
          <w:sz w:val="24"/>
        </w:rPr>
        <w:t>能按要求将监测数据传输联网或发布。</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Times New Roman" w:hAnsi="Times New Roman" w:eastAsia="宋体" w:cs="Times New Roman"/>
          <w:b/>
          <w:bCs/>
          <w:spacing w:val="0"/>
          <w:sz w:val="24"/>
          <w:szCs w:val="22"/>
          <w:lang w:val="en-US" w:eastAsia="zh-CN" w:bidi="ar-SA"/>
        </w:rPr>
      </w:pPr>
      <w:r>
        <w:rPr>
          <w:rFonts w:hint="eastAsia" w:cs="Times New Roman"/>
          <w:b/>
          <w:bCs/>
          <w:spacing w:val="0"/>
          <w:sz w:val="24"/>
          <w:szCs w:val="22"/>
          <w:lang w:val="en-US" w:eastAsia="zh-CN" w:bidi="ar-SA"/>
        </w:rPr>
        <w:t>（1）总体</w:t>
      </w:r>
      <w:r>
        <w:rPr>
          <w:rFonts w:hint="eastAsia" w:ascii="Times New Roman" w:hAnsi="Times New Roman" w:eastAsia="宋体" w:cs="Times New Roman"/>
          <w:b/>
          <w:bCs/>
          <w:spacing w:val="0"/>
          <w:sz w:val="24"/>
          <w:szCs w:val="22"/>
          <w:lang w:val="en-US" w:eastAsia="zh-CN" w:bidi="ar-SA"/>
        </w:rPr>
        <w:t>工作内容</w:t>
      </w:r>
    </w:p>
    <w:p>
      <w:pPr>
        <w:keepNext w:val="0"/>
        <w:keepLines w:val="0"/>
        <w:pageBreakBefore w:val="0"/>
        <w:widowControl w:val="0"/>
        <w:kinsoku/>
        <w:wordWrap/>
        <w:overflowPunct/>
        <w:topLinePunct w:val="0"/>
        <w:autoSpaceDE w:val="0"/>
        <w:autoSpaceDN w:val="0"/>
        <w:bidi w:val="0"/>
        <w:adjustRightInd/>
        <w:snapToGrid/>
        <w:spacing w:line="360" w:lineRule="auto"/>
        <w:ind w:firstLineChars="200"/>
        <w:jc w:val="both"/>
        <w:textAlignment w:val="auto"/>
        <w:rPr>
          <w:rFonts w:hint="default" w:ascii="Times New Roman" w:hAnsi="Times New Roman" w:eastAsia="宋体" w:cs="Times New Roman"/>
          <w:b w:val="0"/>
          <w:bCs w:val="0"/>
          <w:spacing w:val="0"/>
          <w:sz w:val="24"/>
          <w:szCs w:val="22"/>
          <w:lang w:val="zh-CN" w:eastAsia="zh-TW" w:bidi="ar-SA"/>
        </w:rPr>
      </w:pPr>
      <w:r>
        <w:rPr>
          <w:rFonts w:hint="eastAsia" w:ascii="Times New Roman" w:hAnsi="Times New Roman" w:eastAsia="宋体" w:cs="Times New Roman"/>
          <w:b w:val="0"/>
          <w:bCs w:val="0"/>
          <w:spacing w:val="0"/>
          <w:sz w:val="24"/>
          <w:szCs w:val="22"/>
          <w:lang w:val="zh-CN" w:eastAsia="zh-TW" w:bidi="ar-SA"/>
        </w:rPr>
        <w:t>1）空气自动监测子站、气象分析仪、所有相关空气质量监测设备及其它辅助设备（空调、稳压电源等）、电、网络和联网软件系统进行日常运行、维护、维修、质量保证和校准等技术服务工作。</w:t>
      </w:r>
    </w:p>
    <w:p>
      <w:pPr>
        <w:keepNext w:val="0"/>
        <w:keepLines w:val="0"/>
        <w:pageBreakBefore w:val="0"/>
        <w:widowControl w:val="0"/>
        <w:kinsoku/>
        <w:wordWrap/>
        <w:overflowPunct/>
        <w:topLinePunct w:val="0"/>
        <w:autoSpaceDE w:val="0"/>
        <w:autoSpaceDN w:val="0"/>
        <w:bidi w:val="0"/>
        <w:adjustRightInd/>
        <w:snapToGrid/>
        <w:spacing w:line="360" w:lineRule="auto"/>
        <w:ind w:firstLineChars="200"/>
        <w:jc w:val="both"/>
        <w:textAlignment w:val="auto"/>
        <w:rPr>
          <w:rFonts w:hint="default" w:ascii="Times New Roman" w:hAnsi="Times New Roman" w:eastAsia="宋体" w:cs="Times New Roman"/>
          <w:b w:val="0"/>
          <w:bCs w:val="0"/>
          <w:spacing w:val="0"/>
          <w:sz w:val="24"/>
          <w:szCs w:val="22"/>
          <w:lang w:val="zh-CN" w:eastAsia="zh-TW" w:bidi="ar-SA"/>
        </w:rPr>
      </w:pPr>
      <w:r>
        <w:rPr>
          <w:rFonts w:hint="eastAsia" w:ascii="Times New Roman" w:hAnsi="Times New Roman" w:eastAsia="宋体" w:cs="Times New Roman"/>
          <w:b w:val="0"/>
          <w:bCs w:val="0"/>
          <w:spacing w:val="0"/>
          <w:sz w:val="24"/>
          <w:szCs w:val="22"/>
          <w:lang w:val="zh-CN" w:eastAsia="zh-TW" w:bidi="ar-SA"/>
        </w:rPr>
        <w:t>2）提供所有仪器维护及核查报告。</w:t>
      </w:r>
    </w:p>
    <w:p>
      <w:pPr>
        <w:keepNext w:val="0"/>
        <w:keepLines w:val="0"/>
        <w:pageBreakBefore w:val="0"/>
        <w:widowControl w:val="0"/>
        <w:kinsoku/>
        <w:wordWrap/>
        <w:overflowPunct/>
        <w:topLinePunct w:val="0"/>
        <w:autoSpaceDE w:val="0"/>
        <w:autoSpaceDN w:val="0"/>
        <w:bidi w:val="0"/>
        <w:adjustRightInd/>
        <w:snapToGrid/>
        <w:spacing w:line="360" w:lineRule="auto"/>
        <w:ind w:firstLineChars="200"/>
        <w:jc w:val="both"/>
        <w:textAlignment w:val="auto"/>
        <w:rPr>
          <w:rFonts w:hint="default" w:ascii="Times New Roman" w:hAnsi="Times New Roman" w:eastAsia="宋体" w:cs="Times New Roman"/>
          <w:b w:val="0"/>
          <w:bCs w:val="0"/>
          <w:spacing w:val="0"/>
          <w:sz w:val="24"/>
          <w:szCs w:val="22"/>
          <w:lang w:val="zh-CN" w:eastAsia="zh-TW" w:bidi="ar-SA"/>
        </w:rPr>
      </w:pPr>
      <w:r>
        <w:rPr>
          <w:rFonts w:hint="eastAsia" w:ascii="Times New Roman" w:hAnsi="Times New Roman" w:eastAsia="宋体" w:cs="Times New Roman"/>
          <w:b w:val="0"/>
          <w:bCs w:val="0"/>
          <w:spacing w:val="0"/>
          <w:sz w:val="24"/>
          <w:szCs w:val="22"/>
          <w:lang w:val="zh-CN" w:eastAsia="zh-TW" w:bidi="ar-SA"/>
        </w:rPr>
        <w:t>3）提供所有仪器（不限温湿度计、流量计等）校准所需的标气和校准器，以及臭氧量值传递等量值溯源措施。</w:t>
      </w:r>
    </w:p>
    <w:p>
      <w:pPr>
        <w:keepNext w:val="0"/>
        <w:keepLines w:val="0"/>
        <w:pageBreakBefore w:val="0"/>
        <w:widowControl w:val="0"/>
        <w:kinsoku/>
        <w:wordWrap/>
        <w:overflowPunct/>
        <w:topLinePunct w:val="0"/>
        <w:autoSpaceDE w:val="0"/>
        <w:autoSpaceDN w:val="0"/>
        <w:bidi w:val="0"/>
        <w:adjustRightInd/>
        <w:snapToGrid/>
        <w:spacing w:line="360" w:lineRule="auto"/>
        <w:ind w:firstLineChars="200"/>
        <w:jc w:val="both"/>
        <w:textAlignment w:val="auto"/>
        <w:rPr>
          <w:rFonts w:hint="default" w:ascii="Times New Roman" w:hAnsi="Times New Roman" w:eastAsia="宋体" w:cs="Times New Roman"/>
          <w:b w:val="0"/>
          <w:bCs w:val="0"/>
          <w:spacing w:val="0"/>
          <w:sz w:val="24"/>
          <w:szCs w:val="22"/>
          <w:lang w:val="zh-CN" w:eastAsia="zh-TW" w:bidi="ar-SA"/>
        </w:rPr>
      </w:pPr>
      <w:r>
        <w:rPr>
          <w:rFonts w:hint="eastAsia" w:ascii="Times New Roman" w:hAnsi="Times New Roman" w:eastAsia="宋体" w:cs="Times New Roman"/>
          <w:b w:val="0"/>
          <w:bCs w:val="0"/>
          <w:spacing w:val="0"/>
          <w:sz w:val="24"/>
          <w:szCs w:val="22"/>
          <w:lang w:val="zh-CN" w:eastAsia="zh-TW" w:bidi="ar-SA"/>
        </w:rPr>
        <w:t>4）负责环保部门要求的运维站异常情况报备等上报数据的相关工作，对轻度污染以上的天气</w:t>
      </w:r>
      <w:r>
        <w:rPr>
          <w:rFonts w:hint="eastAsia" w:cs="Times New Roman"/>
          <w:b w:val="0"/>
          <w:bCs w:val="0"/>
          <w:spacing w:val="0"/>
          <w:sz w:val="24"/>
          <w:szCs w:val="22"/>
          <w:lang w:val="en-US" w:eastAsia="zh-CN" w:bidi="ar-SA"/>
        </w:rPr>
        <w:t>进行</w:t>
      </w:r>
      <w:r>
        <w:rPr>
          <w:rFonts w:hint="eastAsia" w:ascii="Times New Roman" w:hAnsi="Times New Roman" w:eastAsia="宋体" w:cs="Times New Roman"/>
          <w:b w:val="0"/>
          <w:bCs w:val="0"/>
          <w:spacing w:val="0"/>
          <w:sz w:val="24"/>
          <w:szCs w:val="22"/>
          <w:lang w:val="zh-CN" w:eastAsia="zh-TW" w:bidi="ar-SA"/>
        </w:rPr>
        <w:t>分析原因及趋势。（不限于短信、微信和QQ等方式发送）。</w:t>
      </w:r>
    </w:p>
    <w:p>
      <w:pPr>
        <w:keepNext w:val="0"/>
        <w:keepLines w:val="0"/>
        <w:pageBreakBefore w:val="0"/>
        <w:widowControl w:val="0"/>
        <w:kinsoku/>
        <w:wordWrap/>
        <w:overflowPunct/>
        <w:topLinePunct w:val="0"/>
        <w:autoSpaceDE w:val="0"/>
        <w:autoSpaceDN w:val="0"/>
        <w:bidi w:val="0"/>
        <w:adjustRightInd/>
        <w:snapToGrid/>
        <w:spacing w:line="360" w:lineRule="auto"/>
        <w:ind w:firstLineChars="200"/>
        <w:jc w:val="both"/>
        <w:textAlignment w:val="auto"/>
        <w:rPr>
          <w:rFonts w:hint="eastAsia" w:cs="Times New Roman"/>
          <w:b w:val="0"/>
          <w:bCs w:val="0"/>
          <w:spacing w:val="0"/>
          <w:sz w:val="24"/>
          <w:szCs w:val="22"/>
          <w:lang w:val="zh-CN" w:eastAsia="zh-TW" w:bidi="ar-SA"/>
        </w:rPr>
      </w:pPr>
      <w:r>
        <w:rPr>
          <w:rFonts w:hint="eastAsia" w:cs="Times New Roman"/>
          <w:b w:val="0"/>
          <w:bCs w:val="0"/>
          <w:spacing w:val="0"/>
          <w:sz w:val="24"/>
          <w:szCs w:val="22"/>
          <w:lang w:val="en-US" w:eastAsia="zh-CN" w:bidi="ar-SA"/>
        </w:rPr>
        <w:t>5</w:t>
      </w:r>
      <w:r>
        <w:rPr>
          <w:rFonts w:hint="eastAsia" w:ascii="Times New Roman" w:hAnsi="Times New Roman" w:eastAsia="宋体" w:cs="Times New Roman"/>
          <w:b w:val="0"/>
          <w:bCs w:val="0"/>
          <w:spacing w:val="0"/>
          <w:sz w:val="24"/>
          <w:szCs w:val="22"/>
          <w:lang w:val="zh-CN" w:eastAsia="zh-TW" w:bidi="ar-SA"/>
        </w:rPr>
        <w:t>）</w:t>
      </w:r>
      <w:r>
        <w:rPr>
          <w:rFonts w:hint="eastAsia" w:cs="Times New Roman"/>
          <w:b w:val="0"/>
          <w:bCs w:val="0"/>
          <w:spacing w:val="0"/>
          <w:sz w:val="24"/>
          <w:szCs w:val="22"/>
          <w:lang w:val="en-US" w:eastAsia="zh-CN" w:bidi="ar-SA"/>
        </w:rPr>
        <w:t>区域</w:t>
      </w:r>
      <w:r>
        <w:rPr>
          <w:rFonts w:hint="eastAsia" w:ascii="Times New Roman" w:hAnsi="Times New Roman" w:eastAsia="宋体" w:cs="Times New Roman"/>
          <w:b w:val="0"/>
          <w:bCs w:val="0"/>
          <w:spacing w:val="0"/>
          <w:sz w:val="24"/>
          <w:szCs w:val="22"/>
          <w:lang w:val="zh-CN" w:eastAsia="zh-TW" w:bidi="ar-SA"/>
        </w:rPr>
        <w:t>环境空气质量</w:t>
      </w:r>
      <w:r>
        <w:rPr>
          <w:rFonts w:hint="eastAsia" w:cs="Times New Roman"/>
          <w:b w:val="0"/>
          <w:bCs w:val="0"/>
          <w:spacing w:val="0"/>
          <w:sz w:val="24"/>
          <w:szCs w:val="22"/>
          <w:lang w:val="en-US" w:eastAsia="zh-CN" w:bidi="ar-SA"/>
        </w:rPr>
        <w:t>数值、</w:t>
      </w:r>
      <w:r>
        <w:rPr>
          <w:rFonts w:hint="eastAsia" w:ascii="Times New Roman" w:hAnsi="Times New Roman" w:eastAsia="宋体" w:cs="Times New Roman"/>
          <w:b w:val="0"/>
          <w:bCs w:val="0"/>
          <w:spacing w:val="0"/>
          <w:sz w:val="24"/>
          <w:szCs w:val="22"/>
          <w:lang w:val="zh-CN" w:eastAsia="zh-TW" w:bidi="ar-SA"/>
        </w:rPr>
        <w:t>均值等数据统计和分析报告</w:t>
      </w:r>
      <w:r>
        <w:rPr>
          <w:rFonts w:hint="eastAsia" w:cs="Times New Roman"/>
          <w:b w:val="0"/>
          <w:bCs w:val="0"/>
          <w:spacing w:val="0"/>
          <w:sz w:val="24"/>
          <w:szCs w:val="22"/>
          <w:lang w:val="zh-CN" w:eastAsia="zh-TW" w:bidi="ar-SA"/>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Chars="200"/>
        <w:jc w:val="both"/>
        <w:textAlignment w:val="auto"/>
        <w:rPr>
          <w:rFonts w:hint="default" w:ascii="Times New Roman" w:hAnsi="Times New Roman" w:eastAsia="宋体" w:cs="Times New Roman"/>
          <w:b w:val="0"/>
          <w:bCs w:val="0"/>
          <w:spacing w:val="0"/>
          <w:sz w:val="24"/>
          <w:szCs w:val="22"/>
          <w:lang w:val="zh-CN" w:eastAsia="zh-TW" w:bidi="ar-SA"/>
        </w:rPr>
      </w:pPr>
      <w:r>
        <w:rPr>
          <w:rFonts w:hint="eastAsia" w:cs="Times New Roman"/>
          <w:b w:val="0"/>
          <w:bCs w:val="0"/>
          <w:spacing w:val="0"/>
          <w:sz w:val="24"/>
          <w:szCs w:val="22"/>
          <w:lang w:val="en-US" w:eastAsia="zh-CN" w:bidi="ar-SA"/>
        </w:rPr>
        <w:t>6</w:t>
      </w:r>
      <w:r>
        <w:rPr>
          <w:rFonts w:hint="eastAsia" w:ascii="Times New Roman" w:hAnsi="Times New Roman" w:eastAsia="宋体" w:cs="Times New Roman"/>
          <w:b w:val="0"/>
          <w:bCs w:val="0"/>
          <w:spacing w:val="0"/>
          <w:sz w:val="24"/>
          <w:szCs w:val="22"/>
          <w:lang w:val="zh-CN" w:eastAsia="zh-TW" w:bidi="ar-SA"/>
        </w:rPr>
        <w:t>）对运维站的土建部分（包括站房、电、防雷设施等）进行日常运行管理和维修维保。</w:t>
      </w:r>
    </w:p>
    <w:p>
      <w:pPr>
        <w:keepNext w:val="0"/>
        <w:keepLines w:val="0"/>
        <w:pageBreakBefore w:val="0"/>
        <w:widowControl w:val="0"/>
        <w:kinsoku/>
        <w:wordWrap/>
        <w:overflowPunct/>
        <w:topLinePunct w:val="0"/>
        <w:autoSpaceDE w:val="0"/>
        <w:autoSpaceDN w:val="0"/>
        <w:bidi w:val="0"/>
        <w:adjustRightInd/>
        <w:snapToGrid/>
        <w:spacing w:line="360" w:lineRule="auto"/>
        <w:ind w:firstLineChars="200"/>
        <w:jc w:val="both"/>
        <w:textAlignment w:val="auto"/>
        <w:rPr>
          <w:rFonts w:hint="eastAsia" w:ascii="Times New Roman" w:hAnsi="Times New Roman" w:eastAsia="宋体" w:cs="Times New Roman"/>
          <w:b w:val="0"/>
          <w:bCs w:val="0"/>
          <w:spacing w:val="0"/>
          <w:sz w:val="24"/>
          <w:szCs w:val="22"/>
          <w:lang w:val="zh-CN" w:eastAsia="zh-TW" w:bidi="ar-SA"/>
        </w:rPr>
      </w:pPr>
      <w:r>
        <w:rPr>
          <w:rFonts w:hint="eastAsia" w:cs="Times New Roman"/>
          <w:b w:val="0"/>
          <w:bCs w:val="0"/>
          <w:spacing w:val="0"/>
          <w:sz w:val="24"/>
          <w:szCs w:val="22"/>
          <w:lang w:val="en-US" w:eastAsia="zh-CN" w:bidi="ar-SA"/>
        </w:rPr>
        <w:t>7</w:t>
      </w:r>
      <w:r>
        <w:rPr>
          <w:rFonts w:hint="eastAsia" w:ascii="Times New Roman" w:hAnsi="Times New Roman" w:eastAsia="宋体" w:cs="Times New Roman"/>
          <w:b w:val="0"/>
          <w:bCs w:val="0"/>
          <w:spacing w:val="0"/>
          <w:sz w:val="24"/>
          <w:szCs w:val="22"/>
          <w:lang w:val="zh-CN" w:eastAsia="zh-TW" w:bidi="ar-SA"/>
        </w:rPr>
        <w:t>）</w:t>
      </w:r>
      <w:r>
        <w:rPr>
          <w:rFonts w:hint="eastAsia" w:cs="Times New Roman"/>
          <w:b w:val="0"/>
          <w:bCs w:val="0"/>
          <w:spacing w:val="0"/>
          <w:sz w:val="24"/>
          <w:szCs w:val="22"/>
          <w:lang w:val="en-US" w:eastAsia="zh-CN" w:bidi="ar-SA"/>
        </w:rPr>
        <w:t>安排工作驻场人员1名专职</w:t>
      </w:r>
      <w:r>
        <w:rPr>
          <w:rFonts w:hint="eastAsia" w:ascii="Times New Roman" w:hAnsi="Times New Roman" w:eastAsia="宋体" w:cs="Times New Roman"/>
          <w:b w:val="0"/>
          <w:bCs w:val="0"/>
          <w:spacing w:val="0"/>
          <w:sz w:val="24"/>
          <w:szCs w:val="22"/>
          <w:lang w:val="zh-CN" w:eastAsia="zh-TW" w:bidi="ar-SA"/>
        </w:rPr>
        <w:t>处理空气自动站的相关运维事宜，</w:t>
      </w:r>
      <w:r>
        <w:rPr>
          <w:rFonts w:hint="eastAsia" w:cs="Times New Roman"/>
          <w:b w:val="0"/>
          <w:bCs w:val="0"/>
          <w:spacing w:val="0"/>
          <w:sz w:val="24"/>
          <w:szCs w:val="22"/>
          <w:lang w:val="en-US" w:eastAsia="zh-CN" w:bidi="ar-SA"/>
        </w:rPr>
        <w:t>配备巡查</w:t>
      </w:r>
      <w:r>
        <w:rPr>
          <w:rFonts w:hint="eastAsia" w:ascii="Times New Roman" w:hAnsi="Times New Roman" w:eastAsia="宋体" w:cs="Times New Roman"/>
          <w:b w:val="0"/>
          <w:bCs w:val="0"/>
          <w:spacing w:val="0"/>
          <w:sz w:val="24"/>
          <w:szCs w:val="22"/>
          <w:lang w:val="zh-CN" w:eastAsia="zh-TW" w:bidi="ar-SA"/>
        </w:rPr>
        <w:t>车辆。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cs="Times New Roman"/>
          <w:b w:val="0"/>
          <w:bCs w:val="0"/>
          <w:spacing w:val="0"/>
          <w:sz w:val="24"/>
          <w:szCs w:val="22"/>
          <w:lang w:val="en-US" w:eastAsia="zh-CN" w:bidi="ar-SA"/>
        </w:rPr>
      </w:pPr>
      <w:r>
        <w:rPr>
          <w:rFonts w:hint="eastAsia" w:cs="Times New Roman"/>
          <w:b w:val="0"/>
          <w:bCs w:val="0"/>
          <w:spacing w:val="0"/>
          <w:sz w:val="24"/>
          <w:szCs w:val="22"/>
          <w:lang w:val="en-US" w:eastAsia="zh-CN" w:bidi="ar-SA"/>
        </w:rPr>
        <w:t>运行维护工作目标及内容</w:t>
      </w:r>
    </w:p>
    <w:p>
      <w:pPr>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ind w:left="0" w:leftChars="0" w:firstLine="0" w:firstLineChars="0"/>
        <w:jc w:val="both"/>
        <w:textAlignment w:val="auto"/>
        <w:rPr>
          <w:rFonts w:hint="default" w:cs="Times New Roman"/>
          <w:b/>
          <w:bCs/>
          <w:spacing w:val="0"/>
          <w:sz w:val="24"/>
          <w:szCs w:val="22"/>
          <w:lang w:val="en-US" w:eastAsia="zh-CN" w:bidi="ar-SA"/>
        </w:rPr>
      </w:pPr>
      <w:r>
        <w:rPr>
          <w:rFonts w:hint="eastAsia" w:cs="Times New Roman"/>
          <w:b/>
          <w:bCs/>
          <w:spacing w:val="0"/>
          <w:sz w:val="24"/>
          <w:szCs w:val="22"/>
          <w:lang w:val="en-US" w:eastAsia="zh-CN" w:bidi="ar-SA"/>
        </w:rPr>
        <w:t>运行维护目标及考核要求</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cs="Times New Roman"/>
          <w:b w:val="0"/>
          <w:bCs w:val="0"/>
          <w:spacing w:val="0"/>
          <w:sz w:val="24"/>
          <w:szCs w:val="22"/>
          <w:lang w:val="en-US" w:eastAsia="zh-CN" w:bidi="ar-SA"/>
        </w:rPr>
      </w:pPr>
      <w:r>
        <w:rPr>
          <w:rFonts w:hint="eastAsia" w:cs="Times New Roman"/>
          <w:b w:val="0"/>
          <w:bCs w:val="0"/>
          <w:spacing w:val="0"/>
          <w:sz w:val="24"/>
          <w:szCs w:val="22"/>
          <w:lang w:val="en-US" w:eastAsia="zh-CN" w:bidi="ar-SA"/>
        </w:rPr>
        <w:t>运维单位必须建立完善的运行维护工作规范，确保提供及时、准确、有效的监测数据，子站的运行质量应达到以下指标：</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cs="Times New Roman"/>
          <w:b w:val="0"/>
          <w:bCs w:val="0"/>
          <w:spacing w:val="0"/>
          <w:sz w:val="24"/>
          <w:szCs w:val="22"/>
          <w:lang w:val="en-US" w:eastAsia="zh-CN" w:bidi="ar-SA"/>
        </w:rPr>
      </w:pPr>
      <w:r>
        <w:rPr>
          <w:rFonts w:hint="eastAsia" w:cs="Times New Roman"/>
          <w:b w:val="0"/>
          <w:bCs w:val="0"/>
          <w:spacing w:val="0"/>
          <w:sz w:val="24"/>
          <w:szCs w:val="22"/>
          <w:lang w:val="en-US" w:eastAsia="zh-CN" w:bidi="ar-SA"/>
        </w:rPr>
        <w:t>1、所获取的有效监测数据必须满足国家《环境空气质量标准》（GB 3095-2012）中规定的污染物浓度数据有效性最低要求。空气自动站每天各监测项目有不少于20个有效小时平均值。每月每个污染物有不少于27个(2月份25个)有效日均值，每年有不少于12个有效月均值。</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cs="Times New Roman"/>
          <w:b w:val="0"/>
          <w:bCs w:val="0"/>
          <w:spacing w:val="0"/>
          <w:sz w:val="24"/>
          <w:szCs w:val="22"/>
          <w:lang w:val="en-US" w:eastAsia="zh-CN" w:bidi="ar-SA"/>
        </w:rPr>
      </w:pPr>
      <w:r>
        <w:rPr>
          <w:rFonts w:hint="eastAsia" w:cs="Times New Roman"/>
          <w:b w:val="0"/>
          <w:bCs w:val="0"/>
          <w:spacing w:val="0"/>
          <w:sz w:val="24"/>
          <w:szCs w:val="22"/>
          <w:lang w:val="en-US" w:eastAsia="zh-CN" w:bidi="ar-SA"/>
        </w:rPr>
        <w:t>2、单站设备（SO2、NO2、CO、O3、PM10、PM2.5）全年数据获取率＞90%</w:t>
      </w:r>
    </w:p>
    <w:p>
      <w:pPr>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ind w:left="0" w:leftChars="0" w:firstLine="0" w:firstLineChars="0"/>
        <w:jc w:val="both"/>
        <w:textAlignment w:val="auto"/>
        <w:rPr>
          <w:rFonts w:hint="default" w:cs="Times New Roman"/>
          <w:b/>
          <w:bCs/>
          <w:spacing w:val="0"/>
          <w:sz w:val="24"/>
          <w:szCs w:val="22"/>
          <w:lang w:val="en-US" w:eastAsia="zh-CN" w:bidi="ar-SA"/>
        </w:rPr>
      </w:pPr>
      <w:r>
        <w:rPr>
          <w:rFonts w:hint="eastAsia" w:cs="Times New Roman"/>
          <w:b/>
          <w:bCs/>
          <w:spacing w:val="0"/>
          <w:sz w:val="24"/>
          <w:szCs w:val="22"/>
          <w:lang w:val="en-US" w:eastAsia="zh-CN" w:bidi="ar-SA"/>
        </w:rPr>
        <w:t>运维工作主要内容</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cs="Times New Roman"/>
          <w:b w:val="0"/>
          <w:bCs w:val="0"/>
          <w:spacing w:val="0"/>
          <w:sz w:val="24"/>
          <w:szCs w:val="22"/>
          <w:lang w:val="en-US" w:eastAsia="zh-CN" w:bidi="ar-SA"/>
        </w:rPr>
      </w:pPr>
      <w:r>
        <w:rPr>
          <w:rFonts w:hint="eastAsia" w:cs="Times New Roman"/>
          <w:b w:val="0"/>
          <w:bCs w:val="0"/>
          <w:spacing w:val="0"/>
          <w:sz w:val="24"/>
          <w:szCs w:val="22"/>
          <w:lang w:val="en-US" w:eastAsia="zh-CN" w:bidi="ar-SA"/>
        </w:rPr>
        <w:t>1）环境空气监测系统的日常运行维护；</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cs="Times New Roman"/>
          <w:b w:val="0"/>
          <w:bCs w:val="0"/>
          <w:spacing w:val="0"/>
          <w:sz w:val="24"/>
          <w:szCs w:val="22"/>
          <w:lang w:val="en-US" w:eastAsia="zh-CN" w:bidi="ar-SA"/>
        </w:rPr>
      </w:pPr>
      <w:r>
        <w:rPr>
          <w:rFonts w:hint="eastAsia" w:cs="Times New Roman"/>
          <w:b w:val="0"/>
          <w:bCs w:val="0"/>
          <w:spacing w:val="0"/>
          <w:sz w:val="24"/>
          <w:szCs w:val="22"/>
          <w:lang w:val="en-US" w:eastAsia="zh-CN" w:bidi="ar-SA"/>
        </w:rPr>
        <w:t>2）环境空气监测系统质量管理；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cs="Times New Roman"/>
          <w:b w:val="0"/>
          <w:bCs w:val="0"/>
          <w:spacing w:val="0"/>
          <w:sz w:val="24"/>
          <w:szCs w:val="22"/>
          <w:lang w:val="en-US" w:eastAsia="zh-CN" w:bidi="ar-SA"/>
        </w:rPr>
      </w:pPr>
      <w:r>
        <w:rPr>
          <w:rFonts w:hint="eastAsia" w:cs="Times New Roman"/>
          <w:b w:val="0"/>
          <w:bCs w:val="0"/>
          <w:spacing w:val="0"/>
          <w:sz w:val="24"/>
          <w:szCs w:val="22"/>
          <w:lang w:val="en-US" w:eastAsia="zh-CN" w:bidi="ar-SA"/>
        </w:rPr>
        <w:t>3）环境空气监测系统的日常安全管理；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cs="Times New Roman"/>
          <w:b w:val="0"/>
          <w:bCs w:val="0"/>
          <w:spacing w:val="0"/>
          <w:sz w:val="24"/>
          <w:szCs w:val="22"/>
          <w:lang w:val="en-US" w:eastAsia="zh-CN" w:bidi="ar-SA"/>
        </w:rPr>
      </w:pPr>
      <w:r>
        <w:rPr>
          <w:rFonts w:hint="eastAsia" w:cs="Times New Roman"/>
          <w:b w:val="0"/>
          <w:bCs w:val="0"/>
          <w:spacing w:val="0"/>
          <w:sz w:val="24"/>
          <w:szCs w:val="22"/>
          <w:lang w:val="en-US" w:eastAsia="zh-CN" w:bidi="ar-SA"/>
        </w:rPr>
        <w:t>4）环境空气监测系统监测数据的日常审核、上报；</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cs="Times New Roman"/>
          <w:b w:val="0"/>
          <w:bCs w:val="0"/>
          <w:spacing w:val="0"/>
          <w:sz w:val="24"/>
          <w:szCs w:val="22"/>
          <w:lang w:val="en-US" w:eastAsia="zh-CN" w:bidi="ar-SA"/>
        </w:rPr>
      </w:pPr>
      <w:r>
        <w:rPr>
          <w:rFonts w:hint="eastAsia" w:cs="Times New Roman"/>
          <w:b w:val="0"/>
          <w:bCs w:val="0"/>
          <w:spacing w:val="0"/>
          <w:sz w:val="24"/>
          <w:szCs w:val="22"/>
          <w:lang w:val="en-US" w:eastAsia="zh-CN" w:bidi="ar-SA"/>
        </w:rPr>
        <w:t>5）环境空气监测系统的设备维护保养及维修；</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cs="Times New Roman"/>
          <w:b w:val="0"/>
          <w:bCs w:val="0"/>
          <w:spacing w:val="0"/>
          <w:sz w:val="24"/>
          <w:szCs w:val="22"/>
          <w:lang w:val="en-US" w:eastAsia="zh-CN" w:bidi="ar-SA"/>
        </w:rPr>
      </w:pPr>
      <w:r>
        <w:rPr>
          <w:rFonts w:hint="eastAsia" w:cs="Times New Roman"/>
          <w:b w:val="0"/>
          <w:bCs w:val="0"/>
          <w:spacing w:val="0"/>
          <w:sz w:val="24"/>
          <w:szCs w:val="22"/>
          <w:lang w:val="en-US" w:eastAsia="zh-CN" w:bidi="ar-SA"/>
        </w:rPr>
        <w:t>6）环境空气监测系统相关辅助设施的维护、保养、维修。</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cs="Times New Roman"/>
          <w:b w:val="0"/>
          <w:bCs w:val="0"/>
          <w:spacing w:val="0"/>
          <w:sz w:val="24"/>
          <w:szCs w:val="22"/>
          <w:lang w:val="en-US" w:eastAsia="zh-CN" w:bidi="ar-SA"/>
        </w:rPr>
      </w:pPr>
      <w:r>
        <w:rPr>
          <w:rFonts w:hint="eastAsia" w:cs="Times New Roman"/>
          <w:b w:val="0"/>
          <w:bCs w:val="0"/>
          <w:spacing w:val="0"/>
          <w:sz w:val="24"/>
          <w:szCs w:val="22"/>
          <w:lang w:val="en-US" w:eastAsia="zh-CN" w:bidi="ar-SA"/>
        </w:rPr>
        <w:t>7）环境空气监测系统数据采集及传输系统的维护及维修。</w:t>
      </w:r>
    </w:p>
    <w:p>
      <w:pPr>
        <w:numPr>
          <w:ilvl w:val="0"/>
          <w:numId w:val="6"/>
        </w:numPr>
        <w:ind w:left="425" w:leftChars="0" w:hanging="425" w:firstLineChars="0"/>
        <w:rPr>
          <w:rFonts w:hint="eastAsia" w:ascii="Times New Roman" w:hAnsi="Times New Roman" w:eastAsia="宋体" w:cs="宋体"/>
          <w:b/>
          <w:bCs/>
          <w:lang w:val="en-US" w:eastAsia="zh-CN"/>
        </w:rPr>
      </w:pPr>
      <w:r>
        <w:rPr>
          <w:rFonts w:hint="eastAsia" w:ascii="Times New Roman" w:hAnsi="Times New Roman" w:eastAsia="宋体" w:cs="宋体"/>
          <w:b/>
          <w:bCs/>
          <w:lang w:val="en-US" w:eastAsia="zh-CN"/>
        </w:rPr>
        <w:t>监督考核要求</w:t>
      </w:r>
    </w:p>
    <w:p>
      <w:pPr>
        <w:numPr>
          <w:ilvl w:val="0"/>
          <w:numId w:val="0"/>
        </w:numPr>
        <w:ind w:leftChars="0" w:right="0" w:rightChars="0"/>
        <w:rPr>
          <w:rFonts w:hint="eastAsia" w:cs="宋体"/>
          <w:b/>
          <w:bCs/>
          <w:lang w:val="en-US" w:eastAsia="zh-CN"/>
        </w:rPr>
      </w:pPr>
      <w:r>
        <w:rPr>
          <w:rFonts w:hint="eastAsia" w:cs="宋体"/>
          <w:b/>
          <w:bCs/>
          <w:lang w:val="en-US" w:eastAsia="zh-CN"/>
        </w:rPr>
        <w:t>（1）监督管理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cs="Times New Roman"/>
          <w:b w:val="0"/>
          <w:bCs w:val="0"/>
          <w:spacing w:val="0"/>
          <w:sz w:val="24"/>
          <w:szCs w:val="22"/>
          <w:lang w:val="en-US" w:eastAsia="zh-CN" w:bidi="ar-SA"/>
        </w:rPr>
      </w:pPr>
      <w:r>
        <w:rPr>
          <w:rFonts w:hint="eastAsia" w:cs="Times New Roman"/>
          <w:b w:val="0"/>
          <w:bCs w:val="0"/>
          <w:spacing w:val="0"/>
          <w:sz w:val="24"/>
          <w:szCs w:val="22"/>
          <w:lang w:val="en-US" w:eastAsia="zh-CN" w:bidi="ar-SA"/>
        </w:rPr>
        <w:t>1）运维单位应承担监测数据的保密责任，不得利用本项目的数据、档案或有关资料对外开展技术交流、业务联系、数据交换等。</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cs="Times New Roman"/>
          <w:b w:val="0"/>
          <w:bCs w:val="0"/>
          <w:spacing w:val="0"/>
          <w:sz w:val="24"/>
          <w:szCs w:val="22"/>
          <w:lang w:val="en-US" w:eastAsia="zh-CN" w:bidi="ar-SA"/>
        </w:rPr>
      </w:pPr>
      <w:r>
        <w:rPr>
          <w:rFonts w:hint="eastAsia" w:cs="Times New Roman"/>
          <w:b w:val="0"/>
          <w:bCs w:val="0"/>
          <w:spacing w:val="0"/>
          <w:sz w:val="24"/>
          <w:szCs w:val="22"/>
          <w:lang w:val="en-US" w:eastAsia="zh-CN" w:bidi="ar-SA"/>
        </w:rPr>
        <w:t>2）运维期间不得对监测设备进行调整数据、修改参数、改动设备监测结果等弄虚作假违规行为。</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default" w:cs="Times New Roman"/>
          <w:b w:val="0"/>
          <w:bCs w:val="0"/>
          <w:spacing w:val="0"/>
          <w:sz w:val="24"/>
          <w:szCs w:val="22"/>
          <w:lang w:val="en-US" w:eastAsia="zh-CN" w:bidi="ar-SA"/>
        </w:rPr>
      </w:pPr>
      <w:r>
        <w:rPr>
          <w:rFonts w:hint="eastAsia" w:cs="Times New Roman"/>
          <w:b w:val="0"/>
          <w:bCs w:val="0"/>
          <w:spacing w:val="0"/>
          <w:sz w:val="24"/>
          <w:szCs w:val="22"/>
          <w:lang w:val="en-US" w:eastAsia="zh-CN" w:bidi="ar-SA"/>
        </w:rPr>
        <w:t>3）采购单位定期组织开展运维管理和质控考核，对达不到运维要求规范的，限期整改，不按要求开展工作或不服从安排的视情况严重的有权除部分运维经费或终止维护合同。</w:t>
      </w:r>
    </w:p>
    <w:p>
      <w:pPr>
        <w:rPr>
          <w:rFonts w:hint="eastAsia" w:cs="Times New Roman"/>
          <w:lang w:val="en-US" w:eastAsia="zh-CN"/>
        </w:rPr>
      </w:pPr>
    </w:p>
    <w:p>
      <w:pPr>
        <w:ind w:left="0" w:leftChars="0" w:firstLine="0" w:firstLineChars="0"/>
        <w:rPr>
          <w:rFonts w:hint="eastAsia" w:cs="Times New Roman"/>
          <w:lang w:val="en-US" w:eastAsia="zh-CN"/>
        </w:rPr>
      </w:pPr>
    </w:p>
    <w:p>
      <w:pPr>
        <w:ind w:left="0" w:leftChars="0" w:firstLine="0" w:firstLineChars="0"/>
        <w:jc w:val="center"/>
        <w:rPr>
          <w:rFonts w:hint="default" w:cs="Times New Roman"/>
          <w:b/>
          <w:bCs/>
          <w:spacing w:val="0"/>
          <w:sz w:val="28"/>
          <w:szCs w:val="28"/>
          <w:lang w:val="en-US" w:eastAsia="zh-CN" w:bidi="ar-SA"/>
        </w:rPr>
      </w:pPr>
      <w:r>
        <w:rPr>
          <w:rFonts w:hint="eastAsia" w:cs="Times New Roman"/>
          <w:b/>
          <w:bCs/>
          <w:spacing w:val="0"/>
          <w:sz w:val="28"/>
          <w:szCs w:val="28"/>
          <w:lang w:val="en-US" w:eastAsia="zh-CN" w:bidi="ar-SA"/>
        </w:rPr>
        <w:t>空气质量优化基础配套设备表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765"/>
        <w:gridCol w:w="4732"/>
        <w:gridCol w:w="985"/>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pPr>
              <w:spacing w:line="240" w:lineRule="auto"/>
              <w:ind w:left="0" w:leftChars="0" w:firstLine="0" w:firstLineChars="0"/>
              <w:jc w:val="center"/>
              <w:rPr>
                <w:rFonts w:hint="default" w:cs="Times New Roman"/>
                <w:b w:val="0"/>
                <w:bCs w:val="0"/>
                <w:spacing w:val="0"/>
                <w:sz w:val="18"/>
                <w:szCs w:val="18"/>
                <w:vertAlign w:val="baseline"/>
                <w:lang w:val="en-US" w:eastAsia="zh-CN" w:bidi="ar-SA"/>
              </w:rPr>
            </w:pPr>
            <w:r>
              <w:rPr>
                <w:rFonts w:hint="eastAsia" w:cs="Times New Roman"/>
                <w:b w:val="0"/>
                <w:bCs w:val="0"/>
                <w:spacing w:val="0"/>
                <w:sz w:val="18"/>
                <w:szCs w:val="18"/>
                <w:vertAlign w:val="baseline"/>
                <w:lang w:val="en-US" w:eastAsia="zh-CN" w:bidi="ar-SA"/>
              </w:rPr>
              <w:t>序号</w:t>
            </w:r>
          </w:p>
        </w:tc>
        <w:tc>
          <w:tcPr>
            <w:tcW w:w="1765" w:type="dxa"/>
            <w:vAlign w:val="center"/>
          </w:tcPr>
          <w:p>
            <w:pPr>
              <w:spacing w:line="240" w:lineRule="auto"/>
              <w:ind w:left="0" w:leftChars="0" w:firstLine="0" w:firstLineChars="0"/>
              <w:jc w:val="center"/>
              <w:rPr>
                <w:rFonts w:hint="default" w:cs="Times New Roman"/>
                <w:b w:val="0"/>
                <w:bCs w:val="0"/>
                <w:spacing w:val="0"/>
                <w:sz w:val="18"/>
                <w:szCs w:val="18"/>
                <w:vertAlign w:val="baseline"/>
                <w:lang w:val="en-US" w:eastAsia="zh-CN" w:bidi="ar-SA"/>
              </w:rPr>
            </w:pPr>
            <w:r>
              <w:rPr>
                <w:rFonts w:hint="eastAsia" w:cs="Times New Roman"/>
                <w:b w:val="0"/>
                <w:bCs w:val="0"/>
                <w:spacing w:val="0"/>
                <w:sz w:val="18"/>
                <w:szCs w:val="18"/>
                <w:vertAlign w:val="baseline"/>
                <w:lang w:val="en-US" w:eastAsia="zh-CN" w:bidi="ar-SA"/>
              </w:rPr>
              <w:t>配置</w:t>
            </w:r>
          </w:p>
        </w:tc>
        <w:tc>
          <w:tcPr>
            <w:tcW w:w="4732" w:type="dxa"/>
            <w:vAlign w:val="center"/>
          </w:tcPr>
          <w:p>
            <w:pPr>
              <w:spacing w:line="240" w:lineRule="auto"/>
              <w:ind w:left="0" w:leftChars="0" w:firstLine="0" w:firstLineChars="0"/>
              <w:jc w:val="center"/>
              <w:rPr>
                <w:rFonts w:hint="default" w:cs="Times New Roman"/>
                <w:b w:val="0"/>
                <w:bCs w:val="0"/>
                <w:spacing w:val="0"/>
                <w:sz w:val="18"/>
                <w:szCs w:val="18"/>
                <w:vertAlign w:val="baseline"/>
                <w:lang w:val="en-US" w:eastAsia="zh-CN" w:bidi="ar-SA"/>
              </w:rPr>
            </w:pPr>
            <w:r>
              <w:rPr>
                <w:rFonts w:hint="eastAsia" w:cs="Times New Roman"/>
                <w:b w:val="0"/>
                <w:bCs w:val="0"/>
                <w:spacing w:val="0"/>
                <w:sz w:val="18"/>
                <w:szCs w:val="18"/>
                <w:vertAlign w:val="baseline"/>
                <w:lang w:val="en-US" w:eastAsia="zh-CN" w:bidi="ar-SA"/>
              </w:rPr>
              <w:t>描述</w:t>
            </w:r>
          </w:p>
        </w:tc>
        <w:tc>
          <w:tcPr>
            <w:tcW w:w="985" w:type="dxa"/>
            <w:vAlign w:val="center"/>
          </w:tcPr>
          <w:p>
            <w:pPr>
              <w:spacing w:line="240" w:lineRule="auto"/>
              <w:ind w:left="0" w:leftChars="0" w:firstLine="0" w:firstLineChars="0"/>
              <w:jc w:val="center"/>
              <w:rPr>
                <w:rFonts w:hint="default" w:cs="Times New Roman"/>
                <w:b w:val="0"/>
                <w:bCs w:val="0"/>
                <w:spacing w:val="0"/>
                <w:sz w:val="18"/>
                <w:szCs w:val="18"/>
                <w:vertAlign w:val="baseline"/>
                <w:lang w:val="en-US" w:eastAsia="zh-CN" w:bidi="ar-SA"/>
              </w:rPr>
            </w:pPr>
            <w:r>
              <w:rPr>
                <w:rFonts w:hint="eastAsia" w:cs="Times New Roman"/>
                <w:b w:val="0"/>
                <w:bCs w:val="0"/>
                <w:spacing w:val="0"/>
                <w:sz w:val="18"/>
                <w:szCs w:val="18"/>
                <w:vertAlign w:val="baseline"/>
                <w:lang w:val="en-US" w:eastAsia="zh-CN" w:bidi="ar-SA"/>
              </w:rPr>
              <w:t>单位</w:t>
            </w:r>
          </w:p>
        </w:tc>
        <w:tc>
          <w:tcPr>
            <w:tcW w:w="923" w:type="dxa"/>
            <w:vAlign w:val="center"/>
          </w:tcPr>
          <w:p>
            <w:pPr>
              <w:spacing w:line="240" w:lineRule="auto"/>
              <w:ind w:left="0" w:leftChars="0" w:firstLine="0" w:firstLineChars="0"/>
              <w:jc w:val="center"/>
              <w:rPr>
                <w:rFonts w:hint="default" w:cs="Times New Roman"/>
                <w:b w:val="0"/>
                <w:bCs w:val="0"/>
                <w:spacing w:val="0"/>
                <w:sz w:val="18"/>
                <w:szCs w:val="18"/>
                <w:vertAlign w:val="baseline"/>
                <w:lang w:val="en-US" w:eastAsia="zh-CN" w:bidi="ar-SA"/>
              </w:rPr>
            </w:pPr>
            <w:r>
              <w:rPr>
                <w:rFonts w:hint="eastAsia" w:cs="Times New Roman"/>
                <w:b w:val="0"/>
                <w:bCs w:val="0"/>
                <w:spacing w:val="0"/>
                <w:sz w:val="18"/>
                <w:szCs w:val="18"/>
                <w:vertAlign w:val="baseline"/>
                <w:lang w:val="en-US" w:eastAsia="zh-CN" w:bidi="ar-S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pPr>
              <w:spacing w:line="240" w:lineRule="auto"/>
              <w:ind w:left="0" w:leftChars="0" w:firstLine="0" w:firstLineChars="0"/>
              <w:jc w:val="center"/>
              <w:rPr>
                <w:rFonts w:hint="default" w:cs="Times New Roman"/>
                <w:b w:val="0"/>
                <w:bCs w:val="0"/>
                <w:spacing w:val="0"/>
                <w:sz w:val="18"/>
                <w:szCs w:val="18"/>
                <w:vertAlign w:val="baseline"/>
                <w:lang w:val="en-US" w:eastAsia="zh-CN" w:bidi="ar-SA"/>
              </w:rPr>
            </w:pPr>
            <w:r>
              <w:rPr>
                <w:rFonts w:hint="eastAsia" w:cs="Times New Roman"/>
                <w:b w:val="0"/>
                <w:bCs w:val="0"/>
                <w:spacing w:val="0"/>
                <w:sz w:val="18"/>
                <w:szCs w:val="18"/>
                <w:vertAlign w:val="baseline"/>
                <w:lang w:val="en-US" w:eastAsia="zh-CN" w:bidi="ar-SA"/>
              </w:rPr>
              <w:t>1</w:t>
            </w:r>
          </w:p>
        </w:tc>
        <w:tc>
          <w:tcPr>
            <w:tcW w:w="1765" w:type="dxa"/>
            <w:vAlign w:val="center"/>
          </w:tcPr>
          <w:p>
            <w:pPr>
              <w:spacing w:line="240" w:lineRule="auto"/>
              <w:ind w:left="0" w:leftChars="0" w:firstLine="0" w:firstLineChars="0"/>
              <w:jc w:val="center"/>
              <w:rPr>
                <w:rFonts w:hint="default" w:cs="Times New Roman"/>
                <w:b w:val="0"/>
                <w:bCs w:val="0"/>
                <w:spacing w:val="0"/>
                <w:sz w:val="18"/>
                <w:szCs w:val="18"/>
                <w:vertAlign w:val="baseline"/>
                <w:lang w:val="en-US" w:eastAsia="zh-CN" w:bidi="ar-SA"/>
              </w:rPr>
            </w:pPr>
            <w:r>
              <w:rPr>
                <w:rFonts w:hint="default" w:cs="Times New Roman"/>
                <w:b w:val="0"/>
                <w:bCs w:val="0"/>
                <w:spacing w:val="0"/>
                <w:sz w:val="18"/>
                <w:szCs w:val="18"/>
                <w:vertAlign w:val="baseline"/>
                <w:lang w:val="en-US" w:eastAsia="zh-CN" w:bidi="ar-SA"/>
              </w:rPr>
              <w:t>站房建设</w:t>
            </w:r>
          </w:p>
        </w:tc>
        <w:tc>
          <w:tcPr>
            <w:tcW w:w="4732" w:type="dxa"/>
            <w:vAlign w:val="center"/>
          </w:tcPr>
          <w:p>
            <w:pPr>
              <w:spacing w:line="240" w:lineRule="auto"/>
              <w:ind w:left="0" w:leftChars="0" w:firstLine="0" w:firstLineChars="0"/>
              <w:jc w:val="left"/>
              <w:rPr>
                <w:rFonts w:hint="default" w:cs="Times New Roman"/>
                <w:b w:val="0"/>
                <w:bCs w:val="0"/>
                <w:spacing w:val="0"/>
                <w:sz w:val="18"/>
                <w:szCs w:val="18"/>
                <w:vertAlign w:val="baseline"/>
                <w:lang w:val="en-US" w:eastAsia="zh-CN" w:bidi="ar-SA"/>
              </w:rPr>
            </w:pPr>
            <w:r>
              <w:rPr>
                <w:rFonts w:hint="eastAsia" w:cs="Times New Roman"/>
                <w:b w:val="0"/>
                <w:bCs w:val="0"/>
                <w:spacing w:val="0"/>
                <w:sz w:val="18"/>
                <w:szCs w:val="18"/>
                <w:vertAlign w:val="baseline"/>
                <w:lang w:val="en-US" w:eastAsia="zh-CN" w:bidi="ar-SA"/>
              </w:rPr>
              <w:t>建设空气自动监控站房6000*4000*2800，钢板厚度2mm，墙板厚度100mm，顶部厚度200mm，站房内建立隔断、满足防火、防水、防潮等其他相关配套设施</w:t>
            </w:r>
          </w:p>
        </w:tc>
        <w:tc>
          <w:tcPr>
            <w:tcW w:w="985" w:type="dxa"/>
            <w:vAlign w:val="center"/>
          </w:tcPr>
          <w:p>
            <w:pPr>
              <w:spacing w:line="240" w:lineRule="auto"/>
              <w:ind w:left="0" w:leftChars="0" w:firstLine="0" w:firstLineChars="0"/>
              <w:jc w:val="center"/>
              <w:rPr>
                <w:rFonts w:hint="default" w:cs="Times New Roman"/>
                <w:b w:val="0"/>
                <w:bCs w:val="0"/>
                <w:spacing w:val="0"/>
                <w:sz w:val="18"/>
                <w:szCs w:val="18"/>
                <w:vertAlign w:val="baseline"/>
                <w:lang w:val="en-US" w:eastAsia="zh-CN" w:bidi="ar-SA"/>
              </w:rPr>
            </w:pPr>
            <w:r>
              <w:rPr>
                <w:rFonts w:hint="eastAsia" w:cs="Times New Roman"/>
                <w:b w:val="0"/>
                <w:bCs w:val="0"/>
                <w:spacing w:val="0"/>
                <w:sz w:val="18"/>
                <w:szCs w:val="18"/>
                <w:vertAlign w:val="baseline"/>
                <w:lang w:val="en-US" w:eastAsia="zh-CN" w:bidi="ar-SA"/>
              </w:rPr>
              <w:t>套</w:t>
            </w:r>
          </w:p>
        </w:tc>
        <w:tc>
          <w:tcPr>
            <w:tcW w:w="923" w:type="dxa"/>
            <w:vAlign w:val="center"/>
          </w:tcPr>
          <w:p>
            <w:pPr>
              <w:spacing w:line="240" w:lineRule="auto"/>
              <w:ind w:left="0" w:leftChars="0" w:firstLine="0" w:firstLineChars="0"/>
              <w:jc w:val="center"/>
              <w:rPr>
                <w:rFonts w:hint="default" w:cs="Times New Roman"/>
                <w:b w:val="0"/>
                <w:bCs w:val="0"/>
                <w:spacing w:val="0"/>
                <w:sz w:val="18"/>
                <w:szCs w:val="18"/>
                <w:vertAlign w:val="baseline"/>
                <w:lang w:val="en-US" w:eastAsia="zh-CN" w:bidi="ar-SA"/>
              </w:rPr>
            </w:pPr>
            <w:r>
              <w:rPr>
                <w:rFonts w:hint="eastAsia" w:cs="Times New Roman"/>
                <w:b w:val="0"/>
                <w:bCs w:val="0"/>
                <w:spacing w:val="0"/>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pPr>
              <w:spacing w:line="240" w:lineRule="auto"/>
              <w:ind w:left="0" w:leftChars="0" w:firstLine="0" w:firstLineChars="0"/>
              <w:jc w:val="center"/>
              <w:rPr>
                <w:rFonts w:hint="default" w:cs="Times New Roman"/>
                <w:b w:val="0"/>
                <w:bCs w:val="0"/>
                <w:spacing w:val="0"/>
                <w:sz w:val="18"/>
                <w:szCs w:val="18"/>
                <w:vertAlign w:val="baseline"/>
                <w:lang w:val="en-US" w:eastAsia="zh-CN" w:bidi="ar-SA"/>
              </w:rPr>
            </w:pPr>
            <w:r>
              <w:rPr>
                <w:rFonts w:hint="eastAsia" w:cs="Times New Roman"/>
                <w:b w:val="0"/>
                <w:bCs w:val="0"/>
                <w:spacing w:val="0"/>
                <w:sz w:val="18"/>
                <w:szCs w:val="18"/>
                <w:vertAlign w:val="baseline"/>
                <w:lang w:val="en-US" w:eastAsia="zh-CN" w:bidi="ar-SA"/>
              </w:rPr>
              <w:t>2</w:t>
            </w:r>
          </w:p>
        </w:tc>
        <w:tc>
          <w:tcPr>
            <w:tcW w:w="1765" w:type="dxa"/>
            <w:vAlign w:val="center"/>
          </w:tcPr>
          <w:p>
            <w:pPr>
              <w:spacing w:line="240" w:lineRule="auto"/>
              <w:ind w:left="0" w:leftChars="0" w:firstLine="0" w:firstLineChars="0"/>
              <w:jc w:val="center"/>
              <w:rPr>
                <w:rFonts w:hint="default" w:cs="Times New Roman"/>
                <w:b w:val="0"/>
                <w:bCs w:val="0"/>
                <w:spacing w:val="0"/>
                <w:sz w:val="18"/>
                <w:szCs w:val="18"/>
                <w:vertAlign w:val="baseline"/>
                <w:lang w:val="en-US" w:eastAsia="zh-CN" w:bidi="ar-SA"/>
              </w:rPr>
            </w:pPr>
            <w:r>
              <w:rPr>
                <w:rFonts w:hint="default" w:cs="Times New Roman"/>
                <w:b w:val="0"/>
                <w:bCs w:val="0"/>
                <w:spacing w:val="0"/>
                <w:sz w:val="18"/>
                <w:szCs w:val="18"/>
                <w:vertAlign w:val="baseline"/>
                <w:lang w:val="en-US" w:eastAsia="zh-CN" w:bidi="ar-SA"/>
              </w:rPr>
              <w:t>空气站连接专网</w:t>
            </w:r>
          </w:p>
        </w:tc>
        <w:tc>
          <w:tcPr>
            <w:tcW w:w="4732" w:type="dxa"/>
            <w:vAlign w:val="center"/>
          </w:tcPr>
          <w:p>
            <w:pPr>
              <w:spacing w:line="240" w:lineRule="auto"/>
              <w:ind w:left="0" w:leftChars="0" w:firstLine="0" w:firstLineChars="0"/>
              <w:jc w:val="left"/>
              <w:rPr>
                <w:rFonts w:hint="default" w:cs="Times New Roman"/>
                <w:b w:val="0"/>
                <w:bCs w:val="0"/>
                <w:spacing w:val="0"/>
                <w:sz w:val="18"/>
                <w:szCs w:val="18"/>
                <w:vertAlign w:val="baseline"/>
                <w:lang w:val="en-US" w:eastAsia="zh-CN" w:bidi="ar-SA"/>
              </w:rPr>
            </w:pPr>
            <w:r>
              <w:rPr>
                <w:rFonts w:hint="eastAsia" w:cs="Times New Roman"/>
                <w:b w:val="0"/>
                <w:bCs w:val="0"/>
                <w:spacing w:val="0"/>
                <w:sz w:val="18"/>
                <w:szCs w:val="18"/>
                <w:vertAlign w:val="baseline"/>
                <w:lang w:val="en-US" w:eastAsia="zh-CN" w:bidi="ar-SA"/>
              </w:rPr>
              <w:t>与当地通讯公司联系并接入专网，并将数据上传至相关平台，包含一年专网费用</w:t>
            </w:r>
          </w:p>
        </w:tc>
        <w:tc>
          <w:tcPr>
            <w:tcW w:w="985" w:type="dxa"/>
            <w:vAlign w:val="center"/>
          </w:tcPr>
          <w:p>
            <w:pPr>
              <w:spacing w:line="240" w:lineRule="auto"/>
              <w:ind w:left="0" w:leftChars="0" w:firstLine="0" w:firstLineChars="0"/>
              <w:jc w:val="center"/>
              <w:rPr>
                <w:rFonts w:hint="default" w:cs="Times New Roman"/>
                <w:b w:val="0"/>
                <w:bCs w:val="0"/>
                <w:spacing w:val="0"/>
                <w:sz w:val="18"/>
                <w:szCs w:val="18"/>
                <w:vertAlign w:val="baseline"/>
                <w:lang w:val="en-US" w:eastAsia="zh-CN" w:bidi="ar-SA"/>
              </w:rPr>
            </w:pPr>
            <w:r>
              <w:rPr>
                <w:rFonts w:hint="eastAsia" w:cs="Times New Roman"/>
                <w:b w:val="0"/>
                <w:bCs w:val="0"/>
                <w:spacing w:val="0"/>
                <w:sz w:val="18"/>
                <w:szCs w:val="18"/>
                <w:vertAlign w:val="baseline"/>
                <w:lang w:val="en-US" w:eastAsia="zh-CN" w:bidi="ar-SA"/>
              </w:rPr>
              <w:t>项</w:t>
            </w:r>
          </w:p>
        </w:tc>
        <w:tc>
          <w:tcPr>
            <w:tcW w:w="923" w:type="dxa"/>
            <w:vAlign w:val="center"/>
          </w:tcPr>
          <w:p>
            <w:pPr>
              <w:spacing w:line="240" w:lineRule="auto"/>
              <w:ind w:left="0" w:leftChars="0" w:firstLine="0" w:firstLineChars="0"/>
              <w:jc w:val="center"/>
              <w:rPr>
                <w:rFonts w:hint="default" w:cs="Times New Roman"/>
                <w:b w:val="0"/>
                <w:bCs w:val="0"/>
                <w:spacing w:val="0"/>
                <w:sz w:val="18"/>
                <w:szCs w:val="18"/>
                <w:vertAlign w:val="baseline"/>
                <w:lang w:val="en-US" w:eastAsia="zh-CN" w:bidi="ar-SA"/>
              </w:rPr>
            </w:pPr>
            <w:r>
              <w:rPr>
                <w:rFonts w:hint="eastAsia" w:cs="Times New Roman"/>
                <w:b w:val="0"/>
                <w:bCs w:val="0"/>
                <w:spacing w:val="0"/>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pPr>
              <w:spacing w:line="240" w:lineRule="auto"/>
              <w:ind w:left="0" w:leftChars="0" w:firstLine="0" w:firstLineChars="0"/>
              <w:jc w:val="center"/>
              <w:rPr>
                <w:rFonts w:hint="default" w:cs="Times New Roman"/>
                <w:b w:val="0"/>
                <w:bCs w:val="0"/>
                <w:spacing w:val="0"/>
                <w:sz w:val="18"/>
                <w:szCs w:val="18"/>
                <w:vertAlign w:val="baseline"/>
                <w:lang w:val="en-US" w:eastAsia="zh-CN" w:bidi="ar-SA"/>
              </w:rPr>
            </w:pPr>
            <w:r>
              <w:rPr>
                <w:rFonts w:hint="eastAsia" w:cs="Times New Roman"/>
                <w:b w:val="0"/>
                <w:bCs w:val="0"/>
                <w:spacing w:val="0"/>
                <w:sz w:val="18"/>
                <w:szCs w:val="18"/>
                <w:vertAlign w:val="baseline"/>
                <w:lang w:val="en-US" w:eastAsia="zh-CN" w:bidi="ar-SA"/>
              </w:rPr>
              <w:t>3</w:t>
            </w:r>
          </w:p>
        </w:tc>
        <w:tc>
          <w:tcPr>
            <w:tcW w:w="1765" w:type="dxa"/>
            <w:vAlign w:val="center"/>
          </w:tcPr>
          <w:p>
            <w:pPr>
              <w:spacing w:line="240" w:lineRule="auto"/>
              <w:ind w:left="0" w:leftChars="0" w:firstLine="0" w:firstLineChars="0"/>
              <w:jc w:val="center"/>
              <w:rPr>
                <w:rFonts w:hint="default" w:cs="Times New Roman"/>
                <w:b w:val="0"/>
                <w:bCs w:val="0"/>
                <w:spacing w:val="0"/>
                <w:sz w:val="18"/>
                <w:szCs w:val="18"/>
                <w:vertAlign w:val="baseline"/>
                <w:lang w:val="en-US" w:eastAsia="zh-CN" w:bidi="ar-SA"/>
              </w:rPr>
            </w:pPr>
            <w:r>
              <w:rPr>
                <w:rFonts w:hint="default" w:cs="Times New Roman"/>
                <w:b w:val="0"/>
                <w:bCs w:val="0"/>
                <w:spacing w:val="0"/>
                <w:sz w:val="18"/>
                <w:szCs w:val="18"/>
                <w:vertAlign w:val="baseline"/>
                <w:lang w:val="en-US" w:eastAsia="zh-CN" w:bidi="ar-SA"/>
              </w:rPr>
              <w:t>SO2 分析仪</w:t>
            </w:r>
          </w:p>
        </w:tc>
        <w:tc>
          <w:tcPr>
            <w:tcW w:w="4732" w:type="dxa"/>
            <w:vAlign w:val="center"/>
          </w:tcPr>
          <w:p>
            <w:pPr>
              <w:spacing w:line="240" w:lineRule="auto"/>
              <w:ind w:left="0" w:leftChars="0" w:firstLine="0" w:firstLineChars="0"/>
              <w:jc w:val="left"/>
              <w:rPr>
                <w:rFonts w:hint="default" w:cs="Times New Roman"/>
                <w:b w:val="0"/>
                <w:bCs w:val="0"/>
                <w:spacing w:val="0"/>
                <w:sz w:val="18"/>
                <w:szCs w:val="18"/>
                <w:vertAlign w:val="baseline"/>
                <w:lang w:val="en-US" w:eastAsia="zh-CN" w:bidi="ar-SA"/>
              </w:rPr>
            </w:pPr>
            <w:r>
              <w:rPr>
                <w:rFonts w:hint="eastAsia" w:cs="Times New Roman"/>
                <w:b w:val="0"/>
                <w:bCs w:val="0"/>
                <w:spacing w:val="0"/>
                <w:sz w:val="18"/>
                <w:szCs w:val="18"/>
                <w:vertAlign w:val="baseline"/>
                <w:lang w:val="en-US" w:eastAsia="zh-CN" w:bidi="ar-SA"/>
              </w:rPr>
              <w:t>紫外荧光法，测量范围：0-500ppb；测量方法：紫外荧光法；零点噪声：≤±0.2ppb；量程噪声：≤±1.5ppb；最低检出限：≤±0.5ppb；示值误差：≤±0.2%F.S.；</w:t>
            </w:r>
          </w:p>
        </w:tc>
        <w:tc>
          <w:tcPr>
            <w:tcW w:w="985" w:type="dxa"/>
            <w:vAlign w:val="center"/>
          </w:tcPr>
          <w:p>
            <w:pPr>
              <w:spacing w:line="240" w:lineRule="auto"/>
              <w:ind w:left="0" w:leftChars="0" w:firstLine="0" w:firstLineChars="0"/>
              <w:jc w:val="center"/>
              <w:rPr>
                <w:rFonts w:hint="default" w:cs="Times New Roman"/>
                <w:b w:val="0"/>
                <w:bCs w:val="0"/>
                <w:spacing w:val="0"/>
                <w:sz w:val="18"/>
                <w:szCs w:val="18"/>
                <w:vertAlign w:val="baseline"/>
                <w:lang w:val="en-US" w:eastAsia="zh-CN" w:bidi="ar-SA"/>
              </w:rPr>
            </w:pPr>
            <w:r>
              <w:rPr>
                <w:rFonts w:hint="eastAsia" w:cs="Times New Roman"/>
                <w:b w:val="0"/>
                <w:bCs w:val="0"/>
                <w:spacing w:val="0"/>
                <w:sz w:val="18"/>
                <w:szCs w:val="18"/>
                <w:vertAlign w:val="baseline"/>
                <w:lang w:val="en-US" w:eastAsia="zh-CN" w:bidi="ar-SA"/>
              </w:rPr>
              <w:t>台</w:t>
            </w:r>
          </w:p>
        </w:tc>
        <w:tc>
          <w:tcPr>
            <w:tcW w:w="923" w:type="dxa"/>
            <w:vAlign w:val="center"/>
          </w:tcPr>
          <w:p>
            <w:pPr>
              <w:spacing w:line="240" w:lineRule="auto"/>
              <w:ind w:left="0" w:leftChars="0" w:firstLine="0" w:firstLineChars="0"/>
              <w:jc w:val="center"/>
              <w:rPr>
                <w:rFonts w:hint="default" w:cs="Times New Roman"/>
                <w:b w:val="0"/>
                <w:bCs w:val="0"/>
                <w:spacing w:val="0"/>
                <w:sz w:val="18"/>
                <w:szCs w:val="18"/>
                <w:vertAlign w:val="baseline"/>
                <w:lang w:val="en-US" w:eastAsia="zh-CN" w:bidi="ar-SA"/>
              </w:rPr>
            </w:pPr>
            <w:r>
              <w:rPr>
                <w:rFonts w:hint="eastAsia" w:cs="Times New Roman"/>
                <w:b w:val="0"/>
                <w:bCs w:val="0"/>
                <w:spacing w:val="0"/>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pPr>
              <w:spacing w:line="240" w:lineRule="auto"/>
              <w:ind w:left="0" w:leftChars="0" w:firstLine="0" w:firstLineChars="0"/>
              <w:jc w:val="center"/>
              <w:rPr>
                <w:rFonts w:hint="default" w:cs="Times New Roman"/>
                <w:b w:val="0"/>
                <w:bCs w:val="0"/>
                <w:spacing w:val="0"/>
                <w:sz w:val="18"/>
                <w:szCs w:val="18"/>
                <w:vertAlign w:val="baseline"/>
                <w:lang w:val="en-US" w:eastAsia="zh-CN" w:bidi="ar-SA"/>
              </w:rPr>
            </w:pPr>
            <w:r>
              <w:rPr>
                <w:rFonts w:hint="eastAsia" w:cs="Times New Roman"/>
                <w:b w:val="0"/>
                <w:bCs w:val="0"/>
                <w:spacing w:val="0"/>
                <w:sz w:val="18"/>
                <w:szCs w:val="18"/>
                <w:vertAlign w:val="baseline"/>
                <w:lang w:val="en-US" w:eastAsia="zh-CN" w:bidi="ar-SA"/>
              </w:rPr>
              <w:t>4</w:t>
            </w:r>
          </w:p>
        </w:tc>
        <w:tc>
          <w:tcPr>
            <w:tcW w:w="1765" w:type="dxa"/>
            <w:vAlign w:val="center"/>
          </w:tcPr>
          <w:p>
            <w:pPr>
              <w:spacing w:line="240" w:lineRule="auto"/>
              <w:ind w:left="0" w:leftChars="0" w:firstLine="0" w:firstLineChars="0"/>
              <w:jc w:val="center"/>
              <w:rPr>
                <w:rFonts w:hint="default" w:cs="Times New Roman"/>
                <w:b w:val="0"/>
                <w:bCs w:val="0"/>
                <w:spacing w:val="0"/>
                <w:sz w:val="18"/>
                <w:szCs w:val="18"/>
                <w:vertAlign w:val="baseline"/>
                <w:lang w:val="en-US" w:eastAsia="zh-CN" w:bidi="ar-SA"/>
              </w:rPr>
            </w:pPr>
            <w:r>
              <w:rPr>
                <w:rFonts w:hint="default" w:cs="Times New Roman"/>
                <w:b w:val="0"/>
                <w:bCs w:val="0"/>
                <w:spacing w:val="0"/>
                <w:sz w:val="18"/>
                <w:szCs w:val="18"/>
                <w:vertAlign w:val="baseline"/>
                <w:lang w:val="en-US" w:eastAsia="zh-CN" w:bidi="ar-SA"/>
              </w:rPr>
              <w:t>NO-NO2 -NOx 分 析仪</w:t>
            </w:r>
          </w:p>
        </w:tc>
        <w:tc>
          <w:tcPr>
            <w:tcW w:w="4732" w:type="dxa"/>
            <w:vAlign w:val="center"/>
          </w:tcPr>
          <w:p>
            <w:pPr>
              <w:spacing w:line="240" w:lineRule="auto"/>
              <w:ind w:left="0" w:leftChars="0" w:firstLine="0" w:firstLineChars="0"/>
              <w:jc w:val="left"/>
              <w:rPr>
                <w:rFonts w:hint="default" w:cs="Times New Roman"/>
                <w:b w:val="0"/>
                <w:bCs w:val="0"/>
                <w:spacing w:val="0"/>
                <w:sz w:val="18"/>
                <w:szCs w:val="18"/>
                <w:vertAlign w:val="baseline"/>
                <w:lang w:val="en-US" w:eastAsia="zh-CN" w:bidi="ar-SA"/>
              </w:rPr>
            </w:pPr>
            <w:r>
              <w:rPr>
                <w:rFonts w:hint="default" w:cs="Times New Roman"/>
                <w:b w:val="0"/>
                <w:bCs w:val="0"/>
                <w:spacing w:val="0"/>
                <w:sz w:val="18"/>
                <w:szCs w:val="18"/>
                <w:vertAlign w:val="baseline"/>
                <w:lang w:val="en-US" w:eastAsia="zh-CN" w:bidi="ar-SA"/>
              </w:rPr>
              <w:t>化学发光法</w:t>
            </w:r>
            <w:r>
              <w:rPr>
                <w:rFonts w:hint="eastAsia" w:cs="Times New Roman"/>
                <w:b w:val="0"/>
                <w:bCs w:val="0"/>
                <w:spacing w:val="0"/>
                <w:sz w:val="18"/>
                <w:szCs w:val="18"/>
                <w:vertAlign w:val="baseline"/>
                <w:lang w:val="en-US" w:eastAsia="zh-CN" w:bidi="ar-SA"/>
              </w:rPr>
              <w:t>，氮氧化物：测量范围μmol/mol：0-500ppb；测量方法：化学发光法零点噪声：≤±0.2ppb；量程噪声：≤±1.5ppb最低检出限：≤±0.5ppb；示值误差：≤±0.2%F.S.</w:t>
            </w:r>
          </w:p>
        </w:tc>
        <w:tc>
          <w:tcPr>
            <w:tcW w:w="985" w:type="dxa"/>
            <w:vAlign w:val="center"/>
          </w:tcPr>
          <w:p>
            <w:pPr>
              <w:spacing w:line="240" w:lineRule="auto"/>
              <w:ind w:left="0" w:leftChars="0" w:firstLine="0" w:firstLineChars="0"/>
              <w:jc w:val="center"/>
              <w:rPr>
                <w:rFonts w:hint="default" w:cs="Times New Roman"/>
                <w:b w:val="0"/>
                <w:bCs w:val="0"/>
                <w:spacing w:val="0"/>
                <w:sz w:val="18"/>
                <w:szCs w:val="18"/>
                <w:vertAlign w:val="baseline"/>
                <w:lang w:val="en-US" w:eastAsia="zh-CN" w:bidi="ar-SA"/>
              </w:rPr>
            </w:pPr>
            <w:r>
              <w:rPr>
                <w:rFonts w:hint="eastAsia" w:cs="Times New Roman"/>
                <w:b w:val="0"/>
                <w:bCs w:val="0"/>
                <w:spacing w:val="0"/>
                <w:sz w:val="18"/>
                <w:szCs w:val="18"/>
                <w:vertAlign w:val="baseline"/>
                <w:lang w:val="en-US" w:eastAsia="zh-CN" w:bidi="ar-SA"/>
              </w:rPr>
              <w:t>台</w:t>
            </w:r>
          </w:p>
        </w:tc>
        <w:tc>
          <w:tcPr>
            <w:tcW w:w="923" w:type="dxa"/>
            <w:vAlign w:val="center"/>
          </w:tcPr>
          <w:p>
            <w:pPr>
              <w:spacing w:line="240" w:lineRule="auto"/>
              <w:ind w:left="0" w:leftChars="0" w:firstLine="0" w:firstLineChars="0"/>
              <w:jc w:val="center"/>
              <w:rPr>
                <w:rFonts w:hint="default" w:cs="Times New Roman"/>
                <w:b w:val="0"/>
                <w:bCs w:val="0"/>
                <w:spacing w:val="0"/>
                <w:sz w:val="18"/>
                <w:szCs w:val="18"/>
                <w:vertAlign w:val="baseline"/>
                <w:lang w:val="en-US" w:eastAsia="zh-CN" w:bidi="ar-SA"/>
              </w:rPr>
            </w:pPr>
            <w:r>
              <w:rPr>
                <w:rFonts w:hint="eastAsia" w:cs="Times New Roman"/>
                <w:b w:val="0"/>
                <w:bCs w:val="0"/>
                <w:spacing w:val="0"/>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pPr>
              <w:spacing w:line="240" w:lineRule="auto"/>
              <w:ind w:left="0" w:leftChars="0" w:firstLine="0" w:firstLineChars="0"/>
              <w:jc w:val="center"/>
              <w:rPr>
                <w:rFonts w:hint="default" w:cs="Times New Roman"/>
                <w:b w:val="0"/>
                <w:bCs w:val="0"/>
                <w:spacing w:val="0"/>
                <w:sz w:val="18"/>
                <w:szCs w:val="18"/>
                <w:vertAlign w:val="baseline"/>
                <w:lang w:val="en-US" w:eastAsia="zh-CN" w:bidi="ar-SA"/>
              </w:rPr>
            </w:pPr>
            <w:r>
              <w:rPr>
                <w:rFonts w:hint="eastAsia" w:cs="Times New Roman"/>
                <w:b w:val="0"/>
                <w:bCs w:val="0"/>
                <w:spacing w:val="0"/>
                <w:sz w:val="18"/>
                <w:szCs w:val="18"/>
                <w:vertAlign w:val="baseline"/>
                <w:lang w:val="en-US" w:eastAsia="zh-CN" w:bidi="ar-SA"/>
              </w:rPr>
              <w:t>5</w:t>
            </w:r>
          </w:p>
        </w:tc>
        <w:tc>
          <w:tcPr>
            <w:tcW w:w="1765" w:type="dxa"/>
            <w:vAlign w:val="center"/>
          </w:tcPr>
          <w:p>
            <w:pPr>
              <w:spacing w:line="240" w:lineRule="auto"/>
              <w:ind w:left="0" w:leftChars="0" w:firstLine="0" w:firstLineChars="0"/>
              <w:jc w:val="center"/>
              <w:rPr>
                <w:rFonts w:hint="default" w:cs="Times New Roman"/>
                <w:b w:val="0"/>
                <w:bCs w:val="0"/>
                <w:spacing w:val="0"/>
                <w:sz w:val="18"/>
                <w:szCs w:val="18"/>
                <w:vertAlign w:val="baseline"/>
                <w:lang w:val="en-US" w:eastAsia="zh-CN" w:bidi="ar-SA"/>
              </w:rPr>
            </w:pPr>
            <w:r>
              <w:rPr>
                <w:rFonts w:hint="default" w:cs="Times New Roman"/>
                <w:b w:val="0"/>
                <w:bCs w:val="0"/>
                <w:spacing w:val="0"/>
                <w:sz w:val="18"/>
                <w:szCs w:val="18"/>
                <w:vertAlign w:val="baseline"/>
                <w:lang w:val="en-US" w:eastAsia="zh-CN" w:bidi="ar-SA"/>
              </w:rPr>
              <w:t>CO 分析仪</w:t>
            </w:r>
          </w:p>
        </w:tc>
        <w:tc>
          <w:tcPr>
            <w:tcW w:w="4732" w:type="dxa"/>
            <w:vAlign w:val="center"/>
          </w:tcPr>
          <w:p>
            <w:pPr>
              <w:spacing w:line="240" w:lineRule="auto"/>
              <w:ind w:left="0" w:leftChars="0" w:firstLine="0" w:firstLineChars="0"/>
              <w:jc w:val="left"/>
              <w:rPr>
                <w:rFonts w:hint="default" w:cs="Times New Roman"/>
                <w:b w:val="0"/>
                <w:bCs w:val="0"/>
                <w:spacing w:val="0"/>
                <w:sz w:val="18"/>
                <w:szCs w:val="18"/>
                <w:vertAlign w:val="baseline"/>
                <w:lang w:val="en-US" w:eastAsia="zh-CN" w:bidi="ar-SA"/>
              </w:rPr>
            </w:pPr>
            <w:r>
              <w:rPr>
                <w:rFonts w:hint="default" w:cs="Times New Roman"/>
                <w:b w:val="0"/>
                <w:bCs w:val="0"/>
                <w:spacing w:val="0"/>
                <w:sz w:val="18"/>
                <w:szCs w:val="18"/>
                <w:vertAlign w:val="baseline"/>
                <w:lang w:val="en-US" w:eastAsia="zh-CN" w:bidi="ar-SA"/>
              </w:rPr>
              <w:t>气体滤波相关红外吸收法</w:t>
            </w:r>
            <w:r>
              <w:rPr>
                <w:rFonts w:hint="eastAsia" w:cs="Times New Roman"/>
                <w:b w:val="0"/>
                <w:bCs w:val="0"/>
                <w:spacing w:val="0"/>
                <w:sz w:val="18"/>
                <w:szCs w:val="18"/>
                <w:vertAlign w:val="baseline"/>
                <w:lang w:val="en-US" w:eastAsia="zh-CN" w:bidi="ar-SA"/>
              </w:rPr>
              <w:t>，测量范围：0-50ppm；测量方法：气体滤波相关红外吸收法；零点噪声：≤±0.1ppm；量程噪声：≤±0.1ppm；最低检出限：≤±0.1ppm；采样口和校准口浓度偏差：≤±0.5%</w:t>
            </w:r>
          </w:p>
        </w:tc>
        <w:tc>
          <w:tcPr>
            <w:tcW w:w="985" w:type="dxa"/>
            <w:vAlign w:val="center"/>
          </w:tcPr>
          <w:p>
            <w:pPr>
              <w:spacing w:line="240" w:lineRule="auto"/>
              <w:ind w:left="0" w:leftChars="0" w:firstLine="0" w:firstLineChars="0"/>
              <w:jc w:val="center"/>
              <w:rPr>
                <w:rFonts w:hint="default" w:cs="Times New Roman"/>
                <w:b w:val="0"/>
                <w:bCs w:val="0"/>
                <w:spacing w:val="0"/>
                <w:sz w:val="18"/>
                <w:szCs w:val="18"/>
                <w:vertAlign w:val="baseline"/>
                <w:lang w:val="en-US" w:eastAsia="zh-CN" w:bidi="ar-SA"/>
              </w:rPr>
            </w:pPr>
            <w:r>
              <w:rPr>
                <w:rFonts w:hint="eastAsia" w:cs="Times New Roman"/>
                <w:b w:val="0"/>
                <w:bCs w:val="0"/>
                <w:spacing w:val="0"/>
                <w:sz w:val="18"/>
                <w:szCs w:val="18"/>
                <w:vertAlign w:val="baseline"/>
                <w:lang w:val="en-US" w:eastAsia="zh-CN" w:bidi="ar-SA"/>
              </w:rPr>
              <w:t>台</w:t>
            </w:r>
          </w:p>
        </w:tc>
        <w:tc>
          <w:tcPr>
            <w:tcW w:w="923" w:type="dxa"/>
            <w:vAlign w:val="center"/>
          </w:tcPr>
          <w:p>
            <w:pPr>
              <w:spacing w:line="240" w:lineRule="auto"/>
              <w:ind w:left="0" w:leftChars="0" w:firstLine="0" w:firstLineChars="0"/>
              <w:jc w:val="center"/>
              <w:rPr>
                <w:rFonts w:hint="default" w:cs="Times New Roman"/>
                <w:b w:val="0"/>
                <w:bCs w:val="0"/>
                <w:spacing w:val="0"/>
                <w:sz w:val="18"/>
                <w:szCs w:val="18"/>
                <w:vertAlign w:val="baseline"/>
                <w:lang w:val="en-US" w:eastAsia="zh-CN" w:bidi="ar-SA"/>
              </w:rPr>
            </w:pPr>
            <w:r>
              <w:rPr>
                <w:rFonts w:hint="eastAsia" w:cs="Times New Roman"/>
                <w:b w:val="0"/>
                <w:bCs w:val="0"/>
                <w:spacing w:val="0"/>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pPr>
              <w:spacing w:line="240" w:lineRule="auto"/>
              <w:ind w:left="0" w:leftChars="0" w:firstLine="0" w:firstLineChars="0"/>
              <w:jc w:val="center"/>
              <w:rPr>
                <w:rFonts w:hint="default" w:cs="Times New Roman"/>
                <w:b w:val="0"/>
                <w:bCs w:val="0"/>
                <w:spacing w:val="0"/>
                <w:sz w:val="18"/>
                <w:szCs w:val="18"/>
                <w:vertAlign w:val="baseline"/>
                <w:lang w:val="en-US" w:eastAsia="zh-CN" w:bidi="ar-SA"/>
              </w:rPr>
            </w:pPr>
            <w:r>
              <w:rPr>
                <w:rFonts w:hint="eastAsia" w:cs="Times New Roman"/>
                <w:b w:val="0"/>
                <w:bCs w:val="0"/>
                <w:spacing w:val="0"/>
                <w:sz w:val="18"/>
                <w:szCs w:val="18"/>
                <w:vertAlign w:val="baseline"/>
                <w:lang w:val="en-US" w:eastAsia="zh-CN" w:bidi="ar-SA"/>
              </w:rPr>
              <w:t>6</w:t>
            </w:r>
          </w:p>
        </w:tc>
        <w:tc>
          <w:tcPr>
            <w:tcW w:w="1765" w:type="dxa"/>
            <w:vAlign w:val="center"/>
          </w:tcPr>
          <w:p>
            <w:pPr>
              <w:spacing w:line="240" w:lineRule="auto"/>
              <w:ind w:left="0" w:leftChars="0" w:firstLine="0" w:firstLineChars="0"/>
              <w:jc w:val="center"/>
              <w:rPr>
                <w:rFonts w:hint="default" w:cs="Times New Roman"/>
                <w:b w:val="0"/>
                <w:bCs w:val="0"/>
                <w:spacing w:val="0"/>
                <w:sz w:val="18"/>
                <w:szCs w:val="18"/>
                <w:vertAlign w:val="baseline"/>
                <w:lang w:val="en-US" w:eastAsia="zh-CN" w:bidi="ar-SA"/>
              </w:rPr>
            </w:pPr>
            <w:r>
              <w:rPr>
                <w:rFonts w:hint="default" w:cs="Times New Roman"/>
                <w:b w:val="0"/>
                <w:bCs w:val="0"/>
                <w:spacing w:val="0"/>
                <w:sz w:val="18"/>
                <w:szCs w:val="18"/>
                <w:vertAlign w:val="baseline"/>
                <w:lang w:val="en-US" w:eastAsia="zh-CN" w:bidi="ar-SA"/>
              </w:rPr>
              <w:t>O3 分析仪</w:t>
            </w:r>
          </w:p>
        </w:tc>
        <w:tc>
          <w:tcPr>
            <w:tcW w:w="4732" w:type="dxa"/>
            <w:vAlign w:val="center"/>
          </w:tcPr>
          <w:p>
            <w:pPr>
              <w:spacing w:line="240" w:lineRule="auto"/>
              <w:ind w:left="0" w:leftChars="0" w:firstLine="0" w:firstLineChars="0"/>
              <w:jc w:val="left"/>
              <w:rPr>
                <w:rFonts w:hint="default" w:cs="Times New Roman"/>
                <w:b w:val="0"/>
                <w:bCs w:val="0"/>
                <w:spacing w:val="0"/>
                <w:sz w:val="18"/>
                <w:szCs w:val="18"/>
                <w:vertAlign w:val="baseline"/>
                <w:lang w:val="en-US" w:eastAsia="zh-CN" w:bidi="ar-SA"/>
              </w:rPr>
            </w:pPr>
            <w:r>
              <w:rPr>
                <w:rFonts w:hint="default" w:cs="Times New Roman"/>
                <w:b w:val="0"/>
                <w:bCs w:val="0"/>
                <w:spacing w:val="0"/>
                <w:sz w:val="18"/>
                <w:szCs w:val="18"/>
                <w:vertAlign w:val="baseline"/>
                <w:lang w:val="en-US" w:eastAsia="zh-CN" w:bidi="ar-SA"/>
              </w:rPr>
              <w:t>紫外吸收法</w:t>
            </w:r>
            <w:r>
              <w:rPr>
                <w:rFonts w:hint="eastAsia" w:cs="Times New Roman"/>
                <w:b w:val="0"/>
                <w:bCs w:val="0"/>
                <w:spacing w:val="0"/>
                <w:sz w:val="18"/>
                <w:szCs w:val="18"/>
                <w:vertAlign w:val="baseline"/>
                <w:lang w:val="en-US" w:eastAsia="zh-CN" w:bidi="ar-SA"/>
              </w:rPr>
              <w:t>，测量范围：0-500ppb；测量方法：紫外分光光度法；零点噪声：≤±0.2ppb；量程噪声：≤±1.5ppb；最低检出限：≤±0.5ppb</w:t>
            </w:r>
          </w:p>
        </w:tc>
        <w:tc>
          <w:tcPr>
            <w:tcW w:w="985" w:type="dxa"/>
            <w:vAlign w:val="center"/>
          </w:tcPr>
          <w:p>
            <w:pPr>
              <w:spacing w:line="240" w:lineRule="auto"/>
              <w:ind w:left="0" w:leftChars="0" w:firstLine="0" w:firstLineChars="0"/>
              <w:jc w:val="center"/>
              <w:rPr>
                <w:rFonts w:hint="default" w:cs="Times New Roman"/>
                <w:b w:val="0"/>
                <w:bCs w:val="0"/>
                <w:spacing w:val="0"/>
                <w:sz w:val="18"/>
                <w:szCs w:val="18"/>
                <w:vertAlign w:val="baseline"/>
                <w:lang w:val="en-US" w:eastAsia="zh-CN" w:bidi="ar-SA"/>
              </w:rPr>
            </w:pPr>
            <w:r>
              <w:rPr>
                <w:rFonts w:hint="eastAsia" w:cs="Times New Roman"/>
                <w:b w:val="0"/>
                <w:bCs w:val="0"/>
                <w:spacing w:val="0"/>
                <w:sz w:val="18"/>
                <w:szCs w:val="18"/>
                <w:vertAlign w:val="baseline"/>
                <w:lang w:val="en-US" w:eastAsia="zh-CN" w:bidi="ar-SA"/>
              </w:rPr>
              <w:t>台</w:t>
            </w:r>
          </w:p>
        </w:tc>
        <w:tc>
          <w:tcPr>
            <w:tcW w:w="923" w:type="dxa"/>
            <w:vAlign w:val="center"/>
          </w:tcPr>
          <w:p>
            <w:pPr>
              <w:spacing w:line="240" w:lineRule="auto"/>
              <w:ind w:left="0" w:leftChars="0" w:firstLine="0" w:firstLineChars="0"/>
              <w:jc w:val="center"/>
              <w:rPr>
                <w:rFonts w:hint="default" w:cs="Times New Roman"/>
                <w:b w:val="0"/>
                <w:bCs w:val="0"/>
                <w:spacing w:val="0"/>
                <w:sz w:val="18"/>
                <w:szCs w:val="18"/>
                <w:vertAlign w:val="baseline"/>
                <w:lang w:val="en-US" w:eastAsia="zh-CN" w:bidi="ar-SA"/>
              </w:rPr>
            </w:pPr>
            <w:r>
              <w:rPr>
                <w:rFonts w:hint="eastAsia" w:cs="Times New Roman"/>
                <w:b w:val="0"/>
                <w:bCs w:val="0"/>
                <w:spacing w:val="0"/>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pPr>
              <w:spacing w:line="240" w:lineRule="auto"/>
              <w:ind w:left="0" w:leftChars="0" w:firstLine="0" w:firstLineChars="0"/>
              <w:jc w:val="center"/>
              <w:rPr>
                <w:rFonts w:hint="default" w:cs="Times New Roman"/>
                <w:b w:val="0"/>
                <w:bCs w:val="0"/>
                <w:spacing w:val="0"/>
                <w:sz w:val="18"/>
                <w:szCs w:val="18"/>
                <w:vertAlign w:val="baseline"/>
                <w:lang w:val="en-US" w:eastAsia="zh-CN" w:bidi="ar-SA"/>
              </w:rPr>
            </w:pPr>
            <w:r>
              <w:rPr>
                <w:rFonts w:hint="eastAsia" w:cs="Times New Roman"/>
                <w:b w:val="0"/>
                <w:bCs w:val="0"/>
                <w:spacing w:val="0"/>
                <w:sz w:val="18"/>
                <w:szCs w:val="18"/>
                <w:vertAlign w:val="baseline"/>
                <w:lang w:val="en-US" w:eastAsia="zh-CN" w:bidi="ar-SA"/>
              </w:rPr>
              <w:t>7</w:t>
            </w:r>
          </w:p>
        </w:tc>
        <w:tc>
          <w:tcPr>
            <w:tcW w:w="1765" w:type="dxa"/>
            <w:vAlign w:val="center"/>
          </w:tcPr>
          <w:p>
            <w:pPr>
              <w:spacing w:line="240" w:lineRule="auto"/>
              <w:ind w:left="0" w:leftChars="0" w:firstLine="0" w:firstLineChars="0"/>
              <w:jc w:val="center"/>
              <w:rPr>
                <w:rFonts w:hint="default" w:cs="Times New Roman"/>
                <w:b w:val="0"/>
                <w:bCs w:val="0"/>
                <w:spacing w:val="0"/>
                <w:sz w:val="18"/>
                <w:szCs w:val="18"/>
                <w:vertAlign w:val="baseline"/>
                <w:lang w:val="en-US" w:eastAsia="zh-CN" w:bidi="ar-SA"/>
              </w:rPr>
            </w:pPr>
            <w:r>
              <w:rPr>
                <w:rFonts w:hint="default" w:cs="Times New Roman"/>
                <w:b w:val="0"/>
                <w:bCs w:val="0"/>
                <w:spacing w:val="0"/>
                <w:sz w:val="18"/>
                <w:szCs w:val="18"/>
                <w:vertAlign w:val="baseline"/>
                <w:lang w:val="en-US" w:eastAsia="zh-CN" w:bidi="ar-SA"/>
              </w:rPr>
              <w:t>PM2.5 颗粒物</w:t>
            </w:r>
          </w:p>
        </w:tc>
        <w:tc>
          <w:tcPr>
            <w:tcW w:w="4732" w:type="dxa"/>
            <w:vAlign w:val="center"/>
          </w:tcPr>
          <w:p>
            <w:pPr>
              <w:spacing w:line="240" w:lineRule="auto"/>
              <w:ind w:left="0" w:leftChars="0" w:firstLine="0" w:firstLineChars="0"/>
              <w:jc w:val="left"/>
              <w:rPr>
                <w:rFonts w:hint="default" w:cs="Times New Roman"/>
                <w:b w:val="0"/>
                <w:bCs w:val="0"/>
                <w:spacing w:val="0"/>
                <w:sz w:val="18"/>
                <w:szCs w:val="18"/>
                <w:vertAlign w:val="baseline"/>
                <w:lang w:val="en-US" w:eastAsia="zh-CN" w:bidi="ar-SA"/>
              </w:rPr>
            </w:pPr>
            <w:r>
              <w:rPr>
                <w:rFonts w:hint="default" w:cs="Times New Roman"/>
                <w:b w:val="0"/>
                <w:bCs w:val="0"/>
                <w:spacing w:val="0"/>
                <w:sz w:val="18"/>
                <w:szCs w:val="18"/>
                <w:vertAlign w:val="baseline"/>
                <w:lang w:val="en-US" w:eastAsia="zh-CN" w:bidi="ar-SA"/>
              </w:rPr>
              <w:t>β射线吸收法</w:t>
            </w:r>
            <w:r>
              <w:rPr>
                <w:rFonts w:hint="eastAsia" w:cs="Times New Roman"/>
                <w:b w:val="0"/>
                <w:bCs w:val="0"/>
                <w:spacing w:val="0"/>
                <w:sz w:val="18"/>
                <w:szCs w:val="18"/>
                <w:vertAlign w:val="baseline"/>
                <w:lang w:val="en-US" w:eastAsia="zh-CN" w:bidi="ar-SA"/>
              </w:rPr>
              <w:t>，测量环境空气中的PM2.5质量浓度；测量方法：连续地实时地在环境温度下同时进行颗粒物的采集和质量测量，采用β射线吸收检测技术；采样头：PM2.5采样头；最小显示单位：0.1ug/m3；</w:t>
            </w:r>
          </w:p>
        </w:tc>
        <w:tc>
          <w:tcPr>
            <w:tcW w:w="985" w:type="dxa"/>
            <w:vAlign w:val="center"/>
          </w:tcPr>
          <w:p>
            <w:pPr>
              <w:spacing w:line="240" w:lineRule="auto"/>
              <w:ind w:left="0" w:leftChars="0" w:firstLine="0" w:firstLineChars="0"/>
              <w:jc w:val="center"/>
              <w:rPr>
                <w:rFonts w:hint="default" w:cs="Times New Roman"/>
                <w:b w:val="0"/>
                <w:bCs w:val="0"/>
                <w:spacing w:val="0"/>
                <w:sz w:val="18"/>
                <w:szCs w:val="18"/>
                <w:vertAlign w:val="baseline"/>
                <w:lang w:val="en-US" w:eastAsia="zh-CN" w:bidi="ar-SA"/>
              </w:rPr>
            </w:pPr>
            <w:r>
              <w:rPr>
                <w:rFonts w:hint="eastAsia" w:cs="Times New Roman"/>
                <w:b w:val="0"/>
                <w:bCs w:val="0"/>
                <w:spacing w:val="0"/>
                <w:sz w:val="18"/>
                <w:szCs w:val="18"/>
                <w:vertAlign w:val="baseline"/>
                <w:lang w:val="en-US" w:eastAsia="zh-CN" w:bidi="ar-SA"/>
              </w:rPr>
              <w:t>台</w:t>
            </w:r>
          </w:p>
        </w:tc>
        <w:tc>
          <w:tcPr>
            <w:tcW w:w="923" w:type="dxa"/>
            <w:vAlign w:val="center"/>
          </w:tcPr>
          <w:p>
            <w:pPr>
              <w:spacing w:line="240" w:lineRule="auto"/>
              <w:ind w:left="0" w:leftChars="0" w:firstLine="0" w:firstLineChars="0"/>
              <w:jc w:val="center"/>
              <w:rPr>
                <w:rFonts w:hint="default" w:cs="Times New Roman"/>
                <w:b w:val="0"/>
                <w:bCs w:val="0"/>
                <w:spacing w:val="0"/>
                <w:sz w:val="18"/>
                <w:szCs w:val="18"/>
                <w:vertAlign w:val="baseline"/>
                <w:lang w:val="en-US" w:eastAsia="zh-CN" w:bidi="ar-SA"/>
              </w:rPr>
            </w:pPr>
            <w:r>
              <w:rPr>
                <w:rFonts w:hint="eastAsia" w:cs="Times New Roman"/>
                <w:b w:val="0"/>
                <w:bCs w:val="0"/>
                <w:spacing w:val="0"/>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pPr>
              <w:spacing w:line="240" w:lineRule="auto"/>
              <w:ind w:left="0" w:leftChars="0" w:firstLine="0" w:firstLineChars="0"/>
              <w:jc w:val="center"/>
              <w:rPr>
                <w:rFonts w:hint="default" w:cs="Times New Roman"/>
                <w:b w:val="0"/>
                <w:bCs w:val="0"/>
                <w:spacing w:val="0"/>
                <w:sz w:val="18"/>
                <w:szCs w:val="18"/>
                <w:vertAlign w:val="baseline"/>
                <w:lang w:val="en-US" w:eastAsia="zh-CN" w:bidi="ar-SA"/>
              </w:rPr>
            </w:pPr>
            <w:r>
              <w:rPr>
                <w:rFonts w:hint="eastAsia" w:cs="Times New Roman"/>
                <w:b w:val="0"/>
                <w:bCs w:val="0"/>
                <w:spacing w:val="0"/>
                <w:sz w:val="18"/>
                <w:szCs w:val="18"/>
                <w:vertAlign w:val="baseline"/>
                <w:lang w:val="en-US" w:eastAsia="zh-CN" w:bidi="ar-SA"/>
              </w:rPr>
              <w:t>8</w:t>
            </w:r>
          </w:p>
        </w:tc>
        <w:tc>
          <w:tcPr>
            <w:tcW w:w="1765" w:type="dxa"/>
            <w:vAlign w:val="center"/>
          </w:tcPr>
          <w:p>
            <w:pPr>
              <w:spacing w:line="240" w:lineRule="auto"/>
              <w:ind w:left="0" w:leftChars="0" w:firstLine="0" w:firstLineChars="0"/>
              <w:jc w:val="center"/>
              <w:rPr>
                <w:rFonts w:hint="default" w:cs="Times New Roman"/>
                <w:b w:val="0"/>
                <w:bCs w:val="0"/>
                <w:spacing w:val="0"/>
                <w:sz w:val="18"/>
                <w:szCs w:val="18"/>
                <w:vertAlign w:val="baseline"/>
                <w:lang w:val="en-US" w:eastAsia="zh-CN" w:bidi="ar-SA"/>
              </w:rPr>
            </w:pPr>
            <w:r>
              <w:rPr>
                <w:rFonts w:hint="default" w:cs="Times New Roman"/>
                <w:b w:val="0"/>
                <w:bCs w:val="0"/>
                <w:spacing w:val="0"/>
                <w:sz w:val="18"/>
                <w:szCs w:val="18"/>
                <w:vertAlign w:val="baseline"/>
                <w:lang w:val="en-US" w:eastAsia="zh-CN" w:bidi="ar-SA"/>
              </w:rPr>
              <w:t>PM10 颗粒物</w:t>
            </w:r>
          </w:p>
        </w:tc>
        <w:tc>
          <w:tcPr>
            <w:tcW w:w="4732" w:type="dxa"/>
            <w:vAlign w:val="center"/>
          </w:tcPr>
          <w:p>
            <w:pPr>
              <w:spacing w:line="240" w:lineRule="auto"/>
              <w:ind w:left="0" w:leftChars="0" w:firstLine="0" w:firstLineChars="0"/>
              <w:jc w:val="left"/>
              <w:rPr>
                <w:rFonts w:hint="default" w:cs="Times New Roman"/>
                <w:b w:val="0"/>
                <w:bCs w:val="0"/>
                <w:spacing w:val="0"/>
                <w:sz w:val="18"/>
                <w:szCs w:val="18"/>
                <w:vertAlign w:val="baseline"/>
                <w:lang w:val="en-US" w:eastAsia="zh-CN" w:bidi="ar-SA"/>
              </w:rPr>
            </w:pPr>
            <w:r>
              <w:rPr>
                <w:rFonts w:hint="default" w:cs="Times New Roman"/>
                <w:b w:val="0"/>
                <w:bCs w:val="0"/>
                <w:spacing w:val="0"/>
                <w:sz w:val="18"/>
                <w:szCs w:val="18"/>
                <w:vertAlign w:val="baseline"/>
                <w:lang w:val="en-US" w:eastAsia="zh-CN" w:bidi="ar-SA"/>
              </w:rPr>
              <w:t>β射线吸收法</w:t>
            </w:r>
            <w:r>
              <w:rPr>
                <w:rFonts w:hint="eastAsia" w:cs="Times New Roman"/>
                <w:b w:val="0"/>
                <w:bCs w:val="0"/>
                <w:spacing w:val="0"/>
                <w:sz w:val="18"/>
                <w:szCs w:val="18"/>
                <w:vertAlign w:val="baseline"/>
                <w:lang w:val="en-US" w:eastAsia="zh-CN" w:bidi="ar-SA"/>
              </w:rPr>
              <w:t>，测量方法：连续地实时地在环境温度下同时进行颗粒物的采集和质量测量，采用β射线吸收检测技术；采样头：PM10采样头；最小显示单位：0.1ug/m3；标准膜重现性：≤±1.2%标称值；平行性：≤3.0%；采样流量： 16.67升/分钟；流量稳定性：≤±1.0%；测量精度：斜率1±0.15，截距0±10μg/m3；相关系数：≥0.95；</w:t>
            </w:r>
          </w:p>
        </w:tc>
        <w:tc>
          <w:tcPr>
            <w:tcW w:w="985" w:type="dxa"/>
            <w:vAlign w:val="center"/>
          </w:tcPr>
          <w:p>
            <w:pPr>
              <w:spacing w:line="240" w:lineRule="auto"/>
              <w:ind w:left="0" w:leftChars="0" w:firstLine="0" w:firstLineChars="0"/>
              <w:jc w:val="center"/>
              <w:rPr>
                <w:rFonts w:hint="default" w:cs="Times New Roman"/>
                <w:b w:val="0"/>
                <w:bCs w:val="0"/>
                <w:spacing w:val="0"/>
                <w:sz w:val="18"/>
                <w:szCs w:val="18"/>
                <w:vertAlign w:val="baseline"/>
                <w:lang w:val="en-US" w:eastAsia="zh-CN" w:bidi="ar-SA"/>
              </w:rPr>
            </w:pPr>
            <w:r>
              <w:rPr>
                <w:rFonts w:hint="eastAsia" w:cs="Times New Roman"/>
                <w:b w:val="0"/>
                <w:bCs w:val="0"/>
                <w:spacing w:val="0"/>
                <w:sz w:val="18"/>
                <w:szCs w:val="18"/>
                <w:vertAlign w:val="baseline"/>
                <w:lang w:val="en-US" w:eastAsia="zh-CN" w:bidi="ar-SA"/>
              </w:rPr>
              <w:t>台</w:t>
            </w:r>
          </w:p>
        </w:tc>
        <w:tc>
          <w:tcPr>
            <w:tcW w:w="923" w:type="dxa"/>
            <w:vAlign w:val="center"/>
          </w:tcPr>
          <w:p>
            <w:pPr>
              <w:spacing w:line="240" w:lineRule="auto"/>
              <w:ind w:left="0" w:leftChars="0" w:firstLine="0" w:firstLineChars="0"/>
              <w:jc w:val="center"/>
              <w:rPr>
                <w:rFonts w:hint="default" w:cs="Times New Roman"/>
                <w:b w:val="0"/>
                <w:bCs w:val="0"/>
                <w:spacing w:val="0"/>
                <w:sz w:val="18"/>
                <w:szCs w:val="18"/>
                <w:vertAlign w:val="baseline"/>
                <w:lang w:val="en-US" w:eastAsia="zh-CN" w:bidi="ar-SA"/>
              </w:rPr>
            </w:pPr>
            <w:r>
              <w:rPr>
                <w:rFonts w:hint="eastAsia" w:cs="Times New Roman"/>
                <w:b w:val="0"/>
                <w:bCs w:val="0"/>
                <w:spacing w:val="0"/>
                <w:sz w:val="18"/>
                <w:szCs w:val="18"/>
                <w:vertAlign w:val="baseline"/>
                <w:lang w:val="en-US" w:eastAsia="zh-CN" w:bidi="ar-SA"/>
              </w:rPr>
              <w:t>1</w:t>
            </w:r>
          </w:p>
        </w:tc>
      </w:tr>
    </w:tbl>
    <w:p>
      <w:pPr>
        <w:ind w:left="0" w:leftChars="0" w:firstLine="0" w:firstLineChars="0"/>
        <w:rPr>
          <w:rFonts w:hint="default" w:cs="Times New Roman"/>
          <w:b w:val="0"/>
          <w:bCs w:val="0"/>
          <w:spacing w:val="0"/>
          <w:sz w:val="24"/>
          <w:szCs w:val="22"/>
          <w:lang w:val="en-US" w:eastAsia="zh-CN" w:bidi="ar-SA"/>
        </w:rPr>
      </w:pPr>
    </w:p>
    <w:p>
      <w:pPr>
        <w:rPr>
          <w:rFonts w:hint="eastAsia" w:cs="Times New Roman"/>
          <w:lang w:val="en-US" w:eastAsia="zh-CN"/>
        </w:rPr>
      </w:pPr>
    </w:p>
    <w:p>
      <w:pPr>
        <w:rPr>
          <w:rFonts w:hint="eastAsia" w:cs="Times New Roman"/>
          <w:lang w:val="en-US" w:eastAsia="zh-CN"/>
        </w:rPr>
      </w:pPr>
    </w:p>
    <w:p>
      <w:pPr>
        <w:rPr>
          <w:rFonts w:hint="eastAsia" w:cs="Times New Roman"/>
          <w:lang w:val="en-US" w:eastAsia="zh-CN"/>
        </w:rPr>
      </w:pPr>
    </w:p>
    <w:p>
      <w:pPr>
        <w:rPr>
          <w:rFonts w:hint="eastAsia" w:cs="Times New Roman"/>
          <w:lang w:val="en-US" w:eastAsia="zh-CN"/>
        </w:rPr>
      </w:pPr>
    </w:p>
    <w:p>
      <w:pPr>
        <w:rPr>
          <w:rFonts w:hint="eastAsia" w:cs="Times New Roman"/>
          <w:lang w:val="en-US" w:eastAsia="zh-CN"/>
        </w:rPr>
      </w:pPr>
    </w:p>
    <w:p>
      <w:pPr>
        <w:rPr>
          <w:rFonts w:hint="eastAsia" w:cs="Times New Roman"/>
          <w:lang w:val="en-US" w:eastAsia="zh-CN"/>
        </w:rPr>
      </w:pPr>
    </w:p>
    <w:p>
      <w:pPr>
        <w:ind w:left="0" w:leftChars="0" w:firstLine="0" w:firstLineChars="0"/>
        <w:rPr>
          <w:rFonts w:hint="eastAsia" w:cs="Times New Roman"/>
          <w:lang w:val="en-US" w:eastAsia="zh-CN"/>
        </w:rPr>
      </w:pPr>
    </w:p>
    <w:p>
      <w:pPr>
        <w:jc w:val="center"/>
        <w:rPr>
          <w:rFonts w:hint="default" w:ascii="Times New Roman" w:hAnsi="Times New Roman" w:eastAsia="宋体" w:cs="Times New Roman"/>
          <w:b/>
          <w:bCs/>
          <w:sz w:val="28"/>
          <w:szCs w:val="28"/>
          <w:lang w:val="en-US" w:eastAsia="zh-CN"/>
        </w:rPr>
      </w:pPr>
      <w:r>
        <w:rPr>
          <w:rFonts w:hint="eastAsia" w:cs="Times New Roman"/>
          <w:b/>
          <w:bCs/>
          <w:sz w:val="28"/>
          <w:szCs w:val="28"/>
          <w:lang w:val="en-US" w:eastAsia="zh-CN"/>
        </w:rPr>
        <w:t>总体服务工作内容表</w:t>
      </w:r>
    </w:p>
    <w:tbl>
      <w:tblPr>
        <w:tblStyle w:val="19"/>
        <w:tblW w:w="915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8"/>
        <w:gridCol w:w="1542"/>
        <w:gridCol w:w="1149"/>
        <w:gridCol w:w="4689"/>
        <w:gridCol w:w="13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5" w:hRule="atLeast"/>
          <w:jc w:val="center"/>
        </w:trPr>
        <w:tc>
          <w:tcPr>
            <w:tcW w:w="458" w:type="dxa"/>
            <w:tcBorders>
              <w:top w:val="single" w:color="auto" w:sz="4" w:space="0"/>
              <w:left w:val="single" w:color="auto" w:sz="4" w:space="0"/>
            </w:tcBorders>
            <w:noWrap w:val="0"/>
            <w:vAlign w:val="center"/>
          </w:tcPr>
          <w:p>
            <w:pPr>
              <w:snapToGrid w:val="0"/>
              <w:spacing w:line="360" w:lineRule="auto"/>
              <w:ind w:firstLine="0" w:firstLineChars="0"/>
              <w:jc w:val="center"/>
              <w:textAlignment w:val="auto"/>
              <w:rPr>
                <w:rFonts w:hint="default" w:ascii="Times New Roman" w:hAnsi="Times New Roman" w:eastAsia="宋体" w:cs="Times New Roman"/>
                <w:spacing w:val="0"/>
                <w:kern w:val="2"/>
                <w:sz w:val="21"/>
                <w:szCs w:val="21"/>
                <w:lang w:val="en-US" w:eastAsia="zh-CN"/>
              </w:rPr>
            </w:pPr>
            <w:r>
              <w:rPr>
                <w:rFonts w:hint="default" w:ascii="Times New Roman" w:hAnsi="Times New Roman" w:eastAsia="宋体" w:cs="Times New Roman"/>
                <w:spacing w:val="0"/>
                <w:kern w:val="2"/>
                <w:sz w:val="21"/>
                <w:szCs w:val="21"/>
                <w:lang w:val="en-US" w:eastAsia="zh-CN"/>
              </w:rPr>
              <w:t>序号</w:t>
            </w:r>
          </w:p>
        </w:tc>
        <w:tc>
          <w:tcPr>
            <w:tcW w:w="1542" w:type="dxa"/>
            <w:tcBorders>
              <w:top w:val="single" w:color="auto" w:sz="4" w:space="0"/>
            </w:tcBorders>
            <w:noWrap w:val="0"/>
            <w:vAlign w:val="center"/>
          </w:tcPr>
          <w:p>
            <w:pPr>
              <w:snapToGrid w:val="0"/>
              <w:spacing w:line="360" w:lineRule="auto"/>
              <w:ind w:firstLine="0" w:firstLineChars="0"/>
              <w:jc w:val="center"/>
              <w:textAlignment w:val="auto"/>
              <w:rPr>
                <w:rFonts w:hint="default" w:ascii="Times New Roman" w:hAnsi="Times New Roman" w:eastAsia="宋体" w:cs="Times New Roman"/>
                <w:spacing w:val="0"/>
                <w:kern w:val="2"/>
                <w:sz w:val="21"/>
                <w:szCs w:val="21"/>
                <w:lang w:val="en-US" w:eastAsia="zh-CN"/>
              </w:rPr>
            </w:pPr>
            <w:r>
              <w:rPr>
                <w:rFonts w:hint="default" w:ascii="Times New Roman" w:hAnsi="Times New Roman" w:eastAsia="宋体" w:cs="Times New Roman"/>
                <w:spacing w:val="0"/>
                <w:kern w:val="2"/>
                <w:sz w:val="21"/>
                <w:szCs w:val="21"/>
                <w:lang w:val="en-US" w:eastAsia="zh-CN"/>
              </w:rPr>
              <w:t>维护周期</w:t>
            </w:r>
          </w:p>
        </w:tc>
        <w:tc>
          <w:tcPr>
            <w:tcW w:w="1149" w:type="dxa"/>
            <w:tcBorders>
              <w:top w:val="single" w:color="auto" w:sz="4" w:space="0"/>
            </w:tcBorders>
            <w:noWrap w:val="0"/>
            <w:vAlign w:val="center"/>
          </w:tcPr>
          <w:p>
            <w:pPr>
              <w:snapToGrid w:val="0"/>
              <w:spacing w:line="360" w:lineRule="auto"/>
              <w:ind w:firstLine="0" w:firstLineChars="0"/>
              <w:jc w:val="center"/>
              <w:textAlignment w:val="auto"/>
              <w:rPr>
                <w:rFonts w:hint="default" w:ascii="Times New Roman" w:hAnsi="Times New Roman" w:eastAsia="宋体" w:cs="Times New Roman"/>
                <w:spacing w:val="0"/>
                <w:kern w:val="2"/>
                <w:sz w:val="21"/>
                <w:szCs w:val="21"/>
                <w:lang w:val="en-US" w:eastAsia="zh-CN"/>
              </w:rPr>
            </w:pPr>
            <w:r>
              <w:rPr>
                <w:rFonts w:hint="default" w:ascii="Times New Roman" w:hAnsi="Times New Roman" w:eastAsia="宋体" w:cs="Times New Roman"/>
                <w:spacing w:val="0"/>
                <w:kern w:val="2"/>
                <w:sz w:val="21"/>
                <w:szCs w:val="21"/>
                <w:lang w:val="en-US" w:eastAsia="zh-CN"/>
              </w:rPr>
              <w:t>维护对象</w:t>
            </w:r>
          </w:p>
        </w:tc>
        <w:tc>
          <w:tcPr>
            <w:tcW w:w="4689" w:type="dxa"/>
            <w:tcBorders>
              <w:top w:val="single" w:color="auto" w:sz="4" w:space="0"/>
              <w:right w:val="single" w:color="auto" w:sz="4" w:space="0"/>
            </w:tcBorders>
            <w:noWrap w:val="0"/>
            <w:vAlign w:val="center"/>
          </w:tcPr>
          <w:p>
            <w:pPr>
              <w:snapToGrid w:val="0"/>
              <w:spacing w:line="360" w:lineRule="auto"/>
              <w:ind w:firstLine="0" w:firstLineChars="0"/>
              <w:jc w:val="center"/>
              <w:textAlignment w:val="auto"/>
              <w:rPr>
                <w:rFonts w:hint="default" w:ascii="Times New Roman" w:hAnsi="Times New Roman" w:eastAsia="宋体" w:cs="Times New Roman"/>
                <w:spacing w:val="0"/>
                <w:kern w:val="2"/>
                <w:sz w:val="21"/>
                <w:szCs w:val="21"/>
                <w:lang w:val="en-US" w:eastAsia="zh-CN"/>
              </w:rPr>
            </w:pPr>
            <w:r>
              <w:rPr>
                <w:rFonts w:hint="default" w:ascii="Times New Roman" w:hAnsi="Times New Roman" w:eastAsia="宋体" w:cs="Times New Roman"/>
                <w:spacing w:val="0"/>
                <w:kern w:val="2"/>
                <w:sz w:val="21"/>
                <w:szCs w:val="21"/>
                <w:lang w:val="en-US" w:eastAsia="zh-CN"/>
              </w:rPr>
              <w:t>检查维护内容</w:t>
            </w:r>
          </w:p>
        </w:tc>
        <w:tc>
          <w:tcPr>
            <w:tcW w:w="1313" w:type="dxa"/>
            <w:tcBorders>
              <w:top w:val="single" w:color="auto" w:sz="4" w:space="0"/>
              <w:right w:val="single" w:color="auto" w:sz="4" w:space="0"/>
            </w:tcBorders>
            <w:noWrap w:val="0"/>
            <w:vAlign w:val="center"/>
          </w:tcPr>
          <w:p>
            <w:pPr>
              <w:snapToGrid w:val="0"/>
              <w:spacing w:line="360" w:lineRule="auto"/>
              <w:ind w:firstLine="0" w:firstLineChars="0"/>
              <w:jc w:val="center"/>
              <w:textAlignment w:val="auto"/>
              <w:rPr>
                <w:rFonts w:hint="default" w:ascii="Times New Roman" w:hAnsi="Times New Roman" w:eastAsia="宋体" w:cs="Times New Roman"/>
                <w:spacing w:val="0"/>
                <w:kern w:val="2"/>
                <w:sz w:val="21"/>
                <w:szCs w:val="21"/>
                <w:lang w:val="en-US" w:eastAsia="zh-CN"/>
              </w:rPr>
            </w:pPr>
            <w:r>
              <w:rPr>
                <w:rFonts w:hint="eastAsia" w:cs="Times New Roman"/>
                <w:spacing w:val="0"/>
                <w:kern w:val="2"/>
                <w:sz w:val="21"/>
                <w:szCs w:val="21"/>
                <w:lang w:val="en-US" w:eastAsia="zh-CN"/>
              </w:rPr>
              <w:t>频次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458" w:type="dxa"/>
            <w:tcBorders>
              <w:left w:val="single" w:color="auto" w:sz="4" w:space="0"/>
              <w:bottom w:val="single" w:color="auto" w:sz="4" w:space="0"/>
            </w:tcBorders>
            <w:noWrap w:val="0"/>
            <w:vAlign w:val="center"/>
          </w:tcPr>
          <w:p>
            <w:pPr>
              <w:numPr>
                <w:ilvl w:val="0"/>
                <w:numId w:val="0"/>
              </w:numPr>
              <w:snapToGrid w:val="0"/>
              <w:spacing w:line="360" w:lineRule="auto"/>
              <w:ind w:leftChars="0" w:right="0" w:rightChars="0"/>
              <w:jc w:val="center"/>
              <w:textAlignment w:val="auto"/>
              <w:rPr>
                <w:rFonts w:hint="default" w:ascii="Times New Roman" w:hAnsi="Times New Roman" w:eastAsia="宋体" w:cs="Times New Roman"/>
                <w:spacing w:val="0"/>
                <w:kern w:val="2"/>
                <w:sz w:val="21"/>
                <w:szCs w:val="21"/>
                <w:lang w:val="en-US" w:eastAsia="zh-CN"/>
              </w:rPr>
            </w:pPr>
            <w:r>
              <w:rPr>
                <w:rFonts w:hint="eastAsia" w:cs="Times New Roman"/>
                <w:spacing w:val="0"/>
                <w:kern w:val="2"/>
                <w:sz w:val="21"/>
                <w:szCs w:val="21"/>
                <w:lang w:val="en-US" w:eastAsia="zh-CN"/>
              </w:rPr>
              <w:t>1</w:t>
            </w:r>
          </w:p>
        </w:tc>
        <w:tc>
          <w:tcPr>
            <w:tcW w:w="1542" w:type="dxa"/>
            <w:tcBorders>
              <w:bottom w:val="single" w:color="auto" w:sz="4" w:space="0"/>
            </w:tcBorders>
            <w:noWrap w:val="0"/>
            <w:vAlign w:val="center"/>
          </w:tcPr>
          <w:p>
            <w:pPr>
              <w:snapToGrid w:val="0"/>
              <w:spacing w:line="360" w:lineRule="auto"/>
              <w:ind w:firstLine="0" w:firstLineChars="0"/>
              <w:jc w:val="center"/>
              <w:textAlignment w:val="auto"/>
              <w:rPr>
                <w:rFonts w:hint="default" w:ascii="Times New Roman" w:hAnsi="Times New Roman" w:eastAsia="宋体" w:cs="Times New Roman"/>
                <w:spacing w:val="0"/>
                <w:kern w:val="2"/>
                <w:sz w:val="21"/>
                <w:szCs w:val="21"/>
                <w:lang w:val="en-US" w:eastAsia="zh-CN"/>
              </w:rPr>
            </w:pPr>
            <w:r>
              <w:rPr>
                <w:rFonts w:hint="default" w:ascii="Times New Roman" w:hAnsi="Times New Roman" w:eastAsia="宋体" w:cs="Times New Roman"/>
                <w:spacing w:val="0"/>
                <w:kern w:val="2"/>
                <w:sz w:val="21"/>
                <w:szCs w:val="21"/>
                <w:lang w:val="en-US" w:eastAsia="zh-CN"/>
              </w:rPr>
              <w:t>日常维护</w:t>
            </w:r>
          </w:p>
        </w:tc>
        <w:tc>
          <w:tcPr>
            <w:tcW w:w="1149" w:type="dxa"/>
            <w:vMerge w:val="restart"/>
            <w:noWrap w:val="0"/>
            <w:vAlign w:val="center"/>
          </w:tcPr>
          <w:p>
            <w:pPr>
              <w:snapToGrid w:val="0"/>
              <w:spacing w:line="360" w:lineRule="auto"/>
              <w:ind w:firstLine="0" w:firstLineChars="0"/>
              <w:jc w:val="center"/>
              <w:textAlignment w:val="auto"/>
              <w:rPr>
                <w:rFonts w:hint="default" w:ascii="Times New Roman" w:hAnsi="Times New Roman" w:eastAsia="宋体" w:cs="Times New Roman"/>
                <w:spacing w:val="0"/>
                <w:kern w:val="2"/>
                <w:sz w:val="21"/>
                <w:szCs w:val="21"/>
                <w:lang w:val="en-US" w:eastAsia="zh-CN"/>
              </w:rPr>
            </w:pPr>
            <w:r>
              <w:rPr>
                <w:rFonts w:hint="default" w:ascii="Times New Roman" w:hAnsi="Times New Roman" w:eastAsia="宋体" w:cs="Times New Roman"/>
                <w:spacing w:val="0"/>
                <w:kern w:val="2"/>
                <w:sz w:val="21"/>
                <w:szCs w:val="21"/>
                <w:lang w:val="en-US" w:eastAsia="zh-CN"/>
              </w:rPr>
              <w:t>工控机</w:t>
            </w:r>
          </w:p>
        </w:tc>
        <w:tc>
          <w:tcPr>
            <w:tcW w:w="4689" w:type="dxa"/>
            <w:tcBorders>
              <w:bottom w:val="single" w:color="auto" w:sz="4" w:space="0"/>
              <w:right w:val="single" w:color="auto" w:sz="4" w:space="0"/>
            </w:tcBorders>
            <w:noWrap w:val="0"/>
            <w:vAlign w:val="bottom"/>
          </w:tcPr>
          <w:p>
            <w:pPr>
              <w:snapToGrid w:val="0"/>
              <w:spacing w:line="360" w:lineRule="auto"/>
              <w:ind w:firstLine="0" w:firstLineChars="0"/>
              <w:jc w:val="both"/>
              <w:textAlignment w:val="auto"/>
              <w:rPr>
                <w:rFonts w:hint="default" w:ascii="Times New Roman" w:hAnsi="Times New Roman" w:eastAsia="宋体" w:cs="Times New Roman"/>
                <w:spacing w:val="0"/>
                <w:kern w:val="2"/>
                <w:sz w:val="21"/>
                <w:szCs w:val="21"/>
                <w:lang w:val="en-US" w:eastAsia="zh-CN"/>
              </w:rPr>
            </w:pPr>
            <w:r>
              <w:rPr>
                <w:rFonts w:hint="default" w:ascii="Times New Roman" w:hAnsi="Times New Roman" w:eastAsia="宋体" w:cs="Times New Roman"/>
                <w:spacing w:val="0"/>
                <w:kern w:val="2"/>
                <w:sz w:val="21"/>
                <w:szCs w:val="21"/>
                <w:lang w:val="en-US" w:eastAsia="zh-CN"/>
              </w:rPr>
              <w:t>检查工控机运行是否正常</w:t>
            </w:r>
          </w:p>
        </w:tc>
        <w:tc>
          <w:tcPr>
            <w:tcW w:w="1313" w:type="dxa"/>
            <w:tcBorders>
              <w:bottom w:val="single" w:color="auto" w:sz="4" w:space="0"/>
              <w:right w:val="single" w:color="auto" w:sz="4" w:space="0"/>
            </w:tcBorders>
            <w:noWrap w:val="0"/>
            <w:vAlign w:val="center"/>
          </w:tcPr>
          <w:p>
            <w:pPr>
              <w:snapToGrid w:val="0"/>
              <w:spacing w:line="360" w:lineRule="auto"/>
              <w:ind w:firstLine="0" w:firstLineChars="0"/>
              <w:jc w:val="center"/>
              <w:textAlignment w:val="auto"/>
              <w:rPr>
                <w:rFonts w:hint="default" w:ascii="Times New Roman" w:hAnsi="Times New Roman" w:eastAsia="宋体" w:cs="Times New Roman"/>
                <w:spacing w:val="0"/>
                <w:kern w:val="2"/>
                <w:sz w:val="21"/>
                <w:szCs w:val="21"/>
                <w:lang w:val="en-US" w:eastAsia="zh-CN"/>
              </w:rPr>
            </w:pPr>
            <w:r>
              <w:rPr>
                <w:rFonts w:hint="eastAsia" w:cs="Times New Roman"/>
                <w:spacing w:val="0"/>
                <w:kern w:val="2"/>
                <w:sz w:val="21"/>
                <w:szCs w:val="21"/>
                <w:lang w:val="en-US" w:eastAsia="zh-CN"/>
              </w:rPr>
              <w:t>365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458" w:type="dxa"/>
            <w:tcBorders>
              <w:left w:val="single" w:color="auto" w:sz="4" w:space="0"/>
              <w:bottom w:val="single" w:color="auto" w:sz="4" w:space="0"/>
            </w:tcBorders>
            <w:noWrap w:val="0"/>
            <w:vAlign w:val="center"/>
          </w:tcPr>
          <w:p>
            <w:pPr>
              <w:numPr>
                <w:ilvl w:val="0"/>
                <w:numId w:val="0"/>
              </w:numPr>
              <w:snapToGrid w:val="0"/>
              <w:spacing w:line="360" w:lineRule="auto"/>
              <w:ind w:leftChars="0" w:right="0" w:rightChars="0"/>
              <w:jc w:val="center"/>
              <w:textAlignment w:val="auto"/>
              <w:rPr>
                <w:rFonts w:hint="default" w:ascii="Times New Roman" w:hAnsi="Times New Roman" w:eastAsia="宋体" w:cs="Times New Roman"/>
                <w:spacing w:val="0"/>
                <w:kern w:val="2"/>
                <w:sz w:val="21"/>
                <w:szCs w:val="21"/>
                <w:lang w:val="en-US" w:eastAsia="zh-CN"/>
              </w:rPr>
            </w:pPr>
            <w:r>
              <w:rPr>
                <w:rFonts w:hint="eastAsia" w:cs="Times New Roman"/>
                <w:spacing w:val="0"/>
                <w:kern w:val="2"/>
                <w:sz w:val="21"/>
                <w:szCs w:val="21"/>
                <w:lang w:val="en-US" w:eastAsia="zh-CN"/>
              </w:rPr>
              <w:t>2</w:t>
            </w:r>
          </w:p>
        </w:tc>
        <w:tc>
          <w:tcPr>
            <w:tcW w:w="1542" w:type="dxa"/>
            <w:tcBorders>
              <w:bottom w:val="single" w:color="auto" w:sz="4" w:space="0"/>
            </w:tcBorders>
            <w:noWrap w:val="0"/>
            <w:vAlign w:val="center"/>
          </w:tcPr>
          <w:p>
            <w:pPr>
              <w:snapToGrid w:val="0"/>
              <w:spacing w:line="360" w:lineRule="auto"/>
              <w:ind w:firstLine="0" w:firstLineChars="0"/>
              <w:jc w:val="center"/>
              <w:textAlignment w:val="auto"/>
              <w:rPr>
                <w:rFonts w:hint="default" w:ascii="Times New Roman" w:hAnsi="Times New Roman" w:eastAsia="宋体" w:cs="Times New Roman"/>
                <w:spacing w:val="0"/>
                <w:kern w:val="2"/>
                <w:sz w:val="21"/>
                <w:szCs w:val="21"/>
                <w:lang w:val="en-US" w:eastAsia="zh-CN"/>
              </w:rPr>
            </w:pPr>
            <w:r>
              <w:rPr>
                <w:rFonts w:hint="eastAsia" w:cs="Times New Roman"/>
                <w:spacing w:val="0"/>
                <w:kern w:val="2"/>
                <w:sz w:val="21"/>
                <w:szCs w:val="21"/>
                <w:lang w:val="en-US" w:eastAsia="zh-CN"/>
              </w:rPr>
              <w:t>月度</w:t>
            </w:r>
            <w:r>
              <w:rPr>
                <w:rFonts w:hint="default" w:ascii="Times New Roman" w:hAnsi="Times New Roman" w:eastAsia="宋体" w:cs="Times New Roman"/>
                <w:spacing w:val="0"/>
                <w:kern w:val="2"/>
                <w:sz w:val="21"/>
                <w:szCs w:val="21"/>
                <w:lang w:val="en-US" w:eastAsia="zh-CN"/>
              </w:rPr>
              <w:t>维护</w:t>
            </w:r>
          </w:p>
        </w:tc>
        <w:tc>
          <w:tcPr>
            <w:tcW w:w="1149" w:type="dxa"/>
            <w:vMerge w:val="continue"/>
            <w:tcBorders>
              <w:bottom w:val="single" w:color="auto" w:sz="4" w:space="0"/>
            </w:tcBorders>
            <w:noWrap w:val="0"/>
            <w:vAlign w:val="center"/>
          </w:tcPr>
          <w:p>
            <w:pPr>
              <w:snapToGrid w:val="0"/>
              <w:spacing w:line="360" w:lineRule="auto"/>
              <w:ind w:firstLine="0" w:firstLineChars="0"/>
              <w:jc w:val="center"/>
              <w:textAlignment w:val="auto"/>
              <w:rPr>
                <w:rFonts w:hint="default" w:ascii="Times New Roman" w:hAnsi="Times New Roman" w:eastAsia="宋体" w:cs="Times New Roman"/>
                <w:spacing w:val="0"/>
                <w:kern w:val="2"/>
                <w:sz w:val="21"/>
                <w:szCs w:val="21"/>
                <w:lang w:val="en-US" w:eastAsia="zh-CN"/>
              </w:rPr>
            </w:pPr>
          </w:p>
        </w:tc>
        <w:tc>
          <w:tcPr>
            <w:tcW w:w="4689" w:type="dxa"/>
            <w:tcBorders>
              <w:bottom w:val="single" w:color="auto" w:sz="4" w:space="0"/>
              <w:right w:val="single" w:color="auto" w:sz="4" w:space="0"/>
            </w:tcBorders>
            <w:noWrap w:val="0"/>
            <w:vAlign w:val="bottom"/>
          </w:tcPr>
          <w:p>
            <w:pPr>
              <w:snapToGrid w:val="0"/>
              <w:spacing w:line="360" w:lineRule="auto"/>
              <w:ind w:firstLine="0" w:firstLineChars="0"/>
              <w:jc w:val="both"/>
              <w:textAlignment w:val="auto"/>
              <w:rPr>
                <w:rFonts w:hint="default" w:ascii="Times New Roman" w:hAnsi="Times New Roman" w:eastAsia="宋体" w:cs="Times New Roman"/>
                <w:spacing w:val="0"/>
                <w:kern w:val="2"/>
                <w:sz w:val="21"/>
                <w:szCs w:val="21"/>
                <w:lang w:val="en-US" w:eastAsia="zh-CN"/>
              </w:rPr>
            </w:pPr>
            <w:r>
              <w:rPr>
                <w:rFonts w:hint="default" w:ascii="Times New Roman" w:hAnsi="Times New Roman" w:eastAsia="宋体" w:cs="Times New Roman"/>
                <w:spacing w:val="0"/>
                <w:kern w:val="2"/>
                <w:sz w:val="21"/>
                <w:szCs w:val="21"/>
                <w:lang w:val="en-US" w:eastAsia="zh-CN"/>
              </w:rPr>
              <w:t>对仪器内部相关部件外部灰尘吹扫除尘；</w:t>
            </w:r>
          </w:p>
        </w:tc>
        <w:tc>
          <w:tcPr>
            <w:tcW w:w="1313" w:type="dxa"/>
            <w:tcBorders>
              <w:bottom w:val="single" w:color="auto" w:sz="4" w:space="0"/>
              <w:right w:val="single" w:color="auto" w:sz="4" w:space="0"/>
            </w:tcBorders>
            <w:noWrap w:val="0"/>
            <w:vAlign w:val="center"/>
          </w:tcPr>
          <w:p>
            <w:pPr>
              <w:snapToGrid w:val="0"/>
              <w:spacing w:line="360" w:lineRule="auto"/>
              <w:ind w:firstLine="0" w:firstLineChars="0"/>
              <w:jc w:val="center"/>
              <w:textAlignment w:val="auto"/>
              <w:rPr>
                <w:rFonts w:hint="default" w:ascii="Times New Roman" w:hAnsi="Times New Roman" w:eastAsia="宋体" w:cs="Times New Roman"/>
                <w:spacing w:val="0"/>
                <w:kern w:val="2"/>
                <w:sz w:val="21"/>
                <w:szCs w:val="21"/>
                <w:lang w:val="en-US" w:eastAsia="zh-CN"/>
              </w:rPr>
            </w:pPr>
            <w:r>
              <w:rPr>
                <w:rFonts w:hint="eastAsia" w:cs="Times New Roman"/>
                <w:spacing w:val="0"/>
                <w:kern w:val="2"/>
                <w:sz w:val="21"/>
                <w:szCs w:val="21"/>
                <w:lang w:val="en-US" w:eastAsia="zh-CN"/>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58" w:type="dxa"/>
            <w:tcBorders>
              <w:left w:val="single" w:color="auto" w:sz="4" w:space="0"/>
              <w:bottom w:val="single" w:color="auto" w:sz="4" w:space="0"/>
            </w:tcBorders>
            <w:noWrap w:val="0"/>
            <w:vAlign w:val="center"/>
          </w:tcPr>
          <w:p>
            <w:pPr>
              <w:numPr>
                <w:ilvl w:val="0"/>
                <w:numId w:val="0"/>
              </w:numPr>
              <w:snapToGrid w:val="0"/>
              <w:spacing w:line="360" w:lineRule="auto"/>
              <w:ind w:leftChars="0" w:right="0" w:rightChars="0"/>
              <w:jc w:val="center"/>
              <w:textAlignment w:val="auto"/>
              <w:rPr>
                <w:rFonts w:hint="default" w:ascii="Times New Roman" w:hAnsi="Times New Roman" w:eastAsia="宋体" w:cs="Times New Roman"/>
                <w:spacing w:val="0"/>
                <w:kern w:val="2"/>
                <w:sz w:val="21"/>
                <w:szCs w:val="21"/>
                <w:lang w:val="en-US" w:eastAsia="zh-CN"/>
              </w:rPr>
            </w:pPr>
            <w:r>
              <w:rPr>
                <w:rFonts w:hint="eastAsia" w:cs="Times New Roman"/>
                <w:spacing w:val="0"/>
                <w:kern w:val="2"/>
                <w:sz w:val="21"/>
                <w:szCs w:val="21"/>
                <w:lang w:val="en-US" w:eastAsia="zh-CN"/>
              </w:rPr>
              <w:t>3</w:t>
            </w:r>
          </w:p>
        </w:tc>
        <w:tc>
          <w:tcPr>
            <w:tcW w:w="1542" w:type="dxa"/>
            <w:tcBorders>
              <w:bottom w:val="single" w:color="auto" w:sz="4" w:space="0"/>
            </w:tcBorders>
            <w:noWrap w:val="0"/>
            <w:vAlign w:val="center"/>
          </w:tcPr>
          <w:p>
            <w:pPr>
              <w:snapToGrid w:val="0"/>
              <w:spacing w:line="360" w:lineRule="auto"/>
              <w:ind w:firstLine="0" w:firstLineChars="0"/>
              <w:jc w:val="center"/>
              <w:textAlignment w:val="auto"/>
              <w:rPr>
                <w:rFonts w:hint="default" w:ascii="Times New Roman" w:hAnsi="Times New Roman" w:eastAsia="宋体" w:cs="Times New Roman"/>
                <w:spacing w:val="0"/>
                <w:kern w:val="2"/>
                <w:sz w:val="21"/>
                <w:szCs w:val="21"/>
                <w:lang w:val="en-US" w:eastAsia="zh-CN"/>
              </w:rPr>
            </w:pPr>
            <w:r>
              <w:rPr>
                <w:rFonts w:hint="default" w:ascii="Times New Roman" w:hAnsi="Times New Roman" w:eastAsia="宋体" w:cs="Times New Roman"/>
                <w:spacing w:val="0"/>
                <w:kern w:val="2"/>
                <w:sz w:val="21"/>
                <w:szCs w:val="21"/>
                <w:lang w:val="en-US" w:eastAsia="zh-CN"/>
              </w:rPr>
              <w:t>日常维护</w:t>
            </w:r>
          </w:p>
        </w:tc>
        <w:tc>
          <w:tcPr>
            <w:tcW w:w="1149" w:type="dxa"/>
            <w:vMerge w:val="restart"/>
            <w:noWrap w:val="0"/>
            <w:vAlign w:val="center"/>
          </w:tcPr>
          <w:p>
            <w:pPr>
              <w:snapToGrid w:val="0"/>
              <w:spacing w:line="360" w:lineRule="auto"/>
              <w:ind w:firstLine="0" w:firstLineChars="0"/>
              <w:jc w:val="center"/>
              <w:textAlignment w:val="auto"/>
              <w:rPr>
                <w:rFonts w:hint="default" w:ascii="Times New Roman" w:hAnsi="Times New Roman" w:eastAsia="宋体" w:cs="Times New Roman"/>
                <w:spacing w:val="0"/>
                <w:kern w:val="2"/>
                <w:sz w:val="21"/>
                <w:szCs w:val="21"/>
                <w:lang w:val="en-US" w:eastAsia="zh-CN"/>
              </w:rPr>
            </w:pPr>
            <w:r>
              <w:rPr>
                <w:rFonts w:hint="default" w:ascii="Times New Roman" w:hAnsi="Times New Roman" w:eastAsia="宋体" w:cs="Times New Roman"/>
                <w:spacing w:val="0"/>
                <w:kern w:val="2"/>
                <w:sz w:val="21"/>
                <w:szCs w:val="21"/>
                <w:lang w:val="en-US" w:eastAsia="zh-CN"/>
              </w:rPr>
              <w:t>数采与传输软件、网络</w:t>
            </w:r>
          </w:p>
        </w:tc>
        <w:tc>
          <w:tcPr>
            <w:tcW w:w="4689" w:type="dxa"/>
            <w:tcBorders>
              <w:bottom w:val="single" w:color="auto" w:sz="4" w:space="0"/>
              <w:right w:val="single" w:color="auto" w:sz="4" w:space="0"/>
            </w:tcBorders>
            <w:noWrap w:val="0"/>
            <w:vAlign w:val="bottom"/>
          </w:tcPr>
          <w:p>
            <w:pPr>
              <w:snapToGrid w:val="0"/>
              <w:spacing w:line="360" w:lineRule="auto"/>
              <w:ind w:firstLine="0" w:firstLineChars="0"/>
              <w:jc w:val="both"/>
              <w:textAlignment w:val="auto"/>
              <w:rPr>
                <w:rFonts w:hint="default" w:ascii="Times New Roman" w:hAnsi="Times New Roman" w:eastAsia="宋体" w:cs="Times New Roman"/>
                <w:spacing w:val="0"/>
                <w:kern w:val="2"/>
                <w:sz w:val="21"/>
                <w:szCs w:val="21"/>
                <w:lang w:val="en-US" w:eastAsia="zh-CN"/>
              </w:rPr>
            </w:pPr>
            <w:r>
              <w:rPr>
                <w:rFonts w:hint="default" w:ascii="Times New Roman" w:hAnsi="Times New Roman" w:eastAsia="宋体" w:cs="Times New Roman"/>
                <w:spacing w:val="0"/>
                <w:kern w:val="2"/>
                <w:sz w:val="21"/>
                <w:szCs w:val="21"/>
                <w:lang w:val="en-US" w:eastAsia="zh-CN"/>
              </w:rPr>
              <w:t>接收、审核数据1次（上午10:00前）并做好记录；</w:t>
            </w:r>
          </w:p>
        </w:tc>
        <w:tc>
          <w:tcPr>
            <w:tcW w:w="1313" w:type="dxa"/>
            <w:tcBorders>
              <w:bottom w:val="single" w:color="auto" w:sz="4" w:space="0"/>
              <w:right w:val="single" w:color="auto" w:sz="4" w:space="0"/>
            </w:tcBorders>
            <w:noWrap w:val="0"/>
            <w:vAlign w:val="center"/>
          </w:tcPr>
          <w:p>
            <w:pPr>
              <w:snapToGrid w:val="0"/>
              <w:spacing w:line="360" w:lineRule="auto"/>
              <w:ind w:firstLine="0" w:firstLineChars="0"/>
              <w:jc w:val="center"/>
              <w:textAlignment w:val="auto"/>
              <w:rPr>
                <w:rFonts w:hint="default" w:ascii="Times New Roman" w:hAnsi="Times New Roman" w:eastAsia="宋体" w:cs="Times New Roman"/>
                <w:spacing w:val="0"/>
                <w:kern w:val="2"/>
                <w:sz w:val="21"/>
                <w:szCs w:val="21"/>
                <w:lang w:val="en-US" w:eastAsia="zh-CN"/>
              </w:rPr>
            </w:pPr>
            <w:r>
              <w:rPr>
                <w:rFonts w:hint="eastAsia" w:cs="Times New Roman"/>
                <w:spacing w:val="0"/>
                <w:kern w:val="2"/>
                <w:sz w:val="21"/>
                <w:szCs w:val="21"/>
                <w:lang w:val="en-US" w:eastAsia="zh-CN"/>
              </w:rPr>
              <w:t>365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458" w:type="dxa"/>
            <w:tcBorders>
              <w:left w:val="single" w:color="auto" w:sz="4" w:space="0"/>
              <w:bottom w:val="single" w:color="auto" w:sz="4" w:space="0"/>
            </w:tcBorders>
            <w:noWrap w:val="0"/>
            <w:vAlign w:val="center"/>
          </w:tcPr>
          <w:p>
            <w:pPr>
              <w:numPr>
                <w:ilvl w:val="0"/>
                <w:numId w:val="0"/>
              </w:numPr>
              <w:snapToGrid w:val="0"/>
              <w:spacing w:line="360" w:lineRule="auto"/>
              <w:ind w:leftChars="0" w:right="0" w:rightChars="0"/>
              <w:jc w:val="center"/>
              <w:textAlignment w:val="auto"/>
              <w:rPr>
                <w:rFonts w:hint="default" w:ascii="Times New Roman" w:hAnsi="Times New Roman" w:eastAsia="宋体" w:cs="Times New Roman"/>
                <w:spacing w:val="0"/>
                <w:kern w:val="2"/>
                <w:sz w:val="21"/>
                <w:szCs w:val="21"/>
                <w:lang w:val="en-US" w:eastAsia="zh-CN"/>
              </w:rPr>
            </w:pPr>
            <w:r>
              <w:rPr>
                <w:rFonts w:hint="eastAsia" w:cs="Times New Roman"/>
                <w:spacing w:val="0"/>
                <w:kern w:val="2"/>
                <w:sz w:val="21"/>
                <w:szCs w:val="21"/>
                <w:lang w:val="en-US" w:eastAsia="zh-CN"/>
              </w:rPr>
              <w:t>4</w:t>
            </w:r>
          </w:p>
        </w:tc>
        <w:tc>
          <w:tcPr>
            <w:tcW w:w="1542" w:type="dxa"/>
            <w:tcBorders>
              <w:bottom w:val="single" w:color="auto" w:sz="4" w:space="0"/>
            </w:tcBorders>
            <w:noWrap w:val="0"/>
            <w:vAlign w:val="center"/>
          </w:tcPr>
          <w:p>
            <w:pPr>
              <w:snapToGrid w:val="0"/>
              <w:spacing w:line="360" w:lineRule="auto"/>
              <w:ind w:firstLine="0" w:firstLineChars="0"/>
              <w:jc w:val="center"/>
              <w:textAlignment w:val="auto"/>
              <w:rPr>
                <w:rFonts w:hint="default" w:ascii="Times New Roman" w:hAnsi="Times New Roman" w:eastAsia="宋体" w:cs="Times New Roman"/>
                <w:spacing w:val="0"/>
                <w:kern w:val="2"/>
                <w:sz w:val="21"/>
                <w:szCs w:val="21"/>
                <w:lang w:val="en-US" w:eastAsia="zh-CN"/>
              </w:rPr>
            </w:pPr>
            <w:r>
              <w:rPr>
                <w:rFonts w:hint="eastAsia" w:cs="Times New Roman"/>
                <w:spacing w:val="0"/>
                <w:kern w:val="2"/>
                <w:sz w:val="21"/>
                <w:szCs w:val="21"/>
                <w:lang w:val="en-US" w:eastAsia="zh-CN"/>
              </w:rPr>
              <w:t>季度</w:t>
            </w:r>
            <w:r>
              <w:rPr>
                <w:rFonts w:hint="default" w:ascii="Times New Roman" w:hAnsi="Times New Roman" w:eastAsia="宋体" w:cs="Times New Roman"/>
                <w:spacing w:val="0"/>
                <w:kern w:val="2"/>
                <w:sz w:val="21"/>
                <w:szCs w:val="21"/>
                <w:lang w:val="en-US" w:eastAsia="zh-CN"/>
              </w:rPr>
              <w:t>维护</w:t>
            </w:r>
          </w:p>
        </w:tc>
        <w:tc>
          <w:tcPr>
            <w:tcW w:w="1149" w:type="dxa"/>
            <w:vMerge w:val="continue"/>
            <w:noWrap w:val="0"/>
            <w:vAlign w:val="center"/>
          </w:tcPr>
          <w:p>
            <w:pPr>
              <w:snapToGrid w:val="0"/>
              <w:spacing w:line="360" w:lineRule="auto"/>
              <w:ind w:firstLine="0" w:firstLineChars="0"/>
              <w:jc w:val="center"/>
              <w:textAlignment w:val="auto"/>
              <w:rPr>
                <w:rFonts w:hint="default" w:ascii="Times New Roman" w:hAnsi="Times New Roman" w:eastAsia="宋体" w:cs="Times New Roman"/>
                <w:spacing w:val="0"/>
                <w:kern w:val="2"/>
                <w:sz w:val="21"/>
                <w:szCs w:val="21"/>
                <w:lang w:val="en-US" w:eastAsia="zh-CN"/>
              </w:rPr>
            </w:pPr>
          </w:p>
        </w:tc>
        <w:tc>
          <w:tcPr>
            <w:tcW w:w="4689" w:type="dxa"/>
            <w:tcBorders>
              <w:bottom w:val="single" w:color="auto" w:sz="4" w:space="0"/>
              <w:right w:val="single" w:color="auto" w:sz="4" w:space="0"/>
            </w:tcBorders>
            <w:noWrap w:val="0"/>
            <w:vAlign w:val="bottom"/>
          </w:tcPr>
          <w:p>
            <w:pPr>
              <w:snapToGrid w:val="0"/>
              <w:spacing w:line="360" w:lineRule="auto"/>
              <w:ind w:firstLine="0" w:firstLineChars="0"/>
              <w:jc w:val="both"/>
              <w:textAlignment w:val="auto"/>
              <w:rPr>
                <w:rFonts w:hint="default" w:ascii="Times New Roman" w:hAnsi="Times New Roman" w:eastAsia="宋体" w:cs="Times New Roman"/>
                <w:spacing w:val="0"/>
                <w:kern w:val="2"/>
                <w:sz w:val="21"/>
                <w:szCs w:val="21"/>
                <w:lang w:val="en-US" w:eastAsia="zh-CN"/>
              </w:rPr>
            </w:pPr>
            <w:r>
              <w:rPr>
                <w:rFonts w:hint="default" w:ascii="Times New Roman" w:hAnsi="Times New Roman" w:eastAsia="宋体" w:cs="Times New Roman"/>
                <w:spacing w:val="0"/>
                <w:kern w:val="2"/>
                <w:sz w:val="21"/>
                <w:szCs w:val="21"/>
                <w:lang w:val="en-US" w:eastAsia="zh-CN"/>
              </w:rPr>
              <w:t>在进行仪器的各种校准或维护时，应及时关闭该仪器的数据采集通道至监测数据有效；</w:t>
            </w:r>
          </w:p>
        </w:tc>
        <w:tc>
          <w:tcPr>
            <w:tcW w:w="1313" w:type="dxa"/>
            <w:tcBorders>
              <w:bottom w:val="single" w:color="auto" w:sz="4" w:space="0"/>
              <w:right w:val="single" w:color="auto" w:sz="4" w:space="0"/>
            </w:tcBorders>
            <w:noWrap w:val="0"/>
            <w:vAlign w:val="center"/>
          </w:tcPr>
          <w:p>
            <w:pPr>
              <w:snapToGrid w:val="0"/>
              <w:spacing w:line="360" w:lineRule="auto"/>
              <w:ind w:firstLine="0" w:firstLineChars="0"/>
              <w:jc w:val="center"/>
              <w:textAlignment w:val="auto"/>
              <w:rPr>
                <w:rFonts w:hint="default" w:ascii="Times New Roman" w:hAnsi="Times New Roman" w:eastAsia="宋体" w:cs="Times New Roman"/>
                <w:spacing w:val="0"/>
                <w:kern w:val="2"/>
                <w:sz w:val="21"/>
                <w:szCs w:val="21"/>
                <w:lang w:val="en-US" w:eastAsia="zh-CN"/>
              </w:rPr>
            </w:pPr>
            <w:r>
              <w:rPr>
                <w:rFonts w:hint="eastAsia" w:cs="Times New Roman"/>
                <w:spacing w:val="0"/>
                <w:kern w:val="2"/>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458" w:type="dxa"/>
            <w:tcBorders>
              <w:left w:val="single" w:color="auto" w:sz="4" w:space="0"/>
              <w:bottom w:val="single" w:color="auto" w:sz="4" w:space="0"/>
            </w:tcBorders>
            <w:noWrap w:val="0"/>
            <w:vAlign w:val="center"/>
          </w:tcPr>
          <w:p>
            <w:pPr>
              <w:numPr>
                <w:ilvl w:val="0"/>
                <w:numId w:val="0"/>
              </w:numPr>
              <w:snapToGrid w:val="0"/>
              <w:spacing w:line="360" w:lineRule="auto"/>
              <w:ind w:leftChars="0" w:right="0" w:rightChars="0"/>
              <w:jc w:val="center"/>
              <w:textAlignment w:val="auto"/>
              <w:rPr>
                <w:rFonts w:hint="default" w:ascii="Times New Roman" w:hAnsi="Times New Roman" w:eastAsia="宋体" w:cs="Times New Roman"/>
                <w:spacing w:val="0"/>
                <w:kern w:val="2"/>
                <w:sz w:val="21"/>
                <w:szCs w:val="21"/>
                <w:lang w:val="en-US" w:eastAsia="zh-CN"/>
              </w:rPr>
            </w:pPr>
            <w:r>
              <w:rPr>
                <w:rFonts w:hint="eastAsia" w:cs="Times New Roman"/>
                <w:spacing w:val="0"/>
                <w:kern w:val="2"/>
                <w:sz w:val="21"/>
                <w:szCs w:val="21"/>
                <w:lang w:val="en-US" w:eastAsia="zh-CN"/>
              </w:rPr>
              <w:t>5</w:t>
            </w:r>
          </w:p>
        </w:tc>
        <w:tc>
          <w:tcPr>
            <w:tcW w:w="1542" w:type="dxa"/>
            <w:tcBorders>
              <w:bottom w:val="single" w:color="auto" w:sz="4" w:space="0"/>
            </w:tcBorders>
            <w:noWrap w:val="0"/>
            <w:vAlign w:val="center"/>
          </w:tcPr>
          <w:p>
            <w:pPr>
              <w:snapToGrid w:val="0"/>
              <w:spacing w:line="360" w:lineRule="auto"/>
              <w:ind w:firstLine="0" w:firstLineChars="0"/>
              <w:jc w:val="center"/>
              <w:textAlignment w:val="auto"/>
              <w:rPr>
                <w:rFonts w:hint="default" w:ascii="Times New Roman" w:hAnsi="Times New Roman" w:eastAsia="宋体" w:cs="Times New Roman"/>
                <w:spacing w:val="0"/>
                <w:kern w:val="2"/>
                <w:sz w:val="21"/>
                <w:szCs w:val="21"/>
                <w:lang w:val="en-US" w:eastAsia="zh-CN"/>
              </w:rPr>
            </w:pPr>
            <w:r>
              <w:rPr>
                <w:rFonts w:hint="default" w:ascii="Times New Roman" w:hAnsi="Times New Roman" w:eastAsia="宋体" w:cs="Times New Roman"/>
                <w:spacing w:val="0"/>
                <w:kern w:val="2"/>
                <w:sz w:val="21"/>
                <w:szCs w:val="21"/>
                <w:lang w:val="en-US" w:eastAsia="zh-CN"/>
              </w:rPr>
              <w:t>日常维护</w:t>
            </w:r>
          </w:p>
        </w:tc>
        <w:tc>
          <w:tcPr>
            <w:tcW w:w="1149" w:type="dxa"/>
            <w:vMerge w:val="continue"/>
            <w:noWrap w:val="0"/>
            <w:vAlign w:val="center"/>
          </w:tcPr>
          <w:p>
            <w:pPr>
              <w:snapToGrid w:val="0"/>
              <w:spacing w:line="360" w:lineRule="auto"/>
              <w:ind w:firstLine="0" w:firstLineChars="0"/>
              <w:jc w:val="center"/>
              <w:textAlignment w:val="auto"/>
              <w:rPr>
                <w:rFonts w:hint="default" w:ascii="Times New Roman" w:hAnsi="Times New Roman" w:eastAsia="宋体" w:cs="Times New Roman"/>
                <w:spacing w:val="0"/>
                <w:kern w:val="2"/>
                <w:sz w:val="21"/>
                <w:szCs w:val="21"/>
                <w:lang w:val="en-US" w:eastAsia="zh-CN"/>
              </w:rPr>
            </w:pPr>
          </w:p>
        </w:tc>
        <w:tc>
          <w:tcPr>
            <w:tcW w:w="4689" w:type="dxa"/>
            <w:tcBorders>
              <w:bottom w:val="single" w:color="auto" w:sz="4" w:space="0"/>
              <w:right w:val="single" w:color="auto" w:sz="4" w:space="0"/>
            </w:tcBorders>
            <w:noWrap w:val="0"/>
            <w:vAlign w:val="bottom"/>
          </w:tcPr>
          <w:p>
            <w:pPr>
              <w:snapToGrid w:val="0"/>
              <w:spacing w:line="360" w:lineRule="auto"/>
              <w:ind w:firstLine="0" w:firstLineChars="0"/>
              <w:jc w:val="both"/>
              <w:textAlignment w:val="auto"/>
              <w:rPr>
                <w:rFonts w:hint="default" w:ascii="Times New Roman" w:hAnsi="Times New Roman" w:eastAsia="宋体" w:cs="Times New Roman"/>
                <w:spacing w:val="0"/>
                <w:kern w:val="2"/>
                <w:sz w:val="21"/>
                <w:szCs w:val="21"/>
                <w:lang w:val="en-US" w:eastAsia="zh-CN"/>
              </w:rPr>
            </w:pPr>
            <w:r>
              <w:rPr>
                <w:rFonts w:hint="default" w:ascii="Times New Roman" w:hAnsi="Times New Roman" w:eastAsia="宋体" w:cs="Times New Roman"/>
                <w:spacing w:val="0"/>
                <w:kern w:val="2"/>
                <w:sz w:val="21"/>
                <w:szCs w:val="21"/>
                <w:lang w:val="en-US" w:eastAsia="zh-CN"/>
              </w:rPr>
              <w:t>仪器故障引发的无效数据，规定响应时间内的删除量不予统计；</w:t>
            </w:r>
          </w:p>
        </w:tc>
        <w:tc>
          <w:tcPr>
            <w:tcW w:w="1313" w:type="dxa"/>
            <w:tcBorders>
              <w:bottom w:val="single" w:color="auto" w:sz="4" w:space="0"/>
              <w:right w:val="single" w:color="auto" w:sz="4" w:space="0"/>
            </w:tcBorders>
            <w:noWrap w:val="0"/>
            <w:vAlign w:val="center"/>
          </w:tcPr>
          <w:p>
            <w:pPr>
              <w:snapToGrid w:val="0"/>
              <w:spacing w:line="360" w:lineRule="auto"/>
              <w:ind w:firstLine="0" w:firstLineChars="0"/>
              <w:jc w:val="center"/>
              <w:textAlignment w:val="auto"/>
              <w:rPr>
                <w:rFonts w:hint="default" w:ascii="Times New Roman" w:hAnsi="Times New Roman" w:eastAsia="宋体" w:cs="Times New Roman"/>
                <w:spacing w:val="0"/>
                <w:kern w:val="2"/>
                <w:sz w:val="21"/>
                <w:szCs w:val="21"/>
                <w:lang w:val="en-US" w:eastAsia="zh-CN"/>
              </w:rPr>
            </w:pPr>
            <w:r>
              <w:rPr>
                <w:rFonts w:hint="eastAsia" w:cs="Times New Roman"/>
                <w:spacing w:val="0"/>
                <w:kern w:val="2"/>
                <w:sz w:val="21"/>
                <w:szCs w:val="21"/>
                <w:lang w:val="en-US" w:eastAsia="zh-CN"/>
              </w:rPr>
              <w:t>规定时间内到达现场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458" w:type="dxa"/>
            <w:tcBorders>
              <w:left w:val="single" w:color="auto" w:sz="4" w:space="0"/>
            </w:tcBorders>
            <w:noWrap w:val="0"/>
            <w:vAlign w:val="center"/>
          </w:tcPr>
          <w:p>
            <w:pPr>
              <w:numPr>
                <w:ilvl w:val="0"/>
                <w:numId w:val="0"/>
              </w:numPr>
              <w:snapToGrid w:val="0"/>
              <w:spacing w:line="360" w:lineRule="auto"/>
              <w:ind w:leftChars="0" w:right="0" w:rightChars="0"/>
              <w:jc w:val="center"/>
              <w:textAlignment w:val="auto"/>
              <w:rPr>
                <w:rFonts w:hint="default" w:ascii="Times New Roman" w:hAnsi="Times New Roman" w:eastAsia="宋体" w:cs="Times New Roman"/>
                <w:spacing w:val="0"/>
                <w:kern w:val="2"/>
                <w:sz w:val="21"/>
                <w:szCs w:val="21"/>
                <w:lang w:val="en-US" w:eastAsia="zh-CN"/>
              </w:rPr>
            </w:pPr>
            <w:r>
              <w:rPr>
                <w:rFonts w:hint="eastAsia" w:cs="Times New Roman"/>
                <w:spacing w:val="0"/>
                <w:kern w:val="2"/>
                <w:sz w:val="21"/>
                <w:szCs w:val="21"/>
                <w:lang w:val="en-US" w:eastAsia="zh-CN"/>
              </w:rPr>
              <w:t>6</w:t>
            </w:r>
          </w:p>
        </w:tc>
        <w:tc>
          <w:tcPr>
            <w:tcW w:w="1542" w:type="dxa"/>
            <w:noWrap w:val="0"/>
            <w:vAlign w:val="center"/>
          </w:tcPr>
          <w:p>
            <w:pPr>
              <w:snapToGrid w:val="0"/>
              <w:spacing w:line="360" w:lineRule="auto"/>
              <w:ind w:firstLine="0" w:firstLineChars="0"/>
              <w:jc w:val="center"/>
              <w:textAlignment w:val="auto"/>
              <w:rPr>
                <w:rFonts w:hint="default" w:ascii="Times New Roman" w:hAnsi="Times New Roman" w:eastAsia="宋体" w:cs="Times New Roman"/>
                <w:spacing w:val="0"/>
                <w:kern w:val="2"/>
                <w:sz w:val="21"/>
                <w:szCs w:val="21"/>
                <w:lang w:val="en-US" w:eastAsia="zh-CN"/>
              </w:rPr>
            </w:pPr>
            <w:r>
              <w:rPr>
                <w:rFonts w:hint="default" w:ascii="Times New Roman" w:hAnsi="Times New Roman" w:eastAsia="宋体" w:cs="Times New Roman"/>
                <w:spacing w:val="0"/>
                <w:kern w:val="2"/>
                <w:sz w:val="21"/>
                <w:szCs w:val="21"/>
                <w:lang w:val="en-US" w:eastAsia="zh-CN"/>
              </w:rPr>
              <w:t>年度维护</w:t>
            </w:r>
          </w:p>
        </w:tc>
        <w:tc>
          <w:tcPr>
            <w:tcW w:w="1149" w:type="dxa"/>
            <w:vMerge w:val="continue"/>
            <w:noWrap w:val="0"/>
            <w:vAlign w:val="center"/>
          </w:tcPr>
          <w:p>
            <w:pPr>
              <w:snapToGrid w:val="0"/>
              <w:spacing w:line="360" w:lineRule="auto"/>
              <w:ind w:firstLine="0" w:firstLineChars="0"/>
              <w:jc w:val="center"/>
              <w:textAlignment w:val="auto"/>
              <w:rPr>
                <w:rFonts w:hint="default" w:ascii="Times New Roman" w:hAnsi="Times New Roman" w:eastAsia="宋体" w:cs="Times New Roman"/>
                <w:spacing w:val="0"/>
                <w:kern w:val="2"/>
                <w:sz w:val="21"/>
                <w:szCs w:val="21"/>
                <w:lang w:val="en-US" w:eastAsia="zh-CN"/>
              </w:rPr>
            </w:pPr>
          </w:p>
        </w:tc>
        <w:tc>
          <w:tcPr>
            <w:tcW w:w="4689" w:type="dxa"/>
            <w:tcBorders>
              <w:right w:val="single" w:color="auto" w:sz="4" w:space="0"/>
            </w:tcBorders>
            <w:noWrap w:val="0"/>
            <w:vAlign w:val="bottom"/>
          </w:tcPr>
          <w:p>
            <w:pPr>
              <w:snapToGrid w:val="0"/>
              <w:spacing w:line="360" w:lineRule="auto"/>
              <w:ind w:firstLine="0" w:firstLineChars="0"/>
              <w:jc w:val="both"/>
              <w:textAlignment w:val="auto"/>
              <w:rPr>
                <w:rFonts w:hint="default" w:ascii="Times New Roman" w:hAnsi="Times New Roman" w:eastAsia="宋体" w:cs="Times New Roman"/>
                <w:spacing w:val="0"/>
                <w:kern w:val="2"/>
                <w:sz w:val="21"/>
                <w:szCs w:val="21"/>
                <w:lang w:val="en-US" w:eastAsia="zh-CN"/>
              </w:rPr>
            </w:pPr>
            <w:r>
              <w:rPr>
                <w:rFonts w:hint="default" w:ascii="Times New Roman" w:hAnsi="Times New Roman" w:eastAsia="宋体" w:cs="Times New Roman"/>
                <w:spacing w:val="0"/>
                <w:kern w:val="2"/>
                <w:sz w:val="21"/>
                <w:szCs w:val="21"/>
                <w:lang w:val="en-US" w:eastAsia="zh-CN"/>
              </w:rPr>
              <w:t>保证仪器数据输出、接收准确，保证电话和通讯线路畅通（不可抗拒因素除外）</w:t>
            </w:r>
          </w:p>
        </w:tc>
        <w:tc>
          <w:tcPr>
            <w:tcW w:w="1313" w:type="dxa"/>
            <w:tcBorders>
              <w:right w:val="single" w:color="auto" w:sz="4" w:space="0"/>
            </w:tcBorders>
            <w:noWrap w:val="0"/>
            <w:vAlign w:val="center"/>
          </w:tcPr>
          <w:p>
            <w:pPr>
              <w:snapToGrid w:val="0"/>
              <w:spacing w:line="360" w:lineRule="auto"/>
              <w:ind w:firstLine="0" w:firstLineChars="0"/>
              <w:jc w:val="center"/>
              <w:textAlignment w:val="auto"/>
              <w:rPr>
                <w:rFonts w:hint="default" w:ascii="Times New Roman" w:hAnsi="Times New Roman" w:eastAsia="宋体" w:cs="Times New Roman"/>
                <w:spacing w:val="0"/>
                <w:kern w:val="2"/>
                <w:sz w:val="21"/>
                <w:szCs w:val="21"/>
                <w:lang w:val="en-US" w:eastAsia="zh-CN"/>
              </w:rPr>
            </w:pPr>
            <w:r>
              <w:rPr>
                <w:rFonts w:hint="eastAsia" w:cs="Times New Roman"/>
                <w:spacing w:val="0"/>
                <w:kern w:val="2"/>
                <w:sz w:val="21"/>
                <w:szCs w:val="21"/>
                <w:lang w:val="en-US" w:eastAsia="zh-CN"/>
              </w:rPr>
              <w:t>365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458" w:type="dxa"/>
            <w:tcBorders>
              <w:left w:val="single" w:color="auto" w:sz="4" w:space="0"/>
            </w:tcBorders>
            <w:noWrap w:val="0"/>
            <w:vAlign w:val="center"/>
          </w:tcPr>
          <w:p>
            <w:pPr>
              <w:numPr>
                <w:ilvl w:val="0"/>
                <w:numId w:val="0"/>
              </w:numPr>
              <w:snapToGrid w:val="0"/>
              <w:spacing w:line="360" w:lineRule="auto"/>
              <w:ind w:leftChars="0" w:right="0" w:rightChars="0"/>
              <w:jc w:val="center"/>
              <w:textAlignment w:val="auto"/>
              <w:rPr>
                <w:rFonts w:hint="default" w:cs="Times New Roman"/>
                <w:spacing w:val="0"/>
                <w:kern w:val="2"/>
                <w:sz w:val="21"/>
                <w:szCs w:val="21"/>
                <w:lang w:val="en-US" w:eastAsia="zh-CN"/>
              </w:rPr>
            </w:pPr>
            <w:r>
              <w:rPr>
                <w:rFonts w:hint="eastAsia" w:cs="Times New Roman"/>
                <w:spacing w:val="0"/>
                <w:kern w:val="2"/>
                <w:sz w:val="21"/>
                <w:szCs w:val="21"/>
                <w:lang w:val="en-US" w:eastAsia="zh-CN"/>
              </w:rPr>
              <w:t>7</w:t>
            </w:r>
          </w:p>
        </w:tc>
        <w:tc>
          <w:tcPr>
            <w:tcW w:w="1542" w:type="dxa"/>
            <w:noWrap w:val="0"/>
            <w:vAlign w:val="center"/>
          </w:tcPr>
          <w:p>
            <w:pPr>
              <w:snapToGrid w:val="0"/>
              <w:spacing w:line="360" w:lineRule="auto"/>
              <w:ind w:firstLine="0" w:firstLineChars="0"/>
              <w:jc w:val="center"/>
              <w:textAlignment w:val="auto"/>
              <w:rPr>
                <w:rFonts w:hint="default" w:ascii="Times New Roman" w:hAnsi="Times New Roman" w:eastAsia="宋体" w:cs="Times New Roman"/>
                <w:spacing w:val="0"/>
                <w:kern w:val="2"/>
                <w:sz w:val="21"/>
                <w:szCs w:val="21"/>
                <w:lang w:val="en-US" w:eastAsia="zh-CN"/>
              </w:rPr>
            </w:pPr>
            <w:r>
              <w:rPr>
                <w:rFonts w:hint="eastAsia" w:cs="Times New Roman"/>
                <w:spacing w:val="0"/>
                <w:kern w:val="2"/>
                <w:sz w:val="21"/>
                <w:szCs w:val="21"/>
                <w:lang w:val="en-US" w:eastAsia="zh-CN"/>
              </w:rPr>
              <w:t>月度维护</w:t>
            </w:r>
          </w:p>
        </w:tc>
        <w:tc>
          <w:tcPr>
            <w:tcW w:w="1149" w:type="dxa"/>
            <w:noWrap w:val="0"/>
            <w:vAlign w:val="center"/>
          </w:tcPr>
          <w:p>
            <w:pPr>
              <w:snapToGrid w:val="0"/>
              <w:spacing w:line="360" w:lineRule="auto"/>
              <w:ind w:firstLine="0" w:firstLineChars="0"/>
              <w:jc w:val="center"/>
              <w:textAlignment w:val="auto"/>
              <w:rPr>
                <w:rFonts w:hint="default" w:ascii="Times New Roman" w:hAnsi="Times New Roman" w:eastAsia="宋体" w:cs="Times New Roman"/>
                <w:spacing w:val="0"/>
                <w:kern w:val="2"/>
                <w:sz w:val="21"/>
                <w:szCs w:val="21"/>
                <w:lang w:val="en-US" w:eastAsia="zh-CN"/>
              </w:rPr>
            </w:pPr>
            <w:r>
              <w:rPr>
                <w:rFonts w:hint="eastAsia" w:cs="Times New Roman"/>
                <w:spacing w:val="0"/>
                <w:kern w:val="2"/>
                <w:sz w:val="21"/>
                <w:szCs w:val="21"/>
                <w:lang w:val="en-US" w:eastAsia="zh-CN"/>
              </w:rPr>
              <w:t>平台数据</w:t>
            </w:r>
          </w:p>
        </w:tc>
        <w:tc>
          <w:tcPr>
            <w:tcW w:w="4689" w:type="dxa"/>
            <w:tcBorders>
              <w:right w:val="single" w:color="auto" w:sz="4" w:space="0"/>
            </w:tcBorders>
            <w:noWrap w:val="0"/>
            <w:vAlign w:val="bottom"/>
          </w:tcPr>
          <w:p>
            <w:pPr>
              <w:snapToGrid w:val="0"/>
              <w:spacing w:line="360" w:lineRule="auto"/>
              <w:ind w:firstLine="0" w:firstLineChars="0"/>
              <w:jc w:val="both"/>
              <w:textAlignment w:val="auto"/>
              <w:rPr>
                <w:rFonts w:hint="default" w:ascii="Times New Roman" w:hAnsi="Times New Roman" w:eastAsia="宋体" w:cs="Times New Roman"/>
                <w:spacing w:val="0"/>
                <w:kern w:val="2"/>
                <w:sz w:val="21"/>
                <w:szCs w:val="21"/>
                <w:lang w:val="en-US" w:eastAsia="zh-CN"/>
              </w:rPr>
            </w:pPr>
            <w:r>
              <w:rPr>
                <w:rFonts w:hint="eastAsia" w:cs="Times New Roman"/>
                <w:spacing w:val="0"/>
                <w:kern w:val="2"/>
                <w:sz w:val="21"/>
                <w:szCs w:val="21"/>
                <w:lang w:val="en-US" w:eastAsia="zh-CN"/>
              </w:rPr>
              <w:t>针对统计数据制作分析报告</w:t>
            </w:r>
          </w:p>
        </w:tc>
        <w:tc>
          <w:tcPr>
            <w:tcW w:w="1313" w:type="dxa"/>
            <w:tcBorders>
              <w:right w:val="single" w:color="auto" w:sz="4" w:space="0"/>
            </w:tcBorders>
            <w:noWrap w:val="0"/>
            <w:vAlign w:val="center"/>
          </w:tcPr>
          <w:p>
            <w:pPr>
              <w:snapToGrid w:val="0"/>
              <w:spacing w:line="360" w:lineRule="auto"/>
              <w:ind w:firstLine="0" w:firstLineChars="0"/>
              <w:jc w:val="center"/>
              <w:textAlignment w:val="auto"/>
              <w:rPr>
                <w:rFonts w:hint="default" w:cs="Times New Roman"/>
                <w:spacing w:val="0"/>
                <w:kern w:val="2"/>
                <w:sz w:val="21"/>
                <w:szCs w:val="21"/>
                <w:lang w:val="en-US" w:eastAsia="zh-CN"/>
              </w:rPr>
            </w:pPr>
            <w:r>
              <w:rPr>
                <w:rFonts w:hint="eastAsia" w:cs="Times New Roman"/>
                <w:spacing w:val="0"/>
                <w:kern w:val="2"/>
                <w:sz w:val="21"/>
                <w:szCs w:val="21"/>
                <w:lang w:val="en-US" w:eastAsia="zh-CN"/>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6" w:hRule="atLeast"/>
          <w:jc w:val="center"/>
        </w:trPr>
        <w:tc>
          <w:tcPr>
            <w:tcW w:w="458" w:type="dxa"/>
            <w:tcBorders>
              <w:left w:val="single" w:color="auto" w:sz="4" w:space="0"/>
            </w:tcBorders>
            <w:noWrap w:val="0"/>
            <w:vAlign w:val="center"/>
          </w:tcPr>
          <w:p>
            <w:pPr>
              <w:numPr>
                <w:ilvl w:val="0"/>
                <w:numId w:val="0"/>
              </w:numPr>
              <w:snapToGrid w:val="0"/>
              <w:spacing w:line="360" w:lineRule="auto"/>
              <w:ind w:leftChars="0" w:right="0" w:rightChars="0"/>
              <w:jc w:val="center"/>
              <w:textAlignment w:val="auto"/>
              <w:rPr>
                <w:rFonts w:hint="default" w:cs="Times New Roman"/>
                <w:spacing w:val="0"/>
                <w:kern w:val="2"/>
                <w:sz w:val="21"/>
                <w:szCs w:val="21"/>
                <w:lang w:val="en-US" w:eastAsia="zh-CN"/>
              </w:rPr>
            </w:pPr>
            <w:r>
              <w:rPr>
                <w:rFonts w:hint="eastAsia" w:cs="Times New Roman"/>
                <w:spacing w:val="0"/>
                <w:kern w:val="2"/>
                <w:sz w:val="21"/>
                <w:szCs w:val="21"/>
                <w:lang w:val="en-US" w:eastAsia="zh-CN"/>
              </w:rPr>
              <w:t>8</w:t>
            </w:r>
          </w:p>
        </w:tc>
        <w:tc>
          <w:tcPr>
            <w:tcW w:w="1542" w:type="dxa"/>
            <w:noWrap w:val="0"/>
            <w:vAlign w:val="center"/>
          </w:tcPr>
          <w:p>
            <w:pPr>
              <w:snapToGrid w:val="0"/>
              <w:spacing w:line="360" w:lineRule="auto"/>
              <w:ind w:firstLine="0" w:firstLineChars="0"/>
              <w:jc w:val="center"/>
              <w:textAlignment w:val="auto"/>
              <w:rPr>
                <w:rFonts w:hint="default" w:cs="Times New Roman"/>
                <w:spacing w:val="0"/>
                <w:kern w:val="2"/>
                <w:sz w:val="21"/>
                <w:szCs w:val="21"/>
                <w:lang w:val="en-US" w:eastAsia="zh-CN"/>
              </w:rPr>
            </w:pPr>
            <w:r>
              <w:rPr>
                <w:rFonts w:hint="eastAsia" w:cs="Times New Roman"/>
                <w:spacing w:val="0"/>
                <w:kern w:val="2"/>
                <w:sz w:val="21"/>
                <w:szCs w:val="21"/>
                <w:lang w:val="en-US" w:eastAsia="zh-CN"/>
              </w:rPr>
              <w:t>日常维护</w:t>
            </w:r>
          </w:p>
        </w:tc>
        <w:tc>
          <w:tcPr>
            <w:tcW w:w="1149" w:type="dxa"/>
            <w:noWrap w:val="0"/>
            <w:vAlign w:val="center"/>
          </w:tcPr>
          <w:p>
            <w:pPr>
              <w:snapToGrid w:val="0"/>
              <w:spacing w:line="360" w:lineRule="auto"/>
              <w:ind w:firstLine="0" w:firstLineChars="0"/>
              <w:jc w:val="center"/>
              <w:textAlignment w:val="auto"/>
              <w:rPr>
                <w:rFonts w:hint="default" w:cs="Times New Roman"/>
                <w:spacing w:val="0"/>
                <w:kern w:val="2"/>
                <w:sz w:val="21"/>
                <w:szCs w:val="21"/>
                <w:lang w:val="en-US" w:eastAsia="zh-CN"/>
              </w:rPr>
            </w:pPr>
            <w:r>
              <w:rPr>
                <w:rFonts w:hint="eastAsia" w:cs="Times New Roman"/>
                <w:spacing w:val="0"/>
                <w:kern w:val="2"/>
                <w:sz w:val="21"/>
                <w:szCs w:val="21"/>
                <w:lang w:val="en-US" w:eastAsia="zh-CN"/>
              </w:rPr>
              <w:t>监测设备</w:t>
            </w:r>
          </w:p>
        </w:tc>
        <w:tc>
          <w:tcPr>
            <w:tcW w:w="4689" w:type="dxa"/>
            <w:tcBorders>
              <w:right w:val="single" w:color="auto" w:sz="4" w:space="0"/>
            </w:tcBorders>
            <w:noWrap w:val="0"/>
            <w:vAlign w:val="bottom"/>
          </w:tcPr>
          <w:p>
            <w:pPr>
              <w:spacing w:line="360" w:lineRule="auto"/>
              <w:ind w:left="0" w:leftChars="0" w:firstLine="0" w:firstLineChars="0"/>
              <w:jc w:val="both"/>
              <w:rPr>
                <w:rFonts w:hint="eastAsia" w:cs="Times New Roman"/>
                <w:spacing w:val="0"/>
                <w:kern w:val="2"/>
                <w:sz w:val="21"/>
                <w:szCs w:val="21"/>
                <w:lang w:val="en-US" w:eastAsia="zh-CN"/>
              </w:rPr>
            </w:pPr>
            <w:r>
              <w:rPr>
                <w:rFonts w:hint="default" w:ascii="Times New Roman" w:hAnsi="Times New Roman" w:eastAsia="宋体" w:cs="Times New Roman"/>
                <w:sz w:val="21"/>
                <w:szCs w:val="21"/>
                <w:lang w:val="en-US" w:eastAsia="zh-CN"/>
              </w:rPr>
              <w:t>城市站运行维护记录表；</w:t>
            </w:r>
            <w:r>
              <w:rPr>
                <w:rFonts w:hint="default" w:ascii="Times New Roman" w:hAnsi="Times New Roman" w:eastAsia="宋体" w:cs="Times New Roman"/>
                <w:sz w:val="21"/>
                <w:szCs w:val="21"/>
                <w:lang w:val="en-US" w:eastAsia="zh-CN"/>
              </w:rPr>
              <w:br w:type="textWrapping"/>
            </w:r>
            <w:r>
              <w:rPr>
                <w:rFonts w:hint="default" w:ascii="Times New Roman" w:hAnsi="Times New Roman" w:eastAsia="宋体" w:cs="Times New Roman"/>
                <w:sz w:val="21"/>
                <w:szCs w:val="21"/>
                <w:lang w:val="en-US" w:eastAsia="zh-CN"/>
              </w:rPr>
              <w:t>颗粒监测仪校准检查记录；</w:t>
            </w:r>
            <w:r>
              <w:rPr>
                <w:rFonts w:hint="default" w:ascii="Times New Roman" w:hAnsi="Times New Roman" w:eastAsia="宋体" w:cs="Times New Roman"/>
                <w:sz w:val="21"/>
                <w:szCs w:val="21"/>
                <w:lang w:val="en-US" w:eastAsia="zh-CN"/>
              </w:rPr>
              <w:br w:type="textWrapping"/>
            </w:r>
            <w:r>
              <w:rPr>
                <w:rFonts w:hint="default" w:ascii="Times New Roman" w:hAnsi="Times New Roman" w:eastAsia="宋体" w:cs="Times New Roman"/>
                <w:sz w:val="21"/>
                <w:szCs w:val="21"/>
                <w:lang w:val="en-US" w:eastAsia="zh-CN"/>
              </w:rPr>
              <w:t>气态污染物监测仪校准检查记录；</w:t>
            </w:r>
            <w:r>
              <w:rPr>
                <w:rFonts w:hint="default" w:ascii="Times New Roman" w:hAnsi="Times New Roman" w:eastAsia="宋体" w:cs="Times New Roman"/>
                <w:sz w:val="21"/>
                <w:szCs w:val="21"/>
                <w:lang w:val="en-US" w:eastAsia="zh-CN"/>
              </w:rPr>
              <w:br w:type="textWrapping"/>
            </w:r>
            <w:r>
              <w:rPr>
                <w:rFonts w:hint="default" w:ascii="Times New Roman" w:hAnsi="Times New Roman" w:eastAsia="宋体" w:cs="Times New Roman"/>
                <w:sz w:val="21"/>
                <w:szCs w:val="21"/>
                <w:lang w:val="en-US" w:eastAsia="zh-CN"/>
              </w:rPr>
              <w:t>空气自动监测系统仪器设备维修记录表；</w:t>
            </w:r>
            <w:r>
              <w:rPr>
                <w:rFonts w:hint="default" w:ascii="Times New Roman" w:hAnsi="Times New Roman" w:eastAsia="宋体" w:cs="Times New Roman"/>
                <w:sz w:val="21"/>
                <w:szCs w:val="21"/>
                <w:lang w:val="en-US" w:eastAsia="zh-CN"/>
              </w:rPr>
              <w:br w:type="textWrapping"/>
            </w:r>
            <w:r>
              <w:rPr>
                <w:rFonts w:hint="default" w:ascii="Times New Roman" w:hAnsi="Times New Roman" w:eastAsia="宋体" w:cs="Times New Roman"/>
                <w:sz w:val="21"/>
                <w:szCs w:val="21"/>
                <w:lang w:val="en-US" w:eastAsia="zh-CN"/>
              </w:rPr>
              <w:t xml:space="preserve">空气自动监测系统备品备件管理记录表； </w:t>
            </w:r>
            <w:r>
              <w:rPr>
                <w:rFonts w:hint="default" w:ascii="Times New Roman" w:hAnsi="Times New Roman" w:eastAsia="宋体" w:cs="Times New Roman"/>
                <w:sz w:val="21"/>
                <w:szCs w:val="21"/>
                <w:lang w:val="en-US" w:eastAsia="zh-CN"/>
              </w:rPr>
              <w:br w:type="textWrapping"/>
            </w:r>
            <w:r>
              <w:rPr>
                <w:rFonts w:hint="default" w:ascii="Times New Roman" w:hAnsi="Times New Roman" w:eastAsia="宋体" w:cs="Times New Roman"/>
                <w:sz w:val="21"/>
                <w:szCs w:val="21"/>
                <w:lang w:val="en-US" w:eastAsia="zh-CN"/>
              </w:rPr>
              <w:t>空气自动监测站主要消耗材料使用登记表</w:t>
            </w:r>
            <w:r>
              <w:rPr>
                <w:rFonts w:hint="eastAsia" w:cs="Times New Roman"/>
                <w:sz w:val="21"/>
                <w:szCs w:val="21"/>
                <w:lang w:val="en-US" w:eastAsia="zh-CN"/>
              </w:rPr>
              <w:t>；</w:t>
            </w:r>
            <w:r>
              <w:rPr>
                <w:rFonts w:hint="eastAsia" w:cs="Times New Roman"/>
                <w:sz w:val="21"/>
                <w:szCs w:val="21"/>
                <w:lang w:val="en-US" w:eastAsia="zh-CN"/>
              </w:rPr>
              <w:br w:type="textWrapping"/>
            </w:r>
            <w:r>
              <w:rPr>
                <w:rFonts w:hint="default" w:ascii="Times New Roman" w:hAnsi="Times New Roman" w:eastAsia="宋体" w:cs="Times New Roman"/>
                <w:sz w:val="21"/>
                <w:szCs w:val="21"/>
                <w:lang w:val="en-US" w:eastAsia="zh-CN"/>
              </w:rPr>
              <w:t>多点线性校准表格；</w:t>
            </w:r>
            <w:r>
              <w:rPr>
                <w:rFonts w:hint="default" w:ascii="Times New Roman" w:hAnsi="Times New Roman" w:eastAsia="宋体" w:cs="Times New Roman"/>
                <w:sz w:val="21"/>
                <w:szCs w:val="21"/>
                <w:lang w:val="en-US" w:eastAsia="zh-CN"/>
              </w:rPr>
              <w:br w:type="textWrapping"/>
            </w:r>
            <w:r>
              <w:rPr>
                <w:rFonts w:hint="default" w:ascii="Times New Roman" w:hAnsi="Times New Roman" w:eastAsia="宋体" w:cs="Times New Roman"/>
                <w:sz w:val="21"/>
                <w:szCs w:val="21"/>
                <w:lang w:val="en-US" w:eastAsia="zh-CN"/>
              </w:rPr>
              <w:t>标准物质使用记录</w:t>
            </w:r>
            <w:r>
              <w:rPr>
                <w:rFonts w:hint="eastAsia" w:cs="Times New Roman"/>
                <w:sz w:val="21"/>
                <w:szCs w:val="21"/>
                <w:lang w:val="en-US" w:eastAsia="zh-CN"/>
              </w:rPr>
              <w:t>；</w:t>
            </w:r>
            <w:r>
              <w:rPr>
                <w:rFonts w:hint="eastAsia" w:cs="Times New Roman"/>
                <w:sz w:val="21"/>
                <w:szCs w:val="21"/>
                <w:lang w:val="en-US" w:eastAsia="zh-CN"/>
              </w:rPr>
              <w:br w:type="textWrapping"/>
            </w:r>
            <w:r>
              <w:rPr>
                <w:rFonts w:hint="default" w:ascii="Times New Roman" w:hAnsi="Times New Roman" w:eastAsia="宋体" w:cs="Times New Roman"/>
                <w:sz w:val="21"/>
                <w:szCs w:val="21"/>
                <w:lang w:val="en-US" w:eastAsia="zh-CN"/>
              </w:rPr>
              <w:t>空气自动监测系统仪器资料保管清单。</w:t>
            </w:r>
          </w:p>
        </w:tc>
        <w:tc>
          <w:tcPr>
            <w:tcW w:w="1313" w:type="dxa"/>
            <w:tcBorders>
              <w:right w:val="single" w:color="auto" w:sz="4" w:space="0"/>
            </w:tcBorders>
            <w:noWrap w:val="0"/>
            <w:vAlign w:val="center"/>
          </w:tcPr>
          <w:p>
            <w:pPr>
              <w:snapToGrid w:val="0"/>
              <w:spacing w:line="360" w:lineRule="auto"/>
              <w:ind w:firstLine="0" w:firstLineChars="0"/>
              <w:jc w:val="center"/>
              <w:textAlignment w:val="auto"/>
              <w:rPr>
                <w:rFonts w:hint="default" w:cs="Times New Roman"/>
                <w:spacing w:val="0"/>
                <w:kern w:val="2"/>
                <w:sz w:val="21"/>
                <w:szCs w:val="21"/>
                <w:lang w:val="en-US" w:eastAsia="zh-CN"/>
              </w:rPr>
            </w:pPr>
            <w:r>
              <w:rPr>
                <w:rFonts w:hint="eastAsia" w:cs="Times New Roman"/>
                <w:spacing w:val="0"/>
                <w:kern w:val="2"/>
                <w:sz w:val="21"/>
                <w:szCs w:val="21"/>
                <w:lang w:val="en-US" w:eastAsia="zh-CN"/>
              </w:rPr>
              <w:t>52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9" w:hRule="atLeast"/>
          <w:jc w:val="center"/>
        </w:trPr>
        <w:tc>
          <w:tcPr>
            <w:tcW w:w="458" w:type="dxa"/>
            <w:tcBorders>
              <w:left w:val="single" w:color="auto" w:sz="4" w:space="0"/>
            </w:tcBorders>
            <w:noWrap w:val="0"/>
            <w:vAlign w:val="center"/>
          </w:tcPr>
          <w:p>
            <w:pPr>
              <w:snapToGrid w:val="0"/>
              <w:spacing w:line="360" w:lineRule="auto"/>
              <w:ind w:firstLine="0" w:firstLineChars="0"/>
              <w:jc w:val="center"/>
              <w:textAlignment w:val="auto"/>
              <w:rPr>
                <w:rFonts w:hint="default" w:cs="Times New Roman"/>
                <w:spacing w:val="0"/>
                <w:kern w:val="2"/>
                <w:sz w:val="21"/>
                <w:szCs w:val="21"/>
                <w:lang w:val="en-US" w:eastAsia="zh-CN"/>
              </w:rPr>
            </w:pPr>
            <w:r>
              <w:rPr>
                <w:rFonts w:hint="eastAsia" w:cs="Times New Roman"/>
                <w:spacing w:val="0"/>
                <w:kern w:val="2"/>
                <w:sz w:val="21"/>
                <w:szCs w:val="21"/>
                <w:lang w:val="en-US" w:eastAsia="zh-CN"/>
              </w:rPr>
              <w:t>9</w:t>
            </w:r>
          </w:p>
        </w:tc>
        <w:tc>
          <w:tcPr>
            <w:tcW w:w="1542" w:type="dxa"/>
            <w:noWrap w:val="0"/>
            <w:vAlign w:val="center"/>
          </w:tcPr>
          <w:p>
            <w:pPr>
              <w:snapToGrid w:val="0"/>
              <w:spacing w:line="360" w:lineRule="auto"/>
              <w:ind w:firstLine="0" w:firstLineChars="0"/>
              <w:jc w:val="center"/>
              <w:textAlignment w:val="auto"/>
              <w:rPr>
                <w:rFonts w:hint="eastAsia" w:cs="Times New Roman"/>
                <w:spacing w:val="0"/>
                <w:kern w:val="2"/>
                <w:sz w:val="21"/>
                <w:szCs w:val="21"/>
                <w:lang w:val="en-US" w:eastAsia="zh-CN"/>
              </w:rPr>
            </w:pPr>
            <w:r>
              <w:rPr>
                <w:rFonts w:hint="eastAsia" w:cs="Times New Roman"/>
                <w:spacing w:val="0"/>
                <w:kern w:val="2"/>
                <w:sz w:val="21"/>
                <w:szCs w:val="21"/>
                <w:lang w:val="en-US" w:eastAsia="zh-CN"/>
              </w:rPr>
              <w:t>环境检测服务</w:t>
            </w:r>
          </w:p>
        </w:tc>
        <w:tc>
          <w:tcPr>
            <w:tcW w:w="1149" w:type="dxa"/>
            <w:vMerge w:val="restart"/>
            <w:noWrap w:val="0"/>
            <w:vAlign w:val="center"/>
          </w:tcPr>
          <w:p>
            <w:pPr>
              <w:spacing w:line="360" w:lineRule="auto"/>
              <w:ind w:left="0" w:leftChars="0" w:firstLine="0" w:firstLineChars="0"/>
              <w:jc w:val="both"/>
              <w:rPr>
                <w:rFonts w:hint="default" w:ascii="Times New Roman" w:hAnsi="Times New Roman" w:eastAsia="宋体" w:cs="Times New Roman"/>
                <w:sz w:val="21"/>
                <w:szCs w:val="21"/>
                <w:lang w:val="en-US" w:eastAsia="zh-CN"/>
              </w:rPr>
            </w:pPr>
            <w:r>
              <w:rPr>
                <w:rFonts w:hint="eastAsia" w:cs="Times New Roman"/>
                <w:sz w:val="21"/>
                <w:szCs w:val="21"/>
                <w:lang w:val="en-US" w:eastAsia="zh-CN"/>
              </w:rPr>
              <w:t>其他服务</w:t>
            </w:r>
          </w:p>
        </w:tc>
        <w:tc>
          <w:tcPr>
            <w:tcW w:w="4689" w:type="dxa"/>
            <w:tcBorders>
              <w:right w:val="single" w:color="auto" w:sz="4" w:space="0"/>
            </w:tcBorders>
            <w:noWrap w:val="0"/>
            <w:vAlign w:val="bottom"/>
          </w:tcPr>
          <w:p>
            <w:pPr>
              <w:spacing w:line="360" w:lineRule="auto"/>
              <w:ind w:left="0" w:leftChars="0" w:firstLine="0" w:firstLineChars="0"/>
              <w:jc w:val="both"/>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监测周边环境PM2.5、PM10、NO2、SO2、CO、O3因子，进行来源分析并出具相关分析报告</w:t>
            </w:r>
          </w:p>
        </w:tc>
        <w:tc>
          <w:tcPr>
            <w:tcW w:w="1313" w:type="dxa"/>
            <w:tcBorders>
              <w:right w:val="single" w:color="auto" w:sz="4" w:space="0"/>
            </w:tcBorders>
            <w:noWrap w:val="0"/>
            <w:vAlign w:val="center"/>
          </w:tcPr>
          <w:p>
            <w:pPr>
              <w:snapToGrid w:val="0"/>
              <w:spacing w:line="360" w:lineRule="auto"/>
              <w:ind w:firstLine="0" w:firstLineChars="0"/>
              <w:jc w:val="center"/>
              <w:textAlignment w:val="auto"/>
              <w:rPr>
                <w:rFonts w:hint="default" w:cs="Times New Roman"/>
                <w:spacing w:val="0"/>
                <w:kern w:val="2"/>
                <w:sz w:val="21"/>
                <w:szCs w:val="21"/>
                <w:lang w:val="en-US" w:eastAsia="zh-CN"/>
              </w:rPr>
            </w:pPr>
            <w:r>
              <w:rPr>
                <w:rFonts w:hint="eastAsia" w:cs="Times New Roman"/>
                <w:spacing w:val="0"/>
                <w:kern w:val="2"/>
                <w:sz w:val="21"/>
                <w:szCs w:val="21"/>
                <w:lang w:val="en-US" w:eastAsia="zh-CN"/>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atLeast"/>
          <w:jc w:val="center"/>
        </w:trPr>
        <w:tc>
          <w:tcPr>
            <w:tcW w:w="458" w:type="dxa"/>
            <w:tcBorders>
              <w:left w:val="single" w:color="auto" w:sz="4" w:space="0"/>
            </w:tcBorders>
            <w:noWrap w:val="0"/>
            <w:vAlign w:val="center"/>
          </w:tcPr>
          <w:p>
            <w:pPr>
              <w:snapToGrid w:val="0"/>
              <w:spacing w:line="360" w:lineRule="auto"/>
              <w:ind w:firstLine="0" w:firstLineChars="0"/>
              <w:jc w:val="center"/>
              <w:textAlignment w:val="auto"/>
              <w:rPr>
                <w:rFonts w:hint="default" w:cs="Times New Roman"/>
                <w:spacing w:val="0"/>
                <w:kern w:val="2"/>
                <w:sz w:val="21"/>
                <w:szCs w:val="21"/>
                <w:lang w:val="en-US" w:eastAsia="zh-CN"/>
              </w:rPr>
            </w:pPr>
            <w:r>
              <w:rPr>
                <w:rFonts w:hint="eastAsia" w:cs="Times New Roman"/>
                <w:spacing w:val="0"/>
                <w:kern w:val="2"/>
                <w:sz w:val="21"/>
                <w:szCs w:val="21"/>
                <w:lang w:val="en-US" w:eastAsia="zh-CN"/>
              </w:rPr>
              <w:t>10</w:t>
            </w:r>
          </w:p>
        </w:tc>
        <w:tc>
          <w:tcPr>
            <w:tcW w:w="1542" w:type="dxa"/>
            <w:vMerge w:val="restart"/>
            <w:noWrap w:val="0"/>
            <w:vAlign w:val="center"/>
          </w:tcPr>
          <w:p>
            <w:pPr>
              <w:snapToGrid w:val="0"/>
              <w:spacing w:line="360" w:lineRule="auto"/>
              <w:ind w:firstLine="0" w:firstLineChars="0"/>
              <w:jc w:val="center"/>
              <w:textAlignment w:val="auto"/>
              <w:rPr>
                <w:rFonts w:hint="default" w:cs="Times New Roman"/>
                <w:spacing w:val="0"/>
                <w:kern w:val="2"/>
                <w:sz w:val="21"/>
                <w:szCs w:val="21"/>
                <w:lang w:val="en-US" w:eastAsia="zh-CN"/>
              </w:rPr>
            </w:pPr>
            <w:r>
              <w:rPr>
                <w:rFonts w:hint="default" w:cs="Times New Roman"/>
                <w:spacing w:val="0"/>
                <w:kern w:val="2"/>
                <w:sz w:val="21"/>
                <w:szCs w:val="21"/>
                <w:lang w:val="en-US" w:eastAsia="zh-CN"/>
              </w:rPr>
              <w:t>大气污染复基</w:t>
            </w:r>
          </w:p>
          <w:p>
            <w:pPr>
              <w:snapToGrid w:val="0"/>
              <w:spacing w:line="360" w:lineRule="auto"/>
              <w:ind w:firstLine="0" w:firstLineChars="0"/>
              <w:jc w:val="center"/>
              <w:textAlignment w:val="auto"/>
              <w:rPr>
                <w:rFonts w:hint="eastAsia" w:cs="Times New Roman"/>
                <w:spacing w:val="0"/>
                <w:kern w:val="2"/>
                <w:sz w:val="21"/>
                <w:szCs w:val="21"/>
                <w:lang w:val="en-US" w:eastAsia="zh-CN"/>
              </w:rPr>
            </w:pPr>
            <w:r>
              <w:rPr>
                <w:rFonts w:hint="default" w:cs="Times New Roman"/>
                <w:spacing w:val="0"/>
                <w:kern w:val="2"/>
                <w:sz w:val="21"/>
                <w:szCs w:val="21"/>
                <w:lang w:val="en-US" w:eastAsia="zh-CN"/>
              </w:rPr>
              <w:t>础支撑服务</w:t>
            </w:r>
          </w:p>
        </w:tc>
        <w:tc>
          <w:tcPr>
            <w:tcW w:w="1149" w:type="dxa"/>
            <w:vMerge w:val="continue"/>
            <w:noWrap w:val="0"/>
            <w:vAlign w:val="center"/>
          </w:tcPr>
          <w:p>
            <w:pPr>
              <w:snapToGrid w:val="0"/>
              <w:spacing w:line="360" w:lineRule="auto"/>
              <w:ind w:firstLine="0" w:firstLineChars="0"/>
              <w:jc w:val="center"/>
              <w:textAlignment w:val="auto"/>
              <w:rPr>
                <w:rFonts w:hint="eastAsia" w:cs="Times New Roman"/>
                <w:spacing w:val="0"/>
                <w:kern w:val="2"/>
                <w:sz w:val="21"/>
                <w:szCs w:val="21"/>
                <w:lang w:val="en-US" w:eastAsia="zh-CN"/>
              </w:rPr>
            </w:pPr>
          </w:p>
        </w:tc>
        <w:tc>
          <w:tcPr>
            <w:tcW w:w="4689" w:type="dxa"/>
            <w:tcBorders>
              <w:right w:val="single" w:color="auto" w:sz="4" w:space="0"/>
            </w:tcBorders>
            <w:noWrap w:val="0"/>
            <w:vAlign w:val="center"/>
          </w:tcPr>
          <w:p>
            <w:pPr>
              <w:snapToGrid w:val="0"/>
              <w:spacing w:line="360" w:lineRule="auto"/>
              <w:ind w:firstLine="0" w:firstLineChars="0"/>
              <w:jc w:val="both"/>
              <w:textAlignment w:val="auto"/>
              <w:rPr>
                <w:rFonts w:hint="default" w:cs="Times New Roman"/>
                <w:spacing w:val="0"/>
                <w:kern w:val="2"/>
                <w:sz w:val="21"/>
                <w:szCs w:val="21"/>
                <w:lang w:val="en-US" w:eastAsia="zh-CN"/>
              </w:rPr>
            </w:pPr>
            <w:r>
              <w:rPr>
                <w:rFonts w:hint="eastAsia" w:cs="Times New Roman"/>
                <w:spacing w:val="0"/>
                <w:kern w:val="2"/>
                <w:sz w:val="21"/>
                <w:szCs w:val="21"/>
                <w:lang w:val="en-US" w:eastAsia="zh-CN"/>
              </w:rPr>
              <w:t>每周针对重点时段、区域、因子、对象等异常情况进行分析，并分析判断原因上报相关部门</w:t>
            </w:r>
          </w:p>
        </w:tc>
        <w:tc>
          <w:tcPr>
            <w:tcW w:w="1313" w:type="dxa"/>
            <w:tcBorders>
              <w:right w:val="single" w:color="auto" w:sz="4" w:space="0"/>
            </w:tcBorders>
            <w:noWrap w:val="0"/>
            <w:vAlign w:val="center"/>
          </w:tcPr>
          <w:p>
            <w:pPr>
              <w:snapToGrid w:val="0"/>
              <w:spacing w:line="360" w:lineRule="auto"/>
              <w:ind w:firstLine="0" w:firstLineChars="0"/>
              <w:jc w:val="center"/>
              <w:textAlignment w:val="auto"/>
              <w:rPr>
                <w:rFonts w:hint="default" w:cs="Times New Roman"/>
                <w:spacing w:val="0"/>
                <w:kern w:val="2"/>
                <w:sz w:val="21"/>
                <w:szCs w:val="21"/>
                <w:lang w:val="en-US" w:eastAsia="zh-CN"/>
              </w:rPr>
            </w:pPr>
            <w:r>
              <w:rPr>
                <w:rFonts w:hint="eastAsia" w:cs="Times New Roman"/>
                <w:spacing w:val="0"/>
                <w:kern w:val="2"/>
                <w:sz w:val="21"/>
                <w:szCs w:val="21"/>
                <w:lang w:val="en-US" w:eastAsia="zh-CN"/>
              </w:rPr>
              <w:t>52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atLeast"/>
          <w:jc w:val="center"/>
        </w:trPr>
        <w:tc>
          <w:tcPr>
            <w:tcW w:w="458" w:type="dxa"/>
            <w:tcBorders>
              <w:left w:val="single" w:color="auto" w:sz="4" w:space="0"/>
            </w:tcBorders>
            <w:noWrap w:val="0"/>
            <w:vAlign w:val="center"/>
          </w:tcPr>
          <w:p>
            <w:pPr>
              <w:snapToGrid w:val="0"/>
              <w:spacing w:line="360" w:lineRule="auto"/>
              <w:ind w:firstLine="0" w:firstLineChars="0"/>
              <w:jc w:val="center"/>
              <w:textAlignment w:val="auto"/>
              <w:rPr>
                <w:rFonts w:hint="default" w:cs="Times New Roman"/>
                <w:spacing w:val="0"/>
                <w:kern w:val="2"/>
                <w:sz w:val="21"/>
                <w:szCs w:val="21"/>
                <w:lang w:val="en-US" w:eastAsia="zh-CN"/>
              </w:rPr>
            </w:pPr>
            <w:r>
              <w:rPr>
                <w:rFonts w:hint="eastAsia" w:cs="Times New Roman"/>
                <w:spacing w:val="0"/>
                <w:kern w:val="2"/>
                <w:sz w:val="21"/>
                <w:szCs w:val="21"/>
                <w:lang w:val="en-US" w:eastAsia="zh-CN"/>
              </w:rPr>
              <w:t>11</w:t>
            </w:r>
          </w:p>
        </w:tc>
        <w:tc>
          <w:tcPr>
            <w:tcW w:w="1542" w:type="dxa"/>
            <w:vMerge w:val="continue"/>
            <w:noWrap w:val="0"/>
            <w:vAlign w:val="center"/>
          </w:tcPr>
          <w:p>
            <w:pPr>
              <w:snapToGrid w:val="0"/>
              <w:spacing w:line="360" w:lineRule="auto"/>
              <w:ind w:firstLine="0" w:firstLineChars="0"/>
              <w:jc w:val="center"/>
              <w:textAlignment w:val="auto"/>
              <w:rPr>
                <w:rFonts w:hint="default" w:cs="Times New Roman"/>
                <w:spacing w:val="0"/>
                <w:kern w:val="2"/>
                <w:sz w:val="21"/>
                <w:szCs w:val="21"/>
                <w:lang w:val="en-US" w:eastAsia="zh-CN"/>
              </w:rPr>
            </w:pPr>
          </w:p>
        </w:tc>
        <w:tc>
          <w:tcPr>
            <w:tcW w:w="1149" w:type="dxa"/>
            <w:vMerge w:val="continue"/>
            <w:noWrap w:val="0"/>
            <w:vAlign w:val="center"/>
          </w:tcPr>
          <w:p>
            <w:pPr>
              <w:snapToGrid w:val="0"/>
              <w:spacing w:line="360" w:lineRule="auto"/>
              <w:ind w:firstLine="0" w:firstLineChars="0"/>
              <w:jc w:val="center"/>
              <w:textAlignment w:val="auto"/>
              <w:rPr>
                <w:rFonts w:hint="eastAsia" w:cs="Times New Roman"/>
                <w:spacing w:val="0"/>
                <w:kern w:val="2"/>
                <w:sz w:val="21"/>
                <w:szCs w:val="21"/>
                <w:lang w:val="en-US" w:eastAsia="zh-CN"/>
              </w:rPr>
            </w:pPr>
          </w:p>
        </w:tc>
        <w:tc>
          <w:tcPr>
            <w:tcW w:w="4689" w:type="dxa"/>
            <w:tcBorders>
              <w:right w:val="single" w:color="auto" w:sz="4" w:space="0"/>
            </w:tcBorders>
            <w:noWrap w:val="0"/>
            <w:vAlign w:val="center"/>
          </w:tcPr>
          <w:p>
            <w:pPr>
              <w:snapToGrid w:val="0"/>
              <w:spacing w:line="360" w:lineRule="auto"/>
              <w:ind w:firstLine="0" w:firstLineChars="0"/>
              <w:jc w:val="both"/>
              <w:textAlignment w:val="auto"/>
              <w:rPr>
                <w:rFonts w:hint="default" w:cs="Times New Roman"/>
                <w:spacing w:val="0"/>
                <w:kern w:val="2"/>
                <w:sz w:val="21"/>
                <w:szCs w:val="21"/>
                <w:lang w:val="en-US" w:eastAsia="zh-CN"/>
              </w:rPr>
            </w:pPr>
            <w:r>
              <w:rPr>
                <w:rFonts w:hint="eastAsia" w:cs="Times New Roman"/>
                <w:spacing w:val="0"/>
                <w:kern w:val="2"/>
                <w:sz w:val="21"/>
                <w:szCs w:val="21"/>
                <w:lang w:val="en-US" w:eastAsia="zh-CN"/>
              </w:rPr>
              <w:t>整理填报监测站内</w:t>
            </w:r>
            <w:r>
              <w:rPr>
                <w:rFonts w:hint="default" w:cs="Times New Roman"/>
                <w:spacing w:val="0"/>
                <w:kern w:val="2"/>
                <w:sz w:val="21"/>
                <w:szCs w:val="21"/>
                <w:lang w:val="en-US" w:eastAsia="zh-CN"/>
              </w:rPr>
              <w:t>考核评估</w:t>
            </w:r>
            <w:r>
              <w:rPr>
                <w:rFonts w:hint="eastAsia" w:cs="Times New Roman"/>
                <w:spacing w:val="0"/>
                <w:kern w:val="2"/>
                <w:sz w:val="21"/>
                <w:szCs w:val="21"/>
                <w:lang w:val="en-US" w:eastAsia="zh-CN"/>
              </w:rPr>
              <w:t>相关资料（包含运行台账、调试报告、验收报告、异常数据报告等）</w:t>
            </w:r>
          </w:p>
        </w:tc>
        <w:tc>
          <w:tcPr>
            <w:tcW w:w="1313" w:type="dxa"/>
            <w:tcBorders>
              <w:right w:val="single" w:color="auto" w:sz="4" w:space="0"/>
            </w:tcBorders>
            <w:noWrap w:val="0"/>
            <w:vAlign w:val="center"/>
          </w:tcPr>
          <w:p>
            <w:pPr>
              <w:snapToGrid w:val="0"/>
              <w:spacing w:line="360" w:lineRule="auto"/>
              <w:ind w:firstLine="0" w:firstLineChars="0"/>
              <w:jc w:val="center"/>
              <w:textAlignment w:val="auto"/>
              <w:rPr>
                <w:rFonts w:hint="default" w:cs="Times New Roman"/>
                <w:spacing w:val="0"/>
                <w:kern w:val="2"/>
                <w:sz w:val="21"/>
                <w:szCs w:val="21"/>
                <w:lang w:val="en-US" w:eastAsia="zh-CN"/>
              </w:rPr>
            </w:pPr>
            <w:r>
              <w:rPr>
                <w:rFonts w:hint="eastAsia" w:cs="Times New Roman"/>
                <w:spacing w:val="0"/>
                <w:kern w:val="2"/>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atLeast"/>
          <w:jc w:val="center"/>
        </w:trPr>
        <w:tc>
          <w:tcPr>
            <w:tcW w:w="458" w:type="dxa"/>
            <w:tcBorders>
              <w:left w:val="single" w:color="auto" w:sz="4" w:space="0"/>
              <w:bottom w:val="single" w:color="auto" w:sz="4" w:space="0"/>
            </w:tcBorders>
            <w:noWrap w:val="0"/>
            <w:vAlign w:val="center"/>
          </w:tcPr>
          <w:p>
            <w:pPr>
              <w:snapToGrid w:val="0"/>
              <w:spacing w:line="360" w:lineRule="auto"/>
              <w:ind w:firstLine="0" w:firstLineChars="0"/>
              <w:jc w:val="center"/>
              <w:textAlignment w:val="auto"/>
              <w:rPr>
                <w:rFonts w:hint="default" w:cs="Times New Roman"/>
                <w:spacing w:val="0"/>
                <w:kern w:val="2"/>
                <w:sz w:val="21"/>
                <w:szCs w:val="21"/>
                <w:lang w:val="en-US" w:eastAsia="zh-CN"/>
              </w:rPr>
            </w:pPr>
            <w:r>
              <w:rPr>
                <w:rFonts w:hint="eastAsia" w:cs="Times New Roman"/>
                <w:spacing w:val="0"/>
                <w:kern w:val="2"/>
                <w:sz w:val="21"/>
                <w:szCs w:val="21"/>
                <w:lang w:val="en-US" w:eastAsia="zh-CN"/>
              </w:rPr>
              <w:t>12</w:t>
            </w:r>
          </w:p>
        </w:tc>
        <w:tc>
          <w:tcPr>
            <w:tcW w:w="1542" w:type="dxa"/>
            <w:vMerge w:val="continue"/>
            <w:tcBorders>
              <w:bottom w:val="single" w:color="auto" w:sz="4" w:space="0"/>
            </w:tcBorders>
            <w:noWrap w:val="0"/>
            <w:vAlign w:val="center"/>
          </w:tcPr>
          <w:p>
            <w:pPr>
              <w:snapToGrid w:val="0"/>
              <w:spacing w:line="360" w:lineRule="auto"/>
              <w:ind w:firstLine="0" w:firstLineChars="0"/>
              <w:jc w:val="center"/>
              <w:textAlignment w:val="auto"/>
              <w:rPr>
                <w:rFonts w:hint="default" w:cs="Times New Roman"/>
                <w:spacing w:val="0"/>
                <w:kern w:val="2"/>
                <w:sz w:val="21"/>
                <w:szCs w:val="21"/>
                <w:lang w:val="en-US" w:eastAsia="zh-CN"/>
              </w:rPr>
            </w:pPr>
          </w:p>
        </w:tc>
        <w:tc>
          <w:tcPr>
            <w:tcW w:w="1149" w:type="dxa"/>
            <w:vMerge w:val="continue"/>
            <w:tcBorders>
              <w:bottom w:val="single" w:color="auto" w:sz="4" w:space="0"/>
            </w:tcBorders>
            <w:noWrap w:val="0"/>
            <w:vAlign w:val="center"/>
          </w:tcPr>
          <w:p>
            <w:pPr>
              <w:snapToGrid w:val="0"/>
              <w:spacing w:line="360" w:lineRule="auto"/>
              <w:ind w:firstLine="0" w:firstLineChars="0"/>
              <w:jc w:val="center"/>
              <w:textAlignment w:val="auto"/>
              <w:rPr>
                <w:rFonts w:hint="eastAsia" w:cs="Times New Roman"/>
                <w:spacing w:val="0"/>
                <w:kern w:val="2"/>
                <w:sz w:val="21"/>
                <w:szCs w:val="21"/>
                <w:lang w:val="en-US" w:eastAsia="zh-CN"/>
              </w:rPr>
            </w:pPr>
          </w:p>
        </w:tc>
        <w:tc>
          <w:tcPr>
            <w:tcW w:w="4689" w:type="dxa"/>
            <w:tcBorders>
              <w:bottom w:val="single" w:color="auto" w:sz="4" w:space="0"/>
              <w:right w:val="single" w:color="auto" w:sz="4" w:space="0"/>
            </w:tcBorders>
            <w:noWrap w:val="0"/>
            <w:vAlign w:val="center"/>
          </w:tcPr>
          <w:p>
            <w:pPr>
              <w:snapToGrid w:val="0"/>
              <w:spacing w:line="360" w:lineRule="auto"/>
              <w:ind w:firstLine="0" w:firstLineChars="0"/>
              <w:jc w:val="both"/>
              <w:textAlignment w:val="auto"/>
              <w:rPr>
                <w:rFonts w:hint="default" w:cs="Times New Roman"/>
                <w:spacing w:val="0"/>
                <w:kern w:val="2"/>
                <w:sz w:val="21"/>
                <w:szCs w:val="21"/>
                <w:lang w:val="en-US" w:eastAsia="zh-CN"/>
              </w:rPr>
            </w:pPr>
            <w:r>
              <w:rPr>
                <w:rFonts w:hint="eastAsia" w:cs="Times New Roman"/>
                <w:spacing w:val="0"/>
                <w:kern w:val="2"/>
                <w:sz w:val="21"/>
                <w:szCs w:val="21"/>
                <w:lang w:val="en-US" w:eastAsia="zh-CN"/>
              </w:rPr>
              <w:t>每月分析平均空气质量数据提供</w:t>
            </w:r>
            <w:r>
              <w:rPr>
                <w:rFonts w:hint="default" w:cs="Times New Roman"/>
                <w:spacing w:val="0"/>
                <w:kern w:val="2"/>
                <w:sz w:val="21"/>
                <w:szCs w:val="21"/>
                <w:lang w:val="en-US" w:eastAsia="zh-CN"/>
              </w:rPr>
              <w:t>管控建议报告</w:t>
            </w:r>
          </w:p>
        </w:tc>
        <w:tc>
          <w:tcPr>
            <w:tcW w:w="1313" w:type="dxa"/>
            <w:tcBorders>
              <w:bottom w:val="single" w:color="auto" w:sz="4" w:space="0"/>
              <w:right w:val="single" w:color="auto" w:sz="4" w:space="0"/>
            </w:tcBorders>
            <w:noWrap w:val="0"/>
            <w:vAlign w:val="center"/>
          </w:tcPr>
          <w:p>
            <w:pPr>
              <w:snapToGrid w:val="0"/>
              <w:spacing w:line="360" w:lineRule="auto"/>
              <w:ind w:firstLine="0" w:firstLineChars="0"/>
              <w:jc w:val="center"/>
              <w:textAlignment w:val="auto"/>
              <w:rPr>
                <w:rFonts w:hint="default" w:cs="Times New Roman"/>
                <w:spacing w:val="0"/>
                <w:kern w:val="2"/>
                <w:sz w:val="21"/>
                <w:szCs w:val="21"/>
                <w:lang w:val="en-US" w:eastAsia="zh-CN"/>
              </w:rPr>
            </w:pPr>
            <w:r>
              <w:rPr>
                <w:rFonts w:hint="eastAsia" w:cs="Times New Roman"/>
                <w:spacing w:val="0"/>
                <w:kern w:val="2"/>
                <w:sz w:val="21"/>
                <w:szCs w:val="21"/>
                <w:lang w:val="en-US" w:eastAsia="zh-CN"/>
              </w:rPr>
              <w:t>12</w:t>
            </w:r>
          </w:p>
        </w:tc>
      </w:tr>
    </w:tbl>
    <w:p>
      <w:pPr>
        <w:ind w:left="0" w:leftChars="0" w:firstLine="0" w:firstLineChars="0"/>
        <w:rPr>
          <w:rFonts w:hint="eastAsia" w:ascii="Times New Roman" w:hAnsi="Times New Roman" w:eastAsia="宋体" w:cs="Times New Roman"/>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cs="Times New Roman"/>
          <w:b/>
          <w:bCs/>
          <w:spacing w:val="0"/>
          <w:sz w:val="28"/>
          <w:szCs w:val="28"/>
          <w:lang w:val="en-US" w:eastAsia="zh-CN" w:bidi="ar-SA"/>
        </w:rPr>
      </w:pPr>
      <w:r>
        <w:rPr>
          <w:rFonts w:hint="eastAsia" w:cs="Times New Roman"/>
          <w:b/>
          <w:bCs/>
          <w:spacing w:val="0"/>
          <w:sz w:val="28"/>
          <w:szCs w:val="28"/>
          <w:lang w:val="en-US" w:eastAsia="zh-CN" w:bidi="ar-SA"/>
        </w:rPr>
        <w:t>其他日常维护工作内容表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957"/>
        <w:gridCol w:w="1776"/>
        <w:gridCol w:w="4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60" w:type="dxa"/>
            <w:noWrap w:val="0"/>
            <w:vAlign w:val="center"/>
          </w:tcPr>
          <w:p>
            <w:pPr>
              <w:snapToGrid w:val="0"/>
              <w:spacing w:line="360" w:lineRule="auto"/>
              <w:ind w:firstLine="0" w:firstLineChars="0"/>
              <w:jc w:val="center"/>
              <w:textAlignment w:val="auto"/>
              <w:rPr>
                <w:rFonts w:hint="default" w:ascii="Times New Roman" w:hAnsi="Times New Roman" w:eastAsia="宋体" w:cs="Times New Roman"/>
                <w:b w:val="0"/>
                <w:bCs w:val="0"/>
                <w:spacing w:val="0"/>
                <w:kern w:val="2"/>
                <w:sz w:val="21"/>
                <w:szCs w:val="21"/>
              </w:rPr>
            </w:pPr>
            <w:r>
              <w:rPr>
                <w:rFonts w:hint="default" w:ascii="Times New Roman" w:hAnsi="Times New Roman" w:eastAsia="宋体" w:cs="Times New Roman"/>
                <w:b w:val="0"/>
                <w:bCs w:val="0"/>
                <w:spacing w:val="0"/>
                <w:kern w:val="2"/>
                <w:sz w:val="21"/>
                <w:szCs w:val="21"/>
              </w:rPr>
              <w:t>序号</w:t>
            </w:r>
          </w:p>
        </w:tc>
        <w:tc>
          <w:tcPr>
            <w:tcW w:w="1957" w:type="dxa"/>
            <w:noWrap w:val="0"/>
            <w:vAlign w:val="center"/>
          </w:tcPr>
          <w:p>
            <w:pPr>
              <w:snapToGrid w:val="0"/>
              <w:spacing w:line="360" w:lineRule="auto"/>
              <w:ind w:firstLine="0" w:firstLineChars="0"/>
              <w:jc w:val="center"/>
              <w:textAlignment w:val="auto"/>
              <w:rPr>
                <w:rFonts w:hint="default" w:ascii="Times New Roman" w:hAnsi="Times New Roman" w:eastAsia="宋体" w:cs="Times New Roman"/>
                <w:b w:val="0"/>
                <w:bCs w:val="0"/>
                <w:spacing w:val="0"/>
                <w:kern w:val="2"/>
                <w:sz w:val="21"/>
                <w:szCs w:val="21"/>
              </w:rPr>
            </w:pPr>
            <w:r>
              <w:rPr>
                <w:rFonts w:hint="default" w:ascii="Times New Roman" w:hAnsi="Times New Roman" w:eastAsia="宋体" w:cs="Times New Roman"/>
                <w:b w:val="0"/>
                <w:bCs w:val="0"/>
                <w:spacing w:val="0"/>
                <w:kern w:val="2"/>
                <w:sz w:val="21"/>
                <w:szCs w:val="21"/>
              </w:rPr>
              <w:t>维护周期</w:t>
            </w:r>
          </w:p>
        </w:tc>
        <w:tc>
          <w:tcPr>
            <w:tcW w:w="1776" w:type="dxa"/>
            <w:noWrap w:val="0"/>
            <w:vAlign w:val="center"/>
          </w:tcPr>
          <w:p>
            <w:pPr>
              <w:snapToGrid w:val="0"/>
              <w:spacing w:line="360" w:lineRule="auto"/>
              <w:ind w:firstLine="0" w:firstLineChars="0"/>
              <w:jc w:val="center"/>
              <w:textAlignment w:val="auto"/>
              <w:rPr>
                <w:rFonts w:hint="default" w:ascii="Times New Roman" w:hAnsi="Times New Roman" w:eastAsia="宋体" w:cs="Times New Roman"/>
                <w:b w:val="0"/>
                <w:bCs w:val="0"/>
                <w:spacing w:val="0"/>
                <w:kern w:val="2"/>
                <w:sz w:val="21"/>
                <w:szCs w:val="21"/>
              </w:rPr>
            </w:pPr>
            <w:r>
              <w:rPr>
                <w:rFonts w:hint="default" w:ascii="Times New Roman" w:hAnsi="Times New Roman" w:eastAsia="宋体" w:cs="Times New Roman"/>
                <w:b w:val="0"/>
                <w:bCs w:val="0"/>
                <w:spacing w:val="0"/>
                <w:kern w:val="2"/>
                <w:sz w:val="21"/>
                <w:szCs w:val="21"/>
              </w:rPr>
              <w:t>维护对象</w:t>
            </w:r>
          </w:p>
        </w:tc>
        <w:tc>
          <w:tcPr>
            <w:tcW w:w="4307" w:type="dxa"/>
            <w:noWrap w:val="0"/>
            <w:vAlign w:val="center"/>
          </w:tcPr>
          <w:p>
            <w:pPr>
              <w:snapToGrid w:val="0"/>
              <w:spacing w:line="360" w:lineRule="auto"/>
              <w:ind w:firstLine="0" w:firstLineChars="0"/>
              <w:jc w:val="center"/>
              <w:textAlignment w:val="auto"/>
              <w:rPr>
                <w:rFonts w:hint="default" w:ascii="Times New Roman" w:hAnsi="Times New Roman" w:eastAsia="宋体" w:cs="Times New Roman"/>
                <w:b w:val="0"/>
                <w:bCs w:val="0"/>
                <w:spacing w:val="0"/>
                <w:kern w:val="2"/>
                <w:sz w:val="21"/>
                <w:szCs w:val="21"/>
              </w:rPr>
            </w:pPr>
            <w:r>
              <w:rPr>
                <w:rFonts w:hint="default" w:ascii="Times New Roman" w:hAnsi="Times New Roman" w:eastAsia="宋体" w:cs="Times New Roman"/>
                <w:b w:val="0"/>
                <w:bCs w:val="0"/>
                <w:spacing w:val="0"/>
                <w:kern w:val="2"/>
                <w:sz w:val="21"/>
                <w:szCs w:val="21"/>
              </w:rPr>
              <w:t>检查维护内容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60" w:type="dxa"/>
            <w:noWrap w:val="0"/>
            <w:vAlign w:val="center"/>
          </w:tcPr>
          <w:p>
            <w:pPr>
              <w:numPr>
                <w:ilvl w:val="0"/>
                <w:numId w:val="9"/>
              </w:numPr>
              <w:snapToGrid w:val="0"/>
              <w:spacing w:line="360" w:lineRule="auto"/>
              <w:ind w:left="425" w:leftChars="0" w:hanging="425" w:firstLineChars="0"/>
              <w:jc w:val="center"/>
              <w:textAlignment w:val="auto"/>
              <w:rPr>
                <w:rFonts w:hint="default" w:ascii="Times New Roman" w:hAnsi="Times New Roman" w:eastAsia="宋体" w:cs="Times New Roman"/>
                <w:b w:val="0"/>
                <w:bCs w:val="0"/>
                <w:spacing w:val="0"/>
                <w:kern w:val="2"/>
                <w:sz w:val="21"/>
                <w:szCs w:val="21"/>
              </w:rPr>
            </w:pPr>
          </w:p>
        </w:tc>
        <w:tc>
          <w:tcPr>
            <w:tcW w:w="1957" w:type="dxa"/>
            <w:noWrap w:val="0"/>
            <w:vAlign w:val="center"/>
          </w:tcPr>
          <w:p>
            <w:pPr>
              <w:snapToGrid w:val="0"/>
              <w:spacing w:line="360" w:lineRule="auto"/>
              <w:ind w:firstLine="0" w:firstLineChars="0"/>
              <w:jc w:val="center"/>
              <w:textAlignment w:val="auto"/>
              <w:rPr>
                <w:rFonts w:hint="default" w:ascii="Times New Roman" w:hAnsi="Times New Roman" w:eastAsia="宋体" w:cs="Times New Roman"/>
                <w:b w:val="0"/>
                <w:bCs w:val="0"/>
                <w:spacing w:val="0"/>
                <w:kern w:val="2"/>
                <w:sz w:val="21"/>
                <w:szCs w:val="21"/>
              </w:rPr>
            </w:pPr>
            <w:r>
              <w:rPr>
                <w:rFonts w:hint="default" w:ascii="Times New Roman" w:hAnsi="Times New Roman" w:eastAsia="宋体" w:cs="Times New Roman"/>
                <w:b w:val="0"/>
                <w:bCs w:val="0"/>
                <w:spacing w:val="0"/>
                <w:kern w:val="2"/>
                <w:sz w:val="21"/>
                <w:szCs w:val="21"/>
              </w:rPr>
              <w:t>日常维护</w:t>
            </w:r>
          </w:p>
        </w:tc>
        <w:tc>
          <w:tcPr>
            <w:tcW w:w="1776" w:type="dxa"/>
            <w:noWrap w:val="0"/>
            <w:vAlign w:val="center"/>
          </w:tcPr>
          <w:p>
            <w:pPr>
              <w:snapToGrid w:val="0"/>
              <w:spacing w:line="360" w:lineRule="auto"/>
              <w:ind w:firstLine="0" w:firstLineChars="0"/>
              <w:jc w:val="center"/>
              <w:textAlignment w:val="auto"/>
              <w:rPr>
                <w:rFonts w:hint="default" w:ascii="Times New Roman" w:hAnsi="Times New Roman" w:eastAsia="宋体" w:cs="Times New Roman"/>
                <w:b w:val="0"/>
                <w:bCs w:val="0"/>
                <w:spacing w:val="0"/>
                <w:kern w:val="2"/>
                <w:sz w:val="21"/>
                <w:szCs w:val="21"/>
              </w:rPr>
            </w:pPr>
            <w:r>
              <w:rPr>
                <w:rFonts w:hint="default" w:ascii="Times New Roman" w:hAnsi="Times New Roman" w:eastAsia="宋体" w:cs="Times New Roman"/>
                <w:b w:val="0"/>
                <w:bCs w:val="0"/>
                <w:spacing w:val="0"/>
                <w:kern w:val="2"/>
                <w:sz w:val="21"/>
                <w:szCs w:val="21"/>
              </w:rPr>
              <w:t>标气钢瓶和减压阀</w:t>
            </w:r>
          </w:p>
        </w:tc>
        <w:tc>
          <w:tcPr>
            <w:tcW w:w="4307" w:type="dxa"/>
            <w:noWrap w:val="0"/>
            <w:vAlign w:val="center"/>
          </w:tcPr>
          <w:p>
            <w:pPr>
              <w:snapToGrid w:val="0"/>
              <w:spacing w:line="360" w:lineRule="auto"/>
              <w:ind w:firstLine="0" w:firstLineChars="0"/>
              <w:jc w:val="both"/>
              <w:textAlignment w:val="auto"/>
              <w:rPr>
                <w:rFonts w:hint="default" w:ascii="Times New Roman" w:hAnsi="Times New Roman" w:eastAsia="宋体" w:cs="Times New Roman"/>
                <w:b w:val="0"/>
                <w:bCs w:val="0"/>
                <w:spacing w:val="0"/>
                <w:kern w:val="2"/>
                <w:sz w:val="21"/>
                <w:szCs w:val="21"/>
              </w:rPr>
            </w:pPr>
            <w:r>
              <w:rPr>
                <w:rFonts w:hint="default" w:ascii="Times New Roman" w:hAnsi="Times New Roman" w:eastAsia="宋体" w:cs="Times New Roman"/>
                <w:b w:val="0"/>
                <w:bCs w:val="0"/>
                <w:spacing w:val="0"/>
                <w:kern w:val="2"/>
                <w:sz w:val="21"/>
                <w:szCs w:val="21"/>
              </w:rPr>
              <w:t>校准前个气路系统检漏，校准完后钢瓶总阀关闭，减压阀关闭；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60" w:type="dxa"/>
            <w:noWrap w:val="0"/>
            <w:vAlign w:val="center"/>
          </w:tcPr>
          <w:p>
            <w:pPr>
              <w:numPr>
                <w:ilvl w:val="0"/>
                <w:numId w:val="9"/>
              </w:numPr>
              <w:snapToGrid w:val="0"/>
              <w:spacing w:line="360" w:lineRule="auto"/>
              <w:ind w:left="425" w:leftChars="0" w:hanging="425" w:firstLineChars="0"/>
              <w:jc w:val="center"/>
              <w:textAlignment w:val="auto"/>
              <w:rPr>
                <w:rFonts w:hint="default" w:ascii="Times New Roman" w:hAnsi="Times New Roman" w:eastAsia="宋体" w:cs="Times New Roman"/>
                <w:b w:val="0"/>
                <w:bCs w:val="0"/>
                <w:spacing w:val="0"/>
                <w:kern w:val="2"/>
                <w:sz w:val="21"/>
                <w:szCs w:val="21"/>
              </w:rPr>
            </w:pPr>
          </w:p>
        </w:tc>
        <w:tc>
          <w:tcPr>
            <w:tcW w:w="1957" w:type="dxa"/>
            <w:noWrap w:val="0"/>
            <w:vAlign w:val="center"/>
          </w:tcPr>
          <w:p>
            <w:pPr>
              <w:snapToGrid w:val="0"/>
              <w:spacing w:line="360" w:lineRule="auto"/>
              <w:ind w:firstLine="0" w:firstLineChars="0"/>
              <w:jc w:val="center"/>
              <w:textAlignment w:val="auto"/>
              <w:rPr>
                <w:rFonts w:hint="default" w:ascii="Times New Roman" w:hAnsi="Times New Roman" w:eastAsia="宋体" w:cs="Times New Roman"/>
                <w:b w:val="0"/>
                <w:bCs w:val="0"/>
                <w:spacing w:val="0"/>
                <w:kern w:val="2"/>
                <w:sz w:val="21"/>
                <w:szCs w:val="21"/>
              </w:rPr>
            </w:pPr>
            <w:r>
              <w:rPr>
                <w:rFonts w:hint="default" w:ascii="Times New Roman" w:hAnsi="Times New Roman" w:eastAsia="宋体" w:cs="Times New Roman"/>
                <w:b w:val="0"/>
                <w:bCs w:val="0"/>
                <w:spacing w:val="0"/>
                <w:kern w:val="2"/>
                <w:sz w:val="21"/>
                <w:szCs w:val="21"/>
              </w:rPr>
              <w:t>日常维护</w:t>
            </w:r>
          </w:p>
        </w:tc>
        <w:tc>
          <w:tcPr>
            <w:tcW w:w="1776" w:type="dxa"/>
            <w:vMerge w:val="restart"/>
            <w:noWrap w:val="0"/>
            <w:vAlign w:val="center"/>
          </w:tcPr>
          <w:p>
            <w:pPr>
              <w:snapToGrid w:val="0"/>
              <w:spacing w:line="360" w:lineRule="auto"/>
              <w:ind w:firstLine="0" w:firstLineChars="0"/>
              <w:jc w:val="center"/>
              <w:textAlignment w:val="auto"/>
              <w:rPr>
                <w:rFonts w:hint="default" w:ascii="Times New Roman" w:hAnsi="Times New Roman" w:eastAsia="宋体" w:cs="Times New Roman"/>
                <w:b w:val="0"/>
                <w:bCs w:val="0"/>
                <w:spacing w:val="0"/>
                <w:kern w:val="2"/>
                <w:sz w:val="21"/>
                <w:szCs w:val="21"/>
              </w:rPr>
            </w:pPr>
            <w:r>
              <w:rPr>
                <w:rFonts w:hint="default" w:ascii="Times New Roman" w:hAnsi="Times New Roman" w:eastAsia="宋体" w:cs="Times New Roman"/>
                <w:b w:val="0"/>
                <w:bCs w:val="0"/>
                <w:spacing w:val="0"/>
                <w:kern w:val="2"/>
                <w:sz w:val="21"/>
                <w:szCs w:val="21"/>
              </w:rPr>
              <w:t>站房</w:t>
            </w:r>
          </w:p>
        </w:tc>
        <w:tc>
          <w:tcPr>
            <w:tcW w:w="4307" w:type="dxa"/>
            <w:noWrap w:val="0"/>
            <w:vAlign w:val="center"/>
          </w:tcPr>
          <w:p>
            <w:pPr>
              <w:snapToGrid w:val="0"/>
              <w:spacing w:line="360" w:lineRule="auto"/>
              <w:ind w:firstLine="0" w:firstLineChars="0"/>
              <w:jc w:val="both"/>
              <w:textAlignment w:val="auto"/>
              <w:rPr>
                <w:rFonts w:hint="default" w:ascii="Times New Roman" w:hAnsi="Times New Roman" w:eastAsia="宋体" w:cs="Times New Roman"/>
                <w:b w:val="0"/>
                <w:bCs w:val="0"/>
                <w:spacing w:val="0"/>
                <w:kern w:val="2"/>
                <w:sz w:val="21"/>
                <w:szCs w:val="21"/>
              </w:rPr>
            </w:pPr>
            <w:r>
              <w:rPr>
                <w:rFonts w:hint="default" w:ascii="Times New Roman" w:hAnsi="Times New Roman" w:eastAsia="宋体" w:cs="Times New Roman"/>
                <w:b w:val="0"/>
                <w:bCs w:val="0"/>
                <w:spacing w:val="0"/>
                <w:kern w:val="2"/>
                <w:sz w:val="21"/>
                <w:szCs w:val="21"/>
              </w:rPr>
              <w:t>巡检，并记录站房室内温度，湿度；（室内温度控制在25-28℃为宜）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60" w:type="dxa"/>
            <w:noWrap w:val="0"/>
            <w:vAlign w:val="center"/>
          </w:tcPr>
          <w:p>
            <w:pPr>
              <w:numPr>
                <w:ilvl w:val="0"/>
                <w:numId w:val="9"/>
              </w:numPr>
              <w:snapToGrid w:val="0"/>
              <w:spacing w:line="360" w:lineRule="auto"/>
              <w:ind w:left="425" w:leftChars="0" w:hanging="425" w:firstLineChars="0"/>
              <w:jc w:val="center"/>
              <w:textAlignment w:val="auto"/>
              <w:rPr>
                <w:rFonts w:hint="default" w:ascii="Times New Roman" w:hAnsi="Times New Roman" w:eastAsia="宋体" w:cs="Times New Roman"/>
                <w:b w:val="0"/>
                <w:bCs w:val="0"/>
                <w:spacing w:val="0"/>
                <w:kern w:val="2"/>
                <w:sz w:val="21"/>
                <w:szCs w:val="21"/>
              </w:rPr>
            </w:pPr>
          </w:p>
        </w:tc>
        <w:tc>
          <w:tcPr>
            <w:tcW w:w="1957" w:type="dxa"/>
            <w:noWrap w:val="0"/>
            <w:vAlign w:val="center"/>
          </w:tcPr>
          <w:p>
            <w:pPr>
              <w:snapToGrid w:val="0"/>
              <w:spacing w:line="360" w:lineRule="auto"/>
              <w:ind w:firstLine="0" w:firstLineChars="0"/>
              <w:jc w:val="center"/>
              <w:textAlignment w:val="auto"/>
              <w:rPr>
                <w:rFonts w:hint="default" w:ascii="Times New Roman" w:hAnsi="Times New Roman" w:eastAsia="宋体" w:cs="Times New Roman"/>
                <w:b w:val="0"/>
                <w:bCs w:val="0"/>
                <w:spacing w:val="0"/>
                <w:kern w:val="2"/>
                <w:sz w:val="21"/>
                <w:szCs w:val="21"/>
              </w:rPr>
            </w:pPr>
            <w:r>
              <w:rPr>
                <w:rFonts w:hint="default" w:ascii="Times New Roman" w:hAnsi="Times New Roman" w:eastAsia="宋体" w:cs="Times New Roman"/>
                <w:b w:val="0"/>
                <w:bCs w:val="0"/>
                <w:spacing w:val="0"/>
                <w:kern w:val="2"/>
                <w:sz w:val="21"/>
                <w:szCs w:val="21"/>
              </w:rPr>
              <w:t>日常维护</w:t>
            </w:r>
          </w:p>
        </w:tc>
        <w:tc>
          <w:tcPr>
            <w:tcW w:w="1776" w:type="dxa"/>
            <w:vMerge w:val="continue"/>
            <w:noWrap w:val="0"/>
            <w:vAlign w:val="center"/>
          </w:tcPr>
          <w:p>
            <w:pPr>
              <w:snapToGrid w:val="0"/>
              <w:spacing w:line="360" w:lineRule="auto"/>
              <w:ind w:firstLine="0" w:firstLineChars="0"/>
              <w:jc w:val="center"/>
              <w:textAlignment w:val="auto"/>
              <w:rPr>
                <w:rFonts w:hint="default" w:ascii="Times New Roman" w:hAnsi="Times New Roman" w:eastAsia="宋体" w:cs="Times New Roman"/>
                <w:b w:val="0"/>
                <w:bCs w:val="0"/>
                <w:spacing w:val="0"/>
                <w:kern w:val="2"/>
                <w:sz w:val="21"/>
                <w:szCs w:val="21"/>
              </w:rPr>
            </w:pPr>
          </w:p>
        </w:tc>
        <w:tc>
          <w:tcPr>
            <w:tcW w:w="4307" w:type="dxa"/>
            <w:noWrap w:val="0"/>
            <w:vAlign w:val="center"/>
          </w:tcPr>
          <w:p>
            <w:pPr>
              <w:snapToGrid w:val="0"/>
              <w:spacing w:line="360" w:lineRule="auto"/>
              <w:ind w:firstLine="0" w:firstLineChars="0"/>
              <w:jc w:val="both"/>
              <w:textAlignment w:val="auto"/>
              <w:rPr>
                <w:rFonts w:hint="default" w:ascii="Times New Roman" w:hAnsi="Times New Roman" w:eastAsia="宋体" w:cs="Times New Roman"/>
                <w:b w:val="0"/>
                <w:bCs w:val="0"/>
                <w:spacing w:val="0"/>
                <w:kern w:val="2"/>
                <w:sz w:val="21"/>
                <w:szCs w:val="21"/>
              </w:rPr>
            </w:pPr>
            <w:r>
              <w:rPr>
                <w:rFonts w:hint="default" w:ascii="Times New Roman" w:hAnsi="Times New Roman" w:eastAsia="宋体" w:cs="Times New Roman"/>
                <w:b w:val="0"/>
                <w:bCs w:val="0"/>
                <w:spacing w:val="0"/>
                <w:kern w:val="2"/>
                <w:sz w:val="21"/>
                <w:szCs w:val="21"/>
              </w:rPr>
              <w:t>检查空调内外机、室外屋顶各采样管防风固定绳是否正常；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60" w:type="dxa"/>
            <w:noWrap w:val="0"/>
            <w:vAlign w:val="center"/>
          </w:tcPr>
          <w:p>
            <w:pPr>
              <w:numPr>
                <w:ilvl w:val="0"/>
                <w:numId w:val="9"/>
              </w:numPr>
              <w:snapToGrid w:val="0"/>
              <w:spacing w:line="360" w:lineRule="auto"/>
              <w:ind w:left="425" w:leftChars="0" w:hanging="425" w:firstLineChars="0"/>
              <w:jc w:val="center"/>
              <w:textAlignment w:val="auto"/>
              <w:rPr>
                <w:rFonts w:hint="default" w:ascii="Times New Roman" w:hAnsi="Times New Roman" w:eastAsia="宋体" w:cs="Times New Roman"/>
                <w:b w:val="0"/>
                <w:bCs w:val="0"/>
                <w:spacing w:val="0"/>
                <w:kern w:val="2"/>
                <w:sz w:val="21"/>
                <w:szCs w:val="21"/>
              </w:rPr>
            </w:pPr>
          </w:p>
        </w:tc>
        <w:tc>
          <w:tcPr>
            <w:tcW w:w="1957" w:type="dxa"/>
            <w:noWrap w:val="0"/>
            <w:vAlign w:val="center"/>
          </w:tcPr>
          <w:p>
            <w:pPr>
              <w:snapToGrid w:val="0"/>
              <w:spacing w:line="360" w:lineRule="auto"/>
              <w:ind w:firstLine="0" w:firstLineChars="0"/>
              <w:jc w:val="center"/>
              <w:textAlignment w:val="auto"/>
              <w:rPr>
                <w:rFonts w:hint="default" w:ascii="Times New Roman" w:hAnsi="Times New Roman" w:eastAsia="宋体" w:cs="Times New Roman"/>
                <w:b w:val="0"/>
                <w:bCs w:val="0"/>
                <w:spacing w:val="0"/>
                <w:kern w:val="2"/>
                <w:sz w:val="21"/>
                <w:szCs w:val="21"/>
              </w:rPr>
            </w:pPr>
            <w:r>
              <w:rPr>
                <w:rFonts w:hint="default" w:ascii="Times New Roman" w:hAnsi="Times New Roman" w:eastAsia="宋体" w:cs="Times New Roman"/>
                <w:b w:val="0"/>
                <w:bCs w:val="0"/>
                <w:spacing w:val="0"/>
                <w:kern w:val="2"/>
                <w:sz w:val="21"/>
                <w:szCs w:val="21"/>
              </w:rPr>
              <w:t>日常维护</w:t>
            </w:r>
          </w:p>
        </w:tc>
        <w:tc>
          <w:tcPr>
            <w:tcW w:w="1776" w:type="dxa"/>
            <w:vMerge w:val="continue"/>
            <w:noWrap w:val="0"/>
            <w:vAlign w:val="center"/>
          </w:tcPr>
          <w:p>
            <w:pPr>
              <w:snapToGrid w:val="0"/>
              <w:spacing w:line="360" w:lineRule="auto"/>
              <w:ind w:firstLine="0" w:firstLineChars="0"/>
              <w:jc w:val="center"/>
              <w:textAlignment w:val="auto"/>
              <w:rPr>
                <w:rFonts w:hint="default" w:ascii="Times New Roman" w:hAnsi="Times New Roman" w:eastAsia="宋体" w:cs="Times New Roman"/>
                <w:b w:val="0"/>
                <w:bCs w:val="0"/>
                <w:spacing w:val="0"/>
                <w:kern w:val="2"/>
                <w:sz w:val="21"/>
                <w:szCs w:val="21"/>
              </w:rPr>
            </w:pPr>
          </w:p>
        </w:tc>
        <w:tc>
          <w:tcPr>
            <w:tcW w:w="4307" w:type="dxa"/>
            <w:noWrap w:val="0"/>
            <w:vAlign w:val="center"/>
          </w:tcPr>
          <w:p>
            <w:pPr>
              <w:snapToGrid w:val="0"/>
              <w:spacing w:line="360" w:lineRule="auto"/>
              <w:ind w:firstLine="0" w:firstLineChars="0"/>
              <w:jc w:val="both"/>
              <w:textAlignment w:val="auto"/>
              <w:rPr>
                <w:rFonts w:hint="default" w:ascii="Times New Roman" w:hAnsi="Times New Roman" w:eastAsia="宋体" w:cs="Times New Roman"/>
                <w:b w:val="0"/>
                <w:bCs w:val="0"/>
                <w:spacing w:val="0"/>
                <w:kern w:val="2"/>
                <w:sz w:val="21"/>
                <w:szCs w:val="21"/>
              </w:rPr>
            </w:pPr>
            <w:r>
              <w:rPr>
                <w:rFonts w:hint="default" w:ascii="Times New Roman" w:hAnsi="Times New Roman" w:eastAsia="宋体" w:cs="Times New Roman"/>
                <w:b w:val="0"/>
                <w:bCs w:val="0"/>
                <w:spacing w:val="0"/>
                <w:kern w:val="2"/>
                <w:sz w:val="21"/>
                <w:szCs w:val="21"/>
              </w:rPr>
              <w:t>雨天要检查室内外屋顶是否有渗漏；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60" w:type="dxa"/>
            <w:noWrap w:val="0"/>
            <w:vAlign w:val="center"/>
          </w:tcPr>
          <w:p>
            <w:pPr>
              <w:numPr>
                <w:ilvl w:val="0"/>
                <w:numId w:val="9"/>
              </w:numPr>
              <w:snapToGrid w:val="0"/>
              <w:spacing w:line="360" w:lineRule="auto"/>
              <w:ind w:left="425" w:leftChars="0" w:hanging="425" w:firstLineChars="0"/>
              <w:jc w:val="center"/>
              <w:textAlignment w:val="auto"/>
              <w:rPr>
                <w:rFonts w:hint="default" w:ascii="Times New Roman" w:hAnsi="Times New Roman" w:eastAsia="宋体" w:cs="Times New Roman"/>
                <w:b w:val="0"/>
                <w:bCs w:val="0"/>
                <w:spacing w:val="0"/>
                <w:kern w:val="2"/>
                <w:sz w:val="21"/>
                <w:szCs w:val="21"/>
              </w:rPr>
            </w:pPr>
          </w:p>
        </w:tc>
        <w:tc>
          <w:tcPr>
            <w:tcW w:w="1957" w:type="dxa"/>
            <w:noWrap w:val="0"/>
            <w:vAlign w:val="center"/>
          </w:tcPr>
          <w:p>
            <w:pPr>
              <w:snapToGrid w:val="0"/>
              <w:spacing w:line="360" w:lineRule="auto"/>
              <w:ind w:firstLine="0" w:firstLineChars="0"/>
              <w:jc w:val="center"/>
              <w:textAlignment w:val="auto"/>
              <w:rPr>
                <w:rFonts w:hint="default" w:ascii="Times New Roman" w:hAnsi="Times New Roman" w:eastAsia="宋体" w:cs="Times New Roman"/>
                <w:b w:val="0"/>
                <w:bCs w:val="0"/>
                <w:spacing w:val="0"/>
                <w:kern w:val="2"/>
                <w:sz w:val="21"/>
                <w:szCs w:val="21"/>
              </w:rPr>
            </w:pPr>
            <w:r>
              <w:rPr>
                <w:rFonts w:hint="default" w:ascii="Times New Roman" w:hAnsi="Times New Roman" w:eastAsia="宋体" w:cs="Times New Roman"/>
                <w:b w:val="0"/>
                <w:bCs w:val="0"/>
                <w:spacing w:val="0"/>
                <w:kern w:val="2"/>
                <w:sz w:val="21"/>
                <w:szCs w:val="21"/>
              </w:rPr>
              <w:t>日常维护</w:t>
            </w:r>
          </w:p>
        </w:tc>
        <w:tc>
          <w:tcPr>
            <w:tcW w:w="1776" w:type="dxa"/>
            <w:vMerge w:val="continue"/>
            <w:noWrap w:val="0"/>
            <w:vAlign w:val="center"/>
          </w:tcPr>
          <w:p>
            <w:pPr>
              <w:snapToGrid w:val="0"/>
              <w:spacing w:line="360" w:lineRule="auto"/>
              <w:ind w:firstLine="0" w:firstLineChars="0"/>
              <w:jc w:val="center"/>
              <w:textAlignment w:val="auto"/>
              <w:rPr>
                <w:rFonts w:hint="default" w:ascii="Times New Roman" w:hAnsi="Times New Roman" w:eastAsia="宋体" w:cs="Times New Roman"/>
                <w:b w:val="0"/>
                <w:bCs w:val="0"/>
                <w:spacing w:val="0"/>
                <w:kern w:val="2"/>
                <w:sz w:val="21"/>
                <w:szCs w:val="21"/>
              </w:rPr>
            </w:pPr>
          </w:p>
        </w:tc>
        <w:tc>
          <w:tcPr>
            <w:tcW w:w="4307" w:type="dxa"/>
            <w:noWrap w:val="0"/>
            <w:vAlign w:val="center"/>
          </w:tcPr>
          <w:p>
            <w:pPr>
              <w:snapToGrid w:val="0"/>
              <w:spacing w:line="360" w:lineRule="auto"/>
              <w:ind w:firstLine="0" w:firstLineChars="0"/>
              <w:jc w:val="both"/>
              <w:textAlignment w:val="auto"/>
              <w:rPr>
                <w:rFonts w:hint="default" w:ascii="Times New Roman" w:hAnsi="Times New Roman" w:eastAsia="宋体" w:cs="Times New Roman"/>
                <w:b w:val="0"/>
                <w:bCs w:val="0"/>
                <w:spacing w:val="0"/>
                <w:kern w:val="2"/>
                <w:sz w:val="21"/>
                <w:szCs w:val="21"/>
              </w:rPr>
            </w:pPr>
            <w:r>
              <w:rPr>
                <w:rFonts w:hint="default" w:ascii="Times New Roman" w:hAnsi="Times New Roman" w:eastAsia="宋体" w:cs="Times New Roman"/>
                <w:b w:val="0"/>
                <w:bCs w:val="0"/>
                <w:spacing w:val="0"/>
                <w:kern w:val="2"/>
                <w:sz w:val="21"/>
                <w:szCs w:val="21"/>
              </w:rPr>
              <w:t>每天检查UPS,稳压器是否正常；每天检查仪器接入总电源接线是否过热；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60" w:type="dxa"/>
            <w:noWrap w:val="0"/>
            <w:vAlign w:val="center"/>
          </w:tcPr>
          <w:p>
            <w:pPr>
              <w:numPr>
                <w:ilvl w:val="0"/>
                <w:numId w:val="9"/>
              </w:numPr>
              <w:snapToGrid w:val="0"/>
              <w:spacing w:line="360" w:lineRule="auto"/>
              <w:ind w:left="425" w:leftChars="0" w:hanging="425" w:firstLineChars="0"/>
              <w:jc w:val="center"/>
              <w:textAlignment w:val="auto"/>
              <w:rPr>
                <w:rFonts w:hint="default" w:ascii="Times New Roman" w:hAnsi="Times New Roman" w:eastAsia="宋体" w:cs="Times New Roman"/>
                <w:b w:val="0"/>
                <w:bCs w:val="0"/>
                <w:spacing w:val="0"/>
                <w:kern w:val="2"/>
                <w:sz w:val="21"/>
                <w:szCs w:val="21"/>
              </w:rPr>
            </w:pPr>
          </w:p>
        </w:tc>
        <w:tc>
          <w:tcPr>
            <w:tcW w:w="1957" w:type="dxa"/>
            <w:noWrap w:val="0"/>
            <w:vAlign w:val="center"/>
          </w:tcPr>
          <w:p>
            <w:pPr>
              <w:snapToGrid w:val="0"/>
              <w:spacing w:line="360" w:lineRule="auto"/>
              <w:ind w:firstLine="0" w:firstLineChars="0"/>
              <w:jc w:val="center"/>
              <w:textAlignment w:val="auto"/>
              <w:rPr>
                <w:rFonts w:hint="default" w:ascii="Times New Roman" w:hAnsi="Times New Roman" w:eastAsia="宋体" w:cs="Times New Roman"/>
                <w:b w:val="0"/>
                <w:bCs w:val="0"/>
                <w:spacing w:val="0"/>
                <w:kern w:val="2"/>
                <w:sz w:val="21"/>
                <w:szCs w:val="21"/>
              </w:rPr>
            </w:pPr>
            <w:r>
              <w:rPr>
                <w:rFonts w:hint="default" w:ascii="Times New Roman" w:hAnsi="Times New Roman" w:eastAsia="宋体" w:cs="Times New Roman"/>
                <w:b w:val="0"/>
                <w:bCs w:val="0"/>
                <w:spacing w:val="0"/>
                <w:kern w:val="2"/>
                <w:sz w:val="21"/>
                <w:szCs w:val="21"/>
              </w:rPr>
              <w:t>日常维护</w:t>
            </w:r>
          </w:p>
        </w:tc>
        <w:tc>
          <w:tcPr>
            <w:tcW w:w="1776" w:type="dxa"/>
            <w:vMerge w:val="continue"/>
            <w:noWrap w:val="0"/>
            <w:vAlign w:val="center"/>
          </w:tcPr>
          <w:p>
            <w:pPr>
              <w:snapToGrid w:val="0"/>
              <w:spacing w:line="360" w:lineRule="auto"/>
              <w:ind w:firstLine="0" w:firstLineChars="0"/>
              <w:jc w:val="center"/>
              <w:textAlignment w:val="auto"/>
              <w:rPr>
                <w:rFonts w:hint="default" w:ascii="Times New Roman" w:hAnsi="Times New Roman" w:eastAsia="宋体" w:cs="Times New Roman"/>
                <w:b w:val="0"/>
                <w:bCs w:val="0"/>
                <w:spacing w:val="0"/>
                <w:kern w:val="2"/>
                <w:sz w:val="21"/>
                <w:szCs w:val="21"/>
              </w:rPr>
            </w:pPr>
          </w:p>
        </w:tc>
        <w:tc>
          <w:tcPr>
            <w:tcW w:w="4307" w:type="dxa"/>
            <w:noWrap w:val="0"/>
            <w:vAlign w:val="center"/>
          </w:tcPr>
          <w:p>
            <w:pPr>
              <w:snapToGrid w:val="0"/>
              <w:spacing w:line="360" w:lineRule="auto"/>
              <w:ind w:firstLine="0" w:firstLineChars="0"/>
              <w:jc w:val="both"/>
              <w:textAlignment w:val="auto"/>
              <w:rPr>
                <w:rFonts w:hint="default" w:ascii="Times New Roman" w:hAnsi="Times New Roman" w:eastAsia="宋体" w:cs="Times New Roman"/>
                <w:b w:val="0"/>
                <w:bCs w:val="0"/>
                <w:spacing w:val="0"/>
                <w:kern w:val="2"/>
                <w:sz w:val="21"/>
                <w:szCs w:val="21"/>
              </w:rPr>
            </w:pPr>
            <w:r>
              <w:rPr>
                <w:rFonts w:hint="default" w:ascii="Times New Roman" w:hAnsi="Times New Roman" w:eastAsia="宋体" w:cs="Times New Roman"/>
                <w:b w:val="0"/>
                <w:bCs w:val="0"/>
                <w:spacing w:val="0"/>
                <w:kern w:val="2"/>
                <w:sz w:val="21"/>
                <w:szCs w:val="21"/>
              </w:rPr>
              <w:t>每天要检查防盗门窗是否关好，防盗门锁正常；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60" w:type="dxa"/>
            <w:noWrap w:val="0"/>
            <w:vAlign w:val="center"/>
          </w:tcPr>
          <w:p>
            <w:pPr>
              <w:numPr>
                <w:ilvl w:val="0"/>
                <w:numId w:val="9"/>
              </w:numPr>
              <w:snapToGrid w:val="0"/>
              <w:spacing w:line="360" w:lineRule="auto"/>
              <w:ind w:left="425" w:leftChars="0" w:hanging="425" w:firstLineChars="0"/>
              <w:jc w:val="center"/>
              <w:textAlignment w:val="auto"/>
              <w:rPr>
                <w:rFonts w:hint="default" w:ascii="Times New Roman" w:hAnsi="Times New Roman" w:eastAsia="宋体" w:cs="Times New Roman"/>
                <w:b w:val="0"/>
                <w:bCs w:val="0"/>
                <w:spacing w:val="0"/>
                <w:kern w:val="2"/>
                <w:sz w:val="21"/>
                <w:szCs w:val="21"/>
              </w:rPr>
            </w:pPr>
          </w:p>
        </w:tc>
        <w:tc>
          <w:tcPr>
            <w:tcW w:w="1957" w:type="dxa"/>
            <w:noWrap w:val="0"/>
            <w:vAlign w:val="center"/>
          </w:tcPr>
          <w:p>
            <w:pPr>
              <w:snapToGrid w:val="0"/>
              <w:spacing w:line="360" w:lineRule="auto"/>
              <w:ind w:firstLine="0" w:firstLineChars="0"/>
              <w:jc w:val="center"/>
              <w:textAlignment w:val="auto"/>
              <w:rPr>
                <w:rFonts w:hint="default" w:ascii="Times New Roman" w:hAnsi="Times New Roman" w:eastAsia="宋体" w:cs="Times New Roman"/>
                <w:b w:val="0"/>
                <w:bCs w:val="0"/>
                <w:spacing w:val="0"/>
                <w:kern w:val="2"/>
                <w:sz w:val="21"/>
                <w:szCs w:val="21"/>
              </w:rPr>
            </w:pPr>
            <w:r>
              <w:rPr>
                <w:rFonts w:hint="default" w:ascii="Times New Roman" w:hAnsi="Times New Roman" w:eastAsia="宋体" w:cs="Times New Roman"/>
                <w:b w:val="0"/>
                <w:bCs w:val="0"/>
                <w:spacing w:val="0"/>
                <w:kern w:val="2"/>
                <w:sz w:val="21"/>
                <w:szCs w:val="21"/>
              </w:rPr>
              <w:t>日常维护</w:t>
            </w:r>
          </w:p>
        </w:tc>
        <w:tc>
          <w:tcPr>
            <w:tcW w:w="1776" w:type="dxa"/>
            <w:vMerge w:val="continue"/>
            <w:noWrap w:val="0"/>
            <w:vAlign w:val="center"/>
          </w:tcPr>
          <w:p>
            <w:pPr>
              <w:snapToGrid w:val="0"/>
              <w:spacing w:line="360" w:lineRule="auto"/>
              <w:ind w:firstLine="0" w:firstLineChars="0"/>
              <w:jc w:val="center"/>
              <w:textAlignment w:val="auto"/>
              <w:rPr>
                <w:rFonts w:hint="default" w:ascii="Times New Roman" w:hAnsi="Times New Roman" w:eastAsia="宋体" w:cs="Times New Roman"/>
                <w:b w:val="0"/>
                <w:bCs w:val="0"/>
                <w:spacing w:val="0"/>
                <w:kern w:val="2"/>
                <w:sz w:val="21"/>
                <w:szCs w:val="21"/>
              </w:rPr>
            </w:pPr>
          </w:p>
        </w:tc>
        <w:tc>
          <w:tcPr>
            <w:tcW w:w="4307" w:type="dxa"/>
            <w:noWrap w:val="0"/>
            <w:vAlign w:val="center"/>
          </w:tcPr>
          <w:p>
            <w:pPr>
              <w:snapToGrid w:val="0"/>
              <w:spacing w:line="360" w:lineRule="auto"/>
              <w:ind w:firstLine="0" w:firstLineChars="0"/>
              <w:jc w:val="both"/>
              <w:textAlignment w:val="auto"/>
              <w:rPr>
                <w:rFonts w:hint="default" w:ascii="Times New Roman" w:hAnsi="Times New Roman" w:eastAsia="宋体" w:cs="Times New Roman"/>
                <w:b w:val="0"/>
                <w:bCs w:val="0"/>
                <w:spacing w:val="0"/>
                <w:kern w:val="2"/>
                <w:sz w:val="21"/>
                <w:szCs w:val="21"/>
              </w:rPr>
            </w:pPr>
            <w:r>
              <w:rPr>
                <w:rFonts w:hint="default" w:ascii="Times New Roman" w:hAnsi="Times New Roman" w:eastAsia="宋体" w:cs="Times New Roman"/>
                <w:b w:val="0"/>
                <w:bCs w:val="0"/>
                <w:spacing w:val="0"/>
                <w:kern w:val="2"/>
                <w:sz w:val="21"/>
                <w:szCs w:val="21"/>
              </w:rPr>
              <w:t>每月度要对站房内部地面、机柜，仪器、空调等进行卫生大扫除；（要求地面无结垢，死角均无灰尘）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60" w:type="dxa"/>
            <w:noWrap w:val="0"/>
            <w:vAlign w:val="center"/>
          </w:tcPr>
          <w:p>
            <w:pPr>
              <w:numPr>
                <w:ilvl w:val="0"/>
                <w:numId w:val="9"/>
              </w:numPr>
              <w:snapToGrid w:val="0"/>
              <w:spacing w:line="360" w:lineRule="auto"/>
              <w:ind w:left="425" w:leftChars="0" w:hanging="425" w:firstLineChars="0"/>
              <w:jc w:val="center"/>
              <w:textAlignment w:val="auto"/>
              <w:rPr>
                <w:rFonts w:hint="default" w:ascii="Times New Roman" w:hAnsi="Times New Roman" w:eastAsia="宋体" w:cs="Times New Roman"/>
                <w:b w:val="0"/>
                <w:bCs w:val="0"/>
                <w:spacing w:val="0"/>
                <w:kern w:val="2"/>
                <w:sz w:val="21"/>
                <w:szCs w:val="21"/>
              </w:rPr>
            </w:pPr>
          </w:p>
        </w:tc>
        <w:tc>
          <w:tcPr>
            <w:tcW w:w="1957" w:type="dxa"/>
            <w:noWrap w:val="0"/>
            <w:vAlign w:val="center"/>
          </w:tcPr>
          <w:p>
            <w:pPr>
              <w:snapToGrid w:val="0"/>
              <w:spacing w:line="360" w:lineRule="auto"/>
              <w:ind w:firstLine="0" w:firstLineChars="0"/>
              <w:jc w:val="center"/>
              <w:textAlignment w:val="auto"/>
              <w:rPr>
                <w:rFonts w:hint="default" w:ascii="Times New Roman" w:hAnsi="Times New Roman" w:eastAsia="宋体" w:cs="Times New Roman"/>
                <w:b w:val="0"/>
                <w:bCs w:val="0"/>
                <w:spacing w:val="0"/>
                <w:kern w:val="2"/>
                <w:sz w:val="21"/>
                <w:szCs w:val="21"/>
              </w:rPr>
            </w:pPr>
            <w:r>
              <w:rPr>
                <w:rFonts w:hint="default" w:ascii="Times New Roman" w:hAnsi="Times New Roman" w:eastAsia="宋体" w:cs="Times New Roman"/>
                <w:b w:val="0"/>
                <w:bCs w:val="0"/>
                <w:spacing w:val="0"/>
                <w:kern w:val="2"/>
                <w:sz w:val="21"/>
                <w:szCs w:val="21"/>
              </w:rPr>
              <w:t>日常维护</w:t>
            </w:r>
          </w:p>
        </w:tc>
        <w:tc>
          <w:tcPr>
            <w:tcW w:w="1776" w:type="dxa"/>
            <w:vMerge w:val="restart"/>
            <w:noWrap w:val="0"/>
            <w:vAlign w:val="center"/>
          </w:tcPr>
          <w:p>
            <w:pPr>
              <w:snapToGrid w:val="0"/>
              <w:spacing w:line="360" w:lineRule="auto"/>
              <w:ind w:firstLine="0" w:firstLineChars="0"/>
              <w:jc w:val="center"/>
              <w:textAlignment w:val="auto"/>
              <w:rPr>
                <w:rFonts w:hint="default" w:ascii="Times New Roman" w:hAnsi="Times New Roman" w:eastAsia="宋体" w:cs="Times New Roman"/>
                <w:b w:val="0"/>
                <w:bCs w:val="0"/>
                <w:spacing w:val="0"/>
                <w:kern w:val="2"/>
                <w:sz w:val="21"/>
                <w:szCs w:val="21"/>
                <w:lang w:val="en-US" w:eastAsia="zh-CN"/>
              </w:rPr>
            </w:pPr>
            <w:r>
              <w:rPr>
                <w:rFonts w:hint="eastAsia" w:cs="Times New Roman"/>
                <w:b w:val="0"/>
                <w:bCs w:val="0"/>
                <w:spacing w:val="0"/>
                <w:kern w:val="2"/>
                <w:sz w:val="21"/>
                <w:szCs w:val="21"/>
                <w:lang w:val="en-US" w:eastAsia="zh-CN"/>
              </w:rPr>
              <w:t>仪器设备</w:t>
            </w:r>
          </w:p>
        </w:tc>
        <w:tc>
          <w:tcPr>
            <w:tcW w:w="4307" w:type="dxa"/>
            <w:noWrap w:val="0"/>
            <w:vAlign w:val="center"/>
          </w:tcPr>
          <w:p>
            <w:pPr>
              <w:snapToGrid w:val="0"/>
              <w:spacing w:line="360" w:lineRule="auto"/>
              <w:ind w:firstLine="0" w:firstLineChars="0"/>
              <w:jc w:val="both"/>
              <w:textAlignment w:val="auto"/>
              <w:rPr>
                <w:rFonts w:hint="default" w:ascii="Times New Roman" w:hAnsi="Times New Roman" w:eastAsia="宋体" w:cs="Times New Roman"/>
                <w:b w:val="0"/>
                <w:bCs w:val="0"/>
                <w:spacing w:val="0"/>
                <w:kern w:val="2"/>
                <w:sz w:val="21"/>
                <w:szCs w:val="21"/>
                <w:lang w:val="en-US"/>
              </w:rPr>
            </w:pPr>
            <w:r>
              <w:rPr>
                <w:rFonts w:hint="eastAsia" w:cs="Times New Roman"/>
                <w:b w:val="0"/>
                <w:bCs w:val="0"/>
                <w:sz w:val="21"/>
                <w:szCs w:val="21"/>
                <w:lang w:val="en-US" w:eastAsia="zh-CN"/>
              </w:rPr>
              <w:t>每月按时对</w:t>
            </w:r>
            <w:r>
              <w:rPr>
                <w:rFonts w:hint="default" w:ascii="Times New Roman" w:hAnsi="Times New Roman" w:eastAsia="宋体" w:cs="Times New Roman"/>
                <w:b w:val="0"/>
                <w:bCs w:val="0"/>
                <w:sz w:val="21"/>
                <w:szCs w:val="21"/>
                <w:lang w:val="en-US" w:eastAsia="zh-CN"/>
              </w:rPr>
              <w:t>设备进行预防性检修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60" w:type="dxa"/>
            <w:noWrap w:val="0"/>
            <w:vAlign w:val="center"/>
          </w:tcPr>
          <w:p>
            <w:pPr>
              <w:numPr>
                <w:ilvl w:val="0"/>
                <w:numId w:val="9"/>
              </w:numPr>
              <w:snapToGrid w:val="0"/>
              <w:spacing w:line="360" w:lineRule="auto"/>
              <w:ind w:left="425" w:leftChars="0" w:hanging="425" w:firstLineChars="0"/>
              <w:jc w:val="center"/>
              <w:textAlignment w:val="auto"/>
              <w:rPr>
                <w:rFonts w:hint="default" w:ascii="Times New Roman" w:hAnsi="Times New Roman" w:eastAsia="宋体" w:cs="Times New Roman"/>
                <w:b w:val="0"/>
                <w:bCs w:val="0"/>
                <w:spacing w:val="0"/>
                <w:kern w:val="2"/>
                <w:sz w:val="21"/>
                <w:szCs w:val="21"/>
              </w:rPr>
            </w:pPr>
          </w:p>
        </w:tc>
        <w:tc>
          <w:tcPr>
            <w:tcW w:w="1957" w:type="dxa"/>
            <w:noWrap w:val="0"/>
            <w:vAlign w:val="center"/>
          </w:tcPr>
          <w:p>
            <w:pPr>
              <w:snapToGrid w:val="0"/>
              <w:spacing w:line="360" w:lineRule="auto"/>
              <w:ind w:firstLine="0" w:firstLineChars="0"/>
              <w:jc w:val="center"/>
              <w:textAlignment w:val="auto"/>
              <w:rPr>
                <w:rFonts w:hint="default" w:ascii="Times New Roman" w:hAnsi="Times New Roman" w:eastAsia="宋体" w:cs="Times New Roman"/>
                <w:b w:val="0"/>
                <w:bCs w:val="0"/>
                <w:spacing w:val="0"/>
                <w:kern w:val="2"/>
                <w:sz w:val="21"/>
                <w:szCs w:val="21"/>
              </w:rPr>
            </w:pPr>
            <w:r>
              <w:rPr>
                <w:rFonts w:hint="default" w:ascii="Times New Roman" w:hAnsi="Times New Roman" w:eastAsia="宋体" w:cs="Times New Roman"/>
                <w:b w:val="0"/>
                <w:bCs w:val="0"/>
                <w:spacing w:val="0"/>
                <w:kern w:val="2"/>
                <w:sz w:val="21"/>
                <w:szCs w:val="21"/>
              </w:rPr>
              <w:t>日常维护</w:t>
            </w:r>
          </w:p>
        </w:tc>
        <w:tc>
          <w:tcPr>
            <w:tcW w:w="1776" w:type="dxa"/>
            <w:vMerge w:val="continue"/>
            <w:noWrap w:val="0"/>
            <w:vAlign w:val="center"/>
          </w:tcPr>
          <w:p>
            <w:pPr>
              <w:snapToGrid w:val="0"/>
              <w:spacing w:line="360" w:lineRule="auto"/>
              <w:ind w:firstLine="0" w:firstLineChars="0"/>
              <w:jc w:val="center"/>
              <w:textAlignment w:val="auto"/>
              <w:rPr>
                <w:rFonts w:hint="eastAsia" w:cs="Times New Roman"/>
                <w:b w:val="0"/>
                <w:bCs w:val="0"/>
                <w:spacing w:val="0"/>
                <w:kern w:val="2"/>
                <w:sz w:val="21"/>
                <w:szCs w:val="21"/>
                <w:lang w:val="en-US" w:eastAsia="zh-CN"/>
              </w:rPr>
            </w:pPr>
          </w:p>
        </w:tc>
        <w:tc>
          <w:tcPr>
            <w:tcW w:w="4307" w:type="dxa"/>
            <w:noWrap w:val="0"/>
            <w:vAlign w:val="center"/>
          </w:tcPr>
          <w:p>
            <w:pPr>
              <w:pStyle w:val="8"/>
              <w:spacing w:line="360" w:lineRule="auto"/>
              <w:ind w:left="0" w:leftChars="0" w:firstLine="0" w:firstLineChars="0"/>
              <w:jc w:val="both"/>
              <w:rPr>
                <w:rFonts w:hint="default" w:ascii="Times New Roman" w:hAnsi="Times New Roman" w:eastAsia="宋体" w:cs="Times New Roman"/>
                <w:b w:val="0"/>
                <w:bCs w:val="0"/>
                <w:spacing w:val="0"/>
                <w:kern w:val="2"/>
                <w:sz w:val="21"/>
                <w:szCs w:val="21"/>
              </w:rPr>
            </w:pPr>
            <w:r>
              <w:rPr>
                <w:rFonts w:hint="default" w:ascii="Times New Roman" w:hAnsi="Times New Roman" w:eastAsia="宋体" w:cs="Times New Roman"/>
                <w:b w:val="0"/>
                <w:bCs w:val="0"/>
                <w:sz w:val="21"/>
                <w:szCs w:val="21"/>
                <w:lang w:val="en-US" w:eastAsia="zh-CN"/>
              </w:rPr>
              <w:t>提供的使用和维修手册</w:t>
            </w:r>
            <w:r>
              <w:rPr>
                <w:rFonts w:hint="eastAsia"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根据</w:t>
            </w:r>
            <w:r>
              <w:rPr>
                <w:rFonts w:hint="eastAsia" w:cs="Times New Roman"/>
                <w:b w:val="0"/>
                <w:bCs w:val="0"/>
                <w:sz w:val="21"/>
                <w:szCs w:val="21"/>
                <w:lang w:val="en-US" w:eastAsia="zh-CN"/>
              </w:rPr>
              <w:t>配件</w:t>
            </w:r>
            <w:r>
              <w:rPr>
                <w:rFonts w:hint="default" w:ascii="Times New Roman" w:hAnsi="Times New Roman" w:eastAsia="宋体" w:cs="Times New Roman"/>
                <w:b w:val="0"/>
                <w:bCs w:val="0"/>
                <w:sz w:val="21"/>
                <w:szCs w:val="21"/>
                <w:lang w:val="en-US" w:eastAsia="zh-CN"/>
              </w:rPr>
              <w:t>使用寿命，更换监测仪器中的紫外灯、光电倍增管、制冷装置、转换炉、发射光源（氙灯）和抽气泵膜等关键零部件。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60" w:type="dxa"/>
            <w:noWrap w:val="0"/>
            <w:vAlign w:val="center"/>
          </w:tcPr>
          <w:p>
            <w:pPr>
              <w:numPr>
                <w:ilvl w:val="0"/>
                <w:numId w:val="9"/>
              </w:numPr>
              <w:snapToGrid w:val="0"/>
              <w:spacing w:line="360" w:lineRule="auto"/>
              <w:ind w:left="425" w:leftChars="0" w:hanging="425" w:firstLineChars="0"/>
              <w:jc w:val="center"/>
              <w:textAlignment w:val="auto"/>
              <w:rPr>
                <w:rFonts w:hint="default" w:ascii="Times New Roman" w:hAnsi="Times New Roman" w:eastAsia="宋体" w:cs="Times New Roman"/>
                <w:b w:val="0"/>
                <w:bCs w:val="0"/>
                <w:spacing w:val="0"/>
                <w:kern w:val="2"/>
                <w:sz w:val="21"/>
                <w:szCs w:val="21"/>
              </w:rPr>
            </w:pPr>
          </w:p>
        </w:tc>
        <w:tc>
          <w:tcPr>
            <w:tcW w:w="1957" w:type="dxa"/>
            <w:noWrap w:val="0"/>
            <w:vAlign w:val="center"/>
          </w:tcPr>
          <w:p>
            <w:pPr>
              <w:snapToGrid w:val="0"/>
              <w:spacing w:line="360" w:lineRule="auto"/>
              <w:ind w:firstLine="0" w:firstLineChars="0"/>
              <w:jc w:val="center"/>
              <w:textAlignment w:val="auto"/>
              <w:rPr>
                <w:rFonts w:hint="default" w:ascii="Times New Roman" w:hAnsi="Times New Roman" w:eastAsia="宋体" w:cs="Times New Roman"/>
                <w:b w:val="0"/>
                <w:bCs w:val="0"/>
                <w:spacing w:val="0"/>
                <w:kern w:val="2"/>
                <w:sz w:val="21"/>
                <w:szCs w:val="21"/>
              </w:rPr>
            </w:pPr>
            <w:r>
              <w:rPr>
                <w:rFonts w:hint="default" w:ascii="Times New Roman" w:hAnsi="Times New Roman" w:eastAsia="宋体" w:cs="Times New Roman"/>
                <w:b w:val="0"/>
                <w:bCs w:val="0"/>
                <w:spacing w:val="0"/>
                <w:kern w:val="2"/>
                <w:sz w:val="21"/>
                <w:szCs w:val="21"/>
              </w:rPr>
              <w:t>日常维护</w:t>
            </w:r>
          </w:p>
        </w:tc>
        <w:tc>
          <w:tcPr>
            <w:tcW w:w="1776" w:type="dxa"/>
            <w:vMerge w:val="continue"/>
            <w:noWrap w:val="0"/>
            <w:vAlign w:val="center"/>
          </w:tcPr>
          <w:p>
            <w:pPr>
              <w:snapToGrid w:val="0"/>
              <w:spacing w:line="360" w:lineRule="auto"/>
              <w:ind w:firstLine="0" w:firstLineChars="0"/>
              <w:jc w:val="center"/>
              <w:textAlignment w:val="auto"/>
              <w:rPr>
                <w:rFonts w:hint="eastAsia" w:cs="Times New Roman"/>
                <w:b w:val="0"/>
                <w:bCs w:val="0"/>
                <w:spacing w:val="0"/>
                <w:kern w:val="2"/>
                <w:sz w:val="21"/>
                <w:szCs w:val="21"/>
                <w:lang w:val="en-US" w:eastAsia="zh-CN"/>
              </w:rPr>
            </w:pPr>
          </w:p>
        </w:tc>
        <w:tc>
          <w:tcPr>
            <w:tcW w:w="4307" w:type="dxa"/>
            <w:noWrap w:val="0"/>
            <w:vAlign w:val="center"/>
          </w:tcPr>
          <w:p>
            <w:pPr>
              <w:snapToGrid w:val="0"/>
              <w:spacing w:line="360" w:lineRule="auto"/>
              <w:ind w:firstLine="0" w:firstLineChars="0"/>
              <w:jc w:val="both"/>
              <w:textAlignment w:val="auto"/>
              <w:rPr>
                <w:rFonts w:hint="default" w:ascii="Times New Roman" w:hAnsi="Times New Roman" w:eastAsia="宋体" w:cs="Times New Roman"/>
                <w:b w:val="0"/>
                <w:bCs w:val="0"/>
                <w:spacing w:val="0"/>
                <w:kern w:val="2"/>
                <w:sz w:val="21"/>
                <w:szCs w:val="21"/>
              </w:rPr>
            </w:pPr>
            <w:r>
              <w:rPr>
                <w:rFonts w:hint="eastAsia" w:cs="Times New Roman"/>
                <w:b w:val="0"/>
                <w:bCs w:val="0"/>
                <w:sz w:val="21"/>
                <w:szCs w:val="21"/>
                <w:lang w:val="en-US" w:eastAsia="zh-CN"/>
              </w:rPr>
              <w:t>每月</w:t>
            </w:r>
            <w:r>
              <w:rPr>
                <w:rFonts w:hint="default" w:ascii="Times New Roman" w:hAnsi="Times New Roman" w:eastAsia="宋体" w:cs="Times New Roman"/>
                <w:b w:val="0"/>
                <w:bCs w:val="0"/>
                <w:sz w:val="21"/>
                <w:szCs w:val="21"/>
                <w:lang w:val="en-US" w:eastAsia="zh-CN"/>
              </w:rPr>
              <w:t>对仪器电路各测试点进行测试。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60" w:type="dxa"/>
            <w:noWrap w:val="0"/>
            <w:vAlign w:val="center"/>
          </w:tcPr>
          <w:p>
            <w:pPr>
              <w:numPr>
                <w:ilvl w:val="0"/>
                <w:numId w:val="9"/>
              </w:numPr>
              <w:snapToGrid w:val="0"/>
              <w:spacing w:line="360" w:lineRule="auto"/>
              <w:ind w:left="425" w:leftChars="0" w:hanging="425" w:firstLineChars="0"/>
              <w:jc w:val="center"/>
              <w:textAlignment w:val="auto"/>
              <w:rPr>
                <w:rFonts w:hint="default" w:ascii="Times New Roman" w:hAnsi="Times New Roman" w:eastAsia="宋体" w:cs="Times New Roman"/>
                <w:b w:val="0"/>
                <w:bCs w:val="0"/>
                <w:spacing w:val="0"/>
                <w:kern w:val="2"/>
                <w:sz w:val="21"/>
                <w:szCs w:val="21"/>
              </w:rPr>
            </w:pPr>
          </w:p>
        </w:tc>
        <w:tc>
          <w:tcPr>
            <w:tcW w:w="1957" w:type="dxa"/>
            <w:noWrap w:val="0"/>
            <w:vAlign w:val="center"/>
          </w:tcPr>
          <w:p>
            <w:pPr>
              <w:snapToGrid w:val="0"/>
              <w:spacing w:line="360" w:lineRule="auto"/>
              <w:ind w:left="0" w:leftChars="0" w:right="0" w:rightChars="0" w:firstLine="0" w:firstLineChars="0"/>
              <w:jc w:val="center"/>
              <w:textAlignment w:val="auto"/>
              <w:rPr>
                <w:rFonts w:hint="default" w:ascii="Times New Roman" w:hAnsi="Times New Roman" w:eastAsia="宋体" w:cs="Times New Roman"/>
                <w:b w:val="0"/>
                <w:bCs w:val="0"/>
                <w:spacing w:val="0"/>
                <w:kern w:val="2"/>
                <w:sz w:val="21"/>
                <w:szCs w:val="21"/>
              </w:rPr>
            </w:pPr>
            <w:r>
              <w:rPr>
                <w:rFonts w:hint="default" w:ascii="Times New Roman" w:hAnsi="Times New Roman" w:eastAsia="宋体" w:cs="Times New Roman"/>
                <w:b w:val="0"/>
                <w:bCs w:val="0"/>
                <w:spacing w:val="0"/>
                <w:kern w:val="2"/>
                <w:sz w:val="21"/>
                <w:szCs w:val="21"/>
              </w:rPr>
              <w:t>日常维护</w:t>
            </w:r>
          </w:p>
        </w:tc>
        <w:tc>
          <w:tcPr>
            <w:tcW w:w="1776" w:type="dxa"/>
            <w:vMerge w:val="continue"/>
            <w:noWrap w:val="0"/>
            <w:vAlign w:val="center"/>
          </w:tcPr>
          <w:p>
            <w:pPr>
              <w:snapToGrid w:val="0"/>
              <w:spacing w:line="360" w:lineRule="auto"/>
              <w:ind w:firstLine="0" w:firstLineChars="0"/>
              <w:jc w:val="center"/>
              <w:textAlignment w:val="auto"/>
              <w:rPr>
                <w:rFonts w:hint="eastAsia" w:cs="Times New Roman"/>
                <w:b w:val="0"/>
                <w:bCs w:val="0"/>
                <w:spacing w:val="0"/>
                <w:kern w:val="2"/>
                <w:sz w:val="21"/>
                <w:szCs w:val="21"/>
                <w:lang w:val="en-US" w:eastAsia="zh-CN"/>
              </w:rPr>
            </w:pPr>
          </w:p>
        </w:tc>
        <w:tc>
          <w:tcPr>
            <w:tcW w:w="4307" w:type="dxa"/>
            <w:noWrap w:val="0"/>
            <w:vAlign w:val="center"/>
          </w:tcPr>
          <w:p>
            <w:pPr>
              <w:snapToGrid w:val="0"/>
              <w:spacing w:line="360" w:lineRule="auto"/>
              <w:ind w:firstLine="0" w:firstLineChars="0"/>
              <w:jc w:val="both"/>
              <w:textAlignment w:val="auto"/>
              <w:rPr>
                <w:rFonts w:hint="default" w:ascii="Times New Roman" w:hAnsi="Times New Roman" w:eastAsia="宋体" w:cs="Times New Roman"/>
                <w:b w:val="0"/>
                <w:bCs w:val="0"/>
                <w:spacing w:val="0"/>
                <w:kern w:val="2"/>
                <w:sz w:val="21"/>
                <w:szCs w:val="21"/>
              </w:rPr>
            </w:pPr>
            <w:r>
              <w:rPr>
                <w:rFonts w:hint="eastAsia" w:cs="Times New Roman"/>
                <w:b w:val="0"/>
                <w:bCs w:val="0"/>
                <w:sz w:val="21"/>
                <w:szCs w:val="21"/>
                <w:lang w:val="en-US" w:eastAsia="zh-CN"/>
              </w:rPr>
              <w:t>每周</w:t>
            </w:r>
            <w:r>
              <w:rPr>
                <w:rFonts w:hint="default" w:ascii="Times New Roman" w:hAnsi="Times New Roman" w:eastAsia="宋体" w:cs="Times New Roman"/>
                <w:b w:val="0"/>
                <w:bCs w:val="0"/>
                <w:sz w:val="21"/>
                <w:szCs w:val="21"/>
                <w:lang w:val="en-US" w:eastAsia="zh-CN"/>
              </w:rPr>
              <w:t>对仪器进行气路检漏和流量检查；对光路、气路、电路板和各种接头及插座等进行检查和清洁处理。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60" w:type="dxa"/>
            <w:noWrap w:val="0"/>
            <w:vAlign w:val="center"/>
          </w:tcPr>
          <w:p>
            <w:pPr>
              <w:numPr>
                <w:ilvl w:val="0"/>
                <w:numId w:val="9"/>
              </w:numPr>
              <w:snapToGrid w:val="0"/>
              <w:spacing w:line="360" w:lineRule="auto"/>
              <w:ind w:left="425" w:leftChars="0" w:hanging="425" w:firstLineChars="0"/>
              <w:jc w:val="center"/>
              <w:textAlignment w:val="auto"/>
              <w:rPr>
                <w:rFonts w:hint="default" w:ascii="Times New Roman" w:hAnsi="Times New Roman" w:eastAsia="宋体" w:cs="Times New Roman"/>
                <w:b w:val="0"/>
                <w:bCs w:val="0"/>
                <w:spacing w:val="0"/>
                <w:kern w:val="2"/>
                <w:sz w:val="21"/>
                <w:szCs w:val="21"/>
              </w:rPr>
            </w:pPr>
          </w:p>
        </w:tc>
        <w:tc>
          <w:tcPr>
            <w:tcW w:w="1957" w:type="dxa"/>
            <w:noWrap w:val="0"/>
            <w:vAlign w:val="center"/>
          </w:tcPr>
          <w:p>
            <w:pPr>
              <w:snapToGrid w:val="0"/>
              <w:spacing w:line="360" w:lineRule="auto"/>
              <w:ind w:left="0" w:leftChars="0" w:right="0" w:rightChars="0" w:firstLine="0" w:firstLineChars="0"/>
              <w:jc w:val="center"/>
              <w:textAlignment w:val="auto"/>
              <w:rPr>
                <w:rFonts w:hint="default" w:ascii="Times New Roman" w:hAnsi="Times New Roman" w:eastAsia="宋体" w:cs="Times New Roman"/>
                <w:b w:val="0"/>
                <w:bCs w:val="0"/>
                <w:spacing w:val="0"/>
                <w:kern w:val="2"/>
                <w:sz w:val="21"/>
                <w:szCs w:val="21"/>
              </w:rPr>
            </w:pPr>
            <w:r>
              <w:rPr>
                <w:rFonts w:hint="default" w:ascii="Times New Roman" w:hAnsi="Times New Roman" w:eastAsia="宋体" w:cs="Times New Roman"/>
                <w:b w:val="0"/>
                <w:bCs w:val="0"/>
                <w:spacing w:val="0"/>
                <w:kern w:val="2"/>
                <w:sz w:val="21"/>
                <w:szCs w:val="21"/>
              </w:rPr>
              <w:t>日常维护</w:t>
            </w:r>
          </w:p>
        </w:tc>
        <w:tc>
          <w:tcPr>
            <w:tcW w:w="1776" w:type="dxa"/>
            <w:vMerge w:val="continue"/>
            <w:noWrap w:val="0"/>
            <w:vAlign w:val="center"/>
          </w:tcPr>
          <w:p>
            <w:pPr>
              <w:snapToGrid w:val="0"/>
              <w:spacing w:line="360" w:lineRule="auto"/>
              <w:ind w:firstLine="0" w:firstLineChars="0"/>
              <w:jc w:val="center"/>
              <w:textAlignment w:val="auto"/>
              <w:rPr>
                <w:rFonts w:hint="eastAsia" w:cs="Times New Roman"/>
                <w:b w:val="0"/>
                <w:bCs w:val="0"/>
                <w:spacing w:val="0"/>
                <w:kern w:val="2"/>
                <w:sz w:val="21"/>
                <w:szCs w:val="21"/>
                <w:lang w:val="en-US" w:eastAsia="zh-CN"/>
              </w:rPr>
            </w:pPr>
          </w:p>
        </w:tc>
        <w:tc>
          <w:tcPr>
            <w:tcW w:w="4307" w:type="dxa"/>
            <w:noWrap w:val="0"/>
            <w:vAlign w:val="center"/>
          </w:tcPr>
          <w:p>
            <w:pPr>
              <w:snapToGrid w:val="0"/>
              <w:spacing w:line="360" w:lineRule="auto"/>
              <w:ind w:firstLine="0" w:firstLineChars="0"/>
              <w:jc w:val="both"/>
              <w:textAlignment w:val="auto"/>
              <w:rPr>
                <w:rFonts w:hint="default" w:ascii="Times New Roman" w:hAnsi="Times New Roman" w:eastAsia="宋体" w:cs="Times New Roman"/>
                <w:b w:val="0"/>
                <w:bCs w:val="0"/>
                <w:spacing w:val="0"/>
                <w:kern w:val="2"/>
                <w:sz w:val="21"/>
                <w:szCs w:val="21"/>
              </w:rPr>
            </w:pPr>
            <w:r>
              <w:rPr>
                <w:rFonts w:hint="eastAsia" w:cs="Times New Roman"/>
                <w:b w:val="0"/>
                <w:bCs w:val="0"/>
                <w:sz w:val="21"/>
                <w:szCs w:val="21"/>
                <w:lang w:val="en-US" w:eastAsia="zh-CN"/>
              </w:rPr>
              <w:t>每月</w:t>
            </w:r>
            <w:r>
              <w:rPr>
                <w:rFonts w:hint="default" w:ascii="Times New Roman" w:hAnsi="Times New Roman" w:eastAsia="宋体" w:cs="Times New Roman"/>
                <w:b w:val="0"/>
                <w:bCs w:val="0"/>
                <w:sz w:val="21"/>
                <w:szCs w:val="21"/>
                <w:lang w:val="en-US" w:eastAsia="zh-CN"/>
              </w:rPr>
              <w:t>对仪器的输出零点和满量程进行检查和校准，并检查仪器的输出线性。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60" w:type="dxa"/>
            <w:noWrap w:val="0"/>
            <w:vAlign w:val="center"/>
          </w:tcPr>
          <w:p>
            <w:pPr>
              <w:numPr>
                <w:ilvl w:val="0"/>
                <w:numId w:val="9"/>
              </w:numPr>
              <w:snapToGrid w:val="0"/>
              <w:spacing w:line="360" w:lineRule="auto"/>
              <w:ind w:left="425" w:leftChars="0" w:hanging="425" w:firstLineChars="0"/>
              <w:jc w:val="center"/>
              <w:textAlignment w:val="auto"/>
              <w:rPr>
                <w:rFonts w:hint="default" w:ascii="Times New Roman" w:hAnsi="Times New Roman" w:eastAsia="宋体" w:cs="Times New Roman"/>
                <w:b w:val="0"/>
                <w:bCs w:val="0"/>
                <w:spacing w:val="0"/>
                <w:kern w:val="2"/>
                <w:sz w:val="21"/>
                <w:szCs w:val="21"/>
              </w:rPr>
            </w:pPr>
          </w:p>
        </w:tc>
        <w:tc>
          <w:tcPr>
            <w:tcW w:w="1957" w:type="dxa"/>
            <w:noWrap w:val="0"/>
            <w:vAlign w:val="center"/>
          </w:tcPr>
          <w:p>
            <w:pPr>
              <w:snapToGrid w:val="0"/>
              <w:spacing w:line="360" w:lineRule="auto"/>
              <w:ind w:left="0" w:leftChars="0" w:right="0" w:rightChars="0" w:firstLine="0" w:firstLineChars="0"/>
              <w:jc w:val="center"/>
              <w:textAlignment w:val="auto"/>
              <w:rPr>
                <w:rFonts w:hint="default" w:ascii="Times New Roman" w:hAnsi="Times New Roman" w:eastAsia="宋体" w:cs="Times New Roman"/>
                <w:b w:val="0"/>
                <w:bCs w:val="0"/>
                <w:spacing w:val="0"/>
                <w:kern w:val="2"/>
                <w:sz w:val="21"/>
                <w:szCs w:val="21"/>
              </w:rPr>
            </w:pPr>
            <w:r>
              <w:rPr>
                <w:rFonts w:hint="default" w:ascii="Times New Roman" w:hAnsi="Times New Roman" w:eastAsia="宋体" w:cs="Times New Roman"/>
                <w:b w:val="0"/>
                <w:bCs w:val="0"/>
                <w:spacing w:val="0"/>
                <w:kern w:val="2"/>
                <w:sz w:val="21"/>
                <w:szCs w:val="21"/>
              </w:rPr>
              <w:t>日常维护</w:t>
            </w:r>
          </w:p>
        </w:tc>
        <w:tc>
          <w:tcPr>
            <w:tcW w:w="1776" w:type="dxa"/>
            <w:vMerge w:val="continue"/>
            <w:noWrap w:val="0"/>
            <w:vAlign w:val="center"/>
          </w:tcPr>
          <w:p>
            <w:pPr>
              <w:snapToGrid w:val="0"/>
              <w:spacing w:line="360" w:lineRule="auto"/>
              <w:ind w:firstLine="0" w:firstLineChars="0"/>
              <w:jc w:val="center"/>
              <w:textAlignment w:val="auto"/>
              <w:rPr>
                <w:rFonts w:hint="eastAsia" w:cs="Times New Roman"/>
                <w:b w:val="0"/>
                <w:bCs w:val="0"/>
                <w:spacing w:val="0"/>
                <w:kern w:val="2"/>
                <w:sz w:val="21"/>
                <w:szCs w:val="21"/>
                <w:lang w:val="en-US" w:eastAsia="zh-CN"/>
              </w:rPr>
            </w:pPr>
          </w:p>
        </w:tc>
        <w:tc>
          <w:tcPr>
            <w:tcW w:w="4307" w:type="dxa"/>
            <w:noWrap w:val="0"/>
            <w:vAlign w:val="center"/>
          </w:tcPr>
          <w:p>
            <w:pPr>
              <w:snapToGrid w:val="0"/>
              <w:spacing w:line="360" w:lineRule="auto"/>
              <w:ind w:firstLine="0" w:firstLineChars="0"/>
              <w:jc w:val="both"/>
              <w:textAlignment w:val="auto"/>
              <w:rPr>
                <w:rFonts w:hint="default" w:ascii="Times New Roman" w:hAnsi="Times New Roman" w:eastAsia="宋体" w:cs="Times New Roman"/>
                <w:b w:val="0"/>
                <w:bCs w:val="0"/>
                <w:spacing w:val="0"/>
                <w:kern w:val="2"/>
                <w:sz w:val="21"/>
                <w:szCs w:val="21"/>
              </w:rPr>
            </w:pPr>
            <w:r>
              <w:rPr>
                <w:rFonts w:hint="eastAsia" w:cs="Times New Roman"/>
                <w:b w:val="0"/>
                <w:bCs w:val="0"/>
                <w:sz w:val="21"/>
                <w:szCs w:val="21"/>
                <w:lang w:val="en-US" w:eastAsia="zh-CN"/>
              </w:rPr>
              <w:t>每季度</w:t>
            </w:r>
            <w:r>
              <w:rPr>
                <w:rFonts w:hint="default" w:ascii="Times New Roman" w:hAnsi="Times New Roman" w:eastAsia="宋体" w:cs="Times New Roman"/>
                <w:b w:val="0"/>
                <w:bCs w:val="0"/>
                <w:sz w:val="21"/>
                <w:szCs w:val="21"/>
                <w:lang w:val="en-US" w:eastAsia="zh-CN"/>
              </w:rPr>
              <w:t>对采样泵进行维护，维护后真空度应能达到当地气压的 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60" w:type="dxa"/>
            <w:noWrap w:val="0"/>
            <w:vAlign w:val="center"/>
          </w:tcPr>
          <w:p>
            <w:pPr>
              <w:numPr>
                <w:ilvl w:val="0"/>
                <w:numId w:val="9"/>
              </w:numPr>
              <w:snapToGrid w:val="0"/>
              <w:spacing w:line="360" w:lineRule="auto"/>
              <w:ind w:left="425" w:leftChars="0" w:hanging="425" w:firstLineChars="0"/>
              <w:jc w:val="center"/>
              <w:textAlignment w:val="auto"/>
              <w:rPr>
                <w:rFonts w:hint="default" w:ascii="Times New Roman" w:hAnsi="Times New Roman" w:eastAsia="宋体" w:cs="Times New Roman"/>
                <w:b w:val="0"/>
                <w:bCs w:val="0"/>
                <w:spacing w:val="0"/>
                <w:kern w:val="2"/>
                <w:sz w:val="21"/>
                <w:szCs w:val="21"/>
              </w:rPr>
            </w:pPr>
          </w:p>
        </w:tc>
        <w:tc>
          <w:tcPr>
            <w:tcW w:w="1957" w:type="dxa"/>
            <w:noWrap w:val="0"/>
            <w:vAlign w:val="center"/>
          </w:tcPr>
          <w:p>
            <w:pPr>
              <w:snapToGrid w:val="0"/>
              <w:spacing w:line="360" w:lineRule="auto"/>
              <w:ind w:left="0" w:leftChars="0" w:right="0" w:rightChars="0" w:firstLine="0" w:firstLineChars="0"/>
              <w:jc w:val="center"/>
              <w:textAlignment w:val="auto"/>
              <w:rPr>
                <w:rFonts w:hint="default" w:ascii="Times New Roman" w:hAnsi="Times New Roman" w:eastAsia="宋体" w:cs="Times New Roman"/>
                <w:b w:val="0"/>
                <w:bCs w:val="0"/>
                <w:spacing w:val="0"/>
                <w:kern w:val="2"/>
                <w:sz w:val="21"/>
                <w:szCs w:val="21"/>
              </w:rPr>
            </w:pPr>
            <w:r>
              <w:rPr>
                <w:rFonts w:hint="default" w:ascii="Times New Roman" w:hAnsi="Times New Roman" w:eastAsia="宋体" w:cs="Times New Roman"/>
                <w:b w:val="0"/>
                <w:bCs w:val="0"/>
                <w:spacing w:val="0"/>
                <w:kern w:val="2"/>
                <w:sz w:val="21"/>
                <w:szCs w:val="21"/>
              </w:rPr>
              <w:t>日常维护</w:t>
            </w:r>
          </w:p>
        </w:tc>
        <w:tc>
          <w:tcPr>
            <w:tcW w:w="1776" w:type="dxa"/>
            <w:vMerge w:val="continue"/>
            <w:noWrap w:val="0"/>
            <w:vAlign w:val="center"/>
          </w:tcPr>
          <w:p>
            <w:pPr>
              <w:snapToGrid w:val="0"/>
              <w:spacing w:line="360" w:lineRule="auto"/>
              <w:ind w:firstLine="0" w:firstLineChars="0"/>
              <w:jc w:val="center"/>
              <w:textAlignment w:val="auto"/>
              <w:rPr>
                <w:rFonts w:hint="eastAsia" w:cs="Times New Roman"/>
                <w:b w:val="0"/>
                <w:bCs w:val="0"/>
                <w:spacing w:val="0"/>
                <w:kern w:val="2"/>
                <w:sz w:val="21"/>
                <w:szCs w:val="21"/>
                <w:lang w:val="en-US" w:eastAsia="zh-CN"/>
              </w:rPr>
            </w:pPr>
          </w:p>
        </w:tc>
        <w:tc>
          <w:tcPr>
            <w:tcW w:w="4307" w:type="dxa"/>
            <w:noWrap w:val="0"/>
            <w:vAlign w:val="center"/>
          </w:tcPr>
          <w:p>
            <w:pPr>
              <w:snapToGrid w:val="0"/>
              <w:spacing w:line="360" w:lineRule="auto"/>
              <w:ind w:firstLine="0" w:firstLineChars="0"/>
              <w:jc w:val="both"/>
              <w:textAlignment w:val="auto"/>
              <w:rPr>
                <w:rFonts w:hint="eastAsia" w:ascii="Times New Roman" w:hAnsi="Times New Roman" w:eastAsia="宋体" w:cs="Times New Roman"/>
                <w:b w:val="0"/>
                <w:bCs w:val="0"/>
                <w:spacing w:val="0"/>
                <w:kern w:val="2"/>
                <w:sz w:val="21"/>
                <w:szCs w:val="21"/>
                <w:lang w:val="en-US" w:eastAsia="zh-CN"/>
              </w:rPr>
            </w:pPr>
            <w:r>
              <w:rPr>
                <w:rFonts w:hint="eastAsia" w:cs="Times New Roman"/>
                <w:b w:val="0"/>
                <w:bCs w:val="0"/>
                <w:spacing w:val="0"/>
                <w:kern w:val="2"/>
                <w:sz w:val="21"/>
                <w:szCs w:val="21"/>
                <w:lang w:val="en-US" w:eastAsia="zh-CN"/>
              </w:rPr>
              <w:t>每季度</w:t>
            </w:r>
            <w:r>
              <w:rPr>
                <w:rFonts w:hint="default" w:ascii="Times New Roman" w:hAnsi="Times New Roman" w:eastAsia="宋体" w:cs="Times New Roman"/>
                <w:b w:val="0"/>
                <w:bCs w:val="0"/>
                <w:sz w:val="21"/>
                <w:szCs w:val="21"/>
                <w:lang w:val="en-US" w:eastAsia="zh-CN"/>
              </w:rPr>
              <w:t>应进行仪器校准和采样流量校准</w:t>
            </w:r>
          </w:p>
        </w:tc>
      </w:tr>
    </w:tbl>
    <w:p>
      <w:pPr>
        <w:ind w:left="0" w:leftChars="0" w:firstLine="0" w:firstLineChars="0"/>
        <w:rPr>
          <w:rFonts w:hint="default" w:cs="Times New Roman"/>
          <w:b w:val="0"/>
          <w:bCs w:val="0"/>
          <w:spacing w:val="0"/>
          <w:sz w:val="24"/>
          <w:szCs w:val="22"/>
          <w:lang w:val="en-US" w:eastAsia="zh-CN" w:bidi="ar-SA"/>
        </w:rPr>
      </w:pPr>
    </w:p>
    <w:p>
      <w:pPr>
        <w:rPr>
          <w:rFonts w:hint="eastAsia"/>
          <w:b/>
          <w:color w:val="auto"/>
          <w:highlight w:val="none"/>
        </w:rPr>
      </w:pPr>
    </w:p>
    <w:p>
      <w:pPr>
        <w:rPr>
          <w:rFonts w:hint="eastAsia"/>
          <w:b/>
          <w:color w:val="auto"/>
          <w:highlight w:val="none"/>
        </w:rPr>
      </w:pPr>
      <w:r>
        <w:rPr>
          <w:rFonts w:hint="eastAsia"/>
          <w:b/>
          <w:color w:val="auto"/>
          <w:highlight w:val="none"/>
        </w:rPr>
        <w:br w:type="page"/>
      </w:r>
    </w:p>
    <w:p>
      <w:pPr>
        <w:pStyle w:val="2"/>
        <w:numPr>
          <w:ilvl w:val="0"/>
          <w:numId w:val="0"/>
        </w:numPr>
        <w:bidi w:val="0"/>
        <w:spacing w:line="240" w:lineRule="auto"/>
        <w:ind w:leftChars="0"/>
        <w:jc w:val="center"/>
        <w:rPr>
          <w:rFonts w:hint="eastAsia"/>
          <w:b/>
          <w:color w:val="auto"/>
          <w:highlight w:val="none"/>
        </w:rPr>
      </w:pPr>
      <w:r>
        <w:rPr>
          <w:rFonts w:hint="eastAsia"/>
          <w:b/>
          <w:color w:val="auto"/>
          <w:highlight w:val="none"/>
        </w:rPr>
        <w:t>第</w:t>
      </w:r>
      <w:r>
        <w:rPr>
          <w:rFonts w:hint="eastAsia"/>
          <w:b/>
          <w:color w:val="auto"/>
          <w:highlight w:val="none"/>
          <w:lang w:eastAsia="zh-CN"/>
        </w:rPr>
        <w:t>六章</w:t>
      </w:r>
      <w:r>
        <w:rPr>
          <w:rFonts w:hint="eastAsia"/>
          <w:b/>
          <w:color w:val="auto"/>
          <w:highlight w:val="none"/>
        </w:rPr>
        <w:t xml:space="preserve">  响应文件格式</w:t>
      </w:r>
      <w:bookmarkEnd w:id="31"/>
      <w:bookmarkEnd w:id="32"/>
    </w:p>
    <w:p>
      <w:pPr>
        <w:rPr>
          <w:rFonts w:hint="eastAsia" w:ascii="宋体" w:hAnsi="宋体" w:eastAsia="宋体" w:cs="宋体"/>
          <w:b/>
          <w:bCs/>
          <w:i w:val="0"/>
          <w:iCs w:val="0"/>
          <w:color w:val="auto"/>
          <w:sz w:val="28"/>
          <w:szCs w:val="28"/>
          <w:highlight w:val="none"/>
        </w:rPr>
      </w:pPr>
      <w:bookmarkStart w:id="34" w:name="_Toc239648609"/>
      <w:bookmarkStart w:id="35" w:name="_Toc239822629"/>
      <w:bookmarkStart w:id="36" w:name="_Toc239649397"/>
      <w:bookmarkStart w:id="37" w:name="_Toc239650612"/>
      <w:bookmarkStart w:id="38" w:name="_Toc239649321"/>
      <w:bookmarkStart w:id="39" w:name="_Toc239649773"/>
      <w:bookmarkStart w:id="40" w:name="_Toc424212005"/>
      <w:bookmarkStart w:id="41" w:name="_Toc239822514"/>
      <w:bookmarkStart w:id="42" w:name="_Toc424059521"/>
      <w:bookmarkStart w:id="43" w:name="_Toc239648875"/>
      <w:bookmarkStart w:id="44" w:name="_Toc239651331"/>
      <w:r>
        <w:rPr>
          <w:rFonts w:hint="eastAsia" w:ascii="宋体" w:hAnsi="宋体" w:eastAsia="宋体" w:cs="宋体"/>
          <w:b/>
          <w:bCs/>
          <w:i w:val="0"/>
          <w:iCs w:val="0"/>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3886200</wp:posOffset>
                </wp:positionH>
                <wp:positionV relativeFrom="paragraph">
                  <wp:posOffset>645795</wp:posOffset>
                </wp:positionV>
                <wp:extent cx="1714500" cy="495300"/>
                <wp:effectExtent l="4445" t="4445" r="14605" b="14605"/>
                <wp:wrapNone/>
                <wp:docPr id="1" name="矩形 1"/>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sz w:val="44"/>
                                <w:szCs w:val="44"/>
                              </w:rPr>
                            </w:pPr>
                            <w:r>
                              <w:rPr>
                                <w:rFonts w:hint="eastAsia"/>
                                <w:b/>
                                <w:sz w:val="44"/>
                                <w:szCs w:val="44"/>
                              </w:rPr>
                              <w:t>正本或副本</w:t>
                            </w:r>
                          </w:p>
                        </w:txbxContent>
                      </wps:txbx>
                      <wps:bodyPr upright="1"/>
                    </wps:wsp>
                  </a:graphicData>
                </a:graphic>
              </wp:anchor>
            </w:drawing>
          </mc:Choice>
          <mc:Fallback>
            <w:pict>
              <v:rect id="_x0000_s1026" o:spid="_x0000_s1026" o:spt="1" style="position:absolute;left:0pt;margin-left:306pt;margin-top:50.85pt;height:39pt;width:135pt;z-index:251659264;mso-width-relative:page;mso-height-relative:page;" fillcolor="#FFFFFF" filled="t" stroked="t" coordsize="21600,21600" o:gfxdata="UEsDBAoAAAAAAIdO4kAAAAAAAAAAAAAAAAAEAAAAZHJzL1BLAwQUAAAACACHTuJAN4btnNgAAAAL&#10;AQAADwAAAGRycy9kb3ducmV2LnhtbE2PQU+DQBCF7yb+h82YeLO7YFIoZelBUxOPLb14G2AEKrtL&#10;2KVFf73Tkx7nvZc338t3ixnEhSbfO6shWikQZGvX9LbVcCr3TykIH9A2ODhLGr7Jw664v8sxa9zV&#10;HuhyDK3gEusz1NCFMGZS+rojg37lRrLsfbrJYOBzamUz4ZXLzSBjpdbSYG/5Q4cjvXRUfx1no6Hq&#10;4xP+HMo3ZTb75/C+lOf541Xrx4dIbUEEWsJfGG74jA4FM1Vuto0Xg4Z1FPOWwIaKEhCcSNObUrGS&#10;bBKQRS7/byh+AVBLAwQUAAAACACHTuJAKR4pOP4BAAApBAAADgAAAGRycy9lMm9Eb2MueG1srVNL&#10;rtMwFJ0jsQfLc5qkvAIvavoGlDJB8KQHC3BtJ7Hkn3zdJl0NEjMWwXIQ2+DaCX0fGHRABs6xfX18&#10;z7nX65vRaHKUAZSzDa0WJSXScieU7Rr65fPuxRtKIDIrmHZWNvQkgd5snj9bD76WS9c7LWQgSGKh&#10;HnxD+xh9XRTAe2kYLJyXFjdbFwyLOA1dIQIbkN3oYlmWr4rBBeGD4xIAV7fTJp0ZwyWErm0Vl1vH&#10;D0baOLEGqVlESdArD3STs21byeOntgUZiW4oKo15xEsQ79NYbNas7gLzveJzCuySFJ5oMkxZvPRM&#10;tWWRkUNQf1EZxYMD18YFd6aYhGRHUEVVPvHmrmdeZi1oNfiz6fD/aPnH420gSmAnUGKZwYL/+vr9&#10;549vpEreDB5qDLnzt2GeAcIkdGyDSX+UQMbs5+nspxwj4bhYva6uViVazXHv6nr1EjHSFPenfYD4&#10;XjpDEmhowHplG9nxA8Qp9E9IugycVmKntM6T0O3f6kCODGu7y9/M/ihMWzI09Hq1XGEeDBu2xUZB&#10;aDyKBtvl+x6dgIfEZf7+RZwS2zLopwQyQwpjtVFRhox6ycQ7K0g8eTTW4nuiKRkjBSVa4vNLKEdG&#10;pvQlkeidtmhhKsxUioTiuB+RJsG9Eyes6MEH1fVoaS5jDscOyt7P3Z5a9OE8k96/8M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4btnNgAAAALAQAADwAAAAAAAAABACAAAAAiAAAAZHJzL2Rvd25y&#10;ZXYueG1sUEsBAhQAFAAAAAgAh07iQCkeKTj+AQAAKQQAAA4AAAAAAAAAAQAgAAAAJwEAAGRycy9l&#10;Mm9Eb2MueG1sUEsFBgAAAAAGAAYAWQEAAJcFAAAAAA==&#10;">
                <v:fill on="t" focussize="0,0"/>
                <v:stroke color="#000000" joinstyle="miter"/>
                <v:imagedata o:title=""/>
                <o:lock v:ext="edit" aspectratio="f"/>
                <v:textbox>
                  <w:txbxContent>
                    <w:p>
                      <w:pPr>
                        <w:jc w:val="center"/>
                        <w:rPr>
                          <w:rFonts w:hint="eastAsia"/>
                          <w:b/>
                          <w:sz w:val="44"/>
                          <w:szCs w:val="44"/>
                        </w:rPr>
                      </w:pPr>
                      <w:r>
                        <w:rPr>
                          <w:rFonts w:hint="eastAsia"/>
                          <w:b/>
                          <w:sz w:val="44"/>
                          <w:szCs w:val="44"/>
                        </w:rPr>
                        <w:t>正本或副本</w:t>
                      </w:r>
                    </w:p>
                  </w:txbxContent>
                </v:textbox>
              </v:rect>
            </w:pict>
          </mc:Fallback>
        </mc:AlternateContent>
      </w:r>
      <w:r>
        <w:rPr>
          <w:rFonts w:hint="eastAsia" w:ascii="宋体" w:hAnsi="宋体" w:eastAsia="宋体" w:cs="宋体"/>
          <w:b/>
          <w:bCs/>
          <w:i w:val="0"/>
          <w:iCs w:val="0"/>
          <w:color w:val="auto"/>
          <w:sz w:val="28"/>
          <w:szCs w:val="28"/>
          <w:highlight w:val="none"/>
        </w:rPr>
        <w:t>封面格式</w:t>
      </w:r>
      <w:bookmarkEnd w:id="34"/>
      <w:bookmarkEnd w:id="35"/>
      <w:bookmarkEnd w:id="36"/>
      <w:bookmarkEnd w:id="37"/>
      <w:bookmarkEnd w:id="38"/>
      <w:bookmarkEnd w:id="39"/>
      <w:bookmarkEnd w:id="40"/>
      <w:bookmarkEnd w:id="41"/>
      <w:bookmarkEnd w:id="42"/>
      <w:bookmarkEnd w:id="43"/>
      <w:bookmarkEnd w:id="44"/>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响  应  文  件</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 xml:space="preserve">项目编号：                         </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 xml:space="preserve">项目名称：                         </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 xml:space="preserve">供 应 商：                         </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 xml:space="preserve">法定代表人或其委托代理人签字：       </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日期：   年    月    日</w:t>
      </w:r>
    </w:p>
    <w:p>
      <w:pPr>
        <w:pStyle w:val="3"/>
        <w:numPr>
          <w:ilvl w:val="0"/>
          <w:numId w:val="0"/>
        </w:numPr>
        <w:ind w:leftChars="0"/>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br w:type="page"/>
      </w:r>
    </w:p>
    <w:p>
      <w:pPr>
        <w:pStyle w:val="3"/>
        <w:numPr>
          <w:ilvl w:val="0"/>
          <w:numId w:val="0"/>
        </w:numPr>
        <w:ind w:leftChars="0"/>
        <w:jc w:val="center"/>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目录</w:t>
      </w:r>
    </w:p>
    <w:p>
      <w:pPr>
        <w:jc w:val="center"/>
        <w:rPr>
          <w:rFonts w:hint="default"/>
          <w:sz w:val="24"/>
          <w:szCs w:val="24"/>
          <w:lang w:val="en-US" w:eastAsia="zh-CN"/>
        </w:rPr>
      </w:pPr>
      <w:r>
        <w:rPr>
          <w:rFonts w:hint="eastAsia"/>
          <w:sz w:val="24"/>
          <w:szCs w:val="24"/>
          <w:lang w:val="en-US" w:eastAsia="zh-CN"/>
        </w:rPr>
        <w:t>投标人自行生成</w:t>
      </w:r>
    </w:p>
    <w:p>
      <w:pPr>
        <w:pStyle w:val="3"/>
        <w:numPr>
          <w:ilvl w:val="0"/>
          <w:numId w:val="0"/>
        </w:numPr>
        <w:ind w:leftChars="0"/>
        <w:jc w:val="center"/>
        <w:rPr>
          <w:rFonts w:hint="eastAsia" w:ascii="宋体" w:hAnsi="宋体" w:eastAsia="宋体" w:cs="宋体"/>
          <w:i w:val="0"/>
          <w:iCs w:val="0"/>
          <w:color w:val="auto"/>
          <w:highlight w:val="none"/>
        </w:rPr>
      </w:pPr>
    </w:p>
    <w:p>
      <w:pPr>
        <w:pStyle w:val="3"/>
        <w:numPr>
          <w:ilvl w:val="0"/>
          <w:numId w:val="0"/>
        </w:numPr>
        <w:ind w:leftChars="0"/>
        <w:jc w:val="center"/>
        <w:rPr>
          <w:rFonts w:hint="eastAsia" w:ascii="宋体" w:hAnsi="宋体" w:eastAsia="宋体" w:cs="宋体"/>
          <w:i w:val="0"/>
          <w:iCs w:val="0"/>
          <w:color w:val="auto"/>
          <w:highlight w:val="none"/>
        </w:rPr>
      </w:pPr>
    </w:p>
    <w:p>
      <w:pPr>
        <w:pStyle w:val="3"/>
        <w:numPr>
          <w:ilvl w:val="0"/>
          <w:numId w:val="0"/>
        </w:numPr>
        <w:ind w:leftChars="0"/>
        <w:jc w:val="center"/>
        <w:rPr>
          <w:rFonts w:hint="eastAsia" w:ascii="宋体" w:hAnsi="宋体" w:eastAsia="宋体" w:cs="宋体"/>
          <w:i w:val="0"/>
          <w:iCs w:val="0"/>
          <w:color w:val="auto"/>
          <w:highlight w:val="none"/>
        </w:rPr>
      </w:pPr>
    </w:p>
    <w:p>
      <w:pPr>
        <w:pStyle w:val="3"/>
        <w:numPr>
          <w:ilvl w:val="0"/>
          <w:numId w:val="0"/>
        </w:numPr>
        <w:ind w:leftChars="0"/>
        <w:jc w:val="center"/>
        <w:rPr>
          <w:rFonts w:hint="eastAsia" w:ascii="宋体" w:hAnsi="宋体" w:eastAsia="宋体" w:cs="宋体"/>
          <w:i w:val="0"/>
          <w:iCs w:val="0"/>
          <w:color w:val="auto"/>
          <w:highlight w:val="none"/>
        </w:rPr>
      </w:pPr>
    </w:p>
    <w:p>
      <w:pPr>
        <w:pStyle w:val="3"/>
        <w:numPr>
          <w:ilvl w:val="0"/>
          <w:numId w:val="0"/>
        </w:numPr>
        <w:ind w:leftChars="0"/>
        <w:jc w:val="center"/>
        <w:rPr>
          <w:rFonts w:hint="eastAsia" w:ascii="宋体" w:hAnsi="宋体" w:eastAsia="宋体" w:cs="宋体"/>
          <w:i w:val="0"/>
          <w:iCs w:val="0"/>
          <w:color w:val="auto"/>
          <w:highlight w:val="none"/>
        </w:rPr>
      </w:pPr>
    </w:p>
    <w:p>
      <w:pPr>
        <w:pStyle w:val="3"/>
        <w:numPr>
          <w:ilvl w:val="0"/>
          <w:numId w:val="0"/>
        </w:numPr>
        <w:ind w:leftChars="0"/>
        <w:jc w:val="center"/>
        <w:rPr>
          <w:rFonts w:hint="eastAsia" w:ascii="宋体" w:hAnsi="宋体" w:eastAsia="宋体" w:cs="宋体"/>
          <w:i w:val="0"/>
          <w:iCs w:val="0"/>
          <w:color w:val="auto"/>
          <w:highlight w:val="none"/>
        </w:rPr>
      </w:pPr>
    </w:p>
    <w:p>
      <w:pPr>
        <w:pStyle w:val="3"/>
        <w:numPr>
          <w:ilvl w:val="0"/>
          <w:numId w:val="0"/>
        </w:numPr>
        <w:ind w:leftChars="0"/>
        <w:jc w:val="center"/>
        <w:rPr>
          <w:rFonts w:hint="eastAsia" w:ascii="宋体" w:hAnsi="宋体" w:eastAsia="宋体" w:cs="宋体"/>
          <w:i w:val="0"/>
          <w:iCs w:val="0"/>
          <w:color w:val="auto"/>
          <w:highlight w:val="none"/>
        </w:rPr>
      </w:pPr>
    </w:p>
    <w:p>
      <w:pPr>
        <w:pStyle w:val="3"/>
        <w:numPr>
          <w:ilvl w:val="0"/>
          <w:numId w:val="0"/>
        </w:numPr>
        <w:ind w:leftChars="0"/>
        <w:jc w:val="center"/>
        <w:rPr>
          <w:rFonts w:hint="eastAsia" w:ascii="宋体" w:hAnsi="宋体" w:eastAsia="宋体" w:cs="宋体"/>
          <w:i w:val="0"/>
          <w:iCs w:val="0"/>
          <w:color w:val="auto"/>
          <w:highlight w:val="none"/>
        </w:rPr>
      </w:pPr>
    </w:p>
    <w:p>
      <w:pPr>
        <w:pStyle w:val="3"/>
        <w:numPr>
          <w:ilvl w:val="0"/>
          <w:numId w:val="0"/>
        </w:numPr>
        <w:ind w:leftChars="0"/>
        <w:jc w:val="center"/>
        <w:rPr>
          <w:rFonts w:hint="eastAsia" w:ascii="宋体" w:hAnsi="宋体" w:eastAsia="宋体" w:cs="宋体"/>
          <w:i w:val="0"/>
          <w:iCs w:val="0"/>
          <w:color w:val="auto"/>
          <w:highlight w:val="none"/>
        </w:rPr>
      </w:pPr>
    </w:p>
    <w:p>
      <w:pPr>
        <w:pStyle w:val="3"/>
        <w:numPr>
          <w:ilvl w:val="0"/>
          <w:numId w:val="0"/>
        </w:numPr>
        <w:ind w:leftChars="0"/>
        <w:jc w:val="center"/>
        <w:rPr>
          <w:rFonts w:hint="eastAsia" w:ascii="宋体" w:hAnsi="宋体" w:eastAsia="宋体" w:cs="宋体"/>
          <w:i w:val="0"/>
          <w:iCs w:val="0"/>
          <w:color w:val="auto"/>
          <w:highlight w:val="none"/>
        </w:rPr>
      </w:pPr>
    </w:p>
    <w:p>
      <w:pPr>
        <w:pStyle w:val="3"/>
        <w:numPr>
          <w:ilvl w:val="0"/>
          <w:numId w:val="0"/>
        </w:numPr>
        <w:ind w:leftChars="0"/>
        <w:jc w:val="center"/>
        <w:rPr>
          <w:rFonts w:hint="eastAsia" w:ascii="宋体" w:hAnsi="宋体" w:eastAsia="宋体" w:cs="宋体"/>
          <w:i w:val="0"/>
          <w:iCs w:val="0"/>
          <w:color w:val="auto"/>
          <w:highlight w:val="none"/>
        </w:rPr>
      </w:pPr>
    </w:p>
    <w:p>
      <w:pPr>
        <w:pStyle w:val="3"/>
        <w:numPr>
          <w:ilvl w:val="0"/>
          <w:numId w:val="0"/>
        </w:numPr>
        <w:ind w:leftChars="0"/>
        <w:jc w:val="center"/>
        <w:rPr>
          <w:rFonts w:hint="eastAsia" w:ascii="宋体" w:hAnsi="宋体" w:eastAsia="宋体" w:cs="宋体"/>
          <w:i w:val="0"/>
          <w:iCs w:val="0"/>
          <w:color w:val="auto"/>
          <w:highlight w:val="none"/>
        </w:rPr>
      </w:pPr>
    </w:p>
    <w:p>
      <w:pPr>
        <w:pStyle w:val="3"/>
        <w:numPr>
          <w:ilvl w:val="0"/>
          <w:numId w:val="0"/>
        </w:numPr>
        <w:ind w:leftChars="0"/>
        <w:jc w:val="center"/>
        <w:rPr>
          <w:rFonts w:hint="eastAsia" w:ascii="宋体" w:hAnsi="宋体" w:eastAsia="宋体" w:cs="宋体"/>
          <w:i w:val="0"/>
          <w:iCs w:val="0"/>
          <w:color w:val="auto"/>
          <w:highlight w:val="none"/>
        </w:rPr>
      </w:pPr>
    </w:p>
    <w:p>
      <w:pPr>
        <w:pStyle w:val="3"/>
        <w:numPr>
          <w:ilvl w:val="0"/>
          <w:numId w:val="0"/>
        </w:numPr>
        <w:ind w:leftChars="0"/>
        <w:jc w:val="center"/>
        <w:rPr>
          <w:rFonts w:hint="eastAsia" w:ascii="宋体" w:hAnsi="宋体" w:eastAsia="宋体" w:cs="宋体"/>
          <w:i w:val="0"/>
          <w:iCs w:val="0"/>
          <w:color w:val="auto"/>
          <w:highlight w:val="none"/>
        </w:rPr>
      </w:pPr>
    </w:p>
    <w:p>
      <w:pPr>
        <w:pStyle w:val="3"/>
        <w:numPr>
          <w:ilvl w:val="0"/>
          <w:numId w:val="0"/>
        </w:numPr>
        <w:ind w:leftChars="0"/>
        <w:jc w:val="center"/>
        <w:rPr>
          <w:rFonts w:hint="eastAsia" w:ascii="宋体" w:hAnsi="宋体" w:eastAsia="宋体" w:cs="宋体"/>
          <w:i w:val="0"/>
          <w:iCs w:val="0"/>
          <w:color w:val="auto"/>
          <w:highlight w:val="none"/>
        </w:rPr>
      </w:pPr>
    </w:p>
    <w:p>
      <w:pPr>
        <w:pStyle w:val="3"/>
        <w:numPr>
          <w:ilvl w:val="0"/>
          <w:numId w:val="0"/>
        </w:numPr>
        <w:ind w:leftChars="0"/>
        <w:jc w:val="center"/>
        <w:rPr>
          <w:rFonts w:hint="eastAsia" w:ascii="宋体" w:hAnsi="宋体" w:eastAsia="宋体" w:cs="宋体"/>
          <w:i w:val="0"/>
          <w:iCs w:val="0"/>
          <w:color w:val="auto"/>
          <w:highlight w:val="none"/>
        </w:rPr>
      </w:pPr>
    </w:p>
    <w:p>
      <w:pPr>
        <w:pStyle w:val="3"/>
        <w:numPr>
          <w:ilvl w:val="0"/>
          <w:numId w:val="0"/>
        </w:numPr>
        <w:ind w:leftChars="0"/>
        <w:jc w:val="center"/>
        <w:rPr>
          <w:rFonts w:hint="eastAsia" w:ascii="宋体" w:hAnsi="宋体" w:eastAsia="宋体" w:cs="宋体"/>
          <w:i w:val="0"/>
          <w:iCs w:val="0"/>
          <w:color w:val="auto"/>
          <w:highlight w:val="none"/>
        </w:rPr>
      </w:pPr>
    </w:p>
    <w:p>
      <w:pPr>
        <w:pStyle w:val="3"/>
        <w:numPr>
          <w:ilvl w:val="0"/>
          <w:numId w:val="0"/>
        </w:numPr>
        <w:ind w:leftChars="0"/>
        <w:jc w:val="center"/>
        <w:rPr>
          <w:rFonts w:hint="eastAsia" w:ascii="宋体" w:hAnsi="宋体" w:eastAsia="宋体" w:cs="宋体"/>
          <w:i w:val="0"/>
          <w:iCs w:val="0"/>
          <w:color w:val="auto"/>
          <w:highlight w:val="none"/>
        </w:rPr>
      </w:pPr>
    </w:p>
    <w:p>
      <w:pPr>
        <w:pStyle w:val="3"/>
        <w:numPr>
          <w:ilvl w:val="0"/>
          <w:numId w:val="0"/>
        </w:numPr>
        <w:ind w:leftChars="0"/>
        <w:jc w:val="center"/>
        <w:rPr>
          <w:rFonts w:hint="eastAsia" w:ascii="宋体" w:hAnsi="宋体" w:eastAsia="宋体" w:cs="宋体"/>
          <w:i w:val="0"/>
          <w:iCs w:val="0"/>
          <w:color w:val="auto"/>
          <w:highlight w:val="none"/>
        </w:rPr>
      </w:pPr>
    </w:p>
    <w:p>
      <w:pPr>
        <w:pStyle w:val="3"/>
        <w:numPr>
          <w:ilvl w:val="0"/>
          <w:numId w:val="0"/>
        </w:numPr>
        <w:ind w:leftChars="0"/>
        <w:jc w:val="center"/>
        <w:rPr>
          <w:rFonts w:hint="eastAsia" w:ascii="宋体" w:hAnsi="宋体" w:eastAsia="宋体" w:cs="宋体"/>
          <w:i w:val="0"/>
          <w:iCs w:val="0"/>
          <w:color w:val="auto"/>
          <w:highlight w:val="none"/>
        </w:rPr>
      </w:pPr>
    </w:p>
    <w:p>
      <w:pPr>
        <w:pStyle w:val="3"/>
        <w:numPr>
          <w:ilvl w:val="0"/>
          <w:numId w:val="0"/>
        </w:numPr>
        <w:ind w:leftChars="0"/>
        <w:jc w:val="center"/>
        <w:rPr>
          <w:rFonts w:hint="eastAsia" w:ascii="宋体" w:hAnsi="宋体" w:eastAsia="宋体" w:cs="宋体"/>
          <w:b/>
          <w:i w:val="0"/>
          <w:iCs w:val="0"/>
          <w:color w:val="auto"/>
          <w:spacing w:val="20"/>
          <w:kern w:val="2"/>
          <w:sz w:val="32"/>
          <w:szCs w:val="24"/>
          <w:highlight w:val="none"/>
          <w:lang w:val="en-US" w:eastAsia="zh-CN" w:bidi="ar-SA"/>
        </w:rPr>
      </w:pPr>
    </w:p>
    <w:p>
      <w:pPr>
        <w:pStyle w:val="8"/>
        <w:numPr>
          <w:ilvl w:val="0"/>
          <w:numId w:val="0"/>
        </w:numPr>
        <w:rPr>
          <w:rFonts w:hint="eastAsia"/>
          <w:color w:val="auto"/>
          <w:lang w:eastAsia="zh-CN"/>
        </w:rPr>
      </w:pPr>
    </w:p>
    <w:p>
      <w:pPr>
        <w:spacing w:line="360" w:lineRule="auto"/>
        <w:jc w:val="center"/>
        <w:outlineLvl w:val="1"/>
        <w:rPr>
          <w:rFonts w:hint="eastAsia" w:ascii="宋体" w:hAnsi="宋体" w:eastAsia="宋体" w:cs="宋体"/>
          <w:b/>
          <w:i w:val="0"/>
          <w:iCs w:val="0"/>
          <w:color w:val="auto"/>
          <w:spacing w:val="20"/>
          <w:kern w:val="2"/>
          <w:sz w:val="32"/>
          <w:szCs w:val="24"/>
          <w:highlight w:val="none"/>
          <w:lang w:val="en-US" w:eastAsia="zh-CN" w:bidi="ar-SA"/>
        </w:rPr>
      </w:pPr>
      <w:r>
        <w:rPr>
          <w:rFonts w:hint="eastAsia" w:ascii="宋体" w:hAnsi="宋体" w:eastAsia="宋体" w:cs="宋体"/>
          <w:b/>
          <w:i w:val="0"/>
          <w:iCs w:val="0"/>
          <w:color w:val="auto"/>
          <w:spacing w:val="20"/>
          <w:kern w:val="2"/>
          <w:sz w:val="32"/>
          <w:szCs w:val="24"/>
          <w:highlight w:val="none"/>
          <w:lang w:val="en-US" w:eastAsia="zh-CN" w:bidi="ar-SA"/>
        </w:rPr>
        <w:t>（一）投 标 函</w:t>
      </w:r>
    </w:p>
    <w:p>
      <w:pPr>
        <w:rPr>
          <w:rFonts w:hint="eastAsia"/>
          <w:lang w:eastAsia="zh-CN"/>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u w:val="single"/>
        </w:rPr>
        <w:t xml:space="preserve">                        </w:t>
      </w:r>
      <w:r>
        <w:rPr>
          <w:rFonts w:hint="eastAsia" w:ascii="宋体" w:hAnsi="宋体" w:eastAsia="宋体" w:cs="宋体"/>
          <w:i w:val="0"/>
          <w:iCs w:val="0"/>
          <w:color w:val="auto"/>
          <w:sz w:val="28"/>
          <w:szCs w:val="28"/>
          <w:highlight w:val="none"/>
        </w:rPr>
        <w:t>（招标人名称）：</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根据贵单位对</w:t>
      </w:r>
      <w:r>
        <w:rPr>
          <w:rFonts w:hint="eastAsia" w:ascii="宋体" w:hAnsi="宋体" w:eastAsia="宋体" w:cs="宋体"/>
          <w:i w:val="0"/>
          <w:iCs w:val="0"/>
          <w:color w:val="auto"/>
          <w:sz w:val="28"/>
          <w:szCs w:val="28"/>
          <w:highlight w:val="none"/>
          <w:u w:val="single"/>
          <w:lang w:eastAsia="zh-CN"/>
        </w:rPr>
        <w:t>（</w:t>
      </w:r>
      <w:r>
        <w:rPr>
          <w:rFonts w:hint="eastAsia" w:ascii="宋体" w:hAnsi="宋体" w:eastAsia="宋体" w:cs="宋体"/>
          <w:i w:val="0"/>
          <w:iCs w:val="0"/>
          <w:color w:val="auto"/>
          <w:sz w:val="28"/>
          <w:szCs w:val="28"/>
          <w:highlight w:val="none"/>
          <w:u w:val="single"/>
          <w:lang w:val="en-US" w:eastAsia="zh-CN"/>
        </w:rPr>
        <w:t>项目名称</w:t>
      </w:r>
      <w:r>
        <w:rPr>
          <w:rFonts w:hint="eastAsia" w:ascii="宋体" w:hAnsi="宋体" w:eastAsia="宋体" w:cs="宋体"/>
          <w:i w:val="0"/>
          <w:iCs w:val="0"/>
          <w:color w:val="auto"/>
          <w:sz w:val="28"/>
          <w:szCs w:val="28"/>
          <w:highlight w:val="none"/>
          <w:u w:val="single"/>
          <w:lang w:eastAsia="zh-CN"/>
        </w:rPr>
        <w:t>）</w:t>
      </w:r>
      <w:r>
        <w:rPr>
          <w:rFonts w:hint="eastAsia" w:ascii="宋体" w:hAnsi="宋体" w:eastAsia="宋体" w:cs="宋体"/>
          <w:i w:val="0"/>
          <w:iCs w:val="0"/>
          <w:color w:val="auto"/>
          <w:sz w:val="28"/>
          <w:szCs w:val="28"/>
          <w:highlight w:val="none"/>
          <w:u w:val="single"/>
          <w:lang w:val="en-US" w:eastAsia="zh-CN"/>
        </w:rPr>
        <w:t xml:space="preserve">    </w:t>
      </w:r>
      <w:r>
        <w:rPr>
          <w:rFonts w:hint="eastAsia" w:ascii="宋体" w:hAnsi="宋体" w:eastAsia="宋体" w:cs="宋体"/>
          <w:i w:val="0"/>
          <w:iCs w:val="0"/>
          <w:color w:val="auto"/>
          <w:sz w:val="28"/>
          <w:szCs w:val="28"/>
          <w:highlight w:val="none"/>
        </w:rPr>
        <w:t xml:space="preserve"> 的竞争性磋商文件（项目编号：</w:t>
      </w:r>
      <w:r>
        <w:rPr>
          <w:rFonts w:hint="eastAsia" w:ascii="宋体" w:hAnsi="宋体" w:eastAsia="宋体" w:cs="宋体"/>
          <w:i w:val="0"/>
          <w:iCs w:val="0"/>
          <w:color w:val="auto"/>
          <w:sz w:val="28"/>
          <w:szCs w:val="28"/>
          <w:highlight w:val="none"/>
          <w:u w:val="single"/>
          <w:lang w:val="en-US" w:eastAsia="zh-CN"/>
        </w:rPr>
        <w:t xml:space="preserve">           </w:t>
      </w:r>
      <w:r>
        <w:rPr>
          <w:rFonts w:hint="eastAsia" w:ascii="宋体" w:hAnsi="宋体" w:eastAsia="宋体" w:cs="宋体"/>
          <w:i w:val="0"/>
          <w:iCs w:val="0"/>
          <w:color w:val="auto"/>
          <w:sz w:val="28"/>
          <w:szCs w:val="28"/>
          <w:highlight w:val="none"/>
        </w:rPr>
        <w:t>），我公司经研究，决定参与本次竞争性磋商，并提交本项目响应文件正本壹份和副本</w:t>
      </w:r>
      <w:r>
        <w:rPr>
          <w:rFonts w:hint="eastAsia" w:ascii="宋体" w:hAnsi="宋体" w:eastAsia="宋体" w:cs="宋体"/>
          <w:i w:val="0"/>
          <w:iCs w:val="0"/>
          <w:color w:val="auto"/>
          <w:sz w:val="28"/>
          <w:szCs w:val="28"/>
          <w:highlight w:val="none"/>
          <w:lang w:val="en-US" w:eastAsia="zh-CN"/>
        </w:rPr>
        <w:t>叁</w:t>
      </w:r>
      <w:r>
        <w:rPr>
          <w:rFonts w:hint="eastAsia" w:ascii="宋体" w:hAnsi="宋体" w:eastAsia="宋体" w:cs="宋体"/>
          <w:i w:val="0"/>
          <w:iCs w:val="0"/>
          <w:color w:val="auto"/>
          <w:sz w:val="28"/>
          <w:szCs w:val="28"/>
          <w:highlight w:val="none"/>
        </w:rPr>
        <w:t>份。</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据此函，我公司承诺如下：</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1. 我公司将按磋商文件的规定履行合同责任和义务。</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 xml:space="preserve">2. 我公司已详细审查全部磋商文件，包括修改文件（如有的话）以及全部参考资料和有关附件。我公司完全理解并同意放弃对这方面有不明及误解的权利。 </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3. 我公司同意提供按照贵单位可能要求的与其竞争性磋商有关的一切数据或资料。</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4. 我公司愿意遵守磋商文件中对供应商的所有规定。</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5. 一旦我公司成交，我公司愿意履行自己在响应文件中的全部承诺和责任。</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6. 我公司知道如用虚假材料或恶意方式向贵单位提出质疑，将承担相应的法律责任。同时承诺：我公司如果有上述行为，将无条件承担贵单位相关的调查论证费用。我公司同意提供按贵单位可能要求的与其竞争性磋商有关的一切数据或资料。</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7. 不一定要接受最低报价的谈判或收到的任何谈判。</w:t>
      </w:r>
    </w:p>
    <w:p>
      <w:pPr>
        <w:ind w:firstLine="560" w:firstLineChars="200"/>
        <w:rPr>
          <w:rFonts w:hint="default"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lang w:val="en-US" w:eastAsia="zh-CN"/>
        </w:rPr>
        <w:t>8. 我方完全理解贵方不承诺每个成交供应商可承接到的项目数量和金额。</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lang w:val="en-US" w:eastAsia="zh-CN"/>
        </w:rPr>
        <w:t>9</w:t>
      </w:r>
      <w:r>
        <w:rPr>
          <w:rFonts w:hint="eastAsia" w:ascii="宋体" w:hAnsi="宋体" w:eastAsia="宋体" w:cs="宋体"/>
          <w:i w:val="0"/>
          <w:iCs w:val="0"/>
          <w:color w:val="auto"/>
          <w:sz w:val="28"/>
          <w:szCs w:val="28"/>
          <w:highlight w:val="none"/>
        </w:rPr>
        <w:t>. 本次竞争性磋商有关的一切正式往来通讯请寄：</w:t>
      </w:r>
    </w:p>
    <w:p>
      <w:pPr>
        <w:ind w:firstLine="560" w:firstLineChars="200"/>
        <w:rPr>
          <w:rFonts w:hint="eastAsia" w:ascii="宋体" w:hAnsi="宋体" w:eastAsia="宋体" w:cs="宋体"/>
          <w:i w:val="0"/>
          <w:iCs w:val="0"/>
          <w:color w:val="auto"/>
          <w:sz w:val="28"/>
          <w:szCs w:val="28"/>
          <w:highlight w:val="none"/>
        </w:rPr>
      </w:pPr>
    </w:p>
    <w:p>
      <w:pPr>
        <w:ind w:firstLine="560" w:firstLineChars="200"/>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 xml:space="preserve">地址：                           </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邮编：</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 xml:space="preserve">电话：                           </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传真：</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供应商名称（加盖公章）：</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法定代表人或授权代表（签字）：</w:t>
      </w:r>
    </w:p>
    <w:p>
      <w:pPr>
        <w:jc w:val="right"/>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日    期：</w:t>
      </w:r>
      <w:r>
        <w:rPr>
          <w:rFonts w:hint="eastAsia" w:ascii="宋体" w:hAnsi="宋体" w:eastAsia="宋体" w:cs="宋体"/>
          <w:i w:val="0"/>
          <w:iCs w:val="0"/>
          <w:color w:val="auto"/>
          <w:sz w:val="28"/>
          <w:szCs w:val="28"/>
          <w:highlight w:val="none"/>
          <w:u w:val="single"/>
          <w:lang w:val="en-US" w:eastAsia="zh-CN"/>
        </w:rPr>
        <w:t xml:space="preserve">     </w:t>
      </w:r>
      <w:r>
        <w:rPr>
          <w:rFonts w:hint="eastAsia" w:ascii="宋体" w:hAnsi="宋体" w:eastAsia="宋体" w:cs="宋体"/>
          <w:i w:val="0"/>
          <w:iCs w:val="0"/>
          <w:color w:val="auto"/>
          <w:sz w:val="28"/>
          <w:szCs w:val="28"/>
          <w:highlight w:val="none"/>
        </w:rPr>
        <w:t>年</w:t>
      </w:r>
      <w:r>
        <w:rPr>
          <w:rFonts w:hint="eastAsia" w:ascii="宋体" w:hAnsi="宋体" w:eastAsia="宋体" w:cs="宋体"/>
          <w:i w:val="0"/>
          <w:iCs w:val="0"/>
          <w:color w:val="auto"/>
          <w:sz w:val="28"/>
          <w:szCs w:val="28"/>
          <w:highlight w:val="none"/>
          <w:u w:val="single"/>
          <w:lang w:val="en-US" w:eastAsia="zh-CN"/>
        </w:rPr>
        <w:t xml:space="preserve">     </w:t>
      </w:r>
      <w:r>
        <w:rPr>
          <w:rFonts w:hint="eastAsia" w:ascii="宋体" w:hAnsi="宋体" w:eastAsia="宋体" w:cs="宋体"/>
          <w:i w:val="0"/>
          <w:iCs w:val="0"/>
          <w:color w:val="auto"/>
          <w:sz w:val="28"/>
          <w:szCs w:val="28"/>
          <w:highlight w:val="none"/>
        </w:rPr>
        <w:t>月</w:t>
      </w:r>
      <w:r>
        <w:rPr>
          <w:rFonts w:hint="eastAsia" w:ascii="宋体" w:hAnsi="宋体" w:eastAsia="宋体" w:cs="宋体"/>
          <w:i w:val="0"/>
          <w:iCs w:val="0"/>
          <w:color w:val="auto"/>
          <w:sz w:val="28"/>
          <w:szCs w:val="28"/>
          <w:highlight w:val="none"/>
          <w:u w:val="single"/>
          <w:lang w:val="en-US" w:eastAsia="zh-CN"/>
        </w:rPr>
        <w:t xml:space="preserve">     </w:t>
      </w:r>
      <w:r>
        <w:rPr>
          <w:rFonts w:hint="eastAsia" w:ascii="宋体" w:hAnsi="宋体" w:eastAsia="宋体" w:cs="宋体"/>
          <w:i w:val="0"/>
          <w:iCs w:val="0"/>
          <w:color w:val="auto"/>
          <w:sz w:val="28"/>
          <w:szCs w:val="28"/>
          <w:highlight w:val="none"/>
        </w:rPr>
        <w:t>日</w:t>
      </w:r>
    </w:p>
    <w:p>
      <w:pPr>
        <w:spacing w:line="450" w:lineRule="atLeast"/>
        <w:rPr>
          <w:rFonts w:hint="eastAsia" w:ascii="宋体" w:hAnsi="宋体" w:eastAsia="宋体" w:cs="宋体"/>
          <w:i w:val="0"/>
          <w:iCs w:val="0"/>
          <w:color w:val="auto"/>
          <w:highlight w:val="none"/>
        </w:rPr>
      </w:pPr>
      <w:bookmarkStart w:id="45" w:name="_Toc460703986"/>
      <w:bookmarkStart w:id="46" w:name="_Toc424212008"/>
    </w:p>
    <w:p>
      <w:pPr>
        <w:spacing w:line="450" w:lineRule="atLeast"/>
        <w:rPr>
          <w:rFonts w:hint="eastAsia" w:ascii="宋体" w:hAnsi="宋体" w:eastAsia="宋体" w:cs="宋体"/>
          <w:i w:val="0"/>
          <w:iCs w:val="0"/>
          <w:color w:val="auto"/>
          <w:highlight w:val="none"/>
        </w:rPr>
      </w:pPr>
    </w:p>
    <w:p>
      <w:pPr>
        <w:spacing w:line="360" w:lineRule="auto"/>
        <w:jc w:val="center"/>
        <w:outlineLvl w:val="1"/>
        <w:rPr>
          <w:rFonts w:hint="eastAsia" w:ascii="宋体" w:hAnsi="宋体" w:eastAsia="宋体" w:cs="宋体"/>
          <w:b/>
          <w:i w:val="0"/>
          <w:iCs w:val="0"/>
          <w:color w:val="auto"/>
          <w:spacing w:val="20"/>
          <w:kern w:val="2"/>
          <w:sz w:val="32"/>
          <w:szCs w:val="24"/>
          <w:highlight w:val="none"/>
          <w:lang w:val="en-US" w:eastAsia="zh-CN" w:bidi="ar-SA"/>
        </w:rPr>
      </w:pPr>
    </w:p>
    <w:p>
      <w:pPr>
        <w:spacing w:line="360" w:lineRule="auto"/>
        <w:jc w:val="center"/>
        <w:outlineLvl w:val="1"/>
        <w:rPr>
          <w:rFonts w:hint="eastAsia" w:ascii="宋体" w:hAnsi="宋体" w:eastAsia="宋体" w:cs="宋体"/>
          <w:b/>
          <w:i w:val="0"/>
          <w:iCs w:val="0"/>
          <w:color w:val="auto"/>
          <w:spacing w:val="20"/>
          <w:kern w:val="2"/>
          <w:sz w:val="32"/>
          <w:szCs w:val="24"/>
          <w:highlight w:val="none"/>
          <w:lang w:val="en-US" w:eastAsia="zh-CN" w:bidi="ar-SA"/>
        </w:rPr>
      </w:pPr>
      <w:r>
        <w:rPr>
          <w:rFonts w:hint="eastAsia" w:ascii="宋体" w:hAnsi="宋体" w:eastAsia="宋体" w:cs="宋体"/>
          <w:b/>
          <w:i w:val="0"/>
          <w:iCs w:val="0"/>
          <w:color w:val="auto"/>
          <w:spacing w:val="20"/>
          <w:kern w:val="2"/>
          <w:sz w:val="32"/>
          <w:szCs w:val="24"/>
          <w:highlight w:val="none"/>
          <w:lang w:val="en-US" w:eastAsia="zh-CN" w:bidi="ar-SA"/>
        </w:rPr>
        <w:t>（二）、法定代表人身份证明</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投标人名称：</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单位性质：</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成立时间：</w:t>
      </w:r>
      <w:r>
        <w:rPr>
          <w:rFonts w:hint="eastAsia" w:ascii="宋体" w:hAnsi="宋体" w:cs="宋体"/>
          <w:color w:val="auto"/>
          <w:sz w:val="24"/>
          <w:u w:val="single"/>
        </w:rPr>
        <w:t xml:space="preserve">            </w:t>
      </w:r>
      <w:r>
        <w:rPr>
          <w:rFonts w:hint="eastAsia" w:ascii="宋体" w:hAnsi="宋体" w:cs="宋体"/>
          <w:color w:val="auto"/>
          <w:sz w:val="24"/>
        </w:rPr>
        <w:t xml:space="preserve"> 年</w:t>
      </w:r>
      <w:r>
        <w:rPr>
          <w:rFonts w:hint="eastAsia" w:ascii="宋体" w:hAnsi="宋体" w:cs="宋体"/>
          <w:color w:val="auto"/>
          <w:sz w:val="24"/>
          <w:u w:val="single"/>
        </w:rPr>
        <w:t xml:space="preserve">       </w:t>
      </w:r>
      <w:r>
        <w:rPr>
          <w:rFonts w:hint="eastAsia" w:ascii="宋体" w:hAnsi="宋体" w:cs="宋体"/>
          <w:color w:val="auto"/>
          <w:sz w:val="24"/>
        </w:rPr>
        <w:t xml:space="preserve"> 月</w:t>
      </w:r>
      <w:r>
        <w:rPr>
          <w:rFonts w:hint="eastAsia" w:ascii="宋体" w:hAnsi="宋体" w:cs="宋体"/>
          <w:color w:val="auto"/>
          <w:sz w:val="24"/>
          <w:u w:val="single"/>
        </w:rPr>
        <w:t xml:space="preserve">       </w:t>
      </w:r>
      <w:r>
        <w:rPr>
          <w:rFonts w:hint="eastAsia" w:ascii="宋体" w:hAnsi="宋体" w:cs="宋体"/>
          <w:color w:val="auto"/>
          <w:sz w:val="24"/>
        </w:rPr>
        <w:t xml:space="preserve"> 日</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经营期限：</w:t>
      </w:r>
      <w:r>
        <w:rPr>
          <w:rFonts w:hint="eastAsia" w:ascii="宋体" w:hAnsi="宋体" w:cs="宋体"/>
          <w:color w:val="auto"/>
          <w:sz w:val="24"/>
          <w:u w:val="single"/>
        </w:rPr>
        <w:t xml:space="preserve">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姓    名：</w:t>
      </w:r>
      <w:r>
        <w:rPr>
          <w:rFonts w:hint="eastAsia" w:ascii="宋体" w:hAnsi="宋体" w:cs="宋体"/>
          <w:color w:val="auto"/>
          <w:sz w:val="24"/>
          <w:u w:val="single"/>
        </w:rPr>
        <w:t xml:space="preserve">                        </w:t>
      </w:r>
      <w:r>
        <w:rPr>
          <w:rFonts w:hint="eastAsia" w:ascii="宋体" w:hAnsi="宋体" w:cs="宋体"/>
          <w:color w:val="auto"/>
          <w:sz w:val="24"/>
        </w:rPr>
        <w:t xml:space="preserve"> 性别：</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年    龄：</w:t>
      </w:r>
      <w:r>
        <w:rPr>
          <w:rFonts w:hint="eastAsia" w:ascii="宋体" w:hAnsi="宋体" w:cs="宋体"/>
          <w:color w:val="auto"/>
          <w:sz w:val="24"/>
          <w:u w:val="single"/>
        </w:rPr>
        <w:t xml:space="preserve">                         </w:t>
      </w:r>
      <w:r>
        <w:rPr>
          <w:rFonts w:hint="eastAsia" w:ascii="宋体" w:hAnsi="宋体" w:cs="宋体"/>
          <w:color w:val="auto"/>
          <w:sz w:val="24"/>
        </w:rPr>
        <w:t>职务：</w:t>
      </w:r>
      <w:r>
        <w:rPr>
          <w:rFonts w:hint="eastAsia" w:ascii="宋体" w:hAnsi="宋体" w:cs="宋体"/>
          <w:color w:val="auto"/>
          <w:sz w:val="24"/>
          <w:u w:val="single"/>
        </w:rPr>
        <w:t xml:space="preserve">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系</w:t>
      </w:r>
      <w:r>
        <w:rPr>
          <w:rFonts w:hint="eastAsia" w:ascii="宋体" w:hAnsi="宋体" w:cs="宋体"/>
          <w:color w:val="auto"/>
          <w:sz w:val="24"/>
          <w:u w:val="single"/>
        </w:rPr>
        <w:t xml:space="preserve">                          </w:t>
      </w:r>
      <w:r>
        <w:rPr>
          <w:rFonts w:hint="eastAsia" w:ascii="宋体" w:hAnsi="宋体" w:cs="宋体"/>
          <w:color w:val="auto"/>
          <w:sz w:val="24"/>
        </w:rPr>
        <w:t xml:space="preserve"> （投标人名称）的法定代表人。</w:t>
      </w:r>
    </w:p>
    <w:p>
      <w:pPr>
        <w:spacing w:line="360" w:lineRule="auto"/>
        <w:ind w:firstLine="960" w:firstLineChars="400"/>
        <w:rPr>
          <w:rFonts w:hint="eastAsia" w:ascii="宋体" w:hAnsi="宋体" w:cs="宋体"/>
          <w:color w:val="auto"/>
          <w:sz w:val="24"/>
        </w:rPr>
      </w:pPr>
      <w:r>
        <w:rPr>
          <w:rFonts w:hint="eastAsia" w:ascii="宋体" w:hAnsi="宋体" w:cs="宋体"/>
          <w:color w:val="auto"/>
          <w:sz w:val="24"/>
        </w:rPr>
        <w:t>特此证明。</w:t>
      </w:r>
    </w:p>
    <w:p>
      <w:pPr>
        <w:spacing w:line="360" w:lineRule="auto"/>
        <w:rPr>
          <w:rFonts w:hint="eastAsia" w:ascii="宋体" w:hAnsi="宋体" w:cs="宋体"/>
          <w:color w:val="auto"/>
          <w:sz w:val="24"/>
        </w:rPr>
      </w:pPr>
      <w:r>
        <w:rPr>
          <w:rFonts w:hint="eastAsia" w:ascii="宋体" w:hAnsi="宋体" w:cs="宋体"/>
          <w:color w:val="auto"/>
          <w:sz w:val="24"/>
        </w:rPr>
        <w:t>注：后附法定代表人身份证复印件</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pStyle w:val="8"/>
        <w:rPr>
          <w:rFonts w:hint="eastAsia" w:ascii="宋体" w:hAnsi="宋体" w:cs="宋体"/>
          <w:color w:val="auto"/>
          <w:sz w:val="24"/>
        </w:rPr>
      </w:pPr>
    </w:p>
    <w:p>
      <w:pPr>
        <w:pStyle w:val="17"/>
        <w:rPr>
          <w:rFonts w:hint="eastAsia" w:ascii="宋体" w:hAnsi="宋体" w:cs="宋体"/>
          <w:color w:val="auto"/>
          <w:sz w:val="24"/>
        </w:rPr>
      </w:pPr>
    </w:p>
    <w:p>
      <w:pPr>
        <w:rPr>
          <w:rFonts w:hint="eastAsia"/>
          <w:color w:val="auto"/>
        </w:rPr>
      </w:pPr>
    </w:p>
    <w:p>
      <w:pPr>
        <w:spacing w:line="360" w:lineRule="auto"/>
        <w:rPr>
          <w:rFonts w:hint="eastAsia" w:ascii="宋体" w:hAnsi="宋体" w:cs="宋体"/>
          <w:color w:val="auto"/>
          <w:sz w:val="24"/>
        </w:rPr>
      </w:pPr>
      <w:r>
        <w:rPr>
          <w:rFonts w:hint="eastAsia" w:ascii="宋体" w:hAnsi="宋体" w:cs="宋体"/>
          <w:color w:val="auto"/>
          <w:sz w:val="24"/>
        </w:rPr>
        <w:t xml:space="preserve">                                  投标人：</w:t>
      </w:r>
      <w:r>
        <w:rPr>
          <w:rFonts w:hint="eastAsia" w:ascii="宋体" w:hAnsi="宋体" w:cs="宋体"/>
          <w:color w:val="auto"/>
          <w:sz w:val="24"/>
          <w:u w:val="single"/>
        </w:rPr>
        <w:t xml:space="preserve">                       </w:t>
      </w:r>
      <w:r>
        <w:rPr>
          <w:rFonts w:hint="eastAsia" w:ascii="宋体" w:hAnsi="宋体" w:cs="宋体"/>
          <w:color w:val="auto"/>
          <w:sz w:val="24"/>
        </w:rPr>
        <w:t>（盖单位章）</w:t>
      </w:r>
    </w:p>
    <w:p>
      <w:pPr>
        <w:spacing w:line="360" w:lineRule="auto"/>
        <w:rPr>
          <w:rFonts w:hint="eastAsia" w:ascii="宋体" w:hAnsi="宋体" w:cs="宋体"/>
          <w:color w:val="auto"/>
          <w:sz w:val="24"/>
        </w:rPr>
      </w:pPr>
      <w:r>
        <w:rPr>
          <w:rFonts w:hint="eastAsia" w:ascii="宋体" w:hAnsi="宋体" w:cs="宋体"/>
          <w:color w:val="auto"/>
          <w:sz w:val="24"/>
        </w:rPr>
        <w:t xml:space="preserve">                            法定代表或委托代理人：</w:t>
      </w:r>
      <w:r>
        <w:rPr>
          <w:rFonts w:hint="eastAsia" w:ascii="宋体" w:hAnsi="宋体" w:cs="宋体"/>
          <w:color w:val="auto"/>
          <w:sz w:val="24"/>
          <w:u w:val="single"/>
        </w:rPr>
        <w:t xml:space="preserve">             </w:t>
      </w:r>
      <w:r>
        <w:rPr>
          <w:rFonts w:hint="eastAsia" w:ascii="宋体" w:hAnsi="宋体" w:cs="宋体"/>
          <w:color w:val="auto"/>
          <w:sz w:val="24"/>
        </w:rPr>
        <w:t>（签</w:t>
      </w:r>
      <w:r>
        <w:rPr>
          <w:rFonts w:hint="eastAsia" w:ascii="宋体" w:hAnsi="宋体" w:cs="宋体"/>
          <w:color w:val="auto"/>
          <w:sz w:val="24"/>
          <w:lang w:eastAsia="zh-CN"/>
        </w:rPr>
        <w:t>字或盖</w:t>
      </w:r>
      <w:r>
        <w:rPr>
          <w:rFonts w:hint="eastAsia" w:ascii="宋体" w:hAnsi="宋体" w:cs="宋体"/>
          <w:color w:val="auto"/>
          <w:sz w:val="24"/>
        </w:rPr>
        <w:t>章）</w:t>
      </w:r>
    </w:p>
    <w:p>
      <w:pPr>
        <w:spacing w:line="360" w:lineRule="auto"/>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 xml:space="preserve">日 </w:t>
      </w:r>
    </w:p>
    <w:p>
      <w:pPr>
        <w:pStyle w:val="24"/>
        <w:rPr>
          <w:rFonts w:hint="eastAsia" w:hAnsi="宋体"/>
          <w:color w:val="auto"/>
        </w:rPr>
      </w:pPr>
    </w:p>
    <w:p>
      <w:pPr>
        <w:pStyle w:val="24"/>
        <w:rPr>
          <w:rFonts w:hint="eastAsia" w:hAnsi="宋体"/>
          <w:color w:val="auto"/>
        </w:rPr>
      </w:pPr>
    </w:p>
    <w:p>
      <w:pPr>
        <w:pStyle w:val="24"/>
        <w:rPr>
          <w:rFonts w:hint="eastAsia" w:hAnsi="宋体"/>
          <w:color w:val="auto"/>
        </w:rPr>
      </w:pPr>
    </w:p>
    <w:p>
      <w:pPr>
        <w:pStyle w:val="24"/>
        <w:rPr>
          <w:rFonts w:hint="eastAsia" w:hAnsi="宋体"/>
          <w:color w:val="auto"/>
        </w:rPr>
      </w:pPr>
    </w:p>
    <w:p>
      <w:pPr>
        <w:pStyle w:val="24"/>
        <w:rPr>
          <w:rFonts w:hint="eastAsia" w:hAnsi="宋体"/>
          <w:color w:val="auto"/>
        </w:rPr>
      </w:pPr>
    </w:p>
    <w:p>
      <w:pPr>
        <w:pStyle w:val="24"/>
        <w:rPr>
          <w:rFonts w:hint="eastAsia" w:hAnsi="宋体"/>
          <w:color w:val="auto"/>
        </w:rPr>
      </w:pPr>
    </w:p>
    <w:p>
      <w:pPr>
        <w:pStyle w:val="24"/>
        <w:rPr>
          <w:rFonts w:hint="eastAsia" w:hAnsi="宋体"/>
          <w:color w:val="auto"/>
        </w:rPr>
      </w:pPr>
    </w:p>
    <w:p>
      <w:pPr>
        <w:pStyle w:val="24"/>
        <w:rPr>
          <w:rFonts w:hint="eastAsia" w:hAnsi="宋体"/>
          <w:color w:val="auto"/>
        </w:rPr>
      </w:pPr>
    </w:p>
    <w:p>
      <w:pPr>
        <w:pStyle w:val="24"/>
        <w:rPr>
          <w:rFonts w:hint="eastAsia" w:hAnsi="宋体"/>
          <w:color w:val="auto"/>
        </w:rPr>
      </w:pPr>
    </w:p>
    <w:p>
      <w:pPr>
        <w:pStyle w:val="24"/>
        <w:rPr>
          <w:rFonts w:hint="eastAsia" w:hAnsi="宋体"/>
          <w:color w:val="auto"/>
        </w:rPr>
      </w:pPr>
    </w:p>
    <w:p>
      <w:pPr>
        <w:pStyle w:val="24"/>
        <w:rPr>
          <w:rFonts w:hint="eastAsia" w:hAnsi="宋体"/>
          <w:color w:val="auto"/>
        </w:rPr>
      </w:pPr>
    </w:p>
    <w:p>
      <w:pPr>
        <w:pStyle w:val="24"/>
        <w:rPr>
          <w:rFonts w:hint="eastAsia" w:hAnsi="宋体"/>
          <w:color w:val="auto"/>
        </w:rPr>
      </w:pPr>
    </w:p>
    <w:p>
      <w:pPr>
        <w:pStyle w:val="24"/>
        <w:rPr>
          <w:rFonts w:hint="eastAsia" w:hAnsi="宋体"/>
          <w:color w:val="auto"/>
        </w:rPr>
      </w:pPr>
    </w:p>
    <w:p>
      <w:pPr>
        <w:pStyle w:val="24"/>
        <w:rPr>
          <w:rFonts w:hint="eastAsia" w:hAnsi="宋体"/>
          <w:color w:val="auto"/>
        </w:rPr>
      </w:pPr>
    </w:p>
    <w:p>
      <w:pPr>
        <w:pStyle w:val="24"/>
        <w:rPr>
          <w:rFonts w:hint="eastAsia" w:hAnsi="宋体"/>
          <w:color w:val="auto"/>
        </w:rPr>
      </w:pPr>
    </w:p>
    <w:p>
      <w:pPr>
        <w:spacing w:line="360" w:lineRule="auto"/>
        <w:rPr>
          <w:rFonts w:hint="eastAsia" w:ascii="宋体" w:hAnsi="宋体" w:cs="宋体"/>
          <w:color w:val="auto"/>
          <w:sz w:val="24"/>
        </w:rPr>
      </w:pPr>
    </w:p>
    <w:p>
      <w:pPr>
        <w:tabs>
          <w:tab w:val="center" w:pos="7115"/>
          <w:tab w:val="right" w:pos="14230"/>
        </w:tabs>
        <w:spacing w:line="360" w:lineRule="auto"/>
        <w:jc w:val="center"/>
        <w:outlineLvl w:val="1"/>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rPr>
        <w:t>（三）、法定代表人的授权委托书</w:t>
      </w:r>
    </w:p>
    <w:p>
      <w:pPr>
        <w:spacing w:line="360" w:lineRule="auto"/>
        <w:rPr>
          <w:rFonts w:hint="eastAsia" w:ascii="宋体" w:hAnsi="宋体" w:cs="宋体"/>
          <w:color w:val="auto"/>
          <w:sz w:val="24"/>
        </w:rPr>
      </w:pPr>
    </w:p>
    <w:p>
      <w:pPr>
        <w:topLinePunct/>
        <w:spacing w:line="360" w:lineRule="auto"/>
        <w:ind w:firstLine="480" w:firstLineChars="200"/>
        <w:rPr>
          <w:rFonts w:hint="eastAsia" w:ascii="宋体" w:hAnsi="宋体" w:cs="宋体"/>
          <w:color w:val="auto"/>
          <w:sz w:val="24"/>
        </w:rPr>
      </w:pPr>
      <w:r>
        <w:rPr>
          <w:rFonts w:hint="eastAsia" w:ascii="宋体" w:hAnsi="宋体" w:cs="宋体"/>
          <w:color w:val="auto"/>
          <w:sz w:val="24"/>
        </w:rPr>
        <w:t>本人</w:t>
      </w:r>
      <w:r>
        <w:rPr>
          <w:rFonts w:hint="eastAsia" w:ascii="宋体" w:hAnsi="宋体" w:cs="宋体"/>
          <w:color w:val="auto"/>
          <w:sz w:val="24"/>
          <w:u w:val="single"/>
        </w:rPr>
        <w:t xml:space="preserve">           </w:t>
      </w:r>
      <w:r>
        <w:rPr>
          <w:rFonts w:hint="eastAsia" w:ascii="宋体" w:hAnsi="宋体" w:cs="宋体"/>
          <w:color w:val="auto"/>
          <w:sz w:val="24"/>
        </w:rPr>
        <w:t>（姓名）系</w:t>
      </w:r>
      <w:r>
        <w:rPr>
          <w:rFonts w:hint="eastAsia" w:ascii="宋体" w:hAnsi="宋体" w:cs="宋体"/>
          <w:color w:val="auto"/>
          <w:sz w:val="24"/>
          <w:u w:val="single"/>
        </w:rPr>
        <w:t xml:space="preserve">          </w:t>
      </w:r>
      <w:r>
        <w:rPr>
          <w:rFonts w:hint="eastAsia" w:ascii="宋体" w:hAnsi="宋体" w:cs="宋体"/>
          <w:color w:val="auto"/>
          <w:sz w:val="24"/>
        </w:rPr>
        <w:t>（投标人名称）的法定代表人，现委托</w:t>
      </w:r>
      <w:r>
        <w:rPr>
          <w:rFonts w:hint="eastAsia" w:ascii="宋体" w:hAnsi="宋体" w:cs="宋体"/>
          <w:color w:val="auto"/>
          <w:sz w:val="24"/>
          <w:u w:val="single"/>
        </w:rPr>
        <w:t xml:space="preserve">    </w:t>
      </w:r>
      <w:r>
        <w:rPr>
          <w:rFonts w:hint="eastAsia" w:ascii="宋体" w:hAnsi="宋体" w:cs="宋体"/>
          <w:color w:val="auto"/>
          <w:sz w:val="24"/>
        </w:rPr>
        <w:t>（姓名）为我方代理人。代理人根据授权，以我方名义签署、澄清、说明、补正、递交、撤回、修改</w:t>
      </w:r>
      <w:r>
        <w:rPr>
          <w:rFonts w:hint="eastAsia" w:ascii="宋体" w:hAnsi="宋体" w:cs="宋体"/>
          <w:color w:val="auto"/>
          <w:sz w:val="24"/>
          <w:u w:val="single"/>
        </w:rPr>
        <w:t xml:space="preserve">           </w:t>
      </w: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lang w:eastAsia="zh-CN"/>
        </w:rPr>
        <w:t>响应文件</w:t>
      </w:r>
      <w:r>
        <w:rPr>
          <w:rFonts w:hint="eastAsia" w:ascii="宋体" w:hAnsi="宋体" w:cs="宋体"/>
          <w:color w:val="auto"/>
          <w:sz w:val="24"/>
        </w:rPr>
        <w:t>、签订合同和处理有关事宜，其法律后果由我方承担。</w:t>
      </w:r>
    </w:p>
    <w:p>
      <w:pPr>
        <w:spacing w:line="360" w:lineRule="auto"/>
        <w:rPr>
          <w:rFonts w:hint="eastAsia" w:ascii="宋体" w:hAnsi="宋体" w:cs="宋体"/>
          <w:color w:val="auto"/>
          <w:sz w:val="24"/>
        </w:rPr>
      </w:pPr>
      <w:r>
        <w:rPr>
          <w:rFonts w:hint="eastAsia" w:ascii="宋体" w:hAnsi="宋体" w:cs="宋体"/>
          <w:color w:val="auto"/>
          <w:sz w:val="24"/>
        </w:rPr>
        <w:t xml:space="preserve">    </w:t>
      </w:r>
    </w:p>
    <w:p>
      <w:pPr>
        <w:spacing w:line="360" w:lineRule="auto"/>
        <w:rPr>
          <w:rFonts w:hint="eastAsia" w:ascii="宋体" w:hAnsi="宋体" w:cs="宋体"/>
          <w:color w:val="auto"/>
          <w:sz w:val="24"/>
        </w:rPr>
      </w:pPr>
      <w:r>
        <w:rPr>
          <w:rFonts w:hint="eastAsia" w:ascii="宋体" w:hAnsi="宋体" w:cs="宋体"/>
          <w:color w:val="auto"/>
          <w:sz w:val="24"/>
        </w:rPr>
        <w:t xml:space="preserve">    委托期限：</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代理人无转委托权。</w:t>
      </w:r>
    </w:p>
    <w:p>
      <w:pPr>
        <w:spacing w:line="360" w:lineRule="auto"/>
        <w:ind w:firstLine="480" w:firstLineChars="200"/>
        <w:rPr>
          <w:rFonts w:hint="eastAsia" w:ascii="宋体" w:hAnsi="宋体" w:cs="宋体"/>
          <w:color w:val="auto"/>
          <w:sz w:val="24"/>
        </w:rPr>
      </w:pP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附：法定代表人身份证明、委托代理人身份证复印件</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投标人：</w:t>
      </w:r>
      <w:r>
        <w:rPr>
          <w:rFonts w:hint="eastAsia" w:ascii="宋体" w:hAnsi="宋体" w:cs="宋体"/>
          <w:color w:val="auto"/>
          <w:sz w:val="24"/>
          <w:u w:val="single"/>
        </w:rPr>
        <w:t xml:space="preserve">                                 </w:t>
      </w:r>
      <w:r>
        <w:rPr>
          <w:rFonts w:hint="eastAsia" w:ascii="宋体" w:hAnsi="宋体" w:cs="宋体"/>
          <w:color w:val="auto"/>
          <w:sz w:val="24"/>
        </w:rPr>
        <w:t>（盖单位章）</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法定代表人：</w:t>
      </w:r>
      <w:r>
        <w:rPr>
          <w:rFonts w:hint="eastAsia" w:ascii="宋体" w:hAnsi="宋体" w:cs="宋体"/>
          <w:color w:val="auto"/>
          <w:sz w:val="24"/>
          <w:u w:val="single"/>
        </w:rPr>
        <w:t xml:space="preserve">                                 </w:t>
      </w:r>
      <w:r>
        <w:rPr>
          <w:rFonts w:hint="eastAsia" w:ascii="宋体" w:hAnsi="宋体" w:cs="宋体"/>
          <w:color w:val="auto"/>
          <w:sz w:val="24"/>
        </w:rPr>
        <w:t>（签</w:t>
      </w:r>
      <w:r>
        <w:rPr>
          <w:rFonts w:hint="eastAsia" w:ascii="宋体" w:hAnsi="宋体" w:cs="宋体"/>
          <w:color w:val="auto"/>
          <w:sz w:val="24"/>
          <w:lang w:eastAsia="zh-CN"/>
        </w:rPr>
        <w:t>字</w:t>
      </w:r>
      <w:r>
        <w:rPr>
          <w:rFonts w:hint="eastAsia" w:ascii="宋体" w:hAnsi="宋体" w:cs="宋体"/>
          <w:color w:val="auto"/>
          <w:sz w:val="24"/>
        </w:rPr>
        <w:t>）</w:t>
      </w:r>
    </w:p>
    <w:p>
      <w:pPr>
        <w:spacing w:line="360" w:lineRule="auto"/>
        <w:ind w:firstLine="480" w:firstLineChars="200"/>
        <w:rPr>
          <w:rFonts w:hint="eastAsia" w:ascii="宋体" w:hAnsi="宋体" w:cs="宋体"/>
          <w:color w:val="auto"/>
          <w:sz w:val="24"/>
          <w:u w:val="single"/>
        </w:rPr>
      </w:pPr>
      <w:r>
        <w:rPr>
          <w:rFonts w:hint="eastAsia" w:ascii="宋体" w:hAnsi="宋体" w:cs="宋体"/>
          <w:color w:val="auto"/>
          <w:sz w:val="24"/>
        </w:rPr>
        <w:t>身份证号码：</w:t>
      </w:r>
      <w:r>
        <w:rPr>
          <w:rFonts w:hint="eastAsia" w:ascii="宋体" w:hAnsi="宋体" w:cs="宋体"/>
          <w:color w:val="auto"/>
          <w:sz w:val="24"/>
          <w:u w:val="none"/>
        </w:rPr>
        <w:t xml:space="preserve"> </w:t>
      </w:r>
      <w:r>
        <w:rPr>
          <w:rFonts w:hint="eastAsia" w:ascii="宋体" w:hAnsi="宋体" w:cs="宋体"/>
          <w:color w:val="auto"/>
          <w:sz w:val="24"/>
          <w:u w:val="single"/>
        </w:rPr>
        <w:t xml:space="preserve">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委托代理人：</w:t>
      </w:r>
      <w:r>
        <w:rPr>
          <w:rFonts w:hint="eastAsia" w:ascii="宋体" w:hAnsi="宋体" w:cs="宋体"/>
          <w:color w:val="auto"/>
          <w:sz w:val="24"/>
          <w:u w:val="single"/>
        </w:rPr>
        <w:t xml:space="preserve">                                 </w:t>
      </w:r>
      <w:r>
        <w:rPr>
          <w:rFonts w:hint="eastAsia" w:ascii="宋体" w:hAnsi="宋体" w:cs="宋体"/>
          <w:color w:val="auto"/>
          <w:sz w:val="24"/>
        </w:rPr>
        <w:t xml:space="preserve">（签字）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身份证号码：</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jc w:val="center"/>
        <w:outlineLvl w:val="0"/>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3"/>
        <w:numPr>
          <w:ilvl w:val="0"/>
          <w:numId w:val="0"/>
        </w:numPr>
        <w:tabs>
          <w:tab w:val="clear" w:pos="576"/>
        </w:tabs>
        <w:rPr>
          <w:rFonts w:hint="eastAsia" w:ascii="宋体" w:hAnsi="宋体" w:eastAsia="宋体" w:cs="宋体"/>
          <w:i w:val="0"/>
          <w:iCs w:val="0"/>
          <w:color w:val="auto"/>
          <w:highlight w:val="none"/>
          <w:lang w:val="en-US" w:eastAsia="zh-CN"/>
        </w:rPr>
      </w:pPr>
      <w:bookmarkStart w:id="47" w:name="_Toc298488026"/>
      <w:bookmarkStart w:id="48" w:name="_Toc360522730"/>
      <w:bookmarkStart w:id="49" w:name="_Toc424212014"/>
      <w:bookmarkStart w:id="50" w:name="_Toc460703990"/>
    </w:p>
    <w:p>
      <w:pPr>
        <w:rPr>
          <w:rFonts w:hint="eastAsia" w:ascii="宋体" w:hAnsi="宋体" w:eastAsia="宋体" w:cs="宋体"/>
          <w:i w:val="0"/>
          <w:iCs w:val="0"/>
          <w:color w:val="auto"/>
          <w:highlight w:val="none"/>
          <w:lang w:val="en-US" w:eastAsia="zh-CN"/>
        </w:rPr>
      </w:pPr>
    </w:p>
    <w:p>
      <w:pPr>
        <w:pStyle w:val="8"/>
        <w:rPr>
          <w:rFonts w:hint="eastAsia" w:ascii="宋体" w:hAnsi="宋体" w:eastAsia="宋体" w:cs="宋体"/>
          <w:i w:val="0"/>
          <w:iCs w:val="0"/>
          <w:color w:val="auto"/>
          <w:highlight w:val="none"/>
          <w:lang w:val="en-US" w:eastAsia="zh-CN"/>
        </w:rPr>
      </w:pPr>
    </w:p>
    <w:p>
      <w:pPr>
        <w:pStyle w:val="17"/>
        <w:rPr>
          <w:rFonts w:hint="eastAsia" w:ascii="宋体" w:hAnsi="宋体" w:eastAsia="宋体" w:cs="宋体"/>
          <w:i w:val="0"/>
          <w:iCs w:val="0"/>
          <w:color w:val="auto"/>
          <w:highlight w:val="none"/>
          <w:lang w:val="en-US" w:eastAsia="zh-CN"/>
        </w:rPr>
      </w:pPr>
    </w:p>
    <w:p>
      <w:pPr>
        <w:rPr>
          <w:rFonts w:hint="eastAsia" w:ascii="宋体" w:hAnsi="宋体" w:eastAsia="宋体" w:cs="宋体"/>
          <w:i w:val="0"/>
          <w:iCs w:val="0"/>
          <w:color w:val="auto"/>
          <w:highlight w:val="none"/>
          <w:lang w:val="en-US" w:eastAsia="zh-CN"/>
        </w:rPr>
      </w:pPr>
    </w:p>
    <w:p>
      <w:pPr>
        <w:pStyle w:val="8"/>
        <w:rPr>
          <w:rFonts w:hint="eastAsia" w:ascii="宋体" w:hAnsi="宋体" w:eastAsia="宋体" w:cs="宋体"/>
          <w:i w:val="0"/>
          <w:iCs w:val="0"/>
          <w:color w:val="auto"/>
          <w:highlight w:val="none"/>
          <w:lang w:val="en-US" w:eastAsia="zh-CN"/>
        </w:rPr>
      </w:pPr>
    </w:p>
    <w:p>
      <w:pPr>
        <w:pStyle w:val="17"/>
        <w:rPr>
          <w:rFonts w:hint="eastAsia" w:ascii="宋体" w:hAnsi="宋体" w:eastAsia="宋体" w:cs="宋体"/>
          <w:i w:val="0"/>
          <w:iCs w:val="0"/>
          <w:color w:val="auto"/>
          <w:highlight w:val="none"/>
          <w:lang w:val="en-US" w:eastAsia="zh-CN"/>
        </w:rPr>
      </w:pPr>
    </w:p>
    <w:p>
      <w:pPr>
        <w:rPr>
          <w:rFonts w:hint="eastAsia" w:ascii="宋体" w:hAnsi="宋体" w:eastAsia="宋体" w:cs="宋体"/>
          <w:i w:val="0"/>
          <w:iCs w:val="0"/>
          <w:color w:val="auto"/>
          <w:highlight w:val="none"/>
          <w:lang w:val="en-US" w:eastAsia="zh-CN"/>
        </w:rPr>
      </w:pPr>
    </w:p>
    <w:p>
      <w:pPr>
        <w:pStyle w:val="8"/>
        <w:rPr>
          <w:rFonts w:hint="eastAsia" w:ascii="宋体" w:hAnsi="宋体" w:eastAsia="宋体" w:cs="宋体"/>
          <w:i w:val="0"/>
          <w:iCs w:val="0"/>
          <w:color w:val="auto"/>
          <w:highlight w:val="none"/>
          <w:lang w:val="en-US" w:eastAsia="zh-CN"/>
        </w:rPr>
      </w:pPr>
    </w:p>
    <w:p>
      <w:pPr>
        <w:pStyle w:val="17"/>
        <w:rPr>
          <w:rFonts w:hint="eastAsia" w:ascii="宋体" w:hAnsi="宋体" w:eastAsia="宋体" w:cs="宋体"/>
          <w:i w:val="0"/>
          <w:iCs w:val="0"/>
          <w:color w:val="auto"/>
          <w:highlight w:val="none"/>
          <w:lang w:val="en-US" w:eastAsia="zh-CN"/>
        </w:rPr>
      </w:pPr>
    </w:p>
    <w:p>
      <w:pPr>
        <w:pStyle w:val="8"/>
        <w:rPr>
          <w:rFonts w:hint="eastAsia" w:ascii="宋体" w:hAnsi="宋体" w:eastAsia="宋体" w:cs="宋体"/>
          <w:i w:val="0"/>
          <w:iCs w:val="0"/>
          <w:color w:val="auto"/>
          <w:highlight w:val="none"/>
          <w:lang w:val="en-US" w:eastAsia="zh-CN"/>
        </w:rPr>
        <w:sectPr>
          <w:footerReference r:id="rId5" w:type="default"/>
          <w:pgSz w:w="11907" w:h="16840"/>
          <w:pgMar w:top="1440" w:right="1474" w:bottom="1440" w:left="1474" w:header="851" w:footer="992" w:gutter="0"/>
          <w:pgNumType w:fmt="decimal"/>
          <w:cols w:space="720" w:num="1"/>
          <w:docGrid w:linePitch="312" w:charSpace="0"/>
        </w:sectPr>
      </w:pPr>
    </w:p>
    <w:bookmarkEnd w:id="47"/>
    <w:bookmarkEnd w:id="48"/>
    <w:bookmarkEnd w:id="49"/>
    <w:bookmarkEnd w:id="50"/>
    <w:p>
      <w:pPr>
        <w:rPr>
          <w:rFonts w:hint="eastAsia"/>
        </w:rPr>
      </w:pPr>
    </w:p>
    <w:p>
      <w:pPr>
        <w:tabs>
          <w:tab w:val="center" w:pos="7115"/>
          <w:tab w:val="right" w:pos="14230"/>
        </w:tabs>
        <w:spacing w:line="360" w:lineRule="auto"/>
        <w:jc w:val="center"/>
        <w:rPr>
          <w:rFonts w:hint="eastAsia" w:ascii="仿宋_GB2312" w:hAnsi="Dotum" w:eastAsia="仿宋_GB2312"/>
          <w:b w:val="0"/>
          <w:bCs/>
          <w:color w:val="auto"/>
          <w:sz w:val="28"/>
        </w:rPr>
      </w:pPr>
      <w:r>
        <w:rPr>
          <w:rFonts w:hint="eastAsia" w:ascii="宋体" w:hAnsi="宋体" w:eastAsia="宋体" w:cs="宋体"/>
          <w:b/>
          <w:i w:val="0"/>
          <w:iCs w:val="0"/>
          <w:color w:val="auto"/>
          <w:spacing w:val="20"/>
          <w:sz w:val="32"/>
          <w:highlight w:val="none"/>
        </w:rPr>
        <w:t>(</w:t>
      </w:r>
      <w:r>
        <w:rPr>
          <w:rFonts w:hint="eastAsia" w:ascii="宋体" w:hAnsi="宋体" w:cs="宋体"/>
          <w:b/>
          <w:i w:val="0"/>
          <w:iCs w:val="0"/>
          <w:color w:val="auto"/>
          <w:spacing w:val="20"/>
          <w:sz w:val="32"/>
          <w:highlight w:val="none"/>
          <w:lang w:val="en-US" w:eastAsia="zh-CN"/>
        </w:rPr>
        <w:t>四</w:t>
      </w:r>
      <w:r>
        <w:rPr>
          <w:rFonts w:hint="eastAsia" w:ascii="宋体" w:hAnsi="宋体" w:eastAsia="宋体" w:cs="宋体"/>
          <w:b/>
          <w:i w:val="0"/>
          <w:iCs w:val="0"/>
          <w:color w:val="auto"/>
          <w:spacing w:val="20"/>
          <w:sz w:val="32"/>
          <w:highlight w:val="none"/>
        </w:rPr>
        <w:t>)</w:t>
      </w:r>
      <w:r>
        <w:rPr>
          <w:rFonts w:hint="eastAsia" w:ascii="宋体" w:hAnsi="宋体" w:eastAsia="宋体" w:cs="宋体"/>
          <w:b/>
          <w:i w:val="0"/>
          <w:iCs w:val="0"/>
          <w:color w:val="auto"/>
          <w:spacing w:val="20"/>
          <w:sz w:val="32"/>
          <w:highlight w:val="none"/>
          <w:lang w:eastAsia="zh-CN"/>
        </w:rPr>
        <w:t>、</w:t>
      </w:r>
      <w:r>
        <w:rPr>
          <w:rFonts w:hint="eastAsia" w:ascii="宋体" w:hAnsi="宋体" w:eastAsia="宋体" w:cs="宋体"/>
          <w:b/>
          <w:i w:val="0"/>
          <w:iCs w:val="0"/>
          <w:color w:val="auto"/>
          <w:spacing w:val="20"/>
          <w:sz w:val="32"/>
          <w:highlight w:val="none"/>
        </w:rPr>
        <w:t xml:space="preserve">开标一览表  </w:t>
      </w:r>
      <w:r>
        <w:rPr>
          <w:rFonts w:hint="eastAsia" w:ascii="仿宋_GB2312" w:hAnsi="Dotum" w:eastAsia="仿宋_GB2312"/>
          <w:b w:val="0"/>
          <w:bCs/>
          <w:color w:val="auto"/>
          <w:sz w:val="28"/>
        </w:rPr>
        <w:t xml:space="preserve">                                                                            </w:t>
      </w:r>
    </w:p>
    <w:p>
      <w:pPr>
        <w:spacing w:line="360" w:lineRule="auto"/>
        <w:ind w:left="121" w:hanging="120" w:hangingChars="50"/>
        <w:rPr>
          <w:rFonts w:hint="eastAsia" w:ascii="宋体" w:hAnsi="宋体" w:cs="宋体"/>
          <w:b w:val="0"/>
          <w:bCs/>
          <w:color w:val="auto"/>
          <w:sz w:val="24"/>
        </w:rPr>
      </w:pPr>
      <w:r>
        <w:rPr>
          <w:rFonts w:hint="eastAsia" w:ascii="宋体" w:hAnsi="宋体" w:cs="宋体"/>
          <w:b w:val="0"/>
          <w:bCs/>
          <w:color w:val="auto"/>
          <w:sz w:val="24"/>
        </w:rPr>
        <w:t xml:space="preserve">项目名称：                                             </w:t>
      </w:r>
    </w:p>
    <w:p>
      <w:pPr>
        <w:spacing w:line="360" w:lineRule="auto"/>
        <w:ind w:left="121" w:hanging="120" w:hangingChars="50"/>
        <w:rPr>
          <w:rFonts w:hint="eastAsia" w:ascii="宋体" w:hAnsi="宋体" w:cs="宋体"/>
          <w:b w:val="0"/>
          <w:bCs/>
          <w:color w:val="auto"/>
          <w:sz w:val="24"/>
        </w:rPr>
      </w:pPr>
      <w:r>
        <w:rPr>
          <w:rFonts w:hint="eastAsia" w:ascii="宋体" w:hAnsi="宋体" w:cs="宋体"/>
          <w:b w:val="0"/>
          <w:bCs/>
          <w:color w:val="auto"/>
          <w:sz w:val="24"/>
        </w:rPr>
        <w:t>项目编号：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95"/>
        <w:gridCol w:w="2858"/>
        <w:gridCol w:w="2907"/>
        <w:gridCol w:w="2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27" w:hRule="exact"/>
          <w:jc w:val="center"/>
        </w:trPr>
        <w:tc>
          <w:tcPr>
            <w:tcW w:w="3195" w:type="dxa"/>
            <w:tcBorders>
              <w:bottom w:val="single" w:color="auto" w:sz="4" w:space="0"/>
            </w:tcBorders>
            <w:noWrap w:val="0"/>
            <w:vAlign w:val="center"/>
          </w:tcPr>
          <w:p>
            <w:pPr>
              <w:spacing w:line="360" w:lineRule="auto"/>
              <w:jc w:val="center"/>
              <w:rPr>
                <w:rFonts w:hint="eastAsia" w:ascii="宋体" w:hAnsi="宋体" w:eastAsia="宋体" w:cs="宋体"/>
                <w:b w:val="0"/>
                <w:bCs/>
                <w:color w:val="auto"/>
                <w:sz w:val="24"/>
                <w:lang w:eastAsia="zh-CN"/>
              </w:rPr>
            </w:pPr>
            <w:r>
              <w:rPr>
                <w:rFonts w:hint="eastAsia" w:ascii="宋体" w:hAnsi="宋体" w:cs="宋体"/>
                <w:b w:val="0"/>
                <w:bCs/>
                <w:color w:val="auto"/>
                <w:sz w:val="24"/>
                <w:lang w:eastAsia="zh-CN"/>
              </w:rPr>
              <w:t>服务内容</w:t>
            </w:r>
          </w:p>
        </w:tc>
        <w:tc>
          <w:tcPr>
            <w:tcW w:w="2858" w:type="dxa"/>
            <w:tcBorders>
              <w:bottom w:val="single" w:color="auto" w:sz="4" w:space="0"/>
            </w:tcBorders>
            <w:noWrap w:val="0"/>
            <w:vAlign w:val="center"/>
          </w:tcPr>
          <w:p>
            <w:pPr>
              <w:spacing w:line="360" w:lineRule="auto"/>
              <w:jc w:val="center"/>
              <w:rPr>
                <w:rFonts w:hint="eastAsia" w:ascii="宋体" w:hAnsi="宋体" w:cs="宋体"/>
                <w:b w:val="0"/>
                <w:bCs/>
                <w:color w:val="auto"/>
                <w:sz w:val="24"/>
              </w:rPr>
            </w:pPr>
            <w:r>
              <w:rPr>
                <w:rFonts w:hint="eastAsia" w:ascii="宋体" w:hAnsi="宋体" w:cs="宋体"/>
                <w:b w:val="0"/>
                <w:bCs/>
                <w:color w:val="auto"/>
                <w:sz w:val="24"/>
              </w:rPr>
              <w:t>报价</w:t>
            </w:r>
          </w:p>
        </w:tc>
        <w:tc>
          <w:tcPr>
            <w:tcW w:w="2907" w:type="dxa"/>
            <w:tcBorders>
              <w:bottom w:val="single" w:color="auto" w:sz="4" w:space="0"/>
            </w:tcBorders>
            <w:noWrap w:val="0"/>
            <w:vAlign w:val="center"/>
          </w:tcPr>
          <w:p>
            <w:pPr>
              <w:spacing w:line="360" w:lineRule="auto"/>
              <w:jc w:val="center"/>
              <w:rPr>
                <w:rFonts w:hint="eastAsia" w:ascii="宋体" w:hAnsi="宋体" w:cs="宋体"/>
                <w:b w:val="0"/>
                <w:bCs/>
                <w:color w:val="auto"/>
                <w:sz w:val="24"/>
              </w:rPr>
            </w:pPr>
            <w:r>
              <w:rPr>
                <w:rFonts w:hint="eastAsia" w:ascii="宋体" w:hAnsi="宋体" w:cs="宋体"/>
                <w:b w:val="0"/>
                <w:bCs/>
                <w:color w:val="auto"/>
                <w:sz w:val="24"/>
                <w:lang w:eastAsia="zh-CN"/>
              </w:rPr>
              <w:t>服务</w:t>
            </w:r>
            <w:r>
              <w:rPr>
                <w:rFonts w:hint="eastAsia" w:ascii="宋体" w:hAnsi="宋体" w:cs="宋体"/>
                <w:b w:val="0"/>
                <w:bCs/>
                <w:color w:val="auto"/>
                <w:sz w:val="24"/>
              </w:rPr>
              <w:t>期</w:t>
            </w:r>
          </w:p>
        </w:tc>
        <w:tc>
          <w:tcPr>
            <w:tcW w:w="2975" w:type="dxa"/>
            <w:tcBorders>
              <w:bottom w:val="single" w:color="auto" w:sz="4" w:space="0"/>
            </w:tcBorders>
            <w:noWrap w:val="0"/>
            <w:vAlign w:val="center"/>
          </w:tcPr>
          <w:p>
            <w:pPr>
              <w:spacing w:line="360" w:lineRule="auto"/>
              <w:jc w:val="center"/>
              <w:rPr>
                <w:rFonts w:hint="eastAsia" w:ascii="宋体" w:hAnsi="宋体" w:cs="宋体"/>
                <w:b w:val="0"/>
                <w:bCs/>
                <w:color w:val="auto"/>
                <w:sz w:val="24"/>
              </w:rPr>
            </w:pPr>
            <w:r>
              <w:rPr>
                <w:rFonts w:hint="eastAsia" w:ascii="宋体" w:hAnsi="宋体" w:cs="宋体"/>
                <w:b w:val="0"/>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77" w:hRule="atLeast"/>
          <w:jc w:val="center"/>
        </w:trPr>
        <w:tc>
          <w:tcPr>
            <w:tcW w:w="3195" w:type="dxa"/>
            <w:tcBorders>
              <w:bottom w:val="single" w:color="auto" w:sz="4" w:space="0"/>
            </w:tcBorders>
            <w:noWrap w:val="0"/>
            <w:vAlign w:val="center"/>
          </w:tcPr>
          <w:p>
            <w:pPr>
              <w:pStyle w:val="30"/>
              <w:spacing w:line="360" w:lineRule="auto"/>
              <w:ind w:firstLine="0" w:firstLineChars="0"/>
              <w:jc w:val="center"/>
              <w:rPr>
                <w:rFonts w:hint="eastAsia" w:ascii="宋体" w:hAnsi="宋体" w:eastAsia="宋体" w:cs="宋体"/>
                <w:b w:val="0"/>
                <w:bCs/>
                <w:color w:val="auto"/>
                <w:sz w:val="24"/>
              </w:rPr>
            </w:pPr>
          </w:p>
        </w:tc>
        <w:tc>
          <w:tcPr>
            <w:tcW w:w="2858" w:type="dxa"/>
            <w:tcBorders>
              <w:bottom w:val="single" w:color="auto" w:sz="4" w:space="0"/>
            </w:tcBorders>
            <w:noWrap w:val="0"/>
            <w:vAlign w:val="center"/>
          </w:tcPr>
          <w:p>
            <w:pPr>
              <w:spacing w:line="360" w:lineRule="auto"/>
              <w:jc w:val="center"/>
              <w:rPr>
                <w:rFonts w:hint="eastAsia" w:ascii="宋体" w:hAnsi="宋体" w:cs="宋体"/>
                <w:b w:val="0"/>
                <w:bCs/>
                <w:color w:val="auto"/>
                <w:sz w:val="24"/>
              </w:rPr>
            </w:pPr>
          </w:p>
        </w:tc>
        <w:tc>
          <w:tcPr>
            <w:tcW w:w="2907" w:type="dxa"/>
            <w:tcBorders>
              <w:bottom w:val="single" w:color="auto" w:sz="4" w:space="0"/>
            </w:tcBorders>
            <w:noWrap w:val="0"/>
            <w:vAlign w:val="center"/>
          </w:tcPr>
          <w:p>
            <w:pPr>
              <w:spacing w:line="360" w:lineRule="auto"/>
              <w:jc w:val="center"/>
              <w:rPr>
                <w:rFonts w:hint="eastAsia" w:ascii="宋体" w:hAnsi="宋体" w:cs="宋体"/>
                <w:b w:val="0"/>
                <w:bCs/>
                <w:color w:val="auto"/>
                <w:sz w:val="24"/>
              </w:rPr>
            </w:pPr>
          </w:p>
        </w:tc>
        <w:tc>
          <w:tcPr>
            <w:tcW w:w="2975" w:type="dxa"/>
            <w:tcBorders>
              <w:bottom w:val="single" w:color="auto" w:sz="4" w:space="0"/>
            </w:tcBorders>
            <w:noWrap w:val="0"/>
            <w:vAlign w:val="center"/>
          </w:tcPr>
          <w:p>
            <w:pPr>
              <w:spacing w:line="360" w:lineRule="auto"/>
              <w:jc w:val="center"/>
              <w:rPr>
                <w:rFonts w:hint="eastAsia" w:ascii="宋体" w:hAnsi="宋体" w:cs="宋体"/>
                <w:b w:val="0"/>
                <w:bCs/>
                <w:color w:val="auto"/>
                <w:sz w:val="24"/>
              </w:rPr>
            </w:pPr>
            <w:r>
              <w:rPr>
                <w:rFonts w:hint="eastAsia" w:ascii="宋体" w:hAnsi="宋体" w:cs="宋体"/>
                <w:b w:val="0"/>
                <w:bCs/>
                <w:color w:val="auto"/>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47" w:hRule="exact"/>
          <w:jc w:val="center"/>
        </w:trPr>
        <w:tc>
          <w:tcPr>
            <w:tcW w:w="3195" w:type="dxa"/>
            <w:tcBorders>
              <w:bottom w:val="single" w:color="auto" w:sz="4" w:space="0"/>
            </w:tcBorders>
            <w:noWrap w:val="0"/>
            <w:vAlign w:val="center"/>
          </w:tcPr>
          <w:p>
            <w:pPr>
              <w:spacing w:line="360" w:lineRule="auto"/>
              <w:jc w:val="center"/>
              <w:rPr>
                <w:rFonts w:hint="eastAsia" w:ascii="宋体" w:hAnsi="宋体" w:cs="宋体"/>
                <w:b w:val="0"/>
                <w:bCs/>
                <w:color w:val="auto"/>
                <w:sz w:val="24"/>
              </w:rPr>
            </w:pPr>
            <w:r>
              <w:rPr>
                <w:rFonts w:hint="eastAsia" w:ascii="宋体" w:hAnsi="宋体" w:cs="宋体"/>
                <w:b w:val="0"/>
                <w:bCs/>
                <w:color w:val="auto"/>
                <w:sz w:val="24"/>
              </w:rPr>
              <w:t>投标总报价</w:t>
            </w:r>
          </w:p>
        </w:tc>
        <w:tc>
          <w:tcPr>
            <w:tcW w:w="8740" w:type="dxa"/>
            <w:gridSpan w:val="3"/>
            <w:tcBorders>
              <w:bottom w:val="single" w:color="auto" w:sz="4" w:space="0"/>
            </w:tcBorders>
            <w:noWrap w:val="0"/>
            <w:vAlign w:val="center"/>
          </w:tcPr>
          <w:p>
            <w:pPr>
              <w:spacing w:line="360" w:lineRule="auto"/>
              <w:rPr>
                <w:rFonts w:hint="eastAsia" w:ascii="宋体" w:hAnsi="宋体" w:cs="宋体"/>
                <w:b w:val="0"/>
                <w:bCs/>
                <w:color w:val="auto"/>
                <w:sz w:val="24"/>
              </w:rPr>
            </w:pPr>
            <w:r>
              <w:rPr>
                <w:rFonts w:hint="eastAsia" w:ascii="宋体" w:hAnsi="宋体" w:cs="宋体"/>
                <w:b w:val="0"/>
                <w:bCs/>
                <w:color w:val="auto"/>
                <w:sz w:val="24"/>
              </w:rPr>
              <w:t>(小写)</w:t>
            </w:r>
            <w:r>
              <w:rPr>
                <w:rFonts w:hint="eastAsia" w:ascii="宋体" w:hAnsi="宋体" w:cs="宋体"/>
                <w:b w:val="0"/>
                <w:bCs/>
                <w:color w:val="auto"/>
                <w:sz w:val="24"/>
                <w:u w:val="single"/>
              </w:rPr>
              <w:t xml:space="preserve">                          </w:t>
            </w:r>
            <w:r>
              <w:rPr>
                <w:rFonts w:hint="eastAsia" w:ascii="宋体" w:hAnsi="宋体" w:cs="宋体"/>
                <w:b w:val="0"/>
                <w:bCs/>
                <w:color w:val="auto"/>
                <w:sz w:val="24"/>
              </w:rPr>
              <w:t xml:space="preserve">   </w:t>
            </w:r>
          </w:p>
          <w:p>
            <w:pPr>
              <w:spacing w:line="360" w:lineRule="auto"/>
              <w:rPr>
                <w:rFonts w:hint="eastAsia" w:ascii="宋体" w:hAnsi="宋体" w:cs="宋体"/>
                <w:b w:val="0"/>
                <w:bCs/>
                <w:color w:val="auto"/>
                <w:sz w:val="24"/>
              </w:rPr>
            </w:pPr>
          </w:p>
          <w:p>
            <w:pPr>
              <w:spacing w:line="360" w:lineRule="auto"/>
              <w:rPr>
                <w:rFonts w:hint="eastAsia" w:ascii="宋体" w:hAnsi="宋体" w:cs="宋体"/>
                <w:b w:val="0"/>
                <w:bCs/>
                <w:color w:val="auto"/>
                <w:sz w:val="24"/>
              </w:rPr>
            </w:pPr>
            <w:r>
              <w:rPr>
                <w:rFonts w:hint="eastAsia" w:ascii="宋体" w:hAnsi="宋体" w:cs="宋体"/>
                <w:b w:val="0"/>
                <w:bCs/>
                <w:color w:val="auto"/>
                <w:sz w:val="24"/>
              </w:rPr>
              <w:t>(大写)</w:t>
            </w:r>
            <w:r>
              <w:rPr>
                <w:rFonts w:hint="eastAsia" w:ascii="宋体" w:hAnsi="宋体" w:cs="宋体"/>
                <w:b w:val="0"/>
                <w:bCs/>
                <w:color w:val="auto"/>
                <w:sz w:val="24"/>
                <w:u w:val="single"/>
              </w:rPr>
              <w:t xml:space="preserve">                          </w:t>
            </w:r>
            <w:r>
              <w:rPr>
                <w:rFonts w:hint="eastAsia" w:ascii="宋体" w:hAnsi="宋体" w:cs="宋体"/>
                <w:b w:val="0"/>
                <w:bCs/>
                <w:color w:val="auto"/>
                <w:sz w:val="24"/>
              </w:rPr>
              <w:t xml:space="preserve"> </w:t>
            </w:r>
          </w:p>
        </w:tc>
      </w:tr>
    </w:tbl>
    <w:p>
      <w:pPr>
        <w:spacing w:line="360" w:lineRule="auto"/>
        <w:jc w:val="right"/>
        <w:rPr>
          <w:rFonts w:hint="eastAsia" w:ascii="宋体" w:hAnsi="宋体" w:cs="宋体"/>
          <w:b w:val="0"/>
          <w:bCs/>
          <w:color w:val="auto"/>
          <w:sz w:val="24"/>
        </w:rPr>
      </w:pPr>
      <w:r>
        <w:rPr>
          <w:rFonts w:hint="eastAsia" w:ascii="宋体" w:hAnsi="宋体" w:cs="宋体"/>
          <w:b w:val="0"/>
          <w:bCs/>
          <w:color w:val="auto"/>
          <w:sz w:val="24"/>
        </w:rPr>
        <w:t xml:space="preserve"> 投标人：</w:t>
      </w:r>
      <w:r>
        <w:rPr>
          <w:rFonts w:hint="eastAsia" w:ascii="宋体" w:hAnsi="宋体" w:cs="宋体"/>
          <w:b w:val="0"/>
          <w:bCs/>
          <w:color w:val="auto"/>
          <w:sz w:val="24"/>
          <w:u w:val="single"/>
        </w:rPr>
        <w:t xml:space="preserve">                       </w:t>
      </w:r>
      <w:r>
        <w:rPr>
          <w:rFonts w:hint="eastAsia" w:ascii="宋体" w:hAnsi="宋体" w:cs="宋体"/>
          <w:b w:val="0"/>
          <w:bCs/>
          <w:color w:val="auto"/>
          <w:sz w:val="24"/>
        </w:rPr>
        <w:t>（盖单位章）</w:t>
      </w:r>
    </w:p>
    <w:p>
      <w:pPr>
        <w:spacing w:line="360" w:lineRule="auto"/>
        <w:jc w:val="right"/>
        <w:rPr>
          <w:rFonts w:hint="eastAsia" w:ascii="宋体" w:hAnsi="宋体" w:cs="宋体"/>
          <w:b w:val="0"/>
          <w:bCs/>
          <w:color w:val="auto"/>
          <w:sz w:val="24"/>
        </w:rPr>
      </w:pPr>
      <w:r>
        <w:rPr>
          <w:rFonts w:hint="eastAsia" w:ascii="宋体" w:hAnsi="宋体" w:cs="宋体"/>
          <w:b w:val="0"/>
          <w:bCs/>
          <w:color w:val="auto"/>
          <w:sz w:val="24"/>
        </w:rPr>
        <w:t xml:space="preserve"> 法定代表或委托代理人：</w:t>
      </w:r>
      <w:r>
        <w:rPr>
          <w:rFonts w:hint="eastAsia" w:ascii="宋体" w:hAnsi="宋体" w:cs="宋体"/>
          <w:b w:val="0"/>
          <w:bCs/>
          <w:color w:val="auto"/>
          <w:sz w:val="24"/>
          <w:u w:val="single"/>
        </w:rPr>
        <w:t xml:space="preserve">             </w:t>
      </w:r>
      <w:r>
        <w:rPr>
          <w:rFonts w:hint="eastAsia" w:ascii="宋体" w:hAnsi="宋体" w:cs="宋体"/>
          <w:b w:val="0"/>
          <w:bCs/>
          <w:color w:val="auto"/>
          <w:sz w:val="24"/>
        </w:rPr>
        <w:t>（</w:t>
      </w:r>
      <w:r>
        <w:rPr>
          <w:rFonts w:hint="eastAsia" w:ascii="宋体" w:hAnsi="宋体" w:cs="宋体"/>
          <w:b w:val="0"/>
          <w:bCs/>
          <w:color w:val="auto"/>
          <w:sz w:val="24"/>
          <w:lang w:val="en-US" w:eastAsia="zh-CN"/>
        </w:rPr>
        <w:t>签字或盖章</w:t>
      </w:r>
      <w:r>
        <w:rPr>
          <w:rFonts w:hint="eastAsia" w:ascii="宋体" w:hAnsi="宋体" w:cs="宋体"/>
          <w:b w:val="0"/>
          <w:bCs/>
          <w:color w:val="auto"/>
          <w:sz w:val="24"/>
        </w:rPr>
        <w:t>）</w:t>
      </w:r>
    </w:p>
    <w:p>
      <w:pPr>
        <w:spacing w:line="360" w:lineRule="auto"/>
        <w:jc w:val="right"/>
        <w:rPr>
          <w:rFonts w:hint="eastAsia" w:ascii="宋体" w:hAnsi="宋体" w:cs="宋体"/>
          <w:b w:val="0"/>
          <w:bCs/>
          <w:color w:val="auto"/>
          <w:sz w:val="24"/>
        </w:rPr>
      </w:pPr>
      <w:r>
        <w:rPr>
          <w:rFonts w:hint="eastAsia" w:ascii="宋体" w:hAnsi="宋体" w:cs="宋体"/>
          <w:b w:val="0"/>
          <w:bCs/>
          <w:color w:val="auto"/>
          <w:sz w:val="24"/>
        </w:rPr>
        <w:t xml:space="preserve">  </w:t>
      </w:r>
      <w:r>
        <w:rPr>
          <w:rFonts w:hint="eastAsia" w:ascii="宋体" w:hAnsi="宋体" w:cs="宋体"/>
          <w:b w:val="0"/>
          <w:bCs/>
          <w:color w:val="auto"/>
          <w:sz w:val="24"/>
          <w:u w:val="single"/>
        </w:rPr>
        <w:t xml:space="preserve">      </w:t>
      </w:r>
      <w:r>
        <w:rPr>
          <w:rFonts w:hint="eastAsia" w:ascii="宋体" w:hAnsi="宋体" w:cs="宋体"/>
          <w:b w:val="0"/>
          <w:bCs/>
          <w:color w:val="auto"/>
          <w:sz w:val="24"/>
        </w:rPr>
        <w:t>年</w:t>
      </w:r>
      <w:r>
        <w:rPr>
          <w:rFonts w:hint="eastAsia" w:ascii="宋体" w:hAnsi="宋体" w:cs="宋体"/>
          <w:b w:val="0"/>
          <w:bCs/>
          <w:color w:val="auto"/>
          <w:sz w:val="24"/>
          <w:u w:val="single"/>
        </w:rPr>
        <w:t xml:space="preserve">      </w:t>
      </w:r>
      <w:r>
        <w:rPr>
          <w:rFonts w:hint="eastAsia" w:ascii="宋体" w:hAnsi="宋体" w:cs="宋体"/>
          <w:b w:val="0"/>
          <w:bCs/>
          <w:color w:val="auto"/>
          <w:sz w:val="24"/>
        </w:rPr>
        <w:t>月</w:t>
      </w:r>
      <w:r>
        <w:rPr>
          <w:rFonts w:hint="eastAsia" w:ascii="宋体" w:hAnsi="宋体" w:cs="宋体"/>
          <w:b w:val="0"/>
          <w:bCs/>
          <w:color w:val="auto"/>
          <w:sz w:val="24"/>
          <w:u w:val="single"/>
        </w:rPr>
        <w:t xml:space="preserve">     </w:t>
      </w:r>
      <w:r>
        <w:rPr>
          <w:rFonts w:hint="eastAsia" w:ascii="宋体" w:hAnsi="宋体" w:cs="宋体"/>
          <w:b w:val="0"/>
          <w:bCs/>
          <w:color w:val="auto"/>
          <w:sz w:val="24"/>
        </w:rPr>
        <w:t xml:space="preserve">日 </w:t>
      </w:r>
    </w:p>
    <w:p>
      <w:pPr>
        <w:spacing w:line="360" w:lineRule="auto"/>
        <w:rPr>
          <w:rFonts w:hint="eastAsia" w:ascii="宋体" w:hAnsi="宋体" w:cs="宋体"/>
          <w:b w:val="0"/>
          <w:bCs/>
          <w:color w:val="auto"/>
          <w:sz w:val="24"/>
        </w:rPr>
      </w:pPr>
      <w:r>
        <w:rPr>
          <w:rFonts w:hint="eastAsia" w:ascii="宋体" w:hAnsi="宋体" w:cs="宋体"/>
          <w:b w:val="0"/>
          <w:bCs/>
          <w:color w:val="auto"/>
          <w:sz w:val="24"/>
        </w:rPr>
        <w:t>注：在开标一览表中，按第二章投标人须知的规定不允许出现两种报价，否则其投标将被拒绝。</w:t>
      </w:r>
    </w:p>
    <w:p>
      <w:pPr>
        <w:pStyle w:val="24"/>
        <w:rPr>
          <w:rFonts w:hint="eastAsia"/>
        </w:rPr>
        <w:sectPr>
          <w:pgSz w:w="16840" w:h="11907" w:orient="landscape"/>
          <w:pgMar w:top="1474" w:right="1440" w:bottom="1474" w:left="1440" w:header="851" w:footer="992" w:gutter="0"/>
          <w:pgNumType w:fmt="decimal"/>
          <w:cols w:space="720" w:num="1"/>
          <w:docGrid w:linePitch="312" w:charSpace="0"/>
        </w:sectPr>
      </w:pPr>
    </w:p>
    <w:bookmarkEnd w:id="45"/>
    <w:bookmarkEnd w:id="46"/>
    <w:p>
      <w:pPr>
        <w:pStyle w:val="34"/>
        <w:spacing w:after="156" w:afterLines="50" w:line="520" w:lineRule="exact"/>
        <w:rPr>
          <w:rFonts w:hint="eastAsia" w:hAnsi="宋体" w:cs="宋体"/>
          <w:color w:val="auto"/>
          <w:sz w:val="28"/>
        </w:rPr>
      </w:pPr>
    </w:p>
    <w:p>
      <w:pPr>
        <w:spacing w:line="450" w:lineRule="atLeast"/>
        <w:jc w:val="center"/>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lang w:eastAsia="zh-CN"/>
        </w:rPr>
        <w:t>（</w:t>
      </w:r>
      <w:r>
        <w:rPr>
          <w:rFonts w:hint="eastAsia" w:ascii="宋体" w:hAnsi="宋体" w:cs="宋体"/>
          <w:b/>
          <w:i w:val="0"/>
          <w:iCs w:val="0"/>
          <w:color w:val="auto"/>
          <w:spacing w:val="20"/>
          <w:sz w:val="32"/>
          <w:highlight w:val="none"/>
          <w:lang w:val="en-US" w:eastAsia="zh-CN"/>
        </w:rPr>
        <w:t>五</w:t>
      </w:r>
      <w:r>
        <w:rPr>
          <w:rFonts w:hint="eastAsia" w:ascii="宋体" w:hAnsi="宋体" w:eastAsia="宋体" w:cs="宋体"/>
          <w:b/>
          <w:i w:val="0"/>
          <w:iCs w:val="0"/>
          <w:color w:val="auto"/>
          <w:spacing w:val="20"/>
          <w:sz w:val="32"/>
          <w:highlight w:val="none"/>
          <w:lang w:eastAsia="zh-CN"/>
        </w:rPr>
        <w:t>）</w:t>
      </w:r>
      <w:r>
        <w:rPr>
          <w:rFonts w:hint="eastAsia" w:ascii="宋体" w:hAnsi="宋体" w:eastAsia="宋体" w:cs="宋体"/>
          <w:b/>
          <w:i w:val="0"/>
          <w:iCs w:val="0"/>
          <w:color w:val="auto"/>
          <w:spacing w:val="20"/>
          <w:sz w:val="32"/>
          <w:highlight w:val="none"/>
          <w:lang w:val="en-US" w:eastAsia="zh-CN"/>
        </w:rPr>
        <w:t>投标人基本情况表</w:t>
      </w:r>
    </w:p>
    <w:p>
      <w:pPr>
        <w:spacing w:line="360" w:lineRule="auto"/>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rPr>
        <w:tab/>
      </w:r>
      <w:r>
        <w:rPr>
          <w:rFonts w:hint="eastAsia" w:ascii="宋体" w:hAnsi="宋体" w:eastAsia="宋体" w:cs="宋体"/>
          <w:sz w:val="24"/>
          <w:szCs w:val="24"/>
        </w:rPr>
        <w:t>公司基本情况：</w:t>
      </w:r>
    </w:p>
    <w:p>
      <w:pPr>
        <w:numPr>
          <w:ilvl w:val="0"/>
          <w:numId w:val="0"/>
        </w:numPr>
        <w:tabs>
          <w:tab w:val="left" w:pos="360"/>
        </w:tabs>
        <w:spacing w:line="360" w:lineRule="auto"/>
        <w:ind w:firstLine="240" w:firstLineChars="100"/>
        <w:rPr>
          <w:rFonts w:hint="eastAsia" w:ascii="宋体" w:hAnsi="宋体" w:eastAsia="宋体" w:cs="宋体"/>
          <w:sz w:val="24"/>
          <w:szCs w:val="24"/>
          <w:u w:val="single"/>
        </w:rPr>
      </w:pPr>
      <w:r>
        <w:rPr>
          <w:rFonts w:hint="eastAsia" w:ascii="宋体" w:hAnsi="宋体" w:eastAsia="宋体" w:cs="宋体"/>
          <w:sz w:val="24"/>
          <w:szCs w:val="24"/>
        </w:rPr>
        <w:t>公司名称：</w:t>
      </w:r>
      <w:r>
        <w:rPr>
          <w:rFonts w:hint="eastAsia" w:ascii="宋体" w:hAnsi="宋体" w:eastAsia="宋体" w:cs="宋体"/>
          <w:sz w:val="24"/>
          <w:szCs w:val="24"/>
          <w:u w:val="single"/>
        </w:rPr>
        <w:t xml:space="preserve">                         </w:t>
      </w:r>
    </w:p>
    <w:p>
      <w:pPr>
        <w:spacing w:line="360" w:lineRule="auto"/>
        <w:ind w:firstLine="360"/>
        <w:rPr>
          <w:rFonts w:hint="eastAsia" w:ascii="宋体" w:hAnsi="宋体" w:eastAsia="宋体" w:cs="宋体"/>
          <w:sz w:val="24"/>
          <w:szCs w:val="24"/>
        </w:rPr>
      </w:pPr>
      <w:r>
        <w:rPr>
          <w:rFonts w:hint="eastAsia" w:ascii="宋体" w:hAnsi="宋体" w:eastAsia="宋体" w:cs="宋体"/>
          <w:sz w:val="24"/>
          <w:szCs w:val="24"/>
        </w:rPr>
        <w:t>注册地址：</w:t>
      </w:r>
      <w:r>
        <w:rPr>
          <w:rFonts w:hint="eastAsia" w:ascii="宋体" w:hAnsi="宋体" w:eastAsia="宋体" w:cs="宋体"/>
          <w:sz w:val="24"/>
          <w:szCs w:val="24"/>
          <w:u w:val="single"/>
        </w:rPr>
        <w:t xml:space="preserve">                         </w:t>
      </w:r>
    </w:p>
    <w:p>
      <w:pPr>
        <w:spacing w:line="360" w:lineRule="auto"/>
        <w:ind w:firstLine="360"/>
        <w:rPr>
          <w:rFonts w:hint="eastAsia" w:ascii="宋体" w:hAnsi="宋体" w:eastAsia="宋体" w:cs="宋体"/>
          <w:sz w:val="24"/>
          <w:szCs w:val="24"/>
        </w:rPr>
      </w:pPr>
      <w:r>
        <w:rPr>
          <w:rFonts w:hint="eastAsia" w:ascii="宋体" w:hAnsi="宋体" w:eastAsia="宋体" w:cs="宋体"/>
          <w:sz w:val="24"/>
          <w:szCs w:val="24"/>
        </w:rPr>
        <w:t>注册年份：</w:t>
      </w:r>
      <w:r>
        <w:rPr>
          <w:rFonts w:hint="eastAsia" w:ascii="宋体" w:hAnsi="宋体" w:eastAsia="宋体" w:cs="宋体"/>
          <w:sz w:val="24"/>
          <w:szCs w:val="24"/>
          <w:u w:val="single"/>
        </w:rPr>
        <w:t xml:space="preserve">                         </w:t>
      </w:r>
    </w:p>
    <w:p>
      <w:pPr>
        <w:spacing w:line="360" w:lineRule="auto"/>
        <w:ind w:firstLine="360"/>
        <w:rPr>
          <w:rFonts w:hint="eastAsia" w:ascii="宋体" w:hAnsi="宋体" w:eastAsia="宋体" w:cs="宋体"/>
          <w:sz w:val="24"/>
          <w:szCs w:val="24"/>
        </w:rPr>
      </w:pPr>
      <w:r>
        <w:rPr>
          <w:rFonts w:hint="eastAsia" w:ascii="宋体" w:hAnsi="宋体" w:eastAsia="宋体" w:cs="宋体"/>
          <w:sz w:val="24"/>
          <w:szCs w:val="24"/>
        </w:rPr>
        <w:t>法定代表人姓名：</w:t>
      </w:r>
      <w:r>
        <w:rPr>
          <w:rFonts w:hint="eastAsia" w:ascii="宋体" w:hAnsi="宋体" w:eastAsia="宋体" w:cs="宋体"/>
          <w:sz w:val="24"/>
          <w:szCs w:val="24"/>
          <w:u w:val="single"/>
        </w:rPr>
        <w:t xml:space="preserve">                   </w:t>
      </w:r>
    </w:p>
    <w:p>
      <w:pPr>
        <w:spacing w:line="450" w:lineRule="atLeast"/>
        <w:jc w:val="left"/>
        <w:rPr>
          <w:rFonts w:hint="eastAsia" w:ascii="宋体" w:hAnsi="宋体" w:eastAsia="宋体" w:cs="宋体"/>
          <w:i w:val="0"/>
          <w:iCs w:val="0"/>
          <w:color w:val="auto"/>
          <w:spacing w:val="20"/>
          <w:sz w:val="24"/>
          <w:szCs w:val="24"/>
          <w:highlight w:val="none"/>
        </w:rPr>
      </w:pPr>
    </w:p>
    <w:p>
      <w:pPr>
        <w:pStyle w:val="24"/>
        <w:rPr>
          <w:rFonts w:hint="eastAsia" w:ascii="宋体" w:hAnsi="宋体" w:eastAsia="宋体" w:cs="宋体"/>
          <w:i w:val="0"/>
          <w:iCs w:val="0"/>
          <w:color w:val="auto"/>
          <w:spacing w:val="20"/>
          <w:sz w:val="24"/>
          <w:szCs w:val="24"/>
          <w:highlight w:val="none"/>
        </w:rPr>
      </w:pPr>
    </w:p>
    <w:p>
      <w:pPr>
        <w:pStyle w:val="24"/>
        <w:rPr>
          <w:rFonts w:hint="eastAsia" w:hAnsi="宋体" w:cs="宋体"/>
          <w:i w:val="0"/>
          <w:iCs w:val="0"/>
          <w:color w:val="auto"/>
          <w:spacing w:val="20"/>
          <w:sz w:val="24"/>
          <w:szCs w:val="24"/>
          <w:highlight w:val="none"/>
          <w:lang w:val="en-US" w:eastAsia="zh-CN"/>
        </w:rPr>
      </w:pPr>
      <w:r>
        <w:rPr>
          <w:rFonts w:hint="eastAsia" w:hAnsi="宋体" w:cs="宋体"/>
          <w:i w:val="0"/>
          <w:iCs w:val="0"/>
          <w:color w:val="auto"/>
          <w:spacing w:val="20"/>
          <w:sz w:val="24"/>
          <w:szCs w:val="24"/>
          <w:highlight w:val="none"/>
          <w:lang w:val="en-US" w:eastAsia="zh-CN"/>
        </w:rPr>
        <w:t>后附：1、营业执照；</w:t>
      </w:r>
    </w:p>
    <w:p>
      <w:pPr>
        <w:numPr>
          <w:ilvl w:val="0"/>
          <w:numId w:val="0"/>
        </w:numPr>
        <w:spacing w:line="360" w:lineRule="auto"/>
        <w:ind w:left="0" w:leftChars="0" w:firstLine="564" w:firstLineChars="0"/>
        <w:rPr>
          <w:rFonts w:hint="eastAsia" w:ascii="宋体" w:hAnsi="宋体" w:cs="宋体"/>
          <w:b w:val="0"/>
          <w:bCs/>
          <w:color w:val="auto"/>
          <w:sz w:val="24"/>
          <w:lang w:val="en-US" w:eastAsia="zh-CN"/>
        </w:rPr>
      </w:pPr>
      <w:r>
        <w:rPr>
          <w:rFonts w:hint="eastAsia" w:ascii="宋体" w:hAnsi="宋体" w:cs="宋体"/>
          <w:b w:val="0"/>
          <w:bCs/>
          <w:color w:val="auto"/>
          <w:kern w:val="2"/>
          <w:sz w:val="24"/>
          <w:szCs w:val="24"/>
          <w:lang w:val="en-US" w:eastAsia="zh-CN" w:bidi="ar-SA"/>
        </w:rPr>
        <w:t>2</w:t>
      </w:r>
      <w:r>
        <w:rPr>
          <w:rFonts w:hint="eastAsia" w:ascii="宋体" w:hAnsi="宋体" w:eastAsia="宋体" w:cs="宋体"/>
          <w:b w:val="0"/>
          <w:bCs/>
          <w:color w:val="auto"/>
          <w:kern w:val="2"/>
          <w:sz w:val="24"/>
          <w:szCs w:val="24"/>
          <w:lang w:val="en-US" w:eastAsia="zh-CN" w:bidi="ar-SA"/>
        </w:rPr>
        <w:t>、</w:t>
      </w:r>
      <w:r>
        <w:rPr>
          <w:rFonts w:hint="eastAsia" w:ascii="宋体" w:hAnsi="宋体" w:cs="宋体"/>
          <w:b w:val="0"/>
          <w:bCs/>
          <w:color w:val="auto"/>
          <w:sz w:val="24"/>
          <w:lang w:val="en-US" w:eastAsia="zh-CN"/>
        </w:rPr>
        <w:t>具有近三个月的社保证明（需有相关人员的社保缴纳明细，退休人员需提供退休证明，新成立的企业提供企业成立至今的社保即可）和完税证明；</w:t>
      </w:r>
    </w:p>
    <w:p>
      <w:pPr>
        <w:numPr>
          <w:ilvl w:val="0"/>
          <w:numId w:val="0"/>
        </w:numPr>
        <w:spacing w:line="360" w:lineRule="auto"/>
        <w:ind w:left="564" w:leftChars="0"/>
        <w:rPr>
          <w:rFonts w:hint="eastAsia" w:ascii="宋体" w:hAnsi="宋体" w:cs="宋体"/>
          <w:b w:val="0"/>
          <w:bCs/>
          <w:color w:val="auto"/>
          <w:sz w:val="24"/>
          <w:lang w:val="en-US" w:eastAsia="zh-CN"/>
        </w:rPr>
      </w:pPr>
      <w:r>
        <w:rPr>
          <w:rFonts w:hint="eastAsia" w:ascii="宋体" w:hAnsi="宋体" w:cs="宋体"/>
          <w:b w:val="0"/>
          <w:bCs/>
          <w:color w:val="auto"/>
          <w:sz w:val="24"/>
          <w:lang w:val="en-US" w:eastAsia="zh-CN"/>
        </w:rPr>
        <w:t>3、近一年（2022年）的财务审计报告（企业成立不足一年的提供成立至今的财务审计报告，成立不足一年的提供成立至今的财务报表，包含资产负债表、现金流量表、利润表））；4、供应商“信用中国”的信用信息报告和国家企业信用信息公示系统报告及中国政府采购网截图等查询截图，查询时间在公告发布之后。)</w:t>
      </w:r>
    </w:p>
    <w:p>
      <w:pPr>
        <w:pStyle w:val="24"/>
        <w:rPr>
          <w:rFonts w:hint="default" w:hAnsi="宋体" w:cs="宋体"/>
          <w:i w:val="0"/>
          <w:iCs w:val="0"/>
          <w:color w:val="auto"/>
          <w:spacing w:val="20"/>
          <w:sz w:val="24"/>
          <w:szCs w:val="24"/>
          <w:highlight w:val="none"/>
          <w:lang w:val="en-US" w:eastAsia="zh-CN"/>
        </w:rPr>
      </w:pPr>
    </w:p>
    <w:p>
      <w:pPr>
        <w:pStyle w:val="24"/>
        <w:rPr>
          <w:rFonts w:hint="eastAsia" w:ascii="宋体" w:hAnsi="宋体" w:eastAsia="宋体" w:cs="宋体"/>
          <w:i w:val="0"/>
          <w:iCs w:val="0"/>
          <w:color w:val="auto"/>
          <w:spacing w:val="20"/>
          <w:sz w:val="24"/>
          <w:szCs w:val="24"/>
          <w:highlight w:val="none"/>
        </w:rPr>
      </w:pPr>
    </w:p>
    <w:p>
      <w:pPr>
        <w:pStyle w:val="24"/>
        <w:rPr>
          <w:rFonts w:hint="eastAsia" w:ascii="宋体" w:hAnsi="宋体" w:eastAsia="宋体" w:cs="宋体"/>
          <w:i w:val="0"/>
          <w:iCs w:val="0"/>
          <w:color w:val="auto"/>
          <w:spacing w:val="20"/>
          <w:sz w:val="24"/>
          <w:szCs w:val="24"/>
          <w:highlight w:val="none"/>
        </w:rPr>
      </w:pPr>
    </w:p>
    <w:p>
      <w:pPr>
        <w:pStyle w:val="24"/>
        <w:rPr>
          <w:rFonts w:hint="eastAsia" w:ascii="宋体" w:hAnsi="宋体" w:eastAsia="宋体" w:cs="宋体"/>
          <w:i w:val="0"/>
          <w:iCs w:val="0"/>
          <w:color w:val="auto"/>
          <w:spacing w:val="20"/>
          <w:sz w:val="24"/>
          <w:szCs w:val="24"/>
          <w:highlight w:val="none"/>
        </w:rPr>
      </w:pPr>
    </w:p>
    <w:p>
      <w:pPr>
        <w:pStyle w:val="24"/>
        <w:rPr>
          <w:rFonts w:hint="eastAsia" w:ascii="宋体" w:hAnsi="宋体" w:eastAsia="宋体" w:cs="宋体"/>
          <w:i w:val="0"/>
          <w:iCs w:val="0"/>
          <w:color w:val="auto"/>
          <w:spacing w:val="20"/>
          <w:sz w:val="24"/>
          <w:szCs w:val="24"/>
          <w:highlight w:val="none"/>
        </w:rPr>
      </w:pPr>
    </w:p>
    <w:p>
      <w:pPr>
        <w:pStyle w:val="24"/>
        <w:rPr>
          <w:rFonts w:hint="eastAsia" w:ascii="宋体" w:hAnsi="宋体" w:eastAsia="宋体" w:cs="宋体"/>
          <w:i w:val="0"/>
          <w:iCs w:val="0"/>
          <w:color w:val="auto"/>
          <w:spacing w:val="20"/>
          <w:sz w:val="24"/>
          <w:szCs w:val="24"/>
          <w:highlight w:val="none"/>
        </w:rPr>
      </w:pPr>
    </w:p>
    <w:p>
      <w:pPr>
        <w:pStyle w:val="24"/>
        <w:rPr>
          <w:rFonts w:hint="eastAsia" w:ascii="宋体" w:hAnsi="宋体" w:eastAsia="宋体" w:cs="宋体"/>
          <w:i w:val="0"/>
          <w:iCs w:val="0"/>
          <w:color w:val="auto"/>
          <w:spacing w:val="20"/>
          <w:sz w:val="24"/>
          <w:szCs w:val="24"/>
          <w:highlight w:val="none"/>
        </w:rPr>
      </w:pPr>
    </w:p>
    <w:p>
      <w:pPr>
        <w:pStyle w:val="24"/>
        <w:rPr>
          <w:rFonts w:hint="eastAsia" w:ascii="宋体" w:hAnsi="宋体" w:eastAsia="宋体" w:cs="宋体"/>
          <w:i w:val="0"/>
          <w:iCs w:val="0"/>
          <w:color w:val="auto"/>
          <w:spacing w:val="20"/>
          <w:sz w:val="24"/>
          <w:szCs w:val="24"/>
          <w:highlight w:val="none"/>
        </w:rPr>
      </w:pPr>
    </w:p>
    <w:p>
      <w:pPr>
        <w:pStyle w:val="24"/>
        <w:rPr>
          <w:rFonts w:hint="eastAsia" w:ascii="宋体" w:hAnsi="宋体" w:eastAsia="宋体" w:cs="宋体"/>
          <w:i w:val="0"/>
          <w:iCs w:val="0"/>
          <w:color w:val="auto"/>
          <w:spacing w:val="20"/>
          <w:sz w:val="24"/>
          <w:szCs w:val="24"/>
          <w:highlight w:val="none"/>
        </w:rPr>
      </w:pPr>
    </w:p>
    <w:p>
      <w:pPr>
        <w:pStyle w:val="24"/>
        <w:rPr>
          <w:rFonts w:hint="eastAsia" w:ascii="宋体" w:hAnsi="宋体" w:eastAsia="宋体" w:cs="宋体"/>
          <w:i w:val="0"/>
          <w:iCs w:val="0"/>
          <w:color w:val="auto"/>
          <w:spacing w:val="20"/>
          <w:sz w:val="24"/>
          <w:szCs w:val="24"/>
          <w:highlight w:val="none"/>
        </w:rPr>
      </w:pPr>
    </w:p>
    <w:p>
      <w:pPr>
        <w:pStyle w:val="24"/>
        <w:rPr>
          <w:rFonts w:hint="eastAsia" w:ascii="宋体" w:hAnsi="宋体" w:eastAsia="宋体" w:cs="宋体"/>
          <w:i w:val="0"/>
          <w:iCs w:val="0"/>
          <w:color w:val="auto"/>
          <w:spacing w:val="20"/>
          <w:sz w:val="24"/>
          <w:szCs w:val="24"/>
          <w:highlight w:val="none"/>
        </w:rPr>
      </w:pPr>
    </w:p>
    <w:p>
      <w:pPr>
        <w:pStyle w:val="24"/>
        <w:rPr>
          <w:rFonts w:hint="eastAsia" w:ascii="宋体" w:hAnsi="宋体" w:eastAsia="宋体" w:cs="宋体"/>
          <w:i w:val="0"/>
          <w:iCs w:val="0"/>
          <w:color w:val="auto"/>
          <w:spacing w:val="20"/>
          <w:sz w:val="24"/>
          <w:szCs w:val="24"/>
          <w:highlight w:val="none"/>
        </w:rPr>
      </w:pPr>
    </w:p>
    <w:p>
      <w:pPr>
        <w:pStyle w:val="24"/>
        <w:rPr>
          <w:rFonts w:hint="eastAsia" w:ascii="宋体" w:hAnsi="宋体" w:eastAsia="宋体" w:cs="宋体"/>
          <w:i w:val="0"/>
          <w:iCs w:val="0"/>
          <w:color w:val="auto"/>
          <w:spacing w:val="20"/>
          <w:sz w:val="24"/>
          <w:szCs w:val="24"/>
          <w:highlight w:val="none"/>
        </w:rPr>
      </w:pPr>
    </w:p>
    <w:p>
      <w:pPr>
        <w:pStyle w:val="24"/>
        <w:rPr>
          <w:rFonts w:hint="eastAsia" w:ascii="宋体" w:hAnsi="宋体" w:eastAsia="宋体" w:cs="宋体"/>
          <w:i w:val="0"/>
          <w:iCs w:val="0"/>
          <w:color w:val="auto"/>
          <w:spacing w:val="20"/>
          <w:sz w:val="24"/>
          <w:szCs w:val="24"/>
          <w:highlight w:val="none"/>
        </w:rPr>
      </w:pPr>
    </w:p>
    <w:p>
      <w:pPr>
        <w:pStyle w:val="24"/>
        <w:rPr>
          <w:rFonts w:hint="eastAsia" w:ascii="宋体" w:hAnsi="宋体" w:eastAsia="宋体" w:cs="宋体"/>
          <w:i w:val="0"/>
          <w:iCs w:val="0"/>
          <w:color w:val="auto"/>
          <w:spacing w:val="20"/>
          <w:sz w:val="24"/>
          <w:szCs w:val="24"/>
          <w:highlight w:val="none"/>
        </w:rPr>
      </w:pPr>
    </w:p>
    <w:p>
      <w:pPr>
        <w:spacing w:line="360" w:lineRule="auto"/>
        <w:jc w:val="center"/>
        <w:rPr>
          <w:rFonts w:hint="eastAsia" w:ascii="宋体" w:hAnsi="宋体" w:eastAsia="宋体" w:cs="宋体"/>
          <w:i w:val="0"/>
          <w:iCs w:val="0"/>
          <w:color w:val="auto"/>
          <w:spacing w:val="20"/>
          <w:sz w:val="24"/>
          <w:szCs w:val="24"/>
          <w:highlight w:val="none"/>
        </w:rPr>
      </w:pPr>
      <w:r>
        <w:rPr>
          <w:rFonts w:hint="eastAsia" w:ascii="宋体" w:hAnsi="宋体" w:cs="宋体"/>
          <w:i w:val="0"/>
          <w:iCs w:val="0"/>
          <w:color w:val="auto"/>
          <w:spacing w:val="20"/>
          <w:sz w:val="24"/>
          <w:szCs w:val="24"/>
          <w:highlight w:val="none"/>
          <w:lang w:val="en-US" w:eastAsia="zh-CN"/>
        </w:rPr>
        <w:t xml:space="preserve">          </w:t>
      </w:r>
      <w:r>
        <w:rPr>
          <w:rFonts w:hint="eastAsia" w:ascii="宋体" w:hAnsi="宋体" w:eastAsia="宋体" w:cs="宋体"/>
          <w:i w:val="0"/>
          <w:iCs w:val="0"/>
          <w:color w:val="auto"/>
          <w:spacing w:val="20"/>
          <w:sz w:val="24"/>
          <w:szCs w:val="24"/>
          <w:highlight w:val="none"/>
        </w:rPr>
        <w:t xml:space="preserve">投标单位（公章）： </w:t>
      </w:r>
    </w:p>
    <w:p>
      <w:pPr>
        <w:spacing w:line="360" w:lineRule="auto"/>
        <w:jc w:val="right"/>
        <w:rPr>
          <w:rFonts w:hint="eastAsia" w:ascii="宋体" w:hAnsi="宋体" w:cs="宋体"/>
          <w:b w:val="0"/>
          <w:bCs/>
          <w:color w:val="auto"/>
          <w:sz w:val="24"/>
        </w:rPr>
      </w:pPr>
      <w:r>
        <w:rPr>
          <w:rFonts w:hint="eastAsia" w:ascii="宋体" w:hAnsi="宋体" w:cs="宋体"/>
          <w:i w:val="0"/>
          <w:iCs w:val="0"/>
          <w:color w:val="auto"/>
          <w:spacing w:val="20"/>
          <w:sz w:val="24"/>
          <w:szCs w:val="24"/>
          <w:highlight w:val="none"/>
          <w:lang w:val="en-US" w:eastAsia="zh-CN"/>
        </w:rPr>
        <w:t xml:space="preserve">         </w:t>
      </w:r>
      <w:r>
        <w:rPr>
          <w:rFonts w:hint="eastAsia" w:ascii="宋体" w:hAnsi="宋体" w:cs="宋体"/>
          <w:b w:val="0"/>
          <w:bCs/>
          <w:color w:val="auto"/>
          <w:sz w:val="24"/>
        </w:rPr>
        <w:t xml:space="preserve"> 法定代表或委托代理人：</w:t>
      </w:r>
      <w:r>
        <w:rPr>
          <w:rFonts w:hint="eastAsia" w:ascii="宋体" w:hAnsi="宋体" w:cs="宋体"/>
          <w:b w:val="0"/>
          <w:bCs/>
          <w:color w:val="auto"/>
          <w:sz w:val="24"/>
          <w:u w:val="single"/>
        </w:rPr>
        <w:t xml:space="preserve">             </w:t>
      </w:r>
      <w:r>
        <w:rPr>
          <w:rFonts w:hint="eastAsia" w:ascii="宋体" w:hAnsi="宋体" w:cs="宋体"/>
          <w:b w:val="0"/>
          <w:bCs/>
          <w:color w:val="auto"/>
          <w:sz w:val="24"/>
        </w:rPr>
        <w:t>（</w:t>
      </w:r>
      <w:r>
        <w:rPr>
          <w:rFonts w:hint="eastAsia" w:ascii="宋体" w:hAnsi="宋体" w:cs="宋体"/>
          <w:b w:val="0"/>
          <w:bCs/>
          <w:color w:val="auto"/>
          <w:sz w:val="24"/>
          <w:lang w:val="en-US" w:eastAsia="zh-CN"/>
        </w:rPr>
        <w:t>签字或盖章</w:t>
      </w:r>
      <w:r>
        <w:rPr>
          <w:rFonts w:hint="eastAsia" w:ascii="宋体" w:hAnsi="宋体" w:cs="宋体"/>
          <w:b w:val="0"/>
          <w:bCs/>
          <w:color w:val="auto"/>
          <w:sz w:val="24"/>
        </w:rPr>
        <w:t>）</w:t>
      </w:r>
    </w:p>
    <w:p>
      <w:pPr>
        <w:spacing w:line="360" w:lineRule="auto"/>
        <w:jc w:val="center"/>
        <w:rPr>
          <w:rFonts w:hint="eastAsia" w:ascii="宋体" w:hAnsi="宋体" w:eastAsia="宋体" w:cs="宋体"/>
          <w:i w:val="0"/>
          <w:iCs w:val="0"/>
          <w:color w:val="auto"/>
          <w:spacing w:val="20"/>
          <w:sz w:val="24"/>
          <w:szCs w:val="24"/>
          <w:highlight w:val="none"/>
        </w:rPr>
      </w:pPr>
      <w:r>
        <w:rPr>
          <w:rFonts w:hint="eastAsia" w:ascii="宋体" w:hAnsi="宋体" w:cs="宋体"/>
          <w:i w:val="0"/>
          <w:iCs w:val="0"/>
          <w:color w:val="auto"/>
          <w:spacing w:val="20"/>
          <w:sz w:val="24"/>
          <w:szCs w:val="24"/>
          <w:highlight w:val="none"/>
          <w:lang w:val="en-US" w:eastAsia="zh-CN"/>
        </w:rPr>
        <w:t xml:space="preserve">              </w:t>
      </w:r>
      <w:r>
        <w:rPr>
          <w:rFonts w:hint="eastAsia" w:ascii="宋体" w:hAnsi="宋体" w:eastAsia="宋体" w:cs="宋体"/>
          <w:i w:val="0"/>
          <w:iCs w:val="0"/>
          <w:color w:val="auto"/>
          <w:spacing w:val="20"/>
          <w:sz w:val="24"/>
          <w:szCs w:val="24"/>
          <w:highlight w:val="none"/>
        </w:rPr>
        <w:t>填写日期：     年   月   日</w:t>
      </w:r>
    </w:p>
    <w:p>
      <w:pPr>
        <w:spacing w:line="450" w:lineRule="atLeast"/>
        <w:jc w:val="right"/>
        <w:rPr>
          <w:rFonts w:hint="eastAsia" w:ascii="宋体" w:hAnsi="宋体" w:eastAsia="宋体" w:cs="宋体"/>
          <w:i w:val="0"/>
          <w:iCs w:val="0"/>
          <w:color w:val="auto"/>
          <w:sz w:val="24"/>
          <w:szCs w:val="24"/>
          <w:highlight w:val="none"/>
        </w:rPr>
      </w:pPr>
    </w:p>
    <w:p>
      <w:pPr>
        <w:spacing w:before="120" w:after="120"/>
        <w:jc w:val="center"/>
        <w:rPr>
          <w:rFonts w:hint="eastAsia" w:ascii="仿宋" w:hAnsi="仿宋" w:eastAsia="仿宋" w:cs="仿宋"/>
          <w:b/>
          <w:color w:val="000000"/>
          <w:sz w:val="30"/>
          <w:szCs w:val="30"/>
          <w:lang w:val="en-US" w:eastAsia="zh-CN"/>
        </w:rPr>
      </w:pPr>
      <w:r>
        <w:rPr>
          <w:rFonts w:hint="eastAsia" w:ascii="仿宋" w:hAnsi="仿宋" w:eastAsia="仿宋" w:cs="仿宋"/>
          <w:b/>
          <w:color w:val="000000"/>
          <w:sz w:val="30"/>
          <w:szCs w:val="30"/>
          <w:lang w:val="en-US" w:eastAsia="zh-CN"/>
        </w:rPr>
        <w:t>（六）拟投入项目人员情况</w:t>
      </w:r>
    </w:p>
    <w:p>
      <w:pPr>
        <w:pStyle w:val="32"/>
        <w:keepNext w:val="0"/>
        <w:keepLines w:val="0"/>
        <w:widowControl w:val="0"/>
        <w:shd w:val="clear" w:color="auto" w:fill="auto"/>
        <w:bidi w:val="0"/>
        <w:spacing w:before="0" w:after="180" w:line="420" w:lineRule="exact"/>
        <w:ind w:right="0"/>
        <w:jc w:val="left"/>
        <w:rPr>
          <w:rFonts w:hint="eastAsia" w:ascii="仿宋" w:hAnsi="仿宋" w:eastAsia="仿宋" w:cs="仿宋"/>
          <w:b/>
          <w:bCs/>
          <w:color w:val="000000"/>
          <w:spacing w:val="0"/>
          <w:w w:val="100"/>
          <w:position w:val="0"/>
          <w:sz w:val="24"/>
          <w:szCs w:val="24"/>
        </w:rPr>
      </w:pPr>
    </w:p>
    <w:p>
      <w:pPr>
        <w:pStyle w:val="32"/>
        <w:keepNext w:val="0"/>
        <w:keepLines w:val="0"/>
        <w:widowControl w:val="0"/>
        <w:shd w:val="clear" w:color="auto" w:fill="auto"/>
        <w:bidi w:val="0"/>
        <w:spacing w:before="0" w:after="180" w:line="420" w:lineRule="exact"/>
        <w:ind w:right="0"/>
        <w:jc w:val="left"/>
        <w:rPr>
          <w:rFonts w:hint="eastAsia" w:ascii="仿宋" w:hAnsi="仿宋" w:eastAsia="仿宋" w:cs="仿宋"/>
          <w:b/>
          <w:bCs/>
          <w:color w:val="000000"/>
          <w:spacing w:val="0"/>
          <w:w w:val="100"/>
          <w:position w:val="0"/>
          <w:sz w:val="24"/>
          <w:szCs w:val="24"/>
        </w:rPr>
      </w:pPr>
    </w:p>
    <w:p>
      <w:pPr>
        <w:pStyle w:val="32"/>
        <w:keepNext w:val="0"/>
        <w:keepLines w:val="0"/>
        <w:widowControl w:val="0"/>
        <w:shd w:val="clear" w:color="auto" w:fill="auto"/>
        <w:bidi w:val="0"/>
        <w:spacing w:before="0" w:after="180" w:line="420" w:lineRule="exact"/>
        <w:ind w:right="0"/>
        <w:jc w:val="left"/>
        <w:rPr>
          <w:rFonts w:hint="eastAsia"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rPr>
        <w:t>说明：</w:t>
      </w:r>
      <w:r>
        <w:rPr>
          <w:rFonts w:hint="eastAsia" w:ascii="宋体" w:hAnsi="宋体" w:eastAsia="宋体" w:cs="宋体"/>
          <w:b/>
          <w:bCs/>
          <w:color w:val="000000"/>
          <w:spacing w:val="0"/>
          <w:w w:val="100"/>
          <w:position w:val="0"/>
          <w:sz w:val="24"/>
          <w:szCs w:val="24"/>
          <w:lang w:val="en-US" w:eastAsia="zh-CN"/>
        </w:rPr>
        <w:t>格式自拟</w:t>
      </w:r>
    </w:p>
    <w:p>
      <w:pPr>
        <w:pStyle w:val="32"/>
        <w:keepNext w:val="0"/>
        <w:keepLines w:val="0"/>
        <w:widowControl w:val="0"/>
        <w:shd w:val="clear" w:color="auto" w:fill="auto"/>
        <w:bidi w:val="0"/>
        <w:spacing w:before="0" w:after="180" w:line="420" w:lineRule="exact"/>
        <w:ind w:right="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w:t>
      </w:r>
      <w:r>
        <w:rPr>
          <w:rFonts w:hint="eastAsia" w:ascii="宋体" w:hAnsi="宋体" w:eastAsia="宋体" w:cs="宋体"/>
          <w:color w:val="000000"/>
          <w:spacing w:val="0"/>
          <w:w w:val="100"/>
          <w:position w:val="0"/>
          <w:sz w:val="24"/>
          <w:szCs w:val="24"/>
        </w:rPr>
        <w:t>本表中所列出的要求填报的内容及信息，投标人必须如实填写及附所有人员的</w:t>
      </w:r>
      <w:r>
        <w:rPr>
          <w:rFonts w:hint="eastAsia" w:ascii="宋体" w:hAnsi="宋体" w:eastAsia="宋体" w:cs="宋体"/>
          <w:color w:val="000000"/>
          <w:spacing w:val="0"/>
          <w:w w:val="100"/>
          <w:position w:val="0"/>
          <w:sz w:val="24"/>
          <w:szCs w:val="24"/>
          <w:lang w:val="en-US" w:eastAsia="zh-CN"/>
        </w:rPr>
        <w:t>身份证、</w:t>
      </w:r>
      <w:r>
        <w:rPr>
          <w:rFonts w:hint="eastAsia" w:ascii="宋体" w:hAnsi="宋体" w:eastAsia="宋体" w:cs="宋体"/>
          <w:color w:val="000000"/>
          <w:spacing w:val="0"/>
          <w:w w:val="100"/>
          <w:position w:val="0"/>
          <w:sz w:val="24"/>
          <w:szCs w:val="24"/>
        </w:rPr>
        <w:t>相关证件。</w:t>
      </w:r>
    </w:p>
    <w:p>
      <w:pPr>
        <w:pStyle w:val="32"/>
        <w:keepNext w:val="0"/>
        <w:keepLines w:val="0"/>
        <w:widowControl w:val="0"/>
        <w:shd w:val="clear" w:color="auto" w:fill="auto"/>
        <w:bidi w:val="0"/>
        <w:spacing w:before="0" w:after="520" w:line="450" w:lineRule="exact"/>
        <w:ind w:left="0" w:right="0" w:firstLine="400"/>
        <w:jc w:val="left"/>
        <w:rPr>
          <w:rFonts w:hint="eastAsia" w:ascii="宋体" w:hAnsi="宋体" w:eastAsia="宋体" w:cs="宋体"/>
          <w:sz w:val="24"/>
          <w:szCs w:val="24"/>
        </w:rPr>
        <w:sectPr>
          <w:footnotePr>
            <w:numFmt w:val="decimal"/>
          </w:footnotePr>
          <w:pgSz w:w="11900" w:h="16840"/>
          <w:pgMar w:top="1417" w:right="1157" w:bottom="1417" w:left="947" w:header="578" w:footer="584" w:gutter="0"/>
          <w:cols w:space="720" w:num="1"/>
          <w:rtlGutter w:val="0"/>
          <w:docGrid w:linePitch="360" w:charSpace="0"/>
        </w:sectPr>
      </w:pPr>
      <w:r>
        <w:rPr>
          <w:rFonts w:hint="eastAsia" w:ascii="宋体" w:hAnsi="宋体" w:eastAsia="宋体" w:cs="宋体"/>
          <w:color w:val="000000"/>
          <w:spacing w:val="0"/>
          <w:w w:val="100"/>
          <w:position w:val="0"/>
          <w:sz w:val="24"/>
          <w:szCs w:val="24"/>
          <w:lang w:val="en-US" w:eastAsia="en-US" w:bidi="en-US"/>
        </w:rPr>
        <w:t>2.</w:t>
      </w:r>
      <w:r>
        <w:rPr>
          <w:rFonts w:hint="eastAsia" w:ascii="宋体" w:hAnsi="宋体" w:eastAsia="宋体" w:cs="宋体"/>
          <w:color w:val="000000"/>
          <w:spacing w:val="0"/>
          <w:w w:val="100"/>
          <w:position w:val="0"/>
          <w:sz w:val="24"/>
          <w:szCs w:val="24"/>
        </w:rPr>
        <w:t>投标人在本表中所提供的证件存在虚假行为的，一经查实，由此给投标人带来的不利或其投标被拒绝，由投标人自行负责并承担由此造成的一切后果，敬请投标人注意！</w:t>
      </w:r>
    </w:p>
    <w:p>
      <w:pPr>
        <w:spacing w:before="120" w:after="120"/>
        <w:jc w:val="center"/>
        <w:rPr>
          <w:rFonts w:hint="eastAsia" w:ascii="仿宋" w:hAnsi="仿宋" w:eastAsia="仿宋" w:cs="仿宋"/>
          <w:b/>
          <w:color w:val="000000"/>
          <w:sz w:val="30"/>
          <w:szCs w:val="30"/>
          <w:lang w:val="en-US" w:eastAsia="zh-CN"/>
        </w:rPr>
      </w:pPr>
      <w:r>
        <w:rPr>
          <w:rFonts w:hint="eastAsia" w:ascii="仿宋" w:hAnsi="仿宋" w:eastAsia="仿宋" w:cs="仿宋"/>
          <w:b/>
          <w:color w:val="000000"/>
          <w:sz w:val="30"/>
          <w:szCs w:val="30"/>
          <w:lang w:val="en-US" w:eastAsia="zh-CN"/>
        </w:rPr>
        <w:t>（七）中小企业声明函</w:t>
      </w:r>
    </w:p>
    <w:p>
      <w:pPr>
        <w:spacing w:after="120" w:line="500" w:lineRule="exact"/>
        <w:ind w:right="142" w:firstLine="823" w:firstLineChars="294"/>
        <w:rPr>
          <w:rFonts w:hint="eastAsia" w:ascii="宋体" w:hAnsi="宋体" w:eastAsia="宋体" w:cs="宋体"/>
          <w:sz w:val="28"/>
          <w:szCs w:val="28"/>
        </w:rPr>
      </w:pPr>
      <w:r>
        <w:rPr>
          <w:rFonts w:hint="eastAsia" w:ascii="宋体" w:hAnsi="宋体" w:eastAsia="宋体" w:cs="宋体"/>
          <w:sz w:val="28"/>
          <w:szCs w:val="28"/>
        </w:rPr>
        <w:t>本公司（联合体）郑重声明，根据《政府采购促进中小企业发展管理办法》（财库﹝2020﹞46号）的规定，本公司（联合体）参加</w:t>
      </w:r>
      <w:r>
        <w:rPr>
          <w:rFonts w:hint="eastAsia" w:ascii="宋体" w:hAnsi="宋体" w:eastAsia="宋体" w:cs="宋体"/>
          <w:sz w:val="28"/>
          <w:szCs w:val="28"/>
          <w:u w:val="single"/>
        </w:rPr>
        <w:t>（单位名称）</w:t>
      </w:r>
      <w:r>
        <w:rPr>
          <w:rFonts w:hint="eastAsia" w:ascii="宋体" w:hAnsi="宋体" w:eastAsia="宋体" w:cs="宋体"/>
          <w:sz w:val="28"/>
          <w:szCs w:val="28"/>
        </w:rPr>
        <w:t>的</w:t>
      </w:r>
      <w:r>
        <w:rPr>
          <w:rFonts w:hint="eastAsia" w:ascii="宋体" w:hAnsi="宋体" w:eastAsia="宋体" w:cs="宋体"/>
          <w:sz w:val="28"/>
          <w:szCs w:val="28"/>
          <w:u w:val="single"/>
        </w:rPr>
        <w:t>（项目名称）</w:t>
      </w:r>
      <w:r>
        <w:rPr>
          <w:rFonts w:hint="eastAsia" w:ascii="宋体" w:hAnsi="宋体" w:eastAsia="宋体" w:cs="宋体"/>
          <w:sz w:val="28"/>
          <w:szCs w:val="28"/>
        </w:rPr>
        <w:t>采购活动，服务全部由符合政策要求的中小企业承接。相关企业（含联合体中的中小企业、签订分包意向协议的中小企业）的具体情况如下：</w:t>
      </w:r>
    </w:p>
    <w:p>
      <w:pPr>
        <w:tabs>
          <w:tab w:val="left" w:pos="1384"/>
          <w:tab w:val="left" w:pos="4562"/>
          <w:tab w:val="left" w:pos="6803"/>
        </w:tabs>
        <w:spacing w:before="13" w:line="500" w:lineRule="exact"/>
        <w:ind w:right="142" w:firstLine="901" w:firstLineChars="322"/>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u w:val="single"/>
        </w:rPr>
        <w:t>（标的名称）</w:t>
      </w:r>
      <w:r>
        <w:rPr>
          <w:rFonts w:hint="eastAsia" w:ascii="宋体" w:hAnsi="宋体" w:eastAsia="宋体" w:cs="宋体"/>
          <w:sz w:val="28"/>
          <w:szCs w:val="28"/>
        </w:rPr>
        <w:t>，属于</w:t>
      </w:r>
      <w:r>
        <w:rPr>
          <w:rFonts w:hint="eastAsia" w:ascii="宋体" w:hAnsi="宋体" w:cs="宋体"/>
          <w:sz w:val="28"/>
          <w:szCs w:val="28"/>
          <w:u w:val="single"/>
          <w:lang w:val="en-US" w:eastAsia="zh-CN"/>
        </w:rPr>
        <w:t xml:space="preserve"> 服务行业 </w:t>
      </w:r>
      <w:r>
        <w:rPr>
          <w:rFonts w:hint="eastAsia" w:ascii="宋体" w:hAnsi="宋体" w:eastAsia="宋体" w:cs="宋体"/>
          <w:sz w:val="28"/>
          <w:szCs w:val="28"/>
        </w:rPr>
        <w:t>；承接企业为</w:t>
      </w:r>
      <w:r>
        <w:rPr>
          <w:rFonts w:hint="eastAsia" w:ascii="宋体" w:hAnsi="宋体" w:eastAsia="宋体" w:cs="宋体"/>
          <w:sz w:val="28"/>
          <w:szCs w:val="28"/>
          <w:u w:val="single"/>
        </w:rPr>
        <w:t>（企业名称）</w:t>
      </w:r>
      <w:r>
        <w:rPr>
          <w:rFonts w:hint="eastAsia" w:ascii="宋体" w:hAnsi="宋体" w:eastAsia="宋体" w:cs="宋体"/>
          <w:sz w:val="28"/>
          <w:szCs w:val="28"/>
        </w:rPr>
        <w:t>，从业人员</w:t>
      </w:r>
      <w:r>
        <w:rPr>
          <w:rFonts w:hint="eastAsia" w:ascii="宋体" w:hAnsi="宋体" w:eastAsia="宋体" w:cs="宋体"/>
          <w:sz w:val="28"/>
          <w:szCs w:val="28"/>
          <w:u w:val="single"/>
        </w:rPr>
        <w:t xml:space="preserve">      </w:t>
      </w:r>
      <w:r>
        <w:rPr>
          <w:rFonts w:hint="eastAsia" w:ascii="宋体" w:hAnsi="宋体" w:eastAsia="宋体" w:cs="宋体"/>
          <w:sz w:val="28"/>
          <w:szCs w:val="28"/>
        </w:rPr>
        <w:t>人，营业收入为</w:t>
      </w:r>
      <w:r>
        <w:rPr>
          <w:rFonts w:hint="eastAsia" w:ascii="宋体" w:hAnsi="宋体" w:eastAsia="宋体" w:cs="宋体"/>
          <w:sz w:val="28"/>
          <w:szCs w:val="28"/>
          <w:u w:val="single"/>
        </w:rPr>
        <w:t xml:space="preserve">      </w:t>
      </w:r>
      <w:r>
        <w:rPr>
          <w:rFonts w:hint="eastAsia" w:ascii="宋体" w:hAnsi="宋体" w:eastAsia="宋体" w:cs="宋体"/>
          <w:sz w:val="28"/>
          <w:szCs w:val="28"/>
        </w:rPr>
        <w:t>万元，资产总额为</w:t>
      </w:r>
      <w:r>
        <w:rPr>
          <w:rFonts w:hint="eastAsia" w:ascii="宋体" w:hAnsi="宋体" w:eastAsia="宋体" w:cs="宋体"/>
          <w:sz w:val="28"/>
          <w:szCs w:val="28"/>
          <w:u w:val="single"/>
        </w:rPr>
        <w:t xml:space="preserve">      </w:t>
      </w:r>
      <w:r>
        <w:rPr>
          <w:rFonts w:hint="eastAsia" w:ascii="宋体" w:hAnsi="宋体" w:eastAsia="宋体" w:cs="宋体"/>
          <w:sz w:val="28"/>
          <w:szCs w:val="28"/>
        </w:rPr>
        <w:t>万元，属于</w:t>
      </w:r>
      <w:r>
        <w:rPr>
          <w:rFonts w:hint="eastAsia" w:ascii="宋体" w:hAnsi="宋体" w:eastAsia="宋体" w:cs="宋体"/>
          <w:sz w:val="28"/>
          <w:szCs w:val="28"/>
          <w:u w:val="single"/>
        </w:rPr>
        <w:t>（中型企业、小型企业、微型企业）</w:t>
      </w:r>
      <w:r>
        <w:rPr>
          <w:rFonts w:hint="eastAsia" w:ascii="宋体" w:hAnsi="宋体" w:eastAsia="宋体" w:cs="宋体"/>
          <w:sz w:val="28"/>
          <w:szCs w:val="28"/>
        </w:rPr>
        <w:t>；</w:t>
      </w:r>
    </w:p>
    <w:p>
      <w:pPr>
        <w:spacing w:before="34" w:after="120" w:line="500" w:lineRule="exact"/>
        <w:ind w:right="142" w:firstLine="823" w:firstLineChars="294"/>
        <w:rPr>
          <w:rFonts w:hint="eastAsia" w:ascii="宋体" w:hAnsi="宋体" w:eastAsia="宋体" w:cs="宋体"/>
          <w:sz w:val="28"/>
          <w:szCs w:val="28"/>
        </w:rPr>
      </w:pPr>
      <w:r>
        <w:rPr>
          <w:rFonts w:hint="eastAsia" w:ascii="宋体" w:hAnsi="宋体" w:eastAsia="宋体" w:cs="宋体"/>
          <w:sz w:val="28"/>
          <w:szCs w:val="28"/>
        </w:rPr>
        <w:t>以上企业，不属于大企业的分支机构，不存在控股股东为大企业的情形，也不存在与大企业的负责人为同一人的情形。</w:t>
      </w:r>
    </w:p>
    <w:p>
      <w:pPr>
        <w:spacing w:before="25" w:after="120" w:line="500" w:lineRule="exact"/>
        <w:ind w:right="142" w:firstLine="823" w:firstLineChars="294"/>
        <w:rPr>
          <w:rFonts w:hint="eastAsia" w:ascii="宋体" w:hAnsi="宋体" w:eastAsia="宋体" w:cs="宋体"/>
          <w:sz w:val="28"/>
          <w:szCs w:val="28"/>
        </w:rPr>
      </w:pPr>
      <w:r>
        <w:rPr>
          <w:rFonts w:hint="eastAsia" w:ascii="宋体" w:hAnsi="宋体" w:eastAsia="宋体" w:cs="宋体"/>
          <w:sz w:val="28"/>
          <w:szCs w:val="28"/>
        </w:rPr>
        <w:t>本企业对上述声明内容的真实性负责。如有虚假，将依法承担相应责任。</w:t>
      </w:r>
    </w:p>
    <w:p>
      <w:pPr>
        <w:spacing w:before="56" w:after="120" w:line="500" w:lineRule="exact"/>
        <w:ind w:right="1808" w:firstLine="823" w:firstLineChars="294"/>
        <w:rPr>
          <w:rFonts w:hint="eastAsia" w:ascii="宋体" w:hAnsi="宋体" w:eastAsia="宋体" w:cs="宋体"/>
          <w:sz w:val="28"/>
          <w:szCs w:val="28"/>
        </w:rPr>
      </w:pPr>
    </w:p>
    <w:p>
      <w:pPr>
        <w:spacing w:before="56" w:after="120" w:line="500" w:lineRule="exact"/>
        <w:ind w:right="650" w:firstLine="5040" w:firstLineChars="1800"/>
        <w:rPr>
          <w:rFonts w:hint="eastAsia" w:ascii="宋体" w:hAnsi="宋体" w:eastAsia="宋体" w:cs="宋体"/>
          <w:sz w:val="28"/>
          <w:szCs w:val="28"/>
        </w:rPr>
      </w:pPr>
      <w:r>
        <w:rPr>
          <w:rFonts w:hint="eastAsia" w:ascii="宋体" w:hAnsi="宋体" w:eastAsia="宋体" w:cs="宋体"/>
          <w:sz w:val="28"/>
          <w:szCs w:val="28"/>
        </w:rPr>
        <w:t xml:space="preserve">企业名称（公章）： </w:t>
      </w:r>
    </w:p>
    <w:p>
      <w:pPr>
        <w:spacing w:before="56" w:after="120" w:line="500" w:lineRule="exact"/>
        <w:ind w:right="1808" w:firstLine="5040" w:firstLineChars="1800"/>
        <w:rPr>
          <w:rFonts w:hint="eastAsia" w:ascii="宋体" w:hAnsi="宋体" w:eastAsia="宋体" w:cs="宋体"/>
          <w:sz w:val="28"/>
          <w:szCs w:val="28"/>
        </w:rPr>
      </w:pPr>
      <w:r>
        <w:rPr>
          <w:rFonts w:hint="eastAsia" w:ascii="宋体" w:hAnsi="宋体" w:eastAsia="宋体" w:cs="宋体"/>
          <w:sz w:val="28"/>
          <w:szCs w:val="28"/>
        </w:rPr>
        <w:t xml:space="preserve">日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期：</w:t>
      </w:r>
    </w:p>
    <w:p>
      <w:pPr>
        <w:spacing w:before="25" w:after="120" w:line="500" w:lineRule="exact"/>
        <w:ind w:right="142" w:firstLine="823" w:firstLineChars="294"/>
        <w:rPr>
          <w:rFonts w:hint="eastAsia" w:ascii="宋体" w:hAnsi="宋体" w:eastAsia="宋体" w:cs="宋体"/>
          <w:sz w:val="28"/>
          <w:szCs w:val="28"/>
        </w:rPr>
      </w:pPr>
      <w:r>
        <w:rPr>
          <w:rFonts w:hint="eastAsia" w:ascii="宋体" w:hAnsi="宋体" w:eastAsia="宋体" w:cs="宋体"/>
          <w:sz w:val="28"/>
          <w:szCs w:val="28"/>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 xml:space="preserve"> </w:t>
      </w:r>
    </w:p>
    <w:p>
      <w:pPr>
        <w:tabs>
          <w:tab w:val="left" w:pos="5805"/>
        </w:tabs>
        <w:spacing w:line="450" w:lineRule="atLeast"/>
        <w:rPr>
          <w:rFonts w:hint="eastAsia" w:ascii="宋体" w:hAnsi="宋体" w:eastAsia="宋体" w:cs="宋体"/>
          <w:i w:val="0"/>
          <w:iCs w:val="0"/>
          <w:color w:val="auto"/>
          <w:sz w:val="24"/>
          <w:highlight w:val="none"/>
        </w:rPr>
      </w:pPr>
    </w:p>
    <w:p>
      <w:pPr>
        <w:rPr>
          <w:rFonts w:hint="eastAsia" w:ascii="宋体" w:hAnsi="宋体" w:eastAsia="宋体" w:cs="宋体"/>
          <w:i w:val="0"/>
          <w:iCs w:val="0"/>
          <w:color w:val="auto"/>
          <w:szCs w:val="21"/>
          <w:highlight w:val="none"/>
        </w:rPr>
      </w:pPr>
    </w:p>
    <w:p>
      <w:pPr>
        <w:pStyle w:val="8"/>
        <w:rPr>
          <w:rFonts w:hint="eastAsia" w:ascii="宋体" w:hAnsi="宋体" w:eastAsia="宋体" w:cs="宋体"/>
          <w:i w:val="0"/>
          <w:iCs w:val="0"/>
          <w:color w:val="auto"/>
          <w:szCs w:val="21"/>
          <w:highlight w:val="none"/>
        </w:rPr>
      </w:pPr>
    </w:p>
    <w:p>
      <w:pPr>
        <w:rPr>
          <w:rFonts w:hint="eastAsia"/>
        </w:rPr>
      </w:pPr>
    </w:p>
    <w:p>
      <w:pPr>
        <w:pStyle w:val="8"/>
        <w:numPr>
          <w:ilvl w:val="0"/>
          <w:numId w:val="0"/>
        </w:numPr>
        <w:jc w:val="center"/>
        <w:rPr>
          <w:rFonts w:hint="eastAsia" w:ascii="宋体" w:hAnsi="宋体" w:eastAsia="宋体" w:cs="宋体"/>
          <w:b/>
          <w:color w:val="auto"/>
          <w:kern w:val="0"/>
          <w:sz w:val="36"/>
          <w:szCs w:val="36"/>
          <w:lang w:val="en-US" w:eastAsia="zh-CN" w:bidi="ar"/>
        </w:rPr>
      </w:pPr>
      <w:r>
        <w:rPr>
          <w:rFonts w:hint="eastAsia" w:ascii="宋体" w:hAnsi="宋体" w:eastAsia="宋体" w:cs="宋体"/>
          <w:b/>
          <w:color w:val="auto"/>
          <w:kern w:val="0"/>
          <w:sz w:val="36"/>
          <w:szCs w:val="36"/>
          <w:lang w:val="en-US" w:eastAsia="zh-CN" w:bidi="ar"/>
        </w:rPr>
        <w:t>（</w:t>
      </w:r>
      <w:r>
        <w:rPr>
          <w:rFonts w:hint="eastAsia" w:ascii="宋体" w:hAnsi="宋体" w:cs="宋体"/>
          <w:b/>
          <w:color w:val="auto"/>
          <w:kern w:val="0"/>
          <w:sz w:val="36"/>
          <w:szCs w:val="36"/>
          <w:lang w:val="en-US" w:eastAsia="zh-CN" w:bidi="ar"/>
        </w:rPr>
        <w:t>八</w:t>
      </w:r>
      <w:r>
        <w:rPr>
          <w:rFonts w:hint="eastAsia" w:ascii="宋体" w:hAnsi="宋体" w:eastAsia="宋体" w:cs="宋体"/>
          <w:b/>
          <w:color w:val="auto"/>
          <w:kern w:val="0"/>
          <w:sz w:val="36"/>
          <w:szCs w:val="36"/>
          <w:lang w:val="en-US" w:eastAsia="zh-CN" w:bidi="ar"/>
        </w:rPr>
        <w:t>）其他材料</w:t>
      </w:r>
    </w:p>
    <w:p>
      <w:pPr>
        <w:numPr>
          <w:ilvl w:val="0"/>
          <w:numId w:val="0"/>
        </w:numPr>
        <w:rPr>
          <w:rFonts w:hint="default"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其他投标人认为需要提供的资料。</w:t>
      </w:r>
    </w:p>
    <w:p>
      <w:pPr>
        <w:pStyle w:val="27"/>
        <w:spacing w:line="360" w:lineRule="atLeast"/>
        <w:jc w:val="center"/>
        <w:rPr>
          <w:rFonts w:hint="eastAsia" w:ascii="宋体" w:hAnsi="宋体" w:eastAsia="宋体" w:cs="宋体"/>
          <w:b/>
          <w:color w:val="auto"/>
          <w:kern w:val="0"/>
          <w:sz w:val="36"/>
          <w:szCs w:val="36"/>
          <w:lang w:val="en-US" w:eastAsia="zh-CN" w:bidi="ar"/>
        </w:rPr>
      </w:pPr>
    </w:p>
    <w:p>
      <w:pPr>
        <w:pStyle w:val="27"/>
        <w:spacing w:line="360" w:lineRule="atLeast"/>
        <w:jc w:val="center"/>
        <w:rPr>
          <w:rFonts w:hint="eastAsia" w:ascii="宋体" w:hAnsi="宋体" w:eastAsia="宋体" w:cs="宋体"/>
          <w:b/>
          <w:color w:val="auto"/>
          <w:kern w:val="0"/>
          <w:sz w:val="36"/>
          <w:szCs w:val="36"/>
          <w:lang w:val="en-US" w:eastAsia="zh-CN" w:bidi="ar"/>
        </w:rPr>
      </w:pPr>
    </w:p>
    <w:p>
      <w:pPr>
        <w:pStyle w:val="27"/>
        <w:spacing w:line="360" w:lineRule="atLeast"/>
        <w:jc w:val="center"/>
        <w:rPr>
          <w:rFonts w:hint="eastAsia" w:ascii="宋体" w:hAnsi="宋体" w:eastAsia="宋体" w:cs="宋体"/>
          <w:b/>
          <w:color w:val="auto"/>
          <w:kern w:val="0"/>
          <w:sz w:val="36"/>
          <w:szCs w:val="36"/>
          <w:lang w:val="en-US" w:eastAsia="zh-CN" w:bidi="ar"/>
        </w:rPr>
      </w:pPr>
    </w:p>
    <w:p>
      <w:pPr>
        <w:pStyle w:val="27"/>
        <w:spacing w:line="360" w:lineRule="atLeast"/>
        <w:jc w:val="center"/>
        <w:rPr>
          <w:rFonts w:hint="eastAsia" w:ascii="宋体" w:hAnsi="宋体" w:eastAsia="宋体" w:cs="宋体"/>
          <w:b/>
          <w:color w:val="auto"/>
          <w:kern w:val="0"/>
          <w:sz w:val="36"/>
          <w:szCs w:val="36"/>
          <w:lang w:val="en-US" w:eastAsia="zh-CN" w:bidi="ar"/>
        </w:rPr>
      </w:pPr>
    </w:p>
    <w:p>
      <w:pPr>
        <w:pStyle w:val="27"/>
        <w:spacing w:line="360" w:lineRule="atLeast"/>
        <w:jc w:val="center"/>
        <w:rPr>
          <w:rFonts w:hint="eastAsia" w:ascii="宋体" w:hAnsi="宋体" w:eastAsia="宋体" w:cs="宋体"/>
          <w:b/>
          <w:color w:val="auto"/>
          <w:kern w:val="0"/>
          <w:sz w:val="36"/>
          <w:szCs w:val="36"/>
          <w:lang w:val="en-US" w:eastAsia="zh-CN" w:bidi="ar"/>
        </w:rPr>
      </w:pPr>
    </w:p>
    <w:p>
      <w:pPr>
        <w:pStyle w:val="27"/>
        <w:spacing w:line="360" w:lineRule="atLeast"/>
        <w:jc w:val="center"/>
        <w:rPr>
          <w:rFonts w:hint="eastAsia" w:ascii="宋体" w:hAnsi="宋体" w:eastAsia="宋体" w:cs="宋体"/>
          <w:b/>
          <w:color w:val="auto"/>
          <w:kern w:val="0"/>
          <w:sz w:val="36"/>
          <w:szCs w:val="36"/>
          <w:lang w:val="en-US" w:eastAsia="zh-CN" w:bidi="ar"/>
        </w:rPr>
      </w:pPr>
    </w:p>
    <w:p>
      <w:pPr>
        <w:pStyle w:val="27"/>
        <w:spacing w:line="360" w:lineRule="atLeast"/>
        <w:jc w:val="center"/>
        <w:rPr>
          <w:rFonts w:hint="eastAsia" w:ascii="宋体" w:hAnsi="宋体" w:eastAsia="宋体" w:cs="宋体"/>
          <w:b/>
          <w:color w:val="auto"/>
          <w:kern w:val="0"/>
          <w:sz w:val="36"/>
          <w:szCs w:val="36"/>
          <w:lang w:val="en-US" w:eastAsia="zh-CN" w:bidi="ar"/>
        </w:rPr>
      </w:pPr>
    </w:p>
    <w:p>
      <w:pPr>
        <w:pStyle w:val="27"/>
        <w:spacing w:line="360" w:lineRule="atLeast"/>
        <w:jc w:val="center"/>
        <w:rPr>
          <w:rFonts w:hint="eastAsia" w:ascii="宋体" w:hAnsi="宋体" w:eastAsia="宋体" w:cs="宋体"/>
          <w:b/>
          <w:color w:val="auto"/>
          <w:kern w:val="0"/>
          <w:sz w:val="36"/>
          <w:szCs w:val="36"/>
          <w:lang w:val="en-US" w:eastAsia="zh-CN" w:bidi="ar"/>
        </w:rPr>
      </w:pPr>
    </w:p>
    <w:p>
      <w:pPr>
        <w:pStyle w:val="27"/>
        <w:spacing w:line="360" w:lineRule="atLeast"/>
        <w:jc w:val="center"/>
        <w:rPr>
          <w:rFonts w:hint="eastAsia" w:ascii="宋体" w:hAnsi="宋体" w:eastAsia="宋体" w:cs="宋体"/>
          <w:b/>
          <w:color w:val="auto"/>
          <w:kern w:val="0"/>
          <w:sz w:val="36"/>
          <w:szCs w:val="36"/>
          <w:lang w:val="en-US" w:eastAsia="zh-CN" w:bidi="ar"/>
        </w:rPr>
      </w:pPr>
    </w:p>
    <w:p>
      <w:pPr>
        <w:pStyle w:val="27"/>
        <w:spacing w:line="360" w:lineRule="atLeast"/>
        <w:jc w:val="center"/>
        <w:rPr>
          <w:rFonts w:hint="eastAsia" w:ascii="宋体" w:hAnsi="宋体" w:eastAsia="宋体" w:cs="宋体"/>
          <w:b/>
          <w:color w:val="auto"/>
          <w:kern w:val="0"/>
          <w:sz w:val="36"/>
          <w:szCs w:val="36"/>
          <w:lang w:val="en-US" w:eastAsia="zh-CN" w:bidi="ar"/>
        </w:rPr>
      </w:pPr>
    </w:p>
    <w:p>
      <w:pPr>
        <w:pStyle w:val="27"/>
        <w:spacing w:line="360" w:lineRule="atLeast"/>
        <w:jc w:val="center"/>
        <w:rPr>
          <w:rFonts w:hint="eastAsia" w:ascii="宋体" w:hAnsi="宋体" w:eastAsia="宋体" w:cs="宋体"/>
          <w:b/>
          <w:color w:val="auto"/>
          <w:kern w:val="0"/>
          <w:sz w:val="36"/>
          <w:szCs w:val="36"/>
          <w:lang w:val="en-US" w:eastAsia="zh-CN" w:bidi="ar"/>
        </w:rPr>
      </w:pPr>
    </w:p>
    <w:p>
      <w:pPr>
        <w:pStyle w:val="27"/>
        <w:spacing w:line="360" w:lineRule="atLeast"/>
        <w:jc w:val="center"/>
        <w:rPr>
          <w:rFonts w:hint="eastAsia" w:ascii="宋体" w:hAnsi="宋体" w:eastAsia="宋体" w:cs="宋体"/>
          <w:b/>
          <w:color w:val="auto"/>
          <w:kern w:val="0"/>
          <w:sz w:val="36"/>
          <w:szCs w:val="36"/>
          <w:lang w:val="en-US" w:eastAsia="zh-CN" w:bidi="ar"/>
        </w:rPr>
      </w:pPr>
    </w:p>
    <w:p>
      <w:pPr>
        <w:pStyle w:val="27"/>
        <w:spacing w:line="360" w:lineRule="atLeast"/>
        <w:jc w:val="center"/>
        <w:rPr>
          <w:rFonts w:hint="eastAsia" w:ascii="宋体" w:hAnsi="宋体" w:eastAsia="宋体" w:cs="宋体"/>
          <w:b/>
          <w:color w:val="auto"/>
          <w:kern w:val="0"/>
          <w:sz w:val="36"/>
          <w:szCs w:val="36"/>
          <w:lang w:val="en-US" w:eastAsia="zh-CN" w:bidi="ar"/>
        </w:rPr>
      </w:pPr>
    </w:p>
    <w:p>
      <w:pPr>
        <w:pStyle w:val="27"/>
        <w:spacing w:line="360" w:lineRule="atLeast"/>
        <w:jc w:val="center"/>
        <w:rPr>
          <w:rFonts w:hint="eastAsia" w:ascii="宋体" w:hAnsi="宋体" w:eastAsia="宋体" w:cs="宋体"/>
          <w:b/>
          <w:color w:val="auto"/>
          <w:kern w:val="0"/>
          <w:sz w:val="36"/>
          <w:szCs w:val="36"/>
          <w:lang w:val="en-US" w:eastAsia="zh-CN" w:bidi="ar"/>
        </w:rPr>
      </w:pPr>
    </w:p>
    <w:p>
      <w:pPr>
        <w:pStyle w:val="27"/>
        <w:spacing w:line="360" w:lineRule="atLeast"/>
        <w:jc w:val="center"/>
        <w:rPr>
          <w:rFonts w:hint="eastAsia" w:ascii="宋体" w:hAnsi="宋体" w:eastAsia="宋体" w:cs="宋体"/>
          <w:b/>
          <w:color w:val="auto"/>
          <w:kern w:val="0"/>
          <w:sz w:val="36"/>
          <w:szCs w:val="36"/>
          <w:lang w:val="en-US" w:eastAsia="zh-CN" w:bidi="ar"/>
        </w:rPr>
      </w:pPr>
    </w:p>
    <w:p>
      <w:pPr>
        <w:pStyle w:val="27"/>
        <w:spacing w:line="360" w:lineRule="atLeast"/>
        <w:jc w:val="center"/>
        <w:rPr>
          <w:rFonts w:hint="eastAsia" w:ascii="宋体" w:hAnsi="宋体" w:eastAsia="宋体" w:cs="宋体"/>
          <w:b/>
          <w:color w:val="auto"/>
          <w:kern w:val="0"/>
          <w:sz w:val="36"/>
          <w:szCs w:val="36"/>
          <w:lang w:val="en-US" w:eastAsia="zh-CN" w:bidi="ar"/>
        </w:rPr>
      </w:pPr>
    </w:p>
    <w:p>
      <w:pPr>
        <w:pStyle w:val="27"/>
        <w:spacing w:line="360" w:lineRule="atLeast"/>
        <w:jc w:val="center"/>
        <w:rPr>
          <w:rFonts w:hint="eastAsia" w:ascii="宋体" w:hAnsi="宋体" w:eastAsia="宋体" w:cs="宋体"/>
          <w:b/>
          <w:color w:val="auto"/>
          <w:kern w:val="0"/>
          <w:sz w:val="36"/>
          <w:szCs w:val="36"/>
          <w:lang w:val="en-US" w:eastAsia="zh-CN" w:bidi="ar"/>
        </w:rPr>
      </w:pPr>
    </w:p>
    <w:p>
      <w:pPr>
        <w:pStyle w:val="27"/>
        <w:spacing w:line="360" w:lineRule="atLeast"/>
        <w:jc w:val="center"/>
        <w:rPr>
          <w:rFonts w:hint="eastAsia" w:ascii="宋体" w:hAnsi="宋体" w:eastAsia="宋体" w:cs="宋体"/>
          <w:b/>
          <w:color w:val="auto"/>
          <w:kern w:val="0"/>
          <w:sz w:val="36"/>
          <w:szCs w:val="36"/>
          <w:lang w:val="en-US" w:eastAsia="zh-CN" w:bidi="ar"/>
        </w:rPr>
      </w:pPr>
    </w:p>
    <w:p>
      <w:pPr>
        <w:pStyle w:val="27"/>
        <w:spacing w:line="360" w:lineRule="atLeast"/>
        <w:jc w:val="center"/>
        <w:rPr>
          <w:rFonts w:hint="eastAsia" w:ascii="宋体" w:hAnsi="宋体" w:eastAsia="宋体" w:cs="宋体"/>
          <w:b/>
          <w:color w:val="auto"/>
          <w:kern w:val="0"/>
          <w:sz w:val="36"/>
          <w:szCs w:val="36"/>
          <w:lang w:val="en-US" w:eastAsia="zh-CN" w:bidi="ar"/>
        </w:rPr>
      </w:pPr>
    </w:p>
    <w:p>
      <w:pPr>
        <w:pStyle w:val="27"/>
        <w:spacing w:line="360" w:lineRule="atLeast"/>
        <w:jc w:val="center"/>
        <w:rPr>
          <w:rFonts w:hint="eastAsia" w:ascii="宋体" w:hAnsi="宋体" w:eastAsia="宋体" w:cs="宋体"/>
          <w:b/>
          <w:color w:val="auto"/>
          <w:kern w:val="0"/>
          <w:sz w:val="36"/>
          <w:szCs w:val="36"/>
          <w:lang w:val="en-US" w:eastAsia="zh-CN" w:bidi="ar"/>
        </w:rPr>
      </w:pPr>
    </w:p>
    <w:p>
      <w:pPr>
        <w:pStyle w:val="27"/>
        <w:spacing w:line="360" w:lineRule="atLeast"/>
        <w:jc w:val="center"/>
        <w:rPr>
          <w:rFonts w:hint="default" w:ascii="宋体" w:hAnsi="宋体" w:eastAsia="宋体" w:cs="宋体"/>
          <w:b/>
          <w:color w:val="auto"/>
          <w:sz w:val="28"/>
          <w:szCs w:val="28"/>
          <w:lang w:val="en-US"/>
        </w:rPr>
      </w:pPr>
      <w:r>
        <w:rPr>
          <w:rFonts w:hint="eastAsia" w:ascii="宋体" w:hAnsi="宋体" w:cs="宋体"/>
          <w:b/>
          <w:color w:val="auto"/>
          <w:kern w:val="0"/>
          <w:sz w:val="36"/>
          <w:szCs w:val="36"/>
          <w:lang w:val="en-US" w:eastAsia="zh-CN" w:bidi="ar"/>
        </w:rPr>
        <w:t>（九）</w:t>
      </w:r>
      <w:r>
        <w:rPr>
          <w:rFonts w:hint="eastAsia" w:ascii="宋体" w:hAnsi="宋体" w:eastAsia="宋体" w:cs="宋体"/>
          <w:b/>
          <w:color w:val="auto"/>
          <w:kern w:val="0"/>
          <w:sz w:val="36"/>
          <w:szCs w:val="36"/>
          <w:lang w:val="en-US" w:eastAsia="zh-CN" w:bidi="ar"/>
        </w:rPr>
        <w:t>技术标部分</w:t>
      </w:r>
    </w:p>
    <w:p>
      <w:pPr>
        <w:pStyle w:val="27"/>
        <w:spacing w:line="360" w:lineRule="atLeast"/>
        <w:rPr>
          <w:rFonts w:hint="eastAsia" w:ascii="宋体" w:hAnsi="宋体" w:eastAsia="宋体" w:cs="宋体"/>
          <w:bCs/>
          <w:color w:val="auto"/>
          <w:sz w:val="24"/>
          <w:szCs w:val="24"/>
        </w:rPr>
      </w:pPr>
      <w:r>
        <w:rPr>
          <w:rFonts w:hint="eastAsia" w:ascii="宋体" w:hAnsi="宋体" w:cs="宋体"/>
          <w:bCs/>
          <w:color w:val="auto"/>
          <w:sz w:val="24"/>
          <w:szCs w:val="24"/>
          <w:lang w:val="en-US" w:eastAsia="zh-CN"/>
        </w:rPr>
        <w:t>按照打分项格式自拟。</w:t>
      </w:r>
    </w:p>
    <w:p>
      <w:pPr>
        <w:pStyle w:val="27"/>
        <w:spacing w:line="360" w:lineRule="atLeast"/>
        <w:rPr>
          <w:rFonts w:hint="eastAsia" w:ascii="宋体" w:hAnsi="宋体" w:eastAsia="宋体" w:cs="宋体"/>
          <w:bCs/>
          <w:color w:val="auto"/>
          <w:sz w:val="28"/>
          <w:szCs w:val="28"/>
        </w:rPr>
      </w:pPr>
    </w:p>
    <w:p>
      <w:pPr>
        <w:pStyle w:val="27"/>
        <w:spacing w:line="360" w:lineRule="atLeast"/>
        <w:rPr>
          <w:rFonts w:hint="eastAsia" w:ascii="宋体" w:hAnsi="宋体" w:eastAsia="宋体" w:cs="宋体"/>
          <w:bCs/>
          <w:color w:val="auto"/>
          <w:sz w:val="28"/>
          <w:szCs w:val="28"/>
        </w:rPr>
      </w:pPr>
    </w:p>
    <w:p>
      <w:pPr>
        <w:pStyle w:val="27"/>
        <w:spacing w:line="360" w:lineRule="atLeast"/>
        <w:rPr>
          <w:rFonts w:hint="eastAsia" w:ascii="宋体" w:hAnsi="宋体" w:eastAsia="宋体" w:cs="宋体"/>
          <w:bCs/>
          <w:color w:val="auto"/>
          <w:sz w:val="28"/>
          <w:szCs w:val="28"/>
        </w:rPr>
      </w:pPr>
    </w:p>
    <w:p>
      <w:pPr>
        <w:pStyle w:val="27"/>
        <w:spacing w:line="360" w:lineRule="atLeast"/>
        <w:rPr>
          <w:rFonts w:hint="eastAsia" w:ascii="宋体" w:hAnsi="宋体" w:eastAsia="宋体" w:cs="宋体"/>
          <w:bCs/>
          <w:color w:val="auto"/>
          <w:sz w:val="28"/>
          <w:szCs w:val="28"/>
        </w:rPr>
      </w:pPr>
    </w:p>
    <w:p>
      <w:pPr>
        <w:pStyle w:val="27"/>
        <w:spacing w:line="360" w:lineRule="atLeast"/>
        <w:rPr>
          <w:rFonts w:hint="eastAsia" w:ascii="宋体" w:hAnsi="宋体" w:eastAsia="宋体" w:cs="宋体"/>
          <w:bCs/>
          <w:color w:val="auto"/>
          <w:sz w:val="28"/>
          <w:szCs w:val="28"/>
        </w:rPr>
      </w:pPr>
    </w:p>
    <w:p>
      <w:pPr>
        <w:pStyle w:val="12"/>
        <w:spacing w:line="360" w:lineRule="auto"/>
        <w:ind w:firstLine="0"/>
        <w:jc w:val="right"/>
        <w:rPr>
          <w:rFonts w:hint="eastAsia" w:ascii="宋体" w:hAnsi="宋体" w:eastAsia="宋体" w:cs="宋体"/>
          <w:color w:val="auto"/>
          <w:szCs w:val="28"/>
        </w:rPr>
      </w:pPr>
      <w:r>
        <w:rPr>
          <w:rFonts w:hint="eastAsia" w:ascii="宋体" w:hAnsi="宋体" w:eastAsia="宋体" w:cs="宋体"/>
          <w:color w:val="auto"/>
          <w:kern w:val="0"/>
          <w:szCs w:val="28"/>
        </w:rPr>
        <w:t xml:space="preserve">                </w:t>
      </w:r>
      <w:r>
        <w:rPr>
          <w:rFonts w:hint="eastAsia" w:ascii="宋体" w:hAnsi="宋体" w:eastAsia="宋体" w:cs="宋体"/>
          <w:color w:val="auto"/>
          <w:szCs w:val="28"/>
        </w:rPr>
        <w:t xml:space="preserve"> </w:t>
      </w:r>
    </w:p>
    <w:p>
      <w:pPr>
        <w:pStyle w:val="12"/>
        <w:spacing w:line="360" w:lineRule="auto"/>
        <w:ind w:firstLine="0"/>
        <w:rPr>
          <w:rFonts w:hint="eastAsia" w:ascii="宋体" w:hAnsi="宋体" w:eastAsia="宋体" w:cs="宋体"/>
          <w:color w:val="auto"/>
          <w:szCs w:val="28"/>
        </w:rPr>
      </w:pPr>
    </w:p>
    <w:p>
      <w:pPr>
        <w:pStyle w:val="12"/>
        <w:spacing w:line="360" w:lineRule="auto"/>
        <w:ind w:firstLine="0"/>
        <w:rPr>
          <w:rFonts w:hint="eastAsia" w:ascii="宋体" w:hAnsi="宋体" w:eastAsia="宋体" w:cs="宋体"/>
          <w:color w:val="auto"/>
          <w:szCs w:val="28"/>
        </w:rPr>
      </w:pPr>
    </w:p>
    <w:p>
      <w:pPr>
        <w:pStyle w:val="12"/>
        <w:spacing w:line="360" w:lineRule="auto"/>
        <w:ind w:firstLine="0"/>
        <w:rPr>
          <w:rFonts w:hint="eastAsia" w:hAnsi="宋体" w:cs="宋体"/>
          <w:color w:val="auto"/>
          <w:szCs w:val="28"/>
        </w:rPr>
      </w:pPr>
    </w:p>
    <w:p>
      <w:pPr>
        <w:pStyle w:val="27"/>
        <w:spacing w:line="360" w:lineRule="atLeast"/>
        <w:jc w:val="both"/>
        <w:rPr>
          <w:rFonts w:hint="eastAsia" w:ascii="宋体" w:hAnsi="宋体" w:cs="宋体"/>
          <w:b w:val="0"/>
          <w:bCs w:val="0"/>
          <w:color w:val="auto"/>
          <w:sz w:val="28"/>
          <w:szCs w:val="28"/>
        </w:rPr>
      </w:pPr>
    </w:p>
    <w:p>
      <w:pPr>
        <w:pStyle w:val="27"/>
        <w:spacing w:line="360" w:lineRule="atLeast"/>
        <w:jc w:val="both"/>
        <w:rPr>
          <w:rFonts w:hint="eastAsia" w:ascii="宋体" w:hAnsi="宋体" w:cs="宋体"/>
          <w:b w:val="0"/>
          <w:bCs w:val="0"/>
          <w:color w:val="auto"/>
          <w:sz w:val="28"/>
          <w:szCs w:val="28"/>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00" w:usb3="00000000" w:csb0="00040000" w:csb1="00000000"/>
  </w:font>
  <w:font w:name="Dotum">
    <w:altName w:val="Malgun Gothic"/>
    <w:panose1 w:val="020B0600000101010101"/>
    <w:charset w:val="81"/>
    <w:family w:val="swiss"/>
    <w:pitch w:val="default"/>
    <w:sig w:usb0="00000000" w:usb1="00000000" w:usb2="00000030" w:usb3="00000000" w:csb0="4008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37</w:t>
                    </w:r>
                    <w:r>
                      <w:fldChar w:fldCharType="end"/>
                    </w:r>
                  </w:p>
                </w:txbxContent>
              </v:textbox>
            </v:shape>
          </w:pict>
        </mc:Fallback>
      </mc:AlternateContent>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end"/>
    </w:r>
  </w:p>
  <w:p>
    <w:pPr>
      <w:pStyle w:val="13"/>
    </w:pP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FB3F9"/>
    <w:multiLevelType w:val="singleLevel"/>
    <w:tmpl w:val="8B1FB3F9"/>
    <w:lvl w:ilvl="0" w:tentative="0">
      <w:start w:val="5"/>
      <w:numFmt w:val="chineseCounting"/>
      <w:suff w:val="space"/>
      <w:lvlText w:val="第%1章"/>
      <w:lvlJc w:val="left"/>
      <w:rPr>
        <w:rFonts w:hint="eastAsia"/>
      </w:rPr>
    </w:lvl>
  </w:abstractNum>
  <w:abstractNum w:abstractNumId="1">
    <w:nsid w:val="9B4227FC"/>
    <w:multiLevelType w:val="singleLevel"/>
    <w:tmpl w:val="9B4227FC"/>
    <w:lvl w:ilvl="0" w:tentative="0">
      <w:start w:val="1"/>
      <w:numFmt w:val="decimal"/>
      <w:lvlText w:val="%1."/>
      <w:lvlJc w:val="left"/>
      <w:pPr>
        <w:ind w:left="425" w:hanging="425"/>
      </w:pPr>
      <w:rPr>
        <w:rFonts w:hint="default"/>
      </w:rPr>
    </w:lvl>
  </w:abstractNum>
  <w:abstractNum w:abstractNumId="2">
    <w:nsid w:val="B8E02C11"/>
    <w:multiLevelType w:val="singleLevel"/>
    <w:tmpl w:val="B8E02C11"/>
    <w:lvl w:ilvl="0" w:tentative="0">
      <w:start w:val="1"/>
      <w:numFmt w:val="decimal"/>
      <w:lvlText w:val="%1."/>
      <w:lvlJc w:val="left"/>
      <w:pPr>
        <w:ind w:left="425" w:hanging="425"/>
      </w:pPr>
      <w:rPr>
        <w:rFonts w:hint="default"/>
      </w:rPr>
    </w:lvl>
  </w:abstractNum>
  <w:abstractNum w:abstractNumId="3">
    <w:nsid w:val="FA5D729E"/>
    <w:multiLevelType w:val="singleLevel"/>
    <w:tmpl w:val="FA5D729E"/>
    <w:lvl w:ilvl="0" w:tentative="0">
      <w:start w:val="3"/>
      <w:numFmt w:val="chineseCounting"/>
      <w:suff w:val="nothing"/>
      <w:lvlText w:val="（%1）"/>
      <w:lvlJc w:val="left"/>
      <w:rPr>
        <w:rFonts w:hint="eastAsia"/>
      </w:rPr>
    </w:lvl>
  </w:abstractNum>
  <w:abstractNum w:abstractNumId="4">
    <w:nsid w:val="110A591B"/>
    <w:multiLevelType w:val="multilevel"/>
    <w:tmpl w:val="110A591B"/>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lvlText w:val="5.2.%4"/>
      <w:lvlJc w:val="left"/>
      <w:pPr>
        <w:tabs>
          <w:tab w:val="left" w:pos="1080"/>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5">
    <w:nsid w:val="31EB0875"/>
    <w:multiLevelType w:val="singleLevel"/>
    <w:tmpl w:val="31EB0875"/>
    <w:lvl w:ilvl="0" w:tentative="0">
      <w:start w:val="1"/>
      <w:numFmt w:val="decimal"/>
      <w:lvlText w:val="(%1)"/>
      <w:lvlJc w:val="left"/>
      <w:pPr>
        <w:ind w:left="425" w:hanging="425"/>
      </w:pPr>
      <w:rPr>
        <w:rFonts w:hint="default"/>
      </w:rPr>
    </w:lvl>
  </w:abstractNum>
  <w:abstractNum w:abstractNumId="6">
    <w:nsid w:val="5D9DC643"/>
    <w:multiLevelType w:val="singleLevel"/>
    <w:tmpl w:val="5D9DC643"/>
    <w:lvl w:ilvl="0" w:tentative="0">
      <w:start w:val="2"/>
      <w:numFmt w:val="decimal"/>
      <w:suff w:val="nothing"/>
      <w:lvlText w:val="（%1）"/>
      <w:lvlJc w:val="left"/>
    </w:lvl>
  </w:abstractNum>
  <w:abstractNum w:abstractNumId="7">
    <w:nsid w:val="6C299655"/>
    <w:multiLevelType w:val="singleLevel"/>
    <w:tmpl w:val="6C299655"/>
    <w:lvl w:ilvl="0" w:tentative="0">
      <w:start w:val="1"/>
      <w:numFmt w:val="chineseCounting"/>
      <w:suff w:val="space"/>
      <w:lvlText w:val="第%1章"/>
      <w:lvlJc w:val="left"/>
      <w:rPr>
        <w:rFonts w:hint="eastAsia"/>
      </w:rPr>
    </w:lvl>
  </w:abstractNum>
  <w:abstractNum w:abstractNumId="8">
    <w:nsid w:val="7C8A8552"/>
    <w:multiLevelType w:val="singleLevel"/>
    <w:tmpl w:val="7C8A8552"/>
    <w:lvl w:ilvl="0" w:tentative="0">
      <w:start w:val="2"/>
      <w:numFmt w:val="decimal"/>
      <w:suff w:val="nothing"/>
      <w:lvlText w:val="%1、"/>
      <w:lvlJc w:val="left"/>
    </w:lvl>
  </w:abstractNum>
  <w:num w:numId="1">
    <w:abstractNumId w:val="4"/>
  </w:num>
  <w:num w:numId="2">
    <w:abstractNumId w:val="7"/>
  </w:num>
  <w:num w:numId="3">
    <w:abstractNumId w:val="3"/>
  </w:num>
  <w:num w:numId="4">
    <w:abstractNumId w:val="8"/>
  </w:num>
  <w:num w:numId="5">
    <w:abstractNumId w:val="0"/>
  </w:num>
  <w:num w:numId="6">
    <w:abstractNumId w:val="2"/>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3NzY0YTk5M2U2MDJkZjg4ZmRkZTMwYzM3M2JjM2YifQ=="/>
  </w:docVars>
  <w:rsids>
    <w:rsidRoot w:val="475D7132"/>
    <w:rsid w:val="075B283B"/>
    <w:rsid w:val="078C1A86"/>
    <w:rsid w:val="07A1571D"/>
    <w:rsid w:val="07A83972"/>
    <w:rsid w:val="0CB73714"/>
    <w:rsid w:val="0CF22D03"/>
    <w:rsid w:val="10BA11F3"/>
    <w:rsid w:val="15A86DDA"/>
    <w:rsid w:val="19FE07AD"/>
    <w:rsid w:val="22A86068"/>
    <w:rsid w:val="29F907A7"/>
    <w:rsid w:val="2F242F94"/>
    <w:rsid w:val="31F75DB5"/>
    <w:rsid w:val="35284C04"/>
    <w:rsid w:val="36A63017"/>
    <w:rsid w:val="36FB15CA"/>
    <w:rsid w:val="37520668"/>
    <w:rsid w:val="38E76B84"/>
    <w:rsid w:val="3B31452D"/>
    <w:rsid w:val="40F962D2"/>
    <w:rsid w:val="40FD441A"/>
    <w:rsid w:val="433A7737"/>
    <w:rsid w:val="475D7132"/>
    <w:rsid w:val="5383735F"/>
    <w:rsid w:val="57525BDD"/>
    <w:rsid w:val="57B8376D"/>
    <w:rsid w:val="5B1B65DC"/>
    <w:rsid w:val="5C0276AD"/>
    <w:rsid w:val="60C77A9D"/>
    <w:rsid w:val="617D3332"/>
    <w:rsid w:val="73F707AB"/>
    <w:rsid w:val="73FC458A"/>
    <w:rsid w:val="740E30B5"/>
    <w:rsid w:val="74CC171D"/>
    <w:rsid w:val="768371E5"/>
    <w:rsid w:val="7ABE727A"/>
    <w:rsid w:val="7B081C2E"/>
    <w:rsid w:val="7CDC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rFonts w:ascii="宋体" w:hAnsi="华文宋体"/>
      <w:b/>
      <w:kern w:val="44"/>
      <w:sz w:val="52"/>
      <w:szCs w:val="20"/>
    </w:rPr>
  </w:style>
  <w:style w:type="paragraph" w:styleId="3">
    <w:name w:val="heading 2"/>
    <w:basedOn w:val="1"/>
    <w:next w:val="1"/>
    <w:qFormat/>
    <w:uiPriority w:val="0"/>
    <w:pPr>
      <w:keepNext/>
      <w:widowControl/>
      <w:numPr>
        <w:ilvl w:val="1"/>
        <w:numId w:val="1"/>
      </w:numPr>
      <w:spacing w:before="240" w:after="60"/>
      <w:jc w:val="left"/>
      <w:outlineLvl w:val="1"/>
    </w:pPr>
    <w:rPr>
      <w:rFonts w:ascii="Arial" w:hAnsi="Arial" w:eastAsia="华文宋体"/>
      <w:b/>
      <w:i/>
      <w:kern w:val="0"/>
      <w:sz w:val="28"/>
      <w:szCs w:val="20"/>
    </w:rPr>
  </w:style>
  <w:style w:type="paragraph" w:styleId="4">
    <w:name w:val="heading 3"/>
    <w:basedOn w:val="1"/>
    <w:next w:val="1"/>
    <w:qFormat/>
    <w:uiPriority w:val="0"/>
    <w:pPr>
      <w:keepNext/>
      <w:widowControl/>
      <w:numPr>
        <w:ilvl w:val="2"/>
        <w:numId w:val="1"/>
      </w:numPr>
      <w:spacing w:before="240" w:after="60"/>
      <w:jc w:val="left"/>
      <w:outlineLvl w:val="2"/>
    </w:pPr>
    <w:rPr>
      <w:rFonts w:ascii="Arial" w:hAnsi="Arial" w:eastAsia="华文宋体"/>
      <w:b/>
      <w:kern w:val="0"/>
      <w:sz w:val="26"/>
      <w:szCs w:val="20"/>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adjustRightInd w:val="0"/>
      <w:spacing w:line="360" w:lineRule="atLeast"/>
      <w:ind w:firstLine="482"/>
      <w:textAlignment w:val="baseline"/>
    </w:pPr>
    <w:rPr>
      <w:rFonts w:eastAsia="宋体"/>
      <w:kern w:val="0"/>
      <w:sz w:val="24"/>
    </w:rPr>
  </w:style>
  <w:style w:type="paragraph" w:styleId="6">
    <w:name w:val="toa heading"/>
    <w:basedOn w:val="1"/>
    <w:next w:val="1"/>
    <w:unhideWhenUsed/>
    <w:qFormat/>
    <w:uiPriority w:val="99"/>
    <w:pPr>
      <w:spacing w:before="120"/>
    </w:pPr>
    <w:rPr>
      <w:rFonts w:ascii="Arial" w:hAnsi="Arial"/>
      <w:sz w:val="24"/>
    </w:rPr>
  </w:style>
  <w:style w:type="paragraph" w:styleId="7">
    <w:name w:val="annotation text"/>
    <w:basedOn w:val="1"/>
    <w:qFormat/>
    <w:uiPriority w:val="0"/>
    <w:pPr>
      <w:adjustRightInd w:val="0"/>
      <w:spacing w:line="360" w:lineRule="atLeast"/>
      <w:jc w:val="left"/>
      <w:textAlignment w:val="baseline"/>
    </w:pPr>
    <w:rPr>
      <w:kern w:val="0"/>
      <w:sz w:val="24"/>
      <w:szCs w:val="20"/>
    </w:rPr>
  </w:style>
  <w:style w:type="paragraph" w:styleId="8">
    <w:name w:val="Body Text"/>
    <w:basedOn w:val="1"/>
    <w:next w:val="1"/>
    <w:qFormat/>
    <w:uiPriority w:val="0"/>
    <w:pPr>
      <w:spacing w:after="120"/>
    </w:pPr>
  </w:style>
  <w:style w:type="paragraph" w:styleId="9">
    <w:name w:val="Body Text Indent"/>
    <w:basedOn w:val="1"/>
    <w:next w:val="1"/>
    <w:qFormat/>
    <w:uiPriority w:val="0"/>
    <w:pPr>
      <w:spacing w:after="120" w:afterLines="0"/>
      <w:ind w:left="420" w:leftChars="200"/>
    </w:pPr>
  </w:style>
  <w:style w:type="paragraph" w:styleId="10">
    <w:name w:val="toc 3"/>
    <w:basedOn w:val="1"/>
    <w:next w:val="1"/>
    <w:unhideWhenUsed/>
    <w:qFormat/>
    <w:uiPriority w:val="99"/>
    <w:pPr>
      <w:widowControl/>
      <w:spacing w:after="100" w:line="276" w:lineRule="auto"/>
      <w:ind w:left="440"/>
      <w:jc w:val="left"/>
    </w:pPr>
    <w:rPr>
      <w:rFonts w:ascii="Calibri" w:hAnsi="Calibri"/>
      <w:kern w:val="0"/>
      <w:sz w:val="22"/>
      <w:szCs w:val="22"/>
    </w:rPr>
  </w:style>
  <w:style w:type="paragraph" w:styleId="11">
    <w:name w:val="Plain Text"/>
    <w:basedOn w:val="1"/>
    <w:qFormat/>
    <w:uiPriority w:val="0"/>
    <w:rPr>
      <w:rFonts w:ascii="宋体" w:cs="Courier New"/>
      <w:szCs w:val="21"/>
    </w:rPr>
  </w:style>
  <w:style w:type="paragraph" w:styleId="12">
    <w:name w:val="Body Text Indent 2"/>
    <w:basedOn w:val="1"/>
    <w:qFormat/>
    <w:uiPriority w:val="0"/>
    <w:pPr>
      <w:adjustRightInd w:val="0"/>
      <w:snapToGrid w:val="0"/>
      <w:spacing w:line="320" w:lineRule="exact"/>
      <w:ind w:firstLine="540"/>
    </w:pPr>
    <w:rPr>
      <w:rFonts w:ascii="宋体"/>
      <w:sz w:val="2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Normal (Web)"/>
    <w:basedOn w:val="1"/>
    <w:next w:val="14"/>
    <w:unhideWhenUsed/>
    <w:qFormat/>
    <w:uiPriority w:val="99"/>
    <w:pPr>
      <w:widowControl/>
      <w:spacing w:before="100" w:beforeAutospacing="1" w:after="100" w:afterAutospacing="1"/>
      <w:jc w:val="left"/>
    </w:pPr>
    <w:rPr>
      <w:rFonts w:ascii="宋体" w:hAnsi="宋体" w:cs="宋体"/>
      <w:kern w:val="0"/>
      <w:sz w:val="24"/>
    </w:rPr>
  </w:style>
  <w:style w:type="paragraph" w:styleId="17">
    <w:name w:val="Body Text First Indent"/>
    <w:basedOn w:val="8"/>
    <w:next w:val="1"/>
    <w:qFormat/>
    <w:uiPriority w:val="0"/>
    <w:pPr>
      <w:autoSpaceDE w:val="0"/>
      <w:autoSpaceDN w:val="0"/>
      <w:adjustRightInd w:val="0"/>
      <w:ind w:firstLine="420" w:firstLineChars="100"/>
      <w:jc w:val="left"/>
    </w:pPr>
    <w:rPr>
      <w:rFonts w:ascii="仿宋_GB2312" w:hAnsi="Calibri"/>
      <w:b/>
      <w:kern w:val="0"/>
      <w:sz w:val="32"/>
      <w:szCs w:val="32"/>
    </w:rPr>
  </w:style>
  <w:style w:type="paragraph" w:styleId="18">
    <w:name w:val="Body Text First Indent 2"/>
    <w:basedOn w:val="9"/>
    <w:qFormat/>
    <w:uiPriority w:val="0"/>
    <w:pPr>
      <w:ind w:left="0" w:leftChars="0" w:firstLine="210"/>
    </w:pPr>
    <w:rPr>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bCs/>
    </w:rPr>
  </w:style>
  <w:style w:type="character" w:styleId="23">
    <w:name w:val="page number"/>
    <w:basedOn w:val="21"/>
    <w:qFormat/>
    <w:uiPriority w:val="0"/>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2级标题"/>
    <w:basedOn w:val="1"/>
    <w:qFormat/>
    <w:uiPriority w:val="0"/>
    <w:pPr>
      <w:keepLines/>
      <w:widowControl/>
      <w:spacing w:before="240" w:after="120" w:line="360" w:lineRule="auto"/>
      <w:contextualSpacing/>
      <w:jc w:val="left"/>
      <w:outlineLvl w:val="1"/>
    </w:pPr>
    <w:rPr>
      <w:rFonts w:ascii="宋体" w:hAnsi="宋体" w:eastAsia="Times New Roman" w:cs="宋体"/>
      <w:b/>
      <w:kern w:val="0"/>
      <w:sz w:val="32"/>
      <w:szCs w:val="36"/>
      <w:lang w:eastAsia="en-US" w:bidi="en-US"/>
    </w:rPr>
  </w:style>
  <w:style w:type="paragraph" w:customStyle="1" w:styleId="26">
    <w:name w:val="样式 标题 3 + (中文) 黑体 小四 非加粗 段前: 7.8 磅 段后: 0 磅 行距: 固定值 20 磅"/>
    <w:basedOn w:val="4"/>
    <w:qFormat/>
    <w:uiPriority w:val="0"/>
    <w:pPr>
      <w:spacing w:before="120" w:after="120" w:line="400" w:lineRule="exact"/>
    </w:pPr>
    <w:rPr>
      <w:rFonts w:ascii="Times New Roman" w:hAnsi="Times New Roman" w:eastAsia="宋体"/>
      <w:b w:val="0"/>
      <w:sz w:val="24"/>
      <w:szCs w:val="20"/>
    </w:rPr>
  </w:style>
  <w:style w:type="paragraph" w:customStyle="1" w:styleId="27">
    <w:name w:val="Default Tex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28">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9">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30">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1">
    <w:name w:val="Other|1"/>
    <w:basedOn w:val="1"/>
    <w:qFormat/>
    <w:uiPriority w:val="0"/>
    <w:pPr>
      <w:widowControl w:val="0"/>
      <w:shd w:val="clear" w:color="auto" w:fill="auto"/>
      <w:spacing w:after="120" w:line="360" w:lineRule="auto"/>
    </w:pPr>
    <w:rPr>
      <w:rFonts w:ascii="宋体" w:hAnsi="宋体" w:eastAsia="宋体" w:cs="宋体"/>
      <w:sz w:val="20"/>
      <w:szCs w:val="20"/>
      <w:u w:val="none"/>
      <w:shd w:val="clear" w:color="auto" w:fill="auto"/>
      <w:lang w:val="zh-TW" w:eastAsia="zh-TW" w:bidi="zh-TW"/>
    </w:rPr>
  </w:style>
  <w:style w:type="paragraph" w:customStyle="1" w:styleId="32">
    <w:name w:val="Body text|1"/>
    <w:basedOn w:val="1"/>
    <w:qFormat/>
    <w:uiPriority w:val="0"/>
    <w:pPr>
      <w:widowControl w:val="0"/>
      <w:shd w:val="clear" w:color="auto" w:fill="auto"/>
      <w:spacing w:after="120" w:line="360" w:lineRule="auto"/>
    </w:pPr>
    <w:rPr>
      <w:rFonts w:ascii="宋体" w:hAnsi="宋体" w:eastAsia="宋体" w:cs="宋体"/>
      <w:sz w:val="20"/>
      <w:szCs w:val="20"/>
      <w:u w:val="none"/>
      <w:shd w:val="clear" w:color="auto" w:fill="auto"/>
      <w:lang w:val="zh-TW" w:eastAsia="zh-TW" w:bidi="zh-TW"/>
    </w:rPr>
  </w:style>
  <w:style w:type="table" w:customStyle="1" w:styleId="33">
    <w:name w:val="Table Normal"/>
    <w:semiHidden/>
    <w:unhideWhenUsed/>
    <w:qFormat/>
    <w:uiPriority w:val="0"/>
    <w:tblPr>
      <w:tblCellMar>
        <w:top w:w="0" w:type="dxa"/>
        <w:left w:w="0" w:type="dxa"/>
        <w:bottom w:w="0" w:type="dxa"/>
        <w:right w:w="0" w:type="dxa"/>
      </w:tblCellMar>
    </w:tblPr>
  </w:style>
  <w:style w:type="paragraph" w:customStyle="1" w:styleId="34">
    <w:name w:val="目录文字"/>
    <w:basedOn w:val="1"/>
    <w:qFormat/>
    <w:uiPriority w:val="0"/>
    <w:pPr>
      <w:widowControl/>
      <w:spacing w:line="480" w:lineRule="auto"/>
      <w:jc w:val="left"/>
    </w:pPr>
    <w:rPr>
      <w:rFonts w:ascii="宋体"/>
      <w:kern w:val="0"/>
      <w:sz w:val="24"/>
      <w:szCs w:val="20"/>
    </w:rPr>
  </w:style>
  <w:style w:type="paragraph" w:customStyle="1" w:styleId="35">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21564</Words>
  <Characters>22914</Characters>
  <Lines>0</Lines>
  <Paragraphs>0</Paragraphs>
  <TotalTime>3</TotalTime>
  <ScaleCrop>false</ScaleCrop>
  <LinksUpToDate>false</LinksUpToDate>
  <CharactersWithSpaces>24769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2023-04-06T08:17:00Z</dcterms:created>
  <dc:creator> 十二</dc:creator>
  <cp:lastModifiedBy>朱小赵</cp:lastModifiedBy>
  <cp:lastPrinted>2023-06-08T11:44:00Z</cp:lastPrinted>
  <dcterms:modified xsi:type="dcterms:W3CDTF">2023-10-25T10:35:03Z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1C695543A8EC465BBD094886A5834005_13</vt:lpwstr>
  </property>
</Properties>
</file>