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05"/>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ind w:left="-105" w:right="-191"/>
        <w:jc w:val="center"/>
        <w:rPr>
          <w:rFonts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lang w:eastAsia="zh-CN"/>
        </w:rPr>
        <w:drawing>
          <wp:inline distT="0" distB="0" distL="114300" distR="114300">
            <wp:extent cx="2144395" cy="1680845"/>
            <wp:effectExtent l="0" t="0" r="8255" b="14605"/>
            <wp:docPr id="1" name="图片 1" descr="da1cb057bd2028fd9c59696dcdf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1cb057bd2028fd9c59696dcdf7749"/>
                    <pic:cNvPicPr>
                      <a:picLocks noChangeAspect="1"/>
                    </pic:cNvPicPr>
                  </pic:nvPicPr>
                  <pic:blipFill>
                    <a:blip r:embed="rId8"/>
                    <a:srcRect l="18768" t="26558" r="25787" b="34879"/>
                    <a:stretch>
                      <a:fillRect/>
                    </a:stretch>
                  </pic:blipFill>
                  <pic:spPr>
                    <a:xfrm>
                      <a:off x="0" y="0"/>
                      <a:ext cx="2144395" cy="1680845"/>
                    </a:xfrm>
                    <a:prstGeom prst="rect">
                      <a:avLst/>
                    </a:prstGeom>
                    <a:noFill/>
                    <a:ln>
                      <a:noFill/>
                    </a:ln>
                  </pic:spPr>
                </pic:pic>
              </a:graphicData>
            </a:graphic>
          </wp:inline>
        </w:drawing>
      </w:r>
    </w:p>
    <w:p>
      <w:pPr>
        <w:ind w:left="-105" w:right="-191"/>
        <w:jc w:val="center"/>
        <w:rPr>
          <w:rFonts w:ascii="宋体" w:hAnsi="宋体" w:eastAsia="宋体" w:cs="宋体"/>
          <w:b/>
          <w:bCs/>
          <w:color w:val="auto"/>
          <w:sz w:val="84"/>
          <w:szCs w:val="84"/>
          <w:highlight w:val="none"/>
        </w:rPr>
      </w:pPr>
    </w:p>
    <w:p>
      <w:pPr>
        <w:spacing w:beforeLines="100" w:line="120" w:lineRule="auto"/>
        <w:ind w:left="-108" w:right="-193"/>
        <w:jc w:val="center"/>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竞争性磋商文件</w:t>
      </w:r>
    </w:p>
    <w:p>
      <w:pPr>
        <w:ind w:left="-105" w:right="-191"/>
        <w:jc w:val="center"/>
        <w:rPr>
          <w:rFonts w:ascii="宋体" w:hAnsi="宋体" w:eastAsia="宋体" w:cs="宋体"/>
          <w:b/>
          <w:bCs/>
          <w:color w:val="auto"/>
          <w:sz w:val="84"/>
          <w:szCs w:val="84"/>
          <w:highlight w:val="none"/>
        </w:rPr>
      </w:pPr>
    </w:p>
    <w:p>
      <w:pPr>
        <w:snapToGrid w:val="0"/>
        <w:spacing w:line="600" w:lineRule="exact"/>
        <w:ind w:right="-191" w:firstLine="643" w:firstLineChars="200"/>
        <w:rPr>
          <w:rFonts w:ascii="宋体" w:hAnsi="宋体" w:eastAsia="宋体" w:cs="宋体"/>
          <w:b/>
          <w:color w:val="auto"/>
          <w:sz w:val="32"/>
          <w:szCs w:val="32"/>
          <w:highlight w:val="none"/>
        </w:rPr>
      </w:pPr>
    </w:p>
    <w:p>
      <w:pPr>
        <w:snapToGrid w:val="0"/>
        <w:spacing w:line="600" w:lineRule="exact"/>
        <w:ind w:left="0" w:leftChars="0" w:firstLine="421" w:firstLineChars="131"/>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z w:val="32"/>
          <w:szCs w:val="32"/>
          <w:highlight w:val="none"/>
          <w:lang w:eastAsia="zh-CN"/>
        </w:rPr>
        <w:t>2023HDYPCS-039</w:t>
      </w:r>
    </w:p>
    <w:p>
      <w:pPr>
        <w:snapToGrid w:val="0"/>
        <w:spacing w:line="600" w:lineRule="exact"/>
        <w:ind w:left="1925" w:leftChars="152" w:right="178" w:rightChars="85" w:hanging="1606" w:hangingChars="500"/>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color w:val="auto"/>
          <w:spacing w:val="-6"/>
          <w:sz w:val="32"/>
          <w:szCs w:val="32"/>
          <w:highlight w:val="none"/>
          <w:lang w:eastAsia="zh-CN"/>
        </w:rPr>
        <w:t>乌鲁木齐市米东区人民医院医疗设备采购项目</w:t>
      </w:r>
    </w:p>
    <w:p>
      <w:pPr>
        <w:snapToGrid w:val="0"/>
        <w:spacing w:line="600" w:lineRule="exact"/>
        <w:ind w:left="0" w:leftChars="0" w:firstLine="421" w:firstLineChars="131"/>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 购 人：</w:t>
      </w:r>
      <w:r>
        <w:rPr>
          <w:rFonts w:hint="eastAsia" w:ascii="宋体" w:hAnsi="宋体" w:eastAsia="宋体" w:cs="宋体"/>
          <w:b/>
          <w:color w:val="auto"/>
          <w:sz w:val="32"/>
          <w:szCs w:val="32"/>
          <w:highlight w:val="none"/>
          <w:lang w:eastAsia="zh-CN"/>
        </w:rPr>
        <w:t>乌鲁木齐市米东区人民医院</w:t>
      </w:r>
    </w:p>
    <w:p>
      <w:pPr>
        <w:pStyle w:val="2"/>
        <w:ind w:firstLine="500" w:firstLineChars="200"/>
        <w:jc w:val="left"/>
        <w:rPr>
          <w:color w:val="auto"/>
          <w:highlight w:val="none"/>
        </w:rPr>
      </w:pPr>
    </w:p>
    <w:p>
      <w:pPr>
        <w:snapToGrid w:val="0"/>
        <w:spacing w:line="520" w:lineRule="exact"/>
        <w:jc w:val="center"/>
        <w:rPr>
          <w:rFonts w:ascii="宋体" w:hAnsi="宋体" w:eastAsia="宋体" w:cs="宋体"/>
          <w:b/>
          <w:color w:val="auto"/>
          <w:sz w:val="32"/>
          <w:szCs w:val="32"/>
          <w:highlight w:val="none"/>
        </w:rPr>
      </w:pPr>
    </w:p>
    <w:p>
      <w:pPr>
        <w:snapToGrid w:val="0"/>
        <w:spacing w:line="52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新疆恒达壹品项目管理咨询有限公司</w:t>
      </w:r>
    </w:p>
    <w:p>
      <w:pPr>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202</w:t>
      </w:r>
      <w:r>
        <w:rPr>
          <w:rFonts w:hint="eastAsia" w:ascii="宋体" w:hAnsi="宋体" w:eastAsia="宋体" w:cs="宋体"/>
          <w:b/>
          <w:color w:val="auto"/>
          <w:sz w:val="32"/>
          <w:szCs w:val="32"/>
          <w:highlight w:val="none"/>
          <w:lang w:val="en-US" w:eastAsia="zh-CN"/>
        </w:rPr>
        <w:t>3</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10</w:t>
      </w:r>
      <w:r>
        <w:rPr>
          <w:rFonts w:hint="eastAsia" w:ascii="宋体" w:hAnsi="宋体" w:eastAsia="宋体" w:cs="宋体"/>
          <w:b/>
          <w:color w:val="auto"/>
          <w:sz w:val="32"/>
          <w:szCs w:val="32"/>
          <w:highlight w:val="none"/>
        </w:rPr>
        <w:t>月</w:t>
      </w: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rPr>
          <w:color w:val="auto"/>
          <w:highlight w:val="none"/>
        </w:rPr>
      </w:pPr>
      <w:r>
        <w:rPr>
          <w:color w:val="auto"/>
          <w:highlight w:val="none"/>
        </w:rPr>
        <w:br w:type="page"/>
      </w:r>
    </w:p>
    <w:p>
      <w:pPr>
        <w:pStyle w:val="2"/>
        <w:rPr>
          <w:color w:val="auto"/>
          <w:highlight w:val="none"/>
        </w:rPr>
        <w:sectPr>
          <w:pgSz w:w="11906" w:h="16838"/>
          <w:pgMar w:top="1440" w:right="1106" w:bottom="1440" w:left="1800" w:header="851" w:footer="752" w:gutter="0"/>
          <w:pgNumType w:fmt="numberInDash" w:start="1"/>
          <w:cols w:space="720" w:num="1"/>
          <w:formProt w:val="0"/>
          <w:docGrid w:type="lines" w:linePitch="312" w:charSpace="0"/>
        </w:sectPr>
      </w:pPr>
    </w:p>
    <w:p>
      <w:pPr>
        <w:jc w:val="center"/>
        <w:rPr>
          <w:rFonts w:ascii="宋体" w:hAnsi="宋体" w:eastAsia="宋体" w:cs="宋体"/>
          <w:b/>
          <w:bCs/>
          <w:color w:val="auto"/>
          <w:sz w:val="32"/>
          <w:szCs w:val="32"/>
          <w:highlight w:val="none"/>
        </w:rPr>
      </w:pPr>
    </w:p>
    <w:p>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pPr>
        <w:pStyle w:val="18"/>
        <w:tabs>
          <w:tab w:val="right" w:leader="dot" w:pos="9000"/>
        </w:tabs>
        <w:spacing w:line="560" w:lineRule="exact"/>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\z \u</w:instrText>
      </w:r>
      <w:r>
        <w:rPr>
          <w:rFonts w:hint="eastAsia" w:ascii="宋体" w:hAnsi="宋体" w:eastAsia="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"_Toc18505" </w:instrText>
      </w:r>
      <w:r>
        <w:rPr>
          <w:color w:val="auto"/>
          <w:highlight w:val="none"/>
        </w:rPr>
        <w:fldChar w:fldCharType="separate"/>
      </w:r>
      <w:r>
        <w:rPr>
          <w:rFonts w:hint="eastAsia" w:ascii="宋体" w:hAnsi="宋体" w:eastAsia="宋体" w:cs="宋体"/>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_Toc18505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18"/>
        <w:tabs>
          <w:tab w:val="right" w:leader="dot" w:pos="9000"/>
        </w:tabs>
        <w:spacing w:line="560" w:lineRule="exact"/>
        <w:rPr>
          <w:color w:val="auto"/>
          <w:sz w:val="28"/>
          <w:szCs w:val="28"/>
          <w:highlight w:val="none"/>
        </w:rPr>
      </w:pPr>
      <w:r>
        <w:rPr>
          <w:color w:val="auto"/>
          <w:highlight w:val="none"/>
        </w:rPr>
        <w:fldChar w:fldCharType="begin"/>
      </w:r>
      <w:r>
        <w:rPr>
          <w:color w:val="auto"/>
          <w:highlight w:val="none"/>
        </w:rPr>
        <w:instrText xml:space="preserve"> HYPERLINK \l "_Toc5674" </w:instrText>
      </w:r>
      <w:r>
        <w:rPr>
          <w:color w:val="auto"/>
          <w:highlight w:val="none"/>
        </w:rPr>
        <w:fldChar w:fldCharType="separate"/>
      </w:r>
      <w:r>
        <w:rPr>
          <w:rFonts w:hint="eastAsia" w:ascii="宋体" w:hAnsi="宋体" w:eastAsia="宋体" w:cs="宋体"/>
          <w:color w:val="auto"/>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_Toc5674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pPr>
        <w:pStyle w:val="21"/>
        <w:tabs>
          <w:tab w:val="right" w:leader="dot" w:pos="9000"/>
        </w:tabs>
        <w:spacing w:line="560" w:lineRule="exact"/>
        <w:ind w:left="0" w:leftChars="0"/>
        <w:rPr>
          <w:color w:val="auto"/>
          <w:sz w:val="28"/>
          <w:szCs w:val="28"/>
          <w:highlight w:val="none"/>
        </w:rPr>
      </w:pPr>
      <w:r>
        <w:rPr>
          <w:color w:val="auto"/>
          <w:highlight w:val="none"/>
        </w:rPr>
        <w:fldChar w:fldCharType="begin"/>
      </w:r>
      <w:r>
        <w:rPr>
          <w:color w:val="auto"/>
          <w:highlight w:val="none"/>
        </w:rPr>
        <w:instrText xml:space="preserve"> HYPERLINK \l "_Toc24799" </w:instrText>
      </w:r>
      <w:r>
        <w:rPr>
          <w:color w:val="auto"/>
          <w:highlight w:val="none"/>
        </w:rPr>
        <w:fldChar w:fldCharType="separate"/>
      </w:r>
      <w:r>
        <w:rPr>
          <w:rFonts w:hint="eastAsia" w:ascii="宋体" w:hAnsi="宋体" w:eastAsia="宋体" w:cs="宋体"/>
          <w:color w:val="auto"/>
          <w:spacing w:val="6"/>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_Toc24799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color w:val="auto"/>
          <w:sz w:val="28"/>
          <w:szCs w:val="28"/>
          <w:highlight w:val="none"/>
        </w:rPr>
        <w:fldChar w:fldCharType="end"/>
      </w:r>
    </w:p>
    <w:p>
      <w:pPr>
        <w:pStyle w:val="18"/>
        <w:tabs>
          <w:tab w:val="right" w:leader="dot" w:pos="9000"/>
        </w:tabs>
        <w:spacing w:line="560" w:lineRule="exact"/>
        <w:rPr>
          <w:color w:val="auto"/>
          <w:sz w:val="28"/>
          <w:szCs w:val="28"/>
          <w:highlight w:val="none"/>
        </w:rPr>
      </w:pPr>
      <w:r>
        <w:rPr>
          <w:color w:val="auto"/>
          <w:highlight w:val="none"/>
        </w:rPr>
        <w:fldChar w:fldCharType="begin"/>
      </w:r>
      <w:r>
        <w:rPr>
          <w:color w:val="auto"/>
          <w:highlight w:val="none"/>
        </w:rPr>
        <w:instrText xml:space="preserve"> HYPERLINK \l "_Toc27504" </w:instrText>
      </w:r>
      <w:r>
        <w:rPr>
          <w:color w:val="auto"/>
          <w:highlight w:val="none"/>
        </w:rPr>
        <w:fldChar w:fldCharType="separate"/>
      </w:r>
      <w:r>
        <w:rPr>
          <w:rFonts w:hint="eastAsia" w:ascii="宋体" w:hAnsi="宋体" w:eastAsia="宋体" w:cs="宋体"/>
          <w:color w:val="auto"/>
          <w:sz w:val="28"/>
          <w:szCs w:val="28"/>
          <w:highlight w:val="none"/>
        </w:rPr>
        <w:t>第四章 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_Toc27504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color w:val="auto"/>
          <w:sz w:val="28"/>
          <w:szCs w:val="28"/>
          <w:highlight w:val="none"/>
        </w:rPr>
        <w:fldChar w:fldCharType="end"/>
      </w:r>
    </w:p>
    <w:p>
      <w:pPr>
        <w:pStyle w:val="21"/>
        <w:tabs>
          <w:tab w:val="right" w:leader="dot" w:pos="9000"/>
        </w:tabs>
        <w:spacing w:line="560" w:lineRule="exact"/>
        <w:ind w:left="0" w:leftChars="0"/>
        <w:rPr>
          <w:color w:val="auto"/>
          <w:sz w:val="28"/>
          <w:szCs w:val="28"/>
          <w:highlight w:val="none"/>
        </w:rPr>
      </w:pPr>
      <w:r>
        <w:rPr>
          <w:color w:val="auto"/>
          <w:highlight w:val="none"/>
        </w:rPr>
        <w:fldChar w:fldCharType="begin"/>
      </w:r>
      <w:r>
        <w:rPr>
          <w:color w:val="auto"/>
          <w:highlight w:val="none"/>
        </w:rPr>
        <w:instrText xml:space="preserve"> HYPERLINK \l "_Toc28125" </w:instrText>
      </w:r>
      <w:r>
        <w:rPr>
          <w:color w:val="auto"/>
          <w:highlight w:val="none"/>
        </w:rPr>
        <w:fldChar w:fldCharType="separate"/>
      </w:r>
      <w:r>
        <w:rPr>
          <w:rFonts w:hint="eastAsia" w:ascii="宋体" w:hAnsi="宋体" w:eastAsia="宋体" w:cs="宋体"/>
          <w:color w:val="auto"/>
          <w:sz w:val="28"/>
          <w:szCs w:val="28"/>
          <w:highlight w:val="none"/>
        </w:rPr>
        <w:t>第五章 评审办法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_Toc28125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21"/>
        <w:tabs>
          <w:tab w:val="right" w:leader="dot" w:pos="9000"/>
        </w:tabs>
        <w:spacing w:line="560" w:lineRule="exact"/>
        <w:ind w:left="0" w:leftChars="0"/>
        <w:rPr>
          <w:color w:val="auto"/>
          <w:sz w:val="28"/>
          <w:szCs w:val="28"/>
          <w:highlight w:val="none"/>
        </w:rPr>
      </w:pPr>
      <w:r>
        <w:rPr>
          <w:color w:val="auto"/>
          <w:highlight w:val="none"/>
        </w:rPr>
        <w:fldChar w:fldCharType="begin"/>
      </w:r>
      <w:r>
        <w:rPr>
          <w:color w:val="auto"/>
          <w:highlight w:val="none"/>
        </w:rPr>
        <w:instrText xml:space="preserve"> HYPERLINK \l "_Toc28603" </w:instrText>
      </w:r>
      <w:r>
        <w:rPr>
          <w:color w:val="auto"/>
          <w:highlight w:val="none"/>
        </w:rPr>
        <w:fldChar w:fldCharType="separate"/>
      </w:r>
      <w:r>
        <w:rPr>
          <w:rFonts w:hint="eastAsia" w:ascii="宋体" w:hAnsi="宋体" w:eastAsia="宋体" w:cs="宋体"/>
          <w:color w:val="auto"/>
          <w:spacing w:val="6"/>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_Toc28603 \h </w:instrText>
      </w:r>
      <w:r>
        <w:rPr>
          <w:color w:val="auto"/>
          <w:sz w:val="28"/>
          <w:szCs w:val="28"/>
          <w:highlight w:val="none"/>
        </w:rPr>
        <w:fldChar w:fldCharType="separate"/>
      </w:r>
      <w:r>
        <w:rPr>
          <w:color w:val="auto"/>
          <w:sz w:val="28"/>
          <w:szCs w:val="28"/>
          <w:highlight w:val="none"/>
        </w:rPr>
        <w:t>41</w:t>
      </w:r>
      <w:r>
        <w:rPr>
          <w:color w:val="auto"/>
          <w:sz w:val="28"/>
          <w:szCs w:val="28"/>
          <w:highlight w:val="none"/>
        </w:rPr>
        <w:fldChar w:fldCharType="end"/>
      </w:r>
      <w:r>
        <w:rPr>
          <w:color w:val="auto"/>
          <w:sz w:val="28"/>
          <w:szCs w:val="28"/>
          <w:highlight w:val="none"/>
        </w:rPr>
        <w:fldChar w:fldCharType="end"/>
      </w:r>
    </w:p>
    <w:p>
      <w:pPr>
        <w:pStyle w:val="21"/>
        <w:tabs>
          <w:tab w:val="right" w:leader="dot" w:pos="9000"/>
        </w:tabs>
        <w:spacing w:line="560" w:lineRule="exact"/>
        <w:ind w:left="638" w:leftChars="304"/>
        <w:rPr>
          <w:color w:val="auto"/>
          <w:sz w:val="28"/>
          <w:szCs w:val="28"/>
          <w:highlight w:val="none"/>
        </w:rPr>
      </w:pPr>
      <w:r>
        <w:rPr>
          <w:color w:val="auto"/>
          <w:highlight w:val="none"/>
        </w:rPr>
        <w:fldChar w:fldCharType="begin"/>
      </w:r>
      <w:r>
        <w:rPr>
          <w:color w:val="auto"/>
          <w:highlight w:val="none"/>
        </w:rPr>
        <w:instrText xml:space="preserve"> HYPERLINK \l "_Toc9336" </w:instrText>
      </w:r>
      <w:r>
        <w:rPr>
          <w:color w:val="auto"/>
          <w:highlight w:val="none"/>
        </w:rPr>
        <w:fldChar w:fldCharType="separate"/>
      </w:r>
      <w:r>
        <w:rPr>
          <w:rFonts w:hint="eastAsia" w:ascii="宋体" w:hAnsi="宋体" w:eastAsia="宋体" w:cs="宋体"/>
          <w:color w:val="auto"/>
          <w:sz w:val="28"/>
          <w:szCs w:val="28"/>
          <w:highlight w:val="none"/>
        </w:rPr>
        <w:t>一、响应书</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_Toc9336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color w:val="auto"/>
          <w:sz w:val="28"/>
          <w:szCs w:val="28"/>
          <w:highlight w:val="none"/>
        </w:rPr>
        <w:fldChar w:fldCharType="end"/>
      </w:r>
    </w:p>
    <w:p>
      <w:pPr>
        <w:pStyle w:val="18"/>
        <w:tabs>
          <w:tab w:val="right" w:leader="dot" w:pos="9000"/>
        </w:tabs>
        <w:spacing w:line="560" w:lineRule="exact"/>
        <w:ind w:left="638" w:leftChars="304"/>
        <w:rPr>
          <w:rFonts w:hint="eastAsia" w:eastAsia="宋体;SimSun"/>
          <w:color w:val="auto"/>
          <w:sz w:val="28"/>
          <w:szCs w:val="28"/>
          <w:highlight w:val="none"/>
          <w:lang w:val="en-US" w:eastAsia="zh-CN"/>
        </w:rPr>
      </w:pPr>
      <w:r>
        <w:rPr>
          <w:color w:val="auto"/>
          <w:highlight w:val="none"/>
        </w:rPr>
        <w:fldChar w:fldCharType="begin"/>
      </w:r>
      <w:r>
        <w:rPr>
          <w:color w:val="auto"/>
          <w:highlight w:val="none"/>
        </w:rPr>
        <w:instrText xml:space="preserve"> HYPERLINK \l "_Toc16720" </w:instrText>
      </w:r>
      <w:r>
        <w:rPr>
          <w:color w:val="auto"/>
          <w:highlight w:val="none"/>
        </w:rPr>
        <w:fldChar w:fldCharType="separate"/>
      </w:r>
      <w:r>
        <w:rPr>
          <w:rFonts w:hint="eastAsia" w:ascii="宋体" w:hAnsi="宋体" w:eastAsia="宋体" w:cs="宋体"/>
          <w:color w:val="auto"/>
          <w:sz w:val="28"/>
          <w:szCs w:val="28"/>
          <w:highlight w:val="none"/>
        </w:rPr>
        <w:t>二</w:t>
      </w:r>
      <w:r>
        <w:rPr>
          <w:rFonts w:hint="eastAsia" w:ascii="宋体" w:hAnsi="宋体" w:eastAsia="宋体" w:cs="宋体"/>
          <w:color w:val="auto"/>
          <w:kern w:val="2"/>
          <w:sz w:val="28"/>
          <w:szCs w:val="28"/>
          <w:highlight w:val="none"/>
          <w:lang w:val="en-US" w:eastAsia="zh-CN" w:bidi="ar-SA"/>
        </w:rPr>
        <w:t>、资格证明文件</w:t>
      </w:r>
      <w:r>
        <w:rPr>
          <w:color w:val="auto"/>
          <w:sz w:val="28"/>
          <w:szCs w:val="28"/>
          <w:highlight w:val="none"/>
        </w:rPr>
        <w:tab/>
      </w:r>
      <w:r>
        <w:rPr>
          <w:rFonts w:hint="eastAsia"/>
          <w:color w:val="auto"/>
          <w:sz w:val="28"/>
          <w:szCs w:val="28"/>
          <w:highlight w:val="none"/>
          <w:lang w:val="en-US" w:eastAsia="zh-CN"/>
        </w:rPr>
        <w:t>4</w:t>
      </w:r>
      <w:r>
        <w:rPr>
          <w:color w:val="auto"/>
          <w:sz w:val="28"/>
          <w:szCs w:val="28"/>
          <w:highlight w:val="none"/>
        </w:rPr>
        <w:fldChar w:fldCharType="end"/>
      </w:r>
      <w:r>
        <w:rPr>
          <w:rFonts w:hint="eastAsia"/>
          <w:color w:val="auto"/>
          <w:sz w:val="28"/>
          <w:szCs w:val="28"/>
          <w:highlight w:val="none"/>
          <w:lang w:val="en-US" w:eastAsia="zh-CN"/>
        </w:rPr>
        <w:t>6</w:t>
      </w:r>
    </w:p>
    <w:p>
      <w:pPr>
        <w:pStyle w:val="18"/>
        <w:tabs>
          <w:tab w:val="right" w:leader="dot" w:pos="9000"/>
        </w:tabs>
        <w:spacing w:line="560" w:lineRule="exact"/>
        <w:ind w:left="638" w:leftChars="304"/>
        <w:rPr>
          <w:rFonts w:hint="eastAsia" w:eastAsia="宋体;SimSun"/>
          <w:color w:val="auto"/>
          <w:sz w:val="28"/>
          <w:szCs w:val="28"/>
          <w:highlight w:val="none"/>
          <w:lang w:val="en-US" w:eastAsia="zh-CN"/>
        </w:rPr>
      </w:pPr>
      <w:r>
        <w:rPr>
          <w:color w:val="auto"/>
          <w:highlight w:val="none"/>
        </w:rPr>
        <w:fldChar w:fldCharType="begin"/>
      </w:r>
      <w:r>
        <w:rPr>
          <w:color w:val="auto"/>
          <w:highlight w:val="none"/>
        </w:rPr>
        <w:instrText xml:space="preserve"> HYPERLINK \l "_Toc18543" </w:instrText>
      </w:r>
      <w:r>
        <w:rPr>
          <w:color w:val="auto"/>
          <w:highlight w:val="none"/>
        </w:rPr>
        <w:fldChar w:fldCharType="separate"/>
      </w:r>
      <w:r>
        <w:rPr>
          <w:rFonts w:hint="eastAsia" w:ascii="宋体" w:hAnsi="宋体" w:eastAsia="宋体" w:cs="宋体"/>
          <w:color w:val="auto"/>
          <w:sz w:val="28"/>
          <w:szCs w:val="28"/>
          <w:highlight w:val="none"/>
        </w:rPr>
        <w:t>三、商务文件</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r>
        <w:rPr>
          <w:rFonts w:hint="eastAsia"/>
          <w:color w:val="auto"/>
          <w:sz w:val="28"/>
          <w:szCs w:val="28"/>
          <w:highlight w:val="none"/>
          <w:lang w:val="en-US" w:eastAsia="zh-CN"/>
        </w:rPr>
        <w:t>8</w:t>
      </w:r>
    </w:p>
    <w:p>
      <w:pPr>
        <w:pStyle w:val="21"/>
        <w:tabs>
          <w:tab w:val="right" w:leader="dot" w:pos="9000"/>
        </w:tabs>
        <w:spacing w:line="560" w:lineRule="exact"/>
        <w:ind w:left="638" w:leftChars="304"/>
        <w:rPr>
          <w:rFonts w:hint="eastAsia" w:eastAsia="宋体;SimSun"/>
          <w:color w:val="auto"/>
          <w:sz w:val="28"/>
          <w:szCs w:val="28"/>
          <w:highlight w:val="none"/>
          <w:lang w:val="en-US" w:eastAsia="zh-CN"/>
        </w:rPr>
      </w:pPr>
      <w:r>
        <w:rPr>
          <w:color w:val="auto"/>
          <w:highlight w:val="none"/>
        </w:rPr>
        <w:fldChar w:fldCharType="begin"/>
      </w:r>
      <w:r>
        <w:rPr>
          <w:color w:val="auto"/>
          <w:highlight w:val="none"/>
        </w:rPr>
        <w:instrText xml:space="preserve"> HYPERLINK \l "_Toc20353" </w:instrText>
      </w:r>
      <w:r>
        <w:rPr>
          <w:color w:val="auto"/>
          <w:highlight w:val="none"/>
        </w:rPr>
        <w:fldChar w:fldCharType="separate"/>
      </w:r>
      <w:r>
        <w:rPr>
          <w:rFonts w:hint="eastAsia" w:ascii="宋体" w:hAnsi="宋体" w:eastAsia="宋体" w:cs="宋体"/>
          <w:color w:val="auto"/>
          <w:sz w:val="28"/>
          <w:szCs w:val="28"/>
          <w:highlight w:val="none"/>
        </w:rPr>
        <w:t>四、技术文件</w:t>
      </w:r>
      <w:r>
        <w:rPr>
          <w:color w:val="auto"/>
          <w:sz w:val="28"/>
          <w:szCs w:val="28"/>
          <w:highlight w:val="none"/>
        </w:rPr>
        <w:tab/>
      </w:r>
      <w:r>
        <w:rPr>
          <w:rFonts w:hint="eastAsia"/>
          <w:color w:val="auto"/>
          <w:sz w:val="28"/>
          <w:szCs w:val="28"/>
          <w:highlight w:val="none"/>
          <w:lang w:val="en-US" w:eastAsia="zh-CN"/>
        </w:rPr>
        <w:t>6</w:t>
      </w:r>
      <w:r>
        <w:rPr>
          <w:color w:val="auto"/>
          <w:sz w:val="28"/>
          <w:szCs w:val="28"/>
          <w:highlight w:val="none"/>
        </w:rPr>
        <w:fldChar w:fldCharType="end"/>
      </w:r>
      <w:r>
        <w:rPr>
          <w:rFonts w:hint="eastAsia"/>
          <w:color w:val="auto"/>
          <w:sz w:val="28"/>
          <w:szCs w:val="28"/>
          <w:highlight w:val="none"/>
          <w:lang w:val="en-US" w:eastAsia="zh-CN"/>
        </w:rPr>
        <w:t>9</w:t>
      </w:r>
    </w:p>
    <w:p>
      <w:pPr>
        <w:pStyle w:val="18"/>
        <w:tabs>
          <w:tab w:val="right" w:leader="dot" w:pos="9000"/>
        </w:tabs>
        <w:spacing w:line="560" w:lineRule="exact"/>
        <w:ind w:left="638" w:leftChars="304"/>
        <w:rPr>
          <w:rFonts w:hint="eastAsia" w:eastAsia="宋体;SimSun"/>
          <w:color w:val="auto"/>
          <w:sz w:val="28"/>
          <w:szCs w:val="28"/>
          <w:highlight w:val="none"/>
          <w:lang w:val="en-US" w:eastAsia="zh-CN"/>
        </w:rPr>
      </w:pPr>
      <w:r>
        <w:rPr>
          <w:color w:val="auto"/>
          <w:highlight w:val="none"/>
        </w:rPr>
        <w:fldChar w:fldCharType="begin"/>
      </w:r>
      <w:r>
        <w:rPr>
          <w:color w:val="auto"/>
          <w:highlight w:val="none"/>
        </w:rPr>
        <w:instrText xml:space="preserve"> HYPERLINK \l "_Toc11772" </w:instrText>
      </w:r>
      <w:r>
        <w:rPr>
          <w:color w:val="auto"/>
          <w:highlight w:val="none"/>
        </w:rPr>
        <w:fldChar w:fldCharType="separate"/>
      </w:r>
      <w:r>
        <w:rPr>
          <w:rFonts w:hint="eastAsia" w:ascii="宋体" w:hAnsi="宋体" w:cs="宋体"/>
          <w:color w:val="auto"/>
          <w:sz w:val="28"/>
          <w:szCs w:val="28"/>
          <w:highlight w:val="none"/>
        </w:rPr>
        <w:t>五</w:t>
      </w:r>
      <w:r>
        <w:rPr>
          <w:rFonts w:hint="eastAsia" w:ascii="宋体" w:hAnsi="宋体" w:eastAsia="宋体" w:cs="宋体"/>
          <w:color w:val="auto"/>
          <w:sz w:val="28"/>
          <w:szCs w:val="28"/>
          <w:highlight w:val="none"/>
        </w:rPr>
        <w:t>、其他资料</w:t>
      </w:r>
      <w:r>
        <w:rPr>
          <w:color w:val="auto"/>
          <w:sz w:val="28"/>
          <w:szCs w:val="28"/>
          <w:highlight w:val="none"/>
        </w:rPr>
        <w:tab/>
      </w:r>
      <w:r>
        <w:rPr>
          <w:rFonts w:hint="eastAsia"/>
          <w:color w:val="auto"/>
          <w:sz w:val="28"/>
          <w:szCs w:val="28"/>
          <w:highlight w:val="none"/>
          <w:lang w:val="en-US" w:eastAsia="zh-CN"/>
        </w:rPr>
        <w:t>7</w:t>
      </w:r>
      <w:r>
        <w:rPr>
          <w:color w:val="auto"/>
          <w:sz w:val="28"/>
          <w:szCs w:val="28"/>
          <w:highlight w:val="none"/>
        </w:rPr>
        <w:fldChar w:fldCharType="end"/>
      </w:r>
      <w:r>
        <w:rPr>
          <w:rFonts w:hint="eastAsia"/>
          <w:color w:val="auto"/>
          <w:sz w:val="28"/>
          <w:szCs w:val="28"/>
          <w:highlight w:val="none"/>
          <w:lang w:val="en-US" w:eastAsia="zh-CN"/>
        </w:rPr>
        <w:t>3</w:t>
      </w:r>
    </w:p>
    <w:p>
      <w:pPr>
        <w:pStyle w:val="31"/>
        <w:tabs>
          <w:tab w:val="right" w:leader="dot" w:pos="9016"/>
        </w:tabs>
        <w:spacing w:before="340" w:after="330" w:line="560" w:lineRule="exact"/>
        <w:ind w:left="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pPr>
        <w:pStyle w:val="31"/>
        <w:tabs>
          <w:tab w:val="right" w:leader="dot" w:pos="9016"/>
        </w:tabs>
        <w:spacing w:line="600" w:lineRule="exact"/>
        <w:ind w:left="0"/>
        <w:rPr>
          <w:rFonts w:ascii="宋体" w:hAnsi="宋体" w:eastAsia="宋体" w:cs="宋体"/>
          <w:color w:val="auto"/>
          <w:highlight w:val="none"/>
        </w:rPr>
        <w:sectPr>
          <w:headerReference r:id="rId3" w:type="default"/>
          <w:footerReference r:id="rId4" w:type="default"/>
          <w:pgSz w:w="11906" w:h="16838"/>
          <w:pgMar w:top="1440" w:right="1106" w:bottom="1440" w:left="1800" w:header="851" w:footer="752" w:gutter="0"/>
          <w:pgNumType w:fmt="numberInDash"/>
          <w:cols w:space="720" w:num="1"/>
          <w:formProt w:val="0"/>
          <w:docGrid w:type="lines" w:linePitch="312" w:charSpace="0"/>
        </w:sectPr>
      </w:pPr>
    </w:p>
    <w:p>
      <w:pPr>
        <w:rPr>
          <w:color w:val="auto"/>
          <w:highlight w:val="none"/>
        </w:rPr>
      </w:pPr>
    </w:p>
    <w:p>
      <w:pPr>
        <w:widowControl/>
        <w:spacing w:line="480" w:lineRule="exact"/>
        <w:jc w:val="center"/>
        <w:outlineLvl w:val="0"/>
        <w:rPr>
          <w:rStyle w:val="32"/>
          <w:rFonts w:ascii="宋体" w:hAnsi="宋体" w:eastAsia="宋体" w:cs="宋体"/>
          <w:color w:val="auto"/>
          <w:highlight w:val="none"/>
        </w:rPr>
      </w:pPr>
      <w:bookmarkStart w:id="0" w:name="_Toc18505"/>
      <w:r>
        <w:rPr>
          <w:rStyle w:val="32"/>
          <w:rFonts w:hint="eastAsia" w:ascii="宋体" w:hAnsi="宋体" w:eastAsia="宋体" w:cs="宋体"/>
          <w:color w:val="auto"/>
          <w:highlight w:val="none"/>
        </w:rPr>
        <w:t>第一章  竞争性磋商公告</w:t>
      </w:r>
      <w:bookmarkEnd w:id="0"/>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outlineLvl w:val="1"/>
        <w:rPr>
          <w:rFonts w:ascii="宋体" w:hAnsi="宋体" w:eastAsia="宋体" w:cs="宋体"/>
          <w:b/>
          <w:color w:val="auto"/>
          <w:kern w:val="0"/>
          <w:sz w:val="24"/>
          <w:szCs w:val="24"/>
          <w:highlight w:val="none"/>
        </w:rPr>
      </w:pPr>
      <w:bookmarkStart w:id="1" w:name="_Toc23983"/>
      <w:bookmarkStart w:id="2" w:name="_Toc4190"/>
      <w:r>
        <w:rPr>
          <w:rFonts w:hint="eastAsia" w:ascii="宋体" w:hAnsi="宋体" w:eastAsia="宋体" w:cs="宋体"/>
          <w:b/>
          <w:color w:val="auto"/>
          <w:kern w:val="0"/>
          <w:sz w:val="24"/>
          <w:szCs w:val="24"/>
          <w:highlight w:val="none"/>
        </w:rPr>
        <w:t>一、项目基本情况</w:t>
      </w:r>
      <w:bookmarkEnd w:id="1"/>
      <w:bookmarkEnd w:id="2"/>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lang w:eastAsia="zh-CN"/>
        </w:rPr>
        <w:t>2023HDYPCS-039</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eastAsia="zh-CN"/>
        </w:rPr>
        <w:t>乌鲁木齐市米东区人民医院医疗设备采购项目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eastAsia="宋体"/>
          <w:color w:val="auto"/>
          <w:highlight w:val="none"/>
        </w:rPr>
      </w:pPr>
      <w:r>
        <w:rPr>
          <w:rFonts w:hint="eastAsia" w:ascii="宋体" w:hAnsi="宋体" w:eastAsia="宋体" w:cs="宋体"/>
          <w:color w:val="auto"/>
          <w:kern w:val="0"/>
          <w:sz w:val="24"/>
          <w:szCs w:val="24"/>
          <w:highlight w:val="none"/>
        </w:rPr>
        <w:t>采购方式：竞争性磋商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采购预算：</w:t>
      </w:r>
      <w:r>
        <w:rPr>
          <w:rFonts w:hint="eastAsia" w:ascii="宋体" w:hAnsi="宋体" w:eastAsia="宋体" w:cs="宋体"/>
          <w:color w:val="auto"/>
          <w:kern w:val="0"/>
          <w:sz w:val="24"/>
          <w:szCs w:val="24"/>
          <w:highlight w:val="none"/>
          <w:lang w:val="en-US" w:eastAsia="zh-CN"/>
        </w:rPr>
        <w:t>84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80</w:t>
      </w:r>
      <w:r>
        <w:rPr>
          <w:rFonts w:hint="eastAsia" w:ascii="宋体" w:hAnsi="宋体" w:eastAsia="宋体" w:cs="宋体"/>
          <w:color w:val="auto"/>
          <w:kern w:val="0"/>
          <w:sz w:val="24"/>
          <w:szCs w:val="24"/>
          <w:highlight w:val="none"/>
        </w:rPr>
        <w:t>万元</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84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80</w:t>
      </w:r>
      <w:r>
        <w:rPr>
          <w:rFonts w:hint="eastAsia" w:ascii="宋体" w:hAnsi="宋体" w:eastAsia="宋体" w:cs="宋体"/>
          <w:color w:val="auto"/>
          <w:kern w:val="0"/>
          <w:sz w:val="24"/>
          <w:szCs w:val="24"/>
          <w:highlight w:val="none"/>
        </w:rPr>
        <w:t>万元</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采购需求：</w:t>
      </w:r>
    </w:p>
    <w:tbl>
      <w:tblPr>
        <w:tblStyle w:val="25"/>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300"/>
        <w:gridCol w:w="72"/>
        <w:gridCol w:w="707"/>
        <w:gridCol w:w="1334"/>
        <w:gridCol w:w="1299"/>
        <w:gridCol w:w="179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20"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标项</w:t>
            </w:r>
          </w:p>
        </w:tc>
        <w:tc>
          <w:tcPr>
            <w:tcW w:w="2300"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设备名称</w:t>
            </w:r>
          </w:p>
        </w:tc>
        <w:tc>
          <w:tcPr>
            <w:tcW w:w="779" w:type="dxa"/>
            <w:gridSpan w:val="2"/>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数量（套）</w:t>
            </w:r>
          </w:p>
        </w:tc>
        <w:tc>
          <w:tcPr>
            <w:tcW w:w="1334"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预算金额</w:t>
            </w:r>
          </w:p>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（万元）</w:t>
            </w:r>
          </w:p>
        </w:tc>
        <w:tc>
          <w:tcPr>
            <w:tcW w:w="1299"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最高限价</w:t>
            </w:r>
          </w:p>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（万元）</w:t>
            </w:r>
          </w:p>
        </w:tc>
        <w:tc>
          <w:tcPr>
            <w:tcW w:w="1794"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简要规格描述</w:t>
            </w:r>
          </w:p>
        </w:tc>
        <w:tc>
          <w:tcPr>
            <w:tcW w:w="1051"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restart"/>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标项一</w:t>
            </w:r>
          </w:p>
        </w:tc>
        <w:tc>
          <w:tcPr>
            <w:tcW w:w="2300"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二氧化碳激光治疗机</w:t>
            </w:r>
          </w:p>
        </w:tc>
        <w:tc>
          <w:tcPr>
            <w:tcW w:w="779" w:type="dxa"/>
            <w:gridSpan w:val="2"/>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val="en-US" w:eastAsia="zh-CN" w:bidi="ar"/>
              </w:rPr>
              <w:t>1</w:t>
            </w:r>
          </w:p>
        </w:tc>
        <w:tc>
          <w:tcPr>
            <w:tcW w:w="1334" w:type="dxa"/>
            <w:noWrap/>
            <w:vAlign w:val="center"/>
          </w:tcPr>
          <w:p>
            <w:pPr>
              <w:widowControl/>
              <w:jc w:val="center"/>
              <w:textAlignment w:val="center"/>
              <w:rPr>
                <w:rFonts w:hint="default"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3</w:t>
            </w:r>
            <w:r>
              <w:rPr>
                <w:rFonts w:hint="default"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val="en-US" w:eastAsia="zh-CN" w:bidi="ar"/>
              </w:rPr>
              <w:t>.00</w:t>
            </w:r>
          </w:p>
        </w:tc>
        <w:tc>
          <w:tcPr>
            <w:tcW w:w="1299"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3</w:t>
            </w:r>
            <w:r>
              <w:rPr>
                <w:rFonts w:hint="default"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val="en-US" w:eastAsia="zh-CN" w:bidi="ar"/>
              </w:rPr>
              <w:t>.00</w:t>
            </w:r>
          </w:p>
        </w:tc>
        <w:tc>
          <w:tcPr>
            <w:tcW w:w="1794"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具体内容详见第三章采购需求</w:t>
            </w:r>
          </w:p>
        </w:tc>
        <w:tc>
          <w:tcPr>
            <w:tcW w:w="1051" w:type="dxa"/>
            <w:noWrap/>
            <w:vAlign w:val="center"/>
          </w:tcPr>
          <w:p>
            <w:pPr>
              <w:widowControl/>
              <w:jc w:val="center"/>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continue"/>
            <w:noWrap/>
            <w:vAlign w:val="center"/>
          </w:tcPr>
          <w:p>
            <w:pPr>
              <w:widowControl/>
              <w:jc w:val="center"/>
              <w:textAlignment w:val="center"/>
              <w:rPr>
                <w:rFonts w:hint="eastAsia" w:ascii="宋体" w:hAnsi="宋体" w:eastAsia="宋体" w:cs="宋体"/>
                <w:color w:val="auto"/>
                <w:sz w:val="21"/>
                <w:szCs w:val="21"/>
                <w:highlight w:val="none"/>
                <w:lang w:bidi="ar"/>
              </w:rPr>
            </w:pPr>
          </w:p>
        </w:tc>
        <w:tc>
          <w:tcPr>
            <w:tcW w:w="2300"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多波段光谱治疗仪</w:t>
            </w:r>
          </w:p>
        </w:tc>
        <w:tc>
          <w:tcPr>
            <w:tcW w:w="779" w:type="dxa"/>
            <w:gridSpan w:val="2"/>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1</w:t>
            </w:r>
          </w:p>
        </w:tc>
        <w:tc>
          <w:tcPr>
            <w:tcW w:w="1334" w:type="dxa"/>
            <w:noWrap/>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16.80</w:t>
            </w:r>
          </w:p>
        </w:tc>
        <w:tc>
          <w:tcPr>
            <w:tcW w:w="1299"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16.80</w:t>
            </w:r>
          </w:p>
        </w:tc>
        <w:tc>
          <w:tcPr>
            <w:tcW w:w="1794"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具体内容详见第三章采购需求</w:t>
            </w:r>
          </w:p>
        </w:tc>
        <w:tc>
          <w:tcPr>
            <w:tcW w:w="1051"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continue"/>
            <w:noWrap/>
            <w:vAlign w:val="center"/>
          </w:tcPr>
          <w:p>
            <w:pPr>
              <w:widowControl/>
              <w:jc w:val="center"/>
              <w:textAlignment w:val="center"/>
              <w:rPr>
                <w:rFonts w:hint="eastAsia" w:ascii="宋体" w:hAnsi="宋体" w:eastAsia="宋体" w:cs="宋体"/>
                <w:color w:val="auto"/>
                <w:sz w:val="21"/>
                <w:szCs w:val="21"/>
                <w:highlight w:val="none"/>
                <w:lang w:bidi="ar"/>
              </w:rPr>
            </w:pPr>
          </w:p>
        </w:tc>
        <w:tc>
          <w:tcPr>
            <w:tcW w:w="3079" w:type="dxa"/>
            <w:gridSpan w:val="3"/>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采购预算合计</w:t>
            </w:r>
          </w:p>
        </w:tc>
        <w:tc>
          <w:tcPr>
            <w:tcW w:w="1334" w:type="dxa"/>
            <w:noWrap/>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49.80</w:t>
            </w:r>
          </w:p>
        </w:tc>
        <w:tc>
          <w:tcPr>
            <w:tcW w:w="1299"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49.80</w:t>
            </w:r>
          </w:p>
        </w:tc>
        <w:tc>
          <w:tcPr>
            <w:tcW w:w="1794" w:type="dxa"/>
            <w:noWrap/>
            <w:vAlign w:val="center"/>
          </w:tcPr>
          <w:p>
            <w:pPr>
              <w:widowControl/>
              <w:jc w:val="center"/>
              <w:textAlignment w:val="center"/>
              <w:rPr>
                <w:rFonts w:hint="eastAsia" w:ascii="宋体" w:hAnsi="宋体" w:eastAsia="宋体" w:cs="宋体"/>
                <w:color w:val="auto"/>
                <w:sz w:val="21"/>
                <w:szCs w:val="21"/>
                <w:highlight w:val="none"/>
                <w:lang w:bidi="ar"/>
              </w:rPr>
            </w:pPr>
          </w:p>
        </w:tc>
        <w:tc>
          <w:tcPr>
            <w:tcW w:w="1051" w:type="dxa"/>
            <w:noWrap/>
            <w:vAlign w:val="center"/>
          </w:tcPr>
          <w:p>
            <w:pPr>
              <w:widowControl/>
              <w:jc w:val="center"/>
              <w:textAlignment w:val="center"/>
              <w:rPr>
                <w:rFonts w:hint="eastAsia" w:ascii="宋体" w:hAnsi="宋体" w:eastAsia="宋体" w:cs="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restart"/>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标项</w:t>
            </w:r>
            <w:r>
              <w:rPr>
                <w:rFonts w:hint="eastAsia" w:ascii="宋体" w:hAnsi="宋体" w:eastAsia="宋体" w:cs="宋体"/>
                <w:color w:val="auto"/>
                <w:sz w:val="21"/>
                <w:szCs w:val="21"/>
                <w:highlight w:val="none"/>
                <w:lang w:val="en-US" w:eastAsia="zh-CN" w:bidi="ar"/>
              </w:rPr>
              <w:t>二</w:t>
            </w:r>
          </w:p>
        </w:tc>
        <w:tc>
          <w:tcPr>
            <w:tcW w:w="2372" w:type="dxa"/>
            <w:gridSpan w:val="2"/>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乳腺磁共振线圈</w:t>
            </w:r>
          </w:p>
        </w:tc>
        <w:tc>
          <w:tcPr>
            <w:tcW w:w="707" w:type="dxa"/>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p>
        </w:tc>
        <w:tc>
          <w:tcPr>
            <w:tcW w:w="1334"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35.00</w:t>
            </w:r>
          </w:p>
        </w:tc>
        <w:tc>
          <w:tcPr>
            <w:tcW w:w="1299" w:type="dxa"/>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35.00</w:t>
            </w:r>
          </w:p>
        </w:tc>
        <w:tc>
          <w:tcPr>
            <w:tcW w:w="1794" w:type="dxa"/>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具体内容详见第三章采购需求</w:t>
            </w:r>
          </w:p>
        </w:tc>
        <w:tc>
          <w:tcPr>
            <w:tcW w:w="1051" w:type="dxa"/>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continue"/>
            <w:noWrap w:val="0"/>
            <w:vAlign w:val="center"/>
          </w:tcPr>
          <w:p>
            <w:pPr>
              <w:widowControl/>
              <w:jc w:val="center"/>
              <w:textAlignment w:val="center"/>
              <w:rPr>
                <w:rFonts w:hint="eastAsia" w:ascii="宋体" w:hAnsi="宋体" w:eastAsia="宋体" w:cs="宋体"/>
                <w:color w:val="auto"/>
                <w:sz w:val="21"/>
                <w:szCs w:val="21"/>
                <w:highlight w:val="none"/>
                <w:lang w:bidi="ar"/>
              </w:rPr>
            </w:pPr>
          </w:p>
        </w:tc>
        <w:tc>
          <w:tcPr>
            <w:tcW w:w="3079" w:type="dxa"/>
            <w:gridSpan w:val="3"/>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采购预算合计</w:t>
            </w:r>
          </w:p>
        </w:tc>
        <w:tc>
          <w:tcPr>
            <w:tcW w:w="1334"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35.00</w:t>
            </w:r>
          </w:p>
        </w:tc>
        <w:tc>
          <w:tcPr>
            <w:tcW w:w="1299"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35.00</w:t>
            </w:r>
          </w:p>
        </w:tc>
        <w:tc>
          <w:tcPr>
            <w:tcW w:w="1794" w:type="dxa"/>
            <w:noWrap w:val="0"/>
            <w:vAlign w:val="center"/>
          </w:tcPr>
          <w:p>
            <w:pPr>
              <w:widowControl/>
              <w:jc w:val="center"/>
              <w:textAlignment w:val="center"/>
              <w:rPr>
                <w:rFonts w:hint="eastAsia" w:ascii="宋体" w:hAnsi="宋体" w:eastAsia="宋体" w:cs="宋体"/>
                <w:color w:val="auto"/>
                <w:sz w:val="21"/>
                <w:szCs w:val="21"/>
                <w:highlight w:val="none"/>
                <w:lang w:bidi="ar"/>
              </w:rPr>
            </w:pPr>
          </w:p>
        </w:tc>
        <w:tc>
          <w:tcPr>
            <w:tcW w:w="1051" w:type="dxa"/>
            <w:noWrap w:val="0"/>
            <w:vAlign w:val="center"/>
          </w:tcPr>
          <w:p>
            <w:pPr>
              <w:widowControl/>
              <w:jc w:val="center"/>
              <w:textAlignment w:val="center"/>
              <w:rPr>
                <w:rFonts w:hint="eastAsia" w:ascii="宋体" w:hAnsi="宋体" w:eastAsia="宋体" w:cs="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099" w:type="dxa"/>
            <w:gridSpan w:val="4"/>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共计采购预算</w:t>
            </w:r>
          </w:p>
        </w:tc>
        <w:tc>
          <w:tcPr>
            <w:tcW w:w="5478" w:type="dxa"/>
            <w:gridSpan w:val="4"/>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84.80</w:t>
            </w:r>
            <w:r>
              <w:rPr>
                <w:rFonts w:hint="eastAsia" w:ascii="宋体" w:hAnsi="宋体" w:eastAsia="宋体" w:cs="宋体"/>
                <w:color w:val="auto"/>
                <w:sz w:val="21"/>
                <w:szCs w:val="21"/>
                <w:highlight w:val="none"/>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099" w:type="dxa"/>
            <w:gridSpan w:val="4"/>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共计最高限价</w:t>
            </w:r>
          </w:p>
        </w:tc>
        <w:tc>
          <w:tcPr>
            <w:tcW w:w="5478" w:type="dxa"/>
            <w:gridSpan w:val="4"/>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84.80</w:t>
            </w:r>
            <w:r>
              <w:rPr>
                <w:rFonts w:hint="eastAsia" w:ascii="宋体" w:hAnsi="宋体" w:eastAsia="宋体" w:cs="宋体"/>
                <w:color w:val="auto"/>
                <w:sz w:val="21"/>
                <w:szCs w:val="21"/>
                <w:highlight w:val="none"/>
                <w:lang w:bidi="ar"/>
              </w:rPr>
              <w:t>万元</w:t>
            </w:r>
          </w:p>
        </w:tc>
      </w:tr>
    </w:tbl>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合同履约期限：自签订合同起至质保期结束为止。</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eastAsia="zh-CN"/>
        </w:rPr>
      </w:pPr>
      <w:bookmarkStart w:id="3" w:name="_Toc24778"/>
      <w:bookmarkStart w:id="4" w:name="_Toc9229"/>
      <w:r>
        <w:rPr>
          <w:rFonts w:hint="eastAsia" w:ascii="宋体" w:hAnsi="宋体" w:eastAsia="宋体" w:cs="宋体"/>
          <w:b w:val="0"/>
          <w:bCs/>
          <w:color w:val="auto"/>
          <w:kern w:val="0"/>
          <w:sz w:val="24"/>
          <w:szCs w:val="24"/>
          <w:highlight w:val="none"/>
        </w:rPr>
        <w:t>本项目不接受联合体投标</w:t>
      </w:r>
      <w:r>
        <w:rPr>
          <w:rFonts w:hint="eastAsia" w:ascii="宋体" w:hAnsi="宋体" w:eastAsia="宋体" w:cs="宋体"/>
          <w:b w:val="0"/>
          <w:bCs/>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1"/>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二、申请人的资格要求：</w:t>
      </w:r>
      <w:bookmarkEnd w:id="3"/>
      <w:bookmarkEnd w:id="4"/>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bookmarkStart w:id="5" w:name="_Toc13731"/>
      <w:bookmarkStart w:id="6" w:name="_Toc8842"/>
      <w:r>
        <w:rPr>
          <w:rFonts w:hint="eastAsia" w:ascii="宋体" w:hAnsi="宋体" w:eastAsia="宋体" w:cs="宋体"/>
          <w:b w:val="0"/>
          <w:bCs/>
          <w:color w:val="auto"/>
          <w:kern w:val="0"/>
          <w:sz w:val="24"/>
          <w:szCs w:val="24"/>
          <w:highlight w:val="none"/>
          <w:lang w:val="en-US" w:eastAsia="zh-CN"/>
        </w:rPr>
        <w:t>1. 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 落实政府采购政策需满足的资格要求：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（1）《关于调整优化节能产品、环境标志产品政府强制执行机制的通知》（财库〔2019〕9号）</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（3）《关于进一步加大政府采购支持中小企业力度的通知》（财库〔2022〕19号）</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（5）《财政部 民政部 中国残疾人联合会关于促进残疾人就业政府采购政策的通知》财库〔2017〕141号。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 本项目的特定资格要求：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3.1 供应商须具有有效的医疗器械经营许可证（或按照国家食品药品监督管理部门规定实行备案管理的，具有备案证明文件）；若供应商为货物制造商须具备医疗器械生产许可证。</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3.2本项目为国产设备，不允许进口产品投标；</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t>
      </w: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HYPERLINK "http://www.ccgp.gov.cn）】"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www.ccgp.gov.cn）】</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；（需注明具体查询时间，不得早于招标公告发布日期）打印页面并加盖电子公章。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3.4 供应商不得存在下列情形之一：</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3.4.1 与采购人、采购代理机构存在隶属关系或者其他利害关系。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3.4.2 与其他供应商的法定代表人（或者负责人）为同一人；或者与其他供应商存在控股、关联关系；为采购项目提供整体审计、规范编制或者项目管理、监理、检测等服务的供应商，不得再参加本项目的采购活动。</w:t>
      </w:r>
    </w:p>
    <w:p>
      <w:pPr>
        <w:pStyle w:val="2"/>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color w:val="auto"/>
          <w:spacing w:val="0"/>
          <w:kern w:val="0"/>
          <w:sz w:val="24"/>
          <w:szCs w:val="24"/>
          <w:highlight w:val="none"/>
          <w:lang w:val="en-US" w:eastAsia="zh-CN" w:bidi="ar-SA"/>
        </w:rPr>
      </w:pPr>
      <w:r>
        <w:rPr>
          <w:rFonts w:hint="eastAsia" w:ascii="宋体" w:hAnsi="宋体" w:eastAsia="宋体" w:cs="宋体"/>
          <w:b w:val="0"/>
          <w:bCs/>
          <w:color w:val="auto"/>
          <w:spacing w:val="0"/>
          <w:kern w:val="0"/>
          <w:sz w:val="24"/>
          <w:szCs w:val="24"/>
          <w:highlight w:val="none"/>
          <w:lang w:val="en-US" w:eastAsia="zh-CN" w:bidi="ar-SA"/>
        </w:rPr>
        <w:t>3.5本项目专门面向中小企业采购，大型企业不允许参加此项目投标。供应商应根据工信部等部委发布的《关于印发中小企业划型标准规定的通知》（工信部联企业〔2011〕300号），自行确认企业类型。本次采购项目所属行业为“第二项 工业”，符合要求的供应商须提供《中小企业声明函》。监狱企业、残疾人福利性单位，视同为小型和微型企业，须提供《声明函》。</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1"/>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三、获取</w:t>
      </w:r>
      <w:bookmarkEnd w:id="5"/>
      <w:bookmarkEnd w:id="6"/>
      <w:r>
        <w:rPr>
          <w:rFonts w:hint="eastAsia" w:ascii="宋体" w:hAnsi="宋体" w:eastAsia="宋体" w:cs="宋体"/>
          <w:b/>
          <w:color w:val="auto"/>
          <w:kern w:val="0"/>
          <w:sz w:val="24"/>
          <w:szCs w:val="24"/>
          <w:highlight w:val="none"/>
          <w:lang w:eastAsia="zh-CN"/>
        </w:rPr>
        <w:t>竞争性磋商文件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bookmarkStart w:id="7" w:name="_Toc32194"/>
      <w:bookmarkStart w:id="8" w:name="_Toc13442"/>
      <w:r>
        <w:rPr>
          <w:rFonts w:hint="eastAsia" w:ascii="宋体" w:hAnsi="宋体" w:eastAsia="宋体" w:cs="宋体"/>
          <w:b w:val="0"/>
          <w:bCs/>
          <w:color w:val="auto"/>
          <w:kern w:val="0"/>
          <w:sz w:val="24"/>
          <w:szCs w:val="24"/>
          <w:highlight w:val="none"/>
          <w:lang w:val="en-US" w:eastAsia="zh-CN"/>
        </w:rPr>
        <w:t>1.时间：2023年10月27日至2023年11月03日，每天上午00:00至12:00，下午12:00至23:59（北京时间，法定节假日除外）</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2.方式：线上获取</w:t>
      </w:r>
      <w:bookmarkStart w:id="177" w:name="_GoBack"/>
      <w:bookmarkEnd w:id="177"/>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3.地点：供应商登录政采云平台https://www.zcygov.cn/在线申请获取采购文件（进入“项目采购”应用，在获取采购文件菜单中选择项目，申请获取采购文件）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4.磋商文件售价（元）：0</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1"/>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四、提交响应文件截止时间、开标/磋商时间和地点</w:t>
      </w:r>
      <w:bookmarkEnd w:id="7"/>
      <w:bookmarkEnd w:id="8"/>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rPr>
      </w:pPr>
      <w:bookmarkStart w:id="9" w:name="_Toc15169"/>
      <w:bookmarkStart w:id="10" w:name="_Toc24699"/>
      <w:r>
        <w:rPr>
          <w:rFonts w:hint="eastAsia" w:ascii="宋体" w:hAnsi="宋体" w:eastAsia="宋体" w:cs="宋体"/>
          <w:b w:val="0"/>
          <w:bCs/>
          <w:color w:val="auto"/>
          <w:kern w:val="0"/>
          <w:sz w:val="24"/>
          <w:szCs w:val="24"/>
          <w:highlight w:val="none"/>
        </w:rPr>
        <w:t>提交</w:t>
      </w:r>
      <w:r>
        <w:rPr>
          <w:rFonts w:hint="eastAsia" w:ascii="宋体" w:hAnsi="宋体" w:eastAsia="宋体" w:cs="宋体"/>
          <w:b w:val="0"/>
          <w:bCs/>
          <w:color w:val="auto"/>
          <w:kern w:val="0"/>
          <w:sz w:val="24"/>
          <w:szCs w:val="24"/>
          <w:highlight w:val="none"/>
          <w:lang w:eastAsia="zh-CN"/>
        </w:rPr>
        <w:t>响应文件</w:t>
      </w:r>
      <w:r>
        <w:rPr>
          <w:rFonts w:hint="eastAsia" w:ascii="宋体" w:hAnsi="宋体" w:eastAsia="宋体" w:cs="宋体"/>
          <w:b w:val="0"/>
          <w:bCs/>
          <w:color w:val="auto"/>
          <w:kern w:val="0"/>
          <w:sz w:val="24"/>
          <w:szCs w:val="24"/>
          <w:highlight w:val="none"/>
        </w:rPr>
        <w:t>截止时间：202</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rPr>
        <w:t>年</w:t>
      </w:r>
      <w:r>
        <w:rPr>
          <w:rFonts w:hint="eastAsia" w:ascii="宋体" w:hAnsi="宋体" w:eastAsia="宋体" w:cs="宋体"/>
          <w:b w:val="0"/>
          <w:bCs/>
          <w:color w:val="auto"/>
          <w:kern w:val="0"/>
          <w:sz w:val="24"/>
          <w:szCs w:val="24"/>
          <w:highlight w:val="none"/>
          <w:lang w:val="en-US" w:eastAsia="zh-CN"/>
        </w:rPr>
        <w:t>11</w:t>
      </w:r>
      <w:r>
        <w:rPr>
          <w:rFonts w:hint="eastAsia" w:ascii="宋体" w:hAnsi="宋体" w:eastAsia="宋体" w:cs="宋体"/>
          <w:b w:val="0"/>
          <w:bCs/>
          <w:color w:val="auto"/>
          <w:kern w:val="0"/>
          <w:sz w:val="24"/>
          <w:szCs w:val="24"/>
          <w:highlight w:val="none"/>
        </w:rPr>
        <w:t>月</w:t>
      </w:r>
      <w:r>
        <w:rPr>
          <w:rFonts w:hint="eastAsia" w:ascii="宋体" w:hAnsi="宋体" w:eastAsia="宋体" w:cs="宋体"/>
          <w:b w:val="0"/>
          <w:bCs/>
          <w:color w:val="auto"/>
          <w:kern w:val="0"/>
          <w:sz w:val="24"/>
          <w:szCs w:val="24"/>
          <w:highlight w:val="none"/>
          <w:lang w:val="en-US" w:eastAsia="zh-CN"/>
        </w:rPr>
        <w:t>08</w:t>
      </w:r>
      <w:r>
        <w:rPr>
          <w:rFonts w:hint="eastAsia" w:ascii="宋体" w:hAnsi="宋体" w:eastAsia="宋体" w:cs="宋体"/>
          <w:b w:val="0"/>
          <w:bCs/>
          <w:color w:val="auto"/>
          <w:kern w:val="0"/>
          <w:sz w:val="24"/>
          <w:szCs w:val="24"/>
          <w:highlight w:val="none"/>
        </w:rPr>
        <w:t>日11:</w:t>
      </w:r>
      <w:r>
        <w:rPr>
          <w:rFonts w:hint="eastAsia" w:ascii="宋体" w:hAnsi="宋体" w:eastAsia="宋体" w:cs="宋体"/>
          <w:b w:val="0"/>
          <w:bCs/>
          <w:color w:val="auto"/>
          <w:kern w:val="0"/>
          <w:sz w:val="24"/>
          <w:szCs w:val="24"/>
          <w:highlight w:val="none"/>
          <w:lang w:val="en-US" w:eastAsia="zh-CN"/>
        </w:rPr>
        <w:t>0</w:t>
      </w:r>
      <w:r>
        <w:rPr>
          <w:rFonts w:hint="eastAsia" w:ascii="宋体" w:hAnsi="宋体" w:eastAsia="宋体" w:cs="宋体"/>
          <w:b w:val="0"/>
          <w:bCs/>
          <w:color w:val="auto"/>
          <w:kern w:val="0"/>
          <w:sz w:val="24"/>
          <w:szCs w:val="24"/>
          <w:highlight w:val="none"/>
        </w:rPr>
        <w:t>0时（北京时间）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投标地点：线上递交，供应商通过登录“政采云平台(https://www.zcygov.cn/)”，将加密</w:t>
      </w:r>
      <w:r>
        <w:rPr>
          <w:rFonts w:hint="eastAsia" w:ascii="宋体" w:hAnsi="宋体" w:eastAsia="宋体" w:cs="宋体"/>
          <w:b w:val="0"/>
          <w:bCs/>
          <w:color w:val="auto"/>
          <w:kern w:val="0"/>
          <w:sz w:val="24"/>
          <w:szCs w:val="24"/>
          <w:highlight w:val="none"/>
          <w:lang w:val="zh-CN"/>
        </w:rPr>
        <w:t>电子</w:t>
      </w:r>
      <w:r>
        <w:rPr>
          <w:rFonts w:hint="eastAsia" w:ascii="宋体" w:hAnsi="宋体" w:eastAsia="宋体" w:cs="宋体"/>
          <w:b w:val="0"/>
          <w:bCs/>
          <w:color w:val="auto"/>
          <w:kern w:val="0"/>
          <w:sz w:val="24"/>
          <w:szCs w:val="24"/>
          <w:highlight w:val="none"/>
          <w:lang w:eastAsia="zh-CN"/>
        </w:rPr>
        <w:t>响应文件</w:t>
      </w:r>
      <w:r>
        <w:rPr>
          <w:rFonts w:hint="eastAsia" w:ascii="宋体" w:hAnsi="宋体" w:eastAsia="宋体" w:cs="宋体"/>
          <w:b w:val="0"/>
          <w:bCs/>
          <w:color w:val="auto"/>
          <w:kern w:val="0"/>
          <w:sz w:val="24"/>
          <w:szCs w:val="24"/>
          <w:highlight w:val="none"/>
        </w:rPr>
        <w:t>在投标截止时间前通过CA上</w:t>
      </w:r>
      <w:r>
        <w:rPr>
          <w:rFonts w:hint="eastAsia" w:ascii="宋体" w:hAnsi="宋体" w:eastAsia="宋体" w:cs="宋体"/>
          <w:b w:val="0"/>
          <w:bCs/>
          <w:color w:val="auto"/>
          <w:kern w:val="0"/>
          <w:sz w:val="24"/>
          <w:szCs w:val="24"/>
          <w:highlight w:val="none"/>
          <w:lang w:val="zh-CN"/>
        </w:rPr>
        <w:t>传到</w:t>
      </w:r>
      <w:r>
        <w:rPr>
          <w:rFonts w:hint="eastAsia" w:ascii="宋体" w:hAnsi="宋体" w:eastAsia="宋体" w:cs="宋体"/>
          <w:b w:val="0"/>
          <w:bCs/>
          <w:color w:val="auto"/>
          <w:kern w:val="0"/>
          <w:sz w:val="24"/>
          <w:szCs w:val="24"/>
          <w:highlight w:val="none"/>
        </w:rPr>
        <w:t>对应项目的的</w:t>
      </w:r>
      <w:r>
        <w:rPr>
          <w:rFonts w:hint="eastAsia" w:ascii="宋体" w:hAnsi="宋体" w:eastAsia="宋体" w:cs="宋体"/>
          <w:b w:val="0"/>
          <w:bCs/>
          <w:color w:val="auto"/>
          <w:kern w:val="0"/>
          <w:sz w:val="24"/>
          <w:szCs w:val="24"/>
          <w:highlight w:val="none"/>
          <w:lang w:val="zh-CN"/>
        </w:rPr>
        <w:t>指定</w:t>
      </w:r>
      <w:r>
        <w:rPr>
          <w:rFonts w:hint="eastAsia" w:ascii="宋体" w:hAnsi="宋体" w:eastAsia="宋体" w:cs="宋体"/>
          <w:b w:val="0"/>
          <w:bCs/>
          <w:color w:val="auto"/>
          <w:kern w:val="0"/>
          <w:sz w:val="24"/>
          <w:szCs w:val="24"/>
          <w:highlight w:val="none"/>
        </w:rPr>
        <w:t>位置。</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开标时间：202</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rPr>
        <w:t>年</w:t>
      </w:r>
      <w:r>
        <w:rPr>
          <w:rFonts w:hint="eastAsia" w:ascii="宋体" w:hAnsi="宋体" w:eastAsia="宋体" w:cs="宋体"/>
          <w:b w:val="0"/>
          <w:bCs/>
          <w:color w:val="auto"/>
          <w:kern w:val="0"/>
          <w:sz w:val="24"/>
          <w:szCs w:val="24"/>
          <w:highlight w:val="none"/>
          <w:lang w:val="en-US" w:eastAsia="zh-CN"/>
        </w:rPr>
        <w:t>11</w:t>
      </w:r>
      <w:r>
        <w:rPr>
          <w:rFonts w:hint="eastAsia" w:ascii="宋体" w:hAnsi="宋体" w:eastAsia="宋体" w:cs="宋体"/>
          <w:b w:val="0"/>
          <w:bCs/>
          <w:color w:val="auto"/>
          <w:kern w:val="0"/>
          <w:sz w:val="24"/>
          <w:szCs w:val="24"/>
          <w:highlight w:val="none"/>
        </w:rPr>
        <w:t>月</w:t>
      </w:r>
      <w:r>
        <w:rPr>
          <w:rFonts w:hint="eastAsia" w:ascii="宋体" w:hAnsi="宋体" w:eastAsia="宋体" w:cs="宋体"/>
          <w:b w:val="0"/>
          <w:bCs/>
          <w:color w:val="auto"/>
          <w:kern w:val="0"/>
          <w:sz w:val="24"/>
          <w:szCs w:val="24"/>
          <w:highlight w:val="none"/>
          <w:lang w:val="en-US" w:eastAsia="zh-CN"/>
        </w:rPr>
        <w:t>08</w:t>
      </w:r>
      <w:r>
        <w:rPr>
          <w:rFonts w:hint="eastAsia" w:ascii="宋体" w:hAnsi="宋体" w:eastAsia="宋体" w:cs="宋体"/>
          <w:b w:val="0"/>
          <w:bCs/>
          <w:color w:val="auto"/>
          <w:kern w:val="0"/>
          <w:sz w:val="24"/>
          <w:szCs w:val="24"/>
          <w:highlight w:val="none"/>
        </w:rPr>
        <w:t>日11:</w:t>
      </w:r>
      <w:r>
        <w:rPr>
          <w:rFonts w:hint="eastAsia" w:ascii="宋体" w:hAnsi="宋体" w:eastAsia="宋体" w:cs="宋体"/>
          <w:b w:val="0"/>
          <w:bCs/>
          <w:color w:val="auto"/>
          <w:kern w:val="0"/>
          <w:sz w:val="24"/>
          <w:szCs w:val="24"/>
          <w:highlight w:val="none"/>
          <w:lang w:val="en-US" w:eastAsia="zh-CN"/>
        </w:rPr>
        <w:t>00</w:t>
      </w:r>
      <w:r>
        <w:rPr>
          <w:rFonts w:hint="eastAsia" w:ascii="宋体" w:hAnsi="宋体" w:eastAsia="宋体" w:cs="宋体"/>
          <w:b w:val="0"/>
          <w:bCs/>
          <w:color w:val="auto"/>
          <w:kern w:val="0"/>
          <w:sz w:val="24"/>
          <w:szCs w:val="24"/>
          <w:highlight w:val="none"/>
        </w:rPr>
        <w:t>时（北京时间）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开标地点：政采云平台(https://www.zcygov.cn/)不见面开标大厅</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1"/>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五、公告期限</w:t>
      </w:r>
      <w:bookmarkEnd w:id="9"/>
      <w:bookmarkEnd w:id="10"/>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1"/>
        <w:rPr>
          <w:rFonts w:ascii="宋体" w:hAnsi="宋体" w:eastAsia="宋体" w:cs="宋体"/>
          <w:b/>
          <w:color w:val="auto"/>
          <w:kern w:val="0"/>
          <w:sz w:val="24"/>
          <w:szCs w:val="24"/>
          <w:highlight w:val="none"/>
        </w:rPr>
      </w:pPr>
      <w:bookmarkStart w:id="11" w:name="_Toc7972"/>
      <w:bookmarkStart w:id="12" w:name="_Toc6626"/>
      <w:r>
        <w:rPr>
          <w:rFonts w:hint="eastAsia" w:ascii="宋体" w:hAnsi="宋体" w:eastAsia="宋体" w:cs="宋体"/>
          <w:b/>
          <w:color w:val="auto"/>
          <w:kern w:val="0"/>
          <w:sz w:val="24"/>
          <w:szCs w:val="24"/>
          <w:highlight w:val="none"/>
        </w:rPr>
        <w:t>六、其他补充事宜</w:t>
      </w:r>
      <w:bookmarkEnd w:id="11"/>
      <w:bookmarkEnd w:id="12"/>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宋体" w:hAnsi="宋体" w:eastAsia="宋体" w:cs="宋体"/>
          <w:color w:val="auto"/>
          <w:kern w:val="0"/>
          <w:sz w:val="24"/>
          <w:szCs w:val="24"/>
          <w:highlight w:val="none"/>
          <w:lang w:val="en-US" w:eastAsia="zh-CN"/>
        </w:rPr>
      </w:pPr>
      <w:bookmarkStart w:id="13" w:name="_Toc17548"/>
      <w:bookmarkStart w:id="14" w:name="_Toc19691"/>
      <w:r>
        <w:rPr>
          <w:rFonts w:hint="eastAsia" w:ascii="宋体" w:hAnsi="宋体" w:eastAsia="宋体" w:cs="宋体"/>
          <w:color w:val="auto"/>
          <w:kern w:val="0"/>
          <w:sz w:val="24"/>
          <w:szCs w:val="24"/>
          <w:highlight w:val="none"/>
          <w:lang w:val="en-US" w:eastAsia="zh-CN"/>
        </w:rPr>
        <w:t>1.本项目实行网上投标，采用响应文件电子标书；</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供应商在完成政采云电子交易客户端下载、安装后，可通过账号密码或CA登录客户端进行响应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4.供应商应当在投标截止时间前,将生成的“电子加密响应文件”上传递交至“政府采购云平台”,投标截止时间以后上传递交的响应文件将被“政府采购云平台”拒收；</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5.供应商在开标前须提前配置好电脑浏览器（建议使用360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6、供应商登录政采云平台，在开标时间后30分钟内用“项目采购-开标评标”功能进行解密响应文件。若供应商在规定时间内未按时解密的，视为无效投标。解密与加密响应文件须使用同一个 CA。</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1"/>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七、对本次采购提出询问，请按以下方式联系</w:t>
      </w:r>
      <w:bookmarkEnd w:id="13"/>
      <w:bookmarkEnd w:id="14"/>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1.采购人信息</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名 称：乌鲁木齐市米东区人民医院</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地 址：乌鲁木齐市米东区古牧地西路65号</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项目联系人：</w:t>
      </w:r>
      <w:r>
        <w:rPr>
          <w:rFonts w:hint="eastAsia" w:ascii="宋体" w:hAnsi="宋体" w:eastAsia="宋体" w:cs="宋体"/>
          <w:bCs/>
          <w:color w:val="auto"/>
          <w:kern w:val="0"/>
          <w:sz w:val="24"/>
          <w:szCs w:val="24"/>
          <w:highlight w:val="none"/>
          <w:lang w:val="en-US" w:eastAsia="zh-CN"/>
        </w:rPr>
        <w:t>张科长</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项目联系方式：</w:t>
      </w:r>
      <w:r>
        <w:rPr>
          <w:rFonts w:hint="eastAsia" w:ascii="宋体" w:hAnsi="宋体" w:eastAsia="宋体" w:cs="宋体"/>
          <w:bCs/>
          <w:color w:val="auto"/>
          <w:kern w:val="0"/>
          <w:sz w:val="24"/>
          <w:szCs w:val="24"/>
          <w:highlight w:val="none"/>
          <w:lang w:val="en-US" w:eastAsia="zh-CN"/>
        </w:rPr>
        <w:t>13699981027</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2.采购代理机构信息</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名 称：新疆恒达壹品项目管理咨询有限公司</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地 址：</w:t>
      </w:r>
      <w:r>
        <w:rPr>
          <w:rFonts w:hint="eastAsia" w:ascii="宋体" w:hAnsi="宋体" w:eastAsia="宋体" w:cs="宋体"/>
          <w:bCs/>
          <w:color w:val="auto"/>
          <w:kern w:val="0"/>
          <w:sz w:val="24"/>
          <w:szCs w:val="24"/>
          <w:highlight w:val="none"/>
          <w:lang w:val="en-US" w:eastAsia="zh-CN"/>
        </w:rPr>
        <w:t>新疆乌鲁木齐市水磨沟区红光山路888号绿城广场商业综合楼1B座2204</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项目联系人：</w:t>
      </w:r>
      <w:r>
        <w:rPr>
          <w:rFonts w:hint="eastAsia" w:ascii="宋体" w:hAnsi="宋体" w:eastAsia="宋体" w:cs="宋体"/>
          <w:bCs/>
          <w:color w:val="auto"/>
          <w:kern w:val="0"/>
          <w:sz w:val="24"/>
          <w:szCs w:val="24"/>
          <w:highlight w:val="none"/>
          <w:lang w:val="en-US" w:eastAsia="zh-CN"/>
        </w:rPr>
        <w:t>闫世坤</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项目联系方式：0991—4825717、</w:t>
      </w:r>
      <w:r>
        <w:rPr>
          <w:rFonts w:hint="eastAsia" w:ascii="宋体" w:hAnsi="宋体" w:eastAsia="宋体" w:cs="宋体"/>
          <w:bCs/>
          <w:color w:val="auto"/>
          <w:kern w:val="0"/>
          <w:sz w:val="24"/>
          <w:szCs w:val="24"/>
          <w:highlight w:val="none"/>
          <w:lang w:val="en-US" w:eastAsia="zh-CN"/>
        </w:rPr>
        <w:t>13150333386</w:t>
      </w:r>
    </w:p>
    <w:p>
      <w:pPr>
        <w:pStyle w:val="23"/>
        <w:numPr>
          <w:ilvl w:val="0"/>
          <w:numId w:val="2"/>
        </w:numPr>
        <w:ind w:left="3360" w:leftChars="0" w:firstLineChars="0"/>
        <w:jc w:val="left"/>
        <w:outlineLvl w:val="0"/>
        <w:rPr>
          <w:rStyle w:val="32"/>
          <w:rFonts w:ascii="宋体" w:hAnsi="宋体" w:eastAsia="宋体" w:cs="宋体"/>
          <w:color w:val="auto"/>
          <w:highlight w:val="none"/>
        </w:rPr>
      </w:pPr>
      <w:r>
        <w:rPr>
          <w:rFonts w:hint="eastAsia" w:ascii="宋体" w:hAnsi="宋体" w:eastAsia="宋体" w:cs="宋体"/>
          <w:color w:val="auto"/>
          <w:highlight w:val="none"/>
        </w:rPr>
        <w:br w:type="page"/>
      </w:r>
      <w:bookmarkStart w:id="15" w:name="_Toc37090958"/>
      <w:bookmarkEnd w:id="15"/>
      <w:bookmarkStart w:id="16" w:name="_Toc5674"/>
      <w:r>
        <w:rPr>
          <w:rStyle w:val="32"/>
          <w:rFonts w:hint="eastAsia" w:ascii="宋体" w:hAnsi="宋体" w:eastAsia="宋体" w:cs="宋体"/>
          <w:color w:val="auto"/>
          <w:highlight w:val="none"/>
        </w:rPr>
        <w:t>供应商须知</w:t>
      </w:r>
      <w:bookmarkEnd w:id="16"/>
    </w:p>
    <w:p>
      <w:pPr>
        <w:pStyle w:val="5"/>
        <w:spacing w:line="440" w:lineRule="exact"/>
        <w:jc w:val="center"/>
        <w:rPr>
          <w:rFonts w:ascii="宋体" w:hAnsi="宋体" w:eastAsia="宋体" w:cs="宋体"/>
          <w:color w:val="auto"/>
          <w:sz w:val="30"/>
          <w:szCs w:val="30"/>
          <w:highlight w:val="none"/>
        </w:rPr>
      </w:pPr>
      <w:bookmarkStart w:id="17" w:name="_Toc22248"/>
      <w:bookmarkStart w:id="18" w:name="_Toc16991"/>
      <w:r>
        <w:rPr>
          <w:rFonts w:hint="eastAsia" w:ascii="宋体" w:hAnsi="宋体" w:eastAsia="宋体" w:cs="宋体"/>
          <w:color w:val="auto"/>
          <w:sz w:val="30"/>
          <w:szCs w:val="30"/>
          <w:highlight w:val="none"/>
        </w:rPr>
        <w:t>一、供应商须知前附表</w:t>
      </w:r>
      <w:bookmarkEnd w:id="17"/>
      <w:bookmarkEnd w:id="18"/>
    </w:p>
    <w:p>
      <w:pPr>
        <w:rPr>
          <w:color w:val="auto"/>
          <w:highlight w:val="none"/>
        </w:rPr>
      </w:pPr>
    </w:p>
    <w:tbl>
      <w:tblPr>
        <w:tblStyle w:val="25"/>
        <w:tblW w:w="98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30"/>
        <w:gridCol w:w="7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12"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bookmarkStart w:id="19" w:name="_Toc37090959"/>
            <w:bookmarkStart w:id="20" w:name="_Toc14359"/>
            <w:r>
              <w:rPr>
                <w:rFonts w:hint="eastAsia" w:ascii="宋体" w:hAnsi="宋体" w:eastAsia="宋体" w:cs="宋体"/>
                <w:color w:val="auto"/>
                <w:kern w:val="0"/>
                <w:sz w:val="24"/>
                <w:szCs w:val="24"/>
                <w:highlight w:val="none"/>
              </w:rPr>
              <w:t>项号</w:t>
            </w:r>
          </w:p>
        </w:tc>
        <w:tc>
          <w:tcPr>
            <w:tcW w:w="1930" w:type="dxa"/>
            <w:tcBorders>
              <w:top w:val="single" w:color="auto" w:sz="12"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  容</w:t>
            </w:r>
          </w:p>
        </w:tc>
        <w:tc>
          <w:tcPr>
            <w:tcW w:w="7243" w:type="dxa"/>
            <w:tcBorders>
              <w:top w:val="single" w:color="auto" w:sz="12"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restart"/>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１</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乌鲁木齐市米东区人民医院医疗设备采购项目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项目编号</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2023HDYPCS-039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自筹</w:t>
            </w:r>
            <w:r>
              <w:rPr>
                <w:rFonts w:hint="eastAsia" w:ascii="宋体" w:hAnsi="宋体" w:eastAsia="宋体" w:cs="宋体"/>
                <w:color w:val="auto"/>
                <w:sz w:val="24"/>
                <w:szCs w:val="24"/>
                <w:highlight w:val="none"/>
              </w:rPr>
              <w:t>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资格审查方式</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采购内容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widowControl/>
              <w:shd w:val="clear" w:color="auto" w:fill="FFFFFF"/>
              <w:spacing w:line="360" w:lineRule="exact"/>
              <w:rPr>
                <w:rFonts w:hint="eastAsia"/>
                <w:color w:val="auto"/>
                <w:highlight w:val="none"/>
              </w:rPr>
            </w:pPr>
            <w:r>
              <w:rPr>
                <w:rFonts w:hint="eastAsia"/>
                <w:color w:val="auto"/>
                <w:highlight w:val="none"/>
              </w:rPr>
              <w:t>详见第三章《采购需求》。</w:t>
            </w:r>
          </w:p>
          <w:p>
            <w:pPr>
              <w:widowControl/>
              <w:shd w:val="clear" w:color="auto" w:fill="FFFFFF"/>
              <w:spacing w:line="360" w:lineRule="exact"/>
              <w:rPr>
                <w:color w:val="auto"/>
                <w:highlight w:val="none"/>
              </w:rPr>
            </w:pPr>
            <w:r>
              <w:rPr>
                <w:rFonts w:hint="eastAsia"/>
                <w:b/>
                <w:bCs/>
                <w:color w:val="auto"/>
                <w:highlight w:val="none"/>
              </w:rPr>
              <w:t>注：供应商须按照标项分别制作</w:t>
            </w:r>
            <w:r>
              <w:rPr>
                <w:rFonts w:hint="eastAsia"/>
                <w:b/>
                <w:bCs/>
                <w:color w:val="auto"/>
                <w:highlight w:val="none"/>
                <w:lang w:val="en-US" w:eastAsia="zh-CN"/>
              </w:rPr>
              <w:t>响应</w:t>
            </w:r>
            <w:r>
              <w:rPr>
                <w:rFonts w:hint="eastAsia"/>
                <w:b/>
                <w:bCs/>
                <w:color w:val="auto"/>
                <w:highlight w:val="none"/>
              </w:rPr>
              <w:t>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预算</w:t>
            </w:r>
            <w:r>
              <w:rPr>
                <w:rFonts w:hint="eastAsia" w:ascii="宋体" w:hAnsi="宋体" w:eastAsia="宋体" w:cs="宋体"/>
                <w:color w:val="auto"/>
                <w:sz w:val="24"/>
                <w:szCs w:val="24"/>
                <w:highlight w:val="none"/>
              </w:rPr>
              <w:t>及最高限价</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widowControl/>
              <w:shd w:val="clear" w:color="auto" w:fill="FFFFFF"/>
              <w:spacing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标项一采购预算：</w:t>
            </w:r>
            <w:r>
              <w:rPr>
                <w:rFonts w:hint="eastAsia" w:ascii="宋体" w:hAnsi="宋体" w:eastAsia="宋体" w:cs="宋体"/>
                <w:b/>
                <w:bCs/>
                <w:color w:val="auto"/>
                <w:sz w:val="24"/>
                <w:szCs w:val="24"/>
                <w:highlight w:val="none"/>
                <w:u w:val="single"/>
                <w:lang w:val="en-US" w:eastAsia="zh-CN"/>
              </w:rPr>
              <w:t>49.80</w:t>
            </w:r>
            <w:r>
              <w:rPr>
                <w:rFonts w:hint="eastAsia" w:ascii="宋体" w:hAnsi="宋体" w:eastAsia="宋体" w:cs="宋体"/>
                <w:b/>
                <w:bCs/>
                <w:color w:val="auto"/>
                <w:sz w:val="24"/>
                <w:szCs w:val="24"/>
                <w:highlight w:val="none"/>
              </w:rPr>
              <w:t>万元，最高限价：</w:t>
            </w:r>
            <w:r>
              <w:rPr>
                <w:rFonts w:hint="eastAsia" w:ascii="宋体" w:hAnsi="宋体" w:eastAsia="宋体" w:cs="宋体"/>
                <w:b/>
                <w:bCs/>
                <w:color w:val="auto"/>
                <w:sz w:val="24"/>
                <w:szCs w:val="24"/>
                <w:highlight w:val="none"/>
                <w:u w:val="single"/>
                <w:lang w:val="en-US" w:eastAsia="zh-CN"/>
              </w:rPr>
              <w:t>49.80</w:t>
            </w:r>
            <w:r>
              <w:rPr>
                <w:rFonts w:hint="eastAsia" w:ascii="宋体" w:hAnsi="宋体" w:eastAsia="宋体" w:cs="宋体"/>
                <w:b/>
                <w:bCs/>
                <w:color w:val="auto"/>
                <w:sz w:val="24"/>
                <w:szCs w:val="24"/>
                <w:highlight w:val="none"/>
              </w:rPr>
              <w:t>万元；</w:t>
            </w:r>
          </w:p>
          <w:p>
            <w:pPr>
              <w:widowControl/>
              <w:shd w:val="clear" w:color="auto" w:fill="FFFFFF"/>
              <w:spacing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标项二采购预算：</w:t>
            </w:r>
            <w:r>
              <w:rPr>
                <w:rFonts w:hint="eastAsia" w:ascii="宋体" w:hAnsi="宋体" w:eastAsia="宋体" w:cs="宋体"/>
                <w:b/>
                <w:bCs/>
                <w:color w:val="auto"/>
                <w:sz w:val="24"/>
                <w:szCs w:val="24"/>
                <w:highlight w:val="none"/>
                <w:u w:val="single"/>
                <w:lang w:val="en-US" w:eastAsia="zh-CN"/>
              </w:rPr>
              <w:t>35.00</w:t>
            </w:r>
            <w:r>
              <w:rPr>
                <w:rFonts w:hint="eastAsia" w:ascii="宋体" w:hAnsi="宋体" w:eastAsia="宋体" w:cs="宋体"/>
                <w:b/>
                <w:bCs/>
                <w:color w:val="auto"/>
                <w:sz w:val="24"/>
                <w:szCs w:val="24"/>
                <w:highlight w:val="none"/>
              </w:rPr>
              <w:t>万元，最高限价：</w:t>
            </w:r>
            <w:r>
              <w:rPr>
                <w:rFonts w:hint="eastAsia" w:ascii="宋体" w:hAnsi="宋体" w:eastAsia="宋体" w:cs="宋体"/>
                <w:b/>
                <w:bCs/>
                <w:color w:val="auto"/>
                <w:sz w:val="24"/>
                <w:szCs w:val="24"/>
                <w:highlight w:val="none"/>
                <w:u w:val="single"/>
                <w:lang w:val="en-US" w:eastAsia="zh-CN"/>
              </w:rPr>
              <w:t>35.00</w:t>
            </w:r>
            <w:r>
              <w:rPr>
                <w:rFonts w:hint="eastAsia" w:ascii="宋体" w:hAnsi="宋体" w:eastAsia="宋体" w:cs="宋体"/>
                <w:b/>
                <w:bCs/>
                <w:color w:val="auto"/>
                <w:sz w:val="24"/>
                <w:szCs w:val="24"/>
                <w:highlight w:val="none"/>
              </w:rPr>
              <w:t>万元；</w:t>
            </w:r>
          </w:p>
          <w:p>
            <w:pPr>
              <w:widowControl/>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供应商磋商总报价若</w:t>
            </w:r>
            <w:r>
              <w:rPr>
                <w:rFonts w:hint="eastAsia" w:ascii="宋体" w:hAnsi="宋体" w:eastAsia="宋体" w:cs="宋体"/>
                <w:b/>
                <w:bCs/>
                <w:color w:val="auto"/>
                <w:sz w:val="24"/>
                <w:szCs w:val="24"/>
                <w:highlight w:val="none"/>
                <w:lang w:val="en-US" w:eastAsia="zh-CN"/>
              </w:rPr>
              <w:t>超过各标</w:t>
            </w:r>
            <w:r>
              <w:rPr>
                <w:rFonts w:hint="eastAsia" w:ascii="宋体" w:hAnsi="宋体" w:eastAsia="宋体" w:cs="宋体"/>
                <w:b/>
                <w:bCs/>
                <w:color w:val="auto"/>
                <w:sz w:val="24"/>
                <w:szCs w:val="24"/>
                <w:highlight w:val="none"/>
              </w:rPr>
              <w:t>项采购预算（最高限价）</w:t>
            </w:r>
            <w:r>
              <w:rPr>
                <w:rFonts w:hint="eastAsia" w:ascii="宋体" w:hAnsi="宋体" w:eastAsia="宋体" w:cs="宋体"/>
                <w:b/>
                <w:bCs/>
                <w:color w:val="auto"/>
                <w:sz w:val="24"/>
                <w:szCs w:val="24"/>
                <w:highlight w:val="none"/>
                <w:lang w:val="en-US" w:eastAsia="zh-CN"/>
              </w:rPr>
              <w:t>或</w:t>
            </w:r>
            <w:r>
              <w:rPr>
                <w:rFonts w:hint="eastAsia" w:ascii="宋体" w:hAnsi="宋体" w:eastAsia="宋体" w:cs="宋体"/>
                <w:b/>
                <w:bCs/>
                <w:color w:val="auto"/>
                <w:sz w:val="24"/>
                <w:szCs w:val="24"/>
                <w:highlight w:val="none"/>
              </w:rPr>
              <w:t>单项设备报价超过采购预算（最高限价）的，其</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质量标准</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供应商资格</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 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 落实政府采购政策需满足的资格要求：</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（1）《关于调整优化节能产品、环境标志产品政府强制执行机制的通知》（财库〔2019〕9号）</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（3）《关于进一步加大政府采购支持中小企业力度的通知》（财库〔2022〕19号）</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（5）《财政部 民政部 中国残疾人联合会关于促进残疾人就业政府采购政策的通知》财库〔2017〕141号。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 本项目的特定资格要求：</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3.1 供应商须具有有效的医疗器械经营许可证（或按照国家食品药品监督管理部门规定实行备案管理的，具有备案证明文件）；若供应商为货物制造商须具备医疗器械生产许可证。</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3.2本项目为国产设备，不允许进口产品投标；</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t>
            </w: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HYPERLINK "http://www.ccgp.gov.cn）】"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www.ccgp.gov.cn）】</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；（需注明具体查询时间，不得早于招标公告发布日期）打印页面并加盖电子公章。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3.4 供应商不得存在下列情形之一：</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3.4.1 与采购人、采购代理机构存在隶属关系或者其他利害关系。</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3.4.2 与其他供应商的法定代表人（或者负责人）为同一人；或者与其他供应商存在控股、关联关系；为采购项目提供整体审计、规范编制或者项目管理、监理、检测等服务的供应商，不得再参加本项目的采购活动。</w:t>
            </w:r>
          </w:p>
          <w:p>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rPr>
                <w:color w:val="auto"/>
                <w:highlight w:val="none"/>
              </w:rPr>
            </w:pPr>
            <w:r>
              <w:rPr>
                <w:rFonts w:hint="eastAsia" w:ascii="宋体" w:hAnsi="宋体" w:eastAsia="宋体" w:cs="宋体"/>
                <w:b w:val="0"/>
                <w:bCs/>
                <w:color w:val="auto"/>
                <w:spacing w:val="0"/>
                <w:kern w:val="0"/>
                <w:sz w:val="24"/>
                <w:szCs w:val="24"/>
                <w:highlight w:val="none"/>
                <w:lang w:val="en-US" w:eastAsia="zh-CN" w:bidi="ar-SA"/>
              </w:rPr>
              <w:t>3.5本项目专门面向中小企业采购，大型企业不允许参加此项目投标。供应商应根据工信部等部委发布的《关于印发中小企业划型标准规定的通知》（工信部联企业〔2011〕300号），自行确认企业类型。本次采购项目所属行业为“第二项 工业”，符合要求的供应商须提供《中小企业声明函》。监狱企业、残疾人福利性单位，视同为小型和微型企业，须提供《声明函》。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响应文件份数</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（1）</w:t>
            </w:r>
            <w:r>
              <w:rPr>
                <w:rFonts w:hint="eastAsia" w:ascii="宋体" w:hAnsi="宋体" w:eastAsia="宋体" w:cs="宋体"/>
                <w:b/>
                <w:color w:val="auto"/>
                <w:kern w:val="0"/>
                <w:sz w:val="24"/>
                <w:szCs w:val="24"/>
                <w:highlight w:val="none"/>
              </w:rPr>
              <w:t>本项目采用远程不见面电子标的方式开标，供应商开标时无需提供纸质</w:t>
            </w:r>
            <w:r>
              <w:rPr>
                <w:rFonts w:hint="eastAsia" w:ascii="宋体" w:hAnsi="宋体" w:eastAsia="宋体" w:cs="宋体"/>
                <w:b/>
                <w:color w:val="auto"/>
                <w:kern w:val="0"/>
                <w:sz w:val="24"/>
                <w:szCs w:val="24"/>
                <w:highlight w:val="none"/>
                <w:lang w:eastAsia="zh-CN"/>
              </w:rPr>
              <w:t>响应文件</w:t>
            </w:r>
            <w:r>
              <w:rPr>
                <w:rFonts w:hint="eastAsia" w:ascii="宋体" w:hAnsi="宋体" w:eastAsia="宋体" w:cs="宋体"/>
                <w:b/>
                <w:color w:val="auto"/>
                <w:kern w:val="0"/>
                <w:sz w:val="24"/>
                <w:szCs w:val="24"/>
                <w:highlight w:val="none"/>
              </w:rPr>
              <w:t>，须在</w:t>
            </w:r>
            <w:r>
              <w:rPr>
                <w:rFonts w:hint="eastAsia" w:ascii="宋体" w:hAnsi="宋体" w:eastAsia="宋体" w:cs="宋体"/>
                <w:b/>
                <w:color w:val="auto"/>
                <w:kern w:val="0"/>
                <w:sz w:val="24"/>
                <w:szCs w:val="24"/>
                <w:highlight w:val="none"/>
                <w:lang w:eastAsia="zh-CN"/>
              </w:rPr>
              <w:t>响应文件</w:t>
            </w:r>
            <w:r>
              <w:rPr>
                <w:rFonts w:hint="eastAsia" w:ascii="宋体" w:hAnsi="宋体" w:eastAsia="宋体" w:cs="宋体"/>
                <w:b/>
                <w:color w:val="auto"/>
                <w:kern w:val="0"/>
                <w:sz w:val="24"/>
                <w:szCs w:val="24"/>
                <w:highlight w:val="none"/>
              </w:rPr>
              <w:t>递交截止时间前通过新疆政府采购网（http://www.ccgp-xinjiang.gov.cn/）的</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政采云登录入口”登录后，将加密</w:t>
            </w:r>
            <w:r>
              <w:rPr>
                <w:rFonts w:hint="eastAsia" w:ascii="宋体" w:hAnsi="宋体" w:eastAsia="宋体" w:cs="宋体"/>
                <w:b/>
                <w:color w:val="auto"/>
                <w:kern w:val="0"/>
                <w:sz w:val="24"/>
                <w:szCs w:val="24"/>
                <w:highlight w:val="none"/>
                <w:lang w:val="zh-CN"/>
              </w:rPr>
              <w:t>电子</w:t>
            </w:r>
            <w:r>
              <w:rPr>
                <w:rFonts w:hint="eastAsia" w:ascii="宋体" w:hAnsi="宋体" w:eastAsia="宋体" w:cs="宋体"/>
                <w:b/>
                <w:color w:val="auto"/>
                <w:kern w:val="0"/>
                <w:sz w:val="24"/>
                <w:szCs w:val="24"/>
                <w:highlight w:val="none"/>
                <w:lang w:eastAsia="zh-CN"/>
              </w:rPr>
              <w:t>响应文件</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为.jmbs后缀格式</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上</w:t>
            </w:r>
            <w:r>
              <w:rPr>
                <w:rFonts w:hint="eastAsia" w:ascii="宋体" w:hAnsi="宋体" w:eastAsia="宋体" w:cs="宋体"/>
                <w:b/>
                <w:color w:val="auto"/>
                <w:kern w:val="0"/>
                <w:sz w:val="24"/>
                <w:szCs w:val="24"/>
                <w:highlight w:val="none"/>
                <w:lang w:val="zh-CN"/>
              </w:rPr>
              <w:t>传到</w:t>
            </w:r>
            <w:r>
              <w:rPr>
                <w:rFonts w:hint="eastAsia" w:ascii="宋体" w:hAnsi="宋体" w:eastAsia="宋体" w:cs="宋体"/>
                <w:b/>
                <w:color w:val="auto"/>
                <w:kern w:val="0"/>
                <w:sz w:val="24"/>
                <w:szCs w:val="24"/>
                <w:highlight w:val="none"/>
              </w:rPr>
              <w:t>对应项目的的</w:t>
            </w:r>
            <w:r>
              <w:rPr>
                <w:rFonts w:hint="eastAsia" w:ascii="宋体" w:hAnsi="宋体" w:eastAsia="宋体" w:cs="宋体"/>
                <w:b/>
                <w:color w:val="auto"/>
                <w:kern w:val="0"/>
                <w:sz w:val="24"/>
                <w:szCs w:val="24"/>
                <w:highlight w:val="none"/>
                <w:lang w:val="zh-CN"/>
              </w:rPr>
              <w:t>指定</w:t>
            </w:r>
            <w:r>
              <w:rPr>
                <w:rFonts w:hint="eastAsia" w:ascii="宋体" w:hAnsi="宋体" w:eastAsia="宋体" w:cs="宋体"/>
                <w:b/>
                <w:color w:val="auto"/>
                <w:kern w:val="0"/>
                <w:sz w:val="24"/>
                <w:szCs w:val="24"/>
                <w:highlight w:val="none"/>
              </w:rPr>
              <w:t>位置。</w:t>
            </w:r>
          </w:p>
          <w:p>
            <w:pPr>
              <w:shd w:val="clear" w:color="auto" w:fill="FFFFFF"/>
              <w:autoSpaceDE w:val="0"/>
              <w:autoSpaceDN w:val="0"/>
              <w:spacing w:line="360" w:lineRule="exac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w:t>
            </w:r>
            <w:r>
              <w:rPr>
                <w:rFonts w:hint="eastAsia" w:ascii="宋体" w:hAnsi="宋体" w:eastAsia="宋体" w:cs="宋体"/>
                <w:b/>
                <w:color w:val="auto"/>
                <w:kern w:val="0"/>
                <w:sz w:val="24"/>
                <w:szCs w:val="24"/>
                <w:highlight w:val="none"/>
                <w:lang w:val="zh-CN"/>
              </w:rPr>
              <w:t>中标</w:t>
            </w:r>
            <w:r>
              <w:rPr>
                <w:rFonts w:hint="eastAsia" w:ascii="宋体" w:hAnsi="宋体" w:eastAsia="宋体" w:cs="宋体"/>
                <w:b/>
                <w:color w:val="auto"/>
                <w:kern w:val="0"/>
                <w:sz w:val="24"/>
                <w:szCs w:val="24"/>
                <w:highlight w:val="none"/>
              </w:rPr>
              <w:t>的供应商</w:t>
            </w:r>
            <w:r>
              <w:rPr>
                <w:rFonts w:hint="eastAsia" w:ascii="宋体" w:hAnsi="宋体" w:eastAsia="宋体" w:cs="宋体"/>
                <w:b/>
                <w:color w:val="auto"/>
                <w:kern w:val="0"/>
                <w:sz w:val="24"/>
                <w:szCs w:val="24"/>
                <w:highlight w:val="none"/>
                <w:lang w:val="zh-CN"/>
              </w:rPr>
              <w:t>在领取《中标通知书》时须向</w:t>
            </w:r>
            <w:r>
              <w:rPr>
                <w:rFonts w:hint="eastAsia" w:ascii="宋体" w:hAnsi="宋体" w:eastAsia="宋体" w:cs="宋体"/>
                <w:b/>
                <w:color w:val="auto"/>
                <w:kern w:val="0"/>
                <w:sz w:val="24"/>
                <w:szCs w:val="24"/>
                <w:highlight w:val="none"/>
              </w:rPr>
              <w:t>采购</w:t>
            </w:r>
            <w:r>
              <w:rPr>
                <w:rFonts w:hint="eastAsia" w:ascii="宋体" w:hAnsi="宋体" w:eastAsia="宋体" w:cs="宋体"/>
                <w:b/>
                <w:color w:val="auto"/>
                <w:kern w:val="0"/>
                <w:sz w:val="24"/>
                <w:szCs w:val="24"/>
                <w:highlight w:val="none"/>
                <w:lang w:val="zh-CN"/>
              </w:rPr>
              <w:t>代理机构递交纸质响应文件</w:t>
            </w:r>
            <w:r>
              <w:rPr>
                <w:rFonts w:hint="eastAsia" w:ascii="宋体" w:hAnsi="宋体" w:eastAsia="宋体" w:cs="宋体"/>
                <w:b/>
                <w:color w:val="auto"/>
                <w:kern w:val="0"/>
                <w:sz w:val="24"/>
                <w:szCs w:val="24"/>
                <w:highlight w:val="none"/>
                <w:lang w:val="en-US" w:eastAsia="zh-CN"/>
              </w:rPr>
              <w:t>一正贰副</w:t>
            </w:r>
            <w:r>
              <w:rPr>
                <w:rFonts w:hint="eastAsia" w:ascii="宋体" w:hAnsi="宋体" w:eastAsia="宋体" w:cs="宋体"/>
                <w:b/>
                <w:color w:val="auto"/>
                <w:kern w:val="0"/>
                <w:sz w:val="24"/>
                <w:szCs w:val="24"/>
                <w:highlight w:val="none"/>
                <w:lang w:val="zh-CN"/>
              </w:rPr>
              <w:t>、格式为PDF的电子响应文件一份（U盘存储）与提交政采云平台的响应文件内容一致。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响应文件递交截止时间</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时（北京时间）</w:t>
            </w:r>
          </w:p>
          <w:p>
            <w:pPr>
              <w:shd w:val="clear" w:color="auto" w:fill="FFFFFF"/>
              <w:autoSpaceDE w:val="0"/>
              <w:autoSpaceDN w:val="0"/>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不见面开标默认解密时长：30分钟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对迟于该时间递交的响应文件将不予接收，不接受邮寄的响应文件。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磋商有效期限</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响应文件递交截止后</w:t>
            </w:r>
            <w:r>
              <w:rPr>
                <w:rFonts w:hint="eastAsia" w:ascii="宋体" w:hAnsi="宋体" w:eastAsia="宋体" w:cs="宋体"/>
                <w:color w:val="auto"/>
                <w:kern w:val="0"/>
                <w:sz w:val="24"/>
                <w:szCs w:val="24"/>
                <w:highlight w:val="none"/>
                <w:u w:val="single"/>
              </w:rPr>
              <w:t>90</w:t>
            </w:r>
            <w:r>
              <w:rPr>
                <w:rFonts w:hint="eastAsia" w:ascii="宋体" w:hAnsi="宋体" w:eastAsia="宋体" w:cs="宋体"/>
                <w:color w:val="auto"/>
                <w:kern w:val="0"/>
                <w:sz w:val="24"/>
                <w:szCs w:val="24"/>
                <w:highlight w:val="none"/>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响应文件递交地点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线上递交，登录政府采购云平台（http://www.ccgp-xinjiang.gov.cn/），将加密</w:t>
            </w:r>
            <w:r>
              <w:rPr>
                <w:rFonts w:hint="eastAsia" w:ascii="宋体" w:hAnsi="宋体" w:eastAsia="宋体" w:cs="宋体"/>
                <w:color w:val="auto"/>
                <w:kern w:val="0"/>
                <w:sz w:val="24"/>
                <w:szCs w:val="24"/>
                <w:highlight w:val="none"/>
                <w:lang w:val="zh-CN"/>
              </w:rPr>
              <w:t>电子</w:t>
            </w:r>
            <w:r>
              <w:rPr>
                <w:rFonts w:hint="eastAsia" w:ascii="宋体" w:hAnsi="宋体" w:eastAsia="宋体" w:cs="宋体"/>
                <w:color w:val="auto"/>
                <w:kern w:val="0"/>
                <w:sz w:val="24"/>
                <w:szCs w:val="24"/>
                <w:highlight w:val="none"/>
              </w:rPr>
              <w:t>响应文件上</w:t>
            </w:r>
            <w:r>
              <w:rPr>
                <w:rFonts w:hint="eastAsia" w:ascii="宋体" w:hAnsi="宋体" w:eastAsia="宋体" w:cs="宋体"/>
                <w:color w:val="auto"/>
                <w:kern w:val="0"/>
                <w:sz w:val="24"/>
                <w:szCs w:val="24"/>
                <w:highlight w:val="none"/>
                <w:lang w:val="zh-CN"/>
              </w:rPr>
              <w:t>传到</w:t>
            </w:r>
            <w:r>
              <w:rPr>
                <w:rFonts w:hint="eastAsia" w:ascii="宋体" w:hAnsi="宋体" w:eastAsia="宋体" w:cs="宋体"/>
                <w:color w:val="auto"/>
                <w:kern w:val="0"/>
                <w:sz w:val="24"/>
                <w:szCs w:val="24"/>
                <w:highlight w:val="none"/>
              </w:rPr>
              <w:t>对应项目的的</w:t>
            </w:r>
            <w:r>
              <w:rPr>
                <w:rFonts w:hint="eastAsia" w:ascii="宋体" w:hAnsi="宋体" w:eastAsia="宋体" w:cs="宋体"/>
                <w:color w:val="auto"/>
                <w:kern w:val="0"/>
                <w:sz w:val="24"/>
                <w:szCs w:val="24"/>
                <w:highlight w:val="none"/>
                <w:lang w:val="zh-CN"/>
              </w:rPr>
              <w:t>指定</w:t>
            </w:r>
            <w:r>
              <w:rPr>
                <w:rFonts w:hint="eastAsia" w:ascii="宋体" w:hAnsi="宋体" w:eastAsia="宋体" w:cs="宋体"/>
                <w:color w:val="auto"/>
                <w:kern w:val="0"/>
                <w:sz w:val="24"/>
                <w:szCs w:val="24"/>
                <w:highlight w:val="none"/>
              </w:rPr>
              <w:t>位置</w:t>
            </w:r>
            <w:r>
              <w:rPr>
                <w:rFonts w:hint="eastAsia" w:ascii="宋体" w:hAnsi="宋体" w:eastAsia="宋体" w:cs="宋体"/>
                <w:color w:val="auto"/>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磋商时间、磋商地点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11：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0时（北京时间）</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地点：政府采购云平台（http://www.ccgp-xinjiang.gov.cn/）</w:t>
            </w:r>
            <w:r>
              <w:rPr>
                <w:rFonts w:hint="eastAsia" w:ascii="宋体" w:hAnsi="宋体" w:eastAsia="宋体" w:cs="宋体"/>
                <w:color w:val="auto"/>
                <w:kern w:val="0"/>
                <w:sz w:val="24"/>
                <w:szCs w:val="24"/>
                <w:highlight w:val="none"/>
                <w:lang w:val="en-US" w:eastAsia="zh-CN"/>
              </w:rPr>
              <w:t>不见面开标大厅</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3）本项目采用不见面开标、投标人需要递交电子响应文件，加密的电子响应文件，在投标截止时间前通过新疆政采云平台上传到指定位置，无需递交纸质文件。</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4）投标单位应在开标前确保成为新疆政府采购网正式注册入库供应商，并完 成 CA 数字证书申领。因未注册入库、未办理 CA 数字证书等原因造成无法投标或 投标失败等后果由投标单位自行承担。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5）投标单位应使用最新版本的 CA 驱动和政采云投标客户端，客户端下载、安装完成后，可通过账号密码或 CA 登录客户端进行响应文件制作。在使用政采云投标客户端时，建议使用谷歌浏览器，电脑配置满足 win7+64 位以上操作系统（不 能 用 mac 或 者 linux 系 统 ） 。 客 户 端 请 至 新 疆 政 府 采 购 网 （www.ccgp-xinjiang.gov.cn）下载专区查看，如有问题可拨打政采云客户服务热线95763 进行咨询。如因供应商自身原因导致在规定时间内无法正常解密的（如：浏览器故障、未安装客户端和相关驱动、网络故障、加密 CA 与解密 CA 不一致等），代理机构不予异常处理，视为供应商自动弃标。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6）投标单位应当在投标截止时间前，将生成的“电子加密响应文件”上传递交至“政府采购云平台”，投标截止时间以后上传递交的响应文件将被“政府采购云平台”拒收。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7）供应商在开标前须提前配置好电脑浏览器（建议使用 360 浏览器或谷歌浏览器），开标时请使用制作加密电子响应文件的 CA 锁进行解密及报价确认。本项目响应文件解密时间定为 30 分钟内，如因自身原因导致无法正常解密，后果由供应商自行承担。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8）投标单位登录政采云平台，在开标时间后 30 分钟内（2023年</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11月08日 11：00-11：30）用“项目采购-开标评标”功能进行解密响应文件。若投标单位在规定时间内（2023 年11月08日 11：00-11：30）未按时解密的，视为无效投标。解密与加密响应文件须使用同一个 CA。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2"/>
              <w:spacing w:line="400" w:lineRule="exact"/>
              <w:ind w:firstLine="0"/>
              <w:rPr>
                <w:color w:val="auto"/>
                <w:highlight w:val="none"/>
              </w:rPr>
            </w:pPr>
            <w:r>
              <w:rPr>
                <w:rFonts w:hint="eastAsia" w:ascii="宋体" w:hAnsi="宋体" w:eastAsia="宋体" w:cs="宋体"/>
                <w:color w:val="auto"/>
                <w:spacing w:val="0"/>
                <w:sz w:val="24"/>
                <w:szCs w:val="24"/>
                <w:highlight w:val="none"/>
              </w:rPr>
              <w:t>本项目的评审方法为：综合评分法，即供应商在通过初步审查，且提供最后报价的供应商进行商务、技术评审，磋商小组根据综合得分由高到低进行排序，推荐前三名为成交候选单位。经采购人确认后确定排名第一的供应商为本项目的成交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磋商保证金</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shd w:val="clear" w:color="auto" w:fill="FFFFFF"/>
              <w:spacing w:line="360" w:lineRule="exact"/>
              <w:ind w:firstLine="0" w:firstLineChars="0"/>
              <w:rPr>
                <w:rFonts w:hint="eastAsia" w:ascii="宋体" w:eastAsia="宋体" w:cs="宋体"/>
                <w:color w:val="auto"/>
                <w:sz w:val="24"/>
                <w:highlight w:val="none"/>
              </w:rPr>
            </w:pPr>
            <w:r>
              <w:rPr>
                <w:rFonts w:hint="eastAsia" w:ascii="宋体" w:eastAsia="宋体" w:cs="宋体"/>
                <w:color w:val="auto"/>
                <w:sz w:val="24"/>
                <w:highlight w:val="none"/>
              </w:rPr>
              <w:t>磋商保证金金额：</w:t>
            </w:r>
          </w:p>
          <w:p>
            <w:pPr>
              <w:pStyle w:val="35"/>
              <w:shd w:val="clear" w:color="auto" w:fill="FFFFFF"/>
              <w:spacing w:line="360" w:lineRule="exact"/>
              <w:ind w:firstLine="0" w:firstLineChars="0"/>
              <w:rPr>
                <w:rFonts w:hint="eastAsia" w:ascii="宋体" w:eastAsia="宋体" w:cs="宋体"/>
                <w:b/>
                <w:bCs/>
                <w:color w:val="auto"/>
                <w:sz w:val="24"/>
                <w:highlight w:val="none"/>
              </w:rPr>
            </w:pPr>
            <w:r>
              <w:rPr>
                <w:rFonts w:hint="eastAsia" w:ascii="宋体" w:eastAsia="宋体" w:cs="宋体"/>
                <w:b/>
                <w:bCs/>
                <w:color w:val="auto"/>
                <w:sz w:val="24"/>
                <w:highlight w:val="none"/>
              </w:rPr>
              <w:t>标项一</w:t>
            </w:r>
            <w:r>
              <w:rPr>
                <w:rFonts w:hint="eastAsia" w:ascii="宋体" w:eastAsia="宋体" w:cs="宋体"/>
                <w:b/>
                <w:bCs/>
                <w:color w:val="auto"/>
                <w:sz w:val="24"/>
                <w:highlight w:val="none"/>
                <w:lang w:val="en-US" w:eastAsia="zh-CN"/>
              </w:rPr>
              <w:t>磋商</w:t>
            </w:r>
            <w:r>
              <w:rPr>
                <w:rFonts w:hint="eastAsia" w:ascii="宋体" w:eastAsia="宋体" w:cs="宋体"/>
                <w:b/>
                <w:bCs/>
                <w:color w:val="auto"/>
                <w:sz w:val="24"/>
                <w:highlight w:val="none"/>
              </w:rPr>
              <w:t>保证金金额：</w:t>
            </w:r>
            <w:r>
              <w:rPr>
                <w:rFonts w:hint="eastAsia" w:ascii="宋体" w:eastAsia="宋体" w:cs="宋体"/>
                <w:b/>
                <w:bCs/>
                <w:color w:val="auto"/>
                <w:sz w:val="24"/>
                <w:highlight w:val="none"/>
                <w:lang w:val="en-US" w:eastAsia="zh-CN"/>
              </w:rPr>
              <w:t>4900.00</w:t>
            </w:r>
            <w:r>
              <w:rPr>
                <w:rFonts w:hint="eastAsia" w:ascii="宋体" w:eastAsia="宋体" w:cs="宋体"/>
                <w:b/>
                <w:bCs/>
                <w:color w:val="auto"/>
                <w:sz w:val="24"/>
                <w:highlight w:val="none"/>
              </w:rPr>
              <w:t>元（</w:t>
            </w:r>
            <w:r>
              <w:rPr>
                <w:rFonts w:hint="eastAsia" w:ascii="宋体" w:eastAsia="宋体" w:cs="宋体"/>
                <w:b/>
                <w:bCs/>
                <w:color w:val="auto"/>
                <w:sz w:val="24"/>
                <w:highlight w:val="none"/>
                <w:lang w:val="en-US" w:eastAsia="zh-CN"/>
              </w:rPr>
              <w:t>肆仟玖佰元整</w:t>
            </w:r>
            <w:r>
              <w:rPr>
                <w:rFonts w:hint="eastAsia" w:ascii="宋体" w:eastAsia="宋体" w:cs="宋体"/>
                <w:b/>
                <w:bCs/>
                <w:color w:val="auto"/>
                <w:sz w:val="24"/>
                <w:highlight w:val="none"/>
              </w:rPr>
              <w:t>）</w:t>
            </w:r>
          </w:p>
          <w:p>
            <w:pPr>
              <w:pStyle w:val="35"/>
              <w:shd w:val="clear" w:color="auto" w:fill="FFFFFF"/>
              <w:spacing w:line="360" w:lineRule="exact"/>
              <w:ind w:firstLine="0" w:firstLineChars="0"/>
              <w:rPr>
                <w:rFonts w:hint="eastAsia" w:ascii="宋体" w:eastAsia="宋体" w:cs="宋体"/>
                <w:color w:val="auto"/>
                <w:sz w:val="24"/>
                <w:highlight w:val="none"/>
              </w:rPr>
            </w:pPr>
            <w:r>
              <w:rPr>
                <w:rFonts w:hint="eastAsia" w:ascii="宋体" w:eastAsia="宋体" w:cs="宋体"/>
                <w:b/>
                <w:bCs/>
                <w:color w:val="auto"/>
                <w:sz w:val="24"/>
                <w:highlight w:val="none"/>
              </w:rPr>
              <w:t>标项</w:t>
            </w:r>
            <w:r>
              <w:rPr>
                <w:rFonts w:hint="eastAsia" w:ascii="宋体" w:eastAsia="宋体" w:cs="宋体"/>
                <w:b/>
                <w:bCs/>
                <w:color w:val="auto"/>
                <w:sz w:val="24"/>
                <w:highlight w:val="none"/>
                <w:lang w:val="en-US" w:eastAsia="zh-CN"/>
              </w:rPr>
              <w:t>二磋商</w:t>
            </w:r>
            <w:r>
              <w:rPr>
                <w:rFonts w:hint="eastAsia" w:ascii="宋体" w:eastAsia="宋体" w:cs="宋体"/>
                <w:b/>
                <w:bCs/>
                <w:color w:val="auto"/>
                <w:sz w:val="24"/>
                <w:highlight w:val="none"/>
              </w:rPr>
              <w:t>保证金金额：</w:t>
            </w:r>
            <w:r>
              <w:rPr>
                <w:rFonts w:hint="eastAsia" w:ascii="宋体" w:eastAsia="宋体" w:cs="宋体"/>
                <w:b/>
                <w:bCs/>
                <w:color w:val="auto"/>
                <w:sz w:val="24"/>
                <w:highlight w:val="none"/>
                <w:lang w:val="en-US" w:eastAsia="zh-CN"/>
              </w:rPr>
              <w:t>3500</w:t>
            </w:r>
            <w:r>
              <w:rPr>
                <w:rFonts w:hint="eastAsia" w:ascii="宋体" w:eastAsia="宋体" w:cs="宋体"/>
                <w:b/>
                <w:bCs/>
                <w:color w:val="auto"/>
                <w:sz w:val="24"/>
                <w:highlight w:val="none"/>
              </w:rPr>
              <w:t>.00元（</w:t>
            </w:r>
            <w:r>
              <w:rPr>
                <w:rFonts w:hint="eastAsia" w:ascii="宋体" w:eastAsia="宋体" w:cs="宋体"/>
                <w:b/>
                <w:bCs/>
                <w:color w:val="auto"/>
                <w:sz w:val="24"/>
                <w:highlight w:val="none"/>
                <w:lang w:val="en-US" w:eastAsia="zh-CN"/>
              </w:rPr>
              <w:t>叁仟伍佰元整</w:t>
            </w:r>
            <w:r>
              <w:rPr>
                <w:rFonts w:hint="eastAsia" w:ascii="宋体" w:eastAsia="宋体" w:cs="宋体"/>
                <w:b/>
                <w:bCs/>
                <w:color w:val="auto"/>
                <w:sz w:val="24"/>
                <w:highlight w:val="none"/>
              </w:rPr>
              <w:t>）</w:t>
            </w:r>
          </w:p>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供应商应于</w:t>
            </w:r>
            <w:r>
              <w:rPr>
                <w:rFonts w:hint="eastAsia" w:ascii="宋体" w:hAnsi="宋体" w:eastAsia="宋体" w:cs="宋体"/>
                <w:color w:val="auto"/>
                <w:sz w:val="24"/>
                <w:szCs w:val="24"/>
                <w:highlight w:val="none"/>
                <w:lang w:eastAsia="zh-CN"/>
              </w:rPr>
              <w:t>202</w:t>
            </w:r>
            <w:r>
              <w:rPr>
                <w:rFonts w:hint="eastAsia" w:asci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日1</w:t>
            </w:r>
            <w:r>
              <w:rPr>
                <w:rFonts w:hint="eastAsia" w:asci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0时（北京时间）</w:t>
            </w:r>
            <w:r>
              <w:rPr>
                <w:rFonts w:hint="eastAsia" w:ascii="宋体" w:eastAsia="宋体" w:cs="宋体"/>
                <w:color w:val="auto"/>
                <w:sz w:val="24"/>
                <w:highlight w:val="none"/>
              </w:rPr>
              <w:t>前，将磋商保证金缴纳至采购代理机构指定账户。</w:t>
            </w:r>
            <w:r>
              <w:rPr>
                <w:rFonts w:hint="eastAsia" w:ascii="宋体" w:eastAsia="宋体" w:cs="宋体"/>
                <w:color w:val="auto"/>
                <w:sz w:val="24"/>
                <w:highlight w:val="none"/>
                <w:lang w:val="en-US" w:eastAsia="zh-CN"/>
              </w:rPr>
              <w:t>磋商</w:t>
            </w:r>
            <w:r>
              <w:rPr>
                <w:rFonts w:hint="eastAsia" w:ascii="宋体" w:eastAsia="宋体" w:cs="宋体"/>
                <w:color w:val="auto"/>
                <w:sz w:val="24"/>
                <w:highlight w:val="none"/>
              </w:rPr>
              <w:t>保证金应采用人民币，</w:t>
            </w:r>
            <w:r>
              <w:rPr>
                <w:rFonts w:hint="eastAsia" w:ascii="宋体" w:eastAsia="宋体" w:cs="宋体"/>
                <w:color w:val="auto"/>
                <w:sz w:val="24"/>
                <w:highlight w:val="none"/>
                <w:lang w:val="en-US" w:eastAsia="zh-CN"/>
              </w:rPr>
              <w:t>采用</w:t>
            </w:r>
            <w:r>
              <w:rPr>
                <w:rFonts w:hint="eastAsia" w:ascii="宋体" w:eastAsia="宋体" w:cs="宋体"/>
                <w:color w:val="auto"/>
                <w:sz w:val="24"/>
                <w:highlight w:val="none"/>
              </w:rPr>
              <w:t>电汇、网银、银行保函等非现金形式</w:t>
            </w:r>
            <w:r>
              <w:rPr>
                <w:rFonts w:hint="eastAsia" w:ascii="宋体" w:eastAsia="宋体" w:cs="宋体"/>
                <w:color w:val="auto"/>
                <w:sz w:val="24"/>
                <w:highlight w:val="none"/>
                <w:lang w:val="en-US" w:eastAsia="zh-CN"/>
              </w:rPr>
              <w:t>,</w:t>
            </w:r>
            <w:r>
              <w:rPr>
                <w:rFonts w:hint="eastAsia" w:ascii="宋体" w:eastAsia="宋体" w:cs="宋体"/>
                <w:color w:val="auto"/>
                <w:sz w:val="24"/>
                <w:highlight w:val="none"/>
              </w:rPr>
              <w:t>由供应商的账户汇出(个体工商户除外)提交。</w:t>
            </w:r>
          </w:p>
          <w:p>
            <w:pPr>
              <w:pStyle w:val="35"/>
              <w:keepNext w:val="0"/>
              <w:keepLines w:val="0"/>
              <w:pageBreakBefore w:val="0"/>
              <w:shd w:val="clear" w:color="auto" w:fill="FFFFFF"/>
              <w:kinsoku/>
              <w:wordWrap/>
              <w:overflowPunct/>
              <w:topLinePunct w:val="0"/>
              <w:bidi w:val="0"/>
              <w:adjustRightInd/>
              <w:snapToGrid/>
              <w:spacing w:line="360" w:lineRule="exact"/>
              <w:ind w:left="210" w:leftChars="10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lang w:eastAsia="zh-CN"/>
              </w:rPr>
              <w:t>新疆恒达壹品项目管理咨询有限公司</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开户行：兴业银行乌鲁木齐高新区支行</w:t>
            </w:r>
          </w:p>
          <w:p>
            <w:pPr>
              <w:pStyle w:val="35"/>
              <w:keepNext w:val="0"/>
              <w:keepLines w:val="0"/>
              <w:pageBreakBefore w:val="0"/>
              <w:shd w:val="clear" w:color="auto" w:fill="FFFFFF"/>
              <w:kinsoku/>
              <w:wordWrap/>
              <w:overflowPunct/>
              <w:topLinePunct w:val="0"/>
              <w:bidi w:val="0"/>
              <w:adjustRightInd/>
              <w:snapToGrid/>
              <w:spacing w:line="360" w:lineRule="exact"/>
              <w:ind w:left="210" w:leftChars="10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银行账号：512040100100995788</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行号：309881002044</w:t>
            </w:r>
          </w:p>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注：1.如果发现供应商有围标、串标行为，其响应无效，且磋商保证金将被没收，不予退还；</w:t>
            </w:r>
          </w:p>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2.磋商保证金未按规定时间缴纳或提交金额不足的，将被视为无效响应,其响应文件将不予接受。供应商应充分考虑资金在途时间）；</w:t>
            </w:r>
          </w:p>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3.</w:t>
            </w:r>
            <w:r>
              <w:rPr>
                <w:rFonts w:hint="eastAsia" w:ascii="宋体" w:eastAsia="宋体" w:cs="宋体;SimSun"/>
                <w:b/>
                <w:bCs/>
                <w:color w:val="auto"/>
                <w:sz w:val="24"/>
                <w:highlight w:val="none"/>
              </w:rPr>
              <w:t>供应商递交保证金时请在汇款时注明“</w:t>
            </w:r>
            <w:r>
              <w:rPr>
                <w:rFonts w:hint="eastAsia" w:ascii="宋体" w:eastAsia="宋体" w:cs="宋体"/>
                <w:b/>
                <w:bCs/>
                <w:color w:val="auto"/>
                <w:kern w:val="0"/>
                <w:sz w:val="24"/>
                <w:highlight w:val="none"/>
              </w:rPr>
              <w:t>项目简称</w:t>
            </w:r>
            <w:r>
              <w:rPr>
                <w:rFonts w:hint="eastAsia" w:ascii="宋体" w:eastAsia="宋体" w:cs="宋体"/>
                <w:b/>
                <w:bCs/>
                <w:color w:val="auto"/>
                <w:kern w:val="0"/>
                <w:sz w:val="24"/>
                <w:highlight w:val="none"/>
                <w:lang w:val="en-US" w:eastAsia="zh-CN"/>
              </w:rPr>
              <w:t>+标项</w:t>
            </w:r>
            <w:r>
              <w:rPr>
                <w:rFonts w:hint="eastAsia" w:ascii="宋体" w:eastAsia="宋体" w:cs="宋体;SimSun"/>
                <w:b/>
                <w:bCs/>
                <w:color w:val="auto"/>
                <w:sz w:val="24"/>
                <w:highlight w:val="none"/>
              </w:rPr>
              <w:t>、汇款事由（磋商保证金）”，对因未注明项目简称及汇款事由而造成保证金不能及时到账的，后果由供应商自负。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5"/>
              <w:shd w:val="clear" w:color="auto" w:fill="FFFFFF"/>
              <w:spacing w:line="360" w:lineRule="exact"/>
              <w:ind w:firstLine="0" w:firstLineChars="0"/>
              <w:jc w:val="center"/>
              <w:rPr>
                <w:rFonts w:ascii="宋体" w:eastAsia="宋体" w:cs="宋体"/>
                <w:color w:val="auto"/>
                <w:sz w:val="24"/>
                <w:highlight w:val="none"/>
              </w:rPr>
            </w:pPr>
            <w:r>
              <w:rPr>
                <w:rFonts w:hint="eastAsia" w:ascii="宋体" w:eastAsia="宋体" w:cs="宋体"/>
                <w:color w:val="auto"/>
                <w:sz w:val="24"/>
                <w:highlight w:val="none"/>
              </w:rPr>
              <w:t>对</w:t>
            </w:r>
            <w:r>
              <w:rPr>
                <w:rFonts w:hint="eastAsia" w:ascii="宋体" w:eastAsia="宋体" w:cs="宋体"/>
                <w:color w:val="auto"/>
                <w:sz w:val="24"/>
                <w:highlight w:val="none"/>
                <w:lang w:eastAsia="zh-CN"/>
              </w:rPr>
              <w:t>竞争性磋商文件</w:t>
            </w:r>
            <w:r>
              <w:rPr>
                <w:rFonts w:hint="eastAsia" w:ascii="宋体" w:eastAsia="宋体" w:cs="宋体"/>
                <w:color w:val="auto"/>
                <w:sz w:val="24"/>
                <w:highlight w:val="none"/>
              </w:rPr>
              <w:t>的质疑</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供应商若对</w:t>
            </w:r>
            <w:r>
              <w:rPr>
                <w:rFonts w:hint="eastAsia" w:ascii="宋体" w:eastAsia="宋体" w:cs="宋体"/>
                <w:color w:val="auto"/>
                <w:sz w:val="24"/>
                <w:highlight w:val="none"/>
                <w:lang w:eastAsia="zh-CN"/>
              </w:rPr>
              <w:t>竞争性磋商文件</w:t>
            </w:r>
            <w:r>
              <w:rPr>
                <w:rFonts w:hint="eastAsia" w:ascii="宋体" w:eastAsia="宋体" w:cs="宋体"/>
                <w:color w:val="auto"/>
                <w:sz w:val="24"/>
                <w:highlight w:val="none"/>
              </w:rPr>
              <w:t>内容质疑，须按以下要求提出：</w:t>
            </w:r>
          </w:p>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①质疑函应以书面形式（详见 供应商须知 第14.1款）通知采购代理机构。采购代理机构将在收到质疑函后7个工作日内作出答复，并以书面形式通知质疑供应商和其他有关供应商。</w:t>
            </w:r>
          </w:p>
          <w:p>
            <w:pPr>
              <w:pStyle w:val="35"/>
              <w:shd w:val="clear" w:color="auto" w:fill="FFFFFF"/>
              <w:spacing w:line="360" w:lineRule="exact"/>
              <w:ind w:firstLine="0" w:firstLineChars="0"/>
              <w:rPr>
                <w:rFonts w:ascii="宋体" w:eastAsia="宋体" w:cs="宋体"/>
                <w:b/>
                <w:bCs/>
                <w:color w:val="auto"/>
                <w:sz w:val="24"/>
                <w:highlight w:val="none"/>
              </w:rPr>
            </w:pPr>
            <w:r>
              <w:rPr>
                <w:rFonts w:hint="eastAsia" w:ascii="宋体" w:eastAsia="宋体" w:cs="宋体"/>
                <w:b/>
                <w:bCs/>
                <w:color w:val="auto"/>
                <w:sz w:val="24"/>
                <w:highlight w:val="none"/>
              </w:rPr>
              <w:t>②供应商应在法定质疑期内一次性提出所有质疑内容。</w:t>
            </w:r>
          </w:p>
          <w:p>
            <w:pPr>
              <w:pStyle w:val="35"/>
              <w:shd w:val="clear" w:color="auto" w:fill="FFFFFF"/>
              <w:spacing w:line="360" w:lineRule="exact"/>
              <w:ind w:firstLine="0" w:firstLineChars="0"/>
              <w:rPr>
                <w:rFonts w:hint="eastAsia" w:ascii="宋体" w:eastAsia="宋体" w:cs="宋体"/>
                <w:color w:val="auto"/>
                <w:sz w:val="24"/>
                <w:highlight w:val="none"/>
                <w:lang w:eastAsia="zh-CN"/>
              </w:rPr>
            </w:pPr>
            <w:r>
              <w:rPr>
                <w:rFonts w:hint="eastAsia" w:ascii="宋体" w:eastAsia="宋体" w:cs="宋体"/>
                <w:color w:val="auto"/>
                <w:sz w:val="24"/>
                <w:highlight w:val="none"/>
              </w:rPr>
              <w:t>③联系部门：</w:t>
            </w:r>
            <w:r>
              <w:rPr>
                <w:rFonts w:hint="eastAsia" w:ascii="宋体" w:eastAsia="宋体" w:cs="宋体"/>
                <w:color w:val="auto"/>
                <w:sz w:val="24"/>
                <w:highlight w:val="none"/>
                <w:lang w:eastAsia="zh-CN"/>
              </w:rPr>
              <w:t>新疆恒达壹品项目管理咨询有限公司</w:t>
            </w:r>
          </w:p>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④联系电话：</w:t>
            </w:r>
            <w:r>
              <w:rPr>
                <w:rFonts w:hint="eastAsia" w:ascii="宋体" w:hAnsi="宋体" w:eastAsia="宋体" w:cs="宋体"/>
                <w:bCs/>
                <w:color w:val="auto"/>
                <w:sz w:val="24"/>
                <w:szCs w:val="24"/>
                <w:highlight w:val="none"/>
              </w:rPr>
              <w:t>0991—4825717</w:t>
            </w:r>
            <w:r>
              <w:rPr>
                <w:rFonts w:hint="eastAsia" w:ascii="宋体" w:hAnsi="宋体" w:eastAsia="宋体" w:cs="宋体"/>
                <w:color w:val="auto"/>
                <w:sz w:val="24"/>
                <w:szCs w:val="24"/>
                <w:highlight w:val="none"/>
              </w:rPr>
              <w:t xml:space="preserve">  </w:t>
            </w:r>
          </w:p>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⑤通讯地址：</w:t>
            </w:r>
            <w:r>
              <w:rPr>
                <w:rFonts w:hint="eastAsia" w:ascii="宋体" w:hAnsi="宋体" w:eastAsia="宋体" w:cs="宋体"/>
                <w:bCs/>
                <w:color w:val="auto"/>
                <w:sz w:val="24"/>
                <w:szCs w:val="24"/>
                <w:highlight w:val="none"/>
                <w:lang w:val="en-US" w:eastAsia="zh-CN"/>
              </w:rPr>
              <w:t>新疆乌鲁木齐市水磨沟区红光山路888号绿城广场商业综合楼1B座2204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9" w:type="dxa"/>
            <w:vMerge w:val="restart"/>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shd w:val="clear" w:color="auto" w:fill="FFFFFF"/>
              <w:kinsoku/>
              <w:wordWrap/>
              <w:overflowPunct/>
              <w:topLinePunct w:val="0"/>
              <w:autoSpaceDE w:val="0"/>
              <w:autoSpaceDN w:val="0"/>
              <w:bidi w:val="0"/>
              <w:adjustRightInd/>
              <w:snapToGrid/>
              <w:spacing w:line="3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★交货期</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keepNext w:val="0"/>
              <w:keepLines w:val="0"/>
              <w:pageBreakBefore w:val="0"/>
              <w:shd w:val="clear" w:color="auto" w:fill="FFFFFF"/>
              <w:kinsoku/>
              <w:wordWrap/>
              <w:overflowPunct/>
              <w:topLinePunct w:val="0"/>
              <w:bidi w:val="0"/>
              <w:adjustRightInd/>
              <w:snapToGrid/>
              <w:spacing w:line="320" w:lineRule="exact"/>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设备自合同签订起30天内交货。采购需求中另有约定的按采购需求规定执行。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5"/>
              <w:shd w:val="clear" w:color="auto" w:fill="FFFFFF"/>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★交货地点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shd w:val="clear" w:color="auto" w:fill="FFFFFF"/>
              <w:spacing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5"/>
              <w:shd w:val="clear" w:color="auto" w:fill="FFFFFF"/>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shd w:val="clear" w:color="auto" w:fill="FFFFFF"/>
              <w:spacing w:line="360" w:lineRule="exact"/>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eastAsia="宋体" w:cs="宋体"/>
                <w:color w:val="auto"/>
                <w:sz w:val="24"/>
                <w:highlight w:val="none"/>
              </w:rPr>
              <w:t>甲乙双方签订合同，乙方提供合法有效发票、出库单、验收单，验收合格后第一年支付货款的60%，第二年支付货款的30%，第三年支付货款的10%。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shd w:val="clear" w:color="auto" w:fill="FFFFFF"/>
              <w:kinsoku/>
              <w:wordWrap/>
              <w:overflowPunct/>
              <w:topLinePunct w:val="0"/>
              <w:autoSpaceDE w:val="0"/>
              <w:autoSpaceDN w:val="0"/>
              <w:bidi w:val="0"/>
              <w:adjustRightInd/>
              <w:snapToGrid/>
              <w:spacing w:line="3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★质保期</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keepNext w:val="0"/>
              <w:keepLines w:val="0"/>
              <w:pageBreakBefore w:val="0"/>
              <w:shd w:val="clear" w:color="auto" w:fill="FFFFFF"/>
              <w:kinsoku/>
              <w:wordWrap/>
              <w:overflowPunct/>
              <w:topLinePunct w:val="0"/>
              <w:bidi w:val="0"/>
              <w:adjustRightInd/>
              <w:snapToGrid/>
              <w:spacing w:line="320" w:lineRule="exact"/>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数量调整</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数量调整：供应商磋商总报价的±10%，详见第二章供应商须知第十项《买方授标时更改采购服务数量的权利》。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1"/>
                <w:sz w:val="24"/>
                <w:szCs w:val="24"/>
                <w:highlight w:val="none"/>
              </w:rPr>
              <w:t>政府采购政策</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lang w:val="en-US" w:eastAsia="zh-CN"/>
              </w:rPr>
              <w:t>一</w:t>
            </w:r>
            <w:r>
              <w:rPr>
                <w:rFonts w:hint="eastAsia" w:ascii="宋体" w:hAnsi="宋体" w:eastAsia="宋体" w:cs="宋体"/>
                <w:color w:val="auto"/>
                <w:kern w:val="1"/>
                <w:sz w:val="24"/>
                <w:szCs w:val="24"/>
                <w:highlight w:val="none"/>
              </w:rPr>
              <w:t>、节能、环境标志产品评审优惠内容及加分幅度：</w:t>
            </w:r>
          </w:p>
          <w:p>
            <w:pPr>
              <w:spacing w:line="360" w:lineRule="exact"/>
              <w:rPr>
                <w:rFonts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宋体" w:hAnsi="宋体" w:eastAsia="宋体" w:cs="宋体"/>
                <w:b/>
                <w:color w:val="auto"/>
                <w:kern w:val="1"/>
                <w:sz w:val="24"/>
                <w:szCs w:val="24"/>
                <w:highlight w:val="none"/>
              </w:rPr>
              <w:t>本次投标产品类别属于政府强制采购产品类别的，须按照要求提供依据国家确定的认证机构出具的节能产品或环境标志产品认证证书，否则投标无效；属于政府优先采购产品类别的，须按照要求提供依据国家确定的认证机构出具的、节能产品或环境标志产品认证证书，否则不予认定。</w:t>
            </w:r>
            <w:r>
              <w:rPr>
                <w:rFonts w:hint="eastAsia" w:ascii="宋体" w:hAnsi="宋体" w:eastAsia="宋体" w:cs="宋体"/>
                <w:color w:val="auto"/>
                <w:kern w:val="1"/>
                <w:sz w:val="24"/>
                <w:szCs w:val="24"/>
                <w:highlight w:val="none"/>
              </w:rPr>
              <w:t>同一标项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第五评标办法“商务评审”。</w:t>
            </w:r>
            <w:r>
              <w:rPr>
                <w:rFonts w:hint="eastAsia" w:ascii="宋体" w:hAnsi="宋体" w:eastAsia="宋体" w:cs="宋体"/>
                <w:b/>
                <w:color w:val="auto"/>
                <w:kern w:val="1"/>
                <w:sz w:val="24"/>
                <w:szCs w:val="24"/>
                <w:highlight w:val="none"/>
              </w:rPr>
              <w:t>供应商须按照</w:t>
            </w:r>
            <w:r>
              <w:rPr>
                <w:rFonts w:hint="eastAsia" w:ascii="宋体" w:hAnsi="宋体" w:eastAsia="宋体" w:cs="宋体"/>
                <w:b/>
                <w:color w:val="auto"/>
                <w:kern w:val="1"/>
                <w:sz w:val="24"/>
                <w:szCs w:val="24"/>
                <w:highlight w:val="none"/>
                <w:lang w:eastAsia="zh-CN"/>
              </w:rPr>
              <w:t>磋商文件</w:t>
            </w:r>
            <w:r>
              <w:rPr>
                <w:rFonts w:hint="eastAsia" w:ascii="宋体" w:hAnsi="宋体" w:eastAsia="宋体" w:cs="宋体"/>
                <w:b/>
                <w:color w:val="auto"/>
                <w:kern w:val="1"/>
                <w:sz w:val="24"/>
                <w:szCs w:val="24"/>
                <w:highlight w:val="none"/>
              </w:rPr>
              <w:t>格式要求在《环境标志产品明细表》</w:t>
            </w:r>
            <w:r>
              <w:rPr>
                <w:rFonts w:hint="eastAsia" w:ascii="宋体" w:hAnsi="宋体" w:eastAsia="宋体" w:cs="宋体"/>
                <w:color w:val="auto"/>
                <w:kern w:val="1"/>
                <w:sz w:val="24"/>
                <w:szCs w:val="24"/>
                <w:highlight w:val="none"/>
              </w:rPr>
              <w:t>、</w:t>
            </w:r>
            <w:r>
              <w:rPr>
                <w:rFonts w:hint="eastAsia" w:ascii="宋体" w:hAnsi="宋体" w:eastAsia="宋体" w:cs="宋体"/>
                <w:b/>
                <w:color w:val="auto"/>
                <w:kern w:val="1"/>
                <w:sz w:val="24"/>
                <w:szCs w:val="24"/>
                <w:highlight w:val="none"/>
              </w:rPr>
              <w:t>《节能标志产品明细表》中列明并附证书，否则，不予加分。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其他说明</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kinsoku/>
              <w:wordWrap/>
              <w:overflowPunct/>
              <w:topLinePunct w:val="0"/>
              <w:bidi w:val="0"/>
              <w:adjustRightInd/>
              <w:snapToGrid/>
              <w:spacing w:line="320" w:lineRule="exact"/>
              <w:rPr>
                <w:rFonts w:hint="eastAsia"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rPr>
              <w:t>一、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非单一产品采购项目，采购人应当根据采购项目技术构成、产品价格比重等合理确定核心产品，并在</w:t>
            </w:r>
            <w:r>
              <w:rPr>
                <w:rFonts w:hint="eastAsia" w:ascii="宋体" w:hAnsi="宋体" w:eastAsia="宋体" w:cs="宋体"/>
                <w:b/>
                <w:color w:val="auto"/>
                <w:kern w:val="1"/>
                <w:sz w:val="24"/>
                <w:szCs w:val="24"/>
                <w:highlight w:val="none"/>
                <w:lang w:eastAsia="zh-CN"/>
              </w:rPr>
              <w:t>磋商文件</w:t>
            </w:r>
            <w:r>
              <w:rPr>
                <w:rFonts w:hint="eastAsia" w:ascii="宋体" w:hAnsi="宋体" w:eastAsia="宋体" w:cs="宋体"/>
                <w:b/>
                <w:color w:val="auto"/>
                <w:kern w:val="1"/>
                <w:sz w:val="24"/>
                <w:szCs w:val="24"/>
                <w:highlight w:val="none"/>
              </w:rPr>
              <w:t>中载明。多家供应商提供的核心产品品牌相同的，按前款规定处理。</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rPr>
              <w:t>二、</w:t>
            </w:r>
            <w:r>
              <w:rPr>
                <w:rFonts w:hint="eastAsia" w:ascii="宋体" w:hAnsi="宋体" w:eastAsia="宋体" w:cs="宋体"/>
                <w:b/>
                <w:color w:val="auto"/>
                <w:kern w:val="1"/>
                <w:sz w:val="24"/>
                <w:szCs w:val="24"/>
                <w:highlight w:val="none"/>
                <w:lang w:val="en-US" w:eastAsia="zh-CN"/>
              </w:rPr>
              <w:t>当出现下列情形之一，响应文件将予以退回：</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（1）投标人在响应文件递交截止时间前未成功上传加密电子响应文件；</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（2）投标人使用解密的CA数字证书与上传加密响应文件使用的CA数字证书不一致；</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（3）投标人解密时CA数字证书已过期，导致无法正常解密；</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（4）加密响应文件时，CA数字证书未过期，解密时，显示CA数字证书已过期，导致无法正常解密；</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（5）未在规定的响应文件解密时间内进行解密的；</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（6）投标人个人原因导致无法解密的其他情形。 </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3、投标人应在投标截止时间前将投标时使用的计算机安装相关的浏览器、CA驱动等软件，方便响应文件解密时能够正常解密。</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4、投标人需在投标截止时间前自行测试开标时使用的计算机，如因投标人自身原因导致响应文件解密失败的，由投标人自行承担相应后果。</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1、无论何种原因，在响应文件中未提供相应材料的，评标委员会将视同其未提供。</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2、投标人应在开标前应确保成为新疆政府采购网正式注册入库投标人，并完成CA数字证书（符合国密标准）申领。如需咨询，请联系新疆CA服务热线0991-2819290；</w:t>
            </w:r>
          </w:p>
          <w:p>
            <w:pPr>
              <w:spacing w:line="360" w:lineRule="exact"/>
              <w:rPr>
                <w:rFonts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lang w:val="en-US" w:eastAsia="zh-CN"/>
              </w:rPr>
              <w:t>3、投标人将政采云电子交易客户端下载、安装完成后，可通过账号密码或CA登录客户端进行响应文件的制作。在使用政采云投标客户端时，建议使用WIN7及以上操作系统。客户端请至新疆政府采购网（</w:t>
            </w:r>
            <w:r>
              <w:rPr>
                <w:rFonts w:hint="eastAsia" w:ascii="宋体" w:hAnsi="宋体" w:eastAsia="宋体" w:cs="宋体"/>
                <w:b/>
                <w:color w:val="auto"/>
                <w:kern w:val="1"/>
                <w:sz w:val="24"/>
                <w:szCs w:val="24"/>
                <w:highlight w:val="none"/>
                <w:lang w:val="en-US" w:eastAsia="zh-CN"/>
              </w:rPr>
              <w:fldChar w:fldCharType="begin"/>
            </w:r>
            <w:r>
              <w:rPr>
                <w:rFonts w:hint="eastAsia" w:ascii="宋体" w:hAnsi="宋体" w:eastAsia="宋体" w:cs="宋体"/>
                <w:b/>
                <w:color w:val="auto"/>
                <w:kern w:val="1"/>
                <w:sz w:val="24"/>
                <w:szCs w:val="24"/>
                <w:highlight w:val="none"/>
                <w:lang w:val="en-US" w:eastAsia="zh-CN"/>
              </w:rPr>
              <w:instrText xml:space="preserve"> INCLUDEPICTURE "C:\\Users\\Administrator.SC-202203031149\\Documents\\WeChat Files\\wxid_5ptcx5uvrd5q21\\FileStorage\\File\\Documents\\WeChat Files\\wxid_5ptcx5uvrd5q21\\FileStorage\\Documents\\WeChat Files\\wxid_5ptcx5uvrd5q21\\FileStorage\\dell\\AppData\\Roaming\\Tencent\\QQTempSys\\%25W@GJ$ACOF(TYDYECOKVDYB.png" \* MERGEFORMAT \d </w:instrText>
            </w:r>
            <w:r>
              <w:rPr>
                <w:rFonts w:hint="eastAsia" w:ascii="宋体" w:hAnsi="宋体" w:eastAsia="宋体" w:cs="宋体"/>
                <w:b/>
                <w:color w:val="auto"/>
                <w:kern w:val="1"/>
                <w:sz w:val="24"/>
                <w:szCs w:val="24"/>
                <w:highlight w:val="none"/>
                <w:lang w:val="en-US" w:eastAsia="zh-CN"/>
              </w:rPr>
              <w:fldChar w:fldCharType="separate"/>
            </w:r>
            <w:r>
              <w:rPr>
                <w:rFonts w:hint="eastAsia" w:ascii="宋体" w:hAnsi="宋体" w:eastAsia="宋体" w:cs="宋体"/>
                <w:b/>
                <w:color w:val="auto"/>
                <w:kern w:val="1"/>
                <w:sz w:val="24"/>
                <w:szCs w:val="24"/>
                <w:highlight w:val="none"/>
                <w:lang w:val="en-US" w:eastAsia="zh-CN"/>
              </w:rPr>
              <w:drawing>
                <wp:inline distT="0" distB="0" distL="114300" distR="114300">
                  <wp:extent cx="190500" cy="142875"/>
                  <wp:effectExtent l="0" t="0" r="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190500" cy="142875"/>
                          </a:xfrm>
                          <a:prstGeom prst="rect">
                            <a:avLst/>
                          </a:prstGeom>
                          <a:noFill/>
                          <a:ln>
                            <a:noFill/>
                          </a:ln>
                        </pic:spPr>
                      </pic:pic>
                    </a:graphicData>
                  </a:graphic>
                </wp:inline>
              </w:drawing>
            </w:r>
            <w:r>
              <w:rPr>
                <w:rFonts w:hint="eastAsia" w:ascii="宋体" w:hAnsi="宋体" w:eastAsia="宋体" w:cs="宋体"/>
                <w:b/>
                <w:color w:val="auto"/>
                <w:kern w:val="1"/>
                <w:sz w:val="24"/>
                <w:szCs w:val="24"/>
                <w:highlight w:val="none"/>
                <w:lang w:val="en-US" w:eastAsia="zh-CN"/>
              </w:rPr>
              <w:fldChar w:fldCharType="end"/>
            </w:r>
            <w:r>
              <w:rPr>
                <w:rFonts w:hint="eastAsia" w:ascii="宋体" w:hAnsi="宋体" w:eastAsia="宋体" w:cs="宋体"/>
                <w:b/>
                <w:color w:val="auto"/>
                <w:kern w:val="1"/>
                <w:sz w:val="24"/>
                <w:szCs w:val="24"/>
                <w:highlight w:val="none"/>
                <w:lang w:val="en-US" w:eastAsia="zh-CN"/>
              </w:rPr>
              <w:t>http://ccgp-bingtuan.gov.cn/）下载专区查看，如有问题可拨打政采云客户服务热线95763进行咨询。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0</w:t>
            </w:r>
          </w:p>
        </w:tc>
        <w:tc>
          <w:tcPr>
            <w:tcW w:w="9173" w:type="dxa"/>
            <w:gridSpan w:val="2"/>
            <w:tcBorders>
              <w:top w:val="single" w:color="auto" w:sz="4" w:space="0"/>
              <w:left w:val="single" w:color="auto" w:sz="4" w:space="0"/>
              <w:bottom w:val="single" w:color="auto" w:sz="4" w:space="0"/>
              <w:right w:val="single" w:color="auto" w:sz="12" w:space="0"/>
              <w:tl2br w:val="nil"/>
              <w:tr2bl w:val="nil"/>
            </w:tcBorders>
            <w:noWrap/>
            <w:vAlign w:val="center"/>
          </w:tcPr>
          <w:p>
            <w:pPr>
              <w:pStyle w:val="37"/>
              <w:keepNext w:val="0"/>
              <w:keepLines w:val="0"/>
              <w:pageBreakBefore w:val="0"/>
              <w:numPr>
                <w:ilvl w:val="0"/>
                <w:numId w:val="3"/>
              </w:numPr>
              <w:kinsoku/>
              <w:wordWrap/>
              <w:overflowPunct/>
              <w:topLinePunct w:val="0"/>
              <w:bidi w:val="0"/>
              <w:adjustRightInd/>
              <w:snapToGrid/>
              <w:spacing w:line="32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供应商须对照第</w:t>
            </w: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rPr>
              <w:t>章《采购需求》</w:t>
            </w:r>
            <w:r>
              <w:rPr>
                <w:rFonts w:hint="eastAsia" w:ascii="宋体" w:hAnsi="宋体" w:eastAsia="宋体" w:cs="宋体"/>
                <w:b/>
                <w:color w:val="auto"/>
                <w:kern w:val="0"/>
                <w:sz w:val="24"/>
                <w:szCs w:val="24"/>
                <w:highlight w:val="none"/>
                <w:lang w:val="en-US" w:eastAsia="zh-CN"/>
              </w:rPr>
              <w:t>技术要求中第二项“技术规格要求</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逐条列出是否响应。如有偏离，须一一列明。对参数未提供技术支持资料，或参数与其提供的技术支持资料不一致的，均视为负偏离。</w:t>
            </w:r>
          </w:p>
          <w:p>
            <w:pPr>
              <w:pStyle w:val="37"/>
              <w:keepNext w:val="0"/>
              <w:keepLines w:val="0"/>
              <w:pageBreakBefore w:val="0"/>
              <w:kinsoku/>
              <w:wordWrap/>
              <w:overflowPunct/>
              <w:topLinePunct w:val="0"/>
              <w:bidi w:val="0"/>
              <w:adjustRightInd/>
              <w:snapToGrid/>
              <w:spacing w:line="32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b/>
                <w:color w:val="auto"/>
                <w:kern w:val="0"/>
                <w:sz w:val="24"/>
                <w:szCs w:val="24"/>
                <w:highlight w:val="none"/>
              </w:rPr>
              <w:t>（2）技术条款偏离表中投标规格应为供应商提供设备的实际技术参数（或规格），不能完全复制第三章采购需求中的技术参数（招标规格），否则将视为未实质性响应</w:t>
            </w:r>
            <w:r>
              <w:rPr>
                <w:rFonts w:hint="eastAsia" w:ascii="宋体" w:hAnsi="宋体" w:eastAsia="宋体" w:cs="宋体"/>
                <w:b/>
                <w:color w:val="auto"/>
                <w:kern w:val="0"/>
                <w:sz w:val="24"/>
                <w:szCs w:val="24"/>
                <w:highlight w:val="none"/>
                <w:lang w:eastAsia="zh-CN"/>
              </w:rPr>
              <w:t>磋商文件</w:t>
            </w:r>
            <w:r>
              <w:rPr>
                <w:rFonts w:hint="eastAsia" w:ascii="宋体" w:hAnsi="宋体" w:eastAsia="宋体" w:cs="宋体"/>
                <w:b/>
                <w:color w:val="auto"/>
                <w:kern w:val="0"/>
                <w:sz w:val="24"/>
                <w:szCs w:val="24"/>
                <w:highlight w:val="none"/>
              </w:rPr>
              <w:t>要求，做无效投标处理。</w:t>
            </w:r>
          </w:p>
          <w:p>
            <w:pPr>
              <w:pStyle w:val="37"/>
              <w:keepNext w:val="0"/>
              <w:keepLines w:val="0"/>
              <w:pageBreakBefore w:val="0"/>
              <w:kinsoku/>
              <w:wordWrap/>
              <w:overflowPunct/>
              <w:topLinePunct w:val="0"/>
              <w:bidi w:val="0"/>
              <w:adjustRightInd/>
              <w:snapToGrid/>
              <w:spacing w:line="32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rPr>
              <w:t>）</w:t>
            </w:r>
            <w:r>
              <w:rPr>
                <w:rFonts w:hint="eastAsia" w:ascii="宋体" w:hAnsi="宋体" w:eastAsia="宋体" w:cs="宋体;SimSun"/>
                <w:b/>
                <w:bCs/>
                <w:color w:val="auto"/>
                <w:kern w:val="2"/>
                <w:highlight w:val="none"/>
              </w:rPr>
              <w:t>供应商应对</w:t>
            </w:r>
            <w:r>
              <w:rPr>
                <w:rFonts w:hint="eastAsia" w:ascii="宋体" w:hAnsi="宋体" w:eastAsia="宋体" w:cs="宋体;SimSun"/>
                <w:b/>
                <w:bCs/>
                <w:color w:val="auto"/>
                <w:kern w:val="2"/>
                <w:highlight w:val="none"/>
                <w:lang w:val="en-US" w:eastAsia="zh-CN"/>
              </w:rPr>
              <w:t>磋商文件中加“</w:t>
            </w: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SimSun"/>
                <w:b/>
                <w:bCs/>
                <w:color w:val="auto"/>
                <w:kern w:val="2"/>
                <w:highlight w:val="none"/>
              </w:rPr>
              <w:t>引起重视，如不满足此类条款的规定，</w:t>
            </w:r>
            <w:r>
              <w:rPr>
                <w:rFonts w:hint="eastAsia" w:ascii="宋体" w:hAnsi="宋体" w:eastAsia="宋体" w:cs="宋体;SimSun"/>
                <w:b/>
                <w:bCs/>
                <w:color w:val="auto"/>
                <w:kern w:val="2"/>
                <w:highlight w:val="none"/>
                <w:lang w:val="en-US" w:eastAsia="zh-CN"/>
              </w:rPr>
              <w:t>将视为未实质性响应磋商文件要求，其投标无效</w:t>
            </w:r>
            <w:r>
              <w:rPr>
                <w:rFonts w:hint="eastAsia" w:ascii="宋体" w:hAnsi="宋体" w:eastAsia="宋体" w:cs="宋体;SimSun"/>
                <w:b/>
                <w:bCs/>
                <w:color w:val="auto"/>
                <w:kern w:val="2"/>
                <w:highlight w:val="none"/>
              </w:rPr>
              <w:t>。</w:t>
            </w:r>
          </w:p>
          <w:p>
            <w:pPr>
              <w:pStyle w:val="37"/>
              <w:keepNext w:val="0"/>
              <w:keepLines w:val="0"/>
              <w:pageBreakBefore w:val="0"/>
              <w:kinsoku/>
              <w:wordWrap/>
              <w:overflowPunct/>
              <w:topLinePunct w:val="0"/>
              <w:bidi w:val="0"/>
              <w:adjustRightInd/>
              <w:snapToGrid/>
              <w:spacing w:line="320" w:lineRule="exact"/>
              <w:jc w:val="both"/>
              <w:rPr>
                <w:rFonts w:hint="eastAsia" w:ascii="宋体" w:hAnsi="宋体" w:eastAsia="宋体" w:cs="宋体"/>
                <w:b/>
                <w:bCs/>
                <w:color w:val="auto"/>
                <w:kern w:val="2"/>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2"/>
                <w:highlight w:val="none"/>
              </w:rPr>
              <w:t>在评标过程直至签订合同前的任何时间，如经证实发现供应商提供虚假投标资料(包括技术支持资料)或信息骗取中标的，或者未按本</w:t>
            </w:r>
            <w:r>
              <w:rPr>
                <w:rFonts w:hint="eastAsia" w:ascii="宋体" w:hAnsi="宋体" w:eastAsia="宋体" w:cs="宋体"/>
                <w:b/>
                <w:bCs/>
                <w:color w:val="auto"/>
                <w:kern w:val="2"/>
                <w:highlight w:val="none"/>
                <w:lang w:eastAsia="zh-CN"/>
              </w:rPr>
              <w:t>磋商文件</w:t>
            </w:r>
            <w:r>
              <w:rPr>
                <w:rFonts w:hint="eastAsia" w:ascii="宋体" w:hAnsi="宋体" w:eastAsia="宋体" w:cs="宋体"/>
                <w:b/>
                <w:bCs/>
                <w:color w:val="auto"/>
                <w:kern w:val="2"/>
                <w:highlight w:val="none"/>
              </w:rPr>
              <w:t>要求提交履约保证金的（如有要求），将取消其中标资格，没收其投标保证金，并报主管部门备案。</w:t>
            </w:r>
          </w:p>
          <w:p>
            <w:pPr>
              <w:pStyle w:val="37"/>
              <w:spacing w:line="420" w:lineRule="exact"/>
              <w:jc w:val="both"/>
              <w:rPr>
                <w:rFonts w:ascii="宋体" w:hAnsi="宋体" w:eastAsia="宋体" w:cs="宋体"/>
                <w:color w:val="auto"/>
                <w:kern w:val="2"/>
                <w:highlight w:val="none"/>
              </w:rPr>
            </w:pP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lang w:eastAsia="zh-CN"/>
              </w:rPr>
              <w:t>）响应文件应</w:t>
            </w:r>
            <w:r>
              <w:rPr>
                <w:rFonts w:hint="eastAsia" w:ascii="宋体" w:hAnsi="宋体" w:eastAsia="宋体" w:cs="宋体"/>
                <w:b/>
                <w:color w:val="auto"/>
                <w:kern w:val="0"/>
                <w:sz w:val="24"/>
                <w:szCs w:val="24"/>
                <w:highlight w:val="none"/>
                <w:lang w:val="en-US" w:eastAsia="zh-CN"/>
              </w:rPr>
              <w:t>编制</w:t>
            </w:r>
            <w:r>
              <w:rPr>
                <w:rFonts w:hint="eastAsia" w:ascii="宋体" w:hAnsi="宋体" w:eastAsia="宋体" w:cs="宋体"/>
                <w:b/>
                <w:color w:val="auto"/>
                <w:kern w:val="0"/>
                <w:sz w:val="24"/>
                <w:szCs w:val="24"/>
                <w:highlight w:val="none"/>
                <w:lang w:eastAsia="zh-CN"/>
              </w:rPr>
              <w:t>页码</w:t>
            </w:r>
            <w:r>
              <w:rPr>
                <w:rFonts w:hint="eastAsia" w:ascii="宋体" w:hAnsi="宋体" w:eastAsia="宋体" w:cs="宋体"/>
                <w:b/>
                <w:color w:val="auto"/>
                <w:kern w:val="0"/>
                <w:sz w:val="24"/>
                <w:szCs w:val="24"/>
                <w:highlight w:val="none"/>
                <w:lang w:val="en-US" w:eastAsia="zh-CN"/>
              </w:rPr>
              <w:t>及索引目录</w:t>
            </w:r>
            <w:r>
              <w:rPr>
                <w:rFonts w:hint="eastAsia" w:ascii="宋体" w:hAnsi="宋体" w:eastAsia="宋体" w:cs="宋体"/>
                <w:b/>
                <w:color w:val="auto"/>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09" w:type="dxa"/>
            <w:tcBorders>
              <w:top w:val="single" w:color="auto" w:sz="4" w:space="0"/>
              <w:left w:val="single" w:color="auto" w:sz="12" w:space="0"/>
              <w:bottom w:val="single" w:color="auto" w:sz="12" w:space="0"/>
              <w:right w:val="single" w:color="auto" w:sz="4" w:space="0"/>
              <w:tl2br w:val="nil"/>
              <w:tr2bl w:val="nil"/>
            </w:tcBorders>
            <w:noWrap/>
            <w:vAlign w:val="center"/>
          </w:tcPr>
          <w:p>
            <w:pPr>
              <w:shd w:val="clear" w:color="auto" w:fill="FFFFFF"/>
              <w:autoSpaceDE w:val="0"/>
              <w:autoSpaceDN w:val="0"/>
              <w:spacing w:line="3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p>
        </w:tc>
        <w:tc>
          <w:tcPr>
            <w:tcW w:w="9173" w:type="dxa"/>
            <w:gridSpan w:val="2"/>
            <w:tcBorders>
              <w:top w:val="single" w:color="auto" w:sz="4" w:space="0"/>
              <w:left w:val="single" w:color="auto" w:sz="4" w:space="0"/>
              <w:bottom w:val="single" w:color="auto" w:sz="12" w:space="0"/>
              <w:right w:val="single" w:color="auto" w:sz="12" w:space="0"/>
              <w:tl2br w:val="nil"/>
              <w:tr2bl w:val="nil"/>
            </w:tcBorders>
            <w:noWrap/>
            <w:vAlign w:val="center"/>
          </w:tcPr>
          <w:p>
            <w:pPr>
              <w:pStyle w:val="37"/>
              <w:spacing w:line="400" w:lineRule="exact"/>
              <w:jc w:val="both"/>
              <w:rPr>
                <w:rFonts w:ascii="宋体" w:hAnsi="宋体" w:eastAsia="宋体" w:cs="宋体"/>
                <w:b/>
                <w:color w:val="auto"/>
                <w:kern w:val="1"/>
                <w:highlight w:val="none"/>
              </w:rPr>
            </w:pPr>
            <w:r>
              <w:rPr>
                <w:rFonts w:hint="eastAsia" w:ascii="宋体" w:hAnsi="宋体" w:eastAsia="宋体" w:cs="宋体"/>
                <w:b/>
                <w:color w:val="auto"/>
                <w:kern w:val="1"/>
                <w:highlight w:val="none"/>
              </w:rPr>
              <w:t>成交服务费：由成交供应商支付，在领取《成交通知书》时向采购代理机构一次性支付成交服务费。其计算标准和方法参照原发改计价[2002]1980号文件规定标准执行。</w:t>
            </w:r>
          </w:p>
        </w:tc>
      </w:tr>
      <w:bookmarkEnd w:id="19"/>
      <w:bookmarkEnd w:id="20"/>
    </w:tbl>
    <w:p>
      <w:pPr>
        <w:pStyle w:val="38"/>
        <w:spacing w:before="0" w:line="440" w:lineRule="exact"/>
        <w:jc w:val="center"/>
        <w:rPr>
          <w:rFonts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21" w:name="_Toc13766989"/>
      <w:bookmarkStart w:id="22" w:name="_Toc1898"/>
      <w:bookmarkStart w:id="23" w:name="_Toc28642"/>
      <w:r>
        <w:rPr>
          <w:rFonts w:hint="eastAsia" w:ascii="宋体" w:hAnsi="宋体" w:eastAsia="宋体" w:cs="宋体"/>
          <w:color w:val="auto"/>
          <w:sz w:val="28"/>
          <w:szCs w:val="28"/>
          <w:highlight w:val="none"/>
        </w:rPr>
        <w:t>二、</w:t>
      </w:r>
      <w:bookmarkEnd w:id="21"/>
      <w:r>
        <w:rPr>
          <w:rFonts w:hint="eastAsia" w:ascii="宋体" w:hAnsi="宋体" w:eastAsia="宋体" w:cs="宋体"/>
          <w:color w:val="auto"/>
          <w:sz w:val="28"/>
          <w:szCs w:val="24"/>
          <w:highlight w:val="none"/>
        </w:rPr>
        <w:t>供应商须知</w:t>
      </w:r>
      <w:bookmarkEnd w:id="22"/>
      <w:bookmarkEnd w:id="23"/>
    </w:p>
    <w:p>
      <w:pPr>
        <w:spacing w:beforeLines="50" w:afterLines="50" w:line="440" w:lineRule="exact"/>
        <w:jc w:val="center"/>
        <w:rPr>
          <w:rFonts w:ascii="宋体" w:hAnsi="宋体" w:eastAsia="宋体" w:cs="宋体"/>
          <w:b/>
          <w:color w:val="auto"/>
          <w:kern w:val="0"/>
          <w:sz w:val="24"/>
          <w:szCs w:val="24"/>
          <w:highlight w:val="none"/>
          <w:lang w:val="zh-CN"/>
        </w:rPr>
      </w:pPr>
      <w:bookmarkStart w:id="24" w:name="_Toc37090625"/>
      <w:bookmarkStart w:id="25" w:name="_Toc21030"/>
      <w:bookmarkStart w:id="26" w:name="_Toc37090961"/>
      <w:bookmarkStart w:id="27" w:name="_Toc13766990"/>
      <w:r>
        <w:rPr>
          <w:rFonts w:hint="eastAsia" w:ascii="宋体" w:hAnsi="宋体" w:eastAsia="宋体" w:cs="宋体"/>
          <w:b/>
          <w:color w:val="auto"/>
          <w:kern w:val="0"/>
          <w:sz w:val="24"/>
          <w:szCs w:val="24"/>
          <w:highlight w:val="none"/>
          <w:lang w:val="zh-CN"/>
        </w:rPr>
        <w:t>（一）总则</w:t>
      </w:r>
      <w:bookmarkEnd w:id="24"/>
      <w:bookmarkEnd w:id="25"/>
      <w:bookmarkEnd w:id="26"/>
    </w:p>
    <w:p>
      <w:pPr>
        <w:spacing w:line="440" w:lineRule="exact"/>
        <w:ind w:firstLine="482" w:firstLineChars="200"/>
        <w:rPr>
          <w:rFonts w:ascii="宋体" w:hAnsi="宋体" w:eastAsia="宋体" w:cs="宋体"/>
          <w:b/>
          <w:bCs/>
          <w:color w:val="auto"/>
          <w:sz w:val="24"/>
          <w:szCs w:val="24"/>
          <w:highlight w:val="none"/>
        </w:rPr>
      </w:pPr>
      <w:bookmarkStart w:id="28" w:name="_Toc37090962"/>
      <w:bookmarkStart w:id="29" w:name="_Toc37090626"/>
      <w:bookmarkStart w:id="30" w:name="_Toc29497"/>
      <w:r>
        <w:rPr>
          <w:rFonts w:hint="eastAsia" w:ascii="宋体" w:hAnsi="宋体" w:eastAsia="宋体" w:cs="宋体"/>
          <w:b/>
          <w:bCs/>
          <w:color w:val="auto"/>
          <w:sz w:val="24"/>
          <w:szCs w:val="24"/>
          <w:highlight w:val="none"/>
        </w:rPr>
        <w:t>1. 项目说明</w:t>
      </w:r>
      <w:bookmarkEnd w:id="28"/>
      <w:bookmarkEnd w:id="29"/>
      <w:bookmarkEnd w:id="30"/>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本项目的说明详见供应商须知前附表（以下简称“前附表”）所述。</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1.2本采购项目已经批准，采购人为</w:t>
      </w:r>
      <w:r>
        <w:rPr>
          <w:rFonts w:hint="eastAsia" w:ascii="宋体" w:hAnsi="宋体" w:eastAsia="宋体" w:cs="宋体"/>
          <w:color w:val="auto"/>
          <w:sz w:val="24"/>
          <w:szCs w:val="24"/>
          <w:highlight w:val="none"/>
          <w:u w:val="single"/>
          <w:lang w:eastAsia="zh-CN"/>
        </w:rPr>
        <w:t>乌鲁木齐市米东区人民医院</w:t>
      </w:r>
      <w:r>
        <w:rPr>
          <w:rFonts w:hint="eastAsia" w:ascii="宋体" w:hAnsi="宋体" w:eastAsia="宋体" w:cs="宋体"/>
          <w:color w:val="auto"/>
          <w:sz w:val="24"/>
          <w:szCs w:val="24"/>
          <w:highlight w:val="none"/>
        </w:rPr>
        <w:t>，该项目已具备采购条件，现对该项目进行竞争性磋商。</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w:t>
      </w:r>
      <w:r>
        <w:rPr>
          <w:rFonts w:hint="eastAsia" w:ascii="宋体" w:hAnsi="宋体" w:eastAsia="宋体" w:cs="宋体"/>
          <w:color w:val="auto"/>
          <w:sz w:val="24"/>
          <w:szCs w:val="24"/>
          <w:highlight w:val="none"/>
        </w:rPr>
        <w:t>本采购项目供应商的资格审查采取资格后审方式。本次磋商</w:t>
      </w:r>
      <w:r>
        <w:rPr>
          <w:rFonts w:hint="eastAsia" w:ascii="宋体" w:hAnsi="宋体" w:eastAsia="宋体" w:cs="宋体"/>
          <w:color w:val="auto"/>
          <w:sz w:val="24"/>
          <w:szCs w:val="24"/>
          <w:highlight w:val="none"/>
          <w:u w:val="single"/>
        </w:rPr>
        <w:t>接受</w:t>
      </w:r>
      <w:r>
        <w:rPr>
          <w:rFonts w:hint="eastAsia" w:ascii="宋体" w:hAnsi="宋体" w:eastAsia="宋体" w:cs="宋体"/>
          <w:color w:val="auto"/>
          <w:sz w:val="24"/>
          <w:szCs w:val="24"/>
          <w:highlight w:val="none"/>
        </w:rPr>
        <w:t>联合体、不接受备选方案。</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供应商资格必须符合供应商须知前附表说明，通过资格后审的供应商为合格的供应商。合格的供应商必须符合</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中对供应商的规定，且具备独立完成所投项目或所投标项的</w:t>
      </w:r>
      <w:r>
        <w:rPr>
          <w:rFonts w:hint="eastAsia" w:ascii="宋体" w:hAnsi="宋体" w:eastAsia="宋体" w:cs="宋体"/>
          <w:color w:val="auto"/>
          <w:kern w:val="10"/>
          <w:sz w:val="24"/>
          <w:szCs w:val="24"/>
          <w:highlight w:val="none"/>
        </w:rPr>
        <w:t>能</w:t>
      </w:r>
      <w:r>
        <w:rPr>
          <w:rFonts w:hint="eastAsia" w:ascii="宋体" w:hAnsi="宋体" w:eastAsia="宋体" w:cs="宋体"/>
          <w:color w:val="auto"/>
          <w:sz w:val="24"/>
          <w:szCs w:val="24"/>
          <w:highlight w:val="none"/>
        </w:rPr>
        <w:t>力，成交后不允许转包、违法分包。</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 资格后审包括下列的内容</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供应商满足“前附表”规定的资格要求；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有要求供应商法定代表人或其授权代表签字或盖章和加盖供应商</w:t>
      </w:r>
      <w:r>
        <w:rPr>
          <w:rFonts w:hint="eastAsia" w:ascii="宋体" w:hAnsi="宋体" w:eastAsia="宋体" w:cs="宋体"/>
          <w:color w:val="auto"/>
          <w:kern w:val="0"/>
          <w:sz w:val="24"/>
          <w:szCs w:val="24"/>
          <w:highlight w:val="none"/>
          <w:lang w:eastAsia="zh-CN"/>
        </w:rPr>
        <w:t>电子公章</w:t>
      </w:r>
      <w:r>
        <w:rPr>
          <w:rFonts w:hint="eastAsia" w:ascii="宋体" w:hAnsi="宋体" w:eastAsia="宋体" w:cs="宋体"/>
          <w:color w:val="auto"/>
          <w:kern w:val="0"/>
          <w:sz w:val="24"/>
          <w:szCs w:val="24"/>
          <w:highlight w:val="none"/>
        </w:rPr>
        <w:t>要求的，供应商须按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要求签署；</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1.4.3服务期限符合</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 服务地点符合</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规定；</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1.4.5 响应内容质量、服务等满足</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1.4.6响应文件中所提条件均须符合采购人的要求；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1.4.7符合</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中规定的其他实质性要求；</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1.4.8无法律、法规和规章禁止的其他情况。</w:t>
      </w:r>
    </w:p>
    <w:p>
      <w:pPr>
        <w:spacing w:line="440" w:lineRule="exact"/>
        <w:ind w:firstLine="482" w:firstLineChars="200"/>
        <w:rPr>
          <w:rFonts w:ascii="宋体" w:hAnsi="宋体" w:eastAsia="宋体" w:cs="宋体"/>
          <w:b/>
          <w:bCs/>
          <w:color w:val="auto"/>
          <w:sz w:val="24"/>
          <w:szCs w:val="24"/>
          <w:highlight w:val="none"/>
        </w:rPr>
      </w:pPr>
      <w:bookmarkStart w:id="31" w:name="_Toc17644"/>
      <w:bookmarkStart w:id="32" w:name="_Toc37090963"/>
      <w:bookmarkStart w:id="33" w:name="_Toc37090627"/>
      <w:r>
        <w:rPr>
          <w:rFonts w:hint="eastAsia" w:ascii="宋体" w:hAnsi="宋体" w:eastAsia="宋体" w:cs="宋体"/>
          <w:b/>
          <w:bCs/>
          <w:color w:val="auto"/>
          <w:sz w:val="24"/>
          <w:szCs w:val="24"/>
          <w:highlight w:val="none"/>
        </w:rPr>
        <w:t xml:space="preserve">2. </w:t>
      </w:r>
      <w:bookmarkEnd w:id="31"/>
      <w:bookmarkEnd w:id="32"/>
      <w:bookmarkEnd w:id="33"/>
      <w:r>
        <w:rPr>
          <w:rFonts w:hint="eastAsia" w:ascii="宋体" w:hAnsi="宋体" w:eastAsia="宋体" w:cs="宋体"/>
          <w:b/>
          <w:bCs/>
          <w:color w:val="auto"/>
          <w:sz w:val="24"/>
          <w:szCs w:val="24"/>
          <w:highlight w:val="none"/>
        </w:rPr>
        <w:t>采购范围</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2.1本采购项目的采购范围</w:t>
      </w:r>
      <w:r>
        <w:rPr>
          <w:rFonts w:hint="eastAsia" w:ascii="宋体" w:hAnsi="宋体" w:eastAsia="宋体" w:cs="宋体"/>
          <w:color w:val="auto"/>
          <w:kern w:val="0"/>
          <w:sz w:val="24"/>
          <w:szCs w:val="24"/>
          <w:highlight w:val="none"/>
        </w:rPr>
        <w:t>已通过“前附表”第1项</w:t>
      </w:r>
      <w:r>
        <w:rPr>
          <w:rFonts w:hint="eastAsia" w:ascii="宋体" w:hAnsi="宋体" w:eastAsia="宋体" w:cs="宋体"/>
          <w:color w:val="auto"/>
          <w:sz w:val="24"/>
          <w:szCs w:val="24"/>
          <w:highlight w:val="none"/>
        </w:rPr>
        <w:t>采购内容</w:t>
      </w:r>
      <w:r>
        <w:rPr>
          <w:rFonts w:hint="eastAsia" w:ascii="宋体" w:hAnsi="宋体" w:eastAsia="宋体" w:cs="宋体"/>
          <w:color w:val="auto"/>
          <w:kern w:val="0"/>
          <w:sz w:val="24"/>
          <w:szCs w:val="24"/>
          <w:highlight w:val="none"/>
        </w:rPr>
        <w:t>所述，</w:t>
      </w:r>
      <w:r>
        <w:rPr>
          <w:rFonts w:hint="eastAsia" w:ascii="宋体" w:hAnsi="宋体" w:eastAsia="宋体" w:cs="宋体"/>
          <w:color w:val="auto"/>
          <w:sz w:val="24"/>
          <w:szCs w:val="24"/>
          <w:highlight w:val="none"/>
        </w:rPr>
        <w:t>指本项目</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中范围内所要求的所有工作内容。</w:t>
      </w:r>
    </w:p>
    <w:p>
      <w:pPr>
        <w:spacing w:line="440" w:lineRule="exact"/>
        <w:ind w:firstLine="482" w:firstLineChars="200"/>
        <w:rPr>
          <w:rFonts w:ascii="宋体" w:hAnsi="宋体" w:eastAsia="宋体" w:cs="宋体"/>
          <w:b/>
          <w:bCs/>
          <w:color w:val="auto"/>
          <w:sz w:val="24"/>
          <w:szCs w:val="24"/>
          <w:highlight w:val="none"/>
        </w:rPr>
      </w:pPr>
      <w:bookmarkStart w:id="34" w:name="_Toc26876"/>
      <w:bookmarkStart w:id="35" w:name="_Toc37090964"/>
      <w:bookmarkStart w:id="36" w:name="_Toc37090628"/>
      <w:r>
        <w:rPr>
          <w:rFonts w:hint="eastAsia" w:ascii="宋体" w:hAnsi="宋体" w:eastAsia="宋体" w:cs="宋体"/>
          <w:b/>
          <w:bCs/>
          <w:color w:val="auto"/>
          <w:sz w:val="24"/>
          <w:szCs w:val="24"/>
          <w:highlight w:val="none"/>
        </w:rPr>
        <w:t>3. 适用法律及约束力</w:t>
      </w:r>
      <w:bookmarkEnd w:id="34"/>
      <w:bookmarkEnd w:id="35"/>
      <w:bookmarkEnd w:id="36"/>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本次磋商及由本次磋商产生的合同受中华人民共和国的相关法律、法规制约和保护。供应商一旦领取了</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并参加本项目，即被认为接受了</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中的所有条件和规定。</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3.2供应商应保证，在中华人民共和国境内使用投标成果、服务或其任何一部分时，不会产生因第三方提出侵犯其专利权或其它知识产权而引起的法律和经济纠纷。</w:t>
      </w:r>
    </w:p>
    <w:p>
      <w:pPr>
        <w:spacing w:line="440" w:lineRule="exact"/>
        <w:ind w:firstLine="482" w:firstLineChars="200"/>
        <w:rPr>
          <w:rFonts w:ascii="宋体" w:hAnsi="宋体" w:eastAsia="宋体" w:cs="宋体"/>
          <w:b/>
          <w:bCs/>
          <w:color w:val="auto"/>
          <w:sz w:val="24"/>
          <w:szCs w:val="24"/>
          <w:highlight w:val="none"/>
        </w:rPr>
      </w:pPr>
      <w:bookmarkStart w:id="37" w:name="_Toc37090629"/>
      <w:bookmarkStart w:id="38" w:name="_Toc18819"/>
      <w:bookmarkStart w:id="39" w:name="_Toc37090965"/>
      <w:r>
        <w:rPr>
          <w:rFonts w:hint="eastAsia" w:ascii="宋体" w:hAnsi="宋体" w:eastAsia="宋体" w:cs="宋体"/>
          <w:b/>
          <w:bCs/>
          <w:color w:val="auto"/>
          <w:sz w:val="24"/>
          <w:szCs w:val="24"/>
          <w:highlight w:val="none"/>
        </w:rPr>
        <w:t>4. 采购项目实施要求</w:t>
      </w:r>
      <w:bookmarkEnd w:id="37"/>
      <w:bookmarkEnd w:id="38"/>
      <w:bookmarkEnd w:id="39"/>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4.1质量标准已通过“前附表”第3项所述，本采购项目的质量等级标准为合格（通过采购人及有关部门组织的项目验收）。</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4.2 供应方与采购人签订合同后，按照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及合同相关的要求编制现场服务计划。</w:t>
      </w:r>
    </w:p>
    <w:p>
      <w:pPr>
        <w:spacing w:line="440" w:lineRule="exact"/>
        <w:ind w:firstLine="482" w:firstLineChars="200"/>
        <w:rPr>
          <w:rFonts w:hint="eastAsia" w:ascii="宋体" w:hAnsi="宋体" w:eastAsia="宋体" w:cs="宋体"/>
          <w:b/>
          <w:bCs/>
          <w:color w:val="auto"/>
          <w:sz w:val="24"/>
          <w:szCs w:val="24"/>
          <w:highlight w:val="none"/>
        </w:rPr>
      </w:pPr>
      <w:bookmarkStart w:id="40" w:name="_Toc14650"/>
      <w:bookmarkStart w:id="41" w:name="_Toc37090630"/>
      <w:bookmarkStart w:id="42" w:name="_Toc37090966"/>
      <w:bookmarkStart w:id="43" w:name="_Toc37090631"/>
      <w:bookmarkStart w:id="44" w:name="_Toc4069"/>
      <w:bookmarkStart w:id="45" w:name="_Toc37090967"/>
      <w:r>
        <w:rPr>
          <w:rFonts w:hint="eastAsia" w:ascii="宋体" w:hAnsi="宋体" w:eastAsia="宋体" w:cs="宋体"/>
          <w:b/>
          <w:bCs/>
          <w:color w:val="auto"/>
          <w:sz w:val="24"/>
          <w:szCs w:val="24"/>
          <w:highlight w:val="none"/>
        </w:rPr>
        <w:t>5. 交货期及交货地点</w:t>
      </w:r>
      <w:bookmarkEnd w:id="40"/>
      <w:bookmarkEnd w:id="41"/>
      <w:bookmarkEnd w:id="42"/>
    </w:p>
    <w:p>
      <w:pPr>
        <w:spacing w:line="44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 交货期已通过“前附表”所述，是指完成本项目采购内容及配套服务工作、验收合格并移交采购人的时间；交货地点已通过“前附表”所述。</w:t>
      </w:r>
    </w:p>
    <w:p>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 资金来源</w:t>
      </w:r>
      <w:bookmarkEnd w:id="43"/>
      <w:bookmarkEnd w:id="44"/>
      <w:bookmarkEnd w:id="45"/>
    </w:p>
    <w:p>
      <w:pPr>
        <w:shd w:val="clear" w:color="auto" w:fill="FFFFFF"/>
        <w:spacing w:line="440" w:lineRule="exact"/>
        <w:ind w:firstLine="480" w:firstLineChars="200"/>
        <w:rPr>
          <w:rFonts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6.1采购单位的资金通过“前附表”第1项所述的方式获得，并将部分资金用于本项目合同下的合格支付。</w:t>
      </w:r>
    </w:p>
    <w:p>
      <w:pPr>
        <w:spacing w:line="440" w:lineRule="exact"/>
        <w:ind w:firstLine="482" w:firstLineChars="200"/>
        <w:rPr>
          <w:rFonts w:ascii="宋体" w:hAnsi="宋体" w:eastAsia="宋体" w:cs="宋体"/>
          <w:b/>
          <w:bCs/>
          <w:color w:val="auto"/>
          <w:sz w:val="24"/>
          <w:szCs w:val="24"/>
          <w:highlight w:val="none"/>
        </w:rPr>
      </w:pPr>
      <w:bookmarkStart w:id="46" w:name="_Toc37090632"/>
      <w:bookmarkStart w:id="47" w:name="_Toc19811"/>
      <w:bookmarkStart w:id="48" w:name="_Toc37090968"/>
      <w:r>
        <w:rPr>
          <w:rFonts w:hint="eastAsia" w:ascii="宋体" w:hAnsi="宋体" w:eastAsia="宋体" w:cs="宋体"/>
          <w:b/>
          <w:bCs/>
          <w:color w:val="auto"/>
          <w:sz w:val="24"/>
          <w:szCs w:val="24"/>
          <w:highlight w:val="none"/>
        </w:rPr>
        <w:t>7. 供应商资格要求</w:t>
      </w:r>
      <w:bookmarkEnd w:id="46"/>
      <w:bookmarkEnd w:id="47"/>
      <w:bookmarkEnd w:id="48"/>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供应商资格要求须满足“前附表”第4项要求。</w:t>
      </w:r>
    </w:p>
    <w:p>
      <w:pPr>
        <w:spacing w:line="440" w:lineRule="exact"/>
        <w:ind w:firstLine="482" w:firstLineChars="200"/>
        <w:rPr>
          <w:rFonts w:ascii="宋体" w:hAnsi="宋体" w:eastAsia="宋体" w:cs="宋体"/>
          <w:b/>
          <w:bCs/>
          <w:color w:val="auto"/>
          <w:sz w:val="24"/>
          <w:szCs w:val="24"/>
          <w:highlight w:val="none"/>
        </w:rPr>
      </w:pPr>
      <w:bookmarkStart w:id="49" w:name="_Toc37090633"/>
      <w:bookmarkStart w:id="50" w:name="_Toc37090969"/>
      <w:bookmarkStart w:id="51" w:name="_Toc30617"/>
      <w:r>
        <w:rPr>
          <w:rFonts w:hint="eastAsia" w:ascii="宋体" w:hAnsi="宋体" w:eastAsia="宋体" w:cs="宋体"/>
          <w:b/>
          <w:bCs/>
          <w:color w:val="auto"/>
          <w:sz w:val="24"/>
          <w:szCs w:val="24"/>
          <w:highlight w:val="none"/>
        </w:rPr>
        <w:t>8. 投标费用</w:t>
      </w:r>
      <w:bookmarkEnd w:id="49"/>
      <w:bookmarkEnd w:id="50"/>
      <w:bookmarkEnd w:id="51"/>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供应商应承担其编制响应文件与递交响应文件所涉及的一切费用，不论投标结果如何，采购人或采购代理机构均无义务和责任承担这些费用。</w:t>
      </w:r>
    </w:p>
    <w:p>
      <w:pPr>
        <w:pStyle w:val="39"/>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9.合格供应商的条件</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9.1具有本项目实施能力，符合、承认并承诺履行本文件各项规定的国内法人、其他组织或自然人均可参加投标。</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 遵守有关的国家法律、法规和条例，具备《中华人民共和国政府采购法》和本文件中规定的条件：</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9.2.1具有独立承担民事责任的能力； </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9.2.2具有良好的商业信誉和健全的财务会计制度；</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9.2.3具有履行合同所必需的设备和专业技术能力；</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9.2.4具有依法缴纳税收和社会保障资金的良好记录；</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9.2.5参加政府采购活动前三年内，在经营活动中没有重大违法记录；</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9.2.6法律、行政法规规定的其他条件；</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9.2.7具有本</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第二部分“供应商须知前附表”中第4项规定的资格条件。</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9.3供应商之间如果存在下列情形之一的，不得同时参加同一包（标段）或者不分包（标段）的同一项目投标：</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9.3.1法定代表人为同一个人的两个及两个以上法人；</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9.3.2母公司、全资子公司及其控股公司；</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9.3.3参加投标的其他组织之间存在特殊的利害关系的；</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9.3.4法律和行政法规规定的其他情形。</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 供应商授权代表须持有《法定代表人授权委托书》。</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9.5 供应商按时足额交纳磋商保证金。</w:t>
      </w:r>
    </w:p>
    <w:p>
      <w:pPr>
        <w:spacing w:line="440" w:lineRule="exact"/>
        <w:ind w:firstLine="482" w:firstLineChars="200"/>
        <w:rPr>
          <w:rFonts w:ascii="宋体" w:hAnsi="宋体" w:eastAsia="宋体" w:cs="宋体"/>
          <w:b/>
          <w:bCs/>
          <w:color w:val="auto"/>
          <w:sz w:val="24"/>
          <w:szCs w:val="24"/>
          <w:highlight w:val="none"/>
        </w:rPr>
      </w:pPr>
      <w:bookmarkStart w:id="52" w:name="_Toc37090635"/>
      <w:bookmarkStart w:id="53" w:name="_Toc37090971"/>
      <w:bookmarkStart w:id="54" w:name="_Toc6998"/>
      <w:r>
        <w:rPr>
          <w:rFonts w:hint="eastAsia" w:ascii="宋体" w:hAnsi="宋体" w:eastAsia="宋体" w:cs="宋体"/>
          <w:b/>
          <w:bCs/>
          <w:color w:val="auto"/>
          <w:sz w:val="24"/>
          <w:szCs w:val="24"/>
          <w:highlight w:val="none"/>
        </w:rPr>
        <w:t>10. 联合体</w:t>
      </w:r>
      <w:bookmarkEnd w:id="52"/>
      <w:bookmarkEnd w:id="53"/>
      <w:bookmarkEnd w:id="54"/>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10.1供应商须知前附表中接受联合体的，供应商可以联合体形式参加磋商，否则联合体投标视为无效响应；接受联合体的，除应符合本章第7</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kern w:val="0"/>
          <w:sz w:val="24"/>
          <w:szCs w:val="24"/>
          <w:highlight w:val="none"/>
        </w:rPr>
        <w:t xml:space="preserve">规定外，还应遵守以下规定： </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10.1.1 联合体各方应按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提供的格式签订</w:t>
      </w:r>
      <w:r>
        <w:rPr>
          <w:rFonts w:hint="eastAsia" w:ascii="宋体" w:hAnsi="宋体" w:eastAsia="宋体" w:cs="宋体"/>
          <w:color w:val="auto"/>
          <w:kern w:val="0"/>
          <w:sz w:val="24"/>
          <w:szCs w:val="24"/>
          <w:highlight w:val="none"/>
          <w:u w:val="single"/>
        </w:rPr>
        <w:t>联合体协议</w:t>
      </w:r>
      <w:r>
        <w:rPr>
          <w:rFonts w:hint="eastAsia" w:ascii="宋体" w:hAnsi="宋体" w:eastAsia="宋体" w:cs="宋体"/>
          <w:color w:val="auto"/>
          <w:kern w:val="0"/>
          <w:sz w:val="24"/>
          <w:szCs w:val="24"/>
          <w:highlight w:val="none"/>
        </w:rPr>
        <w:t>，明确联合体牵头人和各方的权利义务、合同工作量比例；</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10.1.2 联合体各方签订联合体协议书后，不得再单独参加或者与其他供应商组成新的联合体参加同一项目的采购活动。</w:t>
      </w:r>
    </w:p>
    <w:p>
      <w:pPr>
        <w:shd w:val="clear" w:color="auto" w:fill="FFFFFF"/>
        <w:spacing w:line="440" w:lineRule="exact"/>
        <w:ind w:firstLine="482" w:firstLineChars="2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11.信用信息查询</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cs="宋体"/>
          <w:b w:val="0"/>
          <w:bCs w:val="0"/>
          <w:color w:val="auto"/>
          <w:kern w:val="0"/>
          <w:sz w:val="24"/>
          <w:highlight w:val="none"/>
          <w:lang w:val="en-US" w:eastAsia="zh-CN"/>
        </w:rPr>
        <w:t>★</w:t>
      </w:r>
      <w:r>
        <w:rPr>
          <w:rFonts w:hint="eastAsia" w:ascii="宋体" w:hAnsi="宋体" w:eastAsia="宋体" w:cs="宋体"/>
          <w:color w:val="auto"/>
          <w:kern w:val="0"/>
          <w:sz w:val="24"/>
          <w:szCs w:val="24"/>
          <w:highlight w:val="none"/>
        </w:rPr>
        <w:t>11.1查询渠道：“信用中国”网站（www.creditchina.gov.cn）、“中国政府采购网”（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9"/>
          <w:rFonts w:hint="eastAsia" w:ascii="宋体" w:hAnsi="宋体" w:eastAsia="宋体" w:cs="宋体"/>
          <w:color w:val="auto"/>
          <w:kern w:val="0"/>
          <w:sz w:val="24"/>
          <w:szCs w:val="24"/>
          <w:highlight w:val="none"/>
          <w:u w:val="none"/>
        </w:rPr>
        <w:t>www.ccgp.gov.cn</w:t>
      </w:r>
      <w:r>
        <w:rPr>
          <w:rStyle w:val="29"/>
          <w:rFonts w:hint="eastAsia" w:ascii="宋体" w:hAnsi="宋体" w:eastAsia="宋体" w:cs="宋体"/>
          <w:color w:val="auto"/>
          <w:kern w:val="0"/>
          <w:sz w:val="24"/>
          <w:szCs w:val="24"/>
          <w:highlight w:val="none"/>
          <w:u w:val="none"/>
        </w:rPr>
        <w:fldChar w:fldCharType="end"/>
      </w:r>
      <w:r>
        <w:rPr>
          <w:rFonts w:hint="eastAsia" w:ascii="宋体" w:hAnsi="宋体" w:eastAsia="宋体" w:cs="宋体"/>
          <w:color w:val="auto"/>
          <w:kern w:val="0"/>
          <w:sz w:val="24"/>
          <w:szCs w:val="24"/>
          <w:highlight w:val="none"/>
        </w:rPr>
        <w:t>）。</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cs="宋体"/>
          <w:b w:val="0"/>
          <w:bCs w:val="0"/>
          <w:color w:val="auto"/>
          <w:kern w:val="0"/>
          <w:sz w:val="24"/>
          <w:highlight w:val="none"/>
          <w:lang w:val="en-US" w:eastAsia="zh-CN"/>
        </w:rPr>
        <w:t>★</w:t>
      </w:r>
      <w:r>
        <w:rPr>
          <w:rFonts w:hint="eastAsia" w:ascii="宋体" w:hAnsi="宋体" w:eastAsia="宋体" w:cs="宋体"/>
          <w:color w:val="auto"/>
          <w:kern w:val="0"/>
          <w:sz w:val="24"/>
          <w:szCs w:val="24"/>
          <w:highlight w:val="none"/>
        </w:rPr>
        <w:t>11.2查询截止时间：</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rPr>
        <w:t>日1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0时（</w:t>
      </w:r>
      <w:r>
        <w:rPr>
          <w:rFonts w:hint="eastAsia" w:ascii="宋体" w:hAnsi="宋体" w:eastAsia="宋体" w:cs="宋体"/>
          <w:color w:val="auto"/>
          <w:sz w:val="24"/>
          <w:szCs w:val="24"/>
          <w:highlight w:val="none"/>
        </w:rPr>
        <w:t>北京时间）。</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cs="宋体"/>
          <w:b w:val="0"/>
          <w:bCs w:val="0"/>
          <w:color w:val="auto"/>
          <w:kern w:val="0"/>
          <w:sz w:val="24"/>
          <w:highlight w:val="none"/>
          <w:lang w:val="en-US" w:eastAsia="zh-CN"/>
        </w:rPr>
        <w:t>★</w:t>
      </w:r>
      <w:r>
        <w:rPr>
          <w:rFonts w:hint="eastAsia" w:ascii="宋体" w:hAnsi="宋体" w:eastAsia="宋体" w:cs="宋体"/>
          <w:color w:val="auto"/>
          <w:kern w:val="0"/>
          <w:sz w:val="24"/>
          <w:szCs w:val="24"/>
          <w:highlight w:val="none"/>
        </w:rPr>
        <w:t>11.3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11.4信用信息查询由采购代理机构在开标/磋商后通过本须知11.1所述渠道进行网上查询，对存在本须知11.3所述情形的供应商，将对其查询结果的网页截图作为查询记录和证据留存。</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11.5两个以上的自然人、法人或者其他组织组成一个联合体，以一个供应商的身份共同参加政府采购活动的，将对所有联合体成员进行信用记录查询，联合体成员存在不良信用记录的，视同联合体存在不良信用记录。</w:t>
      </w:r>
    </w:p>
    <w:bookmarkEnd w:id="27"/>
    <w:p>
      <w:pPr>
        <w:spacing w:beforeLines="50" w:afterLines="50" w:line="440" w:lineRule="exact"/>
        <w:jc w:val="center"/>
        <w:rPr>
          <w:rFonts w:ascii="宋体" w:hAnsi="宋体" w:eastAsia="宋体" w:cs="宋体"/>
          <w:b/>
          <w:color w:val="auto"/>
          <w:kern w:val="0"/>
          <w:sz w:val="24"/>
          <w:szCs w:val="24"/>
          <w:highlight w:val="none"/>
          <w:lang w:val="zh-CN"/>
        </w:rPr>
      </w:pPr>
      <w:bookmarkStart w:id="55" w:name="_Toc37090972"/>
      <w:bookmarkStart w:id="56" w:name="_Toc37090636"/>
      <w:r>
        <w:rPr>
          <w:rFonts w:hint="eastAsia" w:ascii="宋体" w:hAnsi="宋体" w:eastAsia="宋体" w:cs="宋体"/>
          <w:b/>
          <w:color w:val="auto"/>
          <w:kern w:val="0"/>
          <w:sz w:val="24"/>
          <w:szCs w:val="24"/>
          <w:highlight w:val="none"/>
          <w:lang w:val="zh-CN"/>
        </w:rPr>
        <w:t>（二）</w:t>
      </w:r>
      <w:bookmarkEnd w:id="55"/>
      <w:bookmarkEnd w:id="56"/>
      <w:r>
        <w:rPr>
          <w:rFonts w:hint="eastAsia" w:ascii="宋体" w:hAnsi="宋体" w:eastAsia="宋体" w:cs="宋体"/>
          <w:b/>
          <w:color w:val="auto"/>
          <w:kern w:val="0"/>
          <w:sz w:val="24"/>
          <w:szCs w:val="24"/>
          <w:highlight w:val="none"/>
          <w:lang w:val="zh-CN"/>
        </w:rPr>
        <w:t>竞争性磋商文件</w:t>
      </w:r>
    </w:p>
    <w:p>
      <w:pPr>
        <w:spacing w:line="440" w:lineRule="exact"/>
        <w:ind w:firstLine="482" w:firstLineChars="200"/>
        <w:rPr>
          <w:rFonts w:ascii="宋体" w:hAnsi="宋体" w:eastAsia="宋体" w:cs="宋体"/>
          <w:b/>
          <w:bCs/>
          <w:color w:val="auto"/>
          <w:sz w:val="24"/>
          <w:szCs w:val="24"/>
          <w:highlight w:val="none"/>
        </w:rPr>
      </w:pPr>
      <w:bookmarkStart w:id="57" w:name="_Toc37090973"/>
      <w:bookmarkStart w:id="58" w:name="_Toc37090637"/>
      <w:bookmarkStart w:id="59" w:name="_Toc10669"/>
      <w:r>
        <w:rPr>
          <w:rFonts w:hint="eastAsia" w:ascii="宋体" w:hAnsi="宋体" w:eastAsia="宋体" w:cs="宋体"/>
          <w:b/>
          <w:bCs/>
          <w:color w:val="auto"/>
          <w:sz w:val="24"/>
          <w:szCs w:val="24"/>
          <w:highlight w:val="none"/>
        </w:rPr>
        <w:t xml:space="preserve">12. </w:t>
      </w:r>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的组成</w:t>
      </w:r>
      <w:bookmarkEnd w:id="57"/>
      <w:bookmarkEnd w:id="58"/>
      <w:bookmarkEnd w:id="59"/>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12.1 </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包括下列内容</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第一章 竞争性磋商公告</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第二章 供应商须知</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第三章 采购需求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第四章 合同条款</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第五章 评审办法</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第六章 响应文件格式</w:t>
      </w:r>
    </w:p>
    <w:p>
      <w:pPr>
        <w:shd w:val="clear" w:color="auto" w:fill="FFFFFF"/>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12.2 </w:t>
      </w:r>
      <w:r>
        <w:rPr>
          <w:rFonts w:hint="eastAsia" w:ascii="宋体" w:hAnsi="宋体" w:eastAsia="宋体" w:cs="宋体"/>
          <w:b/>
          <w:bCs/>
          <w:color w:val="auto"/>
          <w:sz w:val="24"/>
          <w:szCs w:val="24"/>
          <w:highlight w:val="none"/>
        </w:rPr>
        <w:t>本次磋商</w:t>
      </w:r>
      <w:r>
        <w:rPr>
          <w:rFonts w:hint="eastAsia" w:ascii="宋体" w:hAnsi="宋体" w:eastAsia="宋体" w:cs="宋体"/>
          <w:b/>
          <w:color w:val="auto"/>
          <w:sz w:val="24"/>
          <w:szCs w:val="24"/>
          <w:highlight w:val="none"/>
          <w:lang w:val="zh-CN"/>
        </w:rPr>
        <w:t>的最小单位是标项。竞争性磋商文件未分标项的，供应商须对全部</w:t>
      </w:r>
      <w:r>
        <w:rPr>
          <w:rFonts w:hint="eastAsia" w:ascii="宋体" w:hAnsi="宋体" w:eastAsia="宋体" w:cs="宋体"/>
          <w:b/>
          <w:color w:val="auto"/>
          <w:sz w:val="24"/>
          <w:szCs w:val="24"/>
          <w:highlight w:val="none"/>
        </w:rPr>
        <w:t>采购</w:t>
      </w:r>
      <w:r>
        <w:rPr>
          <w:rFonts w:hint="eastAsia" w:ascii="宋体" w:hAnsi="宋体" w:eastAsia="宋体" w:cs="宋体"/>
          <w:b/>
          <w:color w:val="auto"/>
          <w:sz w:val="24"/>
          <w:szCs w:val="24"/>
          <w:highlight w:val="none"/>
          <w:lang w:val="zh-CN"/>
        </w:rPr>
        <w:t>内容投标，不得部分投标；竞争性磋商文件分标项的，供应商应当以标项为单位编制并提交响应文件</w:t>
      </w:r>
      <w:r>
        <w:rPr>
          <w:rFonts w:hint="eastAsia" w:ascii="宋体" w:hAnsi="宋体" w:eastAsia="宋体" w:cs="宋体"/>
          <w:color w:val="auto"/>
          <w:sz w:val="24"/>
          <w:szCs w:val="24"/>
          <w:highlight w:val="none"/>
          <w:lang w:val="zh-CN"/>
        </w:rPr>
        <w:t>。</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cs="宋体"/>
          <w:b w:val="0"/>
          <w:bCs w:val="0"/>
          <w:color w:val="auto"/>
          <w:kern w:val="0"/>
          <w:sz w:val="24"/>
          <w:highlight w:val="none"/>
          <w:lang w:val="en-US" w:eastAsia="zh-CN"/>
        </w:rPr>
        <w:t>★</w:t>
      </w:r>
      <w:r>
        <w:rPr>
          <w:rFonts w:hint="eastAsia" w:ascii="宋体" w:hAnsi="宋体" w:eastAsia="宋体" w:cs="宋体"/>
          <w:color w:val="auto"/>
          <w:sz w:val="24"/>
          <w:szCs w:val="24"/>
          <w:highlight w:val="none"/>
          <w:lang w:val="zh-CN"/>
        </w:rPr>
        <w:t>12.3 竞争性磋商文件如果要求供应商提交备选投标方案的，供应商可以提交备选方案；否则，备选方案将被拒绝。</w:t>
      </w:r>
    </w:p>
    <w:p>
      <w:pPr>
        <w:shd w:val="clear" w:color="auto" w:fill="FFFFFF"/>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12.4 竞争性磋商文件由本文件及由采购人按竞争性磋商文件有关规定发出的竞争性磋商文件补充构成。</w:t>
      </w:r>
    </w:p>
    <w:p>
      <w:pPr>
        <w:shd w:val="clear" w:color="auto" w:fill="FFFFFF"/>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12.5 竞争性磋商文件的澄清、修改、</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答疑会纪要等书面材料在本采购项目中均称竞争性磋商文件补充。</w:t>
      </w:r>
    </w:p>
    <w:p>
      <w:pPr>
        <w:shd w:val="clear" w:color="auto" w:fill="FFFFFF"/>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12.6 竞争性磋商文件补充作为竞争性磋商文件的组成部分，对供应商起同等约束作用。如果竞争性磋商文件补充内容与在此竞争性磋商文件补充发出之前的竞争性磋商文件等书面材料中相关内容相冲突，请供应商执行竞争性磋商文件补充的相关内容，先前发出的竞争性磋商文件等书面材料中相关内容自动废止。</w:t>
      </w:r>
    </w:p>
    <w:p>
      <w:pPr>
        <w:shd w:val="clear" w:color="auto" w:fill="FFFFFF"/>
        <w:spacing w:line="440" w:lineRule="exact"/>
        <w:ind w:firstLine="480" w:firstLineChars="200"/>
        <w:rPr>
          <w:rFonts w:hint="eastAsia" w:ascii="宋体" w:hAnsi="宋体" w:eastAsia="宋体" w:cs="宋体"/>
          <w:color w:val="auto"/>
          <w:sz w:val="24"/>
          <w:highlight w:val="none"/>
          <w:lang w:val="zh-CN"/>
        </w:rPr>
      </w:pPr>
      <w:bookmarkStart w:id="60" w:name="_Toc37090974"/>
      <w:bookmarkStart w:id="61" w:name="_Toc12268"/>
      <w:bookmarkStart w:id="62" w:name="_Toc37090638"/>
      <w:r>
        <w:rPr>
          <w:rFonts w:hint="eastAsia" w:ascii="宋体" w:hAnsi="宋体" w:eastAsia="宋体" w:cs="宋体"/>
          <w:color w:val="auto"/>
          <w:sz w:val="24"/>
          <w:highlight w:val="none"/>
          <w:lang w:val="zh-CN" w:eastAsia="zh-CN"/>
        </w:rPr>
        <w:t>12.7 供应商应认真审阅和理解</w:t>
      </w:r>
      <w:r>
        <w:rPr>
          <w:rFonts w:hint="eastAsia" w:ascii="宋体" w:hAnsi="宋体" w:eastAsia="宋体" w:cs="宋体"/>
          <w:color w:val="auto"/>
          <w:sz w:val="24"/>
          <w:highlight w:val="none"/>
          <w:lang w:val="en-US" w:eastAsia="zh-CN"/>
        </w:rPr>
        <w:t>竞争性磋商文件</w:t>
      </w:r>
      <w:r>
        <w:rPr>
          <w:rFonts w:hint="eastAsia" w:ascii="宋体" w:hAnsi="宋体" w:eastAsia="宋体" w:cs="宋体"/>
          <w:color w:val="auto"/>
          <w:sz w:val="24"/>
          <w:highlight w:val="none"/>
          <w:lang w:val="zh-CN" w:eastAsia="zh-CN"/>
        </w:rPr>
        <w:t>所有内容，尤其注意</w:t>
      </w:r>
      <w:r>
        <w:rPr>
          <w:rFonts w:hint="eastAsia" w:ascii="宋体" w:hAnsi="宋体" w:eastAsia="宋体" w:cs="宋体"/>
          <w:color w:val="auto"/>
          <w:sz w:val="24"/>
          <w:highlight w:val="none"/>
          <w:lang w:val="en-US" w:eastAsia="zh-CN"/>
        </w:rPr>
        <w:t>加“★”</w:t>
      </w:r>
      <w:r>
        <w:rPr>
          <w:rFonts w:hint="eastAsia" w:ascii="宋体" w:hAnsi="宋体" w:eastAsia="宋体" w:cs="宋体"/>
          <w:color w:val="auto"/>
          <w:sz w:val="24"/>
          <w:highlight w:val="none"/>
          <w:lang w:val="zh-CN"/>
        </w:rPr>
        <w:t>等的条款，按照竞争性磋商文件要求编制响应文件。任何对竞争性磋商文件的忽略或误解不能作为响应文件存在缺陷或瑕疵的理由，其风险由供应商承担。</w:t>
      </w:r>
    </w:p>
    <w:p>
      <w:pPr>
        <w:spacing w:line="440" w:lineRule="exact"/>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13. 竞争性磋商文件的获取</w:t>
      </w:r>
      <w:bookmarkEnd w:id="60"/>
      <w:bookmarkEnd w:id="61"/>
      <w:bookmarkEnd w:id="62"/>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的提供期限自开始发出之日起不得少于五个工作日。具体提供期限见</w:t>
      </w:r>
      <w:r>
        <w:rPr>
          <w:rFonts w:hint="eastAsia" w:ascii="宋体" w:hAnsi="宋体" w:eastAsia="宋体" w:cs="宋体"/>
          <w:b/>
          <w:color w:val="auto"/>
          <w:kern w:val="0"/>
          <w:sz w:val="24"/>
          <w:szCs w:val="24"/>
          <w:highlight w:val="none"/>
        </w:rPr>
        <w:t>竞争性磋商公告</w:t>
      </w:r>
      <w:r>
        <w:rPr>
          <w:rFonts w:hint="eastAsia" w:ascii="宋体" w:hAnsi="宋体" w:eastAsia="宋体" w:cs="宋体"/>
          <w:color w:val="auto"/>
          <w:kern w:val="0"/>
          <w:sz w:val="24"/>
          <w:szCs w:val="24"/>
          <w:highlight w:val="none"/>
        </w:rPr>
        <w:t>。</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w:t>
      </w:r>
      <w:r>
        <w:rPr>
          <w:rFonts w:hint="eastAsia" w:ascii="宋体" w:hAnsi="宋体" w:eastAsia="宋体" w:cs="宋体"/>
          <w:b/>
          <w:bCs/>
          <w:color w:val="auto"/>
          <w:sz w:val="24"/>
          <w:szCs w:val="24"/>
          <w:highlight w:val="none"/>
        </w:rPr>
        <w:t>凡符合资格要求并有意参加</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的供应商,</w:t>
      </w:r>
      <w:r>
        <w:rPr>
          <w:rFonts w:hint="eastAsia" w:ascii="宋体" w:hAnsi="宋体" w:eastAsia="宋体" w:cs="宋体"/>
          <w:b/>
          <w:bCs/>
          <w:color w:val="auto"/>
          <w:sz w:val="24"/>
          <w:szCs w:val="24"/>
          <w:highlight w:val="none"/>
          <w:lang w:val="en-US" w:eastAsia="zh-CN"/>
        </w:rPr>
        <w:t>登录政采云平台自行</w:t>
      </w:r>
      <w:r>
        <w:rPr>
          <w:rFonts w:hint="eastAsia" w:ascii="宋体" w:hAnsi="宋体" w:eastAsia="宋体" w:cs="宋体"/>
          <w:b/>
          <w:bCs/>
          <w:color w:val="auto"/>
          <w:sz w:val="24"/>
          <w:szCs w:val="24"/>
          <w:highlight w:val="none"/>
        </w:rPr>
        <w:t>获取</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文件。</w:t>
      </w:r>
    </w:p>
    <w:p>
      <w:pPr>
        <w:spacing w:line="440" w:lineRule="exact"/>
        <w:ind w:firstLine="482" w:firstLineChars="200"/>
        <w:rPr>
          <w:rFonts w:ascii="宋体" w:hAnsi="宋体" w:eastAsia="宋体" w:cs="宋体"/>
          <w:b/>
          <w:bCs/>
          <w:color w:val="auto"/>
          <w:sz w:val="24"/>
          <w:szCs w:val="24"/>
          <w:highlight w:val="none"/>
          <w:lang w:val="zh-CN"/>
        </w:rPr>
      </w:pPr>
      <w:bookmarkStart w:id="63" w:name="_Toc37090639"/>
      <w:bookmarkStart w:id="64" w:name="_Toc28565"/>
      <w:bookmarkStart w:id="65" w:name="_Toc37090975"/>
      <w:r>
        <w:rPr>
          <w:rFonts w:hint="eastAsia" w:ascii="宋体" w:hAnsi="宋体" w:eastAsia="宋体" w:cs="宋体"/>
          <w:b/>
          <w:bCs/>
          <w:color w:val="auto"/>
          <w:sz w:val="24"/>
          <w:szCs w:val="24"/>
          <w:highlight w:val="none"/>
          <w:lang w:val="zh-CN"/>
        </w:rPr>
        <w:t>14. 竞争性磋商文件的澄清或修改</w:t>
      </w:r>
      <w:bookmarkEnd w:id="63"/>
      <w:bookmarkEnd w:id="64"/>
      <w:bookmarkEnd w:id="65"/>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14.1供应商若对</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有任何疑问，应当在获取</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或者</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公告期限届满之日起七个工作日内提出。本项目接受对</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质疑的截止时间见“前附表”第12项，供应商须在截止时间前一次性提出对</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质疑内容。供应商提出质疑应当提交质疑函和必要的证明材料。质疑函应当包括下列内容：</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14.1.1供应商的姓名或者名称、地址、邮编、联系人及联系电话；</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14.1.2质疑项目的名称、编号；</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14.1.3具体、明确的质疑事项和与质疑事项相关的请求；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14.1.4事实依据；</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14.1.5必要的法律依据；</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14.1.6提出质疑的日期。</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供应商为自然人的，应当由本人签字；供应商为法人或者其他组织的，应当由法定代表人、主要负责人，或者其授权代表签字或者盖章，并加盖投标单位电子公章。</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14.2</w:t>
      </w:r>
      <w:r>
        <w:rPr>
          <w:rFonts w:hint="eastAsia" w:ascii="宋体" w:hAnsi="宋体" w:eastAsia="宋体" w:cs="宋体"/>
          <w:color w:val="auto"/>
          <w:sz w:val="24"/>
          <w:szCs w:val="24"/>
          <w:highlight w:val="none"/>
        </w:rPr>
        <w:t xml:space="preserve"> 在响应文件递交截止期前的任何时候，无论出于何种原因，采购人均可主动地或在解答供应商提出的澄清问题时对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进行修改。</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14.3 </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的修改将以书面形式通知所有参与磋商的供应商，并对其具有约束力，供应商应立即以传真形式回复采购人，确认已收到修改文件。</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14.4为使供应商有充分的时间对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的修改文件进行研究，采购人有权推迟磋商时间，并将此变更书面通知所有参与磋商的供应商。</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14.5 在上述情况下，采购人与供应商响应文件递交截止日前的全部权利、责任和义务，将适用于延长后的响应文件递交截止期。</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14.6 </w:t>
      </w:r>
      <w:r>
        <w:rPr>
          <w:rFonts w:hint="eastAsia" w:ascii="宋体" w:hAnsi="宋体" w:eastAsia="宋体" w:cs="宋体;SimSun"/>
          <w:color w:val="auto"/>
          <w:sz w:val="24"/>
          <w:szCs w:val="24"/>
          <w:highlight w:val="none"/>
        </w:rPr>
        <w:t>供应商领取</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后，应仔细检查</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的所有内容，如有残缺应在领到</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后</w:t>
      </w:r>
      <w:r>
        <w:rPr>
          <w:rFonts w:ascii="宋体" w:hAnsi="宋体" w:eastAsia="宋体" w:cs="宋体;SimSun"/>
          <w:color w:val="auto"/>
          <w:sz w:val="24"/>
          <w:szCs w:val="24"/>
          <w:highlight w:val="none"/>
        </w:rPr>
        <w:t>5</w:t>
      </w:r>
      <w:r>
        <w:rPr>
          <w:rFonts w:hint="eastAsia" w:ascii="宋体" w:hAnsi="宋体" w:eastAsia="宋体" w:cs="宋体;SimSun"/>
          <w:color w:val="auto"/>
          <w:sz w:val="24"/>
          <w:szCs w:val="24"/>
          <w:highlight w:val="none"/>
        </w:rPr>
        <w:t>日内向采购代理机构提出，否则，由此引起的损失自负；供应商同时应认真审阅</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所有的事项、格式、条款和规范要求等，如果供应商没有按</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要求提交全部资料或者没有对</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做出实质性响应，其风险应由供应商自行承担。</w:t>
      </w:r>
    </w:p>
    <w:p>
      <w:pPr>
        <w:shd w:val="clear" w:color="auto" w:fill="FFFFFF"/>
        <w:spacing w:line="440" w:lineRule="exact"/>
        <w:ind w:firstLine="482" w:firstLineChars="200"/>
        <w:rPr>
          <w:rFonts w:ascii="宋体" w:hAnsi="宋体" w:eastAsia="宋体" w:cs="宋体"/>
          <w:b/>
          <w:bCs/>
          <w:color w:val="auto"/>
          <w:sz w:val="24"/>
          <w:szCs w:val="24"/>
          <w:highlight w:val="none"/>
          <w:u w:val="single"/>
        </w:rPr>
      </w:pPr>
      <w:r>
        <w:rPr>
          <w:rFonts w:hint="eastAsia" w:ascii="宋体" w:hAnsi="宋体" w:eastAsia="宋体" w:cs="宋体"/>
          <w:b/>
          <w:bCs/>
          <w:color w:val="auto"/>
          <w:kern w:val="0"/>
          <w:sz w:val="24"/>
          <w:szCs w:val="24"/>
          <w:highlight w:val="none"/>
        </w:rPr>
        <w:t>14.6响应文件递交截止时间前，供应商须随时关注本项目竞争性磋商公告发布网站（新疆政府采购网（http://www.ccgp-xinjiang.gov.cn/）上本项目的最新</w:t>
      </w:r>
      <w:r>
        <w:rPr>
          <w:rFonts w:hint="eastAsia" w:ascii="宋体" w:hAnsi="宋体" w:eastAsia="宋体" w:cs="宋体"/>
          <w:b/>
          <w:bCs/>
          <w:color w:val="auto"/>
          <w:sz w:val="24"/>
          <w:szCs w:val="24"/>
          <w:highlight w:val="none"/>
        </w:rPr>
        <w:t>的变更公告、更正公告、澄清公告等相关信息，并对上述查看行为自行承担责任；供应商对索取书面修改或者澄清文件或者查阅电子修改或者澄清文件的行为自行承担责任，在响应文件递交截止时间后递交的响应文件视为无效响应文件。</w:t>
      </w:r>
    </w:p>
    <w:p>
      <w:pPr>
        <w:spacing w:line="440" w:lineRule="exact"/>
        <w:ind w:firstLine="482" w:firstLineChars="200"/>
        <w:rPr>
          <w:rFonts w:ascii="宋体" w:hAnsi="宋体" w:eastAsia="宋体" w:cs="宋体"/>
          <w:b/>
          <w:bCs/>
          <w:color w:val="auto"/>
          <w:sz w:val="24"/>
          <w:szCs w:val="24"/>
          <w:highlight w:val="none"/>
          <w:lang w:val="zh-CN"/>
        </w:rPr>
      </w:pPr>
      <w:bookmarkStart w:id="66" w:name="_Toc37090640"/>
      <w:bookmarkStart w:id="67" w:name="_Toc37090976"/>
      <w:bookmarkStart w:id="68" w:name="_Toc18141"/>
      <w:r>
        <w:rPr>
          <w:rFonts w:hint="eastAsia" w:ascii="宋体" w:hAnsi="宋体" w:eastAsia="宋体" w:cs="宋体"/>
          <w:b/>
          <w:bCs/>
          <w:color w:val="auto"/>
          <w:sz w:val="24"/>
          <w:szCs w:val="24"/>
          <w:highlight w:val="none"/>
          <w:lang w:val="zh-CN"/>
        </w:rPr>
        <w:t xml:space="preserve">15. </w:t>
      </w:r>
      <w:r>
        <w:rPr>
          <w:rFonts w:hint="eastAsia" w:ascii="宋体" w:hAnsi="宋体" w:eastAsia="宋体" w:cs="宋体"/>
          <w:b/>
          <w:bCs/>
          <w:color w:val="auto"/>
          <w:sz w:val="24"/>
          <w:szCs w:val="24"/>
          <w:highlight w:val="none"/>
        </w:rPr>
        <w:t xml:space="preserve"> 磋商</w:t>
      </w:r>
      <w:r>
        <w:rPr>
          <w:rFonts w:hint="eastAsia" w:ascii="宋体" w:hAnsi="宋体" w:eastAsia="宋体" w:cs="宋体"/>
          <w:b/>
          <w:bCs/>
          <w:color w:val="auto"/>
          <w:sz w:val="24"/>
          <w:szCs w:val="24"/>
          <w:highlight w:val="none"/>
          <w:lang w:val="zh-CN"/>
        </w:rPr>
        <w:t>报价</w:t>
      </w:r>
      <w:bookmarkEnd w:id="66"/>
      <w:bookmarkEnd w:id="67"/>
      <w:bookmarkEnd w:id="68"/>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本采购项目使用的货币为</w:t>
      </w:r>
      <w:r>
        <w:rPr>
          <w:rFonts w:hint="eastAsia" w:ascii="宋体" w:hAnsi="宋体" w:eastAsia="宋体" w:cs="宋体"/>
          <w:color w:val="auto"/>
          <w:kern w:val="0"/>
          <w:sz w:val="24"/>
          <w:szCs w:val="24"/>
          <w:highlight w:val="none"/>
          <w:u w:val="single"/>
        </w:rPr>
        <w:t xml:space="preserve"> 人民币 </w:t>
      </w:r>
      <w:r>
        <w:rPr>
          <w:rFonts w:hint="eastAsia" w:ascii="宋体" w:hAnsi="宋体" w:eastAsia="宋体" w:cs="宋体"/>
          <w:color w:val="auto"/>
          <w:kern w:val="0"/>
          <w:sz w:val="24"/>
          <w:szCs w:val="24"/>
          <w:highlight w:val="none"/>
        </w:rPr>
        <w:t>，实施时亦以</w:t>
      </w:r>
      <w:r>
        <w:rPr>
          <w:rFonts w:hint="eastAsia" w:ascii="宋体" w:hAnsi="宋体" w:eastAsia="宋体" w:cs="宋体"/>
          <w:color w:val="auto"/>
          <w:kern w:val="0"/>
          <w:sz w:val="24"/>
          <w:szCs w:val="24"/>
          <w:highlight w:val="none"/>
          <w:u w:val="single"/>
        </w:rPr>
        <w:t xml:space="preserve"> 人民币 </w:t>
      </w:r>
      <w:r>
        <w:rPr>
          <w:rFonts w:hint="eastAsia" w:ascii="宋体" w:hAnsi="宋体" w:eastAsia="宋体" w:cs="宋体"/>
          <w:color w:val="auto"/>
          <w:kern w:val="0"/>
          <w:sz w:val="24"/>
          <w:szCs w:val="24"/>
          <w:highlight w:val="none"/>
        </w:rPr>
        <w:t>支付。</w:t>
      </w:r>
    </w:p>
    <w:p>
      <w:pPr>
        <w:shd w:val="clear" w:color="auto" w:fill="FFFFFF"/>
        <w:adjustRightInd w:val="0"/>
        <w:snapToGrid w:val="0"/>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kern w:val="0"/>
          <w:sz w:val="24"/>
          <w:highlight w:val="none"/>
          <w:lang w:val="en-US" w:eastAsia="zh-CN"/>
        </w:rPr>
        <w:t>★</w:t>
      </w:r>
      <w:r>
        <w:rPr>
          <w:rFonts w:hint="eastAsia" w:ascii="宋体" w:hAnsi="宋体" w:eastAsia="宋体" w:cs="宋体"/>
          <w:color w:val="auto"/>
          <w:kern w:val="0"/>
          <w:sz w:val="24"/>
          <w:szCs w:val="24"/>
          <w:highlight w:val="none"/>
        </w:rPr>
        <w:t>15.2 磋商报价为本</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所确定的采购范围内的全部工作内容的价格体现。</w:t>
      </w:r>
      <w:r>
        <w:rPr>
          <w:rFonts w:hint="eastAsia" w:ascii="宋体" w:hAnsi="宋体" w:cs="宋体"/>
          <w:b/>
          <w:bCs/>
          <w:color w:val="auto"/>
          <w:kern w:val="0"/>
          <w:sz w:val="24"/>
          <w:highlight w:val="none"/>
        </w:rPr>
        <w:t>任何有选</w:t>
      </w:r>
      <w:r>
        <w:rPr>
          <w:rFonts w:hint="eastAsia" w:ascii="宋体" w:hAnsi="宋体" w:cs="宋体"/>
          <w:b/>
          <w:bCs/>
          <w:color w:val="auto"/>
          <w:sz w:val="24"/>
          <w:highlight w:val="none"/>
        </w:rPr>
        <w:t>择的报价将不予接受（除非采购人另有约定），否则，在评</w:t>
      </w:r>
      <w:r>
        <w:rPr>
          <w:rFonts w:hint="eastAsia" w:ascii="宋体" w:hAnsi="宋体" w:cs="宋体"/>
          <w:b/>
          <w:bCs/>
          <w:color w:val="auto"/>
          <w:sz w:val="24"/>
          <w:highlight w:val="none"/>
          <w:lang w:val="en-US" w:eastAsia="zh-CN"/>
        </w:rPr>
        <w:t>审</w:t>
      </w:r>
      <w:r>
        <w:rPr>
          <w:rFonts w:hint="eastAsia" w:ascii="宋体" w:hAnsi="宋体" w:cs="宋体"/>
          <w:b/>
          <w:bCs/>
          <w:color w:val="auto"/>
          <w:sz w:val="24"/>
          <w:highlight w:val="none"/>
        </w:rPr>
        <w:t>时将其视为无效</w:t>
      </w:r>
      <w:r>
        <w:rPr>
          <w:rFonts w:hint="eastAsia" w:ascii="宋体" w:hAnsi="宋体" w:cs="宋体"/>
          <w:b/>
          <w:bCs/>
          <w:color w:val="auto"/>
          <w:sz w:val="24"/>
          <w:highlight w:val="none"/>
          <w:lang w:val="en-US" w:eastAsia="zh-CN"/>
        </w:rPr>
        <w:t>响应</w:t>
      </w:r>
      <w:r>
        <w:rPr>
          <w:rFonts w:hint="eastAsia" w:ascii="宋体" w:hAnsi="宋体" w:cs="宋体"/>
          <w:b/>
          <w:bCs/>
          <w:color w:val="auto"/>
          <w:sz w:val="24"/>
          <w:highlight w:val="none"/>
        </w:rPr>
        <w:t>。</w:t>
      </w:r>
    </w:p>
    <w:p>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磋商价格应包括：价格部分是对投标货物价格构成的说明，每一项货物仅接受一个价格。投标报价包括供应商为实施本项目提供全部服务内容所包括的全部价格的体现。</w:t>
      </w:r>
    </w:p>
    <w:p>
      <w:pPr>
        <w:shd w:val="clear" w:color="auto" w:fill="FFFFFF"/>
        <w:adjustRightInd w:val="0"/>
        <w:snapToGrid w:val="0"/>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15.3.1 磋商报价为含税价，应是完成</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及合同条款上所列招标范围及供货工作所需的全部费用（包含设备费、安装调试、运输及拆装、验收、保修、税金、培训费、风险费、税金、进口设备报关报检费、资料和售后服务及利润等一切费用），供应商不得以任何理由予以重复，未列和没有填写的项目费用，视为已考虑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总报价中。进口设备所需的进口机电证（如需要），报关、商检、计量等相关事宜，由供应商负责办理，费用由供应商承担。中标人供货时需向采购方出具报关单和商检单。</w:t>
      </w:r>
    </w:p>
    <w:p>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15.3.2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w:t>
      </w:r>
      <w:r>
        <w:rPr>
          <w:rFonts w:hint="eastAsia" w:ascii="宋体" w:hAnsi="宋体" w:eastAsia="宋体" w:cs="宋体"/>
          <w:color w:val="auto"/>
          <w:kern w:val="0"/>
          <w:sz w:val="24"/>
          <w:szCs w:val="24"/>
          <w:highlight w:val="none"/>
          <w:lang w:val="en-US" w:eastAsia="zh-CN"/>
        </w:rPr>
        <w:t>（非本项目要求的其它内容除外）。</w:t>
      </w:r>
    </w:p>
    <w:p>
      <w:pPr>
        <w:shd w:val="clear" w:color="auto" w:fill="FFFFFF"/>
        <w:adjustRightInd w:val="0"/>
        <w:snapToGrid w:val="0"/>
        <w:spacing w:line="440" w:lineRule="exact"/>
        <w:ind w:firstLine="480" w:firstLineChars="200"/>
        <w:rPr>
          <w:rStyle w:val="62"/>
          <w:rFonts w:ascii="宋体" w:hAnsi="宋体" w:eastAsia="宋体"/>
          <w:b w:val="0"/>
          <w:bCs w:val="0"/>
          <w:i w:val="0"/>
          <w:caps w:val="0"/>
          <w:color w:val="auto"/>
          <w:spacing w:val="0"/>
          <w:w w:val="100"/>
          <w:kern w:val="0"/>
          <w:sz w:val="24"/>
          <w:szCs w:val="24"/>
          <w:highlight w:val="none"/>
          <w:lang w:val="en-US" w:eastAsia="zh-CN" w:bidi="ar-SA"/>
        </w:rPr>
      </w:pPr>
      <w:r>
        <w:rPr>
          <w:rStyle w:val="62"/>
          <w:rFonts w:hint="eastAsia" w:ascii="宋体" w:hAnsi="宋体"/>
          <w:b w:val="0"/>
          <w:bCs w:val="0"/>
          <w:i w:val="0"/>
          <w:caps w:val="0"/>
          <w:color w:val="auto"/>
          <w:spacing w:val="0"/>
          <w:w w:val="100"/>
          <w:kern w:val="0"/>
          <w:sz w:val="24"/>
          <w:szCs w:val="24"/>
          <w:highlight w:val="none"/>
          <w:lang w:val="en-US" w:eastAsia="zh-CN" w:bidi="ar-SA"/>
        </w:rPr>
        <w:t xml:space="preserve"> </w:t>
      </w:r>
      <w:r>
        <w:rPr>
          <w:rFonts w:hint="eastAsia" w:ascii="宋体" w:hAnsi="宋体" w:cs="宋体"/>
          <w:b w:val="0"/>
          <w:bCs w:val="0"/>
          <w:color w:val="auto"/>
          <w:kern w:val="0"/>
          <w:sz w:val="24"/>
          <w:highlight w:val="none"/>
        </w:rPr>
        <w:t>15.3.3供应商</w:t>
      </w:r>
      <w:r>
        <w:rPr>
          <w:rFonts w:hint="eastAsia" w:ascii="宋体" w:hAnsi="宋体" w:cs="宋体"/>
          <w:b w:val="0"/>
          <w:bCs w:val="0"/>
          <w:color w:val="auto"/>
          <w:kern w:val="0"/>
          <w:sz w:val="24"/>
          <w:highlight w:val="none"/>
          <w:lang w:val="en-US" w:eastAsia="zh-CN"/>
        </w:rPr>
        <w:t>须按照竞争性磋商文件中《响应文件报价一览表》及《明细报价表》格式进行填报。</w:t>
      </w:r>
    </w:p>
    <w:p>
      <w:pPr>
        <w:pStyle w:val="24"/>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ind w:firstLine="723" w:firstLineChars="300"/>
        <w:textAlignment w:val="auto"/>
        <w:rPr>
          <w:rFonts w:hint="eastAsia" w:ascii="宋体" w:hAnsi="宋体" w:eastAsia="宋体" w:cs="宋体"/>
          <w:b/>
          <w:bCs/>
          <w:color w:val="auto"/>
          <w:sz w:val="24"/>
          <w:szCs w:val="24"/>
          <w:highlight w:val="none"/>
          <w:lang w:val="en-US" w:eastAsia="zh-CN"/>
        </w:rPr>
      </w:pPr>
      <w:r>
        <w:rPr>
          <w:rStyle w:val="62"/>
          <w:rFonts w:ascii="宋体" w:hAnsi="宋体" w:eastAsia="宋体" w:cs="宋体"/>
          <w:b/>
          <w:bCs/>
          <w:i w:val="0"/>
          <w:caps w:val="0"/>
          <w:color w:val="auto"/>
          <w:spacing w:val="0"/>
          <w:w w:val="100"/>
          <w:kern w:val="0"/>
          <w:sz w:val="24"/>
          <w:szCs w:val="24"/>
          <w:highlight w:val="none"/>
          <w:lang w:val="en-US" w:eastAsia="zh-CN" w:bidi="ar-SA"/>
        </w:rPr>
        <w:t>15.</w:t>
      </w:r>
      <w:r>
        <w:rPr>
          <w:rStyle w:val="62"/>
          <w:rFonts w:hint="eastAsia" w:ascii="宋体" w:hAnsi="宋体" w:eastAsia="宋体" w:cs="宋体"/>
          <w:b/>
          <w:bCs/>
          <w:i w:val="0"/>
          <w:caps w:val="0"/>
          <w:color w:val="auto"/>
          <w:spacing w:val="0"/>
          <w:w w:val="100"/>
          <w:kern w:val="0"/>
          <w:sz w:val="24"/>
          <w:szCs w:val="24"/>
          <w:highlight w:val="none"/>
          <w:lang w:val="en-US" w:eastAsia="zh-CN" w:bidi="ar-SA"/>
        </w:rPr>
        <w:t>4</w:t>
      </w:r>
      <w:r>
        <w:rPr>
          <w:rFonts w:hint="eastAsia" w:ascii="宋体" w:hAnsi="宋体" w:eastAsia="宋体" w:cs="宋体"/>
          <w:b/>
          <w:bCs/>
          <w:color w:val="auto"/>
          <w:kern w:val="0"/>
          <w:sz w:val="24"/>
          <w:szCs w:val="24"/>
          <w:highlight w:val="none"/>
          <w:lang w:val="en-US" w:eastAsia="zh-CN"/>
        </w:rPr>
        <w:t>本</w:t>
      </w:r>
      <w:r>
        <w:rPr>
          <w:rFonts w:hint="eastAsia" w:ascii="宋体" w:hAnsi="宋体" w:eastAsia="宋体" w:cs="宋体"/>
          <w:b/>
          <w:bCs/>
          <w:color w:val="auto"/>
          <w:sz w:val="24"/>
          <w:szCs w:val="24"/>
          <w:highlight w:val="none"/>
          <w:lang w:val="en-US" w:eastAsia="zh-CN"/>
        </w:rPr>
        <w:t>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后）报价。因供应商自身原因未在系统内及时填报二次报价的，其责任由供应商承担。</w:t>
      </w:r>
    </w:p>
    <w:p>
      <w:pPr>
        <w:keepLines w:val="0"/>
        <w:pageBreakBefore w:val="0"/>
        <w:shd w:val="clear" w:color="auto" w:fill="FFFFFF"/>
        <w:kinsoku/>
        <w:wordWrap/>
        <w:overflowPunct/>
        <w:topLinePunct w:val="0"/>
        <w:bidi w:val="0"/>
        <w:spacing w:line="44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示：开标/磋商时，请供应商随时关注政采云账号内的站内信息；注册时留下的注册人的手机短息（系统会推送短信至注册联系人的手机），但此短信仅系友情提示，并不具有任何约束性和必要性，采购代理机构不承担投标人未收到短信而引起的一切后果和法律责任。</w:t>
      </w:r>
    </w:p>
    <w:p>
      <w:pPr>
        <w:shd w:val="clear" w:color="auto" w:fill="FFFFFF"/>
        <w:spacing w:line="440" w:lineRule="exact"/>
        <w:ind w:firstLine="482" w:firstLineChars="2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16.磋商保证金</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16.1磋商保证金是为了保护采购人和采购代理机构免遭因供应商的违规、违约行为而引起的风险，采购人/代理机构在受到损害时可根据本须知的有关规定没收供应商的磋商保证金。成交供应商如未能按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要求与采购人签署项目合同并提交建设履约保证金，视为供应商违约，则采购人有权提取成交供应商磋商保证金。</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供应商应提交磋商保证金，并作为其响应文件的一部分。</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前附表规定交纳磋商保证金的，供应商应按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前附表规定的要求提交保证金，磋商保证金有效期应与</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规定的磋商有效期一致。</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 磋商保证金缴纳方式要求见供应商须知前附表。</w:t>
      </w:r>
      <w:r>
        <w:rPr>
          <w:rFonts w:hint="eastAsia" w:ascii="宋体" w:hAnsi="宋体" w:eastAsia="宋体" w:cs="宋体"/>
          <w:b/>
          <w:bCs/>
          <w:color w:val="auto"/>
          <w:kern w:val="0"/>
          <w:sz w:val="24"/>
          <w:szCs w:val="24"/>
          <w:highlight w:val="none"/>
        </w:rPr>
        <w:t>凡未按</w:t>
      </w:r>
      <w:r>
        <w:rPr>
          <w:rFonts w:hint="eastAsia" w:ascii="宋体" w:hAnsi="宋体" w:eastAsia="宋体" w:cs="宋体"/>
          <w:b/>
          <w:bCs/>
          <w:color w:val="auto"/>
          <w:kern w:val="0"/>
          <w:sz w:val="24"/>
          <w:szCs w:val="24"/>
          <w:highlight w:val="none"/>
          <w:lang w:eastAsia="zh-CN"/>
        </w:rPr>
        <w:t>竞争性磋商文件</w:t>
      </w:r>
      <w:r>
        <w:rPr>
          <w:rFonts w:hint="eastAsia" w:ascii="宋体" w:hAnsi="宋体" w:eastAsia="宋体" w:cs="宋体"/>
          <w:b/>
          <w:bCs/>
          <w:color w:val="auto"/>
          <w:kern w:val="0"/>
          <w:sz w:val="24"/>
          <w:szCs w:val="24"/>
          <w:highlight w:val="none"/>
        </w:rPr>
        <w:t>要求提交磋商保证金的，将视为非实质性响应性</w:t>
      </w:r>
      <w:r>
        <w:rPr>
          <w:rFonts w:hint="eastAsia" w:ascii="宋体" w:hAnsi="宋体" w:eastAsia="宋体" w:cs="宋体"/>
          <w:b/>
          <w:bCs/>
          <w:color w:val="auto"/>
          <w:kern w:val="0"/>
          <w:sz w:val="24"/>
          <w:szCs w:val="24"/>
          <w:highlight w:val="none"/>
          <w:lang w:eastAsia="zh-CN"/>
        </w:rPr>
        <w:t>竞争性磋商文件</w:t>
      </w:r>
      <w:r>
        <w:rPr>
          <w:rFonts w:hint="eastAsia" w:ascii="宋体" w:hAnsi="宋体" w:eastAsia="宋体" w:cs="宋体"/>
          <w:b/>
          <w:bCs/>
          <w:color w:val="auto"/>
          <w:kern w:val="0"/>
          <w:sz w:val="24"/>
          <w:szCs w:val="24"/>
          <w:highlight w:val="none"/>
        </w:rPr>
        <w:t>要求，其响应文件将被拒绝。</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16.4</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接受联合体磋商的，可以由联合体中的一方或者共同提交磋商保证金。以一方名义提交磋商保证金的，对联合体各方均具有约束力。</w:t>
      </w:r>
    </w:p>
    <w:p>
      <w:pPr>
        <w:shd w:val="clear" w:color="auto" w:fill="FFFFFF"/>
        <w:spacing w:line="440" w:lineRule="exact"/>
        <w:ind w:firstLine="480" w:firstLineChars="200"/>
        <w:rPr>
          <w:rFonts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16.5 未成交供应商的磋商保证金，将在《成交通知书》发出5个工作日内退还。因违反规定被没收的磋商保证金不予退回。</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16.6 成交供应商的磋商保证金自采购合同签订之日起5个工作日内退还。</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16.7 </w:t>
      </w:r>
      <w:r>
        <w:rPr>
          <w:rFonts w:hint="eastAsia" w:ascii="宋体" w:hAnsi="宋体" w:eastAsia="宋体" w:cs="宋体"/>
          <w:b/>
          <w:color w:val="auto"/>
          <w:kern w:val="0"/>
          <w:sz w:val="24"/>
          <w:szCs w:val="24"/>
          <w:highlight w:val="none"/>
        </w:rPr>
        <w:t>下列任何情况发生时，磋商保证金将可能被没收：</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16.7.1 供应商在规定的磋商有效期内撤回其响应文件的；</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16.7.2 成交供应商无正当理由拒绝按规定与采购人签订合同或未能在规定期限内签署合同的或未按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要求提交履约保证金的；</w:t>
      </w:r>
    </w:p>
    <w:p>
      <w:pPr>
        <w:shd w:val="clear" w:color="auto" w:fill="FFFFFF"/>
        <w:autoSpaceDE w:val="0"/>
        <w:autoSpaceDN w:val="0"/>
        <w:adjustRightInd w:val="0"/>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16.8 </w:t>
      </w:r>
      <w:r>
        <w:rPr>
          <w:rFonts w:hint="eastAsia" w:ascii="宋体" w:hAnsi="宋体" w:eastAsia="宋体" w:cs="宋体"/>
          <w:b/>
          <w:color w:val="auto"/>
          <w:kern w:val="0"/>
          <w:sz w:val="24"/>
          <w:szCs w:val="24"/>
          <w:highlight w:val="none"/>
        </w:rPr>
        <w:t>供应商办理磋商保证金退款申请手续须提供以下资料：</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16.8.1供应商须给采购代理机构提供账户信息（单位名称、开户银行名称、银行账号、银行行号）</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16.8.2 成交供应商办理磋商保证金退款申请时，除16.8.1项要求外，还须提供与采购人签订的已加盖成交供应商</w:t>
      </w:r>
      <w:r>
        <w:rPr>
          <w:rFonts w:hint="eastAsia" w:ascii="宋体" w:hAnsi="宋体" w:eastAsia="宋体" w:cs="宋体"/>
          <w:color w:val="auto"/>
          <w:kern w:val="0"/>
          <w:sz w:val="24"/>
          <w:szCs w:val="24"/>
          <w:highlight w:val="none"/>
          <w:lang w:eastAsia="zh-CN"/>
        </w:rPr>
        <w:t>电子公章</w:t>
      </w:r>
      <w:r>
        <w:rPr>
          <w:rFonts w:hint="eastAsia" w:ascii="宋体" w:hAnsi="宋体" w:eastAsia="宋体" w:cs="宋体"/>
          <w:color w:val="auto"/>
          <w:kern w:val="0"/>
          <w:sz w:val="24"/>
          <w:szCs w:val="24"/>
          <w:highlight w:val="none"/>
        </w:rPr>
        <w:t>的合同全本复印件一份及PDF扫描件一份（代理机构存档备查）。</w:t>
      </w:r>
    </w:p>
    <w:p>
      <w:pPr>
        <w:shd w:val="clear" w:color="auto" w:fill="FFFFFF"/>
        <w:spacing w:line="440" w:lineRule="exact"/>
        <w:ind w:firstLine="482" w:firstLineChars="200"/>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特殊说明：成交供应商须自项目验收合格后5个工作日内，将经采购人签章确认的《验收书》原件壹份（及复印件壹份加盖成交供应商</w:t>
      </w:r>
      <w:r>
        <w:rPr>
          <w:rFonts w:hint="eastAsia" w:ascii="宋体" w:hAnsi="宋体" w:eastAsia="宋体" w:cs="宋体"/>
          <w:b/>
          <w:bCs/>
          <w:color w:val="auto"/>
          <w:kern w:val="0"/>
          <w:sz w:val="24"/>
          <w:szCs w:val="24"/>
          <w:highlight w:val="none"/>
          <w:lang w:eastAsia="zh-CN"/>
        </w:rPr>
        <w:t>电子公章</w:t>
      </w:r>
      <w:r>
        <w:rPr>
          <w:rFonts w:hint="eastAsia" w:ascii="宋体" w:hAnsi="宋体" w:eastAsia="宋体" w:cs="宋体"/>
          <w:b/>
          <w:bCs/>
          <w:color w:val="auto"/>
          <w:kern w:val="0"/>
          <w:sz w:val="24"/>
          <w:szCs w:val="24"/>
          <w:highlight w:val="none"/>
        </w:rPr>
        <w:t>）提交至采购代理机构。</w:t>
      </w:r>
    </w:p>
    <w:p>
      <w:pPr>
        <w:spacing w:line="440" w:lineRule="exact"/>
        <w:ind w:firstLine="482" w:firstLineChars="200"/>
        <w:rPr>
          <w:rFonts w:ascii="宋体" w:hAnsi="宋体" w:eastAsia="宋体" w:cs="宋体"/>
          <w:b/>
          <w:bCs/>
          <w:color w:val="auto"/>
          <w:sz w:val="24"/>
          <w:szCs w:val="24"/>
          <w:highlight w:val="none"/>
          <w:lang w:val="zh-CN"/>
        </w:rPr>
      </w:pPr>
      <w:bookmarkStart w:id="69" w:name="_Toc5612"/>
      <w:bookmarkStart w:id="70" w:name="_Toc37090641"/>
      <w:bookmarkStart w:id="71" w:name="_Toc37090977"/>
      <w:r>
        <w:rPr>
          <w:rFonts w:hint="eastAsia" w:ascii="宋体" w:hAnsi="宋体" w:eastAsia="宋体" w:cs="宋体"/>
          <w:b/>
          <w:bCs/>
          <w:color w:val="auto"/>
          <w:sz w:val="24"/>
          <w:szCs w:val="24"/>
          <w:highlight w:val="none"/>
          <w:lang w:val="zh-CN"/>
        </w:rPr>
        <w:t xml:space="preserve">17. </w:t>
      </w:r>
      <w:r>
        <w:rPr>
          <w:rFonts w:hint="eastAsia" w:ascii="宋体" w:hAnsi="宋体" w:eastAsia="宋体" w:cs="宋体"/>
          <w:b/>
          <w:bCs/>
          <w:color w:val="auto"/>
          <w:sz w:val="24"/>
          <w:szCs w:val="24"/>
          <w:highlight w:val="none"/>
        </w:rPr>
        <w:t>磋商</w:t>
      </w:r>
      <w:r>
        <w:rPr>
          <w:rFonts w:hint="eastAsia" w:ascii="宋体" w:hAnsi="宋体" w:eastAsia="宋体" w:cs="宋体"/>
          <w:b/>
          <w:bCs/>
          <w:color w:val="auto"/>
          <w:sz w:val="24"/>
          <w:szCs w:val="24"/>
          <w:highlight w:val="none"/>
          <w:lang w:val="zh-CN"/>
        </w:rPr>
        <w:t>答疑会和现场踏勘</w:t>
      </w:r>
      <w:bookmarkEnd w:id="69"/>
      <w:bookmarkEnd w:id="70"/>
      <w:bookmarkEnd w:id="71"/>
    </w:p>
    <w:p>
      <w:pPr>
        <w:spacing w:line="440" w:lineRule="exact"/>
        <w:ind w:firstLine="480" w:firstLineChars="200"/>
        <w:rPr>
          <w:rFonts w:ascii="宋体" w:hAnsi="宋体" w:eastAsia="宋体" w:cs="宋体"/>
          <w:color w:val="auto"/>
          <w:sz w:val="24"/>
          <w:szCs w:val="24"/>
          <w:highlight w:val="none"/>
          <w:lang w:val="zh-CN"/>
        </w:rPr>
      </w:pPr>
      <w:bookmarkStart w:id="72" w:name="_Toc8947"/>
      <w:bookmarkStart w:id="73" w:name="_Toc37090642"/>
      <w:bookmarkStart w:id="74" w:name="_Toc37090978"/>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zh-CN"/>
        </w:rPr>
        <w:t xml:space="preserve"> 磋商须知前附表规定组织磋商答疑会和现场踏勘的，采购人按磋商须知前附表规定的时间、地点组织供应商</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答疑会</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zh-CN"/>
        </w:rPr>
        <w:t xml:space="preserve">踏勘项目现场。 </w:t>
      </w:r>
    </w:p>
    <w:p>
      <w:pPr>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lang w:val="zh-CN"/>
        </w:rPr>
        <w:t xml:space="preserve"> 供应商踏勘现场发生的费用自理。</w:t>
      </w:r>
    </w:p>
    <w:p>
      <w:pPr>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lang w:val="zh-CN"/>
        </w:rPr>
        <w:t xml:space="preserve"> 除采购人的原因外，供应商自行负责在踏勘现场中所发生的人员伤亡和财产损失。</w:t>
      </w:r>
    </w:p>
    <w:p>
      <w:pPr>
        <w:spacing w:line="440" w:lineRule="exact"/>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lang w:val="zh-CN"/>
        </w:rPr>
        <w:t xml:space="preserve"> 采购人在踏勘现场中介绍的工程场地和相关的周边环境情况，供应商在编制响应文件时参考，采购人不对供应商据此作出的判断和决策负责</w:t>
      </w:r>
      <w:r>
        <w:rPr>
          <w:rFonts w:hint="eastAsia" w:ascii="宋体" w:hAnsi="宋体" w:eastAsia="宋体" w:cs="宋体"/>
          <w:b/>
          <w:bCs/>
          <w:color w:val="auto"/>
          <w:sz w:val="24"/>
          <w:szCs w:val="24"/>
          <w:highlight w:val="none"/>
          <w:lang w:val="zh-CN"/>
        </w:rPr>
        <w:t>。</w:t>
      </w:r>
    </w:p>
    <w:p>
      <w:pPr>
        <w:spacing w:line="440" w:lineRule="exact"/>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 xml:space="preserve">18. </w:t>
      </w:r>
      <w:bookmarkEnd w:id="72"/>
      <w:bookmarkEnd w:id="73"/>
      <w:bookmarkEnd w:id="74"/>
      <w:r>
        <w:rPr>
          <w:rFonts w:hint="eastAsia" w:ascii="宋体" w:hAnsi="宋体" w:eastAsia="宋体" w:cs="宋体"/>
          <w:b/>
          <w:bCs/>
          <w:color w:val="auto"/>
          <w:sz w:val="24"/>
          <w:szCs w:val="24"/>
          <w:highlight w:val="none"/>
          <w:lang w:val="zh-CN"/>
        </w:rPr>
        <w:t>磋商有效期</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磋商有效期见本须知前附表所规定的期限，在此期限内，凡符合本</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要求的响应文件均保持有效。磋商有效期不足的，在评审时将其视为无效响应。</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在特殊情况下，采购人在原定的磋商有效期内，可以根据需要以书面形式向供应商提出延长磋商有效期的要求，对此要求供应商须以书面形式予以答复。供应商拒绝延长的，其投标在原磋商有效期期届满后将不再有效，但有权收回其磋商保证金；同意延长磋商有效期的供应商既不能要求也不允许修改或撤回其响应文件。</w:t>
      </w:r>
    </w:p>
    <w:p>
      <w:pPr>
        <w:spacing w:beforeLines="50" w:afterLines="50" w:line="440" w:lineRule="exact"/>
        <w:jc w:val="center"/>
        <w:rPr>
          <w:rFonts w:ascii="宋体" w:hAnsi="宋体" w:eastAsia="宋体" w:cs="宋体"/>
          <w:b/>
          <w:color w:val="auto"/>
          <w:kern w:val="0"/>
          <w:sz w:val="24"/>
          <w:szCs w:val="24"/>
          <w:highlight w:val="none"/>
        </w:rPr>
      </w:pPr>
      <w:bookmarkStart w:id="75" w:name="_Toc25205"/>
      <w:bookmarkStart w:id="76" w:name="_Toc37090643"/>
      <w:bookmarkStart w:id="77" w:name="_Toc37090979"/>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三</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响应文件的编制</w:t>
      </w:r>
      <w:bookmarkEnd w:id="75"/>
    </w:p>
    <w:p>
      <w:pPr>
        <w:spacing w:line="440" w:lineRule="exact"/>
        <w:ind w:firstLine="482" w:firstLineChars="200"/>
        <w:rPr>
          <w:rFonts w:ascii="宋体" w:hAnsi="宋体" w:eastAsia="宋体" w:cs="宋体"/>
          <w:b/>
          <w:bCs/>
          <w:color w:val="auto"/>
          <w:sz w:val="24"/>
          <w:szCs w:val="24"/>
          <w:highlight w:val="none"/>
          <w:lang w:val="zh-CN"/>
        </w:rPr>
      </w:pPr>
      <w:bookmarkStart w:id="78" w:name="_Toc12448"/>
      <w:r>
        <w:rPr>
          <w:rFonts w:hint="eastAsia" w:ascii="宋体" w:hAnsi="宋体" w:eastAsia="宋体" w:cs="宋体"/>
          <w:b/>
          <w:bCs/>
          <w:color w:val="auto"/>
          <w:sz w:val="24"/>
          <w:szCs w:val="24"/>
          <w:highlight w:val="none"/>
          <w:lang w:val="zh-CN"/>
        </w:rPr>
        <w:t>19. 响应文件编制要求</w:t>
      </w:r>
      <w:bookmarkEnd w:id="76"/>
      <w:bookmarkEnd w:id="77"/>
      <w:bookmarkEnd w:id="78"/>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19.1供应商提交的响应文件及供应商与采购代理机构就有关投标的所有来往函电均使用中文。</w:t>
      </w:r>
    </w:p>
    <w:p>
      <w:pPr>
        <w:spacing w:line="440" w:lineRule="exact"/>
        <w:ind w:firstLine="482" w:firstLineChars="200"/>
        <w:rPr>
          <w:rFonts w:ascii="宋体" w:hAnsi="宋体" w:eastAsia="宋体" w:cs="宋体"/>
          <w:b/>
          <w:bCs/>
          <w:color w:val="auto"/>
          <w:sz w:val="24"/>
          <w:szCs w:val="24"/>
          <w:highlight w:val="none"/>
          <w:lang w:val="zh-CN"/>
        </w:rPr>
      </w:pPr>
      <w:bookmarkStart w:id="79" w:name="_Toc37090980"/>
      <w:bookmarkStart w:id="80" w:name="_Toc37090644"/>
      <w:bookmarkStart w:id="81" w:name="_Toc7871"/>
      <w:r>
        <w:rPr>
          <w:rFonts w:hint="eastAsia" w:ascii="宋体" w:hAnsi="宋体" w:eastAsia="宋体" w:cs="宋体"/>
          <w:b/>
          <w:bCs/>
          <w:color w:val="auto"/>
          <w:sz w:val="24"/>
          <w:szCs w:val="24"/>
          <w:highlight w:val="none"/>
          <w:lang w:val="zh-CN"/>
        </w:rPr>
        <w:t>20. 响应文件编制的依据</w:t>
      </w:r>
      <w:bookmarkEnd w:id="79"/>
      <w:bookmarkEnd w:id="80"/>
      <w:bookmarkEnd w:id="81"/>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20.1 采购人提供的采购需求及有关资料；</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 本</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的修改或者澄清；</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 相关的法律、法规和规定。</w:t>
      </w:r>
    </w:p>
    <w:p>
      <w:pPr>
        <w:shd w:val="clear" w:color="auto" w:fill="FFFFFF"/>
        <w:spacing w:line="440" w:lineRule="exact"/>
        <w:ind w:firstLine="482" w:firstLineChars="2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响应文件的组成：响应书、资格证明文件、商务部分、技术部分。</w:t>
      </w:r>
    </w:p>
    <w:p>
      <w:pPr>
        <w:shd w:val="clear" w:color="auto" w:fill="FFFFFF"/>
        <w:spacing w:line="440" w:lineRule="exact"/>
        <w:ind w:firstLine="482" w:firstLineChars="2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21.1 响应书</w:t>
      </w:r>
    </w:p>
    <w:p>
      <w:pPr>
        <w:pStyle w:val="37"/>
        <w:keepNext w:val="0"/>
        <w:keepLines w:val="0"/>
        <w:pageBreakBefore w:val="0"/>
        <w:widowControl w:val="0"/>
        <w:kinsoku/>
        <w:wordWrap/>
        <w:overflowPunct/>
        <w:topLinePunct w:val="0"/>
        <w:autoSpaceDN/>
        <w:bidi w:val="0"/>
        <w:adjustRightInd/>
        <w:snapToGrid/>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 xml:space="preserve"> 资格证明文件(以下文件必须在有效期内)</w:t>
      </w:r>
    </w:p>
    <w:p>
      <w:pPr>
        <w:keepNext w:val="0"/>
        <w:keepLines w:val="0"/>
        <w:pageBreakBefore w:val="0"/>
        <w:widowControl w:val="0"/>
        <w:shd w:val="clear" w:color="auto" w:fill="FFFFFF"/>
        <w:kinsoku/>
        <w:wordWrap/>
        <w:overflowPunct/>
        <w:topLinePunct w:val="0"/>
        <w:autoSpaceDN/>
        <w:bidi w:val="0"/>
        <w:adjustRightInd/>
        <w:snapToGrid/>
        <w:spacing w:line="420" w:lineRule="exact"/>
        <w:ind w:firstLine="482" w:firstLineChars="200"/>
        <w:textAlignment w:val="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(1) </w:t>
      </w:r>
      <w:r>
        <w:rPr>
          <w:rFonts w:hint="eastAsia" w:ascii="宋体" w:hAnsi="宋体" w:eastAsia="宋体" w:cs="宋体"/>
          <w:b/>
          <w:color w:val="auto"/>
          <w:kern w:val="0"/>
          <w:sz w:val="24"/>
          <w:szCs w:val="24"/>
          <w:highlight w:val="none"/>
          <w:lang w:val="en-US" w:eastAsia="zh-CN"/>
        </w:rPr>
        <w:t>符合</w:t>
      </w:r>
      <w:r>
        <w:rPr>
          <w:rFonts w:hint="eastAsia" w:ascii="宋体" w:hAnsi="宋体" w:eastAsia="宋体" w:cs="宋体"/>
          <w:b/>
          <w:color w:val="auto"/>
          <w:kern w:val="0"/>
          <w:sz w:val="24"/>
          <w:szCs w:val="24"/>
          <w:highlight w:val="none"/>
        </w:rPr>
        <w:t>《中华人民共和国政府采购法》第二十二条规定</w:t>
      </w:r>
      <w:r>
        <w:rPr>
          <w:rFonts w:hint="eastAsia" w:ascii="宋体" w:hAnsi="宋体" w:eastAsia="宋体" w:cs="宋体"/>
          <w:b/>
          <w:color w:val="auto"/>
          <w:kern w:val="0"/>
          <w:sz w:val="24"/>
          <w:szCs w:val="24"/>
          <w:highlight w:val="none"/>
          <w:lang w:val="en-US" w:eastAsia="zh-CN"/>
        </w:rPr>
        <w:t>的证明文件（须加盖供应商电子公章）</w:t>
      </w:r>
      <w:r>
        <w:rPr>
          <w:rFonts w:hint="eastAsia" w:ascii="宋体" w:hAnsi="宋体" w:eastAsia="宋体" w:cs="宋体"/>
          <w:b/>
          <w:color w:val="auto"/>
          <w:sz w:val="24"/>
          <w:szCs w:val="24"/>
          <w:highlight w:val="none"/>
        </w:rPr>
        <w:t>；</w:t>
      </w:r>
    </w:p>
    <w:p>
      <w:pPr>
        <w:pStyle w:val="37"/>
        <w:keepNext w:val="0"/>
        <w:keepLines w:val="0"/>
        <w:pageBreakBefore w:val="0"/>
        <w:widowControl w:val="0"/>
        <w:kinsoku/>
        <w:wordWrap/>
        <w:overflowPunct/>
        <w:topLinePunct w:val="0"/>
        <w:bidi w:val="0"/>
        <w:spacing w:line="420" w:lineRule="exact"/>
        <w:ind w:firstLine="482"/>
        <w:rPr>
          <w:rFonts w:hint="eastAsia" w:ascii="宋体" w:hAnsi="宋体" w:eastAsia="宋体" w:cs="宋体"/>
          <w:b/>
          <w:color w:val="auto"/>
          <w:highlight w:val="none"/>
          <w:lang w:eastAsia="zh-CN"/>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 供应商医疗器械经营许可证（或按照国家食品药品监督管理部门规定实行备案管理的，出具备案证明文件）</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若供应商为货物制造商须具备医疗器械生产许可证；</w:t>
      </w:r>
    </w:p>
    <w:p>
      <w:pPr>
        <w:pStyle w:val="37"/>
        <w:keepNext w:val="0"/>
        <w:keepLines w:val="0"/>
        <w:pageBreakBefore w:val="0"/>
        <w:widowControl w:val="0"/>
        <w:kinsoku/>
        <w:wordWrap/>
        <w:overflowPunct/>
        <w:topLinePunct w:val="0"/>
        <w:bidi w:val="0"/>
        <w:spacing w:line="420" w:lineRule="exact"/>
        <w:ind w:firstLine="482" w:firstLineChars="200"/>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kern w:val="0"/>
          <w:sz w:val="24"/>
          <w:szCs w:val="24"/>
          <w:highlight w:val="none"/>
          <w:lang w:val="en-US" w:eastAsia="zh-CN" w:bidi="ar-SA"/>
        </w:rPr>
        <w:t>法定代表人（或负责人）身份证明、授权委托书</w:t>
      </w:r>
    </w:p>
    <w:p>
      <w:pPr>
        <w:pStyle w:val="37"/>
        <w:keepNext w:val="0"/>
        <w:keepLines w:val="0"/>
        <w:pageBreakBefore w:val="0"/>
        <w:widowControl w:val="0"/>
        <w:kinsoku/>
        <w:wordWrap/>
        <w:overflowPunct/>
        <w:topLinePunct w:val="0"/>
        <w:bidi w:val="0"/>
        <w:spacing w:line="420" w:lineRule="exact"/>
        <w:ind w:firstLine="482" w:firstLineChars="200"/>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(4) 中小微声明函</w:t>
      </w:r>
    </w:p>
    <w:p>
      <w:pPr>
        <w:pStyle w:val="40"/>
        <w:keepNext w:val="0"/>
        <w:keepLines w:val="0"/>
        <w:pageBreakBefore w:val="0"/>
        <w:widowControl w:val="0"/>
        <w:kinsoku/>
        <w:wordWrap/>
        <w:overflowPunct/>
        <w:topLinePunct w:val="0"/>
        <w:bidi w:val="0"/>
        <w:spacing w:line="420" w:lineRule="exact"/>
        <w:ind w:firstLine="48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kern w:val="0"/>
          <w:sz w:val="24"/>
          <w:szCs w:val="24"/>
          <w:highlight w:val="none"/>
        </w:rPr>
        <w:t>不参与围标串标承诺书</w:t>
      </w:r>
      <w:r>
        <w:rPr>
          <w:rFonts w:hint="eastAsia" w:ascii="宋体" w:hAnsi="宋体" w:eastAsia="宋体" w:cs="宋体"/>
          <w:b/>
          <w:color w:val="auto"/>
          <w:sz w:val="24"/>
          <w:szCs w:val="24"/>
          <w:highlight w:val="none"/>
        </w:rPr>
        <w:t>；</w:t>
      </w:r>
    </w:p>
    <w:p>
      <w:pPr>
        <w:pStyle w:val="37"/>
        <w:keepNext w:val="0"/>
        <w:keepLines w:val="0"/>
        <w:pageBreakBefore w:val="0"/>
        <w:widowControl w:val="0"/>
        <w:kinsoku/>
        <w:wordWrap/>
        <w:overflowPunct/>
        <w:topLinePunct w:val="0"/>
        <w:bidi w:val="0"/>
        <w:spacing w:line="420" w:lineRule="exact"/>
        <w:ind w:firstLine="472" w:firstLineChars="196"/>
        <w:jc w:val="both"/>
        <w:rPr>
          <w:rFonts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6</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en-US" w:eastAsia="zh-CN"/>
        </w:rPr>
        <w:t>投标</w:t>
      </w:r>
      <w:r>
        <w:rPr>
          <w:rFonts w:hint="eastAsia" w:ascii="宋体" w:hAnsi="宋体" w:eastAsia="宋体" w:cs="宋体"/>
          <w:b/>
          <w:color w:val="auto"/>
          <w:highlight w:val="none"/>
        </w:rPr>
        <w:t>保证金（被采购代理机构认可的缴纳凭证）；</w:t>
      </w:r>
    </w:p>
    <w:p>
      <w:pPr>
        <w:pStyle w:val="37"/>
        <w:keepNext w:val="0"/>
        <w:keepLines w:val="0"/>
        <w:pageBreakBefore w:val="0"/>
        <w:widowControl w:val="0"/>
        <w:kinsoku/>
        <w:wordWrap/>
        <w:overflowPunct/>
        <w:topLinePunct w:val="0"/>
        <w:bidi w:val="0"/>
        <w:spacing w:line="420" w:lineRule="exact"/>
        <w:ind w:firstLine="470" w:firstLineChars="196"/>
        <w:jc w:val="both"/>
        <w:rPr>
          <w:rFonts w:ascii="宋体" w:hAnsi="宋体" w:eastAsia="宋体" w:cs="宋体"/>
          <w:b w:val="0"/>
          <w:bCs/>
          <w:color w:val="auto"/>
          <w:highlight w:val="none"/>
        </w:rPr>
      </w:pP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lang w:val="en-US" w:eastAsia="zh-CN"/>
        </w:rPr>
        <w:t>7</w:t>
      </w:r>
      <w:r>
        <w:rPr>
          <w:rFonts w:hint="eastAsia" w:ascii="宋体" w:hAnsi="宋体" w:eastAsia="宋体" w:cs="宋体"/>
          <w:b w:val="0"/>
          <w:bCs/>
          <w:color w:val="auto"/>
          <w:highlight w:val="none"/>
        </w:rPr>
        <w:t>) “信用中国”网站（www.creditchina.gov.cn）、“中国政府采购网”（www.ccgp.gov.cn）</w:t>
      </w:r>
      <w:r>
        <w:rPr>
          <w:rFonts w:hint="eastAsia" w:ascii="宋体" w:hAnsi="宋体" w:eastAsia="宋体" w:cs="宋体"/>
          <w:b w:val="0"/>
          <w:bCs/>
          <w:color w:val="auto"/>
          <w:highlight w:val="none"/>
          <w:lang w:eastAsia="zh-CN"/>
        </w:rPr>
        <w:t>查询企业信用信息截图或打印件</w:t>
      </w:r>
      <w:r>
        <w:rPr>
          <w:rFonts w:hint="eastAsia" w:ascii="宋体" w:hAnsi="宋体" w:eastAsia="宋体" w:cs="宋体"/>
          <w:b w:val="0"/>
          <w:bCs/>
          <w:color w:val="auto"/>
          <w:highlight w:val="none"/>
        </w:rPr>
        <w:t>；</w:t>
      </w:r>
    </w:p>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w:t>
      </w:r>
      <w:r>
        <w:rPr>
          <w:rFonts w:hint="eastAsia" w:ascii="宋体" w:hAnsi="宋体" w:eastAsia="宋体" w:cs="宋体"/>
          <w:b/>
          <w:color w:val="auto"/>
          <w:kern w:val="0"/>
          <w:sz w:val="24"/>
          <w:szCs w:val="24"/>
          <w:highlight w:val="none"/>
          <w:lang w:val="en-US" w:eastAsia="zh-CN"/>
        </w:rPr>
        <w:t>3</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商务部分</w:t>
      </w:r>
    </w:p>
    <w:p>
      <w:pPr>
        <w:pStyle w:val="37"/>
        <w:keepNext w:val="0"/>
        <w:keepLines w:val="0"/>
        <w:pageBreakBefore w:val="0"/>
        <w:widowControl w:val="0"/>
        <w:shd w:val="clear" w:color="auto" w:fill="FFFFFF"/>
        <w:kinsoku/>
        <w:wordWrap/>
        <w:overflowPunct/>
        <w:topLinePunct w:val="0"/>
        <w:bidi w:val="0"/>
        <w:spacing w:line="420" w:lineRule="exact"/>
        <w:ind w:firstLine="482"/>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1</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highlight w:val="none"/>
        </w:rPr>
        <w:t>供应商所投产品的医疗器械注册证(或按照国家食品药品监督管理部门规定实行备案管理的，出具备案证明文件)；</w:t>
      </w:r>
    </w:p>
    <w:p>
      <w:pPr>
        <w:pStyle w:val="37"/>
        <w:keepNext w:val="0"/>
        <w:keepLines w:val="0"/>
        <w:pageBreakBefore w:val="0"/>
        <w:widowControl w:val="0"/>
        <w:shd w:val="clear" w:color="auto" w:fill="auto"/>
        <w:kinsoku/>
        <w:wordWrap/>
        <w:overflowPunct/>
        <w:topLinePunct w:val="0"/>
        <w:bidi w:val="0"/>
        <w:spacing w:line="420" w:lineRule="exact"/>
        <w:ind w:firstLine="48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en-US" w:eastAsia="zh-CN"/>
        </w:rPr>
        <w:t>响应文件报价</w:t>
      </w:r>
      <w:r>
        <w:rPr>
          <w:rFonts w:hint="eastAsia" w:ascii="宋体" w:hAnsi="宋体" w:eastAsia="宋体" w:cs="宋体"/>
          <w:b/>
          <w:color w:val="auto"/>
          <w:highlight w:val="none"/>
        </w:rPr>
        <w:t>一览表</w:t>
      </w:r>
    </w:p>
    <w:p>
      <w:pPr>
        <w:pStyle w:val="37"/>
        <w:keepNext w:val="0"/>
        <w:keepLines w:val="0"/>
        <w:pageBreakBefore w:val="0"/>
        <w:widowControl w:val="0"/>
        <w:kinsoku/>
        <w:wordWrap/>
        <w:overflowPunct/>
        <w:topLinePunct w:val="0"/>
        <w:bidi w:val="0"/>
        <w:spacing w:line="420" w:lineRule="exact"/>
        <w:ind w:firstLine="482" w:firstLineChars="200"/>
        <w:jc w:val="both"/>
        <w:rPr>
          <w:rFonts w:hint="eastAsia" w:ascii="宋体" w:hAnsi="宋体" w:eastAsia="宋体" w:cs="宋体"/>
          <w:b/>
          <w:color w:val="auto"/>
          <w:highlight w:val="none"/>
          <w:lang w:eastAsia="zh-CN"/>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en-US" w:eastAsia="zh-CN"/>
        </w:rPr>
        <w:t>明细</w:t>
      </w:r>
      <w:r>
        <w:rPr>
          <w:rFonts w:hint="eastAsia" w:ascii="宋体" w:hAnsi="宋体" w:eastAsia="宋体" w:cs="宋体"/>
          <w:b/>
          <w:color w:val="auto"/>
          <w:highlight w:val="none"/>
          <w:lang w:eastAsia="zh-CN"/>
        </w:rPr>
        <w:t>报价表</w:t>
      </w:r>
    </w:p>
    <w:p>
      <w:pPr>
        <w:pStyle w:val="37"/>
        <w:keepNext w:val="0"/>
        <w:keepLines w:val="0"/>
        <w:pageBreakBefore w:val="0"/>
        <w:widowControl w:val="0"/>
        <w:kinsoku/>
        <w:wordWrap/>
        <w:overflowPunct/>
        <w:topLinePunct w:val="0"/>
        <w:bidi w:val="0"/>
        <w:spacing w:line="420" w:lineRule="exact"/>
        <w:ind w:firstLine="482" w:firstLineChars="200"/>
        <w:jc w:val="both"/>
        <w:rPr>
          <w:rFonts w:hint="eastAsia" w:ascii="宋体" w:hAnsi="宋体" w:eastAsia="宋体" w:cs="宋体"/>
          <w:b/>
          <w:bCs/>
          <w:color w:val="auto"/>
          <w:spacing w:val="-3"/>
          <w:sz w:val="24"/>
          <w:highlight w:val="none"/>
          <w:lang w:val="en-US" w:eastAsia="zh-CN"/>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 xml:space="preserve">) </w:t>
      </w:r>
      <w:r>
        <w:rPr>
          <w:rFonts w:hint="eastAsia" w:ascii="宋体" w:hAnsi="宋体" w:eastAsia="宋体" w:cs="宋体"/>
          <w:b/>
          <w:bCs/>
          <w:color w:val="auto"/>
          <w:spacing w:val="-3"/>
          <w:sz w:val="24"/>
          <w:highlight w:val="none"/>
          <w:lang w:val="en-US" w:eastAsia="zh-CN"/>
        </w:rPr>
        <w:t>实质性响应一览表</w:t>
      </w:r>
    </w:p>
    <w:p>
      <w:pPr>
        <w:pStyle w:val="37"/>
        <w:keepNext w:val="0"/>
        <w:keepLines w:val="0"/>
        <w:pageBreakBefore w:val="0"/>
        <w:widowControl w:val="0"/>
        <w:kinsoku/>
        <w:wordWrap/>
        <w:overflowPunct/>
        <w:topLinePunct w:val="0"/>
        <w:bidi w:val="0"/>
        <w:spacing w:line="420" w:lineRule="exact"/>
        <w:ind w:firstLine="484"/>
        <w:jc w:val="both"/>
        <w:rPr>
          <w:rFonts w:hint="eastAsia" w:ascii="宋体" w:hAnsi="宋体" w:eastAsia="宋体" w:cs="宋体"/>
          <w:b/>
          <w:bCs/>
          <w:color w:val="auto"/>
          <w:spacing w:val="-3"/>
          <w:sz w:val="24"/>
          <w:highlight w:val="none"/>
          <w:lang w:val="en-US" w:eastAsia="zh-CN"/>
        </w:rPr>
      </w:pPr>
      <w:r>
        <w:rPr>
          <w:rFonts w:ascii="宋体" w:hAnsi="宋体" w:eastAsia="宋体" w:cs="宋体;SimSun"/>
          <w:b/>
          <w:bCs/>
          <w:color w:val="auto"/>
          <w:highlight w:val="none"/>
        </w:rPr>
        <w:t>(</w:t>
      </w:r>
      <w:r>
        <w:rPr>
          <w:rFonts w:hint="eastAsia" w:ascii="宋体" w:hAnsi="宋体" w:eastAsia="宋体" w:cs="宋体;SimSun"/>
          <w:b/>
          <w:bCs/>
          <w:color w:val="auto"/>
          <w:highlight w:val="none"/>
          <w:lang w:val="en-US" w:eastAsia="zh-CN"/>
        </w:rPr>
        <w:t>5</w:t>
      </w:r>
      <w:r>
        <w:rPr>
          <w:rFonts w:ascii="宋体" w:hAnsi="宋体" w:eastAsia="宋体" w:cs="宋体;SimSun"/>
          <w:b/>
          <w:bCs/>
          <w:color w:val="auto"/>
          <w:highlight w:val="none"/>
        </w:rPr>
        <w:t xml:space="preserve">) </w:t>
      </w:r>
      <w:r>
        <w:rPr>
          <w:rFonts w:hint="eastAsia" w:ascii="宋体" w:hAnsi="宋体" w:eastAsia="宋体" w:cs="宋体;SimSun"/>
          <w:b/>
          <w:bCs/>
          <w:color w:val="auto"/>
          <w:highlight w:val="none"/>
        </w:rPr>
        <w:t>合同条款偏离表</w:t>
      </w:r>
    </w:p>
    <w:p>
      <w:pPr>
        <w:pStyle w:val="37"/>
        <w:keepNext w:val="0"/>
        <w:keepLines w:val="0"/>
        <w:pageBreakBefore w:val="0"/>
        <w:widowControl w:val="0"/>
        <w:kinsoku/>
        <w:wordWrap/>
        <w:overflowPunct/>
        <w:topLinePunct w:val="0"/>
        <w:autoSpaceDE w:val="0"/>
        <w:autoSpaceDN/>
        <w:bidi w:val="0"/>
        <w:adjustRightInd/>
        <w:snapToGrid/>
        <w:spacing w:line="420" w:lineRule="exact"/>
        <w:ind w:firstLine="480" w:firstLineChars="200"/>
        <w:jc w:val="both"/>
        <w:textAlignment w:val="auto"/>
        <w:rPr>
          <w:rFonts w:hint="eastAsia" w:ascii="宋体" w:hAnsi="宋体" w:eastAsia="宋体" w:cs="宋体"/>
          <w:b/>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w:t>
      </w:r>
      <w:r>
        <w:rPr>
          <w:rFonts w:ascii="宋体" w:hAnsi="宋体" w:eastAsia="宋体" w:cs="宋体"/>
          <w:bCs/>
          <w:color w:val="auto"/>
          <w:highlight w:val="none"/>
        </w:rPr>
        <w:t xml:space="preserve"> </w:t>
      </w:r>
      <w:r>
        <w:rPr>
          <w:rFonts w:hint="eastAsia" w:ascii="宋体" w:hAnsi="宋体" w:eastAsia="宋体" w:cs="宋体"/>
          <w:color w:val="auto"/>
          <w:spacing w:val="-3"/>
          <w:kern w:val="2"/>
          <w:szCs w:val="28"/>
          <w:highlight w:val="none"/>
        </w:rPr>
        <w:t>近三年（</w:t>
      </w:r>
      <w:r>
        <w:rPr>
          <w:rFonts w:ascii="宋体" w:hAnsi="宋体" w:eastAsia="宋体" w:cs="宋体"/>
          <w:color w:val="auto"/>
          <w:spacing w:val="-3"/>
          <w:kern w:val="2"/>
          <w:szCs w:val="28"/>
          <w:highlight w:val="none"/>
        </w:rPr>
        <w:t>20</w:t>
      </w:r>
      <w:r>
        <w:rPr>
          <w:rFonts w:hint="eastAsia" w:ascii="宋体" w:hAnsi="宋体" w:eastAsia="宋体" w:cs="宋体"/>
          <w:color w:val="auto"/>
          <w:spacing w:val="-3"/>
          <w:kern w:val="2"/>
          <w:szCs w:val="28"/>
          <w:highlight w:val="none"/>
          <w:lang w:val="en-US" w:eastAsia="zh-CN"/>
        </w:rPr>
        <w:t>20</w:t>
      </w:r>
      <w:r>
        <w:rPr>
          <w:rFonts w:hint="eastAsia" w:ascii="宋体" w:hAnsi="宋体" w:eastAsia="宋体" w:cs="宋体"/>
          <w:color w:val="auto"/>
          <w:spacing w:val="-3"/>
          <w:kern w:val="2"/>
          <w:szCs w:val="28"/>
          <w:highlight w:val="none"/>
        </w:rPr>
        <w:t>年</w:t>
      </w:r>
      <w:r>
        <w:rPr>
          <w:rFonts w:hint="eastAsia" w:ascii="宋体" w:hAnsi="宋体" w:eastAsia="宋体" w:cs="宋体"/>
          <w:color w:val="auto"/>
          <w:spacing w:val="-3"/>
          <w:kern w:val="2"/>
          <w:szCs w:val="28"/>
          <w:highlight w:val="none"/>
          <w:lang w:val="en-US" w:eastAsia="zh-CN"/>
        </w:rPr>
        <w:t>10</w:t>
      </w:r>
      <w:r>
        <w:rPr>
          <w:rFonts w:hint="eastAsia" w:ascii="宋体" w:hAnsi="宋体" w:eastAsia="宋体" w:cs="宋体"/>
          <w:color w:val="auto"/>
          <w:spacing w:val="-3"/>
          <w:kern w:val="2"/>
          <w:szCs w:val="28"/>
          <w:highlight w:val="none"/>
        </w:rPr>
        <w:t>月01日至今</w:t>
      </w:r>
      <w:r>
        <w:rPr>
          <w:rFonts w:hint="eastAsia" w:ascii="宋体" w:hAnsi="宋体" w:eastAsia="宋体" w:cs="宋体;SimSun"/>
          <w:color w:val="auto"/>
          <w:highlight w:val="none"/>
        </w:rPr>
        <w:t>）所投产品销售业绩（附合同或者中标</w:t>
      </w:r>
      <w:r>
        <w:rPr>
          <w:rFonts w:ascii="宋体" w:hAnsi="宋体" w:eastAsia="宋体" w:cs="宋体;SimSun"/>
          <w:color w:val="auto"/>
          <w:highlight w:val="none"/>
        </w:rPr>
        <w:t>/</w:t>
      </w:r>
      <w:r>
        <w:rPr>
          <w:rFonts w:hint="eastAsia" w:ascii="宋体" w:hAnsi="宋体" w:eastAsia="宋体" w:cs="宋体;SimSun"/>
          <w:color w:val="auto"/>
          <w:highlight w:val="none"/>
        </w:rPr>
        <w:t>成交通知书等复印件</w:t>
      </w:r>
      <w:r>
        <w:rPr>
          <w:rFonts w:hint="eastAsia" w:ascii="宋体" w:hAnsi="宋体" w:eastAsia="宋体" w:cs="宋体;SimSun"/>
          <w:color w:val="auto"/>
          <w:highlight w:val="none"/>
          <w:lang w:eastAsia="zh-CN"/>
        </w:rPr>
        <w:t>，</w:t>
      </w:r>
      <w:r>
        <w:rPr>
          <w:rFonts w:hint="eastAsia" w:ascii="宋体" w:hAnsi="宋体" w:eastAsia="宋体" w:cs="宋体"/>
          <w:color w:val="auto"/>
          <w:kern w:val="2"/>
          <w:highlight w:val="none"/>
        </w:rPr>
        <w:t>证明资料应清晰反映货物名称、合同金额、合同签字盖章页信息。</w:t>
      </w:r>
      <w:r>
        <w:rPr>
          <w:rFonts w:hint="eastAsia" w:ascii="宋体" w:hAnsi="宋体" w:eastAsia="宋体" w:cs="宋体"/>
          <w:b w:val="0"/>
          <w:bCs/>
          <w:color w:val="auto"/>
          <w:highlight w:val="none"/>
          <w:lang w:val="en-US" w:eastAsia="zh-CN"/>
        </w:rPr>
        <w:t>如提供证明材料为合同，须提供业绩合同主要页（含：首页、服务内容信息页、合同金额页、签字盖章页），时间以合同签订日期为准，合同签订方必须是投标人自身，存在控股、管理关系投标人之间签订的合同无效。</w:t>
      </w:r>
      <w:r>
        <w:rPr>
          <w:rFonts w:hint="eastAsia" w:ascii="宋体" w:hAnsi="宋体" w:eastAsia="宋体" w:cs="宋体"/>
          <w:b w:val="0"/>
          <w:bCs/>
          <w:color w:val="auto"/>
          <w:highlight w:val="none"/>
        </w:rPr>
        <w:t>）</w:t>
      </w:r>
    </w:p>
    <w:p>
      <w:pPr>
        <w:pStyle w:val="37"/>
        <w:keepNext w:val="0"/>
        <w:keepLines w:val="0"/>
        <w:pageBreakBefore w:val="0"/>
        <w:widowControl w:val="0"/>
        <w:kinsoku/>
        <w:wordWrap/>
        <w:overflowPunct/>
        <w:topLinePunct w:val="0"/>
        <w:bidi w:val="0"/>
        <w:spacing w:line="42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节能、环保产品明细表（如有）</w:t>
      </w:r>
    </w:p>
    <w:p>
      <w:pPr>
        <w:pStyle w:val="37"/>
        <w:keepNext w:val="0"/>
        <w:keepLines w:val="0"/>
        <w:pageBreakBefore w:val="0"/>
        <w:widowControl w:val="0"/>
        <w:kinsoku/>
        <w:wordWrap/>
        <w:overflowPunct/>
        <w:topLinePunct w:val="0"/>
        <w:bidi w:val="0"/>
        <w:spacing w:line="420" w:lineRule="exact"/>
        <w:ind w:firstLine="480" w:firstLineChars="200"/>
        <w:jc w:val="both"/>
        <w:rPr>
          <w:rFonts w:hint="eastAsia" w:ascii="宋体" w:hAnsi="宋体" w:cs="宋体"/>
          <w:color w:val="auto"/>
          <w:sz w:val="24"/>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 </w:t>
      </w:r>
      <w:r>
        <w:rPr>
          <w:rFonts w:hint="eastAsia" w:ascii="宋体" w:hAnsi="宋体" w:cs="宋体"/>
          <w:color w:val="auto"/>
          <w:sz w:val="24"/>
          <w:highlight w:val="none"/>
          <w:lang w:val="en-US" w:eastAsia="zh-CN"/>
        </w:rPr>
        <w:t>虚假应标承担责任声明</w:t>
      </w:r>
    </w:p>
    <w:p>
      <w:pPr>
        <w:pStyle w:val="37"/>
        <w:keepNext w:val="0"/>
        <w:keepLines w:val="0"/>
        <w:pageBreakBefore w:val="0"/>
        <w:widowControl w:val="0"/>
        <w:kinsoku/>
        <w:wordWrap/>
        <w:overflowPunct/>
        <w:topLinePunct w:val="0"/>
        <w:bidi w:val="0"/>
        <w:spacing w:line="420" w:lineRule="exact"/>
        <w:ind w:firstLine="480" w:firstLineChars="200"/>
        <w:jc w:val="both"/>
        <w:rPr>
          <w:rFonts w:hint="eastAsia" w:ascii="宋体" w:hAnsi="宋体" w:cs="宋体"/>
          <w:color w:val="auto"/>
          <w:sz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 售后服务承诺书</w:t>
      </w:r>
    </w:p>
    <w:p>
      <w:pPr>
        <w:pStyle w:val="40"/>
        <w:keepNext w:val="0"/>
        <w:keepLines w:val="0"/>
        <w:pageBreakBefore w:val="0"/>
        <w:widowControl w:val="0"/>
        <w:kinsoku/>
        <w:wordWrap/>
        <w:overflowPunct/>
        <w:topLinePunct w:val="0"/>
        <w:bidi w:val="0"/>
        <w:spacing w:line="420" w:lineRule="exact"/>
        <w:ind w:firstLine="480"/>
        <w:rPr>
          <w:rStyle w:val="62"/>
          <w:rFonts w:ascii="宋体" w:hAnsi="宋体" w:eastAsia="宋体"/>
          <w:b w:val="0"/>
          <w:i w:val="0"/>
          <w:caps w:val="0"/>
          <w:color w:val="auto"/>
          <w:spacing w:val="0"/>
          <w:w w:val="100"/>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供应商认为有必要提供的其他商务资料</w:t>
      </w:r>
    </w:p>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w:t>
      </w:r>
      <w:r>
        <w:rPr>
          <w:rFonts w:hint="eastAsia" w:ascii="宋体" w:hAnsi="宋体" w:eastAsia="宋体" w:cs="宋体"/>
          <w:b/>
          <w:color w:val="auto"/>
          <w:kern w:val="0"/>
          <w:sz w:val="24"/>
          <w:szCs w:val="24"/>
          <w:highlight w:val="none"/>
          <w:lang w:val="en-US" w:eastAsia="zh-CN"/>
        </w:rPr>
        <w:t>4</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技术部分</w:t>
      </w:r>
      <w:bookmarkStart w:id="82" w:name="_Hlk519798213"/>
    </w:p>
    <w:bookmarkEnd w:id="82"/>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bidi="ar-SA"/>
        </w:rPr>
        <w:t xml:space="preserve">(1) </w:t>
      </w:r>
      <w:r>
        <w:rPr>
          <w:rFonts w:hint="eastAsia" w:ascii="宋体" w:hAnsi="宋体" w:eastAsia="宋体" w:cs="宋体"/>
          <w:b/>
          <w:color w:val="auto"/>
          <w:kern w:val="0"/>
          <w:sz w:val="24"/>
          <w:szCs w:val="24"/>
          <w:highlight w:val="none"/>
        </w:rPr>
        <w:t>技术条款偏离表</w:t>
      </w:r>
      <w:r>
        <w:rPr>
          <w:rFonts w:hint="eastAsia" w:ascii="宋体" w:hAnsi="宋体" w:eastAsia="宋体" w:cs="宋体"/>
          <w:b/>
          <w:bCs w:val="0"/>
          <w:color w:val="auto"/>
          <w:kern w:val="0"/>
          <w:sz w:val="24"/>
          <w:szCs w:val="24"/>
          <w:highlight w:val="none"/>
        </w:rPr>
        <w:t>（供应商须对照第</w:t>
      </w:r>
      <w:r>
        <w:rPr>
          <w:rFonts w:hint="eastAsia" w:ascii="宋体" w:hAnsi="宋体" w:eastAsia="宋体" w:cs="宋体"/>
          <w:b/>
          <w:bCs w:val="0"/>
          <w:color w:val="auto"/>
          <w:kern w:val="0"/>
          <w:sz w:val="24"/>
          <w:szCs w:val="24"/>
          <w:highlight w:val="none"/>
          <w:lang w:val="en-US" w:eastAsia="zh-CN"/>
        </w:rPr>
        <w:t>三</w:t>
      </w:r>
      <w:r>
        <w:rPr>
          <w:rFonts w:hint="eastAsia" w:ascii="宋体" w:hAnsi="宋体" w:eastAsia="宋体" w:cs="宋体"/>
          <w:b/>
          <w:bCs w:val="0"/>
          <w:color w:val="auto"/>
          <w:kern w:val="0"/>
          <w:sz w:val="24"/>
          <w:szCs w:val="24"/>
          <w:highlight w:val="none"/>
        </w:rPr>
        <w:t>章《采购需求》</w:t>
      </w:r>
      <w:r>
        <w:rPr>
          <w:rFonts w:hint="eastAsia" w:ascii="宋体" w:hAnsi="宋体" w:eastAsia="宋体" w:cs="宋体"/>
          <w:b/>
          <w:bCs w:val="0"/>
          <w:color w:val="auto"/>
          <w:kern w:val="0"/>
          <w:sz w:val="24"/>
          <w:szCs w:val="24"/>
          <w:highlight w:val="none"/>
          <w:lang w:val="en-US" w:eastAsia="zh-CN"/>
        </w:rPr>
        <w:t>技术要求中第二项“技术规格要求</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中</w:t>
      </w:r>
      <w:r>
        <w:rPr>
          <w:rFonts w:hint="eastAsia" w:ascii="宋体" w:hAnsi="宋体" w:eastAsia="宋体" w:cs="宋体"/>
          <w:b/>
          <w:bCs w:val="0"/>
          <w:color w:val="auto"/>
          <w:kern w:val="0"/>
          <w:sz w:val="24"/>
          <w:szCs w:val="24"/>
          <w:highlight w:val="none"/>
        </w:rPr>
        <w:t>所有参数逐条说明响应内容及是否存在偏离等情况</w:t>
      </w:r>
      <w:r>
        <w:rPr>
          <w:rFonts w:hint="eastAsia" w:ascii="宋体" w:hAnsi="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rPr>
        <w:t>技术条款偏离表中</w:t>
      </w:r>
      <w:r>
        <w:rPr>
          <w:rFonts w:hint="eastAsia" w:ascii="宋体" w:hAnsi="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规格应为供应商提供设备的实际技术参数（或规格），不能完全复制第三章采购需求中的技术参数（</w:t>
      </w:r>
      <w:r>
        <w:rPr>
          <w:rFonts w:hint="eastAsia" w:ascii="宋体" w:hAnsi="宋体" w:cs="宋体"/>
          <w:b/>
          <w:bCs w:val="0"/>
          <w:color w:val="auto"/>
          <w:kern w:val="0"/>
          <w:sz w:val="24"/>
          <w:szCs w:val="24"/>
          <w:highlight w:val="none"/>
          <w:lang w:val="en-US" w:eastAsia="zh-CN"/>
        </w:rPr>
        <w:t>招标</w:t>
      </w:r>
      <w:r>
        <w:rPr>
          <w:rFonts w:hint="eastAsia" w:ascii="宋体" w:hAnsi="宋体" w:eastAsia="宋体" w:cs="宋体"/>
          <w:b/>
          <w:bCs w:val="0"/>
          <w:color w:val="auto"/>
          <w:kern w:val="0"/>
          <w:sz w:val="24"/>
          <w:szCs w:val="24"/>
          <w:highlight w:val="none"/>
        </w:rPr>
        <w:t>规格），否则将</w:t>
      </w:r>
      <w:r>
        <w:rPr>
          <w:rFonts w:hint="eastAsia" w:ascii="宋体" w:hAnsi="宋体" w:eastAsia="宋体" w:cs="宋体"/>
          <w:b/>
          <w:bCs w:val="0"/>
          <w:color w:val="auto"/>
          <w:sz w:val="24"/>
          <w:szCs w:val="24"/>
          <w:highlight w:val="none"/>
        </w:rPr>
        <w:t>视为未实质性响应</w:t>
      </w:r>
      <w:r>
        <w:rPr>
          <w:rFonts w:hint="eastAsia" w:ascii="宋体" w:hAnsi="宋体" w:eastAsia="宋体" w:cs="宋体"/>
          <w:b/>
          <w:bCs w:val="0"/>
          <w:color w:val="auto"/>
          <w:sz w:val="24"/>
          <w:szCs w:val="24"/>
          <w:highlight w:val="none"/>
          <w:lang w:val="en-US" w:eastAsia="zh-CN"/>
        </w:rPr>
        <w:t>招标</w:t>
      </w:r>
      <w:r>
        <w:rPr>
          <w:rFonts w:hint="eastAsia" w:ascii="宋体" w:hAnsi="宋体" w:eastAsia="宋体" w:cs="宋体"/>
          <w:b/>
          <w:bCs w:val="0"/>
          <w:color w:val="auto"/>
          <w:sz w:val="24"/>
          <w:szCs w:val="24"/>
          <w:highlight w:val="none"/>
          <w:lang w:eastAsia="zh-CN"/>
        </w:rPr>
        <w:t>件</w:t>
      </w:r>
      <w:r>
        <w:rPr>
          <w:rFonts w:hint="eastAsia" w:ascii="宋体" w:hAnsi="宋体" w:eastAsia="宋体" w:cs="宋体"/>
          <w:b/>
          <w:bCs w:val="0"/>
          <w:color w:val="auto"/>
          <w:sz w:val="24"/>
          <w:szCs w:val="24"/>
          <w:highlight w:val="none"/>
        </w:rPr>
        <w:t>要求，做</w:t>
      </w:r>
      <w:r>
        <w:rPr>
          <w:rFonts w:hint="eastAsia" w:ascii="宋体" w:hAnsi="宋体" w:eastAsia="宋体" w:cs="宋体"/>
          <w:b/>
          <w:bCs w:val="0"/>
          <w:color w:val="auto"/>
          <w:sz w:val="24"/>
          <w:szCs w:val="24"/>
          <w:highlight w:val="none"/>
          <w:lang w:val="en-US" w:eastAsia="zh-CN"/>
        </w:rPr>
        <w:t>无效投标</w:t>
      </w:r>
      <w:r>
        <w:rPr>
          <w:rFonts w:hint="eastAsia" w:ascii="宋体" w:hAnsi="宋体" w:eastAsia="宋体" w:cs="宋体"/>
          <w:b/>
          <w:bCs w:val="0"/>
          <w:color w:val="auto"/>
          <w:sz w:val="24"/>
          <w:szCs w:val="24"/>
          <w:highlight w:val="none"/>
        </w:rPr>
        <w:t>处理</w:t>
      </w:r>
      <w:r>
        <w:rPr>
          <w:rFonts w:hint="eastAsia" w:ascii="宋体" w:hAnsi="宋体" w:eastAsia="宋体" w:cs="宋体"/>
          <w:b/>
          <w:bCs w:val="0"/>
          <w:color w:val="auto"/>
          <w:kern w:val="0"/>
          <w:sz w:val="24"/>
          <w:szCs w:val="24"/>
          <w:highlight w:val="none"/>
        </w:rPr>
        <w:t>）；</w:t>
      </w:r>
    </w:p>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 xml:space="preserve">(2) </w:t>
      </w:r>
      <w:r>
        <w:rPr>
          <w:rFonts w:hint="eastAsia" w:ascii="宋体" w:hAnsi="宋体" w:eastAsia="宋体" w:cs="宋体"/>
          <w:b/>
          <w:color w:val="auto"/>
          <w:kern w:val="0"/>
          <w:sz w:val="24"/>
          <w:szCs w:val="24"/>
          <w:highlight w:val="none"/>
        </w:rPr>
        <w:t>产品详细配置清单；</w:t>
      </w:r>
    </w:p>
    <w:p>
      <w:pPr>
        <w:keepNext w:val="0"/>
        <w:keepLines w:val="0"/>
        <w:pageBreakBefore w:val="0"/>
        <w:widowControl w:val="0"/>
        <w:shd w:val="clear" w:color="auto" w:fill="FFFFFF"/>
        <w:kinsoku/>
        <w:wordWrap/>
        <w:overflowPunct/>
        <w:topLinePunct w:val="0"/>
        <w:bidi w:val="0"/>
        <w:spacing w:line="420" w:lineRule="exact"/>
        <w:ind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 xml:space="preserve">) </w:t>
      </w:r>
      <w:r>
        <w:rPr>
          <w:rFonts w:hint="eastAsia" w:ascii="宋体" w:hAnsi="宋体" w:eastAsia="宋体" w:cs="宋体"/>
          <w:bCs/>
          <w:color w:val="auto"/>
          <w:sz w:val="24"/>
          <w:szCs w:val="24"/>
          <w:highlight w:val="none"/>
        </w:rPr>
        <w:t>供应商所投产品（且为所投型号）应提供具有检测资质的部门出具的检验检测报告（反映主要参数内容的部分，原件扫描件）、制造商对外公开发行的印刷版彩页（国家无需检测的设备可以不提供检验报告）</w:t>
      </w:r>
      <w:r>
        <w:rPr>
          <w:rFonts w:hint="eastAsia" w:ascii="宋体" w:hAnsi="宋体" w:eastAsia="宋体" w:cs="宋体"/>
          <w:bCs/>
          <w:color w:val="auto"/>
          <w:sz w:val="24"/>
          <w:szCs w:val="24"/>
          <w:highlight w:val="none"/>
          <w:lang w:eastAsia="zh-CN"/>
        </w:rPr>
        <w:t>；</w:t>
      </w:r>
    </w:p>
    <w:p>
      <w:pPr>
        <w:pStyle w:val="2"/>
        <w:keepNext w:val="0"/>
        <w:keepLines w:val="0"/>
        <w:pageBreakBefore w:val="0"/>
        <w:widowControl w:val="0"/>
        <w:kinsoku/>
        <w:wordWrap/>
        <w:overflowPunct/>
        <w:topLinePunct w:val="0"/>
        <w:bidi w:val="0"/>
        <w:spacing w:line="420" w:lineRule="exact"/>
        <w:ind w:left="0" w:leftChars="0" w:firstLine="420" w:firstLineChars="175"/>
        <w:jc w:val="left"/>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kern w:val="0"/>
          <w:sz w:val="24"/>
          <w:szCs w:val="24"/>
          <w:highlight w:val="none"/>
        </w:rPr>
        <w:t>(</w:t>
      </w:r>
      <w:r>
        <w:rPr>
          <w:rFonts w:hint="eastAsia" w:ascii="宋体" w:hAnsi="宋体" w:eastAsia="宋体" w:cs="宋体"/>
          <w:bCs/>
          <w:color w:val="auto"/>
          <w:spacing w:val="0"/>
          <w:kern w:val="0"/>
          <w:sz w:val="24"/>
          <w:szCs w:val="24"/>
          <w:highlight w:val="none"/>
          <w:lang w:val="en-US" w:eastAsia="zh-CN" w:bidi="ar-SA"/>
        </w:rPr>
        <w:t xml:space="preserve">4) </w:t>
      </w:r>
      <w:r>
        <w:rPr>
          <w:rFonts w:hint="eastAsia" w:ascii="宋体" w:hAnsi="宋体" w:eastAsia="宋体" w:cs="宋体"/>
          <w:color w:val="auto"/>
          <w:spacing w:val="0"/>
          <w:kern w:val="0"/>
          <w:sz w:val="24"/>
          <w:szCs w:val="24"/>
          <w:highlight w:val="none"/>
        </w:rPr>
        <w:t>供应商认为有必要的其他技术资料</w:t>
      </w:r>
      <w:r>
        <w:rPr>
          <w:rFonts w:hint="eastAsia" w:ascii="宋体" w:hAnsi="宋体" w:cs="宋体"/>
          <w:color w:val="auto"/>
          <w:spacing w:val="0"/>
          <w:kern w:val="0"/>
          <w:sz w:val="24"/>
          <w:szCs w:val="24"/>
          <w:highlight w:val="none"/>
          <w:lang w:eastAsia="zh-CN"/>
        </w:rPr>
        <w:t>。</w:t>
      </w:r>
    </w:p>
    <w:p>
      <w:pPr>
        <w:keepNext w:val="0"/>
        <w:keepLines w:val="0"/>
        <w:pageBreakBefore w:val="0"/>
        <w:widowControl w:val="0"/>
        <w:shd w:val="clear" w:color="auto" w:fill="FFFFFF"/>
        <w:kinsoku/>
        <w:wordWrap/>
        <w:overflowPunct/>
        <w:topLinePunct w:val="0"/>
        <w:bidi w:val="0"/>
        <w:spacing w:line="420" w:lineRule="exac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21.</w:t>
      </w:r>
      <w:r>
        <w:rPr>
          <w:rFonts w:hint="eastAsia" w:ascii="宋体" w:hAnsi="宋体" w:eastAsia="宋体" w:cs="宋体"/>
          <w:bCs/>
          <w:color w:val="auto"/>
          <w:kern w:val="0"/>
          <w:sz w:val="24"/>
          <w:szCs w:val="24"/>
          <w:highlight w:val="none"/>
          <w:lang w:val="en-US" w:eastAsia="zh-CN"/>
        </w:rPr>
        <w:t xml:space="preserve">5 </w:t>
      </w:r>
      <w:r>
        <w:rPr>
          <w:rFonts w:hint="eastAsia" w:ascii="宋体" w:hAnsi="宋体" w:eastAsia="宋体" w:cs="宋体"/>
          <w:bCs/>
          <w:color w:val="auto"/>
          <w:kern w:val="0"/>
          <w:sz w:val="24"/>
          <w:szCs w:val="24"/>
          <w:highlight w:val="none"/>
        </w:rPr>
        <w:t>其他资料</w:t>
      </w:r>
    </w:p>
    <w:p>
      <w:pPr>
        <w:keepNext w:val="0"/>
        <w:keepLines w:val="0"/>
        <w:pageBreakBefore w:val="0"/>
        <w:widowControl w:val="0"/>
        <w:kinsoku/>
        <w:wordWrap/>
        <w:overflowPunct/>
        <w:topLinePunct w:val="0"/>
        <w:bidi w:val="0"/>
        <w:spacing w:line="42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22. 响应文件的编制及格式</w:t>
      </w:r>
    </w:p>
    <w:p>
      <w:pPr>
        <w:shd w:val="clear" w:color="auto" w:fill="FFFFFF"/>
        <w:snapToGrid/>
        <w:spacing w:before="0" w:beforeAutospacing="0" w:after="0" w:afterAutospacing="0" w:line="440" w:lineRule="exact"/>
        <w:ind w:firstLine="482" w:firstLineChars="200"/>
        <w:jc w:val="both"/>
        <w:textAlignment w:val="baseline"/>
        <w:rPr>
          <w:rFonts w:hint="eastAsia" w:ascii="宋体" w:hAnsi="宋体" w:eastAsia="宋体" w:cs="宋体"/>
          <w:b/>
          <w:color w:val="auto"/>
          <w:sz w:val="24"/>
          <w:szCs w:val="24"/>
          <w:highlight w:val="none"/>
          <w:lang w:val="en-US" w:eastAsia="zh-CN"/>
        </w:rPr>
      </w:pPr>
      <w:r>
        <w:rPr>
          <w:rStyle w:val="62"/>
          <w:rFonts w:hint="eastAsia" w:ascii="宋体" w:hAnsi="宋体"/>
          <w:b/>
          <w:i w:val="0"/>
          <w:caps w:val="0"/>
          <w:color w:val="auto"/>
          <w:spacing w:val="0"/>
          <w:w w:val="100"/>
          <w:kern w:val="2"/>
          <w:sz w:val="24"/>
          <w:szCs w:val="24"/>
          <w:highlight w:val="none"/>
          <w:lang w:val="en-US" w:eastAsia="zh-CN" w:bidi="ar-SA"/>
        </w:rPr>
        <w:t>★</w:t>
      </w:r>
      <w:r>
        <w:rPr>
          <w:rFonts w:hint="eastAsia" w:ascii="宋体" w:hAnsi="宋体" w:eastAsia="宋体" w:cs="宋体"/>
          <w:b/>
          <w:color w:val="auto"/>
          <w:sz w:val="24"/>
          <w:szCs w:val="24"/>
          <w:highlight w:val="none"/>
        </w:rPr>
        <w:t>22.1 供应商提供的</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应按照本须知第21条规定的内容编制，其中，第21.1</w:t>
      </w:r>
      <w:r>
        <w:rPr>
          <w:rFonts w:hint="eastAsia" w:ascii="宋体" w:hAnsi="宋体" w:eastAsia="宋体" w:cs="宋体"/>
          <w:b/>
          <w:color w:val="auto"/>
          <w:sz w:val="24"/>
          <w:szCs w:val="24"/>
          <w:highlight w:val="none"/>
          <w:lang w:val="en-US" w:eastAsia="zh-CN"/>
        </w:rPr>
        <w:t>项</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第21.2（1）—（</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）、第21.3（1）—（</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w:t>
      </w:r>
      <w:r>
        <w:rPr>
          <w:rStyle w:val="62"/>
          <w:rFonts w:ascii="宋体" w:hAnsi="宋体" w:eastAsia="宋体"/>
          <w:b/>
          <w:i w:val="0"/>
          <w:caps w:val="0"/>
          <w:color w:val="auto"/>
          <w:spacing w:val="0"/>
          <w:w w:val="100"/>
          <w:kern w:val="2"/>
          <w:sz w:val="24"/>
          <w:szCs w:val="24"/>
          <w:highlight w:val="none"/>
          <w:lang w:val="en-US" w:eastAsia="zh-CN" w:bidi="ar-SA"/>
        </w:rPr>
        <w:t>第21.4（1）-（</w:t>
      </w:r>
      <w:r>
        <w:rPr>
          <w:rStyle w:val="62"/>
          <w:rFonts w:hint="eastAsia" w:ascii="宋体" w:hAnsi="宋体"/>
          <w:b/>
          <w:i w:val="0"/>
          <w:caps w:val="0"/>
          <w:color w:val="auto"/>
          <w:spacing w:val="0"/>
          <w:w w:val="100"/>
          <w:kern w:val="2"/>
          <w:sz w:val="24"/>
          <w:szCs w:val="24"/>
          <w:highlight w:val="none"/>
          <w:lang w:val="en-US" w:eastAsia="zh-CN" w:bidi="ar-SA"/>
        </w:rPr>
        <w:t>2</w:t>
      </w:r>
      <w:r>
        <w:rPr>
          <w:rStyle w:val="62"/>
          <w:rFonts w:ascii="宋体" w:hAnsi="宋体" w:eastAsia="宋体"/>
          <w:b/>
          <w:i w:val="0"/>
          <w:caps w:val="0"/>
          <w:color w:val="auto"/>
          <w:spacing w:val="0"/>
          <w:w w:val="100"/>
          <w:kern w:val="2"/>
          <w:sz w:val="24"/>
          <w:szCs w:val="24"/>
          <w:highlight w:val="none"/>
          <w:lang w:val="en-US" w:eastAsia="zh-CN" w:bidi="ar-SA"/>
        </w:rPr>
        <w:t>）</w:t>
      </w:r>
      <w:r>
        <w:rPr>
          <w:rFonts w:hint="eastAsia" w:ascii="宋体" w:hAnsi="宋体" w:eastAsia="宋体" w:cs="宋体"/>
          <w:b/>
          <w:color w:val="auto"/>
          <w:sz w:val="24"/>
          <w:szCs w:val="24"/>
          <w:highlight w:val="none"/>
        </w:rPr>
        <w:t>为必备项，供应商在</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中必须提供有关材料，如果缺项，或不符合要求，将导致投标无效。</w:t>
      </w:r>
      <w:r>
        <w:rPr>
          <w:rFonts w:hint="eastAsia" w:ascii="宋体" w:hAnsi="宋体" w:eastAsia="宋体" w:cs="宋体"/>
          <w:b/>
          <w:color w:val="auto"/>
          <w:sz w:val="24"/>
          <w:szCs w:val="24"/>
          <w:highlight w:val="none"/>
          <w:lang w:val="en-US" w:eastAsia="zh-CN"/>
        </w:rPr>
        <w:t xml:space="preserve"> </w:t>
      </w:r>
    </w:p>
    <w:p>
      <w:pPr>
        <w:shd w:val="clear" w:color="auto" w:fill="FFFFFF"/>
        <w:snapToGrid/>
        <w:spacing w:before="0" w:beforeAutospacing="0" w:after="0" w:afterAutospacing="0" w:line="440" w:lineRule="exact"/>
        <w:jc w:val="both"/>
        <w:textAlignment w:val="baseline"/>
        <w:rPr>
          <w:rStyle w:val="62"/>
          <w:rFonts w:ascii="宋体" w:hAnsi="宋体" w:eastAsia="宋体"/>
          <w:b w:val="0"/>
          <w:i w:val="0"/>
          <w:caps w:val="0"/>
          <w:color w:val="auto"/>
          <w:spacing w:val="0"/>
          <w:w w:val="100"/>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 xml:space="preserve">     </w:t>
      </w:r>
      <w:r>
        <w:rPr>
          <w:rStyle w:val="62"/>
          <w:rFonts w:ascii="宋体" w:hAnsi="宋体" w:eastAsia="宋体"/>
          <w:b w:val="0"/>
          <w:i w:val="0"/>
          <w:caps w:val="0"/>
          <w:color w:val="auto"/>
          <w:spacing w:val="0"/>
          <w:w w:val="100"/>
          <w:kern w:val="2"/>
          <w:sz w:val="24"/>
          <w:szCs w:val="24"/>
          <w:highlight w:val="none"/>
          <w:lang w:val="en-US" w:eastAsia="zh-CN" w:bidi="ar-SA"/>
        </w:rPr>
        <w:t>22.2</w:t>
      </w:r>
      <w:r>
        <w:rPr>
          <w:rStyle w:val="62"/>
          <w:rFonts w:hint="eastAsia" w:ascii="宋体" w:hAnsi="宋体"/>
          <w:b w:val="0"/>
          <w:i w:val="0"/>
          <w:caps w:val="0"/>
          <w:color w:val="auto"/>
          <w:spacing w:val="0"/>
          <w:w w:val="100"/>
          <w:kern w:val="2"/>
          <w:sz w:val="24"/>
          <w:szCs w:val="24"/>
          <w:highlight w:val="none"/>
          <w:lang w:val="en-US" w:eastAsia="zh-CN" w:bidi="ar-SA"/>
        </w:rPr>
        <w:t xml:space="preserve"> </w:t>
      </w:r>
      <w:r>
        <w:rPr>
          <w:rStyle w:val="62"/>
          <w:rFonts w:ascii="宋体" w:hAnsi="宋体" w:eastAsia="宋体"/>
          <w:b w:val="0"/>
          <w:i w:val="0"/>
          <w:caps w:val="0"/>
          <w:color w:val="auto"/>
          <w:spacing w:val="0"/>
          <w:w w:val="100"/>
          <w:kern w:val="2"/>
          <w:sz w:val="24"/>
          <w:szCs w:val="24"/>
          <w:highlight w:val="none"/>
          <w:lang w:val="en-US" w:eastAsia="zh-CN" w:bidi="ar-SA"/>
        </w:rPr>
        <w:t>供应商提供的响应文件应当使用竞争性磋商文件所提供响应文件格式（表格可按照同样格式扩展），并保证所提供的资料的真实性。未提供格式的，供应商可自行编制。</w:t>
      </w:r>
    </w:p>
    <w:p>
      <w:pPr>
        <w:pStyle w:val="2"/>
        <w:ind w:left="0" w:leftChars="0" w:firstLine="482" w:firstLineChars="200"/>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color w:val="auto"/>
          <w:spacing w:val="0"/>
          <w:kern w:val="2"/>
          <w:sz w:val="24"/>
          <w:szCs w:val="24"/>
          <w:highlight w:val="none"/>
          <w:lang w:val="en-US" w:eastAsia="zh-CN" w:bidi="ar-SA"/>
        </w:rPr>
        <w:t>★22.2.1供应商在投标中违反国家有关法律法规的强制性规定的，其投标按未满足磋商文件实质性要求处理。</w:t>
      </w:r>
    </w:p>
    <w:p>
      <w:pPr>
        <w:shd w:val="clear" w:color="auto" w:fill="FFFFFF"/>
        <w:snapToGrid/>
        <w:spacing w:before="0" w:beforeAutospacing="0" w:after="0" w:afterAutospacing="0" w:line="440" w:lineRule="exact"/>
        <w:ind w:firstLine="480" w:firstLineChars="200"/>
        <w:jc w:val="both"/>
        <w:textAlignment w:val="baseline"/>
        <w:rPr>
          <w:rStyle w:val="62"/>
          <w:rFonts w:ascii="宋体" w:hAnsi="宋体" w:eastAsia="宋体"/>
          <w:b w:val="0"/>
          <w:i w:val="0"/>
          <w:caps w:val="0"/>
          <w:color w:val="auto"/>
          <w:spacing w:val="0"/>
          <w:w w:val="100"/>
          <w:kern w:val="0"/>
          <w:sz w:val="24"/>
          <w:szCs w:val="24"/>
          <w:highlight w:val="none"/>
          <w:lang w:val="en-US" w:eastAsia="zh-CN" w:bidi="ar-SA"/>
        </w:rPr>
      </w:pPr>
      <w:r>
        <w:rPr>
          <w:rStyle w:val="62"/>
          <w:rFonts w:ascii="宋体" w:hAnsi="宋体" w:eastAsia="宋体"/>
          <w:b w:val="0"/>
          <w:i w:val="0"/>
          <w:caps w:val="0"/>
          <w:color w:val="auto"/>
          <w:spacing w:val="0"/>
          <w:w w:val="100"/>
          <w:kern w:val="0"/>
          <w:sz w:val="24"/>
          <w:szCs w:val="24"/>
          <w:highlight w:val="none"/>
          <w:lang w:val="en-US" w:eastAsia="zh-CN" w:bidi="ar-SA"/>
        </w:rPr>
        <w:t>22.3</w:t>
      </w:r>
      <w:r>
        <w:rPr>
          <w:rStyle w:val="62"/>
          <w:rFonts w:hint="eastAsia" w:ascii="宋体" w:hAnsi="宋体"/>
          <w:b w:val="0"/>
          <w:i w:val="0"/>
          <w:caps w:val="0"/>
          <w:color w:val="auto"/>
          <w:spacing w:val="0"/>
          <w:w w:val="100"/>
          <w:kern w:val="0"/>
          <w:sz w:val="24"/>
          <w:szCs w:val="24"/>
          <w:highlight w:val="none"/>
          <w:lang w:val="en-US" w:eastAsia="zh-CN" w:bidi="ar-SA"/>
        </w:rPr>
        <w:t xml:space="preserve"> </w:t>
      </w:r>
      <w:r>
        <w:rPr>
          <w:rStyle w:val="62"/>
          <w:rFonts w:ascii="宋体" w:hAnsi="宋体" w:eastAsia="宋体"/>
          <w:b w:val="0"/>
          <w:i w:val="0"/>
          <w:caps w:val="0"/>
          <w:color w:val="auto"/>
          <w:spacing w:val="0"/>
          <w:w w:val="100"/>
          <w:kern w:val="2"/>
          <w:sz w:val="24"/>
          <w:szCs w:val="24"/>
          <w:highlight w:val="none"/>
          <w:lang w:val="en-US" w:eastAsia="zh-CN" w:bidi="ar-SA"/>
        </w:rPr>
        <w:t>本竞争性磋商文件规定的响应文件编制中所需提交的证明材料须加盖供应商</w:t>
      </w:r>
      <w:r>
        <w:rPr>
          <w:rStyle w:val="62"/>
          <w:rFonts w:hint="eastAsia" w:ascii="宋体" w:hAnsi="宋体" w:eastAsia="宋体"/>
          <w:b w:val="0"/>
          <w:i w:val="0"/>
          <w:caps w:val="0"/>
          <w:color w:val="auto"/>
          <w:spacing w:val="0"/>
          <w:w w:val="100"/>
          <w:kern w:val="2"/>
          <w:sz w:val="24"/>
          <w:szCs w:val="24"/>
          <w:highlight w:val="none"/>
          <w:lang w:val="en-US" w:eastAsia="zh-CN" w:bidi="ar-SA"/>
        </w:rPr>
        <w:t>电子公章</w:t>
      </w:r>
      <w:r>
        <w:rPr>
          <w:rStyle w:val="62"/>
          <w:rFonts w:ascii="宋体" w:hAnsi="宋体" w:eastAsia="宋体"/>
          <w:b w:val="0"/>
          <w:i w:val="0"/>
          <w:caps w:val="0"/>
          <w:color w:val="auto"/>
          <w:spacing w:val="0"/>
          <w:w w:val="100"/>
          <w:kern w:val="2"/>
          <w:sz w:val="24"/>
          <w:szCs w:val="24"/>
          <w:highlight w:val="none"/>
          <w:lang w:val="en-US" w:eastAsia="zh-CN" w:bidi="ar-SA"/>
        </w:rPr>
        <w:t>，且内容须清晰可辩</w:t>
      </w:r>
      <w:r>
        <w:rPr>
          <w:rStyle w:val="62"/>
          <w:rFonts w:ascii="宋体" w:hAnsi="宋体" w:eastAsia="宋体"/>
          <w:b/>
          <w:i w:val="0"/>
          <w:caps w:val="0"/>
          <w:color w:val="auto"/>
          <w:spacing w:val="0"/>
          <w:w w:val="100"/>
          <w:kern w:val="2"/>
          <w:sz w:val="24"/>
          <w:szCs w:val="24"/>
          <w:highlight w:val="none"/>
          <w:lang w:val="en-US" w:eastAsia="zh-CN" w:bidi="ar-SA"/>
        </w:rPr>
        <w:t>。</w:t>
      </w:r>
    </w:p>
    <w:p>
      <w:pPr>
        <w:shd w:val="clear" w:color="auto" w:fill="FFFFFF"/>
        <w:snapToGrid/>
        <w:spacing w:before="0" w:beforeAutospacing="0" w:after="0" w:afterAutospacing="0" w:line="440" w:lineRule="exact"/>
        <w:ind w:firstLine="480" w:firstLineChars="200"/>
        <w:jc w:val="both"/>
        <w:textAlignment w:val="baseline"/>
        <w:rPr>
          <w:rStyle w:val="62"/>
          <w:rFonts w:ascii="宋体" w:hAnsi="宋体" w:eastAsia="宋体"/>
          <w:b w:val="0"/>
          <w:i w:val="0"/>
          <w:caps w:val="0"/>
          <w:color w:val="auto"/>
          <w:spacing w:val="0"/>
          <w:w w:val="100"/>
          <w:kern w:val="2"/>
          <w:sz w:val="24"/>
          <w:szCs w:val="24"/>
          <w:highlight w:val="none"/>
          <w:lang w:val="en-US" w:eastAsia="zh-CN" w:bidi="ar-SA"/>
        </w:rPr>
      </w:pPr>
      <w:r>
        <w:rPr>
          <w:rStyle w:val="62"/>
          <w:rFonts w:ascii="宋体" w:hAnsi="宋体" w:eastAsia="宋体"/>
          <w:b w:val="0"/>
          <w:i w:val="0"/>
          <w:caps w:val="0"/>
          <w:color w:val="auto"/>
          <w:spacing w:val="0"/>
          <w:w w:val="100"/>
          <w:kern w:val="0"/>
          <w:sz w:val="24"/>
          <w:szCs w:val="24"/>
          <w:highlight w:val="none"/>
          <w:lang w:val="en-US" w:eastAsia="zh-CN" w:bidi="ar-SA"/>
        </w:rPr>
        <w:t>22.4 响应文件严禁涂改或行间插字和增删。除非这些修改是根据采购人的指示进行的，或者是供应商造成的必须修改的错误，</w:t>
      </w:r>
      <w:r>
        <w:rPr>
          <w:rStyle w:val="62"/>
          <w:rFonts w:ascii="宋体" w:hAnsi="宋体" w:eastAsia="宋体"/>
          <w:b w:val="0"/>
          <w:i w:val="0"/>
          <w:caps w:val="0"/>
          <w:color w:val="auto"/>
          <w:spacing w:val="0"/>
          <w:w w:val="100"/>
          <w:kern w:val="2"/>
          <w:sz w:val="24"/>
          <w:szCs w:val="24"/>
          <w:highlight w:val="none"/>
          <w:lang w:val="en-US" w:eastAsia="zh-CN" w:bidi="ar-SA"/>
        </w:rPr>
        <w:t>必要的修改处必须有供应商法人代表或其授权代表人签字。</w:t>
      </w:r>
    </w:p>
    <w:p>
      <w:pPr>
        <w:shd w:val="clear" w:color="auto" w:fill="FFFFFF"/>
        <w:spacing w:line="440" w:lineRule="exact"/>
        <w:ind w:firstLine="480" w:firstLineChars="200"/>
        <w:rPr>
          <w:rFonts w:hint="eastAsia"/>
          <w:color w:val="auto"/>
          <w:highlight w:val="none"/>
        </w:rPr>
      </w:pPr>
      <w:r>
        <w:rPr>
          <w:rFonts w:hint="eastAsia" w:ascii="宋体" w:hAnsi="宋体"/>
          <w:color w:val="auto"/>
          <w:kern w:val="0"/>
          <w:sz w:val="24"/>
          <w:highlight w:val="none"/>
          <w:lang w:val="en-US" w:eastAsia="zh-CN"/>
        </w:rPr>
        <w:t>★</w:t>
      </w:r>
      <w:r>
        <w:rPr>
          <w:rFonts w:ascii="宋体" w:hAnsi="宋体"/>
          <w:color w:val="auto"/>
          <w:kern w:val="0"/>
          <w:sz w:val="24"/>
          <w:highlight w:val="none"/>
        </w:rPr>
        <w:t>22.</w:t>
      </w:r>
      <w:r>
        <w:rPr>
          <w:rFonts w:hint="eastAsia" w:ascii="宋体" w:hAnsi="宋体"/>
          <w:color w:val="auto"/>
          <w:kern w:val="0"/>
          <w:sz w:val="24"/>
          <w:highlight w:val="none"/>
          <w:lang w:val="en-US" w:eastAsia="zh-CN"/>
        </w:rPr>
        <w:t>5 响应</w:t>
      </w:r>
      <w:r>
        <w:rPr>
          <w:rFonts w:ascii="宋体" w:hAnsi="宋体"/>
          <w:color w:val="auto"/>
          <w:kern w:val="0"/>
          <w:sz w:val="24"/>
          <w:highlight w:val="none"/>
        </w:rPr>
        <w:t>文件要求提供的所有证书、合同等招标要求的证明资料，均使用复印件，特别说明为原件的除外。</w:t>
      </w:r>
      <w:r>
        <w:rPr>
          <w:rFonts w:ascii="宋体" w:hAnsi="宋体"/>
          <w:color w:val="auto"/>
          <w:sz w:val="24"/>
          <w:highlight w:val="none"/>
        </w:rPr>
        <w:t>本</w:t>
      </w:r>
      <w:r>
        <w:rPr>
          <w:rStyle w:val="62"/>
          <w:rFonts w:ascii="宋体" w:hAnsi="宋体" w:eastAsia="宋体"/>
          <w:b w:val="0"/>
          <w:i w:val="0"/>
          <w:caps w:val="0"/>
          <w:color w:val="auto"/>
          <w:spacing w:val="0"/>
          <w:w w:val="100"/>
          <w:kern w:val="2"/>
          <w:sz w:val="24"/>
          <w:szCs w:val="24"/>
          <w:highlight w:val="none"/>
          <w:lang w:val="en-US" w:eastAsia="zh-CN" w:bidi="ar-SA"/>
        </w:rPr>
        <w:t>竞争性磋商文件</w:t>
      </w:r>
      <w:r>
        <w:rPr>
          <w:rFonts w:ascii="宋体" w:hAnsi="宋体"/>
          <w:color w:val="auto"/>
          <w:sz w:val="24"/>
          <w:highlight w:val="none"/>
        </w:rPr>
        <w:t>规定的</w:t>
      </w:r>
      <w:r>
        <w:rPr>
          <w:rFonts w:hint="eastAsia" w:ascii="宋体" w:hAnsi="宋体"/>
          <w:color w:val="auto"/>
          <w:sz w:val="24"/>
          <w:highlight w:val="none"/>
          <w:lang w:val="en-US" w:eastAsia="zh-CN"/>
        </w:rPr>
        <w:t>响应</w:t>
      </w:r>
      <w:r>
        <w:rPr>
          <w:rFonts w:ascii="宋体" w:hAnsi="宋体"/>
          <w:color w:val="auto"/>
          <w:sz w:val="24"/>
          <w:highlight w:val="none"/>
        </w:rPr>
        <w:t>文件编制中所需提交的证明材料复印件须加盖供应商</w:t>
      </w:r>
      <w:r>
        <w:rPr>
          <w:rFonts w:hint="eastAsia" w:ascii="宋体" w:hAnsi="宋体"/>
          <w:color w:val="auto"/>
          <w:sz w:val="24"/>
          <w:highlight w:val="none"/>
          <w:lang w:eastAsia="zh-CN"/>
        </w:rPr>
        <w:t>电子公章</w:t>
      </w:r>
      <w:r>
        <w:rPr>
          <w:rFonts w:ascii="宋体" w:hAnsi="宋体"/>
          <w:color w:val="auto"/>
          <w:sz w:val="24"/>
          <w:highlight w:val="none"/>
        </w:rPr>
        <w:t>，且内容须清晰可辩，</w:t>
      </w:r>
      <w:r>
        <w:rPr>
          <w:rFonts w:ascii="宋体" w:hAnsi="宋体"/>
          <w:b/>
          <w:color w:val="auto"/>
          <w:kern w:val="0"/>
          <w:sz w:val="24"/>
          <w:highlight w:val="none"/>
        </w:rPr>
        <w:t>否则视为非实质响应</w:t>
      </w:r>
      <w:r>
        <w:rPr>
          <w:rFonts w:ascii="宋体" w:hAnsi="宋体"/>
          <w:b/>
          <w:color w:val="auto"/>
          <w:kern w:val="0"/>
          <w:sz w:val="24"/>
          <w:highlight w:val="none"/>
          <w:lang w:val="en-US" w:eastAsia="zh-CN"/>
        </w:rPr>
        <w:t>竞争性磋商文件</w:t>
      </w:r>
      <w:r>
        <w:rPr>
          <w:rFonts w:ascii="宋体" w:hAnsi="宋体"/>
          <w:b/>
          <w:color w:val="auto"/>
          <w:sz w:val="24"/>
          <w:highlight w:val="none"/>
        </w:rPr>
        <w:t>。</w:t>
      </w:r>
    </w:p>
    <w:p>
      <w:pPr>
        <w:shd w:val="clear" w:color="auto" w:fill="FFFFFF"/>
        <w:spacing w:line="440" w:lineRule="exact"/>
        <w:ind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22.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供应商应逐条阅读</w:t>
      </w:r>
      <w:r>
        <w:rPr>
          <w:rStyle w:val="62"/>
          <w:rFonts w:ascii="宋体" w:hAnsi="宋体" w:eastAsia="宋体"/>
          <w:b w:val="0"/>
          <w:i w:val="0"/>
          <w:caps w:val="0"/>
          <w:color w:val="auto"/>
          <w:spacing w:val="0"/>
          <w:w w:val="100"/>
          <w:kern w:val="2"/>
          <w:sz w:val="24"/>
          <w:szCs w:val="24"/>
          <w:highlight w:val="none"/>
          <w:lang w:val="en-US" w:eastAsia="zh-CN" w:bidi="ar-SA"/>
        </w:rPr>
        <w:t>竞争性磋商文件</w:t>
      </w:r>
      <w:r>
        <w:rPr>
          <w:rFonts w:hint="eastAsia" w:ascii="宋体" w:hAnsi="宋体" w:eastAsia="宋体" w:cs="宋体"/>
          <w:color w:val="auto"/>
          <w:kern w:val="0"/>
          <w:sz w:val="24"/>
          <w:szCs w:val="24"/>
          <w:highlight w:val="none"/>
        </w:rPr>
        <w:t>要求的技术</w:t>
      </w:r>
      <w:r>
        <w:rPr>
          <w:rFonts w:hint="eastAsia" w:ascii="宋体" w:hAnsi="宋体" w:eastAsia="宋体" w:cs="宋体"/>
          <w:color w:val="auto"/>
          <w:kern w:val="0"/>
          <w:sz w:val="24"/>
          <w:szCs w:val="24"/>
          <w:highlight w:val="none"/>
          <w:lang w:val="en-US" w:eastAsia="zh-CN"/>
        </w:rPr>
        <w:t>要求</w:t>
      </w:r>
      <w:r>
        <w:rPr>
          <w:rFonts w:hint="eastAsia" w:ascii="宋体" w:hAnsi="宋体" w:eastAsia="宋体" w:cs="宋体"/>
          <w:color w:val="auto"/>
          <w:kern w:val="0"/>
          <w:sz w:val="24"/>
          <w:szCs w:val="24"/>
          <w:highlight w:val="none"/>
        </w:rPr>
        <w:t>及商务条款要求，指出自己提供的货物和服务是否对文件做出响应，</w:t>
      </w:r>
      <w:r>
        <w:rPr>
          <w:rFonts w:hint="eastAsia" w:ascii="宋体" w:hAnsi="宋体" w:eastAsia="宋体" w:cs="宋体"/>
          <w:b/>
          <w:bCs/>
          <w:color w:val="auto"/>
          <w:kern w:val="0"/>
          <w:sz w:val="24"/>
          <w:szCs w:val="24"/>
          <w:highlight w:val="none"/>
        </w:rPr>
        <w:t>并将不能响应之处在</w:t>
      </w:r>
      <w:r>
        <w:rPr>
          <w:rStyle w:val="62"/>
          <w:rFonts w:ascii="宋体" w:hAnsi="宋体" w:eastAsia="宋体"/>
          <w:b/>
          <w:bCs/>
          <w:i w:val="0"/>
          <w:caps w:val="0"/>
          <w:color w:val="auto"/>
          <w:spacing w:val="0"/>
          <w:w w:val="100"/>
          <w:kern w:val="2"/>
          <w:sz w:val="24"/>
          <w:szCs w:val="24"/>
          <w:highlight w:val="none"/>
          <w:lang w:val="en-US" w:eastAsia="zh-CN" w:bidi="ar-SA"/>
        </w:rPr>
        <w:t>竞争性磋商文件</w:t>
      </w:r>
      <w:r>
        <w:rPr>
          <w:rFonts w:hint="eastAsia" w:ascii="宋体" w:hAnsi="宋体" w:eastAsia="宋体" w:cs="宋体"/>
          <w:b/>
          <w:bCs/>
          <w:color w:val="auto"/>
          <w:kern w:val="0"/>
          <w:sz w:val="24"/>
          <w:szCs w:val="24"/>
          <w:highlight w:val="none"/>
        </w:rPr>
        <w:t>所附的</w:t>
      </w:r>
      <w:r>
        <w:rPr>
          <w:rFonts w:hint="eastAsia" w:ascii="宋体" w:hAnsi="宋体" w:cs="宋体"/>
          <w:b/>
          <w:bCs/>
          <w:color w:val="auto"/>
          <w:kern w:val="0"/>
          <w:sz w:val="24"/>
          <w:szCs w:val="24"/>
          <w:highlight w:val="none"/>
          <w:lang w:eastAsia="zh-CN"/>
        </w:rPr>
        <w:t>“商务合同条款偏离表”</w:t>
      </w:r>
      <w:r>
        <w:rPr>
          <w:rFonts w:hint="eastAsia" w:ascii="宋体" w:hAnsi="宋体" w:eastAsia="宋体" w:cs="宋体"/>
          <w:b/>
          <w:bCs/>
          <w:color w:val="auto"/>
          <w:kern w:val="0"/>
          <w:sz w:val="24"/>
          <w:szCs w:val="24"/>
          <w:highlight w:val="none"/>
        </w:rPr>
        <w:t>中一一列出。</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文件严禁涂改或行间插字和增删。除非这些修改是根据采购人的指示进行的，或者是供应商造成的必须修改的错误，</w:t>
      </w:r>
      <w:r>
        <w:rPr>
          <w:rFonts w:hint="eastAsia" w:ascii="宋体" w:hAnsi="宋体" w:eastAsia="宋体" w:cs="宋体"/>
          <w:color w:val="auto"/>
          <w:sz w:val="24"/>
          <w:szCs w:val="24"/>
          <w:highlight w:val="none"/>
        </w:rPr>
        <w:t>必要的修改处必须有供应商法人代表或其授权代表人签字。</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文件中分标项的，</w:t>
      </w:r>
      <w:r>
        <w:rPr>
          <w:rFonts w:hint="eastAsia" w:ascii="宋体" w:hAnsi="宋体" w:eastAsia="宋体" w:cs="宋体"/>
          <w:color w:val="auto"/>
          <w:sz w:val="24"/>
          <w:szCs w:val="24"/>
          <w:highlight w:val="none"/>
          <w:lang w:val="zh-CN"/>
        </w:rPr>
        <w:t>供应商须针对本单位所投标</w:t>
      </w:r>
      <w:r>
        <w:rPr>
          <w:rFonts w:hint="eastAsia" w:ascii="宋体" w:hAnsi="宋体" w:eastAsia="宋体" w:cs="宋体"/>
          <w:color w:val="auto"/>
          <w:sz w:val="24"/>
          <w:szCs w:val="24"/>
          <w:highlight w:val="none"/>
        </w:rPr>
        <w:t>项</w:t>
      </w:r>
      <w:r>
        <w:rPr>
          <w:rFonts w:hint="eastAsia" w:ascii="宋体" w:hAnsi="宋体" w:eastAsia="宋体" w:cs="宋体"/>
          <w:color w:val="auto"/>
          <w:sz w:val="24"/>
          <w:szCs w:val="24"/>
          <w:highlight w:val="none"/>
          <w:lang w:val="zh-CN"/>
        </w:rPr>
        <w:t>分别编制</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rPr>
        <w:t>文件并单独提交。</w:t>
      </w:r>
      <w:r>
        <w:rPr>
          <w:rFonts w:hint="eastAsia" w:ascii="宋体" w:hAnsi="宋体" w:eastAsia="宋体" w:cs="宋体"/>
          <w:color w:val="auto"/>
          <w:sz w:val="24"/>
          <w:szCs w:val="24"/>
          <w:highlight w:val="none"/>
        </w:rPr>
        <w:t>供应商应当按照</w:t>
      </w:r>
      <w:r>
        <w:rPr>
          <w:rStyle w:val="62"/>
          <w:rFonts w:ascii="宋体" w:hAnsi="宋体" w:eastAsia="宋体"/>
          <w:b w:val="0"/>
          <w:i w:val="0"/>
          <w:caps w:val="0"/>
          <w:color w:val="auto"/>
          <w:spacing w:val="0"/>
          <w:w w:val="100"/>
          <w:kern w:val="2"/>
          <w:sz w:val="24"/>
          <w:szCs w:val="24"/>
          <w:highlight w:val="none"/>
          <w:lang w:val="en-US" w:eastAsia="zh-CN" w:bidi="ar-SA"/>
        </w:rPr>
        <w:t>竞争性磋商文件</w:t>
      </w:r>
      <w:r>
        <w:rPr>
          <w:rFonts w:hint="eastAsia" w:ascii="宋体" w:hAnsi="宋体" w:eastAsia="宋体" w:cs="宋体"/>
          <w:color w:val="auto"/>
          <w:sz w:val="24"/>
          <w:szCs w:val="24"/>
          <w:highlight w:val="none"/>
        </w:rPr>
        <w:t>的要求编制</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文件应当对</w:t>
      </w:r>
      <w:r>
        <w:rPr>
          <w:rStyle w:val="62"/>
          <w:rFonts w:ascii="宋体" w:hAnsi="宋体" w:eastAsia="宋体"/>
          <w:b w:val="0"/>
          <w:i w:val="0"/>
          <w:caps w:val="0"/>
          <w:color w:val="auto"/>
          <w:spacing w:val="0"/>
          <w:w w:val="100"/>
          <w:kern w:val="2"/>
          <w:sz w:val="24"/>
          <w:szCs w:val="24"/>
          <w:highlight w:val="none"/>
          <w:lang w:val="en-US" w:eastAsia="zh-CN" w:bidi="ar-SA"/>
        </w:rPr>
        <w:t>竞争性磋商文件</w:t>
      </w:r>
      <w:r>
        <w:rPr>
          <w:rFonts w:hint="eastAsia" w:ascii="宋体" w:hAnsi="宋体" w:eastAsia="宋体" w:cs="宋体"/>
          <w:color w:val="auto"/>
          <w:sz w:val="24"/>
          <w:szCs w:val="24"/>
          <w:highlight w:val="none"/>
        </w:rPr>
        <w:t>提出的要求和条件作出明确响应。</w:t>
      </w:r>
    </w:p>
    <w:p>
      <w:pPr>
        <w:pStyle w:val="39"/>
        <w:spacing w:beforeLines="50" w:line="440" w:lineRule="exact"/>
        <w:ind w:firstLine="482" w:firstLineChars="200"/>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 响应文件的递交</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zh-CN" w:eastAsia="zh-CN"/>
        </w:rPr>
      </w:pPr>
      <w:bookmarkStart w:id="83" w:name="_Toc37090648"/>
      <w:bookmarkStart w:id="84" w:name="_Toc12789"/>
      <w:bookmarkStart w:id="85" w:name="_Toc37090984"/>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lang w:val="zh-CN" w:eastAsia="zh-CN"/>
        </w:rPr>
        <w:t>. 响应文件的提交</w:t>
      </w:r>
      <w:bookmarkEnd w:id="83"/>
      <w:bookmarkEnd w:id="84"/>
      <w:bookmarkEnd w:id="85"/>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b w:val="0"/>
          <w:bCs/>
          <w:color w:val="auto"/>
          <w:kern w:val="0"/>
          <w:sz w:val="24"/>
          <w:szCs w:val="24"/>
          <w:highlight w:val="none"/>
          <w:lang w:val="en-US" w:eastAsia="zh-CN"/>
        </w:rPr>
      </w:pPr>
      <w:bookmarkStart w:id="86" w:name="_Toc3502"/>
      <w:bookmarkStart w:id="87" w:name="_Toc37090649"/>
      <w:bookmarkStart w:id="88" w:name="_Toc37090985"/>
      <w:r>
        <w:rPr>
          <w:rFonts w:hint="eastAsia" w:ascii="宋体" w:hAnsi="宋体" w:eastAsia="宋体" w:cs="宋体"/>
          <w:color w:val="auto"/>
          <w:kern w:val="0"/>
          <w:sz w:val="24"/>
          <w:szCs w:val="24"/>
          <w:highlight w:val="none"/>
          <w:lang w:val="en-US" w:eastAsia="zh-CN"/>
        </w:rPr>
        <w:t>23.1 供应商在响应文件递交截至时间前</w:t>
      </w:r>
      <w:bookmarkEnd w:id="86"/>
      <w:r>
        <w:rPr>
          <w:rFonts w:hint="eastAsia" w:ascii="宋体" w:hAnsi="宋体" w:eastAsia="宋体" w:cs="宋体"/>
          <w:b w:val="0"/>
          <w:bCs/>
          <w:color w:val="auto"/>
          <w:kern w:val="0"/>
          <w:sz w:val="24"/>
          <w:szCs w:val="24"/>
          <w:highlight w:val="none"/>
          <w:lang w:val="en-US" w:eastAsia="zh-CN"/>
        </w:rPr>
        <w:t>登录政采云平台https://www.zcygov.cn/后，将加密</w:t>
      </w:r>
      <w:r>
        <w:rPr>
          <w:rFonts w:hint="eastAsia" w:ascii="宋体" w:hAnsi="宋体" w:eastAsia="宋体" w:cs="宋体"/>
          <w:b w:val="0"/>
          <w:bCs/>
          <w:color w:val="auto"/>
          <w:kern w:val="0"/>
          <w:sz w:val="24"/>
          <w:szCs w:val="24"/>
          <w:highlight w:val="none"/>
          <w:lang w:val="zh-CN"/>
        </w:rPr>
        <w:t>电子</w:t>
      </w:r>
      <w:r>
        <w:rPr>
          <w:rFonts w:hint="eastAsia" w:ascii="宋体" w:hAnsi="宋体" w:eastAsia="宋体" w:cs="宋体"/>
          <w:b w:val="0"/>
          <w:bCs/>
          <w:color w:val="auto"/>
          <w:kern w:val="0"/>
          <w:sz w:val="24"/>
          <w:szCs w:val="24"/>
          <w:highlight w:val="none"/>
          <w:lang w:val="en-US" w:eastAsia="zh-CN"/>
        </w:rPr>
        <w:t>响应文件</w:t>
      </w:r>
      <w:r>
        <w:rPr>
          <w:rFonts w:hint="eastAsia" w:ascii="宋体" w:hAnsi="宋体" w:eastAsia="宋体" w:cs="宋体"/>
          <w:b w:val="0"/>
          <w:bCs/>
          <w:color w:val="auto"/>
          <w:kern w:val="0"/>
          <w:sz w:val="24"/>
          <w:szCs w:val="24"/>
          <w:highlight w:val="none"/>
          <w:lang w:val="zh-CN"/>
        </w:rPr>
        <w:t>（</w:t>
      </w:r>
      <w:r>
        <w:rPr>
          <w:rFonts w:hint="eastAsia" w:ascii="宋体" w:hAnsi="宋体" w:eastAsia="宋体" w:cs="宋体"/>
          <w:b w:val="0"/>
          <w:bCs/>
          <w:color w:val="auto"/>
          <w:kern w:val="0"/>
          <w:sz w:val="24"/>
          <w:szCs w:val="24"/>
          <w:highlight w:val="none"/>
          <w:lang w:val="en-US" w:eastAsia="zh-CN"/>
        </w:rPr>
        <w:t>为.jmbs后缀格式</w:t>
      </w:r>
      <w:r>
        <w:rPr>
          <w:rFonts w:hint="eastAsia" w:ascii="宋体" w:hAnsi="宋体" w:eastAsia="宋体" w:cs="宋体"/>
          <w:b w:val="0"/>
          <w:bCs/>
          <w:color w:val="auto"/>
          <w:kern w:val="0"/>
          <w:sz w:val="24"/>
          <w:szCs w:val="24"/>
          <w:highlight w:val="none"/>
          <w:lang w:val="zh-CN"/>
        </w:rPr>
        <w:t>）</w:t>
      </w:r>
      <w:r>
        <w:rPr>
          <w:rFonts w:hint="eastAsia" w:ascii="宋体" w:hAnsi="宋体" w:eastAsia="宋体" w:cs="宋体"/>
          <w:b w:val="0"/>
          <w:bCs/>
          <w:color w:val="auto"/>
          <w:kern w:val="0"/>
          <w:sz w:val="24"/>
          <w:szCs w:val="24"/>
          <w:highlight w:val="none"/>
          <w:lang w:val="en-US" w:eastAsia="zh-CN"/>
        </w:rPr>
        <w:t>上</w:t>
      </w:r>
      <w:r>
        <w:rPr>
          <w:rFonts w:hint="eastAsia" w:ascii="宋体" w:hAnsi="宋体" w:eastAsia="宋体" w:cs="宋体"/>
          <w:b w:val="0"/>
          <w:bCs/>
          <w:color w:val="auto"/>
          <w:kern w:val="0"/>
          <w:sz w:val="24"/>
          <w:szCs w:val="24"/>
          <w:highlight w:val="none"/>
          <w:lang w:val="zh-CN"/>
        </w:rPr>
        <w:t>传到</w:t>
      </w:r>
      <w:r>
        <w:rPr>
          <w:rFonts w:hint="eastAsia" w:ascii="宋体" w:hAnsi="宋体" w:eastAsia="宋体" w:cs="宋体"/>
          <w:b w:val="0"/>
          <w:bCs/>
          <w:color w:val="auto"/>
          <w:kern w:val="0"/>
          <w:sz w:val="24"/>
          <w:szCs w:val="24"/>
          <w:highlight w:val="none"/>
          <w:lang w:val="en-US" w:eastAsia="zh-CN"/>
        </w:rPr>
        <w:t>对应项目的的</w:t>
      </w:r>
      <w:r>
        <w:rPr>
          <w:rFonts w:hint="eastAsia" w:ascii="宋体" w:hAnsi="宋体" w:eastAsia="宋体" w:cs="宋体"/>
          <w:b w:val="0"/>
          <w:bCs/>
          <w:color w:val="auto"/>
          <w:kern w:val="0"/>
          <w:sz w:val="24"/>
          <w:szCs w:val="24"/>
          <w:highlight w:val="none"/>
          <w:lang w:val="zh-CN"/>
        </w:rPr>
        <w:t>指定</w:t>
      </w:r>
      <w:r>
        <w:rPr>
          <w:rFonts w:hint="eastAsia" w:ascii="宋体" w:hAnsi="宋体" w:eastAsia="宋体" w:cs="宋体"/>
          <w:b w:val="0"/>
          <w:bCs/>
          <w:color w:val="auto"/>
          <w:kern w:val="0"/>
          <w:sz w:val="24"/>
          <w:szCs w:val="24"/>
          <w:highlight w:val="none"/>
          <w:lang w:val="en-US" w:eastAsia="zh-CN"/>
        </w:rPr>
        <w:t>位置。</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bookmarkStart w:id="89" w:name="_Toc21786"/>
      <w:r>
        <w:rPr>
          <w:rFonts w:hint="eastAsia" w:ascii="宋体" w:hAnsi="宋体" w:eastAsia="宋体" w:cs="宋体"/>
          <w:b/>
          <w:bCs/>
          <w:color w:val="auto"/>
          <w:sz w:val="24"/>
          <w:szCs w:val="24"/>
          <w:highlight w:val="none"/>
          <w:lang w:val="en-US" w:eastAsia="zh-CN"/>
        </w:rPr>
        <w:t>24. 响应文件提交的截止时间</w:t>
      </w:r>
      <w:bookmarkEnd w:id="87"/>
      <w:bookmarkEnd w:id="88"/>
      <w:bookmarkEnd w:id="89"/>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提交的截止时间详见本</w:t>
      </w:r>
      <w:r>
        <w:rPr>
          <w:rFonts w:hint="eastAsia" w:ascii="宋体" w:hAnsi="宋体" w:eastAsia="宋体" w:cs="宋体"/>
          <w:color w:val="auto"/>
          <w:kern w:val="0"/>
          <w:sz w:val="24"/>
          <w:szCs w:val="24"/>
          <w:highlight w:val="none"/>
          <w:lang w:eastAsia="zh-CN"/>
        </w:rPr>
        <w:t>供应商须知</w:t>
      </w:r>
      <w:r>
        <w:rPr>
          <w:rFonts w:hint="eastAsia" w:ascii="宋体" w:hAnsi="宋体" w:eastAsia="宋体" w:cs="宋体"/>
          <w:color w:val="auto"/>
          <w:kern w:val="0"/>
          <w:sz w:val="24"/>
          <w:szCs w:val="24"/>
          <w:highlight w:val="none"/>
        </w:rPr>
        <w:t>前附表规定。</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.2 采购人可按本</w:t>
      </w:r>
      <w:r>
        <w:rPr>
          <w:rFonts w:hint="eastAsia" w:ascii="宋体" w:hAnsi="宋体" w:eastAsia="宋体" w:cs="宋体"/>
          <w:color w:val="auto"/>
          <w:kern w:val="0"/>
          <w:sz w:val="24"/>
          <w:szCs w:val="24"/>
          <w:highlight w:val="none"/>
          <w:lang w:val="en-US" w:eastAsia="zh-CN"/>
        </w:rPr>
        <w:t>须知</w:t>
      </w:r>
      <w:r>
        <w:rPr>
          <w:rFonts w:hint="eastAsia" w:ascii="宋体" w:hAnsi="宋体" w:eastAsia="宋体" w:cs="宋体"/>
          <w:color w:val="auto"/>
          <w:kern w:val="0"/>
          <w:sz w:val="24"/>
          <w:szCs w:val="24"/>
          <w:highlight w:val="none"/>
        </w:rPr>
        <w:t>第14条规定以修改补充通知的方式，酌情延长提交投标书的截止时间。在上述情况下，采购人与供应商在原</w:t>
      </w:r>
      <w:r>
        <w:rPr>
          <w:rFonts w:hint="eastAsia" w:ascii="宋体" w:hAnsi="宋体" w:eastAsia="宋体" w:cs="宋体"/>
          <w:color w:val="auto"/>
          <w:kern w:val="0"/>
          <w:sz w:val="24"/>
          <w:szCs w:val="24"/>
          <w:highlight w:val="none"/>
          <w:lang w:eastAsia="zh-CN"/>
        </w:rPr>
        <w:t>响应文件递交截止</w:t>
      </w:r>
      <w:r>
        <w:rPr>
          <w:rFonts w:hint="eastAsia" w:ascii="宋体" w:hAnsi="宋体" w:eastAsia="宋体" w:cs="宋体"/>
          <w:color w:val="auto"/>
          <w:kern w:val="0"/>
          <w:sz w:val="24"/>
          <w:szCs w:val="24"/>
          <w:highlight w:val="none"/>
        </w:rPr>
        <w:t>时间前的全部权力和义务，将适用于延长后新的</w:t>
      </w:r>
      <w:r>
        <w:rPr>
          <w:rFonts w:hint="eastAsia" w:ascii="宋体" w:hAnsi="宋体" w:eastAsia="宋体" w:cs="宋体"/>
          <w:color w:val="auto"/>
          <w:kern w:val="0"/>
          <w:sz w:val="24"/>
          <w:szCs w:val="24"/>
          <w:highlight w:val="none"/>
          <w:lang w:eastAsia="zh-CN"/>
        </w:rPr>
        <w:t>响应文件递交截止</w:t>
      </w:r>
      <w:r>
        <w:rPr>
          <w:rFonts w:hint="eastAsia" w:ascii="宋体" w:hAnsi="宋体" w:eastAsia="宋体" w:cs="宋体"/>
          <w:color w:val="auto"/>
          <w:kern w:val="0"/>
          <w:sz w:val="24"/>
          <w:szCs w:val="24"/>
          <w:highlight w:val="none"/>
        </w:rPr>
        <w:t>时间。</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截至</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递交截止时间，采购人收到的</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少于3个的，采购人将依法重新组织</w:t>
      </w:r>
      <w:r>
        <w:rPr>
          <w:rFonts w:hint="eastAsia" w:ascii="宋体" w:hAnsi="宋体" w:eastAsia="宋体" w:cs="宋体"/>
          <w:color w:val="auto"/>
          <w:kern w:val="0"/>
          <w:sz w:val="24"/>
          <w:szCs w:val="24"/>
          <w:highlight w:val="none"/>
          <w:lang w:val="en-US" w:eastAsia="zh-CN"/>
        </w:rPr>
        <w:t>采购活动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过程中有效供应商少于3个的，应终止</w:t>
      </w:r>
      <w:r>
        <w:rPr>
          <w:rFonts w:hint="eastAsia" w:ascii="宋体" w:hAnsi="宋体" w:eastAsia="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，由采购人依法重新组织</w:t>
      </w:r>
      <w:r>
        <w:rPr>
          <w:rFonts w:hint="eastAsia" w:ascii="宋体" w:hAnsi="宋体" w:eastAsia="宋体" w:cs="宋体"/>
          <w:color w:val="auto"/>
          <w:kern w:val="0"/>
          <w:sz w:val="24"/>
          <w:szCs w:val="24"/>
          <w:highlight w:val="none"/>
          <w:lang w:val="en-US" w:eastAsia="zh-CN"/>
        </w:rPr>
        <w:t>采购活动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政府购买服务项目（含政府和社会资本合作项目），在采购过程中符合要求的供应商（社会资本）只有2家的，竞争性磋商采购活动可以继续进行。</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bookmarkStart w:id="90" w:name="_Toc37090650"/>
      <w:bookmarkStart w:id="91" w:name="_Toc12863"/>
      <w:bookmarkStart w:id="92" w:name="_Toc37090986"/>
      <w:r>
        <w:rPr>
          <w:rFonts w:hint="eastAsia" w:ascii="宋体" w:hAnsi="宋体" w:eastAsia="宋体" w:cs="宋体"/>
          <w:b/>
          <w:bCs/>
          <w:color w:val="auto"/>
          <w:sz w:val="24"/>
          <w:szCs w:val="24"/>
          <w:highlight w:val="none"/>
          <w:lang w:val="en-US" w:eastAsia="zh-CN"/>
        </w:rPr>
        <w:t>25. 迟交的</w:t>
      </w:r>
      <w:bookmarkEnd w:id="90"/>
      <w:bookmarkEnd w:id="91"/>
      <w:bookmarkEnd w:id="92"/>
      <w:r>
        <w:rPr>
          <w:rFonts w:hint="eastAsia" w:ascii="宋体" w:hAnsi="宋体" w:eastAsia="宋体" w:cs="宋体"/>
          <w:b/>
          <w:bCs/>
          <w:color w:val="auto"/>
          <w:sz w:val="24"/>
          <w:szCs w:val="24"/>
          <w:highlight w:val="none"/>
          <w:lang w:val="en-US" w:eastAsia="zh-CN"/>
        </w:rPr>
        <w:t>响应文件</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供应商在本</w:t>
      </w:r>
      <w:r>
        <w:rPr>
          <w:rFonts w:hint="eastAsia" w:ascii="宋体" w:hAnsi="宋体" w:eastAsia="宋体" w:cs="宋体"/>
          <w:color w:val="auto"/>
          <w:kern w:val="0"/>
          <w:sz w:val="24"/>
          <w:szCs w:val="24"/>
          <w:highlight w:val="none"/>
          <w:lang w:eastAsia="zh-CN"/>
        </w:rPr>
        <w:t>供应商须知</w:t>
      </w:r>
      <w:r>
        <w:rPr>
          <w:rFonts w:hint="eastAsia" w:ascii="宋体" w:hAnsi="宋体" w:eastAsia="宋体" w:cs="宋体"/>
          <w:color w:val="auto"/>
          <w:kern w:val="0"/>
          <w:sz w:val="24"/>
          <w:szCs w:val="24"/>
          <w:highlight w:val="none"/>
        </w:rPr>
        <w:t>前附表规定的</w:t>
      </w:r>
      <w:r>
        <w:rPr>
          <w:rFonts w:hint="eastAsia" w:ascii="宋体" w:hAnsi="宋体" w:eastAsia="宋体" w:cs="宋体"/>
          <w:color w:val="auto"/>
          <w:kern w:val="0"/>
          <w:sz w:val="24"/>
          <w:szCs w:val="24"/>
          <w:highlight w:val="none"/>
          <w:lang w:eastAsia="zh-CN"/>
        </w:rPr>
        <w:t>响应文件递交截止</w:t>
      </w:r>
      <w:r>
        <w:rPr>
          <w:rFonts w:hint="eastAsia" w:ascii="宋体" w:hAnsi="宋体" w:eastAsia="宋体" w:cs="宋体"/>
          <w:color w:val="auto"/>
          <w:kern w:val="0"/>
          <w:sz w:val="24"/>
          <w:szCs w:val="24"/>
          <w:highlight w:val="none"/>
        </w:rPr>
        <w:t>时间以后送达的</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lang w:val="en-US" w:eastAsia="zh-CN"/>
        </w:rPr>
        <w:t>政采云平台”</w:t>
      </w:r>
      <w:r>
        <w:rPr>
          <w:rFonts w:hint="eastAsia" w:ascii="宋体" w:hAnsi="宋体" w:eastAsia="宋体" w:cs="宋体"/>
          <w:color w:val="auto"/>
          <w:kern w:val="0"/>
          <w:sz w:val="24"/>
          <w:szCs w:val="24"/>
          <w:highlight w:val="none"/>
        </w:rPr>
        <w:t>将</w:t>
      </w:r>
      <w:r>
        <w:rPr>
          <w:rFonts w:hint="eastAsia" w:ascii="宋体" w:hAnsi="宋体" w:eastAsia="宋体" w:cs="宋体"/>
          <w:color w:val="auto"/>
          <w:kern w:val="0"/>
          <w:sz w:val="24"/>
          <w:szCs w:val="24"/>
          <w:highlight w:val="none"/>
          <w:lang w:val="en-US" w:eastAsia="zh-CN"/>
        </w:rPr>
        <w:t>拒绝接受，采购人对于逾期未上传到指定位置的响应文件不予受理</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bookmarkStart w:id="93" w:name="_Toc30465"/>
      <w:r>
        <w:rPr>
          <w:rFonts w:hint="eastAsia" w:ascii="宋体" w:hAnsi="宋体" w:eastAsia="宋体" w:cs="宋体"/>
          <w:b/>
          <w:bCs/>
          <w:color w:val="auto"/>
          <w:sz w:val="24"/>
          <w:szCs w:val="24"/>
          <w:highlight w:val="none"/>
          <w:lang w:val="en-US" w:eastAsia="zh-CN"/>
        </w:rPr>
        <w:t>26. 响应文件的补充、修改与撤回</w:t>
      </w:r>
      <w:bookmarkEnd w:id="9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26.1 供应商在供应商须知前附表规定的响应文件递交截止时间之前，可在政采云平台上随时撤回已上传的电子响应文件，将修改好的电子响应文件在响应文件递交截止时间前重新上传到政采云平台的制定位置。</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 开标/磋商</w:t>
      </w:r>
    </w:p>
    <w:p>
      <w:pPr>
        <w:spacing w:line="440" w:lineRule="exact"/>
        <w:ind w:firstLine="482" w:firstLineChars="200"/>
        <w:rPr>
          <w:rFonts w:ascii="宋体" w:hAnsi="宋体" w:eastAsia="宋体" w:cs="宋体"/>
          <w:b/>
          <w:bCs/>
          <w:color w:val="auto"/>
          <w:sz w:val="24"/>
          <w:szCs w:val="24"/>
          <w:highlight w:val="none"/>
        </w:rPr>
      </w:pPr>
      <w:bookmarkStart w:id="94" w:name="_Toc28893"/>
      <w:bookmarkStart w:id="95" w:name="_Toc37090988"/>
      <w:bookmarkStart w:id="96" w:name="_Toc37090652"/>
      <w:r>
        <w:rPr>
          <w:rFonts w:hint="eastAsia" w:ascii="宋体" w:hAnsi="宋体" w:eastAsia="宋体" w:cs="宋体"/>
          <w:b/>
          <w:bCs/>
          <w:color w:val="auto"/>
          <w:sz w:val="24"/>
          <w:szCs w:val="24"/>
          <w:highlight w:val="none"/>
        </w:rPr>
        <w:t>28.</w:t>
      </w:r>
      <w:bookmarkEnd w:id="94"/>
      <w:r>
        <w:rPr>
          <w:rFonts w:hint="eastAsia" w:ascii="宋体" w:hAnsi="宋体" w:eastAsia="宋体" w:cs="宋体"/>
          <w:b/>
          <w:bCs/>
          <w:color w:val="auto"/>
          <w:sz w:val="24"/>
          <w:szCs w:val="24"/>
          <w:highlight w:val="none"/>
        </w:rPr>
        <w:t>开标/磋商</w:t>
      </w:r>
    </w:p>
    <w:bookmarkEnd w:id="95"/>
    <w:bookmarkEnd w:id="96"/>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sz w:val="24"/>
          <w:highlight w:val="none"/>
          <w:lang w:val="en-US" w:eastAsia="zh-CN"/>
        </w:rPr>
      </w:pPr>
      <w:bookmarkStart w:id="97" w:name="_Toc21715"/>
      <w:r>
        <w:rPr>
          <w:rFonts w:hint="eastAsia" w:ascii="宋体" w:hAnsi="宋体" w:eastAsia="宋体" w:cs="宋体"/>
          <w:color w:val="auto"/>
          <w:sz w:val="24"/>
          <w:highlight w:val="none"/>
          <w:lang w:val="en-US" w:eastAsia="zh-CN"/>
        </w:rPr>
        <w:t>28.1 采购人在规定的响应文件递交截止时间（开标/磋商时间）和供应商须知前附表规定的地点进行不见面远程开标/磋商。供应商的法定代表人或其委托代理人无需到达开标/磋商现场，仅需在任意地点</w:t>
      </w:r>
      <w:r>
        <w:rPr>
          <w:rFonts w:hint="eastAsia" w:ascii="宋体" w:hAnsi="宋体" w:eastAsia="宋体" w:cs="宋体"/>
          <w:b w:val="0"/>
          <w:bCs/>
          <w:color w:val="auto"/>
          <w:kern w:val="0"/>
          <w:sz w:val="24"/>
          <w:szCs w:val="24"/>
          <w:highlight w:val="none"/>
          <w:lang w:val="en-US" w:eastAsia="zh-CN"/>
        </w:rPr>
        <w:t>登录政采云平台https://www.zcygov.cn/进入“</w:t>
      </w:r>
      <w:r>
        <w:rPr>
          <w:rFonts w:hint="eastAsia" w:ascii="宋体" w:hAnsi="宋体" w:eastAsia="宋体" w:cs="宋体"/>
          <w:color w:val="auto"/>
          <w:sz w:val="24"/>
          <w:highlight w:val="none"/>
          <w:lang w:val="en-US" w:eastAsia="zh-CN"/>
        </w:rPr>
        <w:t>政采云远程开标大厅”参加开标/磋商会议，并使用CA密钥完成远程解密、提疑澄清、开标/磋商唱标、二次报价、结果公布等交互环节。</w:t>
      </w:r>
      <w:bookmarkEnd w:id="97"/>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28.2 开标/磋商时，各供应商应在规定的解密时间（30分钟）内对本单位加密的电子响应文件进行解密，如在规定的解密时间内仍有供应商未解密，采购代理机构将采取“异常处理”，开启该单位的备份标书。采购代理机构工作人员在监督人员或公证人员监督下开启响应文件。</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 磋商小组与评审</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29.评审工作由采购人依法组建的磋商小组负责。磋商小组的名单在评审结果公告前应当保密。</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 本项目磋商小组由</w:t>
      </w:r>
      <w:r>
        <w:rPr>
          <w:rFonts w:hint="eastAsia" w:ascii="宋体" w:hAnsi="宋体" w:eastAsia="宋体" w:cs="宋体"/>
          <w:color w:val="auto"/>
          <w:kern w:val="0"/>
          <w:sz w:val="24"/>
          <w:szCs w:val="24"/>
          <w:highlight w:val="none"/>
          <w:u w:val="single"/>
        </w:rPr>
        <w:t xml:space="preserve">3 </w:t>
      </w:r>
      <w:r>
        <w:rPr>
          <w:rFonts w:hint="eastAsia" w:ascii="宋体" w:hAnsi="宋体" w:eastAsia="宋体" w:cs="宋体"/>
          <w:color w:val="auto"/>
          <w:kern w:val="0"/>
          <w:sz w:val="24"/>
          <w:szCs w:val="24"/>
          <w:highlight w:val="none"/>
        </w:rPr>
        <w:t>人组成，其中：专家库中随机抽取专家</w:t>
      </w:r>
      <w:r>
        <w:rPr>
          <w:rFonts w:hint="eastAsia" w:ascii="宋体" w:hAnsi="宋体" w:eastAsia="宋体" w:cs="宋体"/>
          <w:color w:val="auto"/>
          <w:kern w:val="0"/>
          <w:sz w:val="24"/>
          <w:szCs w:val="24"/>
          <w:highlight w:val="none"/>
          <w:u w:val="single"/>
        </w:rPr>
        <w:t xml:space="preserve"> 2 </w:t>
      </w:r>
      <w:r>
        <w:rPr>
          <w:rFonts w:hint="eastAsia" w:ascii="宋体" w:hAnsi="宋体" w:eastAsia="宋体" w:cs="宋体"/>
          <w:color w:val="auto"/>
          <w:kern w:val="0"/>
          <w:sz w:val="24"/>
          <w:szCs w:val="24"/>
          <w:highlight w:val="none"/>
        </w:rPr>
        <w:t>人,采购人代表</w:t>
      </w:r>
      <w:r>
        <w:rPr>
          <w:rFonts w:hint="eastAsia" w:ascii="宋体" w:hAnsi="宋体" w:eastAsia="宋体" w:cs="宋体"/>
          <w:color w:val="auto"/>
          <w:kern w:val="0"/>
          <w:sz w:val="24"/>
          <w:szCs w:val="24"/>
          <w:highlight w:val="none"/>
          <w:u w:val="single"/>
        </w:rPr>
        <w:t xml:space="preserve"> 1 </w:t>
      </w:r>
      <w:r>
        <w:rPr>
          <w:rFonts w:hint="eastAsia" w:ascii="宋体" w:hAnsi="宋体" w:eastAsia="宋体" w:cs="宋体"/>
          <w:color w:val="auto"/>
          <w:kern w:val="0"/>
          <w:sz w:val="24"/>
          <w:szCs w:val="24"/>
          <w:highlight w:val="none"/>
        </w:rPr>
        <w:t>人。</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29.2 参与过本项目的论证专家不得作为评审专家参加评审，采购人不得以专家身份参与评审。</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29.3磋商小组主任由磋商小组成员推举产生，并与磋商小组其他成员有同等的权利和义务。采购人代表不得担任磋商小组组长。</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29.4 磋商小组成员应当客观、公正地履行职责，遵守职业道德，对所提出的评审意见承担个人责任。</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29.5 磋商小组根据</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确定的评比标准和方法，对响应文件进行系统地评审和比较。</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中没有规定的标准和方法不得作为评审的依据。</w:t>
      </w:r>
    </w:p>
    <w:p>
      <w:pPr>
        <w:shd w:val="clear" w:color="auto" w:fill="FFFFFF"/>
        <w:spacing w:line="440" w:lineRule="exact"/>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29.6 在评审过程中，磋商小组发现有证据表明供应商以他人的名义投标、串通投标、以行贿手段谋取成交或者以其他弄虚作假方式参加磋商的，该供应商的响应文件作无效处理。并在评审报告中说明。</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 授予合同</w:t>
      </w:r>
    </w:p>
    <w:p>
      <w:pPr>
        <w:spacing w:line="440" w:lineRule="exact"/>
        <w:ind w:firstLine="482" w:firstLineChars="200"/>
        <w:rPr>
          <w:rFonts w:ascii="宋体" w:hAnsi="宋体" w:eastAsia="宋体" w:cs="宋体"/>
          <w:b/>
          <w:bCs/>
          <w:color w:val="auto"/>
          <w:sz w:val="24"/>
          <w:szCs w:val="24"/>
          <w:highlight w:val="none"/>
        </w:rPr>
      </w:pPr>
      <w:bookmarkStart w:id="98" w:name="_Toc37090661"/>
      <w:bookmarkStart w:id="99" w:name="_Toc30338"/>
      <w:bookmarkStart w:id="100" w:name="_Toc37090997"/>
      <w:r>
        <w:rPr>
          <w:rFonts w:hint="eastAsia" w:ascii="宋体" w:hAnsi="宋体" w:eastAsia="宋体" w:cs="宋体"/>
          <w:b/>
          <w:bCs/>
          <w:color w:val="auto"/>
          <w:sz w:val="24"/>
          <w:szCs w:val="24"/>
          <w:highlight w:val="none"/>
        </w:rPr>
        <w:t>30. 确定</w:t>
      </w:r>
      <w:bookmarkEnd w:id="98"/>
      <w:bookmarkEnd w:id="99"/>
      <w:bookmarkEnd w:id="100"/>
      <w:r>
        <w:rPr>
          <w:rFonts w:hint="eastAsia" w:ascii="宋体" w:hAnsi="宋体" w:eastAsia="宋体" w:cs="宋体"/>
          <w:b/>
          <w:bCs/>
          <w:color w:val="auto"/>
          <w:sz w:val="24"/>
          <w:szCs w:val="24"/>
          <w:highlight w:val="none"/>
        </w:rPr>
        <w:t>成交供应商</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 成交的标准</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30.1.1响应文件满足</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全部实质性要求；</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30.1.2 具有良好的履行合同的能力和条件；</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30.1.3 能够最大限度满足</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的各项要求；</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30.2 采购人将确定资格合格的成交候选人为成交供应商。</w:t>
      </w:r>
    </w:p>
    <w:p>
      <w:pPr>
        <w:spacing w:line="440" w:lineRule="exact"/>
        <w:ind w:firstLine="482" w:firstLineChars="200"/>
        <w:rPr>
          <w:rFonts w:ascii="宋体" w:hAnsi="宋体" w:eastAsia="宋体" w:cs="宋体"/>
          <w:b/>
          <w:bCs/>
          <w:color w:val="auto"/>
          <w:sz w:val="24"/>
          <w:szCs w:val="24"/>
          <w:highlight w:val="none"/>
        </w:rPr>
      </w:pPr>
      <w:bookmarkStart w:id="101" w:name="_Toc37090998"/>
      <w:bookmarkStart w:id="102" w:name="_Toc37090662"/>
      <w:bookmarkStart w:id="103" w:name="_Toc8758"/>
      <w:r>
        <w:rPr>
          <w:rFonts w:hint="eastAsia" w:ascii="宋体" w:hAnsi="宋体" w:eastAsia="宋体" w:cs="宋体"/>
          <w:b/>
          <w:bCs/>
          <w:color w:val="auto"/>
          <w:sz w:val="24"/>
          <w:szCs w:val="24"/>
          <w:highlight w:val="none"/>
        </w:rPr>
        <w:t>31. 授予合同的准则</w:t>
      </w:r>
      <w:bookmarkEnd w:id="101"/>
      <w:bookmarkEnd w:id="102"/>
      <w:bookmarkEnd w:id="103"/>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 采购人将把合同授予经确认的成交供应商。</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bookmarkStart w:id="104" w:name="_Toc16518"/>
      <w:bookmarkStart w:id="105" w:name="_Toc37090999"/>
      <w:bookmarkStart w:id="106" w:name="_Toc37090663"/>
      <w:r>
        <w:rPr>
          <w:rFonts w:hint="eastAsia" w:ascii="宋体" w:hAnsi="宋体" w:eastAsia="宋体" w:cs="宋体"/>
          <w:b/>
          <w:color w:val="auto"/>
          <w:kern w:val="0"/>
          <w:sz w:val="24"/>
          <w:szCs w:val="24"/>
          <w:highlight w:val="none"/>
        </w:rPr>
        <w:t>（八） 成交通知书</w:t>
      </w:r>
      <w:bookmarkEnd w:id="104"/>
      <w:bookmarkEnd w:id="105"/>
      <w:bookmarkEnd w:id="106"/>
    </w:p>
    <w:p>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32.成交通知书</w:t>
      </w:r>
    </w:p>
    <w:p>
      <w:pPr>
        <w:shd w:val="clear" w:color="auto" w:fill="FFFFFF"/>
        <w:spacing w:line="440" w:lineRule="exact"/>
        <w:ind w:firstLine="484" w:firstLineChars="202"/>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32.1采购人依据磋商小组推荐的成交候选人排序确定排名第一的成交候选人为成交供应商后，</w:t>
      </w:r>
      <w:r>
        <w:rPr>
          <w:rFonts w:hint="eastAsia" w:ascii="宋体" w:hAnsi="宋体" w:cs="宋体"/>
          <w:color w:val="auto"/>
          <w:kern w:val="0"/>
          <w:sz w:val="24"/>
          <w:highlight w:val="none"/>
        </w:rPr>
        <w:t>将</w:t>
      </w:r>
      <w:r>
        <w:rPr>
          <w:rFonts w:hint="eastAsia" w:ascii="宋体" w:hAnsi="宋体" w:cs="宋体"/>
          <w:color w:val="auto"/>
          <w:kern w:val="0"/>
          <w:sz w:val="24"/>
          <w:highlight w:val="none"/>
          <w:lang w:val="en-US" w:eastAsia="zh-CN"/>
        </w:rPr>
        <w:t>在新疆政府采购网（http://www.ccgp-xinjiang.gov.cn/）上发布</w:t>
      </w:r>
      <w:r>
        <w:rPr>
          <w:rFonts w:hint="eastAsia" w:ascii="宋体" w:hAnsi="宋体" w:cs="宋体"/>
          <w:color w:val="auto"/>
          <w:sz w:val="24"/>
          <w:highlight w:val="none"/>
        </w:rPr>
        <w:t>中标结果</w:t>
      </w:r>
      <w:r>
        <w:rPr>
          <w:rFonts w:hint="eastAsia" w:ascii="宋体" w:hAnsi="宋体" w:cs="宋体"/>
          <w:color w:val="auto"/>
          <w:sz w:val="24"/>
          <w:highlight w:val="none"/>
          <w:lang w:val="en-US" w:eastAsia="zh-CN"/>
        </w:rPr>
        <w:t>公告，公告期限为</w:t>
      </w:r>
      <w:r>
        <w:rPr>
          <w:rFonts w:hint="eastAsia" w:ascii="宋体" w:hAnsi="宋体" w:cs="宋体"/>
          <w:color w:val="auto"/>
          <w:sz w:val="24"/>
          <w:highlight w:val="none"/>
        </w:rPr>
        <w:t>1工作日，</w:t>
      </w:r>
      <w:r>
        <w:rPr>
          <w:rFonts w:hint="eastAsia" w:ascii="宋体" w:hAnsi="宋体" w:eastAsia="宋体" w:cs="宋体"/>
          <w:color w:val="auto"/>
          <w:sz w:val="24"/>
          <w:szCs w:val="24"/>
          <w:highlight w:val="none"/>
        </w:rPr>
        <w:t>同时向成交供应商发出《成交通知书》。</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32.2《成交通知书》对成交供应商和成交供应商具有法律约束力。《成交通知书》发出后，采购人不得违法改变成交结果，成交供应商无正当理由不得放弃成交。 </w:t>
      </w:r>
    </w:p>
    <w:p>
      <w:pPr>
        <w:numPr>
          <w:ilvl w:val="0"/>
          <w:numId w:val="4"/>
        </w:numPr>
        <w:shd w:val="clear" w:color="auto" w:fill="FFFFFF"/>
        <w:spacing w:beforeLines="50" w:afterLines="50" w:line="440" w:lineRule="exact"/>
        <w:jc w:val="center"/>
        <w:rPr>
          <w:rFonts w:ascii="宋体" w:hAnsi="宋体" w:eastAsia="宋体" w:cs="宋体"/>
          <w:b/>
          <w:color w:val="auto"/>
          <w:kern w:val="0"/>
          <w:sz w:val="24"/>
          <w:szCs w:val="24"/>
          <w:highlight w:val="none"/>
        </w:rPr>
      </w:pPr>
      <w:bookmarkStart w:id="107" w:name="_Toc17984"/>
      <w:bookmarkStart w:id="108" w:name="_Toc37090664"/>
      <w:bookmarkStart w:id="109" w:name="_Toc37091000"/>
      <w:r>
        <w:rPr>
          <w:rFonts w:hint="eastAsia" w:ascii="宋体" w:hAnsi="宋体" w:eastAsia="宋体" w:cs="宋体"/>
          <w:b/>
          <w:color w:val="auto"/>
          <w:kern w:val="0"/>
          <w:sz w:val="24"/>
          <w:szCs w:val="24"/>
          <w:highlight w:val="none"/>
        </w:rPr>
        <w:t>合同的签订</w:t>
      </w:r>
      <w:bookmarkEnd w:id="107"/>
    </w:p>
    <w:p>
      <w:pPr>
        <w:spacing w:line="440" w:lineRule="exact"/>
        <w:ind w:firstLine="482" w:firstLineChars="200"/>
        <w:rPr>
          <w:rFonts w:ascii="宋体" w:hAnsi="宋体" w:eastAsia="宋体" w:cs="宋体"/>
          <w:b/>
          <w:bCs/>
          <w:color w:val="auto"/>
          <w:sz w:val="24"/>
          <w:szCs w:val="24"/>
          <w:highlight w:val="none"/>
        </w:rPr>
      </w:pPr>
      <w:bookmarkStart w:id="110" w:name="_Toc1090"/>
      <w:r>
        <w:rPr>
          <w:rFonts w:hint="eastAsia" w:ascii="宋体" w:hAnsi="宋体" w:eastAsia="宋体" w:cs="宋体"/>
          <w:b/>
          <w:bCs/>
          <w:color w:val="auto"/>
          <w:sz w:val="24"/>
          <w:szCs w:val="24"/>
          <w:highlight w:val="none"/>
        </w:rPr>
        <w:t>33. 合同的签订</w:t>
      </w:r>
      <w:bookmarkEnd w:id="108"/>
      <w:bookmarkEnd w:id="109"/>
      <w:bookmarkEnd w:id="110"/>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33.1采购人应当自《成交通知书》发出之日起30日内，按照</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和成交供应商响应文件的规定，与成交供应商签订书面合同。所签订的合同不得对</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确定的事项和成交供应商响应文件作实质性修改。</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要求成交供应商提交履约保证金或者其他形式履约担保的，成交供应商应当提交；拒绝提交的，视为放弃成交项目。</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和成交供应商的响应文件均是该书面合同的附件。</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33.4成交供应商因不可抗力或自身原因不能履行采购合同的，采购人可以与排位在成交供应商之后第一位的成交候选人签订采购合同，以此类推。或采购人重新组织采购活动。</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33.5 政府采购项目的采购合同自签订之日起七个工作日内，采购人应当将合同副本报同级政府采购监督管理部门和有关部门备案。</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（十）买方授标时更改采购服务数量的权利</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34.采购人在授予合同时有权按“供应商须知前附表”第17项约定的内容对采购需求中规定物资数量予以局部增加或减少，但不得实质性内容做任何改变，对增减的数量按同类型成交服务价结算。</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（十一）质疑与投诉</w:t>
      </w:r>
    </w:p>
    <w:p>
      <w:pPr>
        <w:shd w:val="clear" w:color="auto" w:fill="FFFFFF"/>
        <w:spacing w:line="440" w:lineRule="exact"/>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35.质疑与投诉</w:t>
      </w:r>
    </w:p>
    <w:p>
      <w:pPr>
        <w:shd w:val="clear" w:color="auto" w:fill="FFFFFF"/>
        <w:spacing w:line="440" w:lineRule="exact"/>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35.1 供应商认为</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采购过程、成交或者成交结果使自己的权益受到损害的，可以在知道或者应知其权益受到损害之日起七个工作日内，向采购人、采购代理机构提出质疑。供应商须在法定质疑期内一次性提出针对同一采购程序环节的质疑。</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 质疑函的必备内容</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35.2.1 供应商提交的质疑函必须注明单位名称、地址、邮编、可供查询的单位和法定代表人的电话号码、联系人电话；</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35.2.2 质疑项目的名称、编号；</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35.2.3 具体质疑事项和与质疑事项相关的请求；</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35.2.4 事实依据；</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35.2.5 提起质疑的日期；</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35.2.6 质疑函须加盖单位</w:t>
      </w:r>
      <w:r>
        <w:rPr>
          <w:rFonts w:hint="eastAsia" w:ascii="宋体" w:hAnsi="宋体" w:eastAsia="宋体" w:cs="宋体"/>
          <w:color w:val="auto"/>
          <w:sz w:val="24"/>
          <w:szCs w:val="24"/>
          <w:highlight w:val="none"/>
          <w:lang w:eastAsia="zh-CN"/>
        </w:rPr>
        <w:t>电子公章</w:t>
      </w:r>
      <w:r>
        <w:rPr>
          <w:rFonts w:hint="eastAsia" w:ascii="宋体" w:hAnsi="宋体" w:eastAsia="宋体" w:cs="宋体"/>
          <w:color w:val="auto"/>
          <w:sz w:val="24"/>
          <w:szCs w:val="24"/>
          <w:highlight w:val="none"/>
        </w:rPr>
        <w:t>，由法定代表人签章。</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35.2.7 委托代理人递交质疑函的，还须提交委托质疑事项的授权委托书（附法定代表人和被授权人的身份证正反面），加盖单位</w:t>
      </w:r>
      <w:r>
        <w:rPr>
          <w:rFonts w:hint="eastAsia" w:ascii="宋体" w:hAnsi="宋体" w:eastAsia="宋体" w:cs="宋体"/>
          <w:color w:val="auto"/>
          <w:sz w:val="24"/>
          <w:szCs w:val="24"/>
          <w:highlight w:val="none"/>
          <w:lang w:eastAsia="zh-CN"/>
        </w:rPr>
        <w:t>电子公章</w:t>
      </w:r>
      <w:r>
        <w:rPr>
          <w:rFonts w:hint="eastAsia" w:ascii="宋体" w:hAnsi="宋体" w:eastAsia="宋体" w:cs="宋体"/>
          <w:color w:val="auto"/>
          <w:sz w:val="24"/>
          <w:szCs w:val="24"/>
          <w:highlight w:val="none"/>
        </w:rPr>
        <w:t>和法定代表人签章和被授权人签字，同时出示被授权人身份证。</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 质疑应符合下列条件：</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35.3.1 质疑人是参与所质疑项目的采购活动的供应商；</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35.3.2 质疑函内容符合相关的规定；</w:t>
      </w:r>
    </w:p>
    <w:p>
      <w:pPr>
        <w:shd w:val="clear" w:color="auto" w:fill="FFFFFF"/>
        <w:tabs>
          <w:tab w:val="left" w:pos="929"/>
        </w:tabs>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35.3.3 在规定的有效期限内提起质疑；</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35.3.4 招投标监管部门规定的其他条件。</w:t>
      </w:r>
    </w:p>
    <w:p>
      <w:pPr>
        <w:shd w:val="clear" w:color="auto" w:fill="FFFFFF"/>
        <w:spacing w:line="440" w:lineRule="exact"/>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35.4 采购人在收到供应商的书面质疑后七个工作日内作出答复，并以书面形式通知质疑供应商和其他有关供应商，但答复的内容不涉及商业秘密。作出答复前，将暂停招标采购活动。</w:t>
      </w:r>
    </w:p>
    <w:p>
      <w:pPr>
        <w:shd w:val="clear" w:color="auto" w:fill="FFFFFF"/>
        <w:adjustRightInd w:val="0"/>
        <w:snapToGrid w:val="0"/>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35.5 提出质疑的供应商对答复不满意的，可以在答复期满后十五个工作日内向同级政府招标采购监督管理部门投诉。政府招标采购监督管理部门应当在收到投诉三十个工作日内，对投诉事项作出处理决定，并以书面形式通知投诉人和与投诉事项相关的当事人。</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bookmarkStart w:id="111" w:name="_Toc37091001"/>
      <w:bookmarkStart w:id="112" w:name="_Toc37090665"/>
      <w:r>
        <w:rPr>
          <w:rFonts w:hint="eastAsia" w:ascii="宋体" w:hAnsi="宋体" w:eastAsia="宋体" w:cs="宋体"/>
          <w:b/>
          <w:color w:val="auto"/>
          <w:kern w:val="0"/>
          <w:sz w:val="24"/>
          <w:szCs w:val="24"/>
          <w:highlight w:val="none"/>
        </w:rPr>
        <w:t>（十二）履约担保（本项目不适用）</w:t>
      </w:r>
    </w:p>
    <w:p>
      <w:pPr>
        <w:spacing w:line="440" w:lineRule="exact"/>
        <w:ind w:firstLine="482" w:firstLineChars="200"/>
        <w:rPr>
          <w:rFonts w:ascii="宋体" w:hAnsi="宋体" w:eastAsia="宋体" w:cs="宋体"/>
          <w:b/>
          <w:bCs/>
          <w:color w:val="auto"/>
          <w:sz w:val="24"/>
          <w:szCs w:val="24"/>
          <w:highlight w:val="none"/>
        </w:rPr>
      </w:pPr>
      <w:bookmarkStart w:id="113" w:name="_Toc18714"/>
      <w:r>
        <w:rPr>
          <w:rFonts w:hint="eastAsia" w:ascii="宋体" w:hAnsi="宋体" w:eastAsia="宋体" w:cs="宋体"/>
          <w:b/>
          <w:bCs/>
          <w:color w:val="auto"/>
          <w:sz w:val="24"/>
          <w:szCs w:val="24"/>
          <w:highlight w:val="none"/>
        </w:rPr>
        <w:t>36. 履约担保</w:t>
      </w:r>
      <w:bookmarkEnd w:id="111"/>
      <w:bookmarkEnd w:id="112"/>
      <w:bookmarkEnd w:id="113"/>
    </w:p>
    <w:p>
      <w:pPr>
        <w:shd w:val="clear" w:color="auto" w:fill="FFFFFF"/>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36.1成交供应商须在与采购人签署合同前按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有关要求提交履约担保。成交供应商应按照下列规定的方式和金额向采购人提交履约担保。</w:t>
      </w:r>
    </w:p>
    <w:p>
      <w:pPr>
        <w:shd w:val="clear" w:color="auto" w:fill="FFFFFF"/>
        <w:adjustRightInd w:val="0"/>
        <w:snapToGrid w:val="0"/>
        <w:spacing w:line="440" w:lineRule="exact"/>
        <w:ind w:firstLine="480" w:firstLineChars="200"/>
        <w:rPr>
          <w:rFonts w:ascii="宋体" w:hAnsi="宋体" w:eastAsia="宋体" w:cs="宋体"/>
          <w:color w:val="auto"/>
          <w:sz w:val="24"/>
          <w:szCs w:val="24"/>
          <w:highlight w:val="none"/>
        </w:rPr>
      </w:pPr>
      <w:bookmarkStart w:id="114" w:name="_Toc37090666"/>
      <w:bookmarkStart w:id="115" w:name="_Toc37091002"/>
      <w:bookmarkStart w:id="116" w:name="_Toc30886"/>
      <w:r>
        <w:rPr>
          <w:rFonts w:hint="eastAsia" w:ascii="宋体" w:hAnsi="宋体" w:eastAsia="宋体" w:cs="宋体"/>
          <w:color w:val="auto"/>
          <w:sz w:val="24"/>
          <w:szCs w:val="24"/>
          <w:highlight w:val="none"/>
        </w:rPr>
        <w:t>36.2 履约担保采用下列</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方式</w:t>
      </w:r>
      <w:bookmarkEnd w:id="114"/>
      <w:bookmarkEnd w:id="115"/>
      <w:bookmarkEnd w:id="116"/>
    </w:p>
    <w:p>
      <w:pPr>
        <w:shd w:val="clear" w:color="auto" w:fill="FFFFFF"/>
        <w:adjustRightInd w:val="0"/>
        <w:snapToGrid w:val="0"/>
        <w:spacing w:line="44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36.2.1 履约保证金担保方式：</w:t>
      </w:r>
      <w:r>
        <w:rPr>
          <w:rFonts w:hint="eastAsia" w:ascii="宋体" w:hAnsi="宋体" w:eastAsia="宋体" w:cs="宋体"/>
          <w:color w:val="auto"/>
          <w:sz w:val="24"/>
          <w:szCs w:val="24"/>
          <w:highlight w:val="none"/>
          <w:u w:val="single"/>
        </w:rPr>
        <w:t xml:space="preserve"> / </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 银行汇票；2） 支票；</w:t>
      </w:r>
      <w:r>
        <w:rPr>
          <w:rFonts w:hint="eastAsia" w:ascii="宋体" w:hAnsi="宋体" w:eastAsia="宋体" w:cs="宋体"/>
          <w:color w:val="auto"/>
          <w:kern w:val="0"/>
          <w:sz w:val="24"/>
          <w:szCs w:val="24"/>
          <w:highlight w:val="none"/>
        </w:rPr>
        <w:t>3）银行转账；4）</w:t>
      </w:r>
      <w:r>
        <w:rPr>
          <w:rFonts w:hint="eastAsia" w:ascii="宋体" w:hAnsi="宋体" w:eastAsia="宋体" w:cs="宋体"/>
          <w:color w:val="auto"/>
          <w:kern w:val="0"/>
          <w:sz w:val="24"/>
          <w:szCs w:val="24"/>
          <w:highlight w:val="none"/>
          <w:lang w:val="en-US" w:eastAsia="zh-CN"/>
        </w:rPr>
        <w:t>保函</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）担保公司担保；</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）采购人与供应商协商确定的其他担保方式。</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36.2.3 如成交供应商不能按照供应商须知第35条的规定执行，采购人将视为成交供应商放弃成交项目；已经订立合同的，采购人有充分理由解除合同，给采购人造成损失的，放弃成交项目的成交供应商应当赔偿。</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bookmarkStart w:id="117" w:name="_Toc228180139"/>
      <w:r>
        <w:rPr>
          <w:rFonts w:hint="eastAsia" w:ascii="宋体" w:hAnsi="宋体" w:eastAsia="宋体" w:cs="宋体"/>
          <w:b/>
          <w:color w:val="auto"/>
          <w:kern w:val="0"/>
          <w:sz w:val="24"/>
          <w:szCs w:val="24"/>
          <w:highlight w:val="none"/>
        </w:rPr>
        <w:t>（十三）其他</w:t>
      </w:r>
    </w:p>
    <w:p>
      <w:pPr>
        <w:shd w:val="clear" w:color="auto" w:fill="FFFFFF"/>
        <w:spacing w:line="440" w:lineRule="exact"/>
        <w:ind w:firstLine="487" w:firstLineChars="202"/>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37.</w:t>
      </w:r>
      <w:bookmarkEnd w:id="117"/>
      <w:r>
        <w:rPr>
          <w:rFonts w:hint="eastAsia" w:ascii="宋体" w:hAnsi="宋体" w:eastAsia="宋体" w:cs="宋体"/>
          <w:b/>
          <w:color w:val="auto"/>
          <w:kern w:val="0"/>
          <w:sz w:val="24"/>
          <w:szCs w:val="24"/>
          <w:highlight w:val="none"/>
        </w:rPr>
        <w:t>成交服务费</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37.1成交供应商应按本</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的规定，在领取《成交通知书》时向采购代理机构一次性支付成交服务费。</w:t>
      </w:r>
      <w:r>
        <w:rPr>
          <w:rFonts w:hint="eastAsia" w:ascii="宋体" w:hAnsi="宋体" w:eastAsia="宋体" w:cs="宋体"/>
          <w:bCs/>
          <w:color w:val="auto"/>
          <w:kern w:val="1"/>
          <w:sz w:val="24"/>
          <w:szCs w:val="24"/>
          <w:highlight w:val="none"/>
        </w:rPr>
        <w:t>其计算标准和方法参照原发改计价[2002]1980号文件规定标准执行。</w:t>
      </w:r>
      <w:r>
        <w:rPr>
          <w:rFonts w:hint="eastAsia" w:ascii="宋体" w:hAnsi="宋体" w:eastAsia="宋体" w:cs="宋体"/>
          <w:color w:val="auto"/>
          <w:kern w:val="0"/>
          <w:sz w:val="24"/>
          <w:szCs w:val="24"/>
          <w:highlight w:val="none"/>
        </w:rPr>
        <w:t>采购代理机构也可直接从成交供应商的磋商保证金内扣除；</w:t>
      </w:r>
    </w:p>
    <w:p>
      <w:pPr>
        <w:shd w:val="clear" w:color="auto" w:fill="FFFFFF"/>
        <w:spacing w:line="440" w:lineRule="exact"/>
        <w:ind w:firstLine="487" w:firstLineChars="202"/>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37.2成交服务费的计算基数是成交供应商成交总金额，即成交通知书中载明的成交金额。如需要开具增值税专用发票，供应商请提供增值税专用发票开票信息（需加盖财务专用章）。</w:t>
      </w:r>
    </w:p>
    <w:p>
      <w:pPr>
        <w:spacing w:line="440" w:lineRule="exact"/>
        <w:ind w:firstLine="482" w:firstLineChars="200"/>
        <w:rPr>
          <w:rFonts w:ascii="宋体" w:hAnsi="宋体" w:eastAsia="宋体" w:cs="宋体"/>
          <w:b/>
          <w:bCs/>
          <w:color w:val="auto"/>
          <w:sz w:val="24"/>
          <w:szCs w:val="24"/>
          <w:highlight w:val="none"/>
        </w:rPr>
      </w:pPr>
      <w:bookmarkStart w:id="118" w:name="_Toc37090668"/>
      <w:bookmarkStart w:id="119" w:name="_Toc37091004"/>
      <w:bookmarkStart w:id="120" w:name="_Toc16311"/>
      <w:r>
        <w:rPr>
          <w:rFonts w:hint="eastAsia" w:ascii="宋体" w:hAnsi="宋体" w:eastAsia="宋体" w:cs="宋体"/>
          <w:b/>
          <w:bCs/>
          <w:color w:val="auto"/>
          <w:sz w:val="24"/>
          <w:szCs w:val="24"/>
          <w:highlight w:val="none"/>
        </w:rPr>
        <w:t xml:space="preserve">38. </w:t>
      </w:r>
      <w:bookmarkEnd w:id="118"/>
      <w:bookmarkEnd w:id="119"/>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的解释权</w:t>
      </w:r>
      <w:bookmarkEnd w:id="120"/>
    </w:p>
    <w:p>
      <w:pPr>
        <w:shd w:val="clear" w:color="auto" w:fill="FFFFFF"/>
        <w:spacing w:line="440" w:lineRule="exact"/>
        <w:ind w:firstLine="484" w:firstLineChars="202"/>
        <w:rPr>
          <w:rFonts w:ascii="宋体" w:hAnsi="宋体" w:eastAsia="宋体" w:cs="宋体"/>
          <w:color w:val="auto"/>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是根据《中华人民共和国政府采购法》及其实施条例（658号令）及《关于印发&lt;政府采购竞争性磋商采购方式管理暂行办法&gt;的通知》（财库〔2014〕214号）及《财政部关于政府采购竞争性磋商采购方式管理暂行办法有关问题的补充通知》（财库〔2015〕124号）的规定编制的，解释权属</w:t>
      </w:r>
      <w:r>
        <w:rPr>
          <w:rFonts w:hint="eastAsia" w:ascii="宋体" w:hAnsi="宋体" w:eastAsia="宋体" w:cs="宋体"/>
          <w:color w:val="auto"/>
          <w:kern w:val="0"/>
          <w:sz w:val="24"/>
          <w:szCs w:val="24"/>
          <w:highlight w:val="none"/>
          <w:lang w:eastAsia="zh-CN"/>
        </w:rPr>
        <w:t>新疆恒达壹品项目管理咨询有限公司</w:t>
      </w:r>
      <w:r>
        <w:rPr>
          <w:rFonts w:hint="eastAsia" w:ascii="宋体" w:hAnsi="宋体" w:eastAsia="宋体" w:cs="宋体"/>
          <w:color w:val="auto"/>
          <w:kern w:val="0"/>
          <w:sz w:val="24"/>
          <w:szCs w:val="24"/>
          <w:highlight w:val="none"/>
        </w:rPr>
        <w:t>。</w:t>
      </w:r>
    </w:p>
    <w:p>
      <w:pPr>
        <w:rPr>
          <w:rFonts w:hint="eastAsia" w:ascii="宋体" w:hAnsi="宋体" w:eastAsia="宋体" w:cs="宋体"/>
          <w:color w:val="auto"/>
          <w:spacing w:val="6"/>
          <w:sz w:val="32"/>
          <w:szCs w:val="32"/>
          <w:highlight w:val="none"/>
          <w:lang w:val="en-US" w:eastAsia="zh-CN"/>
        </w:rPr>
      </w:pPr>
      <w:bookmarkStart w:id="121" w:name="_Toc24799"/>
      <w:bookmarkStart w:id="122" w:name="_Toc14275"/>
      <w:r>
        <w:rPr>
          <w:rFonts w:hint="eastAsia" w:ascii="宋体" w:hAnsi="宋体" w:eastAsia="宋体" w:cs="宋体"/>
          <w:color w:val="auto"/>
          <w:spacing w:val="6"/>
          <w:sz w:val="32"/>
          <w:szCs w:val="32"/>
          <w:highlight w:val="none"/>
          <w:lang w:val="en-US" w:eastAsia="zh-CN"/>
        </w:rPr>
        <w:br w:type="page"/>
      </w:r>
    </w:p>
    <w:p>
      <w:pPr>
        <w:pStyle w:val="38"/>
        <w:keepNext w:val="0"/>
        <w:keepLines w:val="0"/>
        <w:pageBreakBefore w:val="0"/>
        <w:widowControl/>
        <w:numPr>
          <w:ilvl w:val="1"/>
          <w:numId w:val="0"/>
        </w:numPr>
        <w:kinsoku/>
        <w:wordWrap/>
        <w:overflowPunct/>
        <w:topLinePunct w:val="0"/>
        <w:autoSpaceDE/>
        <w:autoSpaceDN/>
        <w:bidi w:val="0"/>
        <w:adjustRightInd/>
        <w:snapToGrid/>
        <w:spacing w:before="0" w:after="0"/>
        <w:ind w:firstLine="3333" w:firstLineChars="1000"/>
        <w:jc w:val="both"/>
        <w:textAlignment w:val="auto"/>
        <w:outlineLvl w:val="0"/>
        <w:rPr>
          <w:rFonts w:hint="eastAsia"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lang w:val="en-US" w:eastAsia="zh-CN"/>
        </w:rPr>
        <w:t xml:space="preserve">第三章 </w:t>
      </w:r>
      <w:r>
        <w:rPr>
          <w:rFonts w:hint="eastAsia" w:ascii="宋体" w:hAnsi="宋体" w:eastAsia="宋体" w:cs="宋体"/>
          <w:color w:val="auto"/>
          <w:spacing w:val="6"/>
          <w:sz w:val="32"/>
          <w:szCs w:val="32"/>
          <w:highlight w:val="none"/>
        </w:rPr>
        <w:t>采购需求</w:t>
      </w:r>
      <w:bookmarkEnd w:id="121"/>
      <w:bookmarkEnd w:id="122"/>
    </w:p>
    <w:p>
      <w:pPr>
        <w:widowControl/>
        <w:suppressAutoHyphens w:val="0"/>
        <w:jc w:val="center"/>
        <w:rPr>
          <w:color w:val="auto"/>
          <w:highlight w:val="none"/>
        </w:rPr>
      </w:pPr>
      <w:r>
        <w:rPr>
          <w:rFonts w:hint="eastAsia" w:ascii="宋体" w:hAnsi="宋体" w:eastAsia="宋体" w:cs="宋体"/>
          <w:b/>
          <w:bCs/>
          <w:color w:val="auto"/>
          <w:sz w:val="28"/>
          <w:szCs w:val="28"/>
          <w:highlight w:val="none"/>
          <w:lang w:val="en-US" w:eastAsia="zh-CN"/>
        </w:rPr>
        <w:t>一、采购</w:t>
      </w:r>
      <w:r>
        <w:rPr>
          <w:rFonts w:hint="eastAsia" w:ascii="宋体" w:hAnsi="宋体" w:eastAsia="宋体" w:cs="宋体"/>
          <w:b/>
          <w:bCs/>
          <w:color w:val="auto"/>
          <w:sz w:val="28"/>
          <w:szCs w:val="28"/>
          <w:highlight w:val="none"/>
        </w:rPr>
        <w:t>需求一览表</w:t>
      </w:r>
    </w:p>
    <w:tbl>
      <w:tblPr>
        <w:tblStyle w:val="25"/>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488"/>
        <w:gridCol w:w="842"/>
        <w:gridCol w:w="1443"/>
        <w:gridCol w:w="1405"/>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03"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标项</w:t>
            </w:r>
          </w:p>
        </w:tc>
        <w:tc>
          <w:tcPr>
            <w:tcW w:w="2488"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设备名称</w:t>
            </w:r>
          </w:p>
        </w:tc>
        <w:tc>
          <w:tcPr>
            <w:tcW w:w="842"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数量（套）</w:t>
            </w:r>
          </w:p>
        </w:tc>
        <w:tc>
          <w:tcPr>
            <w:tcW w:w="1443" w:type="dxa"/>
            <w:noWrap/>
            <w:vAlign w:val="center"/>
          </w:tcPr>
          <w:p>
            <w:pPr>
              <w:widowControl/>
              <w:spacing w:line="40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交货期</w:t>
            </w:r>
          </w:p>
        </w:tc>
        <w:tc>
          <w:tcPr>
            <w:tcW w:w="1405" w:type="dxa"/>
            <w:noWrap/>
            <w:vAlign w:val="center"/>
          </w:tcPr>
          <w:p>
            <w:pPr>
              <w:widowControl/>
              <w:spacing w:line="40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交货地点</w:t>
            </w:r>
          </w:p>
        </w:tc>
        <w:tc>
          <w:tcPr>
            <w:tcW w:w="1790"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3" w:type="dxa"/>
            <w:vMerge w:val="restart"/>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标项一</w:t>
            </w:r>
          </w:p>
        </w:tc>
        <w:tc>
          <w:tcPr>
            <w:tcW w:w="2488"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二氧化碳激光治疗机</w:t>
            </w:r>
          </w:p>
        </w:tc>
        <w:tc>
          <w:tcPr>
            <w:tcW w:w="842"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val="en-US" w:eastAsia="zh-CN" w:bidi="ar"/>
              </w:rPr>
              <w:t>1</w:t>
            </w:r>
          </w:p>
        </w:tc>
        <w:tc>
          <w:tcPr>
            <w:tcW w:w="1443" w:type="dxa"/>
            <w:vMerge w:val="restart"/>
            <w:noWrap/>
            <w:vAlign w:val="center"/>
          </w:tcPr>
          <w:p>
            <w:pPr>
              <w:widowControl/>
              <w:jc w:val="center"/>
              <w:textAlignment w:val="center"/>
              <w:rPr>
                <w:rFonts w:hint="default"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bidi="ar"/>
              </w:rPr>
              <w:t>设备自合同签订起</w:t>
            </w:r>
            <w:r>
              <w:rPr>
                <w:rFonts w:hint="eastAsia" w:ascii="宋体" w:hAnsi="宋体" w:eastAsia="宋体" w:cs="宋体"/>
                <w:color w:val="auto"/>
                <w:sz w:val="21"/>
                <w:szCs w:val="21"/>
                <w:highlight w:val="none"/>
                <w:lang w:val="en-US" w:eastAsia="zh-CN" w:bidi="ar"/>
              </w:rPr>
              <w:t>30</w:t>
            </w:r>
            <w:r>
              <w:rPr>
                <w:rFonts w:hint="eastAsia" w:ascii="宋体" w:hAnsi="宋体" w:eastAsia="宋体" w:cs="宋体"/>
                <w:color w:val="auto"/>
                <w:sz w:val="21"/>
                <w:szCs w:val="21"/>
                <w:highlight w:val="none"/>
                <w:lang w:bidi="ar"/>
              </w:rPr>
              <w:t>天</w:t>
            </w:r>
            <w:r>
              <w:rPr>
                <w:rFonts w:hint="eastAsia" w:ascii="宋体" w:hAnsi="宋体" w:eastAsia="宋体" w:cs="宋体"/>
                <w:color w:val="auto"/>
                <w:sz w:val="21"/>
                <w:szCs w:val="21"/>
                <w:highlight w:val="none"/>
                <w:lang w:eastAsia="zh-CN" w:bidi="ar"/>
              </w:rPr>
              <w:t>内</w:t>
            </w:r>
            <w:r>
              <w:rPr>
                <w:rFonts w:hint="eastAsia" w:ascii="宋体" w:hAnsi="宋体" w:eastAsia="宋体" w:cs="宋体"/>
                <w:color w:val="auto"/>
                <w:sz w:val="21"/>
                <w:szCs w:val="21"/>
                <w:highlight w:val="none"/>
                <w:lang w:bidi="ar"/>
              </w:rPr>
              <w:t>交货。</w:t>
            </w:r>
            <w:r>
              <w:rPr>
                <w:rFonts w:hint="eastAsia" w:ascii="宋体" w:hAnsi="宋体" w:eastAsia="宋体" w:cs="宋体"/>
                <w:color w:val="auto"/>
                <w:sz w:val="21"/>
                <w:szCs w:val="21"/>
                <w:highlight w:val="none"/>
                <w:lang w:val="en-US" w:eastAsia="zh-CN" w:bidi="ar"/>
              </w:rPr>
              <w:t>采购需求中另有约定的按采购需求规定执行。</w:t>
            </w:r>
          </w:p>
        </w:tc>
        <w:tc>
          <w:tcPr>
            <w:tcW w:w="1405" w:type="dxa"/>
            <w:vMerge w:val="restart"/>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采购人指定地点</w:t>
            </w:r>
          </w:p>
        </w:tc>
        <w:tc>
          <w:tcPr>
            <w:tcW w:w="1790" w:type="dxa"/>
            <w:noWrap/>
            <w:vAlign w:val="center"/>
          </w:tcPr>
          <w:p>
            <w:pPr>
              <w:widowControl/>
              <w:jc w:val="center"/>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本标项核心产品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3" w:type="dxa"/>
            <w:vMerge w:val="continue"/>
            <w:noWrap/>
            <w:vAlign w:val="center"/>
          </w:tcPr>
          <w:p>
            <w:pPr>
              <w:widowControl/>
              <w:jc w:val="center"/>
              <w:textAlignment w:val="center"/>
              <w:rPr>
                <w:rFonts w:hint="eastAsia" w:ascii="宋体" w:hAnsi="宋体" w:eastAsia="宋体" w:cs="宋体"/>
                <w:color w:val="auto"/>
                <w:sz w:val="21"/>
                <w:szCs w:val="21"/>
                <w:highlight w:val="none"/>
                <w:lang w:bidi="ar"/>
              </w:rPr>
            </w:pPr>
          </w:p>
        </w:tc>
        <w:tc>
          <w:tcPr>
            <w:tcW w:w="2488"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多波段光谱治疗仪</w:t>
            </w:r>
          </w:p>
        </w:tc>
        <w:tc>
          <w:tcPr>
            <w:tcW w:w="842"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1</w:t>
            </w:r>
          </w:p>
        </w:tc>
        <w:tc>
          <w:tcPr>
            <w:tcW w:w="1443" w:type="dxa"/>
            <w:vMerge w:val="continue"/>
            <w:noWrap/>
            <w:vAlign w:val="center"/>
          </w:tcPr>
          <w:p>
            <w:pPr>
              <w:widowControl/>
              <w:jc w:val="center"/>
              <w:textAlignment w:val="center"/>
              <w:rPr>
                <w:rFonts w:hint="default" w:ascii="宋体" w:hAnsi="宋体" w:eastAsia="宋体" w:cs="宋体"/>
                <w:color w:val="auto"/>
                <w:sz w:val="21"/>
                <w:szCs w:val="21"/>
                <w:highlight w:val="none"/>
                <w:lang w:val="en-US" w:eastAsia="zh-CN" w:bidi="ar"/>
              </w:rPr>
            </w:pPr>
          </w:p>
        </w:tc>
        <w:tc>
          <w:tcPr>
            <w:tcW w:w="1405" w:type="dxa"/>
            <w:vMerge w:val="continue"/>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p>
        </w:tc>
        <w:tc>
          <w:tcPr>
            <w:tcW w:w="1790"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3" w:type="dxa"/>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标项</w:t>
            </w:r>
            <w:r>
              <w:rPr>
                <w:rFonts w:hint="eastAsia" w:ascii="宋体" w:hAnsi="宋体" w:eastAsia="宋体" w:cs="宋体"/>
                <w:color w:val="auto"/>
                <w:sz w:val="21"/>
                <w:szCs w:val="21"/>
                <w:highlight w:val="none"/>
                <w:lang w:val="en-US" w:eastAsia="zh-CN" w:bidi="ar"/>
              </w:rPr>
              <w:t>二</w:t>
            </w:r>
          </w:p>
        </w:tc>
        <w:tc>
          <w:tcPr>
            <w:tcW w:w="2488" w:type="dxa"/>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乳腺磁共振线圈</w:t>
            </w:r>
          </w:p>
        </w:tc>
        <w:tc>
          <w:tcPr>
            <w:tcW w:w="842" w:type="dxa"/>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p>
        </w:tc>
        <w:tc>
          <w:tcPr>
            <w:tcW w:w="1443" w:type="dxa"/>
            <w:vMerge w:val="continue"/>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p>
        </w:tc>
        <w:tc>
          <w:tcPr>
            <w:tcW w:w="1405" w:type="dxa"/>
            <w:vMerge w:val="continue"/>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p>
        </w:tc>
        <w:tc>
          <w:tcPr>
            <w:tcW w:w="1790" w:type="dxa"/>
            <w:noWrap w:val="0"/>
            <w:vAlign w:val="center"/>
          </w:tcPr>
          <w:p>
            <w:pPr>
              <w:widowControl/>
              <w:jc w:val="center"/>
              <w:textAlignment w:val="center"/>
              <w:rPr>
                <w:rFonts w:hint="eastAsia" w:ascii="宋体" w:hAnsi="宋体" w:eastAsia="宋体" w:cs="宋体"/>
                <w:color w:val="auto"/>
                <w:sz w:val="21"/>
                <w:szCs w:val="21"/>
                <w:highlight w:val="none"/>
                <w:lang w:bidi="ar"/>
              </w:rPr>
            </w:pPr>
          </w:p>
        </w:tc>
      </w:tr>
    </w:tbl>
    <w:p>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p>
    <w:p>
      <w:pPr>
        <w:rPr>
          <w:rFonts w:hint="default"/>
          <w:color w:val="auto"/>
          <w:highlight w:val="none"/>
          <w:lang w:val="en-US" w:eastAsia="zh-CN"/>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23" w:name="_Toc27504"/>
    </w:p>
    <w:p>
      <w:pPr>
        <w:widowControl/>
        <w:suppressAutoHyphens w:val="0"/>
        <w:jc w:val="center"/>
        <w:rPr>
          <w:rFonts w:hint="eastAsia"/>
          <w:color w:val="auto"/>
          <w:highlight w:val="none"/>
        </w:rPr>
      </w:pPr>
      <w:r>
        <w:rPr>
          <w:rFonts w:hint="eastAsia" w:ascii="宋体" w:hAnsi="宋体" w:cs="宋体"/>
          <w:b/>
          <w:bCs/>
          <w:color w:val="auto"/>
          <w:sz w:val="28"/>
          <w:szCs w:val="28"/>
          <w:highlight w:val="none"/>
          <w:lang w:val="en-US" w:eastAsia="zh-CN"/>
        </w:rPr>
        <w:t>二、技术要求</w:t>
      </w:r>
    </w:p>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标项一：二氧化碳激光治疗机技术参数（本标项核心产品）</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激光器：封离式二氧化碳激光器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提供证明文件</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冷却系统：内置水循环冷却 </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激光波长：10.6μm±0.1μm</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点阵模式下</w:t>
      </w:r>
      <w:r>
        <w:rPr>
          <w:rFonts w:hint="eastAsia" w:asciiTheme="minorEastAsia" w:hAnsiTheme="minorEastAsia" w:eastAsiaTheme="minorEastAsia" w:cstheme="minorEastAsia"/>
          <w:color w:val="auto"/>
          <w:sz w:val="24"/>
          <w:szCs w:val="24"/>
          <w:highlight w:val="none"/>
        </w:rPr>
        <w:t>光束终端发散角：θ≤</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mrad</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点阵模式下</w:t>
      </w:r>
      <w:r>
        <w:rPr>
          <w:rFonts w:hint="eastAsia" w:asciiTheme="minorEastAsia" w:hAnsiTheme="minorEastAsia" w:eastAsiaTheme="minorEastAsia" w:cstheme="minorEastAsia"/>
          <w:b w:val="0"/>
          <w:bCs w:val="0"/>
          <w:color w:val="auto"/>
          <w:sz w:val="24"/>
          <w:szCs w:val="24"/>
          <w:highlight w:val="none"/>
        </w:rPr>
        <w:t>光斑(焦点)直径：D≤</w:t>
      </w:r>
      <w:r>
        <w:rPr>
          <w:rFonts w:hint="eastAsia" w:asciiTheme="minorEastAsia" w:hAnsiTheme="minorEastAsia" w:eastAsiaTheme="minorEastAsia" w:cstheme="minorEastAsia"/>
          <w:b w:val="0"/>
          <w:bCs w:val="0"/>
          <w:color w:val="auto"/>
          <w:sz w:val="24"/>
          <w:szCs w:val="24"/>
          <w:highlight w:val="none"/>
          <w:lang w:val="en-US" w:eastAsia="zh-CN"/>
        </w:rPr>
        <w:t>0.3</w:t>
      </w:r>
      <w:r>
        <w:rPr>
          <w:rFonts w:hint="eastAsia" w:asciiTheme="minorEastAsia" w:hAnsiTheme="minorEastAsia" w:eastAsiaTheme="minorEastAsia" w:cstheme="minorEastAsia"/>
          <w:b w:val="0"/>
          <w:bCs w:val="0"/>
          <w:color w:val="auto"/>
          <w:sz w:val="24"/>
          <w:szCs w:val="24"/>
          <w:highlight w:val="none"/>
        </w:rPr>
        <w:t>mm</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激光器</w:t>
      </w:r>
      <w:r>
        <w:rPr>
          <w:rFonts w:hint="eastAsia" w:asciiTheme="minorEastAsia" w:hAnsiTheme="minorEastAsia" w:eastAsiaTheme="minorEastAsia" w:cstheme="minorEastAsia"/>
          <w:b w:val="0"/>
          <w:bCs w:val="0"/>
          <w:sz w:val="24"/>
          <w:szCs w:val="24"/>
          <w:highlight w:val="none"/>
        </w:rPr>
        <w:t>功率： ≥</w:t>
      </w: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0W</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终端输出激光功率不稳定度 St：优于±</w:t>
      </w: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激光输出功率复现性 Rp：优于±</w:t>
      </w: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瞄准光波长：650nm±5nm</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瞄准光输出功率：应不大于 5mw</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亮度可调</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导光系统：精密七关节导光臂</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导光臂配有长度分别为 2.5cm、3.5cm、7.5cm、 9cm 刀头</w:t>
      </w:r>
      <w:r>
        <w:rPr>
          <w:rFonts w:hint="eastAsia" w:asciiTheme="minorEastAsia" w:hAnsiTheme="minorEastAsia" w:eastAsiaTheme="minorEastAsia" w:cstheme="minorEastAsia"/>
          <w:b w:val="0"/>
          <w:bCs w:val="0"/>
          <w:sz w:val="24"/>
          <w:szCs w:val="24"/>
          <w:highlight w:val="none"/>
          <w:lang w:val="en-US" w:eastAsia="zh-CN"/>
        </w:rPr>
        <w:t>以及长度5cm和10cm扫描刀头</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激光模块</w:t>
      </w:r>
      <w:r>
        <w:rPr>
          <w:rFonts w:hint="eastAsia" w:asciiTheme="minorEastAsia" w:hAnsiTheme="minorEastAsia" w:eastAsiaTheme="minorEastAsia" w:cstheme="minorEastAsia"/>
          <w:b w:val="0"/>
          <w:bCs w:val="0"/>
          <w:sz w:val="24"/>
          <w:szCs w:val="24"/>
          <w:highlight w:val="none"/>
        </w:rPr>
        <w:t>输出方式</w:t>
      </w:r>
      <w:r>
        <w:rPr>
          <w:rFonts w:hint="eastAsia" w:asciiTheme="minorEastAsia" w:hAnsiTheme="minorEastAsia" w:eastAsiaTheme="minorEastAsia" w:cstheme="minorEastAsia"/>
          <w:b w:val="0"/>
          <w:bCs w:val="0"/>
          <w:sz w:val="24"/>
          <w:szCs w:val="24"/>
          <w:highlight w:val="none"/>
          <w:lang w:val="en-US" w:eastAsia="zh-CN"/>
        </w:rPr>
        <w:t>≥4种</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含</w:t>
      </w:r>
      <w:r>
        <w:rPr>
          <w:rFonts w:hint="eastAsia" w:asciiTheme="minorEastAsia" w:hAnsiTheme="minorEastAsia" w:eastAsiaTheme="minorEastAsia" w:cstheme="minorEastAsia"/>
          <w:b w:val="0"/>
          <w:bCs w:val="0"/>
          <w:sz w:val="24"/>
          <w:szCs w:val="24"/>
          <w:highlight w:val="none"/>
        </w:rPr>
        <w:t>连续输出、单脉冲输出、脉冲重复输出、</w:t>
      </w:r>
      <w:r>
        <w:rPr>
          <w:rFonts w:hint="eastAsia" w:asciiTheme="minorEastAsia" w:hAnsiTheme="minorEastAsia" w:eastAsiaTheme="minorEastAsia" w:cstheme="minorEastAsia"/>
          <w:b w:val="0"/>
          <w:bCs w:val="0"/>
          <w:sz w:val="24"/>
          <w:szCs w:val="24"/>
          <w:highlight w:val="none"/>
          <w:lang w:val="en-US" w:eastAsia="zh-CN"/>
        </w:rPr>
        <w:t>点阵</w:t>
      </w:r>
      <w:r>
        <w:rPr>
          <w:rFonts w:hint="eastAsia" w:asciiTheme="minorEastAsia" w:hAnsiTheme="minorEastAsia" w:eastAsiaTheme="minorEastAsia" w:cstheme="minorEastAsia"/>
          <w:b w:val="0"/>
          <w:bCs w:val="0"/>
          <w:sz w:val="24"/>
          <w:szCs w:val="24"/>
          <w:highlight w:val="none"/>
        </w:rPr>
        <w:t>模式</w:t>
      </w:r>
      <w:r>
        <w:rPr>
          <w:rFonts w:hint="eastAsia" w:asciiTheme="minorEastAsia" w:hAnsiTheme="minorEastAsia" w:eastAsiaTheme="minorEastAsia" w:cstheme="minorEastAsia"/>
          <w:b w:val="0"/>
          <w:bCs w:val="0"/>
          <w:sz w:val="24"/>
          <w:szCs w:val="24"/>
          <w:highlight w:val="none"/>
          <w:lang w:val="en-US" w:eastAsia="zh-CN"/>
        </w:rPr>
        <w:t>等</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扫描手具（电脑点阵扫描器）1个；扫描</w:t>
      </w:r>
      <w:r>
        <w:rPr>
          <w:rFonts w:hint="eastAsia" w:asciiTheme="minorEastAsia" w:hAnsiTheme="minorEastAsia" w:eastAsiaTheme="minorEastAsia" w:cstheme="minorEastAsia"/>
          <w:b w:val="0"/>
          <w:bCs w:val="0"/>
          <w:color w:val="auto"/>
          <w:sz w:val="24"/>
          <w:szCs w:val="24"/>
          <w:highlight w:val="none"/>
        </w:rPr>
        <w:t>刀头</w:t>
      </w:r>
      <w:r>
        <w:rPr>
          <w:rFonts w:hint="eastAsia" w:asciiTheme="minorEastAsia" w:hAnsiTheme="minorEastAsia" w:eastAsiaTheme="minorEastAsia" w:cstheme="minorEastAsia"/>
          <w:b w:val="0"/>
          <w:bCs w:val="0"/>
          <w:color w:val="auto"/>
          <w:sz w:val="24"/>
          <w:szCs w:val="24"/>
          <w:highlight w:val="none"/>
          <w:lang w:val="en-US" w:eastAsia="zh-CN"/>
        </w:rPr>
        <w:t>2个（</w:t>
      </w:r>
      <w:r>
        <w:rPr>
          <w:rFonts w:hint="eastAsia" w:asciiTheme="minorEastAsia" w:hAnsiTheme="minorEastAsia" w:eastAsiaTheme="minorEastAsia" w:cstheme="minorEastAsia"/>
          <w:b w:val="0"/>
          <w:bCs w:val="0"/>
          <w:color w:val="auto"/>
          <w:sz w:val="24"/>
          <w:szCs w:val="24"/>
          <w:highlight w:val="none"/>
        </w:rPr>
        <w:t>f=50mm和f=100mm</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脉冲刀头</w:t>
      </w:r>
      <w:r>
        <w:rPr>
          <w:rFonts w:hint="eastAsia" w:asciiTheme="minorEastAsia" w:hAnsiTheme="minorEastAsia" w:eastAsiaTheme="minorEastAsia" w:cstheme="minorEastAsia"/>
          <w:b w:val="0"/>
          <w:bCs w:val="0"/>
          <w:color w:val="auto"/>
          <w:sz w:val="24"/>
          <w:szCs w:val="24"/>
          <w:highlight w:val="none"/>
          <w:lang w:val="en-US" w:eastAsia="zh-CN"/>
        </w:rPr>
        <w:t>1个（</w:t>
      </w:r>
      <w:r>
        <w:rPr>
          <w:rFonts w:hint="eastAsia" w:asciiTheme="minorEastAsia" w:hAnsiTheme="minorEastAsia" w:eastAsiaTheme="minorEastAsia" w:cstheme="minorEastAsia"/>
          <w:b w:val="0"/>
          <w:bCs w:val="0"/>
          <w:color w:val="auto"/>
          <w:sz w:val="24"/>
          <w:szCs w:val="24"/>
          <w:highlight w:val="none"/>
        </w:rPr>
        <w:t>f=50mm</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辅助</w:t>
      </w:r>
      <w:r>
        <w:rPr>
          <w:rFonts w:hint="eastAsia" w:asciiTheme="minorEastAsia" w:hAnsiTheme="minorEastAsia" w:eastAsiaTheme="minorEastAsia" w:cstheme="minorEastAsia"/>
          <w:b w:val="0"/>
          <w:bCs w:val="0"/>
          <w:color w:val="auto"/>
          <w:sz w:val="24"/>
          <w:szCs w:val="24"/>
          <w:highlight w:val="none"/>
          <w:lang w:val="en-US" w:eastAsia="zh-CN"/>
        </w:rPr>
        <w:t>治疗</w:t>
      </w:r>
      <w:r>
        <w:rPr>
          <w:rFonts w:hint="eastAsia" w:asciiTheme="minorEastAsia" w:hAnsiTheme="minorEastAsia" w:eastAsiaTheme="minorEastAsia" w:cstheme="minorEastAsia"/>
          <w:b w:val="0"/>
          <w:bCs w:val="0"/>
          <w:color w:val="auto"/>
          <w:sz w:val="24"/>
          <w:szCs w:val="24"/>
          <w:highlight w:val="none"/>
        </w:rPr>
        <w:t>刀头</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个；</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扫描</w:t>
      </w:r>
      <w:r>
        <w:rPr>
          <w:rFonts w:hint="eastAsia" w:asciiTheme="minorEastAsia" w:hAnsiTheme="minorEastAsia" w:eastAsiaTheme="minorEastAsia" w:cstheme="minorEastAsia"/>
          <w:b w:val="0"/>
          <w:bCs w:val="0"/>
          <w:sz w:val="24"/>
          <w:szCs w:val="24"/>
          <w:highlight w:val="none"/>
        </w:rPr>
        <w:t>输出形状：</w:t>
      </w:r>
      <w:r>
        <w:rPr>
          <w:rFonts w:hint="eastAsia" w:asciiTheme="minorEastAsia" w:hAnsiTheme="minorEastAsia" w:eastAsiaTheme="minorEastAsia" w:cstheme="minorEastAsia"/>
          <w:b w:val="0"/>
          <w:bCs w:val="0"/>
          <w:sz w:val="24"/>
          <w:szCs w:val="24"/>
          <w:highlight w:val="none"/>
          <w:lang w:val="en-US" w:eastAsia="zh-CN"/>
        </w:rPr>
        <w:t>正方形</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长方形、线型、菱形、椭圆形、圆形</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六边</w:t>
      </w:r>
      <w:r>
        <w:rPr>
          <w:rFonts w:hint="eastAsia" w:asciiTheme="minorEastAsia" w:hAnsiTheme="minorEastAsia" w:eastAsiaTheme="minorEastAsia" w:cstheme="minorEastAsia"/>
          <w:b w:val="0"/>
          <w:bCs w:val="0"/>
          <w:sz w:val="24"/>
          <w:szCs w:val="24"/>
          <w:highlight w:val="none"/>
        </w:rPr>
        <w:t>形、三角形、</w:t>
      </w:r>
      <w:r>
        <w:rPr>
          <w:rFonts w:hint="eastAsia" w:asciiTheme="minorEastAsia" w:hAnsiTheme="minorEastAsia" w:eastAsiaTheme="minorEastAsia" w:cstheme="minorEastAsia"/>
          <w:b w:val="0"/>
          <w:bCs w:val="0"/>
          <w:sz w:val="24"/>
          <w:szCs w:val="24"/>
          <w:highlight w:val="none"/>
          <w:lang w:val="en-US" w:eastAsia="zh-CN"/>
        </w:rPr>
        <w:t>镂空形</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扫描手具最大扫描面积为20mm*20mm，30mm*30mm</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脉冲模式下</w:t>
      </w:r>
      <w:r>
        <w:rPr>
          <w:rFonts w:hint="eastAsia" w:asciiTheme="minorEastAsia" w:hAnsiTheme="minorEastAsia" w:eastAsiaTheme="minorEastAsia" w:cstheme="minorEastAsia"/>
          <w:b w:val="0"/>
          <w:bCs w:val="0"/>
          <w:sz w:val="24"/>
          <w:szCs w:val="24"/>
          <w:highlight w:val="none"/>
        </w:rPr>
        <w:t>激光脉冲持续时间为</w:t>
      </w:r>
      <w:r>
        <w:rPr>
          <w:rFonts w:hint="eastAsia" w:asciiTheme="minorEastAsia" w:hAnsiTheme="minorEastAsia" w:eastAsiaTheme="minorEastAsia" w:cstheme="minorEastAsia"/>
          <w:b w:val="0"/>
          <w:bCs w:val="0"/>
          <w:sz w:val="24"/>
          <w:szCs w:val="24"/>
          <w:highlight w:val="none"/>
          <w:lang w:val="en-US" w:eastAsia="zh-CN"/>
        </w:rPr>
        <w:t>10ms-2950ms</w:t>
      </w:r>
      <w:r>
        <w:rPr>
          <w:rFonts w:hint="eastAsia" w:asciiTheme="minorEastAsia" w:hAnsiTheme="minorEastAsia" w:eastAsiaTheme="minorEastAsia" w:cstheme="minorEastAsia"/>
          <w:b w:val="0"/>
          <w:bCs w:val="0"/>
          <w:sz w:val="24"/>
          <w:szCs w:val="24"/>
          <w:highlight w:val="none"/>
        </w:rPr>
        <w:t xml:space="preserve"> 秒可调，调节步进为</w:t>
      </w:r>
      <w:r>
        <w:rPr>
          <w:rFonts w:hint="eastAsia" w:asciiTheme="minorEastAsia" w:hAnsiTheme="minorEastAsia" w:eastAsiaTheme="minorEastAsia" w:cstheme="minorEastAsia"/>
          <w:b w:val="0"/>
          <w:bCs w:val="0"/>
          <w:sz w:val="24"/>
          <w:szCs w:val="24"/>
          <w:highlight w:val="none"/>
          <w:lang w:val="en-US" w:eastAsia="zh-CN"/>
        </w:rPr>
        <w:t>10ms</w:t>
      </w:r>
      <w:r>
        <w:rPr>
          <w:rFonts w:hint="eastAsia" w:asciiTheme="minorEastAsia" w:hAnsiTheme="minorEastAsia" w:eastAsiaTheme="minorEastAsia" w:cstheme="minorEastAsia"/>
          <w:b w:val="0"/>
          <w:bCs w:val="0"/>
          <w:sz w:val="24"/>
          <w:szCs w:val="24"/>
          <w:highlight w:val="none"/>
        </w:rPr>
        <w:t>,</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脉冲模式下</w:t>
      </w:r>
      <w:r>
        <w:rPr>
          <w:rFonts w:hint="eastAsia" w:asciiTheme="minorEastAsia" w:hAnsiTheme="minorEastAsia" w:eastAsiaTheme="minorEastAsia" w:cstheme="minorEastAsia"/>
          <w:b w:val="0"/>
          <w:bCs w:val="0"/>
          <w:sz w:val="24"/>
          <w:szCs w:val="24"/>
          <w:highlight w:val="none"/>
        </w:rPr>
        <w:t>激光脉冲</w:t>
      </w:r>
      <w:r>
        <w:rPr>
          <w:rFonts w:hint="eastAsia" w:asciiTheme="minorEastAsia" w:hAnsiTheme="minorEastAsia" w:eastAsiaTheme="minorEastAsia" w:cstheme="minorEastAsia"/>
          <w:b w:val="0"/>
          <w:bCs w:val="0"/>
          <w:sz w:val="24"/>
          <w:szCs w:val="24"/>
          <w:highlight w:val="none"/>
          <w:lang w:val="en-US" w:eastAsia="zh-CN"/>
        </w:rPr>
        <w:t>周期</w:t>
      </w:r>
      <w:r>
        <w:rPr>
          <w:rFonts w:hint="eastAsia" w:asciiTheme="minorEastAsia" w:hAnsiTheme="minorEastAsia" w:eastAsiaTheme="minorEastAsia" w:cstheme="minorEastAsia"/>
          <w:b w:val="0"/>
          <w:bCs w:val="0"/>
          <w:sz w:val="24"/>
          <w:szCs w:val="24"/>
          <w:highlight w:val="none"/>
        </w:rPr>
        <w:t>时间为</w:t>
      </w:r>
      <w:r>
        <w:rPr>
          <w:rFonts w:hint="eastAsia" w:asciiTheme="minorEastAsia" w:hAnsiTheme="minorEastAsia" w:eastAsiaTheme="minorEastAsia" w:cstheme="minorEastAsia"/>
          <w:b w:val="0"/>
          <w:bCs w:val="0"/>
          <w:sz w:val="24"/>
          <w:szCs w:val="24"/>
          <w:highlight w:val="none"/>
          <w:lang w:val="en-US" w:eastAsia="zh-CN"/>
        </w:rPr>
        <w:t>10ms-2950ms</w:t>
      </w:r>
      <w:r>
        <w:rPr>
          <w:rFonts w:hint="eastAsia" w:asciiTheme="minorEastAsia" w:hAnsiTheme="minorEastAsia" w:eastAsiaTheme="minorEastAsia" w:cstheme="minorEastAsia"/>
          <w:b w:val="0"/>
          <w:bCs w:val="0"/>
          <w:sz w:val="24"/>
          <w:szCs w:val="24"/>
          <w:highlight w:val="none"/>
        </w:rPr>
        <w:t xml:space="preserve"> 秒可调，调节步进为</w:t>
      </w:r>
      <w:r>
        <w:rPr>
          <w:rFonts w:hint="eastAsia" w:asciiTheme="minorEastAsia" w:hAnsiTheme="minorEastAsia" w:eastAsiaTheme="minorEastAsia" w:cstheme="minorEastAsia"/>
          <w:b w:val="0"/>
          <w:bCs w:val="0"/>
          <w:sz w:val="24"/>
          <w:szCs w:val="24"/>
          <w:highlight w:val="none"/>
          <w:lang w:val="en-US" w:eastAsia="zh-CN"/>
        </w:rPr>
        <w:t>10ms</w:t>
      </w:r>
      <w:r>
        <w:rPr>
          <w:rFonts w:hint="eastAsia" w:asciiTheme="minorEastAsia" w:hAnsiTheme="minorEastAsia" w:eastAsiaTheme="minorEastAsia" w:cstheme="minorEastAsia"/>
          <w:b w:val="0"/>
          <w:bCs w:val="0"/>
          <w:sz w:val="24"/>
          <w:szCs w:val="24"/>
          <w:highlight w:val="none"/>
        </w:rPr>
        <w:t>,允许误差不超过±20%</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点阵激光模式输出：脉宽</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停留时间</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0.1ms-10ms可调</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最大脉冲重复频率：10000Hz</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点阵激光模式输出：脉冲间隔时间</w:t>
      </w:r>
      <w:r>
        <w:rPr>
          <w:rFonts w:hint="eastAsia" w:asciiTheme="minorEastAsia" w:hAnsiTheme="minorEastAsia" w:eastAsiaTheme="minorEastAsia" w:cstheme="minorEastAsia"/>
          <w:b w:val="0"/>
          <w:bCs w:val="0"/>
          <w:sz w:val="24"/>
          <w:szCs w:val="24"/>
          <w:highlight w:val="none"/>
          <w:lang w:val="en-US" w:eastAsia="zh-CN"/>
        </w:rPr>
        <w:t>0.</w:t>
      </w:r>
      <w:r>
        <w:rPr>
          <w:rFonts w:hint="eastAsia" w:asciiTheme="minorEastAsia" w:hAnsiTheme="minorEastAsia" w:eastAsiaTheme="minorEastAsia" w:cstheme="minorEastAsia"/>
          <w:b w:val="0"/>
          <w:bCs w:val="0"/>
          <w:sz w:val="24"/>
          <w:szCs w:val="24"/>
          <w:highlight w:val="none"/>
        </w:rPr>
        <w:t>1ms-5000ms可调</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color w:val="auto"/>
          <w:sz w:val="24"/>
          <w:szCs w:val="24"/>
          <w:highlight w:val="none"/>
        </w:rPr>
        <w:t>点阵激光模式输出：激光点间距0.</w:t>
      </w: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mm-2.6mm可调</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color w:val="auto"/>
          <w:sz w:val="24"/>
          <w:szCs w:val="24"/>
          <w:highlight w:val="none"/>
        </w:rPr>
        <w:t>点阵激光模式扫描顺序：乱序/中分/顺序</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color w:val="auto"/>
          <w:sz w:val="24"/>
          <w:szCs w:val="24"/>
          <w:highlight w:val="none"/>
        </w:rPr>
        <w:t>点阵激光模式</w:t>
      </w:r>
      <w:r>
        <w:rPr>
          <w:rFonts w:hint="eastAsia" w:asciiTheme="minorEastAsia" w:hAnsiTheme="minorEastAsia" w:eastAsiaTheme="minorEastAsia" w:cstheme="minorEastAsia"/>
          <w:b w:val="0"/>
          <w:bCs w:val="0"/>
          <w:color w:val="auto"/>
          <w:sz w:val="24"/>
          <w:szCs w:val="24"/>
          <w:highlight w:val="none"/>
          <w:lang w:val="en-US" w:eastAsia="zh-CN"/>
        </w:rPr>
        <w:t>扫描次数</w:t>
      </w:r>
      <w:r>
        <w:rPr>
          <w:rFonts w:hint="eastAsia" w:asciiTheme="minorEastAsia" w:hAnsiTheme="minorEastAsia" w:eastAsiaTheme="minorEastAsia" w:cstheme="minorEastAsia"/>
          <w:b w:val="0"/>
          <w:bCs w:val="0"/>
          <w:color w:val="auto"/>
          <w:sz w:val="24"/>
          <w:szCs w:val="24"/>
          <w:highlight w:val="none"/>
        </w:rPr>
        <w:t>：1-20次可调</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点阵激光模式输出：记忆储存方案</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rPr>
        <w:t>5种</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点阵激光</w:t>
      </w:r>
      <w:r>
        <w:rPr>
          <w:rFonts w:hint="eastAsia" w:asciiTheme="minorEastAsia" w:hAnsiTheme="minorEastAsia" w:eastAsiaTheme="minorEastAsia" w:cstheme="minorEastAsia"/>
          <w:b w:val="0"/>
          <w:bCs w:val="0"/>
          <w:sz w:val="24"/>
          <w:szCs w:val="24"/>
          <w:highlight w:val="none"/>
          <w:lang w:val="en-US" w:eastAsia="zh-CN"/>
        </w:rPr>
        <w:t>模式单点</w:t>
      </w:r>
      <w:r>
        <w:rPr>
          <w:rFonts w:hint="eastAsia" w:asciiTheme="minorEastAsia" w:hAnsiTheme="minorEastAsia" w:eastAsiaTheme="minorEastAsia" w:cstheme="minorEastAsia"/>
          <w:b w:val="0"/>
          <w:bCs w:val="0"/>
          <w:sz w:val="24"/>
          <w:szCs w:val="24"/>
          <w:highlight w:val="none"/>
        </w:rPr>
        <w:t>能量输出: ≥</w:t>
      </w:r>
      <w:r>
        <w:rPr>
          <w:rFonts w:hint="eastAsia" w:asciiTheme="minorEastAsia" w:hAnsiTheme="minorEastAsia" w:eastAsiaTheme="minorEastAsia" w:cstheme="minorEastAsia"/>
          <w:b w:val="0"/>
          <w:bCs w:val="0"/>
          <w:sz w:val="24"/>
          <w:szCs w:val="24"/>
          <w:highlight w:val="none"/>
          <w:lang w:val="en-US" w:eastAsia="zh-CN"/>
        </w:rPr>
        <w:t>17</w:t>
      </w:r>
      <w:r>
        <w:rPr>
          <w:rFonts w:hint="eastAsia" w:asciiTheme="minorEastAsia" w:hAnsiTheme="minorEastAsia" w:eastAsiaTheme="minorEastAsia" w:cstheme="minorEastAsia"/>
          <w:b w:val="0"/>
          <w:bCs w:val="0"/>
          <w:sz w:val="24"/>
          <w:szCs w:val="24"/>
          <w:highlight w:val="none"/>
        </w:rPr>
        <w:t>0mj</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操作系统：</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rPr>
        <w:t>8寸彩色触摸屏</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激光输出控制系统：脚踏控制、手控控制</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激光防护镜</w:t>
      </w:r>
      <w:r>
        <w:rPr>
          <w:rFonts w:hint="eastAsia" w:asciiTheme="minorEastAsia" w:hAnsiTheme="minorEastAsia" w:eastAsiaTheme="minorEastAsia" w:cstheme="minorEastAsia"/>
          <w:b w:val="0"/>
          <w:bCs w:val="0"/>
          <w:sz w:val="24"/>
          <w:szCs w:val="24"/>
          <w:highlight w:val="none"/>
          <w:lang w:val="en-US" w:eastAsia="zh-CN"/>
        </w:rPr>
        <w:t>一</w:t>
      </w:r>
      <w:r>
        <w:rPr>
          <w:rFonts w:hint="eastAsia" w:asciiTheme="minorEastAsia" w:hAnsiTheme="minorEastAsia" w:eastAsiaTheme="minorEastAsia" w:cstheme="minorEastAsia"/>
          <w:b w:val="0"/>
          <w:bCs w:val="0"/>
          <w:sz w:val="24"/>
          <w:szCs w:val="24"/>
          <w:highlight w:val="none"/>
        </w:rPr>
        <w:t>副,可见光透射比：≥65%</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光密度：≥4</w:t>
      </w:r>
    </w:p>
    <w:p>
      <w:pPr>
        <w:numPr>
          <w:ilvl w:val="0"/>
          <w:numId w:val="0"/>
        </w:numPr>
        <w:spacing w:line="240" w:lineRule="auto"/>
        <w:rPr>
          <w:rFonts w:hint="eastAsia"/>
          <w:sz w:val="24"/>
          <w:szCs w:val="24"/>
          <w:highlight w:val="none"/>
        </w:rPr>
      </w:pPr>
    </w:p>
    <w:p>
      <w:pPr>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标项一：多波段光谱治疗仪技术参数</w:t>
      </w:r>
    </w:p>
    <w:p>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（1）型号：便携式 </w:t>
      </w:r>
    </w:p>
    <w:p>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（2）含有三种光组合（紫外线、红光、红外线）</w:t>
      </w:r>
    </w:p>
    <w:p>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（3）峰值波长：（紫外线）30</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nm；</w:t>
      </w:r>
    </w:p>
    <w:p>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峰值波长：（红光）6</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rPr>
        <w:t xml:space="preserve"> ~6</w:t>
      </w:r>
      <w:r>
        <w:rPr>
          <w:rFonts w:hint="eastAsia" w:asciiTheme="minorEastAsia" w:hAnsiTheme="minorEastAsia" w:eastAsiaTheme="minorEastAsia" w:cstheme="minorEastAsia"/>
          <w:sz w:val="24"/>
          <w:szCs w:val="24"/>
          <w:highlight w:val="none"/>
          <w:lang w:val="en-US" w:eastAsia="zh-CN"/>
        </w:rPr>
        <w:t>40</w:t>
      </w:r>
      <w:r>
        <w:rPr>
          <w:rFonts w:hint="eastAsia" w:asciiTheme="minorEastAsia" w:hAnsiTheme="minorEastAsia" w:eastAsiaTheme="minorEastAsia" w:cstheme="minorEastAsia"/>
          <w:sz w:val="24"/>
          <w:szCs w:val="24"/>
          <w:highlight w:val="none"/>
        </w:rPr>
        <w:t>nm；</w:t>
      </w:r>
    </w:p>
    <w:p>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峰值波长：（红外线）9</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rPr>
        <w:t>~9</w:t>
      </w:r>
      <w:r>
        <w:rPr>
          <w:rFonts w:hint="eastAsia" w:asciiTheme="minorEastAsia" w:hAnsiTheme="minorEastAsia" w:eastAsia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rPr>
        <w:t>nm</w:t>
      </w:r>
    </w:p>
    <w:p>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（6）窄谱紫外线:30</w:t>
      </w:r>
      <w:r>
        <w:rPr>
          <w:rFonts w:hint="eastAsia" w:asciiTheme="minorEastAsia" w:hAnsiTheme="minorEastAsia" w:eastAsiaTheme="minorEastAsia" w:cstheme="minorEastAsia"/>
          <w:color w:val="000000"/>
          <w:sz w:val="24"/>
          <w:szCs w:val="24"/>
          <w:highlight w:val="none"/>
          <w:lang w:val="en-US" w:eastAsia="zh-CN"/>
        </w:rPr>
        <w:t>0</w:t>
      </w:r>
      <w:r>
        <w:rPr>
          <w:rFonts w:hint="eastAsia" w:asciiTheme="minorEastAsia" w:hAnsiTheme="minorEastAsia" w:eastAsiaTheme="minorEastAsia" w:cstheme="minorEastAsia"/>
          <w:color w:val="000000"/>
          <w:sz w:val="24"/>
          <w:szCs w:val="24"/>
          <w:highlight w:val="none"/>
        </w:rPr>
        <w:t>~3</w:t>
      </w:r>
      <w:r>
        <w:rPr>
          <w:rFonts w:hint="eastAsia" w:asciiTheme="minorEastAsia" w:hAnsiTheme="minorEastAsia" w:eastAsiaTheme="minorEastAsia" w:cstheme="minorEastAsia"/>
          <w:color w:val="000000"/>
          <w:sz w:val="24"/>
          <w:szCs w:val="24"/>
          <w:highlight w:val="none"/>
          <w:lang w:val="en-US" w:eastAsia="zh-CN"/>
        </w:rPr>
        <w:t>20</w:t>
      </w:r>
      <w:r>
        <w:rPr>
          <w:rFonts w:hint="eastAsia" w:asciiTheme="minorEastAsia" w:hAnsiTheme="minorEastAsia" w:eastAsiaTheme="minorEastAsia" w:cstheme="minorEastAsia"/>
          <w:color w:val="000000"/>
          <w:sz w:val="24"/>
          <w:szCs w:val="24"/>
          <w:highlight w:val="none"/>
        </w:rPr>
        <w:t>nm</w:t>
      </w:r>
    </w:p>
    <w:p>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（7）单翼辐照强度及误差：（紫外线）100±20% μW/cm²</w:t>
      </w:r>
    </w:p>
    <w:p>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8）单颗光功率:（红光）≥1mW；（红外线）≥1mW</w:t>
      </w:r>
    </w:p>
    <w:p>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（9）灯距人体的距离:≤10mm</w:t>
      </w:r>
    </w:p>
    <w:p>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（10）照射面积: </w:t>
      </w:r>
      <w:r>
        <w:rPr>
          <w:rFonts w:hint="eastAsia" w:asciiTheme="minorEastAsia" w:hAnsiTheme="minorEastAsia" w:eastAsiaTheme="minorEastAsia" w:cstheme="minorEastAsia"/>
          <w:color w:val="000000"/>
          <w:sz w:val="24"/>
          <w:szCs w:val="24"/>
          <w:highlight w:val="none"/>
          <w:lang w:val="en-US" w:eastAsia="zh-CN"/>
        </w:rPr>
        <w:t>≥</w:t>
      </w:r>
      <w:r>
        <w:rPr>
          <w:rFonts w:hint="eastAsia" w:asciiTheme="minorEastAsia" w:hAnsiTheme="minorEastAsia" w:eastAsiaTheme="minorEastAsia" w:cstheme="minorEastAsia"/>
          <w:color w:val="000000"/>
          <w:sz w:val="24"/>
          <w:szCs w:val="24"/>
          <w:highlight w:val="none"/>
        </w:rPr>
        <w:t>230</w:t>
      </w:r>
      <w:r>
        <w:rPr>
          <w:rFonts w:hint="eastAsia" w:asciiTheme="minorEastAsia" w:hAnsiTheme="minorEastAsia" w:eastAsiaTheme="minorEastAsia" w:cstheme="minorEastAsia"/>
          <w:color w:val="000000"/>
          <w:sz w:val="24"/>
          <w:szCs w:val="24"/>
          <w:highlight w:val="none"/>
          <w:lang w:val="en-US" w:eastAsia="zh-CN"/>
        </w:rPr>
        <w:t>00</w:t>
      </w:r>
      <w:r>
        <w:rPr>
          <w:rFonts w:hint="eastAsia" w:asciiTheme="minorEastAsia" w:hAnsiTheme="minorEastAsia" w:eastAsiaTheme="minorEastAsia" w:cstheme="minorEastAsia"/>
          <w:color w:val="000000"/>
          <w:sz w:val="24"/>
          <w:szCs w:val="24"/>
          <w:highlight w:val="none"/>
        </w:rPr>
        <w:t xml:space="preserve"> mm²</w:t>
      </w:r>
    </w:p>
    <w:p>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）支臂/架伸展范围：0mm～900mm 误差±10%。</w:t>
      </w:r>
    </w:p>
    <w:p>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2）照射头可折角度范围：侧板向内折角度0～90°。</w:t>
      </w:r>
    </w:p>
    <w:p>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3）照射头表面温度：≤41℃。</w:t>
      </w:r>
    </w:p>
    <w:p>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4）定时：设定1～40min之间任选。定时具有蜂鸣报警提示，且</w:t>
      </w:r>
      <w:r>
        <w:rPr>
          <w:rFonts w:hint="eastAsia" w:asciiTheme="minorEastAsia" w:hAnsiTheme="minorEastAsia" w:eastAsiaTheme="minorEastAsia" w:cstheme="minorEastAsia"/>
          <w:b w:val="0"/>
          <w:bCs/>
          <w:sz w:val="24"/>
          <w:szCs w:val="24"/>
          <w:highlight w:val="none"/>
        </w:rPr>
        <w:t>治疗仪</w:t>
      </w:r>
      <w:r>
        <w:rPr>
          <w:rFonts w:hint="eastAsia" w:asciiTheme="minorEastAsia" w:hAnsiTheme="minorEastAsia" w:eastAsiaTheme="minorEastAsia" w:cstheme="minorEastAsia"/>
          <w:sz w:val="24"/>
          <w:szCs w:val="24"/>
          <w:highlight w:val="none"/>
        </w:rPr>
        <w:t>同时自动停止工作。</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highlight w:val="none"/>
        </w:rPr>
      </w:pPr>
    </w:p>
    <w:p>
      <w:pPr>
        <w:jc w:val="center"/>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标项二：乳腺磁共振线圈技术参数</w:t>
      </w:r>
    </w:p>
    <w:p>
      <w:pPr>
        <w:rPr>
          <w:rFonts w:cs="Times New Roman"/>
          <w:sz w:val="28"/>
          <w:szCs w:val="28"/>
          <w:highlight w:val="none"/>
        </w:rPr>
      </w:pPr>
    </w:p>
    <w:tbl>
      <w:tblPr>
        <w:tblStyle w:val="25"/>
        <w:tblW w:w="92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962"/>
        <w:gridCol w:w="4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17" w:type="dxa"/>
          </w:tcPr>
          <w:p>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8429" w:type="dxa"/>
            <w:gridSpan w:val="2"/>
          </w:tcPr>
          <w:p>
            <w:pPr>
              <w:widowControl/>
              <w:jc w:val="cente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乳腺线圈技术参数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w:t>
            </w:r>
          </w:p>
        </w:tc>
        <w:tc>
          <w:tcPr>
            <w:tcW w:w="3962" w:type="dxa"/>
            <w:vAlign w:val="center"/>
          </w:tcPr>
          <w:p>
            <w:pPr>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kern w:val="0"/>
                <w:sz w:val="24"/>
                <w:szCs w:val="24"/>
                <w:highlight w:val="none"/>
              </w:rPr>
              <w:t>产品名称</w:t>
            </w:r>
          </w:p>
        </w:tc>
        <w:tc>
          <w:tcPr>
            <w:tcW w:w="4467" w:type="dxa"/>
            <w:vAlign w:val="center"/>
          </w:tcPr>
          <w:p>
            <w:pPr>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kern w:val="0"/>
                <w:sz w:val="24"/>
                <w:szCs w:val="24"/>
                <w:highlight w:val="none"/>
              </w:rPr>
              <w:t>1.5T 8通道乳腺线圈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w:t>
            </w:r>
          </w:p>
        </w:tc>
        <w:tc>
          <w:tcPr>
            <w:tcW w:w="3962" w:type="dxa"/>
          </w:tcPr>
          <w:p>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color w:val="000000"/>
                <w:kern w:val="0"/>
                <w:sz w:val="24"/>
                <w:szCs w:val="24"/>
                <w:highlight w:val="none"/>
              </w:rPr>
              <w:t>适用设备</w:t>
            </w:r>
          </w:p>
        </w:tc>
        <w:tc>
          <w:tcPr>
            <w:tcW w:w="4467" w:type="dxa"/>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GE  1.5T</w:t>
            </w:r>
            <w:r>
              <w:rPr>
                <w:rFonts w:hint="eastAsia" w:asciiTheme="minorEastAsia" w:hAnsiTheme="minorEastAsia" w:eastAsiaTheme="minorEastAsia" w:cstheme="minorEastAsia"/>
                <w:sz w:val="24"/>
                <w:szCs w:val="24"/>
                <w:highlight w:val="none"/>
              </w:rPr>
              <w:t>磁共振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w:t>
            </w:r>
          </w:p>
        </w:tc>
        <w:tc>
          <w:tcPr>
            <w:tcW w:w="3962" w:type="dxa"/>
          </w:tcPr>
          <w:p>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数量</w:t>
            </w:r>
          </w:p>
        </w:tc>
        <w:tc>
          <w:tcPr>
            <w:tcW w:w="4467" w:type="dxa"/>
          </w:tcPr>
          <w:p>
            <w:pPr>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4</w:t>
            </w:r>
          </w:p>
        </w:tc>
        <w:tc>
          <w:tcPr>
            <w:tcW w:w="3962" w:type="dxa"/>
            <w:vAlign w:val="center"/>
          </w:tcPr>
          <w:p>
            <w:pPr>
              <w:widowControl/>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成像部位</w:t>
            </w:r>
          </w:p>
        </w:tc>
        <w:tc>
          <w:tcPr>
            <w:tcW w:w="4467"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主要用于女性乳腺的高分辨磁共振临床成像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5</w:t>
            </w:r>
          </w:p>
        </w:tc>
        <w:tc>
          <w:tcPr>
            <w:tcW w:w="3962" w:type="dxa"/>
            <w:vAlign w:val="center"/>
          </w:tcPr>
          <w:p>
            <w:pPr>
              <w:widowControl/>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基础配置</w:t>
            </w:r>
          </w:p>
        </w:tc>
        <w:tc>
          <w:tcPr>
            <w:tcW w:w="4467"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5.1</w:t>
            </w:r>
          </w:p>
        </w:tc>
        <w:tc>
          <w:tcPr>
            <w:tcW w:w="3962"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线圈设计类型</w:t>
            </w:r>
          </w:p>
        </w:tc>
        <w:tc>
          <w:tcPr>
            <w:tcW w:w="4467"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相控阵阵列线圈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5.2</w:t>
            </w:r>
          </w:p>
        </w:tc>
        <w:tc>
          <w:tcPr>
            <w:tcW w:w="3962"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连接方式</w:t>
            </w:r>
          </w:p>
        </w:tc>
        <w:tc>
          <w:tcPr>
            <w:tcW w:w="4467"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即插即用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5.3</w:t>
            </w:r>
          </w:p>
        </w:tc>
        <w:tc>
          <w:tcPr>
            <w:tcW w:w="3962"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线圈性质</w:t>
            </w:r>
          </w:p>
        </w:tc>
        <w:tc>
          <w:tcPr>
            <w:tcW w:w="4467"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接收线圈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5.4</w:t>
            </w:r>
          </w:p>
        </w:tc>
        <w:tc>
          <w:tcPr>
            <w:tcW w:w="3962"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接收线圈单元数</w:t>
            </w:r>
          </w:p>
        </w:tc>
        <w:tc>
          <w:tcPr>
            <w:tcW w:w="4467"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5.5</w:t>
            </w:r>
          </w:p>
        </w:tc>
        <w:tc>
          <w:tcPr>
            <w:tcW w:w="3962"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线圈成像FOV</w:t>
            </w:r>
          </w:p>
        </w:tc>
        <w:tc>
          <w:tcPr>
            <w:tcW w:w="4467"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F/H:128</w:t>
            </w:r>
            <w:r>
              <w:rPr>
                <w:rFonts w:hint="eastAsia" w:asciiTheme="minorEastAsia" w:hAnsiTheme="minorEastAsia" w:eastAsiaTheme="minorEastAsia" w:cstheme="minorEastAsia"/>
                <w:sz w:val="24"/>
                <w:szCs w:val="24"/>
                <w:highlight w:val="none"/>
              </w:rPr>
              <w:sym w:font="Symbol" w:char="F0B1"/>
            </w:r>
            <w:r>
              <w:rPr>
                <w:rFonts w:hint="eastAsia" w:asciiTheme="minorEastAsia" w:hAnsiTheme="minorEastAsia" w:eastAsiaTheme="minorEastAsia" w:cstheme="minorEastAsia"/>
                <w:sz w:val="24"/>
                <w:szCs w:val="24"/>
                <w:highlight w:val="none"/>
              </w:rPr>
              <w:t>5 mm  L/R:350</w:t>
            </w:r>
            <w:r>
              <w:rPr>
                <w:rFonts w:hint="eastAsia" w:asciiTheme="minorEastAsia" w:hAnsiTheme="minorEastAsia" w:eastAsiaTheme="minorEastAsia" w:cstheme="minorEastAsia"/>
                <w:sz w:val="24"/>
                <w:szCs w:val="24"/>
                <w:highlight w:val="none"/>
              </w:rPr>
              <w:sym w:font="Symbol" w:char="F0B1"/>
            </w:r>
            <w:r>
              <w:rPr>
                <w:rFonts w:hint="eastAsia" w:asciiTheme="minorEastAsia" w:hAnsiTheme="minorEastAsia" w:eastAsiaTheme="minorEastAsia" w:cstheme="minorEastAsia"/>
                <w:sz w:val="24"/>
                <w:szCs w:val="24"/>
                <w:highlight w:val="none"/>
              </w:rPr>
              <w:t xml:space="preserve"> 5mm  A/P:118</w:t>
            </w:r>
            <w:r>
              <w:rPr>
                <w:rFonts w:hint="eastAsia" w:asciiTheme="minorEastAsia" w:hAnsiTheme="minorEastAsia" w:eastAsiaTheme="minorEastAsia" w:cstheme="minorEastAsia"/>
                <w:sz w:val="24"/>
                <w:szCs w:val="24"/>
                <w:highlight w:val="none"/>
              </w:rPr>
              <w:sym w:font="Symbol" w:char="F0B1"/>
            </w:r>
            <w:r>
              <w:rPr>
                <w:rFonts w:hint="eastAsia" w:asciiTheme="minorEastAsia" w:hAnsiTheme="minorEastAsia" w:eastAsiaTheme="minorEastAsia" w:cstheme="minorEastAsia"/>
                <w:sz w:val="24"/>
                <w:szCs w:val="24"/>
                <w:highlight w:val="none"/>
              </w:rPr>
              <w:t>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rPr>
              <w:t>5.6</w:t>
            </w:r>
          </w:p>
        </w:tc>
        <w:tc>
          <w:tcPr>
            <w:tcW w:w="3962" w:type="dxa"/>
            <w:vAlign w:val="center"/>
          </w:tcPr>
          <w:p>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sz w:val="24"/>
                <w:szCs w:val="24"/>
                <w:highlight w:val="none"/>
              </w:rPr>
              <w:t>尺寸（长宽高）</w:t>
            </w:r>
          </w:p>
        </w:tc>
        <w:tc>
          <w:tcPr>
            <w:tcW w:w="4467" w:type="dxa"/>
            <w:vAlign w:val="center"/>
          </w:tcPr>
          <w:p>
            <w:pPr>
              <w:widowControl/>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400*280*180</w:t>
            </w:r>
            <w:r>
              <w:rPr>
                <w:rFonts w:hint="eastAsia" w:asciiTheme="minorEastAsia" w:hAnsiTheme="minorEastAsia" w:eastAsiaTheme="minorEastAsia" w:cstheme="minorEastAsia"/>
                <w:sz w:val="24"/>
                <w:szCs w:val="24"/>
                <w:highlight w:val="none"/>
              </w:rPr>
              <w:sym w:font="Symbol" w:char="F0B1"/>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5.7</w:t>
            </w:r>
          </w:p>
        </w:tc>
        <w:tc>
          <w:tcPr>
            <w:tcW w:w="3962"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重量(kg)</w:t>
            </w:r>
          </w:p>
        </w:tc>
        <w:tc>
          <w:tcPr>
            <w:tcW w:w="4467" w:type="dxa"/>
            <w:vAlign w:val="center"/>
          </w:tcPr>
          <w:p>
            <w:pPr>
              <w:widowControl/>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3.8 </w:t>
            </w:r>
            <w:r>
              <w:rPr>
                <w:rFonts w:hint="eastAsia" w:asciiTheme="minorEastAsia" w:hAnsiTheme="minorEastAsia" w:eastAsiaTheme="minorEastAsia" w:cstheme="minorEastAsia"/>
                <w:sz w:val="24"/>
                <w:szCs w:val="24"/>
                <w:highlight w:val="none"/>
              </w:rPr>
              <w:sym w:font="Symbol" w:char="F0B1"/>
            </w: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 xml:space="preserve">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6</w:t>
            </w:r>
          </w:p>
        </w:tc>
        <w:tc>
          <w:tcPr>
            <w:tcW w:w="3962" w:type="dxa"/>
            <w:vAlign w:val="center"/>
          </w:tcPr>
          <w:p>
            <w:pPr>
              <w:widowControl/>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主要技术参数</w:t>
            </w:r>
          </w:p>
        </w:tc>
        <w:tc>
          <w:tcPr>
            <w:tcW w:w="4467" w:type="dxa"/>
            <w:vAlign w:val="center"/>
          </w:tcPr>
          <w:p>
            <w:pPr>
              <w:widowControl/>
              <w:jc w:val="center"/>
              <w:rPr>
                <w:rFonts w:hint="eastAsia" w:asciiTheme="minorEastAsia" w:hAnsiTheme="minorEastAsia" w:eastAsiaTheme="minorEastAsia" w:cstheme="minorEastAsia"/>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6.1</w:t>
            </w:r>
          </w:p>
        </w:tc>
        <w:tc>
          <w:tcPr>
            <w:tcW w:w="3962"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RL SENSE因子</w:t>
            </w:r>
          </w:p>
        </w:tc>
        <w:tc>
          <w:tcPr>
            <w:tcW w:w="4467"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6.2</w:t>
            </w:r>
          </w:p>
        </w:tc>
        <w:tc>
          <w:tcPr>
            <w:tcW w:w="3962"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HF SENSE因子</w:t>
            </w:r>
          </w:p>
        </w:tc>
        <w:tc>
          <w:tcPr>
            <w:tcW w:w="4467"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6.3</w:t>
            </w:r>
          </w:p>
        </w:tc>
        <w:tc>
          <w:tcPr>
            <w:tcW w:w="3962"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AP SENSE因子</w:t>
            </w:r>
          </w:p>
        </w:tc>
        <w:tc>
          <w:tcPr>
            <w:tcW w:w="4467"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6.4</w:t>
            </w:r>
          </w:p>
        </w:tc>
        <w:tc>
          <w:tcPr>
            <w:tcW w:w="3962"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通道谐振频率（MHz）</w:t>
            </w:r>
          </w:p>
        </w:tc>
        <w:tc>
          <w:tcPr>
            <w:tcW w:w="4467"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63.86</w:t>
            </w:r>
            <w:r>
              <w:rPr>
                <w:rFonts w:hint="eastAsia" w:asciiTheme="minorEastAsia" w:hAnsiTheme="minorEastAsia" w:eastAsiaTheme="minorEastAsia" w:cstheme="minorEastAsia"/>
                <w:sz w:val="24"/>
                <w:szCs w:val="24"/>
                <w:highlight w:val="none"/>
              </w:rPr>
              <w:sym w:font="Symbol" w:char="F0B1"/>
            </w:r>
            <w:r>
              <w:rPr>
                <w:rFonts w:hint="eastAsia" w:asciiTheme="minorEastAsia" w:hAnsiTheme="minorEastAsia" w:eastAsiaTheme="minorEastAsia" w:cstheme="minorEastAsia"/>
                <w:sz w:val="24"/>
                <w:szCs w:val="24"/>
                <w:highlight w:val="none"/>
              </w:rPr>
              <w:t>0.1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6.5</w:t>
            </w:r>
          </w:p>
        </w:tc>
        <w:tc>
          <w:tcPr>
            <w:tcW w:w="3962"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输出阻抗（欧姆）</w:t>
            </w:r>
          </w:p>
        </w:tc>
        <w:tc>
          <w:tcPr>
            <w:tcW w:w="4467"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50</w:t>
            </w:r>
            <w:r>
              <w:rPr>
                <w:rFonts w:hint="eastAsia" w:asciiTheme="minorEastAsia" w:hAnsiTheme="minorEastAsia" w:eastAsiaTheme="minorEastAsia" w:cstheme="minorEastAsia"/>
                <w:sz w:val="24"/>
                <w:szCs w:val="24"/>
                <w:highlight w:val="none"/>
              </w:rPr>
              <w:sym w:font="Symbol" w:char="F0B1"/>
            </w:r>
            <w:r>
              <w:rPr>
                <w:rFonts w:hint="eastAsia" w:asciiTheme="minorEastAsia" w:hAnsiTheme="minorEastAsia" w:eastAsiaTheme="minorEastAsia" w:cstheme="minorEastAsia"/>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6.6</w:t>
            </w:r>
          </w:p>
        </w:tc>
        <w:tc>
          <w:tcPr>
            <w:tcW w:w="3962"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通道增益（dB）</w:t>
            </w:r>
          </w:p>
        </w:tc>
        <w:tc>
          <w:tcPr>
            <w:tcW w:w="4467"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28</w:t>
            </w:r>
            <w:r>
              <w:rPr>
                <w:rFonts w:hint="eastAsia" w:asciiTheme="minorEastAsia" w:hAnsiTheme="minorEastAsia" w:eastAsiaTheme="minorEastAsia" w:cstheme="minorEastAsia"/>
                <w:sz w:val="24"/>
                <w:szCs w:val="24"/>
                <w:highlight w:val="none"/>
              </w:rPr>
              <w:sym w:font="Symbol" w:char="F0B1"/>
            </w:r>
            <w:r>
              <w:rPr>
                <w:rFonts w:hint="eastAsia" w:asciiTheme="minorEastAsia" w:hAnsiTheme="minorEastAsia" w:eastAsiaTheme="minorEastAsia" w:cstheme="minorEastAsia"/>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6.7</w:t>
            </w:r>
          </w:p>
        </w:tc>
        <w:tc>
          <w:tcPr>
            <w:tcW w:w="3962"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放大器输入阻抗（欧姆）</w:t>
            </w:r>
          </w:p>
        </w:tc>
        <w:tc>
          <w:tcPr>
            <w:tcW w:w="4467"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sym w:font="Symbol" w:char="F0A3"/>
            </w:r>
            <w:r>
              <w:rPr>
                <w:rFonts w:hint="eastAsia" w:asciiTheme="minorEastAsia" w:hAnsiTheme="minorEastAsia" w:eastAsiaTheme="minorEastAsia" w:cstheme="minorEastAsia"/>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6.8</w:t>
            </w:r>
          </w:p>
        </w:tc>
        <w:tc>
          <w:tcPr>
            <w:tcW w:w="3962"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隔离度（-dB）</w:t>
            </w:r>
          </w:p>
        </w:tc>
        <w:tc>
          <w:tcPr>
            <w:tcW w:w="4467" w:type="dxa"/>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sym w:font="Symbol" w:char="F0A3"/>
            </w:r>
            <w:r>
              <w:rPr>
                <w:rFonts w:hint="eastAsia" w:asciiTheme="minorEastAsia" w:hAnsiTheme="minorEastAsia" w:eastAsiaTheme="minorEastAsia" w:cstheme="minorEastAsia"/>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jc w:val="center"/>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6.9</w:t>
            </w:r>
          </w:p>
        </w:tc>
        <w:tc>
          <w:tcPr>
            <w:tcW w:w="3962" w:type="dxa"/>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接触人体的软垫出具生物兼容性检测报告</w:t>
            </w:r>
          </w:p>
        </w:tc>
        <w:tc>
          <w:tcPr>
            <w:tcW w:w="4467" w:type="dxa"/>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具备</w:t>
            </w:r>
          </w:p>
        </w:tc>
      </w:tr>
    </w:tbl>
    <w:p>
      <w:pPr>
        <w:rPr>
          <w:rFonts w:cs="Times New Roman"/>
          <w:sz w:val="28"/>
          <w:szCs w:val="28"/>
          <w:highlight w:val="none"/>
        </w:rPr>
      </w:pPr>
    </w:p>
    <w:p>
      <w:pPr>
        <w:rPr>
          <w:rFonts w:cs="Times New Roman"/>
          <w:sz w:val="28"/>
          <w:szCs w:val="28"/>
          <w:highlight w:val="none"/>
        </w:rPr>
      </w:pPr>
    </w:p>
    <w:p>
      <w:pPr>
        <w:pStyle w:val="75"/>
        <w:rPr>
          <w:rFonts w:hint="eastAsia"/>
          <w:highlight w:val="none"/>
          <w:lang w:val="en-US" w:eastAsia="zh-CN"/>
        </w:rPr>
      </w:pPr>
    </w:p>
    <w:p>
      <w:pP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宋体" w:hAnsi="宋体" w:eastAsia="宋体" w:cs="宋体"/>
          <w:b/>
          <w:bCs/>
          <w:color w:val="auto"/>
          <w:sz w:val="28"/>
          <w:szCs w:val="28"/>
          <w:highlight w:val="none"/>
          <w:lang w:val="en-US" w:eastAsia="zh-CN"/>
        </w:rPr>
        <w:br w:type="page"/>
      </w:r>
    </w:p>
    <w:p>
      <w:pPr>
        <w:pStyle w:val="12"/>
        <w:rPr>
          <w:rFonts w:hint="eastAsia"/>
          <w:color w:val="auto"/>
          <w:highlight w:val="none"/>
          <w:lang w:val="en-US" w:eastAsia="zh-CN"/>
        </w:rPr>
      </w:pPr>
    </w:p>
    <w:p>
      <w:pPr>
        <w:jc w:val="center"/>
        <w:rPr>
          <w:rStyle w:val="32"/>
          <w:rFonts w:hint="eastAsia" w:ascii="宋体" w:hAnsi="宋体" w:eastAsia="宋体" w:cs="宋体"/>
          <w:color w:val="auto"/>
          <w:highlight w:val="none"/>
        </w:rPr>
      </w:pPr>
    </w:p>
    <w:p>
      <w:pPr>
        <w:jc w:val="center"/>
        <w:rPr>
          <w:rStyle w:val="32"/>
          <w:rFonts w:ascii="宋体" w:hAnsi="宋体" w:eastAsia="宋体" w:cs="宋体"/>
          <w:color w:val="auto"/>
          <w:highlight w:val="none"/>
        </w:rPr>
      </w:pPr>
      <w:r>
        <w:rPr>
          <w:rStyle w:val="32"/>
          <w:rFonts w:hint="eastAsia" w:ascii="宋体" w:hAnsi="宋体" w:eastAsia="宋体" w:cs="宋体"/>
          <w:color w:val="auto"/>
          <w:highlight w:val="none"/>
        </w:rPr>
        <w:t>第四章 合同条款</w:t>
      </w:r>
      <w:bookmarkEnd w:id="123"/>
    </w:p>
    <w:p>
      <w:pPr>
        <w:spacing w:before="31" w:after="31" w:line="360" w:lineRule="auto"/>
        <w:jc w:val="left"/>
        <w:rPr>
          <w:rFonts w:ascii="宋体" w:hAnsi="宋体" w:eastAsia="宋体" w:cs="宋体"/>
          <w:bCs/>
          <w:color w:val="auto"/>
          <w:kern w:val="0"/>
          <w:sz w:val="44"/>
          <w:szCs w:val="44"/>
          <w:highlight w:val="none"/>
        </w:rPr>
      </w:pPr>
      <w:r>
        <w:rPr>
          <w:rStyle w:val="32"/>
          <w:rFonts w:hint="eastAsia" w:ascii="宋体" w:hAnsi="宋体" w:eastAsia="宋体" w:cs="宋体"/>
          <w:color w:val="auto"/>
          <w:highlight w:val="none"/>
        </w:rPr>
        <w:br w:type="page"/>
      </w:r>
    </w:p>
    <w:p>
      <w:pPr>
        <w:snapToGrid w:val="0"/>
        <w:spacing w:line="400" w:lineRule="exact"/>
        <w:jc w:val="center"/>
        <w:rPr>
          <w:rFonts w:hint="eastAsia" w:ascii="宋体" w:hAnsi="宋体"/>
          <w:b/>
          <w:bCs/>
          <w:color w:val="auto"/>
          <w:sz w:val="28"/>
          <w:szCs w:val="28"/>
          <w:highlight w:val="none"/>
        </w:rPr>
      </w:pPr>
      <w:bookmarkStart w:id="124" w:name="EBe1f6dcc1acc64e30b7a34d7cfa3bf34d"/>
      <w:bookmarkStart w:id="125" w:name="_Toc28125"/>
    </w:p>
    <w:bookmarkEnd w:id="124"/>
    <w:p>
      <w:pPr>
        <w:pStyle w:val="46"/>
        <w:spacing w:line="480" w:lineRule="auto"/>
        <w:jc w:val="center"/>
        <w:rPr>
          <w:rFonts w:hint="eastAsia"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lang w:eastAsia="zh-CN"/>
        </w:rPr>
        <w:t>乌鲁木齐市米东区人民医院</w:t>
      </w:r>
    </w:p>
    <w:p>
      <w:pPr>
        <w:pStyle w:val="46"/>
        <w:spacing w:line="360" w:lineRule="auto"/>
        <w:rPr>
          <w:rFonts w:hint="eastAsia" w:ascii="宋体" w:hAnsi="宋体" w:eastAsia="宋体" w:cs="宋体"/>
          <w:color w:val="auto"/>
          <w:sz w:val="52"/>
          <w:szCs w:val="52"/>
          <w:highlight w:val="none"/>
        </w:rPr>
      </w:pPr>
    </w:p>
    <w:p>
      <w:pPr>
        <w:pStyle w:val="46"/>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合  同  文  本</w:t>
      </w:r>
    </w:p>
    <w:p>
      <w:pPr>
        <w:pStyle w:val="46"/>
        <w:spacing w:line="360" w:lineRule="auto"/>
        <w:rPr>
          <w:rFonts w:hint="eastAsia" w:ascii="宋体" w:hAnsi="宋体"/>
          <w:color w:val="auto"/>
          <w:sz w:val="32"/>
          <w:highlight w:val="none"/>
        </w:rPr>
      </w:pPr>
      <w:r>
        <w:rPr>
          <w:rFonts w:hint="eastAsia" w:ascii="宋体" w:hAnsi="宋体"/>
          <w:color w:val="auto"/>
          <w:sz w:val="32"/>
          <w:highlight w:val="none"/>
        </w:rPr>
        <w:t xml:space="preserve">                                               </w:t>
      </w:r>
    </w:p>
    <w:p>
      <w:pPr>
        <w:pStyle w:val="46"/>
        <w:spacing w:line="360" w:lineRule="auto"/>
        <w:ind w:firstLine="1920" w:firstLineChars="600"/>
        <w:rPr>
          <w:rFonts w:hint="eastAsia" w:ascii="黑体" w:hAnsi="宋体" w:eastAsia="黑体"/>
          <w:color w:val="auto"/>
          <w:sz w:val="32"/>
          <w:highlight w:val="none"/>
        </w:rPr>
      </w:pPr>
    </w:p>
    <w:p>
      <w:pPr>
        <w:pStyle w:val="46"/>
        <w:spacing w:line="360" w:lineRule="auto"/>
        <w:rPr>
          <w:rFonts w:hint="eastAsia" w:ascii="黑体" w:hAnsi="宋体" w:eastAsia="黑体"/>
          <w:color w:val="auto"/>
          <w:sz w:val="32"/>
          <w:highlight w:val="none"/>
        </w:rPr>
      </w:pPr>
    </w:p>
    <w:p>
      <w:pPr>
        <w:pStyle w:val="46"/>
        <w:spacing w:line="360" w:lineRule="auto"/>
        <w:ind w:firstLine="1920" w:firstLineChars="600"/>
        <w:rPr>
          <w:rFonts w:hint="eastAsia" w:ascii="黑体" w:hAnsi="宋体" w:eastAsia="黑体"/>
          <w:color w:val="auto"/>
          <w:sz w:val="32"/>
          <w:highlight w:val="none"/>
        </w:rPr>
      </w:pPr>
    </w:p>
    <w:p>
      <w:pPr>
        <w:pStyle w:val="46"/>
        <w:keepNext w:val="0"/>
        <w:keepLines w:val="0"/>
        <w:pageBreakBefore w:val="0"/>
        <w:widowControl w:val="0"/>
        <w:kinsoku/>
        <w:wordWrap/>
        <w:overflowPunct/>
        <w:topLinePunct w:val="0"/>
        <w:autoSpaceDE w:val="0"/>
        <w:autoSpaceDN w:val="0"/>
        <w:bidi w:val="0"/>
        <w:adjustRightInd w:val="0"/>
        <w:snapToGrid/>
        <w:spacing w:line="720" w:lineRule="exact"/>
        <w:ind w:firstLine="1920" w:firstLineChars="600"/>
        <w:textAlignment w:val="auto"/>
        <w:rPr>
          <w:rFonts w:hint="eastAsia" w:ascii="黑体" w:hAnsi="宋体" w:eastAsia="黑体"/>
          <w:color w:val="auto"/>
          <w:sz w:val="32"/>
          <w:highlight w:val="none"/>
        </w:rPr>
      </w:pPr>
    </w:p>
    <w:p>
      <w:pPr>
        <w:pStyle w:val="46"/>
        <w:keepNext w:val="0"/>
        <w:keepLines w:val="0"/>
        <w:pageBreakBefore w:val="0"/>
        <w:widowControl w:val="0"/>
        <w:kinsoku/>
        <w:wordWrap/>
        <w:overflowPunct/>
        <w:topLinePunct w:val="0"/>
        <w:autoSpaceDE w:val="0"/>
        <w:autoSpaceDN w:val="0"/>
        <w:bidi w:val="0"/>
        <w:adjustRightInd w:val="0"/>
        <w:snapToGrid/>
        <w:spacing w:line="720" w:lineRule="exact"/>
        <w:ind w:left="0" w:leftChars="0" w:firstLine="1257" w:firstLineChars="393"/>
        <w:textAlignment w:val="auto"/>
        <w:rPr>
          <w:rFonts w:hint="eastAsia" w:ascii="宋体" w:hAnsi="宋体" w:eastAsia="宋体" w:cs="宋体"/>
          <w:color w:val="auto"/>
          <w:sz w:val="32"/>
          <w:szCs w:val="31"/>
          <w:highlight w:val="none"/>
          <w:u w:val="single"/>
        </w:rPr>
      </w:pPr>
      <w:r>
        <w:rPr>
          <w:rFonts w:hint="eastAsia" w:ascii="宋体" w:hAnsi="宋体" w:eastAsia="宋体" w:cs="宋体"/>
          <w:color w:val="auto"/>
          <w:sz w:val="32"/>
          <w:szCs w:val="31"/>
          <w:highlight w:val="none"/>
        </w:rPr>
        <w:t>项目名称：</w:t>
      </w:r>
      <w:r>
        <w:rPr>
          <w:rFonts w:hint="eastAsia" w:ascii="宋体" w:hAnsi="宋体" w:eastAsia="宋体" w:cs="宋体"/>
          <w:color w:val="auto"/>
          <w:sz w:val="32"/>
          <w:szCs w:val="31"/>
          <w:highlight w:val="none"/>
          <w:u w:val="single"/>
        </w:rPr>
        <w:t xml:space="preserve">            </w:t>
      </w:r>
      <w:r>
        <w:rPr>
          <w:rFonts w:hint="eastAsia" w:ascii="宋体" w:hAnsi="宋体" w:cs="宋体"/>
          <w:color w:val="auto"/>
          <w:sz w:val="32"/>
          <w:szCs w:val="31"/>
          <w:highlight w:val="none"/>
          <w:u w:val="single"/>
          <w:lang w:val="en-US" w:eastAsia="zh-CN"/>
        </w:rPr>
        <w:t xml:space="preserve">  </w:t>
      </w:r>
      <w:r>
        <w:rPr>
          <w:rFonts w:hint="eastAsia" w:ascii="宋体" w:hAnsi="宋体" w:eastAsia="宋体" w:cs="宋体"/>
          <w:color w:val="auto"/>
          <w:sz w:val="32"/>
          <w:szCs w:val="31"/>
          <w:highlight w:val="none"/>
          <w:u w:val="single"/>
        </w:rPr>
        <w:t xml:space="preserve">  </w:t>
      </w:r>
      <w:r>
        <w:rPr>
          <w:rFonts w:hint="eastAsia" w:ascii="宋体" w:hAnsi="宋体" w:eastAsia="宋体" w:cs="宋体"/>
          <w:color w:val="auto"/>
          <w:sz w:val="32"/>
          <w:szCs w:val="31"/>
          <w:highlight w:val="none"/>
          <w:u w:val="single"/>
          <w:lang w:val="en-US" w:eastAsia="zh-CN"/>
        </w:rPr>
        <w:t xml:space="preserve">   </w:t>
      </w:r>
      <w:r>
        <w:rPr>
          <w:rFonts w:hint="eastAsia" w:ascii="宋体" w:hAnsi="宋体" w:eastAsia="宋体" w:cs="宋体"/>
          <w:color w:val="auto"/>
          <w:sz w:val="32"/>
          <w:szCs w:val="31"/>
          <w:highlight w:val="none"/>
          <w:u w:val="single"/>
        </w:rPr>
        <w:t xml:space="preserve">     </w:t>
      </w:r>
    </w:p>
    <w:p>
      <w:pPr>
        <w:pStyle w:val="46"/>
        <w:keepNext w:val="0"/>
        <w:keepLines w:val="0"/>
        <w:pageBreakBefore w:val="0"/>
        <w:widowControl w:val="0"/>
        <w:kinsoku/>
        <w:wordWrap/>
        <w:overflowPunct/>
        <w:topLinePunct w:val="0"/>
        <w:autoSpaceDE w:val="0"/>
        <w:autoSpaceDN w:val="0"/>
        <w:bidi w:val="0"/>
        <w:adjustRightInd w:val="0"/>
        <w:snapToGrid/>
        <w:spacing w:line="720" w:lineRule="exact"/>
        <w:ind w:left="0" w:leftChars="0" w:firstLine="1257" w:firstLineChars="393"/>
        <w:textAlignment w:val="auto"/>
        <w:rPr>
          <w:rFonts w:hint="default" w:ascii="宋体" w:hAnsi="宋体" w:eastAsia="宋体" w:cs="宋体"/>
          <w:color w:val="auto"/>
          <w:sz w:val="32"/>
          <w:highlight w:val="none"/>
          <w:u w:val="single"/>
          <w:lang w:val="en-US" w:eastAsia="zh-CN"/>
        </w:rPr>
      </w:pPr>
      <w:r>
        <w:rPr>
          <w:rFonts w:hint="eastAsia" w:ascii="宋体" w:hAnsi="宋体" w:eastAsia="宋体" w:cs="宋体"/>
          <w:color w:val="auto"/>
          <w:sz w:val="32"/>
          <w:szCs w:val="31"/>
          <w:highlight w:val="none"/>
        </w:rPr>
        <w:t>项目编号：</w:t>
      </w:r>
      <w:r>
        <w:rPr>
          <w:rFonts w:hint="eastAsia" w:ascii="宋体" w:hAnsi="宋体" w:eastAsia="宋体" w:cs="宋体"/>
          <w:color w:val="auto"/>
          <w:sz w:val="32"/>
          <w:szCs w:val="31"/>
          <w:highlight w:val="none"/>
          <w:u w:val="single"/>
        </w:rPr>
        <w:t xml:space="preserve">              </w:t>
      </w:r>
      <w:r>
        <w:rPr>
          <w:rFonts w:hint="eastAsia" w:ascii="宋体" w:hAnsi="宋体" w:eastAsia="宋体" w:cs="宋体"/>
          <w:color w:val="auto"/>
          <w:sz w:val="32"/>
          <w:szCs w:val="31"/>
          <w:highlight w:val="none"/>
          <w:u w:val="single"/>
          <w:lang w:val="en-US" w:eastAsia="zh-CN"/>
        </w:rPr>
        <w:t xml:space="preserve">          </w:t>
      </w:r>
    </w:p>
    <w:p>
      <w:pPr>
        <w:pStyle w:val="46"/>
        <w:spacing w:line="360" w:lineRule="auto"/>
        <w:jc w:val="center"/>
        <w:rPr>
          <w:rFonts w:hint="eastAsia" w:ascii="宋体" w:hAnsi="宋体" w:eastAsia="宋体" w:cs="宋体"/>
          <w:color w:val="auto"/>
          <w:sz w:val="30"/>
          <w:highlight w:val="none"/>
        </w:rPr>
      </w:pPr>
    </w:p>
    <w:p>
      <w:pPr>
        <w:pStyle w:val="46"/>
        <w:spacing w:line="360" w:lineRule="auto"/>
        <w:jc w:val="center"/>
        <w:rPr>
          <w:rFonts w:hint="eastAsia" w:ascii="宋体" w:hAnsi="宋体" w:eastAsia="宋体" w:cs="宋体"/>
          <w:color w:val="auto"/>
          <w:sz w:val="30"/>
          <w:highlight w:val="none"/>
        </w:rPr>
      </w:pPr>
    </w:p>
    <w:p>
      <w:pPr>
        <w:pStyle w:val="46"/>
        <w:spacing w:line="360" w:lineRule="auto"/>
        <w:jc w:val="center"/>
        <w:rPr>
          <w:rFonts w:hint="eastAsia" w:ascii="宋体" w:hAnsi="宋体" w:eastAsia="宋体" w:cs="宋体"/>
          <w:color w:val="auto"/>
          <w:sz w:val="30"/>
          <w:highlight w:val="none"/>
        </w:rPr>
      </w:pPr>
    </w:p>
    <w:p>
      <w:pPr>
        <w:pStyle w:val="46"/>
        <w:spacing w:line="360" w:lineRule="auto"/>
        <w:jc w:val="center"/>
        <w:rPr>
          <w:rFonts w:hint="eastAsia" w:ascii="宋体" w:hAnsi="宋体" w:eastAsia="宋体" w:cs="宋体"/>
          <w:color w:val="auto"/>
          <w:sz w:val="30"/>
          <w:highlight w:val="none"/>
        </w:rPr>
      </w:pPr>
    </w:p>
    <w:p>
      <w:pPr>
        <w:pStyle w:val="46"/>
        <w:spacing w:line="360" w:lineRule="auto"/>
        <w:jc w:val="center"/>
        <w:rPr>
          <w:rFonts w:hint="eastAsia" w:ascii="宋体" w:hAnsi="宋体" w:eastAsia="宋体" w:cs="宋体"/>
          <w:color w:val="auto"/>
          <w:spacing w:val="40"/>
          <w:sz w:val="32"/>
          <w:highlight w:val="none"/>
        </w:rPr>
      </w:pPr>
      <w:r>
        <w:rPr>
          <w:rFonts w:hint="eastAsia" w:ascii="宋体" w:hAnsi="宋体" w:eastAsia="宋体" w:cs="宋体"/>
          <w:color w:val="auto"/>
          <w:spacing w:val="40"/>
          <w:sz w:val="32"/>
          <w:highlight w:val="none"/>
        </w:rPr>
        <w:t>年  月</w:t>
      </w:r>
      <w:r>
        <w:rPr>
          <w:rFonts w:hint="eastAsia" w:ascii="宋体" w:hAnsi="宋体" w:eastAsia="宋体" w:cs="宋体"/>
          <w:color w:val="auto"/>
          <w:spacing w:val="40"/>
          <w:sz w:val="32"/>
          <w:highlight w:val="none"/>
          <w:lang w:val="en-US" w:eastAsia="zh-CN"/>
        </w:rPr>
        <w:t xml:space="preserve">  </w:t>
      </w:r>
      <w:r>
        <w:rPr>
          <w:rFonts w:hint="eastAsia" w:ascii="宋体" w:hAnsi="宋体" w:eastAsia="宋体" w:cs="宋体"/>
          <w:color w:val="auto"/>
          <w:spacing w:val="40"/>
          <w:sz w:val="32"/>
          <w:highlight w:val="none"/>
        </w:rPr>
        <w:t>日</w:t>
      </w:r>
    </w:p>
    <w:p>
      <w:pPr>
        <w:spacing w:line="360" w:lineRule="auto"/>
        <w:jc w:val="center"/>
        <w:rPr>
          <w:rFonts w:ascii="楷体_GB2312" w:hAnsi="宋体" w:eastAsia="华文新魏"/>
          <w:color w:val="auto"/>
          <w:sz w:val="52"/>
          <w:szCs w:val="32"/>
          <w:highlight w:val="none"/>
        </w:rPr>
      </w:pPr>
      <w:r>
        <w:rPr>
          <w:rFonts w:hint="eastAsia" w:eastAsia="华文新魏"/>
          <w:color w:val="auto"/>
          <w:sz w:val="52"/>
          <w:highlight w:val="none"/>
        </w:rPr>
        <w:br w:type="page"/>
      </w:r>
      <w:r>
        <w:rPr>
          <w:rFonts w:hint="eastAsia" w:ascii="宋体" w:hAnsi="宋体" w:eastAsia="宋体" w:cs="宋体"/>
          <w:b/>
          <w:bCs/>
          <w:color w:val="auto"/>
          <w:sz w:val="44"/>
          <w:szCs w:val="44"/>
          <w:highlight w:val="none"/>
          <w:lang w:eastAsia="zh-CN"/>
        </w:rPr>
        <w:t>乌鲁木齐市米东区人民医院</w:t>
      </w:r>
      <w:r>
        <w:rPr>
          <w:rFonts w:hint="eastAsia" w:ascii="宋体" w:hAnsi="宋体" w:eastAsia="宋体" w:cs="宋体"/>
          <w:b/>
          <w:bCs/>
          <w:color w:val="auto"/>
          <w:sz w:val="44"/>
          <w:szCs w:val="44"/>
          <w:highlight w:val="none"/>
        </w:rPr>
        <w:t>采购合同(货物类)</w:t>
      </w:r>
    </w:p>
    <w:p>
      <w:pPr>
        <w:pStyle w:val="46"/>
        <w:spacing w:line="400" w:lineRule="exact"/>
        <w:ind w:firstLine="240" w:firstLineChars="100"/>
        <w:rPr>
          <w:rFonts w:hint="eastAsia" w:ascii="楷体_GB2312" w:hAnsi="宋体" w:eastAsia="楷体_GB2312"/>
          <w:color w:val="auto"/>
          <w:sz w:val="24"/>
          <w:highlight w:val="none"/>
        </w:rPr>
      </w:pPr>
    </w:p>
    <w:p>
      <w:pPr>
        <w:pStyle w:val="46"/>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甲  方：</w:t>
      </w:r>
      <w:r>
        <w:rPr>
          <w:rFonts w:hint="eastAsia" w:ascii="宋体" w:hAnsi="宋体" w:eastAsia="宋体" w:cs="宋体"/>
          <w:color w:val="auto"/>
          <w:sz w:val="24"/>
          <w:highlight w:val="none"/>
          <w:u w:val="single"/>
          <w:lang w:eastAsia="zh-CN"/>
        </w:rPr>
        <w:t>乌鲁木齐市米东区人民医院</w:t>
      </w:r>
      <w:r>
        <w:rPr>
          <w:rFonts w:hint="eastAsia" w:ascii="宋体" w:hAnsi="宋体" w:eastAsia="宋体" w:cs="宋体"/>
          <w:color w:val="auto"/>
          <w:sz w:val="24"/>
          <w:highlight w:val="none"/>
          <w:u w:val="single"/>
          <w:lang w:val="en-US" w:eastAsia="zh-CN"/>
        </w:rPr>
        <w:t xml:space="preserve">     </w:t>
      </w:r>
    </w:p>
    <w:p>
      <w:pPr>
        <w:pStyle w:val="46"/>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乙  方：</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p>
    <w:p>
      <w:pPr>
        <w:pStyle w:val="46"/>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甲、乙双方根据《中华人民共和国政府采购法》和《中华人民共和国</w:t>
      </w:r>
      <w:r>
        <w:rPr>
          <w:rFonts w:hint="eastAsia" w:ascii="宋体" w:hAnsi="宋体" w:cs="宋体"/>
          <w:color w:val="auto"/>
          <w:sz w:val="24"/>
          <w:highlight w:val="none"/>
          <w:lang w:val="en-US" w:eastAsia="zh-CN"/>
        </w:rPr>
        <w:t>民法典</w:t>
      </w:r>
      <w:r>
        <w:rPr>
          <w:rFonts w:hint="eastAsia" w:ascii="宋体" w:hAnsi="宋体" w:eastAsia="宋体" w:cs="宋体"/>
          <w:color w:val="auto"/>
          <w:sz w:val="24"/>
          <w:highlight w:val="none"/>
        </w:rPr>
        <w:t>》的规定，按照公平、公正、平等自愿和诚实信用、协商一致的原则，甲、乙双方授权代表就所供设备的购销、安装、调试和售后服务等事宜达成如下条款。</w:t>
      </w:r>
    </w:p>
    <w:p>
      <w:pPr>
        <w:pStyle w:val="46"/>
        <w:keepNext w:val="0"/>
        <w:keepLines w:val="0"/>
        <w:pageBreakBefore w:val="0"/>
        <w:widowControl w:val="0"/>
        <w:kinsoku/>
        <w:wordWrap/>
        <w:overflowPunct/>
        <w:topLinePunct w:val="0"/>
        <w:bidi w:val="0"/>
        <w:snapToGrid/>
        <w:spacing w:line="440" w:lineRule="exact"/>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一、货物名称、型号、数量及价格</w:t>
      </w:r>
    </w:p>
    <w:tbl>
      <w:tblPr>
        <w:tblStyle w:val="26"/>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655"/>
        <w:gridCol w:w="1651"/>
        <w:gridCol w:w="842"/>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80"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lang w:val="en-US" w:eastAsia="zh-CN"/>
              </w:rPr>
            </w:pPr>
            <w:r>
              <w:rPr>
                <w:rFonts w:hint="eastAsia" w:ascii="宋体" w:hAnsi="宋体" w:cs="宋体"/>
                <w:b w:val="0"/>
                <w:bCs/>
                <w:color w:val="auto"/>
                <w:sz w:val="21"/>
                <w:szCs w:val="21"/>
                <w:highlight w:val="none"/>
                <w:u w:val="none"/>
                <w:vertAlign w:val="baseline"/>
                <w:lang w:val="en-US" w:eastAsia="zh-CN"/>
              </w:rPr>
              <w:t>序号</w:t>
            </w:r>
          </w:p>
        </w:tc>
        <w:tc>
          <w:tcPr>
            <w:tcW w:w="2655"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rPr>
            </w:pPr>
            <w:r>
              <w:rPr>
                <w:rFonts w:hint="eastAsia" w:ascii="宋体" w:hAnsi="宋体" w:eastAsia="宋体" w:cs="宋体"/>
                <w:b w:val="0"/>
                <w:bCs/>
                <w:color w:val="auto"/>
                <w:sz w:val="21"/>
                <w:szCs w:val="21"/>
                <w:highlight w:val="none"/>
              </w:rPr>
              <w:t>货物名称</w:t>
            </w:r>
          </w:p>
        </w:tc>
        <w:tc>
          <w:tcPr>
            <w:tcW w:w="1651"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rPr>
            </w:pPr>
            <w:r>
              <w:rPr>
                <w:rFonts w:hint="eastAsia" w:ascii="宋体" w:hAnsi="宋体" w:eastAsia="宋体" w:cs="宋体"/>
                <w:b w:val="0"/>
                <w:bCs/>
                <w:color w:val="auto"/>
                <w:sz w:val="21"/>
                <w:szCs w:val="21"/>
                <w:highlight w:val="none"/>
              </w:rPr>
              <w:t>型号</w:t>
            </w:r>
          </w:p>
        </w:tc>
        <w:tc>
          <w:tcPr>
            <w:tcW w:w="842"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rPr>
            </w:pPr>
            <w:r>
              <w:rPr>
                <w:rFonts w:hint="eastAsia" w:ascii="宋体" w:hAnsi="宋体" w:eastAsia="宋体" w:cs="宋体"/>
                <w:b w:val="0"/>
                <w:bCs/>
                <w:color w:val="auto"/>
                <w:sz w:val="21"/>
                <w:szCs w:val="21"/>
                <w:highlight w:val="none"/>
              </w:rPr>
              <w:t>数量</w:t>
            </w:r>
          </w:p>
        </w:tc>
        <w:tc>
          <w:tcPr>
            <w:tcW w:w="2849"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lang w:eastAsia="zh-CN"/>
              </w:rPr>
            </w:pPr>
            <w:r>
              <w:rPr>
                <w:rFonts w:hint="eastAsia" w:ascii="宋体" w:hAnsi="宋体" w:eastAsia="宋体" w:cs="宋体"/>
                <w:b w:val="0"/>
                <w:bCs/>
                <w:color w:val="auto"/>
                <w:sz w:val="21"/>
                <w:szCs w:val="21"/>
                <w:highlight w:val="none"/>
              </w:rPr>
              <w:t>价格</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元</w:t>
            </w:r>
            <w:r>
              <w:rPr>
                <w:rFonts w:hint="eastAsia" w:ascii="宋体" w:hAnsi="宋体" w:cs="宋体"/>
                <w:b w:val="0"/>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0"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color w:val="auto"/>
                <w:spacing w:val="0"/>
                <w:w w:val="100"/>
                <w:position w:val="0"/>
                <w:sz w:val="21"/>
                <w:szCs w:val="21"/>
                <w:highlight w:val="none"/>
              </w:rPr>
              <w:t>1</w:t>
            </w:r>
          </w:p>
        </w:tc>
        <w:tc>
          <w:tcPr>
            <w:tcW w:w="2655"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rPr>
            </w:pPr>
          </w:p>
        </w:tc>
        <w:tc>
          <w:tcPr>
            <w:tcW w:w="842"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0"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color w:val="auto"/>
                <w:spacing w:val="0"/>
                <w:w w:val="100"/>
                <w:position w:val="0"/>
                <w:sz w:val="21"/>
                <w:szCs w:val="21"/>
                <w:highlight w:val="none"/>
              </w:rPr>
              <w:t>2</w:t>
            </w:r>
          </w:p>
        </w:tc>
        <w:tc>
          <w:tcPr>
            <w:tcW w:w="2655" w:type="dxa"/>
            <w:noWrap w:val="0"/>
            <w:vAlign w:val="center"/>
          </w:tcPr>
          <w:p>
            <w:pPr>
              <w:pStyle w:val="69"/>
              <w:keepNext w:val="0"/>
              <w:keepLines w:val="0"/>
              <w:widowControl w:val="0"/>
              <w:shd w:val="clear" w:color="auto" w:fill="auto"/>
              <w:bidi w:val="0"/>
              <w:spacing w:before="0" w:after="0" w:line="240" w:lineRule="auto"/>
              <w:ind w:left="0" w:leftChars="0" w:right="0" w:rightChars="0" w:firstLine="32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rPr>
            </w:pPr>
          </w:p>
        </w:tc>
        <w:tc>
          <w:tcPr>
            <w:tcW w:w="842"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80"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color w:val="auto"/>
                <w:spacing w:val="0"/>
                <w:w w:val="100"/>
                <w:position w:val="0"/>
                <w:sz w:val="21"/>
                <w:szCs w:val="21"/>
                <w:highlight w:val="none"/>
              </w:rPr>
              <w:t>3</w:t>
            </w:r>
          </w:p>
        </w:tc>
        <w:tc>
          <w:tcPr>
            <w:tcW w:w="2655" w:type="dxa"/>
            <w:noWrap w:val="0"/>
            <w:vAlign w:val="center"/>
          </w:tcPr>
          <w:p>
            <w:pPr>
              <w:pStyle w:val="69"/>
              <w:keepNext w:val="0"/>
              <w:keepLines w:val="0"/>
              <w:widowControl w:val="0"/>
              <w:shd w:val="clear" w:color="auto" w:fill="auto"/>
              <w:bidi w:val="0"/>
              <w:spacing w:before="0" w:after="0" w:line="250" w:lineRule="exact"/>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en-US" w:eastAsia="zh-CN" w:bidi="zh-TW"/>
              </w:rPr>
            </w:pPr>
          </w:p>
        </w:tc>
        <w:tc>
          <w:tcPr>
            <w:tcW w:w="842"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80"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i w:val="0"/>
                <w:iCs w:val="0"/>
                <w:smallCaps w:val="0"/>
                <w:strike w:val="0"/>
                <w:color w:val="auto"/>
                <w:spacing w:val="0"/>
                <w:w w:val="100"/>
                <w:position w:val="0"/>
                <w:sz w:val="21"/>
                <w:szCs w:val="21"/>
                <w:highlight w:val="none"/>
              </w:rPr>
              <w:t>4</w:t>
            </w:r>
          </w:p>
        </w:tc>
        <w:tc>
          <w:tcPr>
            <w:tcW w:w="2655" w:type="dxa"/>
            <w:noWrap w:val="0"/>
            <w:vAlign w:val="center"/>
          </w:tcPr>
          <w:p>
            <w:pPr>
              <w:pStyle w:val="69"/>
              <w:keepNext w:val="0"/>
              <w:keepLines w:val="0"/>
              <w:widowControl w:val="0"/>
              <w:shd w:val="clear" w:color="auto" w:fill="auto"/>
              <w:bidi w:val="0"/>
              <w:spacing w:before="0" w:after="0" w:line="245" w:lineRule="exact"/>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69"/>
              <w:keepNext w:val="0"/>
              <w:keepLines w:val="0"/>
              <w:widowControl w:val="0"/>
              <w:shd w:val="clear" w:color="auto" w:fill="auto"/>
              <w:bidi w:val="0"/>
              <w:spacing w:before="0" w:after="0" w:line="240" w:lineRule="auto"/>
              <w:ind w:left="0" w:leftChars="0" w:right="0" w:rightChars="0" w:firstLine="40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842"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69"/>
              <w:keepNext w:val="0"/>
              <w:keepLines w:val="0"/>
              <w:widowControl w:val="0"/>
              <w:shd w:val="clear" w:color="auto" w:fill="auto"/>
              <w:bidi w:val="0"/>
              <w:spacing w:before="0" w:after="0" w:line="240" w:lineRule="auto"/>
              <w:ind w:left="0" w:leftChars="0" w:right="0" w:rightChars="0" w:firstLine="54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80"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i w:val="0"/>
                <w:iCs w:val="0"/>
                <w:smallCaps w:val="0"/>
                <w:strike w:val="0"/>
                <w:color w:val="auto"/>
                <w:spacing w:val="0"/>
                <w:w w:val="100"/>
                <w:position w:val="0"/>
                <w:sz w:val="21"/>
                <w:szCs w:val="21"/>
                <w:highlight w:val="none"/>
              </w:rPr>
              <w:t>5</w:t>
            </w:r>
          </w:p>
        </w:tc>
        <w:tc>
          <w:tcPr>
            <w:tcW w:w="2655" w:type="dxa"/>
            <w:noWrap w:val="0"/>
            <w:vAlign w:val="center"/>
          </w:tcPr>
          <w:p>
            <w:pPr>
              <w:pStyle w:val="69"/>
              <w:keepNext w:val="0"/>
              <w:keepLines w:val="0"/>
              <w:widowControl w:val="0"/>
              <w:shd w:val="clear" w:color="auto" w:fill="auto"/>
              <w:bidi w:val="0"/>
              <w:spacing w:before="0" w:after="0" w:line="240" w:lineRule="auto"/>
              <w:ind w:left="0" w:leftChars="0" w:right="0" w:rightChars="0" w:firstLine="32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rPr>
            </w:pPr>
          </w:p>
        </w:tc>
        <w:tc>
          <w:tcPr>
            <w:tcW w:w="842"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bl>
    <w:p>
      <w:pPr>
        <w:pStyle w:val="46"/>
        <w:keepNext w:val="0"/>
        <w:keepLines w:val="0"/>
        <w:pageBreakBefore w:val="0"/>
        <w:widowControl w:val="0"/>
        <w:kinsoku/>
        <w:wordWrap/>
        <w:overflowPunct/>
        <w:topLinePunct w:val="0"/>
        <w:autoSpaceDE w:val="0"/>
        <w:autoSpaceDN w:val="0"/>
        <w:bidi w:val="0"/>
        <w:adjustRightInd w:val="0"/>
        <w:snapToGrid/>
        <w:spacing w:line="440" w:lineRule="exact"/>
        <w:ind w:firstLine="352" w:firstLineChars="147"/>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1、本合同总中标或成交金额为：</w:t>
      </w:r>
      <w:r>
        <w:rPr>
          <w:rFonts w:hint="eastAsia" w:ascii="宋体" w:hAnsi="宋体" w:eastAsia="宋体" w:cs="宋体"/>
          <w:color w:val="auto"/>
          <w:sz w:val="24"/>
          <w:highlight w:val="none"/>
          <w:u w:val="single"/>
        </w:rPr>
        <w:t>大 写                      （小写</w:t>
      </w:r>
      <w:r>
        <w:rPr>
          <w:rFonts w:hint="default" w:ascii="Arial" w:hAnsi="Arial" w:eastAsia="宋体" w:cs="Arial"/>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，合同总金额中包含货物购置价及其运输、保管、税金、保险、组装、服务等所有的费用。</w:t>
      </w:r>
    </w:p>
    <w:p>
      <w:pPr>
        <w:pStyle w:val="46"/>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2、本合同正式签订后，若无重大变更，价格不再做任何调整，甲方为此项目不再向乙方付任何费用。</w:t>
      </w:r>
    </w:p>
    <w:p>
      <w:pPr>
        <w:pStyle w:val="46"/>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三、付款方式</w:t>
      </w:r>
      <w:r>
        <w:rPr>
          <w:rFonts w:hint="eastAsia" w:ascii="宋体" w:hAnsi="宋体" w:eastAsia="宋体" w:cs="宋体"/>
          <w:color w:val="auto"/>
          <w:sz w:val="24"/>
          <w:highlight w:val="none"/>
          <w:u w:val="single"/>
        </w:rPr>
        <w:t xml:space="preserve">                                                           </w:t>
      </w:r>
    </w:p>
    <w:p>
      <w:pPr>
        <w:pStyle w:val="46"/>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四</w:t>
      </w:r>
      <w:r>
        <w:rPr>
          <w:rFonts w:hint="eastAsia" w:ascii="宋体" w:hAnsi="宋体" w:eastAsia="宋体" w:cs="宋体"/>
          <w:b/>
          <w:color w:val="auto"/>
          <w:sz w:val="24"/>
          <w:highlight w:val="none"/>
        </w:rPr>
        <w:t>、交货日期</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全部货物须在20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日前交货完毕。</w:t>
      </w:r>
    </w:p>
    <w:p>
      <w:pPr>
        <w:pStyle w:val="46"/>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五</w:t>
      </w:r>
      <w:r>
        <w:rPr>
          <w:rFonts w:hint="eastAsia" w:ascii="宋体" w:hAnsi="宋体" w:eastAsia="宋体" w:cs="宋体"/>
          <w:b/>
          <w:color w:val="auto"/>
          <w:sz w:val="24"/>
          <w:highlight w:val="none"/>
        </w:rPr>
        <w:t>、交货地点</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甲方指定的地点：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pStyle w:val="46"/>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六</w:t>
      </w:r>
      <w:r>
        <w:rPr>
          <w:rFonts w:hint="eastAsia" w:ascii="宋体" w:hAnsi="宋体" w:eastAsia="宋体" w:cs="宋体"/>
          <w:b/>
          <w:color w:val="auto"/>
          <w:sz w:val="24"/>
          <w:highlight w:val="none"/>
        </w:rPr>
        <w:t>、产品质量保证</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1、乙方保证提供的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货物为全新的、未使用过的产品。</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2、乙方所提供的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货物的型号、数量、规格及技术、质量标准、售后服务必须满足</w:t>
      </w:r>
      <w:r>
        <w:rPr>
          <w:rFonts w:hint="eastAsia" w:ascii="宋体" w:hAnsi="宋体" w:eastAsia="宋体" w:cs="宋体"/>
          <w:color w:val="auto"/>
          <w:sz w:val="24"/>
          <w:highlight w:val="none"/>
          <w:lang w:eastAsia="zh-CN"/>
        </w:rPr>
        <w:t>甲方采购</w:t>
      </w:r>
      <w:r>
        <w:rPr>
          <w:rFonts w:hint="eastAsia" w:ascii="宋体" w:hAnsi="宋体" w:eastAsia="宋体" w:cs="宋体"/>
          <w:color w:val="auto"/>
          <w:sz w:val="24"/>
          <w:highlight w:val="none"/>
        </w:rPr>
        <w:t>规定的技术要求。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highlight w:val="none"/>
        </w:rPr>
        <w:t>3、乙方保证提供的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货物按国</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家标准要求制作，质量完全满足用户的要求。</w:t>
      </w:r>
    </w:p>
    <w:p>
      <w:pPr>
        <w:pStyle w:val="46"/>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七</w:t>
      </w:r>
      <w:r>
        <w:rPr>
          <w:rFonts w:hint="eastAsia" w:ascii="宋体" w:hAnsi="宋体" w:eastAsia="宋体" w:cs="宋体"/>
          <w:b/>
          <w:color w:val="auto"/>
          <w:sz w:val="24"/>
          <w:highlight w:val="none"/>
        </w:rPr>
        <w:t>、质量保证期</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全部的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货物质保期为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年。在质量保证期内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因产品质量出现问题，乙方负责免费维修或更换，并承担与维修和更换相关的运费、安装、调试、保险等全部费用。</w:t>
      </w:r>
    </w:p>
    <w:p>
      <w:pPr>
        <w:pStyle w:val="46"/>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八</w:t>
      </w:r>
      <w:r>
        <w:rPr>
          <w:rFonts w:hint="eastAsia" w:ascii="宋体" w:hAnsi="宋体" w:eastAsia="宋体" w:cs="宋体"/>
          <w:b/>
          <w:color w:val="auto"/>
          <w:sz w:val="24"/>
          <w:highlight w:val="none"/>
        </w:rPr>
        <w:t>、技术资料</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乙方需向甲方提供下述资料：</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所供货物的型号、规格、数量及生产厂家的产品检验证书、出厂检验报告</w:t>
      </w:r>
      <w:r>
        <w:rPr>
          <w:rFonts w:hint="eastAsia" w:ascii="宋体" w:hAnsi="宋体" w:eastAsia="宋体" w:cs="宋体"/>
          <w:color w:val="auto"/>
          <w:sz w:val="24"/>
          <w:highlight w:val="none"/>
          <w:lang w:eastAsia="zh-CN"/>
        </w:rPr>
        <w:t>、相关的生产资质及备案凭证、原装进口产品的报关单及商检报告等资料</w:t>
      </w:r>
      <w:r>
        <w:rPr>
          <w:rFonts w:hint="eastAsia" w:ascii="宋体" w:hAnsi="宋体" w:eastAsia="宋体" w:cs="宋体"/>
          <w:color w:val="auto"/>
          <w:sz w:val="24"/>
          <w:highlight w:val="none"/>
        </w:rPr>
        <w:t>。</w:t>
      </w:r>
    </w:p>
    <w:p>
      <w:pPr>
        <w:pStyle w:val="46"/>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九</w:t>
      </w:r>
      <w:r>
        <w:rPr>
          <w:rFonts w:hint="eastAsia" w:ascii="宋体" w:hAnsi="宋体" w:eastAsia="宋体" w:cs="宋体"/>
          <w:b/>
          <w:color w:val="auto"/>
          <w:sz w:val="24"/>
          <w:highlight w:val="none"/>
        </w:rPr>
        <w:t>、包装及验收</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１、所提供设备必须进行包装，免收包装费，包装物不回收。</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２、因包装不妥在运输过程中发生货物锈蚀、损坏和丢失的，由乙方承担完全责任。</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３、验收标准：按</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规定的型号、技术参数、数量、产地，并根据制造商签发的《产品合格证》、《出厂清单》、《技术文件》进行现场验收，并由甲、乙双方签署</w:t>
      </w:r>
      <w:r>
        <w:rPr>
          <w:rFonts w:hint="eastAsia" w:ascii="宋体" w:hAnsi="宋体" w:eastAsia="宋体" w:cs="宋体"/>
          <w:color w:val="auto"/>
          <w:sz w:val="24"/>
          <w:highlight w:val="none"/>
          <w:lang w:eastAsia="zh-CN"/>
        </w:rPr>
        <w:t>乌鲁木齐市米东区人民医院设备</w:t>
      </w:r>
      <w:r>
        <w:rPr>
          <w:rFonts w:hint="eastAsia" w:ascii="宋体" w:hAnsi="宋体" w:eastAsia="宋体" w:cs="宋体"/>
          <w:color w:val="auto"/>
          <w:sz w:val="24"/>
          <w:highlight w:val="none"/>
        </w:rPr>
        <w:t>验收报告。如有异议，验收七天内以书面形式通知对方。验收合格后，货物的所有权随之转交，由甲方提供货物的存放地点，并负责货物的保管和安全。</w:t>
      </w:r>
    </w:p>
    <w:p>
      <w:pPr>
        <w:pStyle w:val="46"/>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十、培训及售后服务</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1、乙方有义务对甲方相关技术人员和使用人员进行</w:t>
      </w:r>
      <w:r>
        <w:rPr>
          <w:rFonts w:hint="eastAsia" w:ascii="宋体" w:hAnsi="宋体" w:eastAsia="宋体" w:cs="宋体"/>
          <w:color w:val="auto"/>
          <w:sz w:val="24"/>
          <w:highlight w:val="none"/>
          <w:lang w:eastAsia="zh-CN"/>
        </w:rPr>
        <w:t>免费</w:t>
      </w:r>
      <w:r>
        <w:rPr>
          <w:rFonts w:hint="eastAsia" w:ascii="宋体" w:hAnsi="宋体" w:eastAsia="宋体" w:cs="宋体"/>
          <w:color w:val="auto"/>
          <w:sz w:val="24"/>
          <w:highlight w:val="none"/>
        </w:rPr>
        <w:t>培训，使其能对设备进行日常维护和一般性故障的查找及故障的排除，并能熟练掌握设备的各项功能和操作。</w:t>
      </w:r>
    </w:p>
    <w:p>
      <w:pPr>
        <w:pStyle w:val="46"/>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2、乙方应提供给甲方详细的设备清单及相关的使用、维修、故障查询手册及电器、电路图</w:t>
      </w:r>
      <w:r>
        <w:rPr>
          <w:rFonts w:hint="eastAsia" w:ascii="宋体" w:hAnsi="宋体" w:eastAsia="宋体" w:cs="宋体"/>
          <w:color w:val="auto"/>
          <w:sz w:val="24"/>
          <w:highlight w:val="none"/>
          <w:lang w:eastAsia="zh-CN"/>
        </w:rPr>
        <w:t>；质保期内免费提供设备软件升级；疆内设有维修机构或配备专业的维修人员，质量保修期内所有故障免费进行维修及零部件的更换（人为损坏、工作环境不符合条件所致损坏除外）；质量保修期内每半年免费上门维护保养</w:t>
      </w:r>
      <w:r>
        <w:rPr>
          <w:rFonts w:hint="eastAsia" w:ascii="宋体" w:hAnsi="宋体" w:eastAsia="宋体" w:cs="宋体"/>
          <w:color w:val="auto"/>
          <w:sz w:val="24"/>
          <w:highlight w:val="none"/>
          <w:lang w:val="en-US" w:eastAsia="zh-CN"/>
        </w:rPr>
        <w:t>1次；</w:t>
      </w:r>
      <w:r>
        <w:rPr>
          <w:rFonts w:hint="eastAsia" w:ascii="宋体" w:hAnsi="宋体" w:eastAsia="宋体" w:cs="宋体"/>
          <w:color w:val="auto"/>
          <w:sz w:val="24"/>
          <w:highlight w:val="none"/>
        </w:rPr>
        <w:t>在甲方发出要求服务通知的24小时内，乙方指派的服务人员必须到达甲方现场，对设备出现的较大问题，解决时间不应超过5个日历；在保修期内，如设备出现故障，必须在</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个日历内完成维修工作，否则更换新机；</w:t>
      </w:r>
    </w:p>
    <w:p>
      <w:pPr>
        <w:pStyle w:val="46"/>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3、提供保修期后无偿技术支持。</w:t>
      </w:r>
    </w:p>
    <w:p>
      <w:pPr>
        <w:pStyle w:val="46"/>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4、乙方须提供设备使用软件的备份，提供设备的维修测试方法及测试程序。设备所包含的所有软件均须提供合法的使用证明。</w:t>
      </w:r>
    </w:p>
    <w:p>
      <w:pPr>
        <w:pStyle w:val="46"/>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5、提供正规的备品备件价格表。</w:t>
      </w:r>
    </w:p>
    <w:p>
      <w:pPr>
        <w:pStyle w:val="46"/>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6、保修期后的维修费用，先修后付款，零备件的购买，先交货后付款。</w:t>
      </w:r>
    </w:p>
    <w:p>
      <w:pPr>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、提供相应的售后服务承诺（需要设备生产企业协助的部分，须由该生产企业做出相应的服务承诺）。</w:t>
      </w:r>
    </w:p>
    <w:p>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default" w:eastAsia="宋体"/>
          <w:color w:val="auto"/>
          <w:highlight w:val="none"/>
          <w:lang w:val="en-US" w:eastAsia="zh-CN"/>
        </w:rPr>
      </w:pPr>
      <w:r>
        <w:rPr>
          <w:rFonts w:hint="eastAsia" w:ascii="Times New Roman" w:hAnsi="Times New Roman" w:cs="Times New Roman"/>
          <w:color w:val="auto"/>
          <w:sz w:val="24"/>
          <w:szCs w:val="24"/>
          <w:highlight w:val="none"/>
          <w:lang w:val="en-US" w:eastAsia="zh-CN"/>
        </w:rPr>
        <w:t>8、</w:t>
      </w:r>
      <w:r>
        <w:rPr>
          <w:rFonts w:hint="eastAsia" w:ascii="Times New Roman" w:hAnsi="Times New Roman" w:cs="Times New Roman"/>
          <w:color w:val="auto"/>
          <w:sz w:val="24"/>
          <w:szCs w:val="24"/>
          <w:highlight w:val="none"/>
        </w:rPr>
        <w:t>采购的</w:t>
      </w:r>
      <w:r>
        <w:rPr>
          <w:rFonts w:hint="eastAsia" w:ascii="宋体" w:hAnsi="宋体" w:eastAsia="宋体" w:cs="宋体"/>
          <w:color w:val="auto"/>
          <w:kern w:val="0"/>
          <w:sz w:val="24"/>
          <w:szCs w:val="24"/>
          <w:highlight w:val="none"/>
          <w:lang w:eastAsia="zh-CN"/>
        </w:rPr>
        <w:t>全数字高档彩色多普勒超声诊断仪</w:t>
      </w:r>
      <w:r>
        <w:rPr>
          <w:rFonts w:hint="eastAsia" w:ascii="Times New Roman" w:hAnsi="Times New Roman" w:cs="Times New Roman"/>
          <w:color w:val="auto"/>
          <w:sz w:val="24"/>
          <w:szCs w:val="24"/>
          <w:highlight w:val="none"/>
        </w:rPr>
        <w:t>必须与我院的PACS</w:t>
      </w:r>
      <w:r>
        <w:rPr>
          <w:rFonts w:hint="eastAsia" w:ascii="Times New Roman" w:hAnsi="Times New Roman" w:eastAsia="宋体" w:cs="Times New Roman"/>
          <w:color w:val="auto"/>
          <w:sz w:val="24"/>
          <w:szCs w:val="24"/>
          <w:highlight w:val="none"/>
          <w:lang w:val="en-US" w:eastAsia="zh-CN"/>
        </w:rPr>
        <w:t>等</w:t>
      </w:r>
      <w:r>
        <w:rPr>
          <w:rFonts w:hint="eastAsia" w:ascii="Times New Roman" w:hAnsi="Times New Roman" w:cs="Times New Roman"/>
          <w:color w:val="auto"/>
          <w:sz w:val="24"/>
          <w:szCs w:val="24"/>
          <w:highlight w:val="none"/>
        </w:rPr>
        <w:t>服务器开设端口进行连接使用，连接产生相关费用由中标方自行承担</w:t>
      </w:r>
    </w:p>
    <w:p>
      <w:pPr>
        <w:pStyle w:val="46"/>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eastAsia="zh-CN"/>
        </w:rPr>
        <w:t>一</w:t>
      </w:r>
      <w:r>
        <w:rPr>
          <w:rFonts w:hint="eastAsia" w:ascii="宋体" w:hAnsi="宋体" w:eastAsia="宋体" w:cs="宋体"/>
          <w:b/>
          <w:color w:val="auto"/>
          <w:sz w:val="24"/>
          <w:highlight w:val="none"/>
        </w:rPr>
        <w:t>、甲、乙双方的权利及义务</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若甲方对订购的货物有任何更改，包括货物的型号、品种、规格、数量、颜色、交货期等事宜，必须在双方签订合同后七天内书面通知乙方，交货期相应从变更之日起顺延，若超过七天乙方不予更改。由于变更引起的合同总额的增减，则由甲乙双方友好协商后，多退少补。</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、若甲方在验收后的质量保证期内，发现货物内有部分出现质量问题，应及时通知乙方，若需要更换时，乙方应在接到通知后10天内给予更换。</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、乙方须按合同要求提供质量合格的货物，如期交付甲方指定的交货地点。如需安装调试，并提供免费的安装调试。</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、乙方对售予甲方的货物提供的质量保证期的质量保证范围，不包括意外事件、不可抗力原因及违规使用。</w:t>
      </w:r>
    </w:p>
    <w:p>
      <w:pPr>
        <w:pStyle w:val="46"/>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eastAsia="zh-CN"/>
        </w:rPr>
        <w:t>二</w:t>
      </w:r>
      <w:r>
        <w:rPr>
          <w:rFonts w:hint="eastAsia" w:ascii="宋体" w:hAnsi="宋体" w:eastAsia="宋体" w:cs="宋体"/>
          <w:b/>
          <w:color w:val="auto"/>
          <w:sz w:val="24"/>
          <w:highlight w:val="none"/>
        </w:rPr>
        <w:t>、合同变更、违约</w:t>
      </w:r>
    </w:p>
    <w:p>
      <w:pPr>
        <w:pStyle w:val="46"/>
        <w:keepNext w:val="0"/>
        <w:keepLines w:val="0"/>
        <w:pageBreakBefore w:val="0"/>
        <w:widowControl w:val="0"/>
        <w:kinsoku/>
        <w:wordWrap/>
        <w:overflowPunct/>
        <w:topLinePunct w:val="0"/>
        <w:bidi w:val="0"/>
        <w:snapToGrid/>
        <w:spacing w:line="440" w:lineRule="exact"/>
        <w:ind w:firstLine="470" w:firstLineChars="196"/>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乙方必须在本合同规定的时间内按时交货，否则由乙方负责承担全部责任。如果乙方在甲方同意延长的交货时间内仍不能交货时，甲方有权因乙方违约撤销合同，而乙方仍需向甲方支付违约金：每延误七天按迟付款总金额的千分之五支付；不满七天按七天计算，依次类推。</w:t>
      </w:r>
    </w:p>
    <w:p>
      <w:pPr>
        <w:pStyle w:val="46"/>
        <w:keepNext w:val="0"/>
        <w:keepLines w:val="0"/>
        <w:pageBreakBefore w:val="0"/>
        <w:widowControl w:val="0"/>
        <w:kinsoku/>
        <w:wordWrap/>
        <w:overflowPunct/>
        <w:topLinePunct w:val="0"/>
        <w:bidi w:val="0"/>
        <w:snapToGrid/>
        <w:spacing w:line="44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、乙方应严格按照</w:t>
      </w:r>
      <w:r>
        <w:rPr>
          <w:rFonts w:hint="eastAsia" w:ascii="宋体" w:hAnsi="宋体" w:eastAsia="宋体" w:cs="宋体"/>
          <w:color w:val="auto"/>
          <w:sz w:val="24"/>
          <w:highlight w:val="none"/>
          <w:lang w:eastAsia="zh-CN"/>
        </w:rPr>
        <w:t>甲方采购要求</w:t>
      </w:r>
      <w:r>
        <w:rPr>
          <w:rFonts w:hint="eastAsia" w:ascii="宋体" w:hAnsi="宋体" w:eastAsia="宋体" w:cs="宋体"/>
          <w:color w:val="auto"/>
          <w:sz w:val="24"/>
          <w:highlight w:val="none"/>
        </w:rPr>
        <w:t>中规定的交货时间、产品规格、型号名称、数量和质量提供相应的产品及服务，否则将视为乙方违约，并按合同总价款的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%承担违约金。</w:t>
      </w:r>
    </w:p>
    <w:p>
      <w:pPr>
        <w:pStyle w:val="46"/>
        <w:keepNext w:val="0"/>
        <w:keepLines w:val="0"/>
        <w:pageBreakBefore w:val="0"/>
        <w:widowControl w:val="0"/>
        <w:kinsoku/>
        <w:wordWrap/>
        <w:overflowPunct/>
        <w:topLinePunct w:val="0"/>
        <w:bidi w:val="0"/>
        <w:snapToGrid/>
        <w:spacing w:line="44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、合同文本不得涂改，如需修改应在合同附件中注明。经甲、乙双方协商达成一致修改意见，需经甲、乙双方代表共同签署</w:t>
      </w:r>
      <w:r>
        <w:rPr>
          <w:rFonts w:hint="eastAsia" w:ascii="宋体" w:hAnsi="宋体" w:eastAsia="宋体" w:cs="宋体"/>
          <w:color w:val="auto"/>
          <w:sz w:val="24"/>
          <w:highlight w:val="none"/>
          <w:lang w:eastAsia="zh-CN"/>
        </w:rPr>
        <w:t>及盖章</w:t>
      </w:r>
      <w:r>
        <w:rPr>
          <w:rFonts w:hint="eastAsia" w:ascii="宋体" w:hAnsi="宋体" w:eastAsia="宋体" w:cs="宋体"/>
          <w:color w:val="auto"/>
          <w:sz w:val="24"/>
          <w:highlight w:val="none"/>
        </w:rPr>
        <w:t>此附件，方能生效。</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、合同所有附件，均与合同具有同等法律效力。</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、合同经甲、乙双方签字盖章后即行生效。合同生效后 ，乙方中途废止合同，应按实际损失向甲方支付赔偿金，并向甲方支付合同总金额</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%的违约金。</w:t>
      </w:r>
    </w:p>
    <w:p>
      <w:pPr>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、本合同依照《中华人民共和国政府采购法》和《中华人民共和国</w:t>
      </w:r>
      <w:r>
        <w:rPr>
          <w:rFonts w:hint="eastAsia" w:ascii="宋体" w:hAnsi="宋体" w:eastAsia="宋体" w:cs="宋体"/>
          <w:color w:val="auto"/>
          <w:kern w:val="0"/>
          <w:sz w:val="24"/>
          <w:highlight w:val="none"/>
          <w:lang w:val="en-US" w:eastAsia="zh-CN"/>
        </w:rPr>
        <w:t>民</w:t>
      </w:r>
      <w:r>
        <w:rPr>
          <w:rFonts w:hint="eastAsia" w:ascii="宋体" w:hAnsi="宋体" w:eastAsia="宋体" w:cs="宋体"/>
          <w:color w:val="auto"/>
          <w:kern w:val="0"/>
          <w:sz w:val="24"/>
          <w:highlight w:val="none"/>
        </w:rPr>
        <w:t>法</w:t>
      </w:r>
      <w:r>
        <w:rPr>
          <w:rFonts w:hint="eastAsia" w:ascii="宋体" w:hAnsi="宋体" w:eastAsia="宋体" w:cs="宋体"/>
          <w:color w:val="auto"/>
          <w:kern w:val="0"/>
          <w:sz w:val="24"/>
          <w:highlight w:val="none"/>
          <w:lang w:val="en-US" w:eastAsia="zh-CN"/>
        </w:rPr>
        <w:t>典</w:t>
      </w:r>
      <w:r>
        <w:rPr>
          <w:rFonts w:hint="eastAsia" w:ascii="宋体" w:hAnsi="宋体" w:eastAsia="宋体" w:cs="宋体"/>
          <w:color w:val="auto"/>
          <w:kern w:val="0"/>
          <w:sz w:val="24"/>
          <w:highlight w:val="none"/>
        </w:rPr>
        <w:t>》等相关法律法规制定。未尽事项皆受上述法律法规约束。甲、乙双方发生争议时，应先协商解决，经协商在30天内不能达成协议时，应提交</w:t>
      </w:r>
      <w:r>
        <w:rPr>
          <w:rFonts w:hint="eastAsia" w:ascii="宋体" w:hAnsi="宋体" w:eastAsia="宋体" w:cs="宋体"/>
          <w:color w:val="auto"/>
          <w:kern w:val="0"/>
          <w:sz w:val="24"/>
          <w:highlight w:val="none"/>
          <w:lang w:eastAsia="zh-CN"/>
        </w:rPr>
        <w:t>新源县</w:t>
      </w:r>
      <w:r>
        <w:rPr>
          <w:rFonts w:hint="eastAsia" w:ascii="宋体" w:hAnsi="宋体" w:eastAsia="宋体" w:cs="宋体"/>
          <w:color w:val="auto"/>
          <w:kern w:val="0"/>
          <w:sz w:val="24"/>
          <w:highlight w:val="none"/>
        </w:rPr>
        <w:t>人民法院。</w:t>
      </w:r>
    </w:p>
    <w:p>
      <w:pPr>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、仲裁裁决应为最终决定，并对双方具有约束力。</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、合同一式</w:t>
      </w:r>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份，甲方</w:t>
      </w:r>
      <w:r>
        <w:rPr>
          <w:rFonts w:hint="eastAsia" w:ascii="宋体" w:hAnsi="宋体" w:eastAsia="宋体" w:cs="宋体"/>
          <w:color w:val="auto"/>
          <w:sz w:val="24"/>
          <w:highlight w:val="none"/>
          <w:lang w:eastAsia="zh-CN"/>
        </w:rPr>
        <w:t>四份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lang w:val="en-US" w:eastAsia="zh-CN"/>
        </w:rPr>
        <w:t>二份</w:t>
      </w:r>
      <w:r>
        <w:rPr>
          <w:rFonts w:hint="eastAsia" w:ascii="宋体" w:hAnsi="宋体" w:eastAsia="宋体" w:cs="宋体"/>
          <w:color w:val="auto"/>
          <w:sz w:val="24"/>
          <w:highlight w:val="none"/>
        </w:rPr>
        <w:t>。</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、本合同自签字盖章完毕之日起生效，质量保证期满后终止。</w:t>
      </w:r>
    </w:p>
    <w:p>
      <w:pPr>
        <w:pStyle w:val="46"/>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eastAsia="zh-CN"/>
        </w:rPr>
        <w:t>三</w:t>
      </w:r>
      <w:r>
        <w:rPr>
          <w:rFonts w:hint="eastAsia" w:ascii="宋体" w:hAnsi="宋体" w:eastAsia="宋体" w:cs="宋体"/>
          <w:b/>
          <w:color w:val="auto"/>
          <w:sz w:val="24"/>
          <w:highlight w:val="none"/>
        </w:rPr>
        <w:t>、其它条款</w:t>
      </w:r>
    </w:p>
    <w:p>
      <w:pPr>
        <w:pStyle w:val="46"/>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highlight w:val="none"/>
        </w:rPr>
      </w:pPr>
    </w:p>
    <w:p>
      <w:pPr>
        <w:pStyle w:val="46"/>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highlight w:val="none"/>
        </w:rPr>
      </w:pPr>
    </w:p>
    <w:p>
      <w:pPr>
        <w:pStyle w:val="46"/>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highlight w:val="none"/>
        </w:rPr>
      </w:pP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   方：                            乙   方：</w:t>
      </w: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                         　单位名称：</w:t>
      </w: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日   期：</w:t>
      </w: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    章：                         　公   章：</w:t>
      </w: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法人或授权代表签字：               　法人或授权代表签字：</w:t>
      </w: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    编：                         　帐    号：</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jc w:val="center"/>
        <w:rPr>
          <w:rFonts w:ascii="宋体" w:hAnsi="宋体" w:eastAsia="宋体" w:cs="宋体"/>
          <w:color w:val="auto"/>
          <w:highlight w:val="none"/>
        </w:rPr>
      </w:pPr>
      <w:r>
        <w:rPr>
          <w:rFonts w:hint="eastAsia" w:ascii="宋体" w:hAnsi="宋体" w:eastAsia="宋体" w:cs="宋体"/>
          <w:color w:val="auto"/>
          <w:highlight w:val="none"/>
        </w:rPr>
        <w:t>第五章 评审办法</w:t>
      </w:r>
      <w:bookmarkEnd w:id="125"/>
    </w:p>
    <w:p>
      <w:pPr>
        <w:pStyle w:val="24"/>
        <w:keepNext w:val="0"/>
        <w:keepLines w:val="0"/>
        <w:pageBreakBefore w:val="0"/>
        <w:widowControl w:val="0"/>
        <w:numPr>
          <w:ilvl w:val="0"/>
          <w:numId w:val="6"/>
        </w:numPr>
        <w:kinsoku/>
        <w:wordWrap/>
        <w:overflowPunct/>
        <w:topLinePunct w:val="0"/>
        <w:autoSpaceDE/>
        <w:autoSpaceDN/>
        <w:bidi w:val="0"/>
        <w:adjustRightInd/>
        <w:snapToGrid w:val="0"/>
        <w:spacing w:after="0" w:line="500" w:lineRule="exact"/>
        <w:ind w:firstLine="480"/>
        <w:rPr>
          <w:rFonts w:ascii="宋体" w:hAnsi="宋体" w:eastAsia="宋体" w:cs="宋体"/>
          <w:b/>
          <w:bCs/>
          <w:color w:val="auto"/>
          <w:sz w:val="24"/>
          <w:szCs w:val="24"/>
          <w:highlight w:val="none"/>
        </w:rPr>
      </w:pPr>
      <w:bookmarkStart w:id="126" w:name="_Toc37090651"/>
      <w:bookmarkStart w:id="127" w:name="_Toc37090656"/>
      <w:bookmarkStart w:id="128" w:name="_Toc37090987"/>
      <w:bookmarkStart w:id="129" w:name="_Toc37090992"/>
      <w:r>
        <w:rPr>
          <w:rFonts w:hint="eastAsia" w:ascii="宋体" w:hAnsi="宋体" w:eastAsia="宋体" w:cs="宋体"/>
          <w:b/>
          <w:bCs/>
          <w:color w:val="auto"/>
          <w:sz w:val="24"/>
          <w:szCs w:val="24"/>
          <w:highlight w:val="none"/>
        </w:rPr>
        <w:t>评审说明</w:t>
      </w:r>
    </w:p>
    <w:p>
      <w:pPr>
        <w:pStyle w:val="24"/>
        <w:keepNext w:val="0"/>
        <w:keepLines w:val="0"/>
        <w:pageBreakBefore w:val="0"/>
        <w:widowControl w:val="0"/>
        <w:kinsoku/>
        <w:wordWrap/>
        <w:overflowPunct/>
        <w:topLinePunct w:val="0"/>
        <w:autoSpaceDE/>
        <w:autoSpaceDN/>
        <w:bidi w:val="0"/>
        <w:adjustRightInd/>
        <w:snapToGrid w:val="0"/>
        <w:spacing w:after="0" w:line="5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1.1 </w:t>
      </w:r>
      <w:r>
        <w:rPr>
          <w:rFonts w:hint="eastAsia" w:ascii="宋体" w:hAnsi="宋体" w:eastAsia="宋体" w:cs="宋体"/>
          <w:b w:val="0"/>
          <w:bCs w:val="0"/>
          <w:color w:val="auto"/>
          <w:sz w:val="24"/>
          <w:szCs w:val="24"/>
          <w:highlight w:val="none"/>
          <w:lang w:val="en-US" w:eastAsia="zh-CN"/>
        </w:rPr>
        <w:t>本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后）报价。因供应商自身原因未在系统内及时填报二次报价的，其责任由供应商承担。</w:t>
      </w:r>
    </w:p>
    <w:p>
      <w:pPr>
        <w:pStyle w:val="24"/>
        <w:keepNext w:val="0"/>
        <w:keepLines w:val="0"/>
        <w:pageBreakBefore w:val="0"/>
        <w:widowControl w:val="0"/>
        <w:kinsoku/>
        <w:wordWrap/>
        <w:overflowPunct/>
        <w:topLinePunct w:val="0"/>
        <w:autoSpaceDE/>
        <w:autoSpaceDN/>
        <w:bidi w:val="0"/>
        <w:adjustRightInd/>
        <w:snapToGrid w:val="0"/>
        <w:spacing w:after="0"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在二次报价过程中若提交最后报价的供应商不足三家，根据《政府采购竞争性磋商采购方式管理暂行办法》（财库【2014】214号）第三十四条的规定，采购人或者采购代理机构将委托磋商小组终止本次竞争性磋商采购活动，重新开展采购活动。政府购买服务项目（含政府和社会资本合作项目），在采购过程中符合要求的供应商（社会资本）只有2家的，竞争性磋商采购活动可以继续进行。</w:t>
      </w:r>
    </w:p>
    <w:p>
      <w:pPr>
        <w:pStyle w:val="24"/>
        <w:keepNext w:val="0"/>
        <w:keepLines w:val="0"/>
        <w:pageBreakBefore w:val="0"/>
        <w:widowControl w:val="0"/>
        <w:kinsoku/>
        <w:wordWrap/>
        <w:overflowPunct/>
        <w:topLinePunct w:val="0"/>
        <w:autoSpaceDE/>
        <w:autoSpaceDN/>
        <w:bidi w:val="0"/>
        <w:adjustRightInd/>
        <w:snapToGrid w:val="0"/>
        <w:spacing w:after="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本次磋商采用综合评分法进行评审。综合评分法是指响应文件满足</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全部实质性要求，且按照评审因素的量化指标评审综合得分（即对各供应商响应文件的商务、技术、最后报价进行综合评审。磋商小组将按供应商综合得分顺序由高到低依次排名，得分相同的，按最后报价由低到高顺序排列。综合得分及报价均相同的，按技术指标优劣顺序排列。推荐前三名为成交候选单位。经采购人确认后确定排名第一的供应商为本项目的成交供应商。</w:t>
      </w:r>
    </w:p>
    <w:p>
      <w:pPr>
        <w:shd w:val="clear" w:color="auto" w:fill="FFFFFF"/>
        <w:spacing w:line="440" w:lineRule="exact"/>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w:t>
      </w:r>
      <w:r>
        <w:rPr>
          <w:rFonts w:hint="eastAsia" w:ascii="宋体" w:hAnsi="宋体" w:eastAsia="宋体" w:cs="宋体"/>
          <w:color w:val="auto"/>
          <w:kern w:val="1"/>
          <w:sz w:val="24"/>
          <w:szCs w:val="24"/>
          <w:highlight w:val="none"/>
          <w:lang w:val="en-US" w:eastAsia="zh-CN"/>
        </w:rPr>
        <w:t>4</w:t>
      </w:r>
      <w:r>
        <w:rPr>
          <w:rFonts w:hint="eastAsia" w:ascii="宋体" w:hAnsi="宋体" w:eastAsia="宋体" w:cs="宋体"/>
          <w:color w:val="auto"/>
          <w:sz w:val="24"/>
          <w:szCs w:val="24"/>
          <w:highlight w:val="none"/>
        </w:rPr>
        <w:t>使用综合评分法的采购项目，提供相同品牌且通过资格审查、符合性审查的不同供应商参加同一合同项下投标的，按一家供应商计算，评审后得分最高的同品牌供应商获得中标人推荐资格，评审得分相同的，由磋商小组按照报价最低的供应商，推荐其作为成交候选单位，其他同品牌供应商不作为成交候选单位。非单一产品采购项目，采购人应当根据采购项目技术构成、产品价格比重等合理确定核心产品，并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文件中载明。多家供应商提供的核心产品品牌相同的，按前款规定处理。</w:t>
      </w:r>
    </w:p>
    <w:p>
      <w:pPr>
        <w:pStyle w:val="24"/>
        <w:keepNext w:val="0"/>
        <w:keepLines w:val="0"/>
        <w:pageBreakBefore w:val="0"/>
        <w:widowControl w:val="0"/>
        <w:kinsoku/>
        <w:wordWrap/>
        <w:overflowPunct/>
        <w:topLinePunct w:val="0"/>
        <w:autoSpaceDE/>
        <w:autoSpaceDN/>
        <w:bidi w:val="0"/>
        <w:adjustRightInd/>
        <w:snapToGrid w:val="0"/>
        <w:spacing w:after="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2、评审</w:t>
      </w:r>
    </w:p>
    <w:p>
      <w:pPr>
        <w:pStyle w:val="24"/>
        <w:keepNext w:val="0"/>
        <w:keepLines w:val="0"/>
        <w:pageBreakBefore w:val="0"/>
        <w:widowControl w:val="0"/>
        <w:kinsoku/>
        <w:wordWrap/>
        <w:overflowPunct/>
        <w:topLinePunct w:val="0"/>
        <w:autoSpaceDE/>
        <w:autoSpaceDN/>
        <w:bidi w:val="0"/>
        <w:adjustRightInd/>
        <w:snapToGrid w:val="0"/>
        <w:spacing w:after="0" w:line="500" w:lineRule="exact"/>
        <w:ind w:firstLine="480"/>
        <w:textAlignment w:val="baseline"/>
        <w:rPr>
          <w:rFonts w:ascii="宋体" w:hAnsi="宋体" w:eastAsia="宋体"/>
          <w:color w:val="auto"/>
          <w:highlight w:val="none"/>
        </w:rPr>
      </w:pPr>
      <w:r>
        <w:rPr>
          <w:rFonts w:ascii="宋体" w:hAnsi="宋体" w:eastAsia="宋体" w:cs="宋体;SimSun"/>
          <w:color w:val="auto"/>
          <w:sz w:val="24"/>
          <w:szCs w:val="24"/>
          <w:highlight w:val="none"/>
        </w:rPr>
        <w:t xml:space="preserve">2.1 </w:t>
      </w:r>
      <w:r>
        <w:rPr>
          <w:rFonts w:hint="eastAsia" w:ascii="宋体" w:hAnsi="宋体" w:eastAsia="宋体" w:cs="宋体;SimSun"/>
          <w:b/>
          <w:bCs/>
          <w:color w:val="auto"/>
          <w:sz w:val="24"/>
          <w:szCs w:val="24"/>
          <w:highlight w:val="none"/>
        </w:rPr>
        <w:t>本次磋商采用综合评分法进行评审。评审分初步评审和详细评审两个阶段。初步评审分为资格性检查和符合性检查，只有通过初步评审且递交最后报价的的供应商才</w:t>
      </w:r>
      <w:r>
        <w:rPr>
          <w:rFonts w:hint="eastAsia" w:ascii="宋体" w:hAnsi="宋体" w:eastAsia="宋体" w:cs="宋体;SimSun"/>
          <w:b/>
          <w:color w:val="auto"/>
          <w:sz w:val="24"/>
          <w:szCs w:val="24"/>
          <w:highlight w:val="none"/>
        </w:rPr>
        <w:t>可进入详细评审阶段。</w:t>
      </w:r>
    </w:p>
    <w:p>
      <w:pPr>
        <w:pStyle w:val="24"/>
        <w:keepNext w:val="0"/>
        <w:keepLines w:val="0"/>
        <w:pageBreakBefore w:val="0"/>
        <w:widowControl w:val="0"/>
        <w:kinsoku/>
        <w:wordWrap/>
        <w:overflowPunct/>
        <w:topLinePunct w:val="0"/>
        <w:autoSpaceDE/>
        <w:autoSpaceDN/>
        <w:bidi w:val="0"/>
        <w:adjustRightInd/>
        <w:snapToGrid w:val="0"/>
        <w:spacing w:after="0" w:line="500" w:lineRule="exact"/>
        <w:ind w:firstLine="482"/>
        <w:rPr>
          <w:rFonts w:ascii="宋体" w:hAnsi="宋体" w:eastAsia="宋体"/>
          <w:color w:val="auto"/>
          <w:highlight w:val="none"/>
        </w:rPr>
      </w:pPr>
      <w:r>
        <w:rPr>
          <w:rFonts w:ascii="宋体" w:hAnsi="宋体" w:eastAsia="宋体" w:cs="宋体;SimSun"/>
          <w:b/>
          <w:bCs/>
          <w:color w:val="auto"/>
          <w:sz w:val="24"/>
          <w:szCs w:val="24"/>
          <w:highlight w:val="none"/>
        </w:rPr>
        <w:t>2.</w:t>
      </w:r>
      <w:r>
        <w:rPr>
          <w:rFonts w:hint="eastAsia" w:ascii="宋体" w:hAnsi="宋体" w:eastAsia="宋体" w:cs="宋体;SimSun"/>
          <w:b/>
          <w:bCs/>
          <w:color w:val="auto"/>
          <w:sz w:val="24"/>
          <w:szCs w:val="24"/>
          <w:highlight w:val="none"/>
        </w:rPr>
        <w:t>2评审方法</w:t>
      </w:r>
    </w:p>
    <w:p>
      <w:pPr>
        <w:pStyle w:val="24"/>
        <w:keepNext w:val="0"/>
        <w:keepLines w:val="0"/>
        <w:pageBreakBefore w:val="0"/>
        <w:widowControl w:val="0"/>
        <w:kinsoku/>
        <w:wordWrap/>
        <w:overflowPunct/>
        <w:topLinePunct w:val="0"/>
        <w:autoSpaceDE/>
        <w:autoSpaceDN/>
        <w:bidi w:val="0"/>
        <w:adjustRightInd/>
        <w:snapToGrid w:val="0"/>
        <w:spacing w:after="0" w:line="500" w:lineRule="exact"/>
        <w:ind w:firstLine="482"/>
        <w:rPr>
          <w:rFonts w:ascii="宋体" w:hAnsi="宋体" w:eastAsia="宋体"/>
          <w:color w:val="auto"/>
          <w:highlight w:val="none"/>
        </w:rPr>
      </w:pPr>
      <w:r>
        <w:rPr>
          <w:rFonts w:hint="eastAsia" w:ascii="宋体" w:hAnsi="宋体" w:eastAsia="宋体" w:cs="宋体;SimSun"/>
          <w:b/>
          <w:bCs/>
          <w:color w:val="auto"/>
          <w:sz w:val="24"/>
          <w:szCs w:val="24"/>
          <w:highlight w:val="none"/>
        </w:rPr>
        <w:t>磋商小组将对下述评审因素进行量化，并根据磋商小组每个成员对响应文件的评审和理解进行打分，满分为</w:t>
      </w:r>
      <w:r>
        <w:rPr>
          <w:rFonts w:ascii="宋体" w:hAnsi="宋体" w:eastAsia="宋体" w:cs="宋体;SimSun"/>
          <w:b/>
          <w:bCs/>
          <w:color w:val="auto"/>
          <w:sz w:val="24"/>
          <w:szCs w:val="24"/>
          <w:highlight w:val="none"/>
        </w:rPr>
        <w:t>100</w:t>
      </w:r>
      <w:r>
        <w:rPr>
          <w:rFonts w:hint="eastAsia" w:ascii="宋体" w:hAnsi="宋体" w:eastAsia="宋体" w:cs="宋体;SimSun"/>
          <w:b/>
          <w:bCs/>
          <w:color w:val="auto"/>
          <w:sz w:val="24"/>
          <w:szCs w:val="24"/>
          <w:highlight w:val="none"/>
        </w:rPr>
        <w:t>分，其中价格满分</w:t>
      </w:r>
      <w:r>
        <w:rPr>
          <w:rFonts w:hint="eastAsia" w:ascii="宋体" w:hAnsi="宋体" w:eastAsia="宋体" w:cs="宋体;SimSun"/>
          <w:b/>
          <w:bCs/>
          <w:color w:val="auto"/>
          <w:sz w:val="24"/>
          <w:szCs w:val="24"/>
          <w:highlight w:val="none"/>
          <w:lang w:val="en-US" w:eastAsia="zh-CN"/>
        </w:rPr>
        <w:t>30</w:t>
      </w:r>
      <w:r>
        <w:rPr>
          <w:rFonts w:hint="eastAsia" w:ascii="宋体" w:hAnsi="宋体" w:eastAsia="宋体" w:cs="宋体;SimSun"/>
          <w:b/>
          <w:bCs/>
          <w:color w:val="auto"/>
          <w:sz w:val="24"/>
          <w:szCs w:val="24"/>
          <w:highlight w:val="none"/>
        </w:rPr>
        <w:t>分；商务部分满分为2</w:t>
      </w:r>
      <w:r>
        <w:rPr>
          <w:rFonts w:hint="eastAsia" w:ascii="宋体" w:hAnsi="宋体" w:eastAsia="宋体" w:cs="宋体;SimSun"/>
          <w:b/>
          <w:bCs/>
          <w:color w:val="auto"/>
          <w:sz w:val="24"/>
          <w:szCs w:val="24"/>
          <w:highlight w:val="none"/>
          <w:lang w:val="en-US" w:eastAsia="zh-CN"/>
        </w:rPr>
        <w:t>0</w:t>
      </w:r>
      <w:r>
        <w:rPr>
          <w:rFonts w:hint="eastAsia" w:ascii="宋体" w:hAnsi="宋体" w:eastAsia="宋体" w:cs="宋体;SimSun"/>
          <w:b/>
          <w:bCs/>
          <w:color w:val="auto"/>
          <w:sz w:val="24"/>
          <w:szCs w:val="24"/>
          <w:highlight w:val="none"/>
        </w:rPr>
        <w:t>分；技术部分满分为</w:t>
      </w:r>
      <w:r>
        <w:rPr>
          <w:rFonts w:hint="eastAsia" w:ascii="宋体" w:hAnsi="宋体" w:eastAsia="宋体" w:cs="宋体;SimSun"/>
          <w:b/>
          <w:bCs/>
          <w:color w:val="auto"/>
          <w:sz w:val="24"/>
          <w:szCs w:val="24"/>
          <w:highlight w:val="none"/>
          <w:lang w:val="en-US" w:eastAsia="zh-CN"/>
        </w:rPr>
        <w:t>50</w:t>
      </w:r>
      <w:r>
        <w:rPr>
          <w:rFonts w:hint="eastAsia" w:ascii="宋体" w:hAnsi="宋体" w:eastAsia="宋体" w:cs="宋体;SimSun"/>
          <w:b/>
          <w:bCs/>
          <w:color w:val="auto"/>
          <w:sz w:val="24"/>
          <w:szCs w:val="24"/>
          <w:highlight w:val="none"/>
        </w:rPr>
        <w:t>分，供应商各部分的分值相加，即为该供应商的综合评估分。</w:t>
      </w:r>
    </w:p>
    <w:p>
      <w:pPr>
        <w:pStyle w:val="24"/>
        <w:snapToGrid w:val="0"/>
        <w:spacing w:line="480" w:lineRule="exact"/>
        <w:ind w:firstLine="48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3</w:t>
      </w:r>
      <w:r>
        <w:rPr>
          <w:rFonts w:hint="eastAsia" w:ascii="宋体" w:hAnsi="宋体" w:eastAsia="宋体" w:cs="宋体;SimSun"/>
          <w:color w:val="auto"/>
          <w:sz w:val="24"/>
          <w:szCs w:val="24"/>
          <w:highlight w:val="none"/>
        </w:rPr>
        <w:t>评审办法附表</w:t>
      </w:r>
    </w:p>
    <w:tbl>
      <w:tblPr>
        <w:tblStyle w:val="25"/>
        <w:tblW w:w="9919"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615"/>
        <w:gridCol w:w="1069"/>
        <w:gridCol w:w="1683"/>
        <w:gridCol w:w="5273"/>
        <w:gridCol w:w="636"/>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684" w:type="dxa"/>
            <w:gridSpan w:val="2"/>
            <w:vMerge w:val="restart"/>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评分因素</w:t>
            </w:r>
          </w:p>
        </w:tc>
        <w:tc>
          <w:tcPr>
            <w:tcW w:w="1683" w:type="dxa"/>
            <w:vMerge w:val="restart"/>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评分点</w:t>
            </w:r>
          </w:p>
        </w:tc>
        <w:tc>
          <w:tcPr>
            <w:tcW w:w="5273" w:type="dxa"/>
            <w:vMerge w:val="restart"/>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c>
          <w:tcPr>
            <w:tcW w:w="1279" w:type="dxa"/>
            <w:gridSpan w:val="2"/>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684" w:type="dxa"/>
            <w:gridSpan w:val="2"/>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jc w:val="center"/>
              <w:textAlignment w:val="auto"/>
              <w:rPr>
                <w:rFonts w:ascii="宋体" w:hAnsi="宋体" w:cs="宋体"/>
                <w:color w:val="auto"/>
                <w:sz w:val="21"/>
                <w:szCs w:val="21"/>
                <w:highlight w:val="none"/>
              </w:rPr>
            </w:pPr>
          </w:p>
        </w:tc>
        <w:tc>
          <w:tcPr>
            <w:tcW w:w="1683"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jc w:val="center"/>
              <w:textAlignment w:val="auto"/>
              <w:rPr>
                <w:rFonts w:ascii="宋体" w:hAnsi="宋体" w:cs="宋体"/>
                <w:color w:val="auto"/>
                <w:sz w:val="21"/>
                <w:szCs w:val="21"/>
                <w:highlight w:val="none"/>
              </w:rPr>
            </w:pPr>
          </w:p>
        </w:tc>
        <w:tc>
          <w:tcPr>
            <w:tcW w:w="5273"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jc w:val="center"/>
              <w:textAlignment w:val="auto"/>
              <w:rPr>
                <w:rFonts w:ascii="宋体" w:hAnsi="宋体" w:cs="宋体"/>
                <w:color w:val="auto"/>
                <w:sz w:val="21"/>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是</w:t>
            </w: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restart"/>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restart"/>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资格</w:t>
            </w:r>
            <w:r>
              <w:rPr>
                <w:rFonts w:hint="eastAsia" w:ascii="宋体" w:hAnsi="宋体" w:cs="宋体"/>
                <w:color w:val="auto"/>
                <w:sz w:val="21"/>
                <w:szCs w:val="21"/>
                <w:highlight w:val="none"/>
              </w:rPr>
              <w:t>性检查</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15"/>
              <w:keepNext w:val="0"/>
              <w:keepLines w:val="0"/>
              <w:pageBreakBefore w:val="0"/>
              <w:kinsoku/>
              <w:wordWrap/>
              <w:overflowPunct/>
              <w:topLinePunct w:val="0"/>
              <w:autoSpaceDE/>
              <w:autoSpaceDN/>
              <w:bidi w:val="0"/>
              <w:adjustRightInd/>
              <w:spacing w:beforeAutospacing="0" w:line="280" w:lineRule="exact"/>
              <w:ind w:firstLine="0" w:firstLineChars="0"/>
              <w:jc w:val="center"/>
              <w:textAlignment w:val="auto"/>
              <w:rPr>
                <w:rFonts w:hint="eastAsia" w:ascii="宋体" w:hAnsi="宋体" w:eastAsia="宋体;SimSun" w:cs="宋体"/>
                <w:color w:val="auto"/>
                <w:kern w:val="2"/>
                <w:sz w:val="21"/>
                <w:szCs w:val="21"/>
                <w:highlight w:val="none"/>
                <w:lang w:val="en-US" w:eastAsia="zh-CN" w:bidi="ar-SA"/>
              </w:rPr>
            </w:pPr>
            <w:r>
              <w:rPr>
                <w:rFonts w:hint="eastAsia" w:ascii="宋体" w:hAnsi="宋体" w:eastAsia="宋体" w:cs="宋体"/>
                <w:color w:val="auto"/>
                <w:spacing w:val="-2"/>
                <w:kern w:val="0"/>
                <w:sz w:val="21"/>
                <w:szCs w:val="21"/>
                <w:highlight w:val="none"/>
              </w:rPr>
              <w:t>具有独立承担民事责任的能力</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15"/>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SimSun" w:cs="宋体"/>
                <w:color w:val="auto"/>
                <w:kern w:val="2"/>
                <w:sz w:val="21"/>
                <w:szCs w:val="21"/>
                <w:highlight w:val="none"/>
                <w:lang w:val="en-US" w:eastAsia="zh-CN" w:bidi="ar-SA"/>
              </w:rPr>
            </w:pPr>
            <w:r>
              <w:rPr>
                <w:rFonts w:hint="eastAsia" w:ascii="宋体" w:hAnsi="宋体" w:eastAsia="宋体" w:cs="宋体"/>
                <w:color w:val="auto"/>
                <w:spacing w:val="-2"/>
                <w:kern w:val="0"/>
                <w:sz w:val="21"/>
                <w:szCs w:val="21"/>
                <w:highlight w:val="none"/>
              </w:rPr>
              <w:t>法人或者其他组织的营业执照等证明文件；自然人需提供身份证明</w:t>
            </w:r>
            <w:r>
              <w:rPr>
                <w:rFonts w:hint="eastAsia" w:ascii="宋体" w:hAnsi="宋体" w:eastAsia="宋体" w:cs="宋体"/>
                <w:color w:val="auto"/>
                <w:spacing w:val="-2"/>
                <w:kern w:val="0"/>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01"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15"/>
              <w:keepNext w:val="0"/>
              <w:keepLines w:val="0"/>
              <w:pageBreakBefore w:val="0"/>
              <w:kinsoku/>
              <w:wordWrap/>
              <w:overflowPunct/>
              <w:topLinePunct w:val="0"/>
              <w:autoSpaceDE/>
              <w:autoSpaceDN/>
              <w:bidi w:val="0"/>
              <w:adjustRightInd/>
              <w:spacing w:beforeAutospacing="0" w:line="280" w:lineRule="exact"/>
              <w:ind w:firstLine="0" w:firstLineChars="0"/>
              <w:jc w:val="center"/>
              <w:textAlignment w:val="auto"/>
              <w:rPr>
                <w:rFonts w:hint="eastAsia" w:ascii="宋体" w:hAnsi="宋体" w:cs="宋体"/>
                <w:color w:val="auto"/>
                <w:sz w:val="21"/>
                <w:szCs w:val="21"/>
                <w:highlight w:val="none"/>
              </w:rPr>
            </w:pPr>
            <w:r>
              <w:rPr>
                <w:rFonts w:hint="eastAsia" w:ascii="宋体" w:hAnsi="宋体" w:eastAsia="宋体" w:cs="宋体"/>
                <w:color w:val="auto"/>
                <w:spacing w:val="-2"/>
                <w:kern w:val="0"/>
                <w:sz w:val="21"/>
                <w:szCs w:val="21"/>
                <w:highlight w:val="none"/>
              </w:rPr>
              <w:t>健全的财务会计制度</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eastAsia="宋体;SimSun" w:cs="宋体"/>
                <w:color w:val="auto"/>
                <w:sz w:val="21"/>
                <w:szCs w:val="21"/>
                <w:highlight w:val="none"/>
                <w:lang w:eastAsia="zh-CN"/>
              </w:rPr>
            </w:pPr>
            <w:r>
              <w:rPr>
                <w:rFonts w:hint="eastAsia" w:ascii="宋体" w:hAnsi="宋体" w:eastAsia="宋体" w:cs="宋体"/>
                <w:color w:val="auto"/>
                <w:sz w:val="21"/>
                <w:szCs w:val="21"/>
                <w:highlight w:val="none"/>
              </w:rPr>
              <w:t>提供上年度财务审计报告或半年内任意一个月财务报表（财务报表应至少包括资产负债表、损益表、现金流量表或财务状况变动表），当月新成立公司</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jc w:val="center"/>
              <w:textAlignment w:val="auto"/>
              <w:rPr>
                <w:rFonts w:hint="default" w:ascii="宋体" w:hAnsi="宋体" w:eastAsia="宋体;SimSun"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纳税证明</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eastAsia="宋体;SimSun" w:cs="宋体"/>
                <w:color w:val="auto"/>
                <w:sz w:val="21"/>
                <w:szCs w:val="21"/>
                <w:highlight w:val="none"/>
                <w:lang w:eastAsia="zh-CN"/>
              </w:rPr>
            </w:pPr>
            <w:r>
              <w:rPr>
                <w:rFonts w:hint="eastAsia" w:ascii="宋体" w:hAnsi="宋体" w:eastAsia="宋体" w:cs="宋体"/>
                <w:color w:val="auto"/>
                <w:sz w:val="21"/>
                <w:szCs w:val="21"/>
                <w:highlight w:val="none"/>
              </w:rPr>
              <w:t>提供近</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内任意一月的</w:t>
            </w:r>
            <w:r>
              <w:rPr>
                <w:rFonts w:hint="eastAsia" w:ascii="宋体" w:hAnsi="宋体" w:eastAsia="宋体" w:cs="宋体"/>
                <w:color w:val="auto"/>
                <w:sz w:val="21"/>
                <w:szCs w:val="21"/>
                <w:highlight w:val="none"/>
              </w:rPr>
              <w:t>依法缴纳税收证明，当月新成立公司</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需提供；无需纳税或免税的也需提供相应证明材料</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jc w:val="center"/>
              <w:textAlignment w:val="auto"/>
              <w:rPr>
                <w:rFonts w:hint="eastAsia" w:ascii="宋体" w:hAnsi="宋体" w:eastAsia="宋体;SimSun" w:cs="宋体"/>
                <w:color w:val="auto"/>
                <w:sz w:val="21"/>
                <w:szCs w:val="21"/>
                <w:highlight w:val="none"/>
                <w:lang w:val="en-US" w:eastAsia="zh-CN"/>
              </w:rPr>
            </w:pPr>
            <w:r>
              <w:rPr>
                <w:rFonts w:hint="eastAsia" w:ascii="宋体" w:hAnsi="宋体" w:eastAsia="宋体" w:cs="宋体"/>
                <w:color w:val="auto"/>
                <w:spacing w:val="-2"/>
                <w:sz w:val="21"/>
                <w:szCs w:val="21"/>
                <w:highlight w:val="none"/>
              </w:rPr>
              <w:t>缴纳社会保障资金</w:t>
            </w:r>
            <w:r>
              <w:rPr>
                <w:rFonts w:hint="eastAsia" w:ascii="宋体" w:hAnsi="宋体" w:eastAsia="宋体" w:cs="宋体"/>
                <w:color w:val="auto"/>
                <w:spacing w:val="-2"/>
                <w:sz w:val="21"/>
                <w:szCs w:val="21"/>
                <w:highlight w:val="none"/>
                <w:lang w:val="en-US" w:eastAsia="zh-CN"/>
              </w:rPr>
              <w:t>证明</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eastAsia="宋体;SimSun" w:cs="宋体"/>
                <w:color w:val="auto"/>
                <w:sz w:val="21"/>
                <w:szCs w:val="21"/>
                <w:highlight w:val="none"/>
                <w:lang w:eastAsia="zh-CN"/>
              </w:rPr>
            </w:pPr>
            <w:r>
              <w:rPr>
                <w:rFonts w:hint="eastAsia" w:ascii="宋体" w:hAnsi="宋体" w:eastAsia="宋体" w:cs="宋体"/>
                <w:color w:val="auto"/>
                <w:sz w:val="21"/>
                <w:szCs w:val="21"/>
                <w:highlight w:val="none"/>
              </w:rPr>
              <w:t>提供社保机构出具的近</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内任意一月的</w:t>
            </w:r>
            <w:r>
              <w:rPr>
                <w:rFonts w:hint="eastAsia" w:ascii="宋体" w:hAnsi="宋体" w:eastAsia="宋体" w:cs="宋体"/>
                <w:color w:val="auto"/>
                <w:sz w:val="21"/>
                <w:szCs w:val="21"/>
                <w:highlight w:val="none"/>
              </w:rPr>
              <w:t>社保缴纳证明，当月新成立公司</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spacing w:val="-2"/>
                <w:sz w:val="21"/>
                <w:szCs w:val="21"/>
                <w:highlight w:val="none"/>
              </w:rPr>
              <w:t>履行合同所必需的设备和能力</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cs="宋体"/>
                <w:color w:val="auto"/>
                <w:sz w:val="21"/>
                <w:szCs w:val="21"/>
                <w:highlight w:val="none"/>
              </w:rPr>
            </w:pPr>
            <w:r>
              <w:rPr>
                <w:rFonts w:hint="eastAsia" w:ascii="宋体" w:hAnsi="宋体" w:eastAsia="宋体" w:cs="宋体"/>
                <w:color w:val="auto"/>
                <w:spacing w:val="-2"/>
                <w:sz w:val="21"/>
                <w:szCs w:val="21"/>
                <w:highlight w:val="none"/>
              </w:rPr>
              <w:t>提供具有履行合同所必需的设备和专业技术能力相关证明材料或声明；</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pacing w:val="-2"/>
                <w:szCs w:val="21"/>
                <w:highlight w:val="none"/>
              </w:rPr>
            </w:pPr>
            <w:r>
              <w:rPr>
                <w:rFonts w:hint="eastAsia" w:ascii="宋体" w:hAnsi="宋体" w:eastAsia="宋体" w:cs="宋体"/>
                <w:color w:val="auto"/>
                <w:sz w:val="21"/>
                <w:szCs w:val="21"/>
                <w:highlight w:val="none"/>
              </w:rPr>
              <w:t>无重大违法记录的书面声明</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z w:val="21"/>
                <w:szCs w:val="21"/>
                <w:highlight w:val="none"/>
              </w:rPr>
              <w:t>提供参加采购活动前三年内在经营活动中没有重大违法记录的书面声明</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67"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cs="Tahoma"/>
                <w:color w:val="auto"/>
                <w:sz w:val="21"/>
                <w:szCs w:val="21"/>
                <w:highlight w:val="none"/>
              </w:rPr>
              <w:t>特定资格要求</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auto"/>
                <w:sz w:val="21"/>
                <w:szCs w:val="21"/>
                <w:highlight w:val="none"/>
              </w:rPr>
            </w:pPr>
            <w:r>
              <w:rPr>
                <w:rFonts w:hint="eastAsia" w:ascii="宋体" w:hAnsi="宋体" w:cs="宋体"/>
                <w:color w:val="auto"/>
                <w:sz w:val="21"/>
                <w:highlight w:val="none"/>
              </w:rPr>
              <w:t>供应商须具有有效的医疗器械经营许可证（或按照国家食品药品监督管理部门规定实行备案管理的，具有备案证明文件）；若供应商为货物制造商须具备医疗器械生产许可证；</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94"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eastAsia="宋体" w:cs="宋体"/>
                <w:color w:val="auto"/>
                <w:sz w:val="21"/>
                <w:szCs w:val="21"/>
                <w:highlight w:val="none"/>
              </w:rPr>
              <w:t>供应商的授权委托书</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auto"/>
                <w:sz w:val="21"/>
                <w:szCs w:val="21"/>
                <w:highlight w:val="none"/>
                <w:lang w:eastAsia="zh-CN"/>
              </w:rPr>
            </w:pPr>
            <w:r>
              <w:rPr>
                <w:rStyle w:val="62"/>
                <w:rFonts w:hint="eastAsia" w:ascii="宋体" w:hAnsi="宋体" w:eastAsia="宋体" w:cs="宋体"/>
                <w:b w:val="0"/>
                <w:i w:val="0"/>
                <w:caps w:val="0"/>
                <w:color w:val="auto"/>
                <w:spacing w:val="0"/>
                <w:w w:val="100"/>
                <w:sz w:val="21"/>
                <w:szCs w:val="21"/>
                <w:highlight w:val="none"/>
                <w:lang w:val="en-US" w:eastAsia="zh-CN" w:bidi="ar-SA"/>
              </w:rPr>
              <w:t>具备有效的投标代表的授权委托书，授权委托书应由法定代表人（或负责人）签名或签章并加盖企业</w:t>
            </w:r>
            <w:r>
              <w:rPr>
                <w:rStyle w:val="62"/>
                <w:rFonts w:hint="eastAsia" w:ascii="宋体" w:hAnsi="宋体" w:cs="宋体"/>
                <w:b w:val="0"/>
                <w:i w:val="0"/>
                <w:caps w:val="0"/>
                <w:color w:val="auto"/>
                <w:spacing w:val="0"/>
                <w:w w:val="100"/>
                <w:sz w:val="21"/>
                <w:szCs w:val="21"/>
                <w:highlight w:val="none"/>
                <w:lang w:val="en-US" w:eastAsia="zh-CN" w:bidi="ar-SA"/>
              </w:rPr>
              <w:t>电子公章</w:t>
            </w:r>
            <w:r>
              <w:rPr>
                <w:rStyle w:val="62"/>
                <w:rFonts w:hint="eastAsia" w:ascii="宋体" w:hAnsi="宋体" w:eastAsia="宋体" w:cs="宋体"/>
                <w:b w:val="0"/>
                <w:i w:val="0"/>
                <w:caps w:val="0"/>
                <w:color w:val="auto"/>
                <w:spacing w:val="0"/>
                <w:w w:val="100"/>
                <w:sz w:val="21"/>
                <w:szCs w:val="21"/>
                <w:highlight w:val="none"/>
                <w:lang w:val="en-US" w:eastAsia="zh-CN" w:bidi="ar-SA"/>
              </w:rPr>
              <w:t>。如为法定代表人（或负责人）参加投标，需提供法定代表人（或负责人）身份证明；</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01"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投标保证金</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val="en-US" w:eastAsia="zh-CN"/>
              </w:rPr>
              <w:t>磋商文件</w:t>
            </w:r>
            <w:r>
              <w:rPr>
                <w:rFonts w:hint="eastAsia" w:ascii="宋体" w:hAnsi="宋体" w:eastAsia="宋体" w:cs="宋体"/>
                <w:color w:val="auto"/>
                <w:sz w:val="21"/>
                <w:szCs w:val="21"/>
                <w:highlight w:val="none"/>
              </w:rPr>
              <w:t>要求缴纳</w:t>
            </w:r>
            <w:r>
              <w:rPr>
                <w:rFonts w:hint="eastAsia" w:ascii="宋体" w:hAnsi="宋体" w:eastAsia="宋体" w:cs="宋体"/>
                <w:color w:val="auto"/>
                <w:sz w:val="21"/>
                <w:szCs w:val="21"/>
                <w:highlight w:val="none"/>
                <w:lang w:val="en-US" w:eastAsia="zh-CN"/>
              </w:rPr>
              <w:t>投标保证金；</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68"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信用查询</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供应商在</w:t>
            </w:r>
            <w:r>
              <w:rPr>
                <w:rFonts w:hint="eastAsia" w:ascii="宋体" w:hAnsi="宋体" w:cs="宋体"/>
                <w:color w:val="auto"/>
                <w:sz w:val="21"/>
                <w:szCs w:val="21"/>
                <w:highlight w:val="none"/>
              </w:rPr>
              <w:t>“信用中国”网站、“</w:t>
            </w:r>
            <w:r>
              <w:rPr>
                <w:rFonts w:hint="eastAsia" w:ascii="宋体" w:hAnsi="宋体" w:cs="宋体"/>
                <w:color w:val="auto"/>
                <w:sz w:val="21"/>
                <w:szCs w:val="21"/>
                <w:highlight w:val="none"/>
                <w:lang w:val="zh-CN"/>
              </w:rPr>
              <w:t>中国政府采购</w:t>
            </w:r>
            <w:r>
              <w:rPr>
                <w:rFonts w:hint="eastAsia" w:ascii="宋体" w:hAnsi="宋体" w:cs="宋体"/>
                <w:color w:val="auto"/>
                <w:sz w:val="21"/>
                <w:szCs w:val="21"/>
                <w:highlight w:val="none"/>
              </w:rPr>
              <w:t>网”未被列入“失信被执行人”、“重大税收违法案件当事人名单；</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68"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落实政府采购政策的资格要求</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line="240" w:lineRule="exact"/>
              <w:textAlignment w:val="auto"/>
              <w:rPr>
                <w:rFonts w:hint="eastAsia" w:ascii="宋体" w:hAnsi="宋体" w:cs="宋体"/>
                <w:color w:val="auto"/>
                <w:sz w:val="21"/>
                <w:szCs w:val="21"/>
                <w:highlight w:val="none"/>
                <w:lang w:val="en-US" w:eastAsia="zh-CN"/>
              </w:rPr>
            </w:pPr>
            <w:r>
              <w:rPr>
                <w:rFonts w:hint="eastAsia" w:ascii="宋体" w:hAnsi="宋体" w:cs="Tahoma"/>
                <w:color w:val="auto"/>
                <w:sz w:val="21"/>
                <w:highlight w:val="none"/>
                <w:lang w:val="en-US" w:eastAsia="zh-CN"/>
              </w:rPr>
              <w:t>供应商是否附有</w:t>
            </w:r>
            <w:r>
              <w:rPr>
                <w:rFonts w:hint="eastAsia" w:ascii="宋体" w:hAnsi="宋体" w:cs="Tahoma"/>
                <w:color w:val="auto"/>
                <w:sz w:val="21"/>
                <w:highlight w:val="none"/>
                <w:lang w:eastAsia="zh-CN"/>
              </w:rPr>
              <w:t>中小企业声明函，</w:t>
            </w:r>
            <w:r>
              <w:rPr>
                <w:rFonts w:hint="eastAsia" w:ascii="宋体" w:hAnsi="宋体" w:cs="Tahoma"/>
                <w:color w:val="auto"/>
                <w:sz w:val="21"/>
                <w:highlight w:val="none"/>
                <w:lang w:val="en-US" w:eastAsia="zh-CN"/>
              </w:rPr>
              <w:t>且提供全部服务均由中小企业承接；若全部服务均有监狱企业或残疾人企业提供，视同为小型和微型企业，须提供声明函</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eastAsia="宋体" w:cs="宋体"/>
                <w:bCs/>
                <w:color w:val="auto"/>
                <w:sz w:val="21"/>
                <w:szCs w:val="21"/>
                <w:highlight w:val="none"/>
              </w:rPr>
              <w:t>不参与围标串标承诺书</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附有</w:t>
            </w:r>
            <w:r>
              <w:rPr>
                <w:rFonts w:hint="eastAsia" w:ascii="宋体" w:hAnsi="宋体" w:eastAsia="宋体" w:cs="宋体"/>
                <w:bCs/>
                <w:color w:val="auto"/>
                <w:sz w:val="21"/>
                <w:szCs w:val="21"/>
                <w:highlight w:val="none"/>
              </w:rPr>
              <w:t>不参与围标串标承诺书</w:t>
            </w:r>
            <w:r>
              <w:rPr>
                <w:rFonts w:hint="eastAsia" w:ascii="宋体" w:hAnsi="宋体" w:eastAsia="宋体" w:cs="宋体"/>
                <w:bCs/>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restart"/>
            <w:tcBorders>
              <w:top w:val="single" w:color="auto" w:sz="4" w:space="0"/>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符合性检查</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供应商名称</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与营业执照一致</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80"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cs="宋体;SimSun"/>
                <w:color w:val="auto"/>
                <w:sz w:val="21"/>
                <w:szCs w:val="21"/>
                <w:highlight w:val="none"/>
              </w:rPr>
              <w:t>医疗器械注册证</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auto"/>
                <w:sz w:val="21"/>
                <w:szCs w:val="21"/>
                <w:highlight w:val="none"/>
              </w:rPr>
            </w:pPr>
            <w:r>
              <w:rPr>
                <w:rStyle w:val="62"/>
                <w:rFonts w:hint="eastAsia" w:ascii="宋体" w:hAnsi="宋体" w:eastAsia="宋体"/>
                <w:b w:val="0"/>
                <w:i w:val="0"/>
                <w:caps w:val="0"/>
                <w:color w:val="auto"/>
                <w:spacing w:val="0"/>
                <w:w w:val="100"/>
                <w:sz w:val="21"/>
                <w:szCs w:val="21"/>
                <w:highlight w:val="none"/>
                <w:lang w:val="en-US" w:eastAsia="zh-CN" w:bidi="ar-SA"/>
              </w:rPr>
              <w:t>供应商所投产品若为医疗器械须具备医疗器械注册证（或按照国家食品药品监督管理部门规定实行备案管理的，出具备案证明文件）；</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签署</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的签章符合</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highlight w:val="none"/>
              </w:rPr>
            </w:pP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报价</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auto"/>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针对同一种设备未出现了两个或两个以上的报价；</w:t>
            </w:r>
            <w:r>
              <w:rPr>
                <w:rFonts w:hint="eastAsia" w:ascii="宋体" w:hAnsi="宋体" w:cs="宋体"/>
                <w:color w:val="auto"/>
                <w:sz w:val="21"/>
                <w:szCs w:val="21"/>
                <w:highlight w:val="none"/>
                <w:lang w:val="en-US" w:eastAsia="zh-CN"/>
              </w:rPr>
              <w:t>磋商总</w:t>
            </w:r>
            <w:r>
              <w:rPr>
                <w:rFonts w:hint="eastAsia" w:ascii="宋体" w:hAnsi="宋体" w:cs="宋体"/>
                <w:color w:val="auto"/>
                <w:sz w:val="21"/>
                <w:szCs w:val="21"/>
                <w:highlight w:val="none"/>
              </w:rPr>
              <w:t>报价</w:t>
            </w:r>
            <w:r>
              <w:rPr>
                <w:rFonts w:hint="eastAsia" w:ascii="宋体" w:hAnsi="宋体" w:cs="宋体"/>
                <w:color w:val="auto"/>
                <w:sz w:val="21"/>
                <w:szCs w:val="21"/>
                <w:highlight w:val="none"/>
                <w:lang w:val="en-US" w:eastAsia="zh-CN"/>
              </w:rPr>
              <w:t>及单项设备报价均</w:t>
            </w:r>
            <w:r>
              <w:rPr>
                <w:rFonts w:hint="eastAsia" w:ascii="宋体" w:hAnsi="宋体" w:cs="宋体"/>
                <w:color w:val="auto"/>
                <w:sz w:val="21"/>
                <w:szCs w:val="21"/>
                <w:highlight w:val="none"/>
              </w:rPr>
              <w:t>未超过项目采购预算或最高限价的；</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spacing w:line="360" w:lineRule="exact"/>
              <w:jc w:val="center"/>
              <w:rPr>
                <w:rFonts w:ascii="宋体" w:hAnsi="宋体" w:cs="宋体"/>
                <w:color w:val="auto"/>
                <w:sz w:val="21"/>
                <w:szCs w:val="21"/>
                <w:highlight w:val="none"/>
              </w:rPr>
            </w:pPr>
            <w:r>
              <w:rPr>
                <w:rFonts w:hint="eastAsia" w:ascii="宋体" w:hAnsi="宋体" w:eastAsia="宋体;SimSun"/>
                <w:bCs/>
                <w:color w:val="auto"/>
                <w:kern w:val="2"/>
                <w:sz w:val="21"/>
                <w:szCs w:val="21"/>
                <w:highlight w:val="none"/>
              </w:rPr>
              <w:t>投标产品</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spacing w:line="360" w:lineRule="exact"/>
              <w:rPr>
                <w:rFonts w:ascii="宋体" w:hAnsi="宋体" w:cs="宋体"/>
                <w:color w:val="auto"/>
                <w:sz w:val="21"/>
                <w:szCs w:val="21"/>
                <w:highlight w:val="none"/>
              </w:rPr>
            </w:pPr>
            <w:r>
              <w:rPr>
                <w:rFonts w:hint="eastAsia" w:ascii="宋体" w:hAnsi="宋体" w:eastAsia="宋体;SimSun"/>
                <w:bCs/>
                <w:color w:val="auto"/>
                <w:kern w:val="2"/>
                <w:sz w:val="21"/>
                <w:szCs w:val="21"/>
                <w:highlight w:val="none"/>
                <w:lang w:val="en-US" w:eastAsia="zh-CN"/>
              </w:rPr>
              <w:t>本次招标</w:t>
            </w:r>
            <w:r>
              <w:rPr>
                <w:rFonts w:hint="eastAsia" w:ascii="宋体" w:hAnsi="宋体" w:eastAsia="宋体;SimSun"/>
                <w:bCs/>
                <w:color w:val="auto"/>
                <w:kern w:val="2"/>
                <w:sz w:val="21"/>
                <w:szCs w:val="21"/>
                <w:highlight w:val="none"/>
              </w:rPr>
              <w:t>为国产设备招标，其投标设备未提供进口设备</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31"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供货范围</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载明的供货范围符合</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的要求</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68"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交货期</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载明的交货期未超过</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规定的期限</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highlight w:val="none"/>
              </w:rPr>
            </w:pPr>
            <w:r>
              <w:rPr>
                <w:rFonts w:hint="eastAsia" w:ascii="宋体" w:hAnsi="宋体" w:cs="宋体"/>
                <w:color w:val="auto"/>
                <w:sz w:val="21"/>
                <w:szCs w:val="21"/>
                <w:highlight w:val="none"/>
              </w:rPr>
              <w:t>质保期</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载明的质保期满足</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2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highlight w:val="none"/>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有效期</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有效期</w:t>
            </w:r>
            <w:r>
              <w:rPr>
                <w:rFonts w:hint="eastAsia" w:ascii="宋体" w:hAnsi="宋体" w:cs="宋体"/>
                <w:color w:val="auto"/>
                <w:sz w:val="21"/>
                <w:szCs w:val="21"/>
                <w:highlight w:val="none"/>
                <w:lang w:val="en-US" w:eastAsia="zh-CN"/>
              </w:rPr>
              <w:t>满足磋商文件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26"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highlight w:val="none"/>
              </w:rPr>
            </w:pPr>
            <w:r>
              <w:rPr>
                <w:rFonts w:hint="eastAsia" w:ascii="宋体" w:hAnsi="宋体" w:cs="宋体"/>
                <w:color w:val="auto"/>
                <w:sz w:val="21"/>
                <w:szCs w:val="21"/>
                <w:highlight w:val="none"/>
              </w:rPr>
              <w:t>其他</w:t>
            </w:r>
            <w:r>
              <w:rPr>
                <w:rFonts w:hint="eastAsia" w:ascii="宋体" w:hAnsi="宋体" w:cs="宋体"/>
                <w:color w:val="auto"/>
                <w:sz w:val="21"/>
                <w:szCs w:val="21"/>
                <w:highlight w:val="none"/>
                <w:lang w:val="en-US" w:eastAsia="zh-CN"/>
              </w:rPr>
              <w:t>实质性</w:t>
            </w:r>
            <w:r>
              <w:rPr>
                <w:rFonts w:hint="eastAsia" w:ascii="宋体" w:hAnsi="宋体" w:cs="宋体"/>
                <w:color w:val="auto"/>
                <w:sz w:val="21"/>
                <w:szCs w:val="21"/>
                <w:highlight w:val="none"/>
              </w:rPr>
              <w:t>要求</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未</w:t>
            </w:r>
            <w:r>
              <w:rPr>
                <w:rFonts w:hint="eastAsia" w:ascii="宋体" w:hAnsi="宋体" w:cs="宋体"/>
                <w:color w:val="auto"/>
                <w:sz w:val="21"/>
                <w:szCs w:val="21"/>
                <w:highlight w:val="none"/>
                <w:lang w:val="en-US" w:eastAsia="zh-CN"/>
              </w:rPr>
              <w:t>出现不</w:t>
            </w:r>
            <w:r>
              <w:rPr>
                <w:rFonts w:hint="eastAsia" w:ascii="宋体" w:hAnsi="宋体" w:cs="宋体"/>
                <w:color w:val="auto"/>
                <w:sz w:val="21"/>
                <w:szCs w:val="21"/>
                <w:highlight w:val="none"/>
              </w:rPr>
              <w:t>满足</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中带"★"号的</w:t>
            </w:r>
            <w:r>
              <w:rPr>
                <w:rFonts w:hint="eastAsia" w:ascii="宋体" w:hAnsi="宋体" w:cs="宋体"/>
                <w:color w:val="auto"/>
                <w:sz w:val="21"/>
                <w:szCs w:val="21"/>
                <w:highlight w:val="none"/>
                <w:lang w:val="en-US" w:eastAsia="zh-CN"/>
              </w:rPr>
              <w:t>其他</w:t>
            </w:r>
            <w:r>
              <w:rPr>
                <w:rFonts w:hint="eastAsia" w:ascii="宋体" w:hAnsi="宋体" w:cs="宋体"/>
                <w:color w:val="auto"/>
                <w:sz w:val="21"/>
                <w:szCs w:val="21"/>
                <w:highlight w:val="none"/>
              </w:rPr>
              <w:t>实质性条款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评审期间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供应商没有按评标委员会的要求提交经授权代表签字的澄清、说明、补正或改变了</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的实质性内容</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5" w:hRule="atLeast"/>
        </w:trPr>
        <w:tc>
          <w:tcPr>
            <w:tcW w:w="615" w:type="dxa"/>
            <w:vMerge w:val="continue"/>
            <w:tcBorders>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highlight w:val="none"/>
              </w:rPr>
            </w:pPr>
            <w:r>
              <w:rPr>
                <w:rFonts w:hint="eastAsia" w:ascii="宋体" w:hAnsi="宋体" w:cs="宋体"/>
                <w:color w:val="auto"/>
                <w:sz w:val="21"/>
                <w:szCs w:val="21"/>
                <w:highlight w:val="none"/>
              </w:rPr>
              <w:t>其他</w:t>
            </w:r>
            <w:r>
              <w:rPr>
                <w:rFonts w:hint="eastAsia" w:ascii="宋体" w:hAnsi="宋体" w:cs="宋体"/>
                <w:color w:val="auto"/>
                <w:sz w:val="21"/>
                <w:szCs w:val="21"/>
                <w:highlight w:val="none"/>
                <w:lang w:val="en-US" w:eastAsia="zh-CN"/>
              </w:rPr>
              <w:t>无效情形</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未附有采购人不能接受的附加条件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未出现</w:t>
            </w:r>
            <w:r>
              <w:rPr>
                <w:rFonts w:hint="eastAsia" w:ascii="宋体" w:hAnsi="宋体" w:cs="宋体"/>
                <w:color w:val="auto"/>
                <w:sz w:val="21"/>
                <w:szCs w:val="21"/>
                <w:highlight w:val="none"/>
                <w:lang w:eastAsia="zh-CN"/>
              </w:rPr>
              <w:t>供应商对采购人、采购代理机构、评标委员会及其工作人员施加影响，有碍公平、公正</w:t>
            </w:r>
            <w:r>
              <w:rPr>
                <w:rFonts w:hint="eastAsia" w:ascii="宋体" w:hAnsi="宋体" w:cs="宋体"/>
                <w:color w:val="auto"/>
                <w:sz w:val="21"/>
                <w:szCs w:val="21"/>
                <w:highlight w:val="none"/>
                <w:lang w:val="en-US" w:eastAsia="zh-CN"/>
              </w:rPr>
              <w:t>的情形；未出现提供虚假材料等</w:t>
            </w:r>
            <w:r>
              <w:rPr>
                <w:rFonts w:hint="eastAsia" w:ascii="宋体" w:hAnsi="宋体" w:cs="宋体"/>
                <w:color w:val="auto"/>
                <w:sz w:val="21"/>
                <w:szCs w:val="21"/>
                <w:highlight w:val="none"/>
              </w:rPr>
              <w:t>法律、法规和</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规定的其他无效情形</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05" w:hRule="atLeast"/>
        </w:trPr>
        <w:tc>
          <w:tcPr>
            <w:tcW w:w="9919" w:type="dxa"/>
            <w:gridSpan w:val="6"/>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r>
              <w:rPr>
                <w:rFonts w:hint="eastAsia" w:ascii="宋体" w:hAnsi="宋体" w:cs="宋体"/>
                <w:b/>
                <w:bCs/>
                <w:color w:val="auto"/>
                <w:sz w:val="21"/>
                <w:szCs w:val="21"/>
                <w:highlight w:val="none"/>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37" w:hRule="atLeast"/>
        </w:trPr>
        <w:tc>
          <w:tcPr>
            <w:tcW w:w="1684" w:type="dxa"/>
            <w:gridSpan w:val="2"/>
            <w:tcBorders>
              <w:top w:val="single" w:color="auto" w:sz="4" w:space="0"/>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color w:val="auto"/>
                <w:sz w:val="21"/>
                <w:szCs w:val="21"/>
                <w:highlight w:val="none"/>
              </w:rPr>
              <w:t>详细评审</w:t>
            </w:r>
          </w:p>
        </w:tc>
        <w:tc>
          <w:tcPr>
            <w:tcW w:w="8235" w:type="dxa"/>
            <w:gridSpan w:val="4"/>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456" w:hRule="atLeast"/>
        </w:trPr>
        <w:tc>
          <w:tcPr>
            <w:tcW w:w="615" w:type="dxa"/>
            <w:vMerge w:val="restart"/>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详细评审</w:t>
            </w:r>
          </w:p>
        </w:tc>
        <w:tc>
          <w:tcPr>
            <w:tcW w:w="1069"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Cs/>
                <w:color w:val="auto"/>
                <w:sz w:val="21"/>
                <w:szCs w:val="21"/>
                <w:highlight w:val="none"/>
              </w:rPr>
            </w:pPr>
            <w:r>
              <w:rPr>
                <w:rFonts w:hint="eastAsia" w:ascii="宋体" w:hAnsi="宋体" w:cs="宋体"/>
                <w:color w:val="auto"/>
                <w:sz w:val="21"/>
                <w:szCs w:val="21"/>
                <w:highlight w:val="none"/>
              </w:rPr>
              <w:t>价格评审（</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line="280" w:lineRule="exact"/>
              <w:jc w:val="center"/>
              <w:rPr>
                <w:rFonts w:ascii="宋体" w:hAnsi="宋体" w:cs="宋体"/>
                <w:bCs/>
                <w:color w:val="auto"/>
                <w:sz w:val="21"/>
                <w:szCs w:val="21"/>
                <w:highlight w:val="none"/>
              </w:rPr>
            </w:pPr>
            <w:r>
              <w:rPr>
                <w:rFonts w:hint="eastAsia" w:ascii="宋体" w:hAnsi="宋体" w:cs="宋体"/>
                <w:color w:val="auto"/>
                <w:sz w:val="21"/>
                <w:szCs w:val="21"/>
                <w:highlight w:val="none"/>
              </w:rPr>
              <w:t>价格评审</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采用低价优先法计算，即满足</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要求且投标价格最低的投标报价为评标基准价，其价格分为满分。</w:t>
            </w:r>
          </w:p>
          <w:p>
            <w:pPr>
              <w:pStyle w:val="41"/>
              <w:keepNext w:val="0"/>
              <w:keepLines w:val="0"/>
              <w:pageBreakBefore w:val="0"/>
              <w:kinsoku/>
              <w:wordWrap/>
              <w:overflowPunct/>
              <w:topLinePunct w:val="0"/>
              <w:autoSpaceDE/>
              <w:autoSpaceDN/>
              <w:bidi w:val="0"/>
              <w:adjustRightInd/>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其他供应商的价格分统一按照下列公式计算:</w:t>
            </w:r>
          </w:p>
          <w:p>
            <w:pPr>
              <w:pStyle w:val="41"/>
              <w:keepNext w:val="0"/>
              <w:keepLines w:val="0"/>
              <w:pageBreakBefore w:val="0"/>
              <w:kinsoku/>
              <w:wordWrap/>
              <w:overflowPunct/>
              <w:topLinePunct w:val="0"/>
              <w:autoSpaceDE/>
              <w:autoSpaceDN/>
              <w:bidi w:val="0"/>
              <w:adjustRightInd/>
              <w:spacing w:line="280" w:lineRule="exact"/>
              <w:rPr>
                <w:rFonts w:ascii="宋体" w:hAnsi="宋体" w:cs="宋体"/>
                <w:color w:val="auto"/>
                <w:sz w:val="21"/>
                <w:szCs w:val="21"/>
                <w:highlight w:val="none"/>
              </w:rPr>
            </w:pPr>
            <w:r>
              <w:rPr>
                <w:rFonts w:hint="eastAsia" w:ascii="宋体" w:hAnsi="宋体" w:cs="宋体"/>
                <w:color w:val="auto"/>
                <w:sz w:val="21"/>
                <w:szCs w:val="21"/>
                <w:highlight w:val="none"/>
              </w:rPr>
              <w:t>投标报价得分=(评标基准价/投标报价)×30%×100（小数点保留两位）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auto"/>
                <w:sz w:val="21"/>
                <w:szCs w:val="21"/>
                <w:highlight w:val="none"/>
              </w:rPr>
            </w:pPr>
          </w:p>
        </w:tc>
        <w:tc>
          <w:tcPr>
            <w:tcW w:w="1069" w:type="dxa"/>
            <w:vMerge w:val="restart"/>
            <w:tcBorders>
              <w:top w:val="single" w:color="auto" w:sz="4" w:space="0"/>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highlight w:val="none"/>
              </w:rPr>
            </w:pPr>
            <w:r>
              <w:rPr>
                <w:rFonts w:hint="eastAsia" w:ascii="宋体" w:hAnsi="宋体" w:cs="宋体"/>
                <w:color w:val="auto"/>
                <w:sz w:val="21"/>
                <w:szCs w:val="21"/>
                <w:highlight w:val="none"/>
              </w:rPr>
              <w:t>商务部分（</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业绩</w:t>
            </w:r>
          </w:p>
          <w:p>
            <w:pPr>
              <w:pStyle w:val="41"/>
              <w:keepNext w:val="0"/>
              <w:keepLines w:val="0"/>
              <w:pageBreakBefore w:val="0"/>
              <w:kinsoku/>
              <w:wordWrap/>
              <w:overflowPunct/>
              <w:topLinePunct w:val="0"/>
              <w:autoSpaceDE/>
              <w:autoSpaceDN/>
              <w:bidi w:val="0"/>
              <w:adjustRightInd/>
              <w:spacing w:beforeAutospacing="0" w:line="2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rPr>
                <w:rFonts w:ascii="宋体" w:hAnsi="宋体" w:cs="宋体"/>
                <w:color w:val="auto"/>
                <w:highlight w:val="none"/>
              </w:rPr>
            </w:pPr>
            <w:r>
              <w:rPr>
                <w:rFonts w:hint="eastAsia" w:ascii="宋体" w:hAnsi="宋体" w:cs="宋体"/>
                <w:color w:val="auto"/>
                <w:sz w:val="21"/>
                <w:szCs w:val="21"/>
                <w:highlight w:val="none"/>
              </w:rPr>
              <w:t>自20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月01日至今所投产品的销售业绩，每提供1项业绩得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分，满分</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分。以提供的相关业绩证明资料如合同或者</w:t>
            </w:r>
            <w:r>
              <w:rPr>
                <w:rFonts w:hint="eastAsia" w:ascii="宋体" w:hAnsi="宋体" w:cs="宋体"/>
                <w:color w:val="auto"/>
                <w:sz w:val="21"/>
                <w:szCs w:val="21"/>
                <w:highlight w:val="none"/>
                <w:lang w:val="en-US" w:eastAsia="zh-CN"/>
              </w:rPr>
              <w:t>中标</w:t>
            </w:r>
            <w:r>
              <w:rPr>
                <w:rFonts w:hint="eastAsia" w:ascii="宋体" w:hAnsi="宋体" w:cs="宋体"/>
                <w:color w:val="auto"/>
                <w:sz w:val="21"/>
                <w:szCs w:val="21"/>
                <w:highlight w:val="none"/>
                <w:lang w:eastAsia="zh-CN"/>
              </w:rPr>
              <w:t>通知书</w:t>
            </w:r>
            <w:r>
              <w:rPr>
                <w:rFonts w:hint="eastAsia" w:ascii="宋体" w:hAnsi="宋体" w:cs="宋体"/>
                <w:color w:val="auto"/>
                <w:sz w:val="21"/>
                <w:szCs w:val="21"/>
                <w:highlight w:val="none"/>
              </w:rPr>
              <w:t>复印件为准，未提供证明资料的，不计分。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pPr>
              <w:pStyle w:val="41"/>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①售后服务方案（含售后服务承诺书、售后服务响应时间、故障响应处理、培训计划）：</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方案内容全面完整，科学合理，可操作性强，得</w:t>
            </w:r>
            <w:r>
              <w:rPr>
                <w:rFonts w:hint="eastAsia" w:ascii="Times New Roman" w:hAnsi="Times New Roman" w:cs="Times New Roman"/>
                <w:color w:val="auto"/>
                <w:sz w:val="21"/>
                <w:szCs w:val="21"/>
                <w:highlight w:val="none"/>
                <w:lang w:val="en-US" w:eastAsia="zh-CN"/>
              </w:rPr>
              <w:t>4</w:t>
            </w:r>
            <w:r>
              <w:rPr>
                <w:rFonts w:hint="eastAsia" w:ascii="Times New Roman" w:hAnsi="Times New Roman" w:cs="Times New Roman"/>
                <w:color w:val="auto"/>
                <w:sz w:val="21"/>
                <w:szCs w:val="21"/>
                <w:highlight w:val="none"/>
              </w:rPr>
              <w:t>分；</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方案内容比较完整，但不够具体，具备可操作性，得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rPr>
              <w:t>分；</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方案不够完整具体或缺乏可操作性，得0分。</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②提供详尽完备的履约验收方案（含具体验收流程和措施）</w:t>
            </w:r>
            <w:r>
              <w:rPr>
                <w:rFonts w:hint="eastAsia" w:ascii="Times New Roman" w:hAnsi="Times New Roman" w:cs="Times New Roman"/>
                <w:color w:val="auto"/>
                <w:sz w:val="21"/>
                <w:szCs w:val="21"/>
                <w:highlight w:val="none"/>
                <w:lang w:val="en-US" w:eastAsia="zh-CN"/>
              </w:rPr>
              <w:t>得2</w:t>
            </w:r>
            <w:r>
              <w:rPr>
                <w:rFonts w:hint="eastAsia" w:ascii="Times New Roman" w:hAnsi="Times New Roman" w:cs="Times New Roman"/>
                <w:color w:val="auto"/>
                <w:sz w:val="21"/>
                <w:szCs w:val="21"/>
                <w:highlight w:val="none"/>
              </w:rPr>
              <w:t>分；</w:t>
            </w:r>
          </w:p>
          <w:p>
            <w:pPr>
              <w:keepNext w:val="0"/>
              <w:keepLines w:val="0"/>
              <w:pageBreakBefore w:val="0"/>
              <w:kinsoku/>
              <w:wordWrap/>
              <w:overflowPunct/>
              <w:topLinePunct w:val="0"/>
              <w:autoSpaceDE/>
              <w:autoSpaceDN/>
              <w:bidi w:val="0"/>
              <w:adjustRightInd/>
              <w:spacing w:beforeAutospacing="0" w:line="280" w:lineRule="exact"/>
              <w:jc w:val="left"/>
              <w:rPr>
                <w:rFonts w:hint="default"/>
                <w:color w:val="auto"/>
                <w:highlight w:val="none"/>
                <w:lang w:val="en-US" w:eastAsia="zh-CN"/>
              </w:rPr>
            </w:pPr>
            <w:r>
              <w:rPr>
                <w:rFonts w:hint="eastAsia" w:ascii="Times New Roman" w:hAnsi="Times New Roman" w:cs="Times New Roman"/>
                <w:color w:val="auto"/>
                <w:sz w:val="21"/>
                <w:szCs w:val="21"/>
                <w:highlight w:val="none"/>
                <w:lang w:val="de-DE"/>
              </w:rPr>
              <w:t>③</w:t>
            </w:r>
            <w:r>
              <w:rPr>
                <w:rFonts w:hint="eastAsia" w:ascii="Times New Roman" w:hAnsi="Times New Roman" w:cs="Times New Roman"/>
                <w:color w:val="auto"/>
                <w:sz w:val="21"/>
                <w:szCs w:val="21"/>
                <w:highlight w:val="none"/>
              </w:rPr>
              <w:t>供应商</w:t>
            </w:r>
            <w:r>
              <w:rPr>
                <w:rFonts w:hint="eastAsia" w:ascii="Times New Roman" w:hAnsi="Times New Roman" w:cs="Times New Roman"/>
                <w:color w:val="auto"/>
                <w:sz w:val="21"/>
                <w:szCs w:val="21"/>
                <w:highlight w:val="none"/>
                <w:lang w:val="en-US" w:eastAsia="zh-CN"/>
              </w:rPr>
              <w:t>在</w:t>
            </w:r>
            <w:r>
              <w:rPr>
                <w:rFonts w:hint="eastAsia" w:ascii="Times New Roman" w:hAnsi="Times New Roman" w:cs="Times New Roman"/>
                <w:color w:val="auto"/>
                <w:sz w:val="21"/>
                <w:szCs w:val="21"/>
                <w:highlight w:val="none"/>
              </w:rPr>
              <w:t>疆内设有售后服务</w:t>
            </w:r>
            <w:r>
              <w:rPr>
                <w:rFonts w:hint="eastAsia" w:ascii="Times New Roman" w:hAnsi="Times New Roman" w:cs="Times New Roman"/>
                <w:color w:val="auto"/>
                <w:sz w:val="21"/>
                <w:szCs w:val="21"/>
                <w:highlight w:val="none"/>
                <w:lang w:val="en-US" w:eastAsia="zh-CN"/>
              </w:rPr>
              <w:t>场所</w:t>
            </w:r>
            <w:r>
              <w:rPr>
                <w:rFonts w:hint="eastAsia" w:ascii="Times New Roman" w:hAnsi="Times New Roman" w:cs="Times New Roman"/>
                <w:color w:val="auto"/>
                <w:sz w:val="21"/>
                <w:szCs w:val="21"/>
                <w:highlight w:val="none"/>
              </w:rPr>
              <w:t>，提供有效证明文件，</w:t>
            </w:r>
            <w:r>
              <w:rPr>
                <w:rFonts w:hint="eastAsia" w:ascii="Times New Roman" w:hAnsi="Times New Roman" w:cs="Times New Roman"/>
                <w:color w:val="auto"/>
                <w:sz w:val="21"/>
                <w:szCs w:val="21"/>
                <w:highlight w:val="none"/>
                <w:lang w:val="en-US" w:eastAsia="zh-CN"/>
              </w:rPr>
              <w:t>得1</w:t>
            </w:r>
            <w:r>
              <w:rPr>
                <w:rFonts w:hint="eastAsia" w:ascii="Times New Roman" w:hAnsi="Times New Roman"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（有效证明文件为租房证明或合作协议</w:t>
            </w:r>
            <w:r>
              <w:rPr>
                <w:rFonts w:hint="eastAsia" w:ascii="Times New Roman" w:hAnsi="Times New Roman" w:cs="Times New Roman"/>
                <w:color w:val="auto"/>
                <w:sz w:val="21"/>
                <w:szCs w:val="21"/>
                <w:highlight w:val="none"/>
                <w:lang w:val="en-US" w:eastAsia="zh-CN"/>
              </w:rPr>
              <w:t>等</w:t>
            </w:r>
            <w:r>
              <w:rPr>
                <w:rFonts w:hint="eastAsia" w:ascii="Times New Roman" w:hAnsi="Times New Roman" w:cs="Times New Roman"/>
                <w:color w:val="auto"/>
                <w:sz w:val="21"/>
                <w:szCs w:val="21"/>
                <w:highlight w:val="none"/>
              </w:rPr>
              <w:t>，复印件加盖</w:t>
            </w:r>
            <w:r>
              <w:rPr>
                <w:rFonts w:hint="eastAsia" w:cs="Times New Roman"/>
                <w:color w:val="auto"/>
                <w:sz w:val="21"/>
                <w:szCs w:val="21"/>
                <w:highlight w:val="none"/>
                <w:lang w:eastAsia="zh-CN"/>
              </w:rPr>
              <w:t>电子公章</w:t>
            </w:r>
            <w:r>
              <w:rPr>
                <w:rFonts w:hint="eastAsia" w:ascii="Times New Roman" w:hAnsi="Times New Roman" w:cs="Times New Roman"/>
                <w:color w:val="auto"/>
                <w:sz w:val="21"/>
                <w:szCs w:val="21"/>
                <w:highlight w:val="none"/>
              </w:rPr>
              <w:t>，否则不予计分。）</w:t>
            </w:r>
            <w:r>
              <w:rPr>
                <w:rFonts w:hint="eastAsia" w:ascii="Times New Roman" w:hAnsi="Times New Roman" w:cs="Times New Roman"/>
                <w:color w:val="auto"/>
                <w:sz w:val="21"/>
                <w:szCs w:val="21"/>
                <w:highlight w:val="none"/>
                <w:lang w:val="en-US" w:eastAsia="zh-CN"/>
              </w:rPr>
              <w:t>满分7分</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7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p>
            <w:pPr>
              <w:pStyle w:val="41"/>
              <w:keepNext w:val="0"/>
              <w:keepLines w:val="0"/>
              <w:pageBreakBefore w:val="0"/>
              <w:kinsoku/>
              <w:wordWrap/>
              <w:overflowPunct/>
              <w:topLinePunct w:val="0"/>
              <w:autoSpaceDE/>
              <w:autoSpaceDN/>
              <w:bidi w:val="0"/>
              <w:adjustRightInd/>
              <w:spacing w:line="2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280" w:lineRule="exact"/>
              <w:jc w:val="left"/>
              <w:rPr>
                <w:rFonts w:hint="eastAsia" w:ascii="宋体" w:hAnsi="宋体" w:cs="宋体"/>
                <w:color w:val="auto"/>
                <w:sz w:val="21"/>
                <w:szCs w:val="21"/>
                <w:highlight w:val="none"/>
              </w:rPr>
            </w:pPr>
            <w:r>
              <w:rPr>
                <w:rFonts w:hint="eastAsia"/>
                <w:color w:val="auto"/>
                <w:sz w:val="21"/>
                <w:szCs w:val="21"/>
                <w:highlight w:val="none"/>
              </w:rPr>
              <w:t>供应商提供1人为期半个月的培训，得1.5分；提供2个人为期半个月的培训得3分；提供2人及以上为期1个月及以上的培训得</w:t>
            </w:r>
            <w:r>
              <w:rPr>
                <w:rFonts w:hint="eastAsia"/>
                <w:color w:val="auto"/>
                <w:sz w:val="21"/>
                <w:szCs w:val="21"/>
                <w:highlight w:val="none"/>
                <w:lang w:val="en-US" w:eastAsia="zh-CN"/>
              </w:rPr>
              <w:t>6</w:t>
            </w:r>
            <w:r>
              <w:rPr>
                <w:rFonts w:hint="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节能、环保</w:t>
            </w:r>
          </w:p>
          <w:p>
            <w:pPr>
              <w:pStyle w:val="41"/>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0-2</w:t>
            </w:r>
            <w:r>
              <w:rPr>
                <w:rFonts w:hint="eastAsia" w:ascii="宋体" w:hAnsi="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供应商所投采购一览表 所列货物如属于政府优先采购产品类别，须按照《财政部 发展改革委生态环境部 市场监管总局关于调整优化节能产品、环境标志产品政府采购执行机制的通知》（财库〔2019〕9号）、关于印发节能产品政府采购品目清单的通知（财库〔2019〕19号）、关于印发环境标志产 品政府采购品目清单的通知（财库〔2019〕18号）、市场监管总局关于发布参与实施政府采购节能产品、环境标志产品认证机构名录的公告（2019年第16号）要求提供依据国家确定的认证机构出具的的节能产品得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分，国家确定的认证机构出具的环境标志产品认证证书得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分。未提供证明材料的不得分。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00"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restart"/>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技术部分（</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分）</w:t>
            </w:r>
          </w:p>
        </w:tc>
        <w:tc>
          <w:tcPr>
            <w:tcW w:w="1683"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技术参数响应</w:t>
            </w:r>
          </w:p>
          <w:p>
            <w:pPr>
              <w:pStyle w:val="2"/>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仿宋_GB2312"/>
                <w:b/>
                <w:bCs/>
                <w:color w:val="auto"/>
                <w:kern w:val="2"/>
                <w:sz w:val="36"/>
                <w:szCs w:val="36"/>
                <w:highlight w:val="none"/>
                <w:lang w:val="en-US" w:eastAsia="zh-CN" w:bidi="ar-SA"/>
              </w:rPr>
            </w:pPr>
            <w:r>
              <w:rPr>
                <w:rFonts w:hint="eastAsia" w:ascii="宋体" w:hAnsi="宋体" w:eastAsia="宋体" w:cs="宋体"/>
                <w:color w:val="auto"/>
                <w:spacing w:val="0"/>
                <w:kern w:val="2"/>
                <w:sz w:val="21"/>
                <w:szCs w:val="21"/>
                <w:highlight w:val="none"/>
              </w:rPr>
              <w:t>（0-</w:t>
            </w:r>
            <w:r>
              <w:rPr>
                <w:rFonts w:hint="eastAsia" w:ascii="宋体" w:hAnsi="宋体" w:eastAsia="宋体" w:cs="宋体"/>
                <w:color w:val="auto"/>
                <w:spacing w:val="0"/>
                <w:kern w:val="2"/>
                <w:sz w:val="21"/>
                <w:szCs w:val="21"/>
                <w:highlight w:val="none"/>
                <w:lang w:val="en-US" w:eastAsia="zh-CN"/>
              </w:rPr>
              <w:t>30分</w:t>
            </w:r>
            <w:r>
              <w:rPr>
                <w:rFonts w:hint="eastAsia" w:ascii="宋体" w:hAnsi="宋体" w:eastAsia="宋体" w:cs="宋体"/>
                <w:color w:val="auto"/>
                <w:spacing w:val="0"/>
                <w:kern w:val="2"/>
                <w:sz w:val="21"/>
                <w:szCs w:val="21"/>
                <w:highlight w:val="none"/>
              </w:rPr>
              <w:t>）</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宋体" w:hAnsi="宋体" w:eastAsia="宋体" w:cs="宋体"/>
                <w:b w:val="0"/>
                <w:color w:val="auto"/>
                <w:spacing w:val="-6"/>
                <w:kern w:val="0"/>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产品技术参数须</w:t>
            </w:r>
            <w:r>
              <w:rPr>
                <w:rFonts w:hint="eastAsia" w:ascii="宋体" w:hAnsi="宋体" w:eastAsia="宋体" w:cs="宋体"/>
                <w:b/>
                <w:bCs/>
                <w:color w:val="auto"/>
                <w:sz w:val="21"/>
                <w:szCs w:val="21"/>
                <w:highlight w:val="none"/>
              </w:rPr>
              <w:t>对照第</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章《采购需求》</w:t>
            </w:r>
            <w:r>
              <w:rPr>
                <w:rFonts w:hint="eastAsia" w:ascii="宋体" w:hAnsi="宋体" w:eastAsia="宋体" w:cs="宋体"/>
                <w:b/>
                <w:bCs/>
                <w:color w:val="auto"/>
                <w:sz w:val="21"/>
                <w:szCs w:val="21"/>
                <w:highlight w:val="none"/>
                <w:lang w:val="en-US" w:eastAsia="zh-CN"/>
              </w:rPr>
              <w:t>技术要求中第二项“技术规格要求</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逐条列出是否响应。对</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参数</w:t>
            </w:r>
            <w:r>
              <w:rPr>
                <w:rFonts w:hint="eastAsia" w:ascii="宋体" w:hAnsi="宋体" w:eastAsia="宋体" w:cs="宋体"/>
                <w:color w:val="auto"/>
                <w:sz w:val="21"/>
                <w:szCs w:val="21"/>
                <w:highlight w:val="none"/>
              </w:rPr>
              <w:t>条款，每1条负偏离扣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分，扣至0分为止。满分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（未提供技术支持资料，或参数与其提供的技术支持资料不一致的，均视为负偏离。）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00"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right w:val="single" w:color="auto" w:sz="4" w:space="0"/>
            </w:tcBorders>
            <w:noWrap/>
            <w:vAlign w:val="center"/>
          </w:tcPr>
          <w:p>
            <w:pPr>
              <w:pStyle w:val="2"/>
              <w:keepNext w:val="0"/>
              <w:keepLines w:val="0"/>
              <w:pageBreakBefore w:val="0"/>
              <w:kinsoku/>
              <w:wordWrap/>
              <w:overflowPunct/>
              <w:topLinePunct w:val="0"/>
              <w:autoSpaceDE/>
              <w:autoSpaceDN/>
              <w:bidi w:val="0"/>
              <w:adjustRightInd/>
              <w:spacing w:beforeAutospacing="0" w:line="280" w:lineRule="exact"/>
              <w:ind w:firstLine="0"/>
              <w:jc w:val="center"/>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产品选型</w:t>
            </w:r>
          </w:p>
          <w:p>
            <w:pPr>
              <w:pStyle w:val="2"/>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val="0"/>
                <w:color w:val="auto"/>
                <w:kern w:val="0"/>
                <w:sz w:val="21"/>
                <w:szCs w:val="21"/>
                <w:highlight w:val="none"/>
                <w:lang w:eastAsia="zh-CN"/>
              </w:rPr>
            </w:pPr>
            <w:r>
              <w:rPr>
                <w:rFonts w:hint="eastAsia" w:ascii="宋体" w:hAnsi="宋体" w:eastAsia="宋体" w:cs="宋体"/>
                <w:color w:val="auto"/>
                <w:spacing w:val="0"/>
                <w:kern w:val="2"/>
                <w:sz w:val="21"/>
                <w:szCs w:val="21"/>
                <w:highlight w:val="none"/>
              </w:rPr>
              <w:t>（0-</w:t>
            </w:r>
            <w:r>
              <w:rPr>
                <w:rFonts w:hint="eastAsia" w:ascii="宋体" w:hAnsi="宋体" w:eastAsia="宋体" w:cs="宋体"/>
                <w:color w:val="auto"/>
                <w:spacing w:val="0"/>
                <w:kern w:val="2"/>
                <w:sz w:val="21"/>
                <w:szCs w:val="21"/>
                <w:highlight w:val="none"/>
                <w:lang w:val="en-US" w:eastAsia="zh-CN"/>
              </w:rPr>
              <w:t>6分</w:t>
            </w:r>
            <w:r>
              <w:rPr>
                <w:rFonts w:hint="eastAsia" w:ascii="宋体" w:hAnsi="宋体" w:eastAsia="宋体" w:cs="宋体"/>
                <w:color w:val="auto"/>
                <w:spacing w:val="0"/>
                <w:kern w:val="2"/>
                <w:sz w:val="21"/>
                <w:szCs w:val="21"/>
                <w:highlight w:val="none"/>
              </w:rPr>
              <w:t>）</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宋体" w:hAnsi="宋体" w:eastAsia="宋体" w:cs="宋体"/>
                <w:b w:val="0"/>
                <w:color w:val="auto"/>
                <w:spacing w:val="-6"/>
                <w:kern w:val="0"/>
                <w:sz w:val="21"/>
                <w:szCs w:val="21"/>
                <w:highlight w:val="none"/>
                <w:lang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产品选型基本合理、应标方案满足</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需求且配置齐全的，得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产品选型技术更新，整体更符合招标需求，核心技术成熟经过市场验证</w:t>
            </w:r>
            <w:r>
              <w:rPr>
                <w:rFonts w:hint="eastAsia" w:ascii="宋体" w:hAnsi="宋体" w:eastAsia="宋体" w:cs="宋体"/>
                <w:color w:val="auto"/>
                <w:sz w:val="21"/>
                <w:szCs w:val="21"/>
                <w:highlight w:val="none"/>
                <w:lang w:val="en-US" w:eastAsia="zh-CN"/>
              </w:rPr>
              <w:t>加3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p>
        </w:tc>
        <w:tc>
          <w:tcPr>
            <w:tcW w:w="1683"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w:t>
            </w:r>
          </w:p>
          <w:p>
            <w:pPr>
              <w:pStyle w:val="2"/>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产品整体配套性、稳定性符合</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分；提供完整的检验检测报告、宣传彩页等技术资料加</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1"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软硬件</w:t>
            </w:r>
          </w:p>
          <w:p>
            <w:pPr>
              <w:pStyle w:val="2"/>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软、硬件配置内容及水平满足</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使用要求得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分；软、硬件功能要求</w:t>
            </w:r>
            <w:r>
              <w:rPr>
                <w:rFonts w:hint="eastAsia" w:ascii="宋体" w:hAnsi="宋体" w:eastAsia="宋体" w:cs="宋体"/>
                <w:color w:val="auto"/>
                <w:sz w:val="21"/>
                <w:szCs w:val="21"/>
                <w:highlight w:val="none"/>
                <w:lang w:val="en-US" w:eastAsia="zh-CN"/>
              </w:rPr>
              <w:t>优于磋商文件</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使用要</w:t>
            </w:r>
            <w:r>
              <w:rPr>
                <w:rFonts w:hint="eastAsia" w:ascii="宋体" w:hAnsi="宋体" w:eastAsia="宋体" w:cs="宋体"/>
                <w:color w:val="auto"/>
                <w:sz w:val="21"/>
                <w:szCs w:val="21"/>
                <w:highlight w:val="none"/>
              </w:rPr>
              <w:t>求加</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1"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p>
        </w:tc>
        <w:tc>
          <w:tcPr>
            <w:tcW w:w="1683" w:type="dxa"/>
            <w:tcBorders>
              <w:top w:val="single" w:color="auto" w:sz="4" w:space="0"/>
              <w:left w:val="single" w:color="auto" w:sz="4" w:space="0"/>
              <w:right w:val="single" w:color="auto" w:sz="4" w:space="0"/>
            </w:tcBorders>
            <w:noWrap/>
            <w:vAlign w:val="center"/>
          </w:tcPr>
          <w:p>
            <w:pPr>
              <w:pStyle w:val="2"/>
              <w:keepNext w:val="0"/>
              <w:keepLines w:val="0"/>
              <w:pageBreakBefore w:val="0"/>
              <w:kinsoku/>
              <w:wordWrap/>
              <w:overflowPunct/>
              <w:topLinePunct w:val="0"/>
              <w:autoSpaceDE/>
              <w:autoSpaceDN/>
              <w:bidi w:val="0"/>
              <w:adjustRightInd/>
              <w:spacing w:beforeAutospacing="0" w:line="28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辅件</w:t>
            </w:r>
          </w:p>
          <w:p>
            <w:pPr>
              <w:pStyle w:val="2"/>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val="0"/>
                <w:color w:val="auto"/>
                <w:kern w:val="0"/>
                <w:sz w:val="21"/>
                <w:szCs w:val="21"/>
                <w:highlight w:val="none"/>
                <w:lang w:val="en-US" w:eastAsia="zh-CN"/>
              </w:rPr>
            </w:pPr>
            <w:r>
              <w:rPr>
                <w:rFonts w:hint="eastAsia" w:ascii="宋体" w:hAnsi="宋体" w:eastAsia="宋体" w:cs="宋体"/>
                <w:color w:val="auto"/>
                <w:sz w:val="21"/>
                <w:szCs w:val="21"/>
                <w:highlight w:val="none"/>
              </w:rPr>
              <w:t>（0-2分）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default" w:ascii="宋体" w:hAnsi="宋体" w:eastAsia="宋体" w:cs="宋体"/>
                <w:b w:val="0"/>
                <w:color w:val="auto"/>
                <w:spacing w:val="-6"/>
                <w:kern w:val="0"/>
                <w:sz w:val="21"/>
                <w:szCs w:val="21"/>
                <w:highlight w:val="none"/>
                <w:lang w:val="en-US" w:eastAsia="zh-CN"/>
              </w:rPr>
            </w:pPr>
            <w:r>
              <w:rPr>
                <w:rFonts w:hint="eastAsia" w:ascii="宋体" w:hAnsi="宋体" w:eastAsia="宋体" w:cs="宋体"/>
                <w:color w:val="auto"/>
                <w:sz w:val="21"/>
                <w:szCs w:val="21"/>
                <w:highlight w:val="none"/>
              </w:rPr>
              <w:t>所配备的辅件、附件、零部件的供应情况及耐用性和使用寿命等满足招标项目需要得1分；提供相关承诺函或有效证明文件的加1分，满分2分。</w:t>
            </w:r>
          </w:p>
        </w:tc>
      </w:tr>
      <w:bookmarkEnd w:id="126"/>
      <w:bookmarkEnd w:id="127"/>
      <w:bookmarkEnd w:id="128"/>
      <w:bookmarkEnd w:id="129"/>
    </w:tbl>
    <w:p>
      <w:pPr>
        <w:pStyle w:val="24"/>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ascii="宋体" w:hAnsi="宋体" w:eastAsia="宋体" w:cs="宋体;SimSun"/>
          <w:color w:val="auto"/>
          <w:sz w:val="24"/>
          <w:szCs w:val="24"/>
          <w:highlight w:val="none"/>
        </w:rPr>
        <w:t>2.</w:t>
      </w:r>
      <w:r>
        <w:rPr>
          <w:rFonts w:hint="eastAsia" w:ascii="宋体" w:hAnsi="宋体" w:eastAsia="宋体" w:cs="宋体;SimSun"/>
          <w:color w:val="auto"/>
          <w:sz w:val="24"/>
          <w:szCs w:val="24"/>
          <w:highlight w:val="none"/>
        </w:rPr>
        <w:t>4 算数性修正</w:t>
      </w:r>
    </w:p>
    <w:p>
      <w:pPr>
        <w:pStyle w:val="24"/>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hint="eastAsia" w:ascii="宋体" w:hAnsi="宋体" w:eastAsia="宋体" w:cs="宋体;SimSun"/>
          <w:color w:val="auto"/>
          <w:sz w:val="24"/>
          <w:szCs w:val="24"/>
          <w:highlight w:val="none"/>
        </w:rPr>
        <w:t>最后报价有算术错误及其他错误的，磋商小组会按以下原则要求供应商对磋商报价进行修正，并要求供应商书面澄清确认。供应商拒不澄清确认的，视为未实质响应</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要求，其响应文件做无效处理：</w:t>
      </w:r>
    </w:p>
    <w:p>
      <w:pPr>
        <w:pStyle w:val="24"/>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hint="eastAsia" w:ascii="宋体" w:hAnsi="宋体" w:eastAsia="宋体" w:cs="宋体;SimSun"/>
          <w:color w:val="auto"/>
          <w:sz w:val="24"/>
          <w:szCs w:val="24"/>
          <w:highlight w:val="none"/>
        </w:rPr>
        <w:t>（</w:t>
      </w:r>
      <w:r>
        <w:rPr>
          <w:rFonts w:ascii="宋体" w:hAnsi="宋体" w:eastAsia="宋体" w:cs="宋体;SimSun"/>
          <w:color w:val="auto"/>
          <w:sz w:val="24"/>
          <w:szCs w:val="24"/>
          <w:highlight w:val="none"/>
        </w:rPr>
        <w:t>1</w:t>
      </w:r>
      <w:r>
        <w:rPr>
          <w:rFonts w:hint="eastAsia" w:ascii="宋体" w:hAnsi="宋体" w:eastAsia="宋体" w:cs="宋体;SimSun"/>
          <w:color w:val="auto"/>
          <w:sz w:val="24"/>
          <w:szCs w:val="24"/>
          <w:highlight w:val="none"/>
        </w:rPr>
        <w:t>）响应文件中的大写金额与小写金额不一致的，以大写金额为准；</w:t>
      </w:r>
    </w:p>
    <w:p>
      <w:pPr>
        <w:pStyle w:val="24"/>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hint="eastAsia" w:ascii="宋体" w:hAnsi="宋体" w:eastAsia="宋体" w:cs="宋体;SimSun"/>
          <w:color w:val="auto"/>
          <w:sz w:val="24"/>
          <w:szCs w:val="24"/>
          <w:highlight w:val="none"/>
        </w:rPr>
        <w:t>（</w:t>
      </w:r>
      <w:r>
        <w:rPr>
          <w:rFonts w:ascii="宋体" w:hAnsi="宋体" w:eastAsia="宋体" w:cs="宋体;SimSun"/>
          <w:color w:val="auto"/>
          <w:sz w:val="24"/>
          <w:szCs w:val="24"/>
          <w:highlight w:val="none"/>
        </w:rPr>
        <w:t>2</w:t>
      </w:r>
      <w:r>
        <w:rPr>
          <w:rFonts w:hint="eastAsia" w:ascii="宋体" w:hAnsi="宋体" w:eastAsia="宋体" w:cs="宋体;SimSun"/>
          <w:color w:val="auto"/>
          <w:sz w:val="24"/>
          <w:szCs w:val="24"/>
          <w:highlight w:val="none"/>
        </w:rPr>
        <w:t>）项目单价金额与总价金额不一致的，以单价金额为准，但单价金额小数点有明显错误的除外；</w:t>
      </w:r>
    </w:p>
    <w:p>
      <w:pPr>
        <w:pStyle w:val="24"/>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hint="eastAsia" w:ascii="宋体" w:hAnsi="宋体" w:eastAsia="宋体" w:cs="宋体;SimSun"/>
          <w:color w:val="auto"/>
          <w:sz w:val="24"/>
          <w:szCs w:val="24"/>
          <w:highlight w:val="none"/>
        </w:rPr>
        <w:t>（</w:t>
      </w:r>
      <w:r>
        <w:rPr>
          <w:rFonts w:ascii="宋体" w:hAnsi="宋体" w:eastAsia="宋体" w:cs="宋体;SimSun"/>
          <w:color w:val="auto"/>
          <w:sz w:val="24"/>
          <w:szCs w:val="24"/>
          <w:highlight w:val="none"/>
        </w:rPr>
        <w:t>3</w:t>
      </w:r>
      <w:r>
        <w:rPr>
          <w:rFonts w:hint="eastAsia" w:ascii="宋体" w:hAnsi="宋体" w:eastAsia="宋体" w:cs="宋体;SimSun"/>
          <w:color w:val="auto"/>
          <w:sz w:val="24"/>
          <w:szCs w:val="24"/>
          <w:highlight w:val="none"/>
        </w:rPr>
        <w:t>）如果分项报价中存在缺漏项，则视为缺漏项价格已包含在其他分项报价。</w:t>
      </w:r>
    </w:p>
    <w:p>
      <w:pPr>
        <w:pStyle w:val="24"/>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hint="eastAsia" w:ascii="宋体" w:hAnsi="宋体" w:eastAsia="宋体" w:cs="宋体;SimSun"/>
          <w:color w:val="auto"/>
          <w:sz w:val="24"/>
          <w:szCs w:val="24"/>
          <w:highlight w:val="none"/>
        </w:rPr>
        <w:t>（4）响应报价出现明显填报错误，经磋商小组同意允许修正的情形。</w:t>
      </w:r>
    </w:p>
    <w:p>
      <w:pPr>
        <w:keepNext w:val="0"/>
        <w:keepLines w:val="0"/>
        <w:pageBreakBefore w:val="0"/>
        <w:shd w:val="clear" w:color="auto" w:fill="FFFFFF"/>
        <w:kinsoku/>
        <w:wordWrap/>
        <w:overflowPunct/>
        <w:topLinePunct w:val="0"/>
        <w:bidi w:val="0"/>
        <w:adjustRightInd w:val="0"/>
        <w:snapToGrid w:val="0"/>
        <w:spacing w:line="42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同时出现两种以上不一致的，按照前款规定的顺序修正。</w:t>
      </w:r>
    </w:p>
    <w:p>
      <w:pPr>
        <w:keepNext w:val="0"/>
        <w:keepLines w:val="0"/>
        <w:pageBreakBefore w:val="0"/>
        <w:widowControl w:val="0"/>
        <w:shd w:val="clear" w:color="auto" w:fill="FFFFFF"/>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修正后的报价遵照如下规定处理：</w:t>
      </w:r>
      <w:r>
        <w:rPr>
          <w:rFonts w:hint="eastAsia" w:ascii="宋体" w:hAnsi="宋体" w:eastAsia="宋体" w:cs="宋体"/>
          <w:color w:val="auto"/>
          <w:kern w:val="0"/>
          <w:sz w:val="24"/>
          <w:szCs w:val="24"/>
          <w:highlight w:val="none"/>
          <w:lang w:val="en-US" w:eastAsia="zh-CN"/>
        </w:rPr>
        <w:t>磋商小组在政采云系统中发出澄清、答疑，供应商在规定时间（30分钟）内系统内回复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修正后的报价经供应商确认后产生约束力，供应商不确认的，其</w:t>
      </w:r>
      <w:r>
        <w:rPr>
          <w:rFonts w:hint="eastAsia" w:ascii="宋体" w:hAnsi="宋体" w:eastAsia="宋体" w:cs="宋体"/>
          <w:color w:val="auto"/>
          <w:kern w:val="0"/>
          <w:sz w:val="24"/>
          <w:szCs w:val="24"/>
          <w:highlight w:val="none"/>
          <w:lang w:val="en-US" w:eastAsia="zh-CN"/>
        </w:rPr>
        <w:t>响应文件无效</w:t>
      </w:r>
      <w:r>
        <w:rPr>
          <w:rFonts w:hint="eastAsia" w:ascii="宋体" w:hAnsi="宋体" w:eastAsia="宋体" w:cs="宋体"/>
          <w:color w:val="auto"/>
          <w:kern w:val="0"/>
          <w:sz w:val="24"/>
          <w:szCs w:val="24"/>
          <w:highlight w:val="none"/>
        </w:rPr>
        <w:t>。</w:t>
      </w:r>
    </w:p>
    <w:p>
      <w:pPr>
        <w:shd w:val="clear" w:color="auto" w:fill="FFFFFF"/>
        <w:spacing w:line="440" w:lineRule="exact"/>
        <w:ind w:firstLine="482" w:firstLineChars="200"/>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3.磋商小组的权利</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磋商小组发现</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存在歧义、重大缺陷导致评审工作无法进行，或者</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内容违反国家有关强制性规定的，应当停止评审工作，与采购人或者采购代理机构沟通并作书面记录。采购人或者采购代理机构确认后，应当修改</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，重新组织采购活动。</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评审报告由磋商小组全体成员签字。磋商小组成员对需要共同认定的事项存在争议的，应当按照少数服从多数的原则作出结论。持不同意见的磋商小组成员应当在评审报告上签署不同意见及理由，否则视为同意评审报告。</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3.3.1评审结果汇总完成后，除下列情形外，任何人不得修改评审结果：</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3.3.1.1 分值汇总计算错误的；</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3.3.1.2 分项评分超出评分标准范围的；</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3.3.1.3 磋商小组成员对客观评审因素评分不一致的；</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3.3.1.4 经磋商小组认定评分畸高、畸低的。</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 磋商小组依据供应商须知前附表规定的评审方法，对供应商的响应文件进行评审和比较，供应商最终得分等于商务部分、技术部分、报价部分得分之和。磋商小组确定供应商最终得分和排名向采购人提出书面报告，并推荐合格的成交候选人。</w:t>
      </w:r>
    </w:p>
    <w:p>
      <w:pPr>
        <w:shd w:val="clear" w:color="auto" w:fill="FFFFFF"/>
        <w:spacing w:line="440" w:lineRule="exact"/>
        <w:ind w:firstLine="482" w:firstLineChars="200"/>
        <w:rPr>
          <w:rFonts w:ascii="宋体" w:hAnsi="宋体" w:eastAsia="宋体" w:cs="宋体"/>
          <w:b/>
          <w:bCs/>
          <w:color w:val="auto"/>
          <w:kern w:val="0"/>
          <w:sz w:val="24"/>
          <w:szCs w:val="24"/>
          <w:highlight w:val="none"/>
        </w:rPr>
      </w:pPr>
      <w:bookmarkStart w:id="130" w:name="_Toc31479"/>
      <w:bookmarkStart w:id="131" w:name="_Toc37090660"/>
      <w:bookmarkStart w:id="132" w:name="_Toc37090996"/>
      <w:bookmarkStart w:id="133" w:name="_Toc37090995"/>
      <w:bookmarkStart w:id="134" w:name="_Toc37090659"/>
      <w:r>
        <w:rPr>
          <w:rFonts w:hint="eastAsia" w:ascii="宋体" w:hAnsi="宋体" w:eastAsia="宋体" w:cs="宋体"/>
          <w:b/>
          <w:bCs/>
          <w:color w:val="auto"/>
          <w:kern w:val="0"/>
          <w:sz w:val="24"/>
          <w:szCs w:val="24"/>
          <w:highlight w:val="none"/>
        </w:rPr>
        <w:t>4. 评审过程的保密</w:t>
      </w:r>
      <w:bookmarkEnd w:id="130"/>
      <w:bookmarkEnd w:id="131"/>
      <w:bookmarkEnd w:id="132"/>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凡属于对响应文件的审查、澄清、评价和比较有关的资料、成交候选人的推荐情况以及与评审有关的其他任何情况，磋商小组成员和与评审活动有关的工作人员不得对任何单位和个人透露。</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在响应文件的评审和比较、成交候选人推荐以及授予合同的过程中，供应商向采购人或者磋商小组施加影响的任何行为，都将会导致其响应文件被拒绝。</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 成交供应商确定后，采购人不对未成交供应商就评审过程以及未能成交原因做出任何解释。未成交供应商不得向磋商小组组成人员或者其他有关人员索问评审过程的情况和材料。</w:t>
      </w:r>
    </w:p>
    <w:p>
      <w:pPr>
        <w:shd w:val="clear" w:color="auto" w:fill="FFFFFF"/>
        <w:spacing w:line="440" w:lineRule="exact"/>
        <w:ind w:firstLine="482" w:firstLineChars="200"/>
        <w:rPr>
          <w:rFonts w:ascii="宋体" w:hAnsi="宋体" w:eastAsia="宋体" w:cs="宋体"/>
          <w:b/>
          <w:bCs/>
          <w:color w:val="auto"/>
          <w:kern w:val="0"/>
          <w:sz w:val="24"/>
          <w:szCs w:val="24"/>
          <w:highlight w:val="none"/>
        </w:rPr>
      </w:pPr>
      <w:bookmarkStart w:id="135" w:name="_Toc24415"/>
      <w:r>
        <w:rPr>
          <w:rFonts w:hint="eastAsia" w:ascii="宋体" w:hAnsi="宋体" w:eastAsia="宋体" w:cs="宋体"/>
          <w:b/>
          <w:bCs/>
          <w:color w:val="auto"/>
          <w:kern w:val="0"/>
          <w:sz w:val="24"/>
          <w:szCs w:val="24"/>
          <w:highlight w:val="none"/>
        </w:rPr>
        <w:t>4. 定标原则</w:t>
      </w:r>
      <w:bookmarkEnd w:id="133"/>
      <w:bookmarkEnd w:id="134"/>
      <w:bookmarkEnd w:id="135"/>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4.1磋商小组依据供应商须知前附表规定的评审方法和标准，按照得分由高到低的顺序进行排序，最终将前三名作为成交候选人推荐给采购人。</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采购代理机构应当在评审结束后2个工作日内将评审报告送采购人。采购人应当自收到评审报告之日起５个工作日内，在评审报告确定的成交候选人名单中按顺序确定成交供应商。</w:t>
      </w:r>
    </w:p>
    <w:p>
      <w:pPr>
        <w:pStyle w:val="24"/>
        <w:snapToGrid w:val="0"/>
        <w:spacing w:after="0" w:line="440" w:lineRule="exact"/>
        <w:ind w:firstLine="482"/>
        <w:rPr>
          <w:rFonts w:ascii="宋体" w:hAnsi="宋体" w:eastAsia="宋体" w:cs="宋体"/>
          <w:color w:val="auto"/>
          <w:highlight w:val="none"/>
        </w:rPr>
      </w:pPr>
      <w:r>
        <w:rPr>
          <w:rFonts w:hint="eastAsia" w:ascii="宋体" w:hAnsi="宋体" w:eastAsia="宋体" w:cs="宋体"/>
          <w:b/>
          <w:bCs/>
          <w:color w:val="auto"/>
          <w:sz w:val="24"/>
          <w:szCs w:val="24"/>
          <w:highlight w:val="none"/>
        </w:rPr>
        <w:t>4.3 成交供应商拒绝与采购人签订合同的，采购人可以按照评审报告推荐的成交供应商名单排序，确定下一候选人为成交供应商，也可以重新开展政府采购活动。</w:t>
      </w:r>
    </w:p>
    <w:p>
      <w:pPr>
        <w:pStyle w:val="24"/>
        <w:snapToGrid w:val="0"/>
        <w:spacing w:after="0" w:line="440" w:lineRule="exact"/>
        <w:ind w:firstLine="482"/>
        <w:rPr>
          <w:rFonts w:ascii="宋体" w:hAnsi="宋体" w:eastAsia="宋体" w:cs="宋体"/>
          <w:color w:val="auto"/>
          <w:highlight w:val="none"/>
        </w:rPr>
      </w:pPr>
      <w:r>
        <w:rPr>
          <w:rFonts w:hint="eastAsia" w:ascii="宋体" w:hAnsi="宋体" w:eastAsia="宋体" w:cs="宋体"/>
          <w:b/>
          <w:bCs/>
          <w:color w:val="auto"/>
          <w:sz w:val="24"/>
          <w:szCs w:val="24"/>
          <w:highlight w:val="none"/>
        </w:rPr>
        <w:t>4.4出现下列情形之一的，本项目予以废标，重新开展采购活动。</w:t>
      </w:r>
    </w:p>
    <w:p>
      <w:pPr>
        <w:pStyle w:val="24"/>
        <w:snapToGrid w:val="0"/>
        <w:spacing w:after="0" w:line="440" w:lineRule="exact"/>
        <w:ind w:firstLine="482"/>
        <w:rPr>
          <w:rFonts w:ascii="宋体" w:hAnsi="宋体" w:eastAsia="宋体" w:cs="宋体"/>
          <w:color w:val="auto"/>
          <w:highlight w:val="none"/>
        </w:rPr>
      </w:pPr>
      <w:r>
        <w:rPr>
          <w:rFonts w:hint="eastAsia" w:ascii="宋体" w:hAnsi="宋体" w:eastAsia="宋体" w:cs="宋体"/>
          <w:b/>
          <w:bCs/>
          <w:color w:val="auto"/>
          <w:sz w:val="24"/>
          <w:szCs w:val="24"/>
          <w:highlight w:val="none"/>
        </w:rPr>
        <w:t>4.4.1 符合专业条件的供应商或者对</w:t>
      </w:r>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作实质响应的供应商不足三家的；</w:t>
      </w:r>
    </w:p>
    <w:p>
      <w:pPr>
        <w:pStyle w:val="24"/>
        <w:snapToGrid w:val="0"/>
        <w:spacing w:after="0" w:line="440" w:lineRule="exact"/>
        <w:ind w:firstLine="482"/>
        <w:rPr>
          <w:rFonts w:ascii="宋体" w:hAnsi="宋体" w:eastAsia="宋体" w:cs="宋体"/>
          <w:color w:val="auto"/>
          <w:highlight w:val="none"/>
        </w:rPr>
      </w:pPr>
      <w:r>
        <w:rPr>
          <w:rFonts w:hint="eastAsia" w:ascii="宋体" w:hAnsi="宋体" w:eastAsia="宋体" w:cs="宋体"/>
          <w:b/>
          <w:bCs/>
          <w:color w:val="auto"/>
          <w:sz w:val="24"/>
          <w:szCs w:val="24"/>
          <w:highlight w:val="none"/>
        </w:rPr>
        <w:t>4.4.2 出现影响采购公正的违法、违规行为的；</w:t>
      </w:r>
    </w:p>
    <w:p>
      <w:pPr>
        <w:pStyle w:val="24"/>
        <w:snapToGrid w:val="0"/>
        <w:spacing w:after="0" w:line="440" w:lineRule="exact"/>
        <w:ind w:firstLine="482"/>
        <w:rPr>
          <w:rFonts w:ascii="宋体" w:hAnsi="宋体" w:eastAsia="宋体" w:cs="宋体"/>
          <w:color w:val="auto"/>
          <w:highlight w:val="none"/>
        </w:rPr>
      </w:pPr>
      <w:r>
        <w:rPr>
          <w:rFonts w:hint="eastAsia" w:ascii="宋体" w:hAnsi="宋体" w:eastAsia="宋体" w:cs="宋体"/>
          <w:b/>
          <w:bCs/>
          <w:color w:val="auto"/>
          <w:sz w:val="24"/>
          <w:szCs w:val="24"/>
          <w:highlight w:val="none"/>
        </w:rPr>
        <w:t>4.4.3 因重大变故，采购任务取消的。</w:t>
      </w:r>
    </w:p>
    <w:p>
      <w:pPr>
        <w:pStyle w:val="38"/>
        <w:jc w:val="center"/>
        <w:outlineLvl w:val="0"/>
        <w:rPr>
          <w:rFonts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rPr>
        <w:br w:type="page"/>
      </w:r>
      <w:bookmarkStart w:id="136" w:name="_Toc28603"/>
      <w:r>
        <w:rPr>
          <w:rFonts w:hint="eastAsia" w:ascii="宋体" w:hAnsi="宋体" w:eastAsia="宋体" w:cs="宋体"/>
          <w:color w:val="auto"/>
          <w:spacing w:val="6"/>
          <w:sz w:val="32"/>
          <w:szCs w:val="32"/>
          <w:highlight w:val="none"/>
        </w:rPr>
        <w:t>第六章 响应文件格式</w:t>
      </w:r>
      <w:bookmarkEnd w:id="136"/>
    </w:p>
    <w:p>
      <w:pPr>
        <w:rPr>
          <w:rFonts w:ascii="宋体" w:hAnsi="宋体" w:eastAsia="宋体" w:cs="宋体"/>
          <w:color w:val="auto"/>
          <w:spacing w:val="6"/>
          <w:sz w:val="32"/>
          <w:szCs w:val="32"/>
          <w:highlight w:val="none"/>
        </w:rPr>
      </w:pPr>
    </w:p>
    <w:p>
      <w:pPr>
        <w:pStyle w:val="2"/>
        <w:rPr>
          <w:rFonts w:ascii="宋体" w:hAnsi="宋体" w:eastAsia="宋体" w:cs="宋体"/>
          <w:color w:val="auto"/>
          <w:spacing w:val="6"/>
          <w:sz w:val="32"/>
          <w:szCs w:val="32"/>
          <w:highlight w:val="none"/>
        </w:rPr>
      </w:pPr>
    </w:p>
    <w:p>
      <w:pPr>
        <w:pStyle w:val="2"/>
        <w:rPr>
          <w:rFonts w:ascii="宋体" w:hAnsi="宋体" w:eastAsia="宋体" w:cs="宋体"/>
          <w:color w:val="auto"/>
          <w:spacing w:val="6"/>
          <w:sz w:val="32"/>
          <w:szCs w:val="32"/>
          <w:highlight w:val="none"/>
        </w:rPr>
      </w:pPr>
    </w:p>
    <w:p>
      <w:pPr>
        <w:pStyle w:val="2"/>
        <w:rPr>
          <w:rFonts w:ascii="宋体" w:hAnsi="宋体" w:eastAsia="宋体" w:cs="宋体"/>
          <w:color w:val="auto"/>
          <w:spacing w:val="6"/>
          <w:sz w:val="32"/>
          <w:szCs w:val="32"/>
          <w:highlight w:val="none"/>
        </w:rPr>
      </w:pPr>
    </w:p>
    <w:p>
      <w:pPr>
        <w:pStyle w:val="2"/>
        <w:rPr>
          <w:rFonts w:ascii="宋体" w:hAnsi="宋体" w:eastAsia="宋体" w:cs="宋体"/>
          <w:color w:val="auto"/>
          <w:spacing w:val="6"/>
          <w:sz w:val="32"/>
          <w:szCs w:val="32"/>
          <w:highlight w:val="none"/>
        </w:rPr>
      </w:pPr>
    </w:p>
    <w:p>
      <w:pPr>
        <w:rPr>
          <w:color w:val="auto"/>
          <w:highlight w:val="none"/>
        </w:rPr>
      </w:pPr>
    </w:p>
    <w:p>
      <w:pPr>
        <w:tabs>
          <w:tab w:val="left" w:pos="8280"/>
        </w:tabs>
        <w:spacing w:line="360" w:lineRule="auto"/>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tabs>
          <w:tab w:val="left" w:pos="8280"/>
        </w:tabs>
        <w:spacing w:line="360" w:lineRule="auto"/>
        <w:outlineLvl w:val="0"/>
        <w:rPr>
          <w:rFonts w:ascii="宋体" w:hAnsi="宋体" w:eastAsia="宋体" w:cs="宋体"/>
          <w:b/>
          <w:bCs/>
          <w:color w:val="auto"/>
          <w:sz w:val="28"/>
          <w:szCs w:val="28"/>
          <w:highlight w:val="none"/>
        </w:rPr>
      </w:pPr>
      <w:bookmarkStart w:id="137" w:name="_Toc8140"/>
      <w:r>
        <w:rPr>
          <w:rFonts w:hint="eastAsia" w:ascii="宋体" w:hAnsi="宋体" w:eastAsia="宋体" w:cs="宋体"/>
          <w:b/>
          <w:bCs/>
          <w:color w:val="auto"/>
          <w:sz w:val="28"/>
          <w:szCs w:val="28"/>
          <w:highlight w:val="none"/>
        </w:rPr>
        <w:t>封    面：</w:t>
      </w:r>
      <w:bookmarkEnd w:id="137"/>
    </w:p>
    <w:p>
      <w:pPr>
        <w:tabs>
          <w:tab w:val="left" w:pos="8280"/>
        </w:tabs>
        <w:spacing w:line="360" w:lineRule="auto"/>
        <w:rPr>
          <w:rFonts w:ascii="宋体" w:hAnsi="宋体" w:eastAsia="宋体" w:cs="宋体"/>
          <w:b/>
          <w:bCs/>
          <w:color w:val="auto"/>
          <w:sz w:val="28"/>
          <w:szCs w:val="28"/>
          <w:highlight w:val="none"/>
        </w:rPr>
      </w:pPr>
      <w:r>
        <w:rPr>
          <w:color w:val="auto"/>
          <w:sz w:val="28"/>
          <w:highlight w:val="none"/>
        </w:rPr>
        <w:pict>
          <v:rect id="_x0000_s1030" o:spid="_x0000_s1030" o:spt="1" style="position:absolute;left:0pt;margin-left:344.85pt;margin-top:4.35pt;height:26.65pt;width:72.25pt;z-index:251660288;mso-width-relative:page;mso-height-relative:page;" fillcolor="#FFFFFF" filled="t" stroked="t" coordsize="21600,21600">
            <v:path/>
            <v:fill on="t" color2="#FFFFFF" focussize="0,0"/>
            <v:stroke color="#000000" joinstyle="miter"/>
            <v:imagedata o:title=""/>
            <o:lock v:ext="edit" aspectratio="f"/>
            <v:textbox>
              <w:txbxContent>
                <w:p>
                  <w:pPr>
                    <w:jc w:val="right"/>
                    <w:rPr>
                      <w:rFonts w:hint="default" w:eastAsia="宋体;SimSun"/>
                      <w:b/>
                      <w:bCs/>
                      <w:sz w:val="24"/>
                      <w:szCs w:val="24"/>
                      <w:lang w:val="en-US" w:eastAsia="zh-CN"/>
                    </w:rPr>
                  </w:pPr>
                  <w:r>
                    <w:rPr>
                      <w:rFonts w:hint="eastAsia"/>
                      <w:b/>
                      <w:bCs/>
                      <w:sz w:val="24"/>
                      <w:szCs w:val="24"/>
                      <w:lang w:val="en-US" w:eastAsia="zh-CN"/>
                    </w:rPr>
                    <w:t>正本/副本</w:t>
                  </w:r>
                </w:p>
              </w:txbxContent>
            </v:textbox>
          </v:rect>
        </w:pict>
      </w:r>
    </w:p>
    <w:p>
      <w:pPr>
        <w:tabs>
          <w:tab w:val="left" w:pos="450"/>
          <w:tab w:val="left" w:pos="8280"/>
        </w:tabs>
        <w:spacing w:line="720" w:lineRule="exact"/>
        <w:ind w:left="0" w:leftChars="0" w:firstLine="1446" w:firstLineChars="400"/>
        <w:jc w:val="left"/>
        <w:rPr>
          <w:rFonts w:hint="eastAsia" w:ascii="宋体" w:hAnsi="宋体" w:eastAsia="宋体" w:cs="宋体"/>
          <w:b/>
          <w:bCs/>
          <w:color w:val="auto"/>
          <w:sz w:val="36"/>
          <w:szCs w:val="36"/>
          <w:highlight w:val="none"/>
          <w:u w:val="single"/>
          <w:lang w:val="en-US" w:eastAsia="zh-CN"/>
        </w:rPr>
      </w:pPr>
    </w:p>
    <w:p>
      <w:pPr>
        <w:pStyle w:val="10"/>
        <w:rPr>
          <w:rFonts w:hint="eastAsia" w:ascii="宋体" w:hAnsi="宋体" w:eastAsia="宋体" w:cs="宋体"/>
          <w:b/>
          <w:bCs/>
          <w:color w:val="auto"/>
          <w:sz w:val="36"/>
          <w:szCs w:val="36"/>
          <w:highlight w:val="none"/>
          <w:u w:val="single"/>
          <w:lang w:val="en-US" w:eastAsia="zh-CN"/>
        </w:rPr>
      </w:pPr>
    </w:p>
    <w:p>
      <w:pPr>
        <w:rPr>
          <w:rFonts w:hint="eastAsia" w:ascii="宋体" w:hAnsi="宋体" w:eastAsia="宋体" w:cs="宋体"/>
          <w:b/>
          <w:bCs/>
          <w:color w:val="auto"/>
          <w:sz w:val="36"/>
          <w:szCs w:val="36"/>
          <w:highlight w:val="none"/>
          <w:u w:val="single"/>
          <w:lang w:val="en-US" w:eastAsia="zh-CN"/>
        </w:rPr>
      </w:pPr>
    </w:p>
    <w:p>
      <w:pPr>
        <w:tabs>
          <w:tab w:val="left" w:pos="450"/>
          <w:tab w:val="left" w:pos="8280"/>
        </w:tabs>
        <w:spacing w:line="720" w:lineRule="exact"/>
        <w:ind w:left="0" w:leftChars="0" w:firstLine="1446" w:firstLineChars="400"/>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u w:val="single"/>
          <w:lang w:val="en-US" w:eastAsia="zh-CN"/>
        </w:rPr>
        <w:t xml:space="preserve">                              </w:t>
      </w:r>
      <w:r>
        <w:rPr>
          <w:rFonts w:hint="eastAsia" w:ascii="宋体" w:hAnsi="宋体" w:eastAsia="宋体" w:cs="宋体"/>
          <w:b/>
          <w:bCs/>
          <w:color w:val="auto"/>
          <w:sz w:val="36"/>
          <w:szCs w:val="36"/>
          <w:highlight w:val="none"/>
        </w:rPr>
        <w:t>项目</w:t>
      </w:r>
    </w:p>
    <w:p>
      <w:pPr>
        <w:tabs>
          <w:tab w:val="left" w:pos="450"/>
          <w:tab w:val="left" w:pos="8280"/>
        </w:tabs>
        <w:spacing w:line="720" w:lineRule="exact"/>
        <w:rPr>
          <w:rFonts w:hint="default" w:ascii="宋体" w:hAnsi="宋体" w:eastAsia="宋体" w:cs="宋体"/>
          <w:b/>
          <w:bCs/>
          <w:color w:val="auto"/>
          <w:sz w:val="36"/>
          <w:szCs w:val="36"/>
          <w:highlight w:val="none"/>
          <w:u w:val="single"/>
          <w:lang w:val="en-US" w:eastAsia="zh-CN"/>
        </w:rPr>
      </w:pPr>
    </w:p>
    <w:p>
      <w:pPr>
        <w:tabs>
          <w:tab w:val="left" w:pos="8280"/>
        </w:tabs>
        <w:spacing w:line="720" w:lineRule="exac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响应文件</w:t>
      </w:r>
    </w:p>
    <w:p>
      <w:pPr>
        <w:tabs>
          <w:tab w:val="left" w:pos="275"/>
          <w:tab w:val="left" w:pos="8280"/>
        </w:tabs>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p>
    <w:p>
      <w:pPr>
        <w:tabs>
          <w:tab w:val="left" w:pos="275"/>
          <w:tab w:val="left" w:pos="8280"/>
        </w:tabs>
        <w:spacing w:line="360" w:lineRule="auto"/>
        <w:rPr>
          <w:rFonts w:ascii="宋体" w:hAnsi="宋体" w:eastAsia="宋体" w:cs="宋体"/>
          <w:b/>
          <w:bCs/>
          <w:color w:val="auto"/>
          <w:sz w:val="28"/>
          <w:szCs w:val="28"/>
          <w:highlight w:val="none"/>
        </w:rPr>
      </w:pPr>
    </w:p>
    <w:p>
      <w:pPr>
        <w:tabs>
          <w:tab w:val="left" w:pos="275"/>
          <w:tab w:val="left" w:pos="8280"/>
        </w:tabs>
        <w:spacing w:line="360" w:lineRule="auto"/>
        <w:rPr>
          <w:rFonts w:ascii="宋体" w:hAnsi="宋体" w:eastAsia="宋体" w:cs="宋体"/>
          <w:b/>
          <w:bCs/>
          <w:color w:val="auto"/>
          <w:sz w:val="28"/>
          <w:szCs w:val="28"/>
          <w:highlight w:val="none"/>
        </w:rPr>
      </w:pPr>
    </w:p>
    <w:p>
      <w:pPr>
        <w:tabs>
          <w:tab w:val="left" w:pos="275"/>
          <w:tab w:val="left" w:pos="8280"/>
        </w:tabs>
        <w:spacing w:line="360" w:lineRule="auto"/>
        <w:rPr>
          <w:rFonts w:ascii="宋体" w:hAnsi="宋体" w:eastAsia="宋体" w:cs="宋体"/>
          <w:b/>
          <w:bCs/>
          <w:color w:val="auto"/>
          <w:sz w:val="28"/>
          <w:szCs w:val="28"/>
          <w:highlight w:val="none"/>
        </w:rPr>
      </w:pPr>
    </w:p>
    <w:p>
      <w:pPr>
        <w:tabs>
          <w:tab w:val="left" w:pos="275"/>
          <w:tab w:val="left" w:pos="8280"/>
        </w:tabs>
        <w:spacing w:line="360" w:lineRule="auto"/>
        <w:outlineLvl w:val="0"/>
        <w:rPr>
          <w:rFonts w:hint="default" w:ascii="宋体" w:hAnsi="宋体" w:eastAsia="宋体" w:cs="宋体"/>
          <w:b/>
          <w:bCs/>
          <w:color w:val="auto"/>
          <w:sz w:val="28"/>
          <w:szCs w:val="28"/>
          <w:highlight w:val="none"/>
          <w:u w:val="single"/>
          <w:lang w:val="en-US" w:eastAsia="zh-CN"/>
        </w:rPr>
      </w:pPr>
      <w:bookmarkStart w:id="138" w:name="_Toc10502"/>
      <w:r>
        <w:rPr>
          <w:rFonts w:hint="eastAsia" w:ascii="宋体" w:hAnsi="宋体" w:eastAsia="宋体" w:cs="宋体"/>
          <w:b/>
          <w:bCs/>
          <w:color w:val="auto"/>
          <w:sz w:val="28"/>
          <w:szCs w:val="28"/>
          <w:highlight w:val="none"/>
        </w:rPr>
        <w:t>项目编号：</w:t>
      </w:r>
      <w:bookmarkEnd w:id="138"/>
      <w:r>
        <w:rPr>
          <w:rFonts w:hint="eastAsia" w:ascii="宋体" w:hAnsi="宋体" w:eastAsia="宋体" w:cs="宋体"/>
          <w:b/>
          <w:bCs/>
          <w:color w:val="auto"/>
          <w:sz w:val="28"/>
          <w:szCs w:val="28"/>
          <w:highlight w:val="none"/>
          <w:u w:val="single"/>
          <w:lang w:val="en-US" w:eastAsia="zh-CN"/>
        </w:rPr>
        <w:t xml:space="preserve">                                               </w:t>
      </w:r>
    </w:p>
    <w:p>
      <w:pPr>
        <w:tabs>
          <w:tab w:val="left" w:pos="765"/>
          <w:tab w:val="left" w:pos="8280"/>
        </w:tabs>
        <w:spacing w:line="360" w:lineRule="auto"/>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ab/>
      </w:r>
    </w:p>
    <w:p>
      <w:pPr>
        <w:tabs>
          <w:tab w:val="left" w:pos="765"/>
          <w:tab w:val="left" w:pos="8280"/>
        </w:tabs>
        <w:spacing w:line="360" w:lineRule="auto"/>
        <w:outlineLvl w:val="0"/>
        <w:rPr>
          <w:rFonts w:hint="default" w:ascii="宋体" w:hAnsi="宋体" w:eastAsia="宋体" w:cs="宋体"/>
          <w:b/>
          <w:bCs/>
          <w:color w:val="auto"/>
          <w:sz w:val="28"/>
          <w:szCs w:val="28"/>
          <w:highlight w:val="none"/>
          <w:lang w:val="en-US" w:eastAsia="zh-CN"/>
        </w:rPr>
      </w:pPr>
      <w:bookmarkStart w:id="139" w:name="_Toc20930"/>
      <w:r>
        <w:rPr>
          <w:rFonts w:hint="eastAsia" w:ascii="宋体" w:hAnsi="宋体" w:eastAsia="宋体" w:cs="宋体"/>
          <w:b/>
          <w:bCs/>
          <w:color w:val="auto"/>
          <w:sz w:val="28"/>
          <w:szCs w:val="28"/>
          <w:highlight w:val="none"/>
        </w:rPr>
        <w:t>响应文件递交人（</w:t>
      </w:r>
      <w:r>
        <w:rPr>
          <w:rFonts w:hint="eastAsia" w:ascii="宋体" w:hAnsi="宋体" w:eastAsia="宋体" w:cs="宋体"/>
          <w:b/>
          <w:bCs/>
          <w:color w:val="auto"/>
          <w:sz w:val="28"/>
          <w:szCs w:val="28"/>
          <w:highlight w:val="none"/>
          <w:lang w:eastAsia="zh-CN"/>
        </w:rPr>
        <w:t>电子公章</w:t>
      </w:r>
      <w:r>
        <w:rPr>
          <w:rFonts w:hint="eastAsia" w:ascii="宋体" w:hAnsi="宋体" w:eastAsia="宋体" w:cs="宋体"/>
          <w:b/>
          <w:bCs/>
          <w:color w:val="auto"/>
          <w:sz w:val="28"/>
          <w:szCs w:val="28"/>
          <w:highlight w:val="none"/>
        </w:rPr>
        <w:t>）：</w:t>
      </w:r>
      <w:bookmarkEnd w:id="139"/>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lang w:val="en-US" w:eastAsia="zh-CN"/>
        </w:rPr>
        <w:t xml:space="preserve">     </w:t>
      </w:r>
    </w:p>
    <w:p>
      <w:pPr>
        <w:tabs>
          <w:tab w:val="left" w:pos="8280"/>
        </w:tabs>
        <w:spacing w:line="360" w:lineRule="auto"/>
        <w:jc w:val="center"/>
        <w:rPr>
          <w:rFonts w:ascii="宋体" w:hAnsi="宋体" w:eastAsia="宋体" w:cs="宋体"/>
          <w:b/>
          <w:bCs/>
          <w:color w:val="auto"/>
          <w:sz w:val="28"/>
          <w:szCs w:val="28"/>
          <w:highlight w:val="none"/>
        </w:rPr>
      </w:pPr>
    </w:p>
    <w:p>
      <w:pPr>
        <w:tabs>
          <w:tab w:val="left" w:pos="350"/>
          <w:tab w:val="left" w:pos="8280"/>
        </w:tabs>
        <w:spacing w:line="360" w:lineRule="auto"/>
        <w:outlineLvl w:val="0"/>
        <w:rPr>
          <w:rFonts w:hint="eastAsia" w:ascii="宋体" w:hAnsi="宋体" w:eastAsia="宋体" w:cs="宋体"/>
          <w:b/>
          <w:bCs/>
          <w:color w:val="auto"/>
          <w:sz w:val="28"/>
          <w:szCs w:val="28"/>
          <w:highlight w:val="none"/>
          <w:lang w:eastAsia="zh-CN"/>
        </w:rPr>
      </w:pPr>
      <w:bookmarkStart w:id="140" w:name="_Toc6206"/>
      <w:r>
        <w:rPr>
          <w:rFonts w:hint="eastAsia" w:ascii="宋体" w:hAnsi="宋体" w:eastAsia="宋体" w:cs="宋体"/>
          <w:b/>
          <w:bCs/>
          <w:color w:val="auto"/>
          <w:sz w:val="28"/>
          <w:szCs w:val="28"/>
          <w:highlight w:val="none"/>
        </w:rPr>
        <w:t>供应商法定代表人</w:t>
      </w:r>
      <w:bookmarkEnd w:id="140"/>
      <w:r>
        <w:rPr>
          <w:rFonts w:hint="eastAsia" w:ascii="宋体" w:hAnsi="宋体" w:eastAsia="宋体" w:cs="宋体"/>
          <w:b/>
          <w:bCs/>
          <w:color w:val="auto"/>
          <w:sz w:val="28"/>
          <w:szCs w:val="28"/>
          <w:highlight w:val="none"/>
        </w:rPr>
        <w:t>或</w:t>
      </w:r>
      <w:r>
        <w:rPr>
          <w:rFonts w:hint="eastAsia" w:ascii="宋体" w:hAnsi="宋体" w:eastAsia="宋体" w:cs="宋体"/>
          <w:b/>
          <w:bCs/>
          <w:color w:val="auto"/>
          <w:sz w:val="28"/>
          <w:szCs w:val="28"/>
          <w:highlight w:val="none"/>
          <w:lang w:eastAsia="zh-CN"/>
        </w:rPr>
        <w:t>负责人</w:t>
      </w:r>
    </w:p>
    <w:p>
      <w:pPr>
        <w:tabs>
          <w:tab w:val="left" w:pos="840"/>
          <w:tab w:val="left" w:pos="8280"/>
        </w:tabs>
        <w:spacing w:line="360" w:lineRule="auto"/>
        <w:outlineLvl w:val="0"/>
        <w:rPr>
          <w:rFonts w:ascii="宋体" w:hAnsi="宋体" w:eastAsia="宋体" w:cs="宋体"/>
          <w:b/>
          <w:bCs/>
          <w:color w:val="auto"/>
          <w:sz w:val="28"/>
          <w:szCs w:val="28"/>
          <w:highlight w:val="none"/>
        </w:rPr>
      </w:pPr>
      <w:bookmarkStart w:id="141" w:name="_Toc6379"/>
      <w:r>
        <w:rPr>
          <w:rFonts w:hint="eastAsia" w:ascii="宋体" w:hAnsi="宋体" w:eastAsia="宋体" w:cs="宋体"/>
          <w:b/>
          <w:bCs/>
          <w:color w:val="auto"/>
          <w:sz w:val="28"/>
          <w:szCs w:val="28"/>
          <w:highlight w:val="none"/>
        </w:rPr>
        <w:t>或其委托人（签章）：</w:t>
      </w:r>
      <w:bookmarkEnd w:id="141"/>
      <w:r>
        <w:rPr>
          <w:rFonts w:hint="eastAsia" w:ascii="宋体" w:hAnsi="宋体" w:eastAsia="宋体" w:cs="宋体"/>
          <w:b/>
          <w:bCs/>
          <w:color w:val="auto"/>
          <w:sz w:val="28"/>
          <w:szCs w:val="28"/>
          <w:highlight w:val="none"/>
          <w:u w:val="single"/>
          <w:lang w:val="en-US" w:eastAsia="zh-CN"/>
        </w:rPr>
        <w:t xml:space="preserve">                                     </w:t>
      </w:r>
    </w:p>
    <w:p>
      <w:pPr>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jc w:val="center"/>
        <w:outlineLvl w:val="0"/>
        <w:rPr>
          <w:rFonts w:ascii="宋体" w:hAnsi="宋体" w:eastAsia="宋体" w:cs="宋体"/>
          <w:b/>
          <w:bCs/>
          <w:color w:val="auto"/>
          <w:sz w:val="28"/>
          <w:szCs w:val="28"/>
          <w:highlight w:val="none"/>
        </w:rPr>
      </w:pPr>
      <w:bookmarkStart w:id="142" w:name="_Toc6131"/>
      <w:r>
        <w:rPr>
          <w:rFonts w:hint="eastAsia" w:ascii="宋体" w:hAnsi="宋体" w:eastAsia="宋体" w:cs="宋体"/>
          <w:b/>
          <w:bCs/>
          <w:color w:val="auto"/>
          <w:sz w:val="28"/>
          <w:szCs w:val="28"/>
          <w:highlight w:val="none"/>
        </w:rPr>
        <w:t>年     月     日</w:t>
      </w:r>
      <w:bookmarkEnd w:id="142"/>
    </w:p>
    <w:p>
      <w:pPr>
        <w:pStyle w:val="2"/>
        <w:jc w:val="center"/>
        <w:rPr>
          <w:rFonts w:ascii="宋体" w:hAnsi="宋体" w:eastAsia="宋体" w:cs="宋体"/>
          <w:color w:val="auto"/>
          <w:highlight w:val="none"/>
        </w:rPr>
      </w:pPr>
      <w:r>
        <w:rPr>
          <w:rFonts w:hint="eastAsia" w:ascii="宋体" w:hAnsi="宋体" w:eastAsia="宋体" w:cs="宋体"/>
          <w:b/>
          <w:bCs/>
          <w:color w:val="auto"/>
          <w:sz w:val="28"/>
          <w:szCs w:val="28"/>
          <w:highlight w:val="none"/>
        </w:rPr>
        <w:br w:type="page"/>
      </w:r>
    </w:p>
    <w:p>
      <w:pPr>
        <w:autoSpaceDE w:val="0"/>
        <w:autoSpaceDN w:val="0"/>
        <w:adjustRightInd w:val="0"/>
        <w:spacing w:line="427" w:lineRule="exact"/>
        <w:ind w:left="20" w:right="-40" w:hanging="19" w:hangingChars="7"/>
        <w:jc w:val="center"/>
        <w:rPr>
          <w:rFonts w:ascii="宋体" w:hAnsi="宋体" w:eastAsia="宋体" w:cs="宋体"/>
          <w:color w:val="auto"/>
          <w:highlight w:val="none"/>
        </w:rPr>
      </w:pPr>
      <w:r>
        <w:rPr>
          <w:rFonts w:hint="eastAsia" w:ascii="宋体" w:hAnsi="宋体" w:eastAsia="宋体" w:cs="宋体"/>
          <w:color w:val="auto"/>
          <w:sz w:val="28"/>
          <w:szCs w:val="28"/>
          <w:highlight w:val="none"/>
        </w:rPr>
        <w:t>目  录</w:t>
      </w:r>
    </w:p>
    <w:p>
      <w:pPr>
        <w:autoSpaceDE w:val="0"/>
        <w:autoSpaceDN w:val="0"/>
        <w:adjustRightInd w:val="0"/>
        <w:spacing w:line="440" w:lineRule="exact"/>
        <w:rPr>
          <w:rFonts w:hint="eastAsia" w:ascii="宋体" w:hAnsi="宋体" w:eastAsia="宋体" w:cs="宋体"/>
          <w:b/>
          <w:color w:val="auto"/>
          <w:sz w:val="24"/>
          <w:highlight w:val="none"/>
        </w:rPr>
      </w:pPr>
      <w:bookmarkStart w:id="143" w:name="_Toc24416"/>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响应书</w:t>
      </w:r>
      <w:bookmarkEnd w:id="143"/>
    </w:p>
    <w:p>
      <w:pPr>
        <w:autoSpaceDE w:val="0"/>
        <w:autoSpaceDN w:val="0"/>
        <w:adjustRightIn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、资格证明文件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一</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lang w:val="en-US" w:eastAsia="zh-CN"/>
        </w:rPr>
        <w:t>符合</w:t>
      </w:r>
      <w:r>
        <w:rPr>
          <w:rFonts w:hint="eastAsia" w:ascii="宋体" w:hAnsi="宋体" w:eastAsia="宋体" w:cs="宋体"/>
          <w:color w:val="auto"/>
          <w:kern w:val="0"/>
          <w:sz w:val="24"/>
          <w:szCs w:val="24"/>
          <w:highlight w:val="none"/>
        </w:rPr>
        <w:t>《中华人民共和国政府采购法》第二十二条规定</w:t>
      </w:r>
      <w:r>
        <w:rPr>
          <w:rFonts w:hint="eastAsia" w:ascii="宋体" w:hAnsi="宋体" w:eastAsia="宋体" w:cs="宋体"/>
          <w:color w:val="auto"/>
          <w:kern w:val="0"/>
          <w:sz w:val="24"/>
          <w:szCs w:val="24"/>
          <w:highlight w:val="none"/>
          <w:lang w:val="en-US" w:eastAsia="zh-CN"/>
        </w:rPr>
        <w:t>的证明文件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二</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供应商医疗器械经营许可证</w:t>
      </w:r>
      <w:r>
        <w:rPr>
          <w:rFonts w:hint="eastAsia" w:ascii="宋体" w:hAnsi="宋体" w:eastAsia="宋体"/>
          <w:color w:val="auto"/>
          <w:sz w:val="24"/>
          <w:highlight w:val="none"/>
          <w:lang w:eastAsia="zh-CN"/>
        </w:rPr>
        <w:t>、</w:t>
      </w:r>
      <w:r>
        <w:rPr>
          <w:rFonts w:hint="eastAsia"/>
          <w:color w:val="auto"/>
          <w:sz w:val="24"/>
          <w:szCs w:val="24"/>
          <w:highlight w:val="none"/>
        </w:rPr>
        <w:t>若供应商为货物制造商须提供制造商的医疗器械生产许可证（复印件）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三</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资格证明书及授权委托书</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四</w:t>
      </w:r>
      <w:r>
        <w:rPr>
          <w:rFonts w:hint="eastAsia" w:ascii="宋体" w:hAnsi="宋体"/>
          <w:color w:val="auto"/>
          <w:sz w:val="24"/>
          <w:highlight w:val="none"/>
        </w:rPr>
        <w:t>) 中小微企业、残疾人福利性单位、监狱企业声明函</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五</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rPr>
        <w:t>不参与围标串标承诺书</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六</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color w:val="auto"/>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七</w:t>
      </w:r>
      <w:r>
        <w:rPr>
          <w:rFonts w:hint="eastAsia" w:ascii="宋体" w:hAnsi="宋体"/>
          <w:color w:val="auto"/>
          <w:sz w:val="24"/>
          <w:highlight w:val="none"/>
        </w:rPr>
        <w:t>)</w:t>
      </w:r>
      <w:r>
        <w:rPr>
          <w:rFonts w:hint="eastAsia" w:ascii="宋体" w:hAnsi="宋体" w:eastAsia="宋体" w:cs="宋体"/>
          <w:color w:val="auto"/>
          <w:sz w:val="24"/>
          <w:highlight w:val="none"/>
        </w:rPr>
        <w:t>“信用中国”网站（www.creditchina.gov.cn）</w:t>
      </w:r>
      <w:r>
        <w:rPr>
          <w:rFonts w:hint="eastAsia" w:ascii="宋体" w:hAnsi="宋体" w:cs="宋体"/>
          <w:color w:val="auto"/>
          <w:sz w:val="24"/>
          <w:highlight w:val="none"/>
          <w:lang w:eastAsia="zh-CN"/>
        </w:rPr>
        <w:t>、</w:t>
      </w:r>
      <w:r>
        <w:rPr>
          <w:rFonts w:hint="eastAsia" w:ascii="宋体" w:hAnsi="宋体" w:eastAsia="宋体" w:cs="宋体"/>
          <w:color w:val="auto"/>
          <w:spacing w:val="0"/>
          <w:kern w:val="0"/>
          <w:sz w:val="24"/>
          <w:szCs w:val="24"/>
          <w:highlight w:val="none"/>
          <w:lang w:val="en-US" w:eastAsia="zh-CN" w:bidi="ar-SA"/>
        </w:rPr>
        <w:t>“中国政府采购网”</w:t>
      </w:r>
      <w:r>
        <w:rPr>
          <w:rFonts w:hint="eastAsia" w:ascii="宋体" w:hAnsi="宋体" w:eastAsia="宋体" w:cs="宋体"/>
          <w:color w:val="auto"/>
          <w:sz w:val="24"/>
          <w:highlight w:val="none"/>
        </w:rPr>
        <w:t>（www.ccgp.gov.cn）</w:t>
      </w:r>
      <w:r>
        <w:rPr>
          <w:rFonts w:hint="eastAsia" w:ascii="宋体" w:hAnsi="宋体" w:eastAsia="宋体" w:cs="宋体"/>
          <w:color w:val="auto"/>
          <w:sz w:val="24"/>
          <w:highlight w:val="none"/>
          <w:lang w:eastAsia="zh-CN"/>
        </w:rPr>
        <w:t>查询企业信用信息截图或</w:t>
      </w:r>
      <w:r>
        <w:rPr>
          <w:rFonts w:hint="eastAsia" w:ascii="宋体" w:hAnsi="宋体" w:cs="宋体"/>
          <w:color w:val="auto"/>
          <w:sz w:val="24"/>
          <w:highlight w:val="none"/>
          <w:lang w:eastAsia="zh-CN"/>
        </w:rPr>
        <w:t>打印件</w:t>
      </w:r>
    </w:p>
    <w:p>
      <w:pPr>
        <w:autoSpaceDE w:val="0"/>
        <w:autoSpaceDN w:val="0"/>
        <w:adjustRightIn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、商务文件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一) </w:t>
      </w:r>
      <w:r>
        <w:rPr>
          <w:rFonts w:hint="eastAsia" w:ascii="宋体" w:hAnsi="宋体" w:eastAsia="宋体" w:cs="宋体"/>
          <w:color w:val="auto"/>
          <w:sz w:val="24"/>
          <w:highlight w:val="none"/>
        </w:rPr>
        <w:t>供应商所投产品的医疗器械注册证(或按照国家食品药品监督管理部门规定实行备案管理的，出具备案证明文件)（复印件）；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响应文件报价</w:t>
      </w:r>
      <w:r>
        <w:rPr>
          <w:rFonts w:hint="eastAsia" w:ascii="宋体" w:hAnsi="宋体" w:eastAsia="宋体" w:cs="宋体"/>
          <w:color w:val="auto"/>
          <w:sz w:val="24"/>
          <w:highlight w:val="none"/>
        </w:rPr>
        <w:t>一览表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rPr>
        <w:t xml:space="preserve">) </w:t>
      </w:r>
      <w:r>
        <w:rPr>
          <w:rFonts w:hint="eastAsia" w:ascii="宋体" w:hAnsi="宋体"/>
          <w:color w:val="auto"/>
          <w:sz w:val="24"/>
          <w:highlight w:val="none"/>
          <w:lang w:eastAsia="zh-CN"/>
        </w:rPr>
        <w:t>明细报价表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四</w:t>
      </w:r>
      <w:r>
        <w:rPr>
          <w:rFonts w:hint="eastAsia" w:ascii="宋体" w:hAnsi="宋体" w:eastAsia="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lang w:val="en-US" w:eastAsia="zh-CN"/>
        </w:rPr>
        <w:t>实质性响应一览表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olor w:val="auto"/>
          <w:sz w:val="24"/>
          <w:highlight w:val="none"/>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五</w:t>
      </w:r>
      <w:r>
        <w:rPr>
          <w:rFonts w:hint="eastAsia" w:ascii="宋体" w:hAnsi="宋体"/>
          <w:color w:val="auto"/>
          <w:sz w:val="24"/>
          <w:highlight w:val="none"/>
        </w:rPr>
        <w:t xml:space="preserve">) </w:t>
      </w:r>
      <w:r>
        <w:rPr>
          <w:rFonts w:hint="eastAsia" w:ascii="宋体" w:hAnsi="宋体" w:eastAsia="宋体"/>
          <w:color w:val="auto"/>
          <w:sz w:val="24"/>
          <w:highlight w:val="none"/>
        </w:rPr>
        <w:t>合同条款偏离表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六</w:t>
      </w:r>
      <w:r>
        <w:rPr>
          <w:rFonts w:hint="eastAsia" w:ascii="宋体" w:hAnsi="宋体"/>
          <w:color w:val="auto"/>
          <w:sz w:val="24"/>
          <w:highlight w:val="none"/>
        </w:rPr>
        <w:t>) 近三年（20</w:t>
      </w:r>
      <w:r>
        <w:rPr>
          <w:rFonts w:hint="eastAsia" w:ascii="宋体" w:hAnsi="宋体" w:eastAsia="宋体"/>
          <w:color w:val="auto"/>
          <w:sz w:val="24"/>
          <w:highlight w:val="none"/>
          <w:lang w:val="en-US" w:eastAsia="zh-CN"/>
        </w:rPr>
        <w:t>20</w:t>
      </w:r>
      <w:r>
        <w:rPr>
          <w:rFonts w:hint="eastAsia" w:ascii="宋体" w:hAnsi="宋体"/>
          <w:color w:val="auto"/>
          <w:sz w:val="24"/>
          <w:highlight w:val="none"/>
        </w:rPr>
        <w:t>年</w:t>
      </w:r>
      <w:r>
        <w:rPr>
          <w:rFonts w:hint="eastAsia" w:ascii="宋体" w:hAnsi="宋体" w:eastAsia="宋体"/>
          <w:color w:val="auto"/>
          <w:sz w:val="24"/>
          <w:highlight w:val="none"/>
          <w:lang w:val="en-US" w:eastAsia="zh-CN"/>
        </w:rPr>
        <w:t>10</w:t>
      </w:r>
      <w:r>
        <w:rPr>
          <w:rFonts w:hint="eastAsia" w:ascii="宋体" w:hAnsi="宋体"/>
          <w:color w:val="auto"/>
          <w:sz w:val="24"/>
          <w:highlight w:val="none"/>
        </w:rPr>
        <w:t>月01日至今）所投产品销售业绩</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七</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节能、环保产品明细表（如有）</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虚假应标承担责任声明</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eastAsia="宋体"/>
          <w:color w:val="auto"/>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售后服务承诺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含培训方案</w:t>
      </w:r>
      <w:r>
        <w:rPr>
          <w:rFonts w:hint="eastAsia" w:ascii="宋体" w:hAnsi="宋体" w:eastAsia="宋体" w:cs="宋体"/>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color w:val="auto"/>
          <w:highlight w:val="none"/>
        </w:rPr>
      </w:pPr>
      <w:r>
        <w:rPr>
          <w:rFonts w:hint="eastAsia" w:ascii="宋体" w:hAnsi="宋体"/>
          <w:color w:val="auto"/>
          <w:sz w:val="24"/>
          <w:highlight w:val="none"/>
        </w:rPr>
        <w:t>(十) 供应商认为有必要提供的其他商务资料</w:t>
      </w:r>
    </w:p>
    <w:p>
      <w:pPr>
        <w:autoSpaceDE w:val="0"/>
        <w:autoSpaceDN w:val="0"/>
        <w:adjustRightIn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、技术文件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技术条款偏离表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产品详细配置清单</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供应商所投产品技术支持资料</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供应商认为有必要的其他技术资料</w:t>
      </w:r>
    </w:p>
    <w:p>
      <w:pPr>
        <w:pStyle w:val="40"/>
        <w:ind w:firstLine="470"/>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五</w:t>
      </w:r>
      <w:r>
        <w:rPr>
          <w:rFonts w:hint="eastAsia" w:ascii="宋体" w:hAnsi="宋体" w:eastAsia="宋体" w:cs="宋体"/>
          <w:b/>
          <w:color w:val="auto"/>
          <w:szCs w:val="24"/>
          <w:highlight w:val="none"/>
        </w:rPr>
        <w:t>、其他资料</w:t>
      </w:r>
    </w:p>
    <w:p>
      <w:pPr>
        <w:pStyle w:val="45"/>
        <w:spacing w:line="440" w:lineRule="exact"/>
        <w:rPr>
          <w:rFonts w:ascii="宋体" w:hAnsi="宋体" w:eastAsia="宋体" w:cs="宋体"/>
          <w:b/>
          <w:color w:val="auto"/>
          <w:szCs w:val="24"/>
          <w:highlight w:val="none"/>
        </w:rPr>
      </w:pPr>
    </w:p>
    <w:p>
      <w:pPr>
        <w:spacing w:line="440" w:lineRule="exact"/>
        <w:ind w:firstLine="560"/>
        <w:rPr>
          <w:rFonts w:ascii="宋体" w:hAnsi="宋体" w:eastAsia="宋体" w:cs="宋体"/>
          <w:color w:val="auto"/>
          <w:sz w:val="24"/>
          <w:highlight w:val="none"/>
        </w:rPr>
      </w:pPr>
    </w:p>
    <w:p>
      <w:pPr>
        <w:jc w:val="center"/>
        <w:rPr>
          <w:rStyle w:val="32"/>
          <w:color w:val="auto"/>
          <w:highlight w:val="none"/>
        </w:rPr>
      </w:pPr>
      <w:bookmarkStart w:id="144" w:name="_Toc9336"/>
      <w:r>
        <w:rPr>
          <w:rStyle w:val="32"/>
          <w:rFonts w:hint="eastAsia" w:ascii="宋体" w:hAnsi="宋体" w:eastAsia="宋体" w:cs="宋体"/>
          <w:color w:val="auto"/>
          <w:highlight w:val="none"/>
        </w:rPr>
        <w:t>一、响应书</w:t>
      </w:r>
    </w:p>
    <w:bookmarkEnd w:id="144"/>
    <w:p>
      <w:pPr>
        <w:jc w:val="center"/>
        <w:outlineLvl w:val="0"/>
        <w:rPr>
          <w:b/>
          <w:bCs/>
          <w:color w:val="auto"/>
          <w:sz w:val="28"/>
          <w:szCs w:val="28"/>
          <w:highlight w:val="none"/>
        </w:rPr>
      </w:pPr>
      <w:bookmarkStart w:id="145" w:name="_Toc2115"/>
      <w:bookmarkStart w:id="146" w:name="_Toc53602922"/>
      <w:r>
        <w:rPr>
          <w:rFonts w:hint="eastAsia"/>
          <w:b/>
          <w:bCs/>
          <w:color w:val="auto"/>
          <w:sz w:val="28"/>
          <w:szCs w:val="28"/>
          <w:highlight w:val="none"/>
        </w:rPr>
        <w:t>响 应 书</w:t>
      </w:r>
      <w:bookmarkEnd w:id="145"/>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pP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我们收到你们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，经认真研究，我们决定参加本次磋商。愿意按照</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规定的内容承担该项目的采购任务，严格执行我方所承诺的责任和义务。为此，我方郑重声明以下诸点，并负法律责任。</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中的一切要求，提供采购服务，磋商总价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元（人民币大写）￥：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元（用阿拉伯数字书写）人民币。</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如果我们的响应文件被接受，我们将履行</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中规定的每一项要求，按期、按质、按量完成本次采购项目。</w:t>
      </w:r>
    </w:p>
    <w:p>
      <w:pPr>
        <w:spacing w:line="440" w:lineRule="exact"/>
        <w:ind w:firstLine="480"/>
        <w:rPr>
          <w:rFonts w:hint="eastAsia" w:ascii="宋体" w:hAnsi="宋体" w:eastAsia="宋体" w:cs="宋体"/>
          <w:color w:val="auto"/>
          <w:sz w:val="24"/>
          <w:highlight w:val="none"/>
          <w:lang w:val="en-US" w:eastAsia="zh-CN"/>
        </w:rPr>
      </w:pPr>
      <w:bookmarkStart w:id="147" w:name="_Toc29726"/>
      <w:r>
        <w:rPr>
          <w:rFonts w:hint="eastAsia" w:ascii="宋体" w:hAnsi="宋体" w:eastAsia="宋体" w:cs="宋体"/>
          <w:color w:val="auto"/>
          <w:sz w:val="24"/>
          <w:highlight w:val="none"/>
          <w:lang w:val="en-US" w:eastAsia="zh-CN"/>
        </w:rPr>
        <w:t>3.</w:t>
      </w:r>
      <w:bookmarkEnd w:id="147"/>
      <w:r>
        <w:rPr>
          <w:rStyle w:val="62"/>
          <w:rFonts w:ascii="宋体" w:hAnsi="宋体" w:eastAsia="宋体"/>
          <w:b w:val="0"/>
          <w:i w:val="0"/>
          <w:caps w:val="0"/>
          <w:color w:val="auto"/>
          <w:spacing w:val="0"/>
          <w:w w:val="100"/>
          <w:kern w:val="2"/>
          <w:sz w:val="24"/>
          <w:szCs w:val="24"/>
          <w:highlight w:val="none"/>
          <w:lang w:val="en-US" w:eastAsia="zh-CN" w:bidi="ar-SA"/>
        </w:rPr>
        <w:t>我们同意按磋商文件的规定，本响应书的有效期为磋商后</w:t>
      </w:r>
      <w:r>
        <w:rPr>
          <w:rStyle w:val="62"/>
          <w:rFonts w:ascii="宋体" w:hAnsi="宋体" w:eastAsia="宋体"/>
          <w:b w:val="0"/>
          <w:i w:val="0"/>
          <w:caps w:val="0"/>
          <w:color w:val="auto"/>
          <w:spacing w:val="0"/>
          <w:w w:val="100"/>
          <w:kern w:val="2"/>
          <w:sz w:val="24"/>
          <w:szCs w:val="24"/>
          <w:highlight w:val="none"/>
          <w:u w:val="single" w:color="000000"/>
          <w:lang w:val="en-US" w:eastAsia="zh-CN" w:bidi="ar-SA"/>
        </w:rPr>
        <w:t xml:space="preserve"> 90 </w:t>
      </w:r>
      <w:r>
        <w:rPr>
          <w:rStyle w:val="62"/>
          <w:rFonts w:ascii="宋体" w:hAnsi="宋体" w:eastAsia="宋体"/>
          <w:b w:val="0"/>
          <w:i w:val="0"/>
          <w:caps w:val="0"/>
          <w:color w:val="auto"/>
          <w:spacing w:val="0"/>
          <w:w w:val="100"/>
          <w:kern w:val="2"/>
          <w:sz w:val="24"/>
          <w:szCs w:val="24"/>
          <w:highlight w:val="none"/>
          <w:lang w:val="en-US" w:eastAsia="zh-CN" w:bidi="ar-SA"/>
        </w:rPr>
        <w:t>天。</w:t>
      </w:r>
    </w:p>
    <w:p>
      <w:pPr>
        <w:spacing w:line="440" w:lineRule="exact"/>
        <w:ind w:firstLine="480"/>
        <w:rPr>
          <w:rFonts w:hint="eastAsia" w:ascii="宋体" w:hAnsi="宋体" w:eastAsia="宋体" w:cs="宋体"/>
          <w:color w:val="auto"/>
          <w:sz w:val="24"/>
          <w:highlight w:val="none"/>
          <w:lang w:val="en-US" w:eastAsia="zh-CN"/>
        </w:rPr>
      </w:pPr>
      <w:bookmarkStart w:id="148" w:name="_Toc6537"/>
      <w:r>
        <w:rPr>
          <w:rFonts w:hint="eastAsia" w:ascii="宋体" w:hAnsi="宋体" w:eastAsia="宋体" w:cs="宋体"/>
          <w:color w:val="auto"/>
          <w:sz w:val="24"/>
          <w:highlight w:val="none"/>
          <w:lang w:val="en-US" w:eastAsia="zh-CN"/>
        </w:rPr>
        <w:t>4.我方承诺交货期限按照</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执行</w:t>
      </w:r>
      <w:bookmarkEnd w:id="148"/>
      <w:bookmarkStart w:id="149" w:name="_Toc8772"/>
      <w:r>
        <w:rPr>
          <w:rFonts w:hint="eastAsia" w:ascii="宋体" w:hAnsi="宋体" w:eastAsia="宋体" w:cs="宋体"/>
          <w:color w:val="auto"/>
          <w:sz w:val="24"/>
          <w:highlight w:val="none"/>
          <w:lang w:val="en-US" w:eastAsia="zh-CN"/>
        </w:rPr>
        <w:t>。</w:t>
      </w:r>
    </w:p>
    <w:p>
      <w:pPr>
        <w:spacing w:line="44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bookmarkEnd w:id="149"/>
      <w:r>
        <w:rPr>
          <w:rFonts w:hint="eastAsia" w:ascii="宋体" w:hAnsi="宋体" w:eastAsia="宋体" w:cs="宋体"/>
          <w:color w:val="auto"/>
          <w:sz w:val="24"/>
          <w:highlight w:val="none"/>
          <w:lang w:val="en-US" w:eastAsia="zh-CN"/>
        </w:rPr>
        <w:t>.，提供设备的质保期为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p>
    <w:p>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6.我方承诺具备</w:t>
      </w:r>
      <w:r>
        <w:rPr>
          <w:rFonts w:hint="eastAsia" w:ascii="宋体" w:hAnsi="宋体" w:eastAsia="宋体" w:cs="宋体"/>
          <w:color w:val="auto"/>
          <w:kern w:val="0"/>
          <w:sz w:val="24"/>
          <w:szCs w:val="24"/>
          <w:highlight w:val="none"/>
        </w:rPr>
        <w:t>《中华人民共和国政府采购法》第二十二条</w:t>
      </w:r>
      <w:r>
        <w:rPr>
          <w:rFonts w:hint="eastAsia" w:ascii="宋体" w:hAnsi="宋体" w:eastAsia="宋体" w:cs="宋体"/>
          <w:color w:val="auto"/>
          <w:kern w:val="0"/>
          <w:sz w:val="24"/>
          <w:szCs w:val="24"/>
          <w:highlight w:val="none"/>
          <w:lang w:val="en-US" w:eastAsia="zh-CN"/>
        </w:rPr>
        <w:t>的规定的资格要求，同时符合竞争性磋商文件规定的特定资格要求。</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7.我方承诺在本项目的采购活动中，不存在</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rPr>
        <w:t>单位负责人为同一人或者存在直接控股、管理关系的不同投标人，参加同一包号投标或者未划分包号的同一招标项目投标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的情形</w:t>
      </w:r>
      <w:r>
        <w:rPr>
          <w:rFonts w:hint="eastAsia" w:ascii="宋体" w:hAnsi="宋体" w:eastAsia="宋体" w:cs="宋体"/>
          <w:color w:val="auto"/>
          <w:sz w:val="24"/>
          <w:highlight w:val="none"/>
        </w:rPr>
        <w:t>。</w:t>
      </w:r>
    </w:p>
    <w:p>
      <w:pPr>
        <w:spacing w:line="440" w:lineRule="exact"/>
        <w:ind w:firstLine="480" w:firstLineChars="200"/>
        <w:rPr>
          <w:rFonts w:hint="eastAsia"/>
          <w:color w:val="auto"/>
          <w:highlight w:val="none"/>
        </w:rPr>
      </w:pPr>
      <w:r>
        <w:rPr>
          <w:rFonts w:hint="eastAsia" w:ascii="宋体" w:hAnsi="宋体" w:eastAsia="宋体" w:cs="宋体"/>
          <w:color w:val="auto"/>
          <w:sz w:val="24"/>
          <w:highlight w:val="none"/>
          <w:lang w:val="en-US" w:eastAsia="zh-CN"/>
        </w:rPr>
        <w:t>8.我方承诺我公司不属于为本次采购项目提供整体设计、规范编制或者项目管理、监理、检测等服务的供应商。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如果我方成交，我方将在</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规定的时间内签订委托合同并按采购要求提供履约担保。如果我方违约，除磋商保证金不予退还外，贵方有权终止我方成交并选择其它成交供应商。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如果我方成交，我方将在</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规定的时间内签订服务合同。如果我方违约，借故拒签合同或拖延签订的，则采购人将废除授标，磋商保证金不予退还，给采购人造成的损失超过投保证金保数额的，还应当对超过部分予以赔偿，同时依法承担相应法律责任，采购人可另行选择成交单位。</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我们愿意提供采购人在</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中要求的所有资料。</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我们认为采购人有选择或拒绝任何参与供应商成交的权力。我们理解，最低报价不是成交的唯一条件。</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我们愿按合同法履行自己的全部责任。</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我方愿意按照</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中规定的收费标准，承付成交服务费。</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该响应书在开标/磋商后的全过程中保持有效，不作任何更改和变动。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我们同意按</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规定，交纳元的磋商保证金。并同意在确定最终成交供应商、发出《成交通知书》之后5个工作日内退还我公司的磋商保证金。（如因特殊原因，在磋商有效期之后确定成交供应商，本承诺依然有效。）</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综合说明：</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（1）组织机构及人员安排。</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（2）技术服务。</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（3）要求项目单位提供的配合。</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（4）对</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内容有不同意见的偏离说明。</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（5）其它。</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所有有关本响应书的函电，请按下列地址联系：</w:t>
      </w:r>
    </w:p>
    <w:p>
      <w:pPr>
        <w:spacing w:line="440" w:lineRule="exact"/>
        <w:ind w:firstLine="480" w:firstLineChars="200"/>
        <w:rPr>
          <w:rFonts w:ascii="宋体" w:hAnsi="宋体" w:eastAsia="宋体" w:cs="宋体"/>
          <w:color w:val="auto"/>
          <w:sz w:val="24"/>
          <w:highlight w:val="none"/>
        </w:rPr>
      </w:pP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单       位：</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       话：</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传       真：</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邮 政 编 码：</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  系  人：</w:t>
      </w:r>
    </w:p>
    <w:p>
      <w:pPr>
        <w:spacing w:line="440" w:lineRule="exact"/>
        <w:ind w:firstLine="480" w:firstLineChars="200"/>
        <w:rPr>
          <w:rFonts w:ascii="宋体" w:hAnsi="宋体" w:eastAsia="宋体" w:cs="宋体"/>
          <w:color w:val="auto"/>
          <w:sz w:val="24"/>
          <w:highlight w:val="none"/>
        </w:rPr>
      </w:pP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szCs w:val="24"/>
          <w:highlight w:val="none"/>
          <w:lang w:eastAsia="zh-CN"/>
        </w:rPr>
        <w:t>电子公章</w:t>
      </w:r>
      <w:r>
        <w:rPr>
          <w:rFonts w:hint="eastAsia" w:ascii="宋体" w:hAnsi="宋体" w:eastAsia="宋体" w:cs="宋体"/>
          <w:color w:val="auto"/>
          <w:sz w:val="24"/>
          <w:highlight w:val="none"/>
        </w:rPr>
        <w:t>）</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授权代表签字：</w:t>
      </w:r>
    </w:p>
    <w:p>
      <w:pPr>
        <w:spacing w:line="440" w:lineRule="exact"/>
        <w:ind w:firstLine="480" w:firstLineChars="200"/>
        <w:rPr>
          <w:rFonts w:ascii="宋体" w:hAnsi="宋体" w:eastAsia="宋体" w:cs="宋体"/>
          <w:color w:val="auto"/>
          <w:sz w:val="24"/>
          <w:highlight w:val="none"/>
        </w:rPr>
      </w:pPr>
    </w:p>
    <w:p>
      <w:pPr>
        <w:spacing w:line="440" w:lineRule="exact"/>
        <w:ind w:firstLine="1200" w:firstLineChars="500"/>
        <w:jc w:val="left"/>
        <w:rPr>
          <w:rFonts w:ascii="宋体" w:hAnsi="宋体" w:eastAsia="宋体" w:cs="宋体"/>
          <w:color w:val="auto"/>
          <w:sz w:val="24"/>
          <w:highlight w:val="none"/>
        </w:rPr>
      </w:pPr>
      <w:r>
        <w:rPr>
          <w:rFonts w:hint="eastAsia" w:ascii="宋体" w:hAnsi="宋体" w:eastAsia="宋体" w:cs="宋体"/>
          <w:color w:val="auto"/>
          <w:sz w:val="24"/>
          <w:highlight w:val="none"/>
        </w:rPr>
        <w:t>二○二</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年   月    日</w:t>
      </w:r>
    </w:p>
    <w:p>
      <w:pPr>
        <w:pStyle w:val="4"/>
        <w:spacing w:line="440" w:lineRule="exact"/>
        <w:jc w:val="center"/>
        <w:rPr>
          <w:rFonts w:hint="eastAsia" w:ascii="宋体" w:hAnsi="宋体" w:cs="宋体"/>
          <w:color w:val="auto"/>
          <w:sz w:val="28"/>
          <w:szCs w:val="28"/>
          <w:highlight w:val="none"/>
        </w:rPr>
      </w:pPr>
      <w:r>
        <w:rPr>
          <w:rFonts w:hint="eastAsia" w:ascii="宋体" w:hAnsi="宋体" w:cs="宋体"/>
          <w:color w:val="auto"/>
          <w:sz w:val="24"/>
          <w:highlight w:val="none"/>
        </w:rPr>
        <w:br w:type="page"/>
      </w:r>
      <w:bookmarkEnd w:id="146"/>
      <w:bookmarkStart w:id="150" w:name="_Toc152042602"/>
      <w:bookmarkEnd w:id="150"/>
      <w:bookmarkStart w:id="151" w:name="_Toc179632833"/>
      <w:bookmarkEnd w:id="151"/>
      <w:bookmarkStart w:id="152" w:name="_Toc144974881"/>
      <w:bookmarkEnd w:id="152"/>
      <w:bookmarkStart w:id="153" w:name="_Toc152045813"/>
      <w:bookmarkEnd w:id="153"/>
      <w:bookmarkStart w:id="154" w:name="_Toc3846"/>
      <w:r>
        <w:rPr>
          <w:rStyle w:val="32"/>
          <w:rFonts w:hint="eastAsia" w:ascii="宋体" w:hAnsi="宋体" w:eastAsia="宋体" w:cs="宋体"/>
          <w:color w:val="auto"/>
          <w:kern w:val="2"/>
          <w:szCs w:val="21"/>
          <w:highlight w:val="none"/>
          <w:lang w:val="en-US" w:eastAsia="zh-CN" w:bidi="ar-SA"/>
        </w:rPr>
        <w:t>二、资格证明文件</w:t>
      </w:r>
      <w:bookmarkEnd w:id="154"/>
    </w:p>
    <w:p>
      <w:pPr>
        <w:tabs>
          <w:tab w:val="left" w:pos="8280"/>
        </w:tabs>
        <w:spacing w:line="480" w:lineRule="exact"/>
        <w:ind w:left="1"/>
        <w:rPr>
          <w:rFonts w:hint="default"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highlight w:val="none"/>
        </w:rPr>
        <w:t>（一）</w:t>
      </w:r>
      <w:r>
        <w:rPr>
          <w:rFonts w:hint="eastAsia" w:ascii="宋体" w:hAnsi="宋体" w:eastAsia="宋体" w:cs="宋体"/>
          <w:snapToGrid w:val="0"/>
          <w:color w:val="auto"/>
          <w:spacing w:val="0"/>
          <w:sz w:val="24"/>
          <w:highlight w:val="none"/>
          <w:lang w:val="en-US" w:eastAsia="zh-CN"/>
        </w:rPr>
        <w:t>符合</w:t>
      </w:r>
      <w:r>
        <w:rPr>
          <w:rFonts w:hint="eastAsia" w:ascii="宋体" w:hAnsi="宋体" w:eastAsia="宋体" w:cs="宋体"/>
          <w:snapToGrid w:val="0"/>
          <w:color w:val="auto"/>
          <w:spacing w:val="0"/>
          <w:kern w:val="0"/>
          <w:sz w:val="24"/>
          <w:szCs w:val="24"/>
          <w:highlight w:val="none"/>
        </w:rPr>
        <w:t>《中华人民共和国政府采购法》第二十二条规定</w:t>
      </w:r>
      <w:r>
        <w:rPr>
          <w:rFonts w:hint="eastAsia" w:ascii="宋体" w:hAnsi="宋体" w:eastAsia="宋体" w:cs="宋体"/>
          <w:snapToGrid w:val="0"/>
          <w:color w:val="auto"/>
          <w:spacing w:val="0"/>
          <w:kern w:val="0"/>
          <w:sz w:val="24"/>
          <w:szCs w:val="24"/>
          <w:highlight w:val="none"/>
          <w:lang w:val="en-US" w:eastAsia="zh-CN"/>
        </w:rPr>
        <w:t>的证明文件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1、具有独立承担民事责任的能力</w:t>
      </w:r>
      <w:r>
        <w:rPr>
          <w:rFonts w:hint="eastAsia" w:ascii="宋体" w:hAnsi="宋体" w:eastAsia="宋体" w:cs="宋体"/>
          <w:snapToGrid w:val="0"/>
          <w:color w:val="auto"/>
          <w:spacing w:val="-11"/>
          <w:kern w:val="0"/>
          <w:sz w:val="24"/>
          <w:szCs w:val="24"/>
          <w:highlight w:val="none"/>
          <w:lang w:val="en-US" w:eastAsia="zh-CN"/>
        </w:rPr>
        <w:t>（须加盖电子公章）</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提供</w:t>
      </w:r>
      <w:r>
        <w:rPr>
          <w:rFonts w:hint="eastAsia" w:ascii="宋体" w:hAnsi="宋体" w:eastAsia="宋体" w:cs="宋体"/>
          <w:color w:val="auto"/>
          <w:kern w:val="0"/>
          <w:sz w:val="24"/>
          <w:szCs w:val="24"/>
          <w:highlight w:val="none"/>
        </w:rPr>
        <w:t>法人或者其他组织的营业执照等证明文件；自然人需提供身份证明；</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说明：</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供应商是企业（包括合伙企业）的，应提供其在工商部门注册的有效“企业法人营业执照”或“营业执照”的复印件；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供应商是事业单位的，应提供其有效的“事业单位法人证书”复印件；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供应商是非企业专业服务机构的，应提供其有效的“执业许可证”复印件；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供应商是个体工商户的，应提供其有效的“个体工商户营业执照”复印件；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供应商是自然人的，应提供其有效的自然人身份证明复印件。</w:t>
      </w:r>
    </w:p>
    <w:p>
      <w:pPr>
        <w:tabs>
          <w:tab w:val="left" w:pos="8280"/>
        </w:tabs>
        <w:spacing w:line="48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r>
        <w:rPr>
          <w:rFonts w:hint="eastAsia" w:ascii="宋体" w:hAnsi="宋体" w:eastAsia="宋体" w:cs="宋体"/>
          <w:color w:val="auto"/>
          <w:kern w:val="0"/>
          <w:sz w:val="24"/>
          <w:szCs w:val="24"/>
          <w:highlight w:val="none"/>
          <w:lang w:val="en-US" w:eastAsia="zh-CN"/>
        </w:rPr>
        <w:t>2、具有良好的商业信誉和健全的财务会计制度</w:t>
      </w:r>
      <w:r>
        <w:rPr>
          <w:rFonts w:hint="eastAsia" w:ascii="宋体" w:hAnsi="宋体" w:eastAsia="宋体" w:cs="宋体"/>
          <w:snapToGrid w:val="0"/>
          <w:color w:val="auto"/>
          <w:spacing w:val="-11"/>
          <w:kern w:val="0"/>
          <w:sz w:val="24"/>
          <w:szCs w:val="24"/>
          <w:highlight w:val="none"/>
          <w:lang w:val="en-US" w:eastAsia="zh-CN"/>
        </w:rPr>
        <w:t>（须加盖电子公章）</w:t>
      </w:r>
    </w:p>
    <w:p>
      <w:pPr>
        <w:tabs>
          <w:tab w:val="left" w:pos="8280"/>
        </w:tabs>
        <w:spacing w:line="48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须提供上年度财务审计报告或半年内任意一个月财务报表（财务报表应至少包括资产负债表、损益表、现金流量表或财务状况变动表），当月新成立公司无需提供。</w:t>
      </w:r>
    </w:p>
    <w:p>
      <w:pPr>
        <w:rPr>
          <w:rFonts w:hint="default" w:ascii="宋体" w:hAnsi="宋体" w:eastAsia="宋体" w:cs="宋体"/>
          <w:color w:val="auto"/>
          <w:kern w:val="0"/>
          <w:sz w:val="24"/>
          <w:szCs w:val="24"/>
          <w:highlight w:val="none"/>
          <w:lang w:val="en-US" w:eastAsia="zh-CN"/>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kern w:val="0"/>
          <w:sz w:val="24"/>
          <w:szCs w:val="24"/>
          <w:highlight w:val="none"/>
          <w:lang w:val="en-US" w:eastAsia="zh-CN"/>
        </w:rPr>
        <w:t>3、具备履行合同所必需的设备和专业技术能力</w:t>
      </w:r>
    </w:p>
    <w:p>
      <w:pPr>
        <w:numPr>
          <w:ilvl w:val="0"/>
          <w:numId w:val="0"/>
        </w:numPr>
        <w:tabs>
          <w:tab w:val="left" w:pos="8280"/>
        </w:tabs>
        <w:spacing w:line="480" w:lineRule="exact"/>
        <w:ind w:left="0" w:leftChars="0" w:firstLine="0" w:firstLineChars="0"/>
        <w:jc w:val="center"/>
        <w:rPr>
          <w:rFonts w:hint="eastAsia" w:ascii="宋体" w:hAnsi="宋体" w:eastAsia="宋体" w:cs="宋体"/>
          <w:b/>
          <w:bCs/>
          <w:color w:val="auto"/>
          <w:kern w:val="0"/>
          <w:sz w:val="24"/>
          <w:highlight w:val="none"/>
          <w:lang w:val="en-US" w:eastAsia="zh-CN"/>
        </w:rPr>
      </w:pPr>
    </w:p>
    <w:p>
      <w:pPr>
        <w:numPr>
          <w:ilvl w:val="0"/>
          <w:numId w:val="0"/>
        </w:numPr>
        <w:tabs>
          <w:tab w:val="left" w:pos="8280"/>
        </w:tabs>
        <w:spacing w:line="480" w:lineRule="exact"/>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具备履行合同所必需的设备和专业技术能力声明函</w:t>
      </w:r>
    </w:p>
    <w:p>
      <w:pPr>
        <w:ind w:firstLine="480"/>
        <w:rPr>
          <w:rFonts w:ascii="宋体" w:hAnsi="宋体" w:cs="宋体"/>
          <w:color w:val="auto"/>
          <w:kern w:val="0"/>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(采购人名称)      </w:t>
      </w:r>
      <w:r>
        <w:rPr>
          <w:rFonts w:hint="eastAsia" w:ascii="宋体" w:hAnsi="宋体" w:cs="宋体"/>
          <w:color w:val="auto"/>
          <w:kern w:val="0"/>
          <w:sz w:val="24"/>
          <w:highlight w:val="none"/>
          <w:u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cs="宋体"/>
          <w:color w:val="auto"/>
          <w:kern w:val="0"/>
          <w:sz w:val="24"/>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80" w:firstLineChars="200"/>
        <w:textAlignment w:val="auto"/>
        <w:rPr>
          <w:rFonts w:ascii="宋体" w:hAnsi="宋体"/>
          <w:color w:val="auto"/>
          <w:sz w:val="24"/>
          <w:highlight w:val="none"/>
        </w:rPr>
      </w:pPr>
      <w:r>
        <w:rPr>
          <w:rFonts w:hint="eastAsia" w:ascii="宋体" w:hAnsi="宋体" w:cs="宋体"/>
          <w:color w:val="auto"/>
          <w:kern w:val="0"/>
          <w:sz w:val="24"/>
          <w:highlight w:val="none"/>
          <w:lang w:val="en-US" w:eastAsia="zh-CN"/>
        </w:rPr>
        <w:t>对于贵单位的</w:t>
      </w:r>
      <w:r>
        <w:rPr>
          <w:rFonts w:hint="eastAsia" w:ascii="宋体" w:hAnsi="宋体" w:cs="宋体"/>
          <w:color w:val="auto"/>
          <w:kern w:val="0"/>
          <w:sz w:val="24"/>
          <w:highlight w:val="none"/>
          <w:u w:val="single"/>
          <w:lang w:val="en-US" w:eastAsia="zh-CN"/>
        </w:rPr>
        <w:t xml:space="preserve">      （项目名称）      </w:t>
      </w:r>
      <w:r>
        <w:rPr>
          <w:rFonts w:hint="eastAsia" w:ascii="宋体" w:hAnsi="宋体" w:cs="宋体"/>
          <w:color w:val="auto"/>
          <w:kern w:val="0"/>
          <w:sz w:val="24"/>
          <w:highlight w:val="none"/>
          <w:lang w:val="en-US" w:eastAsia="zh-CN"/>
        </w:rPr>
        <w:t>采购项目，</w:t>
      </w:r>
      <w:r>
        <w:rPr>
          <w:rFonts w:hint="eastAsia" w:ascii="宋体" w:hAnsi="宋体" w:cs="宋体"/>
          <w:color w:val="auto"/>
          <w:kern w:val="0"/>
          <w:sz w:val="24"/>
          <w:highlight w:val="none"/>
        </w:rPr>
        <w:t>我公司承诺</w:t>
      </w:r>
      <w:r>
        <w:rPr>
          <w:rFonts w:ascii="宋体" w:hAnsi="宋体"/>
          <w:color w:val="auto"/>
          <w:sz w:val="24"/>
          <w:highlight w:val="none"/>
        </w:rPr>
        <w:t>具</w:t>
      </w:r>
      <w:r>
        <w:rPr>
          <w:rFonts w:hint="eastAsia" w:ascii="宋体" w:hAnsi="宋体"/>
          <w:color w:val="auto"/>
          <w:sz w:val="24"/>
          <w:highlight w:val="none"/>
        </w:rPr>
        <w:t>备</w:t>
      </w:r>
      <w:r>
        <w:rPr>
          <w:rFonts w:ascii="宋体" w:hAnsi="宋体"/>
          <w:color w:val="auto"/>
          <w:sz w:val="24"/>
          <w:highlight w:val="none"/>
        </w:rPr>
        <w:t>履行合同所必需的设备和专业技术能力</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如我单位中标，在项目实施工程中发现声明不实，我单位愿意放弃本次项目的中标资格，</w:t>
      </w:r>
      <w:r>
        <w:rPr>
          <w:rFonts w:hint="eastAsia" w:ascii="宋体" w:hAnsi="宋体"/>
          <w:color w:val="auto"/>
          <w:sz w:val="24"/>
          <w:highlight w:val="none"/>
          <w:lang w:val="en-US" w:eastAsia="zh-CN"/>
        </w:rPr>
        <w:t>并</w:t>
      </w:r>
      <w:r>
        <w:rPr>
          <w:rFonts w:hint="eastAsia" w:ascii="宋体" w:hAnsi="宋体"/>
          <w:color w:val="auto"/>
          <w:sz w:val="24"/>
          <w:highlight w:val="none"/>
        </w:rPr>
        <w:t>按照《</w:t>
      </w:r>
      <w:r>
        <w:rPr>
          <w:rFonts w:hint="eastAsia" w:ascii="宋体" w:hAnsi="宋体" w:eastAsia="宋体"/>
          <w:color w:val="auto"/>
          <w:sz w:val="24"/>
          <w:highlight w:val="none"/>
          <w:lang w:val="en-US" w:eastAsia="zh-CN"/>
        </w:rPr>
        <w:t>中华人民共和国</w:t>
      </w:r>
      <w:r>
        <w:rPr>
          <w:rFonts w:hint="eastAsia" w:ascii="宋体" w:hAnsi="宋体"/>
          <w:color w:val="auto"/>
          <w:sz w:val="24"/>
          <w:highlight w:val="none"/>
        </w:rPr>
        <w:t>政府采购法》有关提供虚假材料的规定，接受处罚。</w:t>
      </w: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80" w:firstLineChars="200"/>
        <w:textAlignment w:val="auto"/>
        <w:rPr>
          <w:rFonts w:hint="eastAsia" w:ascii="宋体" w:hAnsi="宋体" w:eastAsia="宋体;SimSun"/>
          <w:color w:val="auto"/>
          <w:sz w:val="24"/>
          <w:highlight w:val="none"/>
          <w:lang w:eastAsia="zh-CN"/>
        </w:rPr>
      </w:pPr>
      <w:r>
        <w:rPr>
          <w:rFonts w:hint="eastAsia" w:ascii="宋体" w:hAnsi="宋体"/>
          <w:color w:val="auto"/>
          <w:sz w:val="24"/>
          <w:highlight w:val="none"/>
        </w:rPr>
        <w:t>特此声明</w:t>
      </w:r>
      <w:r>
        <w:rPr>
          <w:rFonts w:hint="eastAsia" w:ascii="宋体" w:hAnsi="宋体"/>
          <w:color w:val="auto"/>
          <w:sz w:val="24"/>
          <w:highlight w:val="none"/>
          <w:lang w:eastAsia="zh-CN"/>
        </w:rPr>
        <w:t>！</w:t>
      </w:r>
    </w:p>
    <w:p>
      <w:pPr>
        <w:ind w:firstLine="480"/>
        <w:rPr>
          <w:rFonts w:ascii="宋体" w:hAnsi="宋体"/>
          <w:b/>
          <w:color w:val="auto"/>
          <w:sz w:val="24"/>
          <w:highlight w:val="none"/>
        </w:rPr>
      </w:pPr>
    </w:p>
    <w:p>
      <w:pPr>
        <w:ind w:firstLine="480"/>
        <w:rPr>
          <w:rFonts w:ascii="宋体" w:hAnsi="宋体"/>
          <w:b/>
          <w:color w:val="auto"/>
          <w:sz w:val="24"/>
          <w:highlight w:val="none"/>
        </w:rPr>
      </w:pP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val="en-US" w:eastAsia="zh-CN"/>
        </w:rPr>
        <w:t>供应商</w:t>
      </w:r>
      <w:r>
        <w:rPr>
          <w:rFonts w:hint="eastAsia" w:ascii="宋体" w:hAnsi="宋体"/>
          <w:color w:val="auto"/>
          <w:sz w:val="24"/>
          <w:highlight w:val="none"/>
        </w:rPr>
        <w:t>：（</w:t>
      </w:r>
      <w:r>
        <w:rPr>
          <w:rFonts w:hint="eastAsia" w:ascii="宋体" w:hAnsi="宋体"/>
          <w:color w:val="auto"/>
          <w:sz w:val="24"/>
          <w:highlight w:val="none"/>
          <w:lang w:val="en-US" w:eastAsia="zh-CN"/>
        </w:rPr>
        <w:t>电子公章</w:t>
      </w:r>
      <w:r>
        <w:rPr>
          <w:rFonts w:hint="eastAsia"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eastAsia="zh-CN"/>
        </w:rPr>
        <w:t>法定代表人</w:t>
      </w:r>
      <w:r>
        <w:rPr>
          <w:rFonts w:hint="eastAsia" w:ascii="宋体" w:hAnsi="宋体"/>
          <w:color w:val="auto"/>
          <w:sz w:val="24"/>
          <w:highlight w:val="none"/>
          <w:lang w:val="en-US" w:eastAsia="zh-CN"/>
        </w:rPr>
        <w:t>或负责人</w:t>
      </w:r>
      <w:r>
        <w:rPr>
          <w:rFonts w:ascii="宋体" w:hAnsi="宋体"/>
          <w:color w:val="auto"/>
          <w:sz w:val="24"/>
          <w:highlight w:val="none"/>
        </w:rPr>
        <w:t>或其委托代理人：（</w:t>
      </w:r>
      <w:r>
        <w:rPr>
          <w:rFonts w:hint="eastAsia" w:ascii="宋体" w:hAnsi="宋体"/>
          <w:color w:val="auto"/>
          <w:sz w:val="24"/>
          <w:highlight w:val="none"/>
        </w:rPr>
        <w:t>签章</w:t>
      </w:r>
      <w:r>
        <w:rPr>
          <w:rFonts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lang w:val="en-US" w:eastAsia="zh-CN"/>
        </w:rPr>
        <w:t xml:space="preserve">  </w:t>
      </w:r>
      <w:r>
        <w:rPr>
          <w:rFonts w:ascii="宋体" w:hAnsi="宋体"/>
          <w:color w:val="auto"/>
          <w:sz w:val="24"/>
          <w:highlight w:val="none"/>
        </w:rPr>
        <w:t>期：</w:t>
      </w:r>
    </w:p>
    <w:p>
      <w:pPr>
        <w:rPr>
          <w:rFonts w:hint="default" w:ascii="宋体" w:hAnsi="宋体" w:eastAsia="宋体" w:cs="宋体"/>
          <w:color w:val="auto"/>
          <w:kern w:val="0"/>
          <w:sz w:val="24"/>
          <w:szCs w:val="24"/>
          <w:highlight w:val="none"/>
          <w:lang w:val="en-US" w:eastAsia="zh-CN"/>
        </w:rPr>
      </w:pPr>
      <w:r>
        <w:rPr>
          <w:rFonts w:ascii="宋体" w:hAnsi="宋体"/>
          <w:color w:val="auto"/>
          <w:sz w:val="24"/>
          <w:highlight w:val="none"/>
        </w:rPr>
        <w:br w:type="page"/>
      </w:r>
      <w:r>
        <w:rPr>
          <w:rFonts w:hint="eastAsia" w:ascii="宋体" w:hAnsi="宋体" w:eastAsia="宋体" w:cs="宋体"/>
          <w:color w:val="auto"/>
          <w:kern w:val="0"/>
          <w:sz w:val="24"/>
          <w:szCs w:val="24"/>
          <w:highlight w:val="none"/>
          <w:lang w:val="en-US" w:eastAsia="zh-CN"/>
        </w:rPr>
        <w:t>4、具有依法缴纳税收和社会保障资金的良好记录</w:t>
      </w:r>
      <w:r>
        <w:rPr>
          <w:rFonts w:hint="eastAsia" w:ascii="宋体" w:hAnsi="宋体" w:eastAsia="宋体" w:cs="宋体"/>
          <w:snapToGrid w:val="0"/>
          <w:color w:val="auto"/>
          <w:spacing w:val="-11"/>
          <w:kern w:val="0"/>
          <w:sz w:val="24"/>
          <w:szCs w:val="24"/>
          <w:highlight w:val="none"/>
          <w:lang w:val="en-US" w:eastAsia="zh-CN"/>
        </w:rPr>
        <w:t>（须加盖电子公章）</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（1）须提供的近三个月内任意一月依法缴纳税收证明，当月新成立公司无需提供；无需纳税或免税的也需提供相应证明材料。</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（2）须提供社保机构出具的近三个月内任意一月社保缴纳证明，当月新成立公司无需提供。</w:t>
      </w:r>
    </w:p>
    <w:p>
      <w:pPr>
        <w:tabs>
          <w:tab w:val="left" w:pos="993"/>
          <w:tab w:val="left" w:pos="1030"/>
          <w:tab w:val="left" w:pos="8364"/>
        </w:tabs>
        <w:snapToGrid w:val="0"/>
        <w:spacing w:after="120" w:afterLines="50"/>
        <w:ind w:left="420" w:right="-57" w:rightChars="-27" w:firstLine="480" w:firstLineChars="200"/>
        <w:jc w:val="left"/>
        <w:rPr>
          <w:rFonts w:ascii="宋体" w:hAnsi="宋体"/>
          <w:color w:val="auto"/>
          <w:sz w:val="24"/>
          <w:highlight w:val="none"/>
        </w:rPr>
      </w:pPr>
    </w:p>
    <w:p>
      <w:pPr>
        <w:tabs>
          <w:tab w:val="left" w:pos="993"/>
          <w:tab w:val="left" w:pos="1030"/>
          <w:tab w:val="left" w:pos="8364"/>
        </w:tabs>
        <w:snapToGrid w:val="0"/>
        <w:spacing w:after="120" w:afterLines="50"/>
        <w:ind w:left="420" w:right="-57" w:rightChars="-27" w:firstLine="480" w:firstLineChars="200"/>
        <w:jc w:val="left"/>
        <w:rPr>
          <w:rFonts w:ascii="宋体" w:hAnsi="宋体"/>
          <w:color w:val="auto"/>
          <w:sz w:val="24"/>
          <w:highlight w:val="none"/>
        </w:rPr>
      </w:pPr>
    </w:p>
    <w:p>
      <w:pPr>
        <w:rPr>
          <w:rFonts w:hint="eastAsia" w:ascii="宋体" w:hAnsi="宋体" w:eastAsia="宋体" w:cs="宋体"/>
          <w:color w:val="auto"/>
          <w:kern w:val="0"/>
          <w:sz w:val="24"/>
          <w:szCs w:val="24"/>
          <w:highlight w:val="none"/>
          <w:lang w:val="en-US" w:eastAsia="zh-CN"/>
        </w:rPr>
      </w:pPr>
      <w:bookmarkStart w:id="155" w:name="_Toc22356"/>
      <w:bookmarkStart w:id="156" w:name="_Toc2794"/>
      <w:bookmarkStart w:id="157" w:name="_Toc29373"/>
      <w:bookmarkStart w:id="158" w:name="_Toc16271"/>
      <w:r>
        <w:rPr>
          <w:rFonts w:hint="eastAsia" w:ascii="宋体" w:hAnsi="宋体" w:eastAsia="宋体" w:cs="宋体"/>
          <w:color w:val="auto"/>
          <w:kern w:val="0"/>
          <w:sz w:val="24"/>
          <w:szCs w:val="24"/>
          <w:highlight w:val="none"/>
          <w:lang w:val="en-US" w:eastAsia="zh-CN"/>
        </w:rPr>
        <w:br w:type="page"/>
      </w:r>
      <w:bookmarkEnd w:id="155"/>
      <w:bookmarkEnd w:id="156"/>
      <w:bookmarkEnd w:id="157"/>
      <w:bookmarkEnd w:id="158"/>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sz w:val="24"/>
          <w:highlight w:val="none"/>
        </w:rPr>
        <w:t>参加政府采购活动近三年内在经营活动中没有重大违法记录的书面声明</w:t>
      </w:r>
    </w:p>
    <w:p>
      <w:pPr>
        <w:shd w:val="clear" w:color="auto" w:fill="FFFFFF"/>
        <w:spacing w:line="480" w:lineRule="exact"/>
        <w:ind w:firstLine="420" w:firstLineChars="200"/>
        <w:jc w:val="left"/>
        <w:rPr>
          <w:rFonts w:ascii="宋体" w:hAnsi="宋体" w:eastAsia="宋体" w:cs="宋体"/>
          <w:color w:val="auto"/>
          <w:highlight w:val="none"/>
        </w:rPr>
      </w:pPr>
    </w:p>
    <w:p>
      <w:pPr>
        <w:jc w:val="center"/>
        <w:rPr>
          <w:rFonts w:hint="eastAsia" w:ascii="宋体" w:hAnsi="宋体" w:eastAsia="宋体" w:cs="宋体"/>
          <w:b/>
          <w:bCs/>
          <w:color w:val="auto"/>
          <w:sz w:val="28"/>
          <w:szCs w:val="28"/>
          <w:highlight w:val="none"/>
        </w:rPr>
      </w:pPr>
      <w:bookmarkStart w:id="159" w:name="_Toc12673"/>
      <w:r>
        <w:rPr>
          <w:rFonts w:hint="eastAsia" w:ascii="宋体" w:hAnsi="宋体" w:eastAsia="宋体" w:cs="宋体"/>
          <w:b/>
          <w:bCs/>
          <w:color w:val="auto"/>
          <w:sz w:val="28"/>
          <w:szCs w:val="28"/>
          <w:highlight w:val="none"/>
        </w:rPr>
        <w:t>近三年内在经营活动中没有重大违法记录的书面声明</w:t>
      </w:r>
      <w:bookmarkEnd w:id="159"/>
    </w:p>
    <w:p>
      <w:pPr>
        <w:pStyle w:val="47"/>
        <w:spacing w:line="480" w:lineRule="exact"/>
        <w:jc w:val="center"/>
        <w:rPr>
          <w:rFonts w:ascii="宋体" w:hAnsi="宋体" w:cs="宋体"/>
          <w:color w:val="auto"/>
          <w:sz w:val="24"/>
          <w:szCs w:val="24"/>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textAlignment w:val="auto"/>
        <w:rPr>
          <w:rFonts w:hint="eastAsia" w:ascii="宋体" w:hAnsi="宋体" w:eastAsia="宋体;SimSun"/>
          <w:color w:val="auto"/>
          <w:sz w:val="24"/>
          <w:highlight w:val="none"/>
          <w:lang w:eastAsia="zh-CN"/>
        </w:rPr>
      </w:pPr>
      <w:r>
        <w:rPr>
          <w:rFonts w:hint="eastAsia" w:ascii="宋体" w:hAnsi="宋体"/>
          <w:color w:val="auto"/>
          <w:sz w:val="24"/>
          <w:highlight w:val="none"/>
          <w:u w:val="single"/>
        </w:rPr>
        <w:t xml:space="preserve">   （采购人）  </w:t>
      </w:r>
      <w:r>
        <w:rPr>
          <w:rFonts w:hint="eastAsia" w:ascii="宋体" w:hAnsi="宋体"/>
          <w:color w:val="auto"/>
          <w:sz w:val="24"/>
          <w:highlight w:val="none"/>
          <w:u w:val="none"/>
          <w:lang w:eastAsia="zh-CN"/>
        </w:rPr>
        <w:t>：</w:t>
      </w:r>
    </w:p>
    <w:p>
      <w:pPr>
        <w:tabs>
          <w:tab w:val="left" w:pos="5580"/>
        </w:tabs>
        <w:spacing w:line="48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pPr>
        <w:tabs>
          <w:tab w:val="left" w:pos="5580"/>
        </w:tabs>
        <w:spacing w:line="480" w:lineRule="exact"/>
        <w:ind w:firstLine="480" w:firstLineChars="200"/>
        <w:rPr>
          <w:rFonts w:hint="eastAsia" w:ascii="宋体" w:hAnsi="宋体" w:eastAsia="宋体" w:cs="宋体"/>
          <w:color w:val="auto"/>
          <w:sz w:val="24"/>
          <w:highlight w:val="none"/>
        </w:rPr>
      </w:pPr>
      <w:r>
        <w:rPr>
          <w:rFonts w:hint="eastAsia" w:ascii="宋体" w:hAnsi="宋体"/>
          <w:color w:val="auto"/>
          <w:sz w:val="24"/>
          <w:highlight w:val="none"/>
        </w:rPr>
        <w:t>如发现我单位提供的声明函不实时，</w:t>
      </w:r>
      <w:r>
        <w:rPr>
          <w:rFonts w:hint="eastAsia" w:ascii="宋体" w:hAnsi="宋体" w:eastAsia="宋体" w:cs="宋体"/>
          <w:color w:val="auto"/>
          <w:sz w:val="24"/>
          <w:highlight w:val="none"/>
        </w:rPr>
        <w:t>我公司愿意承担一切法律责任并认可采购人或采购代理机构作出的取消</w:t>
      </w:r>
      <w:r>
        <w:rPr>
          <w:rFonts w:hint="eastAsia" w:ascii="宋体" w:hAnsi="宋体" w:cs="宋体"/>
          <w:color w:val="auto"/>
          <w:kern w:val="0"/>
          <w:sz w:val="24"/>
          <w:highlight w:val="none"/>
          <w:lang w:val="en-US" w:eastAsia="zh-CN"/>
        </w:rPr>
        <w:t>中标</w:t>
      </w:r>
      <w:r>
        <w:rPr>
          <w:rFonts w:hint="eastAsia" w:ascii="宋体" w:hAnsi="宋体" w:eastAsia="宋体" w:cs="宋体"/>
          <w:color w:val="auto"/>
          <w:sz w:val="24"/>
          <w:highlight w:val="none"/>
        </w:rPr>
        <w:t>资格、罚没保证金等决定。</w:t>
      </w:r>
    </w:p>
    <w:p>
      <w:pPr>
        <w:tabs>
          <w:tab w:val="left" w:pos="558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特此声明！</w:t>
      </w:r>
    </w:p>
    <w:p>
      <w:pPr>
        <w:tabs>
          <w:tab w:val="left" w:pos="5580"/>
        </w:tabs>
        <w:spacing w:before="120" w:line="360" w:lineRule="auto"/>
        <w:ind w:firstLine="480" w:firstLineChars="200"/>
        <w:rPr>
          <w:rFonts w:ascii="宋体" w:hAnsi="宋体"/>
          <w:color w:val="auto"/>
          <w:sz w:val="24"/>
          <w:highlight w:val="none"/>
        </w:rPr>
      </w:pP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val="en-US" w:eastAsia="zh-CN"/>
        </w:rPr>
        <w:t>供应商</w:t>
      </w:r>
      <w:r>
        <w:rPr>
          <w:rFonts w:hint="eastAsia" w:ascii="宋体" w:hAnsi="宋体"/>
          <w:color w:val="auto"/>
          <w:sz w:val="24"/>
          <w:highlight w:val="none"/>
        </w:rPr>
        <w:t>：（</w:t>
      </w:r>
      <w:r>
        <w:rPr>
          <w:rFonts w:hint="eastAsia" w:ascii="宋体" w:hAnsi="宋体"/>
          <w:color w:val="auto"/>
          <w:sz w:val="24"/>
          <w:highlight w:val="none"/>
          <w:lang w:val="en-US" w:eastAsia="zh-CN"/>
        </w:rPr>
        <w:t>电子公章</w:t>
      </w:r>
      <w:r>
        <w:rPr>
          <w:rFonts w:hint="eastAsia"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eastAsia="zh-CN"/>
        </w:rPr>
        <w:t>法定代表人</w:t>
      </w:r>
      <w:r>
        <w:rPr>
          <w:rFonts w:hint="eastAsia" w:ascii="宋体" w:hAnsi="宋体"/>
          <w:color w:val="auto"/>
          <w:sz w:val="24"/>
          <w:highlight w:val="none"/>
          <w:lang w:val="en-US" w:eastAsia="zh-CN"/>
        </w:rPr>
        <w:t>或负责人</w:t>
      </w:r>
      <w:r>
        <w:rPr>
          <w:rFonts w:ascii="宋体" w:hAnsi="宋体"/>
          <w:color w:val="auto"/>
          <w:sz w:val="24"/>
          <w:highlight w:val="none"/>
        </w:rPr>
        <w:t>或其委托代理人：（</w:t>
      </w:r>
      <w:r>
        <w:rPr>
          <w:rFonts w:hint="eastAsia" w:ascii="宋体" w:hAnsi="宋体"/>
          <w:color w:val="auto"/>
          <w:sz w:val="24"/>
          <w:highlight w:val="none"/>
        </w:rPr>
        <w:t>签章</w:t>
      </w:r>
      <w:r>
        <w:rPr>
          <w:rFonts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lang w:val="en-US" w:eastAsia="zh-CN"/>
        </w:rPr>
        <w:t xml:space="preserve">  </w:t>
      </w:r>
      <w:r>
        <w:rPr>
          <w:rFonts w:ascii="宋体" w:hAnsi="宋体"/>
          <w:color w:val="auto"/>
          <w:sz w:val="24"/>
          <w:highlight w:val="none"/>
        </w:rPr>
        <w:t>期：</w:t>
      </w:r>
    </w:p>
    <w:p>
      <w:pPr>
        <w:spacing w:line="480" w:lineRule="exact"/>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）供应商医疗器械经营许可证</w:t>
      </w:r>
    </w:p>
    <w:p>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w:t>
      </w:r>
      <w:r>
        <w:rPr>
          <w:rFonts w:hint="eastAsia" w:ascii="宋体" w:hAnsi="宋体" w:eastAsia="宋体" w:cs="宋体"/>
          <w:color w:val="auto"/>
          <w:sz w:val="24"/>
          <w:highlight w:val="none"/>
        </w:rPr>
        <w:t>供应商加盖企业公章的医疗器械经营许可证</w:t>
      </w:r>
      <w:r>
        <w:rPr>
          <w:rFonts w:hint="eastAsia" w:ascii="宋体" w:hAnsi="宋体" w:eastAsia="宋体" w:cs="宋体"/>
          <w:color w:val="auto"/>
          <w:sz w:val="24"/>
          <w:highlight w:val="none"/>
          <w:lang w:val="en-US" w:eastAsia="zh-CN"/>
        </w:rPr>
        <w:t>复印件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若供应商为货物制造商须提供制造商的医疗器械生产许可证（复印件）</w:t>
      </w:r>
      <w:r>
        <w:rPr>
          <w:rFonts w:hint="eastAsia" w:ascii="宋体" w:hAnsi="宋体" w:eastAsia="宋体" w:cs="宋体"/>
          <w:color w:val="auto"/>
          <w:sz w:val="24"/>
          <w:highlight w:val="none"/>
          <w:lang w:eastAsia="zh-CN"/>
        </w:rPr>
        <w:t>。</w:t>
      </w:r>
    </w:p>
    <w:p>
      <w:pPr>
        <w:tabs>
          <w:tab w:val="left" w:pos="8280"/>
        </w:tabs>
        <w:spacing w:line="480" w:lineRule="exact"/>
        <w:rPr>
          <w:rFonts w:hint="eastAsia" w:ascii="宋体" w:hAnsi="宋体" w:eastAsia="宋体" w:cs="宋体"/>
          <w:color w:val="auto"/>
          <w:kern w:val="0"/>
          <w:sz w:val="24"/>
          <w:highlight w:val="none"/>
        </w:rPr>
      </w:pPr>
    </w:p>
    <w:p>
      <w:pPr>
        <w:tabs>
          <w:tab w:val="left" w:pos="8280"/>
        </w:tabs>
        <w:spacing w:line="48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法定代表人（</w:t>
      </w:r>
      <w:r>
        <w:rPr>
          <w:rFonts w:hint="eastAsia" w:ascii="宋体" w:hAnsi="宋体" w:eastAsia="宋体" w:cs="宋体"/>
          <w:color w:val="auto"/>
          <w:kern w:val="0"/>
          <w:sz w:val="24"/>
          <w:highlight w:val="none"/>
          <w:lang w:val="en-US" w:eastAsia="zh-CN"/>
        </w:rPr>
        <w:t>或</w:t>
      </w:r>
      <w:r>
        <w:rPr>
          <w:rFonts w:hint="eastAsia" w:ascii="宋体" w:hAnsi="宋体" w:eastAsia="宋体" w:cs="宋体"/>
          <w:color w:val="auto"/>
          <w:kern w:val="0"/>
          <w:sz w:val="24"/>
          <w:highlight w:val="none"/>
          <w:lang w:eastAsia="zh-CN"/>
        </w:rPr>
        <w:t>负责人）</w:t>
      </w:r>
      <w:r>
        <w:rPr>
          <w:rFonts w:hint="eastAsia" w:ascii="宋体" w:hAnsi="宋体" w:eastAsia="宋体" w:cs="宋体"/>
          <w:color w:val="auto"/>
          <w:kern w:val="0"/>
          <w:sz w:val="24"/>
          <w:highlight w:val="none"/>
        </w:rPr>
        <w:t>身份证明及授权委托书</w:t>
      </w:r>
    </w:p>
    <w:p>
      <w:pPr>
        <w:shd w:val="clear" w:color="auto" w:fill="FFFFFF"/>
        <w:spacing w:line="480" w:lineRule="exact"/>
        <w:jc w:val="left"/>
        <w:rPr>
          <w:rFonts w:hint="eastAsia" w:ascii="宋体" w:hAnsi="宋体" w:eastAsia="宋体" w:cs="宋体"/>
          <w:bCs/>
          <w:color w:val="auto"/>
          <w:sz w:val="24"/>
          <w:highlight w:val="none"/>
        </w:rPr>
      </w:pPr>
    </w:p>
    <w:p>
      <w:pPr>
        <w:shd w:val="clear" w:color="auto" w:fill="FFFFFF"/>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sz w:val="28"/>
          <w:szCs w:val="28"/>
          <w:highlight w:val="none"/>
          <w:lang w:eastAsia="zh-CN"/>
        </w:rPr>
        <w:t>法定代表人（</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lang w:eastAsia="zh-CN"/>
        </w:rPr>
        <w:t>负责人）</w:t>
      </w:r>
      <w:r>
        <w:rPr>
          <w:rFonts w:hint="eastAsia" w:ascii="宋体" w:hAnsi="宋体" w:eastAsia="宋体" w:cs="宋体"/>
          <w:b/>
          <w:bCs/>
          <w:color w:val="auto"/>
          <w:sz w:val="28"/>
          <w:szCs w:val="28"/>
          <w:highlight w:val="none"/>
        </w:rPr>
        <w:t>资格证明书</w:t>
      </w:r>
    </w:p>
    <w:p>
      <w:pPr>
        <w:shd w:val="clear" w:color="auto" w:fill="FFFFFF"/>
        <w:spacing w:line="480" w:lineRule="exact"/>
        <w:rPr>
          <w:rFonts w:hint="eastAsia" w:ascii="宋体" w:hAnsi="宋体" w:eastAsia="宋体" w:cs="宋体"/>
          <w:color w:val="auto"/>
          <w:sz w:val="24"/>
          <w:highlight w:val="none"/>
        </w:rPr>
      </w:pP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所属行业：</w:t>
      </w:r>
    </w:p>
    <w:p>
      <w:pPr>
        <w:shd w:val="clear" w:color="auto" w:fill="FFFFFF"/>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营业期限：</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成立时间：</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经营范围：</w:t>
      </w:r>
    </w:p>
    <w:p>
      <w:pPr>
        <w:shd w:val="clear" w:color="auto" w:fill="FFFFFF"/>
        <w:spacing w:line="440" w:lineRule="exact"/>
        <w:rPr>
          <w:rFonts w:hint="eastAsia" w:ascii="宋体" w:hAnsi="宋体" w:eastAsia="宋体" w:cs="宋体"/>
          <w:color w:val="auto"/>
          <w:sz w:val="24"/>
          <w:highlight w:val="none"/>
        </w:rPr>
      </w:pPr>
    </w:p>
    <w:p>
      <w:pPr>
        <w:shd w:val="clear" w:color="auto" w:fill="FFFFFF"/>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姓名：    性别：   年龄：     职务：</w:t>
      </w:r>
    </w:p>
    <w:p>
      <w:pPr>
        <w:shd w:val="clear" w:color="auto" w:fill="FFFFFF"/>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w:t>
      </w:r>
    </w:p>
    <w:p>
      <w:pPr>
        <w:shd w:val="clear" w:color="auto" w:fill="FFFFFF"/>
        <w:spacing w:line="44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pict>
          <v:shape id="文本框 4" o:spid="_x0000_s1033" o:spt="202" type="#_x0000_t202" style="position:absolute;left:0pt;margin-left:-1.5pt;margin-top:12.8pt;height:149.25pt;width:234pt;z-index:251663360;mso-width-relative:page;mso-height-relative:page;" coordsize="21600,21600">
            <v:path/>
            <v:fill focussize="0,0"/>
            <v:stroke miterlimit="2"/>
            <v:imagedata o:title=""/>
            <o:lock v:ext="edit"/>
            <v:textbox>
              <w:txbxContent>
                <w:p/>
                <w:p/>
                <w:p>
                  <w:pPr>
                    <w:jc w:val="center"/>
                    <w:rPr>
                      <w:rFonts w:hint="eastAsia" w:ascii="宋体" w:hAnsi="宋体"/>
                      <w:sz w:val="32"/>
                      <w:szCs w:val="32"/>
                      <w:lang w:eastAsia="zh-CN"/>
                    </w:rPr>
                  </w:pPr>
                  <w:r>
                    <w:rPr>
                      <w:rFonts w:hint="eastAsia" w:ascii="宋体" w:hAnsi="宋体"/>
                      <w:sz w:val="32"/>
                      <w:szCs w:val="32"/>
                    </w:rPr>
                    <w:t>法定代表人</w:t>
                  </w:r>
                  <w:r>
                    <w:rPr>
                      <w:rFonts w:hint="eastAsia" w:ascii="宋体" w:hAnsi="宋体"/>
                      <w:sz w:val="32"/>
                      <w:szCs w:val="32"/>
                      <w:lang w:eastAsia="zh-CN"/>
                    </w:rPr>
                    <w:t>（</w:t>
                  </w:r>
                  <w:r>
                    <w:rPr>
                      <w:rFonts w:hint="eastAsia" w:ascii="宋体" w:hAnsi="宋体"/>
                      <w:sz w:val="32"/>
                      <w:szCs w:val="32"/>
                      <w:lang w:val="en-US" w:eastAsia="zh-CN"/>
                    </w:rPr>
                    <w:t>或</w:t>
                  </w:r>
                  <w:r>
                    <w:rPr>
                      <w:rFonts w:hint="eastAsia" w:ascii="宋体" w:hAnsi="宋体"/>
                      <w:sz w:val="32"/>
                      <w:szCs w:val="32"/>
                      <w:lang w:eastAsia="zh-CN"/>
                    </w:rPr>
                    <w:t>负责人）</w:t>
                  </w:r>
                </w:p>
                <w:p>
                  <w:pPr>
                    <w:jc w:val="center"/>
                    <w:rPr>
                      <w:rFonts w:ascii="宋体" w:hAnsi="宋体"/>
                      <w:sz w:val="32"/>
                      <w:szCs w:val="32"/>
                    </w:rPr>
                  </w:pPr>
                  <w:r>
                    <w:rPr>
                      <w:rFonts w:hint="eastAsia" w:ascii="宋体" w:hAnsi="宋体"/>
                      <w:sz w:val="32"/>
                      <w:szCs w:val="32"/>
                    </w:rPr>
                    <w:t>身份证复印件</w:t>
                  </w:r>
                </w:p>
                <w:p>
                  <w:pPr>
                    <w:jc w:val="center"/>
                    <w:rPr>
                      <w:rFonts w:ascii="宋体" w:hAnsi="宋体"/>
                      <w:sz w:val="32"/>
                      <w:szCs w:val="32"/>
                    </w:rPr>
                  </w:pPr>
                  <w:r>
                    <w:rPr>
                      <w:rFonts w:hint="eastAsia" w:ascii="宋体" w:hAnsi="宋体"/>
                      <w:sz w:val="32"/>
                      <w:szCs w:val="32"/>
                    </w:rPr>
                    <w:t>（正面）</w:t>
                  </w:r>
                </w:p>
                <w:p/>
                <w:p/>
                <w:p/>
                <w:p/>
                <w:p/>
                <w:p/>
                <w:p>
                  <w:pPr>
                    <w:rPr>
                      <w:sz w:val="32"/>
                      <w:szCs w:val="32"/>
                    </w:rPr>
                  </w:pPr>
                </w:p>
              </w:txbxContent>
            </v:textbox>
          </v:shape>
        </w:pict>
      </w:r>
      <w:r>
        <w:rPr>
          <w:rFonts w:hint="eastAsia" w:ascii="宋体" w:hAnsi="宋体" w:eastAsia="宋体" w:cs="宋体"/>
          <w:color w:val="auto"/>
          <w:highlight w:val="none"/>
        </w:rPr>
        <w:pict>
          <v:shape id="文本框 3" o:spid="_x0000_s1034" o:spt="202" type="#_x0000_t202" style="position:absolute;left:0pt;margin-left:249pt;margin-top:12.8pt;height:149.25pt;width:234pt;z-index:251664384;mso-width-relative:page;mso-height-relative:page;" coordsize="21600,21600">
            <v:path/>
            <v:fill focussize="0,0"/>
            <v:stroke miterlimit="2"/>
            <v:imagedata o:title=""/>
            <o:lock v:ext="edit"/>
            <v:textbox>
              <w:txbxContent>
                <w:p/>
                <w:p/>
                <w:p>
                  <w:pPr>
                    <w:jc w:val="center"/>
                    <w:rPr>
                      <w:rFonts w:hint="eastAsia" w:ascii="宋体" w:hAnsi="宋体"/>
                      <w:sz w:val="32"/>
                      <w:szCs w:val="32"/>
                      <w:lang w:eastAsia="zh-CN"/>
                    </w:rPr>
                  </w:pPr>
                  <w:r>
                    <w:rPr>
                      <w:rFonts w:hint="eastAsia" w:ascii="宋体" w:hAnsi="宋体"/>
                      <w:sz w:val="32"/>
                      <w:szCs w:val="32"/>
                    </w:rPr>
                    <w:t>法定代表人</w:t>
                  </w:r>
                  <w:r>
                    <w:rPr>
                      <w:rFonts w:hint="eastAsia" w:ascii="宋体" w:hAnsi="宋体"/>
                      <w:sz w:val="32"/>
                      <w:szCs w:val="32"/>
                      <w:lang w:eastAsia="zh-CN"/>
                    </w:rPr>
                    <w:t>（</w:t>
                  </w:r>
                  <w:r>
                    <w:rPr>
                      <w:rFonts w:hint="eastAsia" w:ascii="宋体" w:hAnsi="宋体"/>
                      <w:sz w:val="32"/>
                      <w:szCs w:val="32"/>
                      <w:lang w:val="en-US" w:eastAsia="zh-CN"/>
                    </w:rPr>
                    <w:t>或</w:t>
                  </w:r>
                  <w:r>
                    <w:rPr>
                      <w:rFonts w:hint="eastAsia" w:ascii="宋体" w:hAnsi="宋体"/>
                      <w:sz w:val="32"/>
                      <w:szCs w:val="32"/>
                      <w:lang w:eastAsia="zh-CN"/>
                    </w:rPr>
                    <w:t>负责人）</w:t>
                  </w:r>
                </w:p>
                <w:p>
                  <w:pPr>
                    <w:jc w:val="center"/>
                    <w:rPr>
                      <w:rFonts w:ascii="宋体" w:hAnsi="宋体"/>
                      <w:sz w:val="32"/>
                      <w:szCs w:val="32"/>
                    </w:rPr>
                  </w:pPr>
                  <w:r>
                    <w:rPr>
                      <w:rFonts w:hint="eastAsia" w:ascii="宋体" w:hAnsi="宋体"/>
                      <w:sz w:val="32"/>
                      <w:szCs w:val="32"/>
                    </w:rPr>
                    <w:t>身份证复印件</w:t>
                  </w:r>
                </w:p>
                <w:p>
                  <w:pPr>
                    <w:jc w:val="center"/>
                    <w:rPr>
                      <w:rFonts w:ascii="宋体" w:hAnsi="宋体"/>
                      <w:sz w:val="32"/>
                      <w:szCs w:val="32"/>
                    </w:rPr>
                  </w:pPr>
                  <w:r>
                    <w:rPr>
                      <w:rFonts w:hint="eastAsia" w:ascii="宋体" w:hAnsi="宋体"/>
                      <w:sz w:val="32"/>
                      <w:szCs w:val="32"/>
                    </w:rPr>
                    <w:t>（反面）</w:t>
                  </w:r>
                </w:p>
                <w:p/>
                <w:p/>
                <w:p/>
                <w:p/>
                <w:p/>
                <w:p/>
                <w:p>
                  <w:pPr>
                    <w:rPr>
                      <w:sz w:val="32"/>
                      <w:szCs w:val="32"/>
                    </w:rPr>
                  </w:pPr>
                </w:p>
              </w:txbxContent>
            </v:textbox>
          </v:shape>
        </w:pict>
      </w: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hd w:val="clear" w:color="auto" w:fill="FFFFFF"/>
        <w:spacing w:line="480" w:lineRule="exact"/>
        <w:rPr>
          <w:rFonts w:hint="eastAsia" w:ascii="宋体" w:hAnsi="宋体" w:eastAsia="宋体" w:cs="宋体"/>
          <w:color w:val="auto"/>
          <w:sz w:val="24"/>
          <w:highlight w:val="none"/>
        </w:rPr>
      </w:pPr>
    </w:p>
    <w:p>
      <w:pPr>
        <w:widowControl/>
        <w:spacing w:line="48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8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签章</w:t>
      </w:r>
      <w:r>
        <w:rPr>
          <w:rFonts w:hint="eastAsia" w:ascii="宋体" w:hAnsi="宋体" w:eastAsia="宋体" w:cs="宋体"/>
          <w:color w:val="auto"/>
          <w:sz w:val="24"/>
          <w:highlight w:val="none"/>
        </w:rPr>
        <w:t>）：</w:t>
      </w:r>
    </w:p>
    <w:p>
      <w:pPr>
        <w:widowControl/>
        <w:spacing w:line="480" w:lineRule="exact"/>
        <w:ind w:firstLine="480" w:firstLineChars="200"/>
        <w:jc w:val="left"/>
        <w:rPr>
          <w:rFonts w:hint="eastAsia" w:ascii="宋体" w:hAnsi="宋体" w:eastAsia="宋体" w:cs="宋体"/>
          <w:color w:val="auto"/>
          <w:sz w:val="24"/>
          <w:highlight w:val="none"/>
        </w:rPr>
      </w:pPr>
    </w:p>
    <w:p>
      <w:pPr>
        <w:widowControl/>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tabs>
          <w:tab w:val="left" w:pos="8280"/>
        </w:tabs>
        <w:spacing w:line="360" w:lineRule="auto"/>
        <w:ind w:firstLine="361" w:firstLineChars="150"/>
        <w:rPr>
          <w:rFonts w:hint="eastAsia" w:ascii="宋体" w:hAnsi="宋体" w:cs="宋体;SimSun"/>
          <w:b/>
          <w:bCs/>
          <w:color w:val="auto"/>
          <w:sz w:val="24"/>
          <w:szCs w:val="24"/>
          <w:highlight w:val="none"/>
        </w:rPr>
      </w:pPr>
    </w:p>
    <w:p>
      <w:pPr>
        <w:tabs>
          <w:tab w:val="left" w:pos="8280"/>
        </w:tabs>
        <w:spacing w:line="360" w:lineRule="auto"/>
        <w:ind w:firstLine="361" w:firstLineChars="150"/>
        <w:rPr>
          <w:rFonts w:hint="eastAsia" w:ascii="宋体" w:hAnsi="宋体" w:eastAsia="宋体" w:cs="宋体"/>
          <w:b/>
          <w:bCs/>
          <w:color w:val="auto"/>
          <w:highlight w:val="none"/>
        </w:rPr>
      </w:pPr>
      <w:r>
        <w:rPr>
          <w:rFonts w:hint="eastAsia" w:ascii="宋体" w:hAnsi="宋体" w:cs="宋体;SimSun"/>
          <w:b/>
          <w:bCs/>
          <w:color w:val="auto"/>
          <w:sz w:val="24"/>
          <w:szCs w:val="24"/>
          <w:highlight w:val="none"/>
        </w:rPr>
        <w:t>注：如为法定代表人</w:t>
      </w:r>
      <w:r>
        <w:rPr>
          <w:rFonts w:hint="eastAsia" w:ascii="宋体" w:hAnsi="宋体" w:eastAsia="宋体" w:cs="宋体;SimSun"/>
          <w:b/>
          <w:bCs/>
          <w:color w:val="auto"/>
          <w:sz w:val="24"/>
          <w:szCs w:val="24"/>
          <w:highlight w:val="none"/>
          <w:lang w:val="en-US" w:eastAsia="zh-CN"/>
        </w:rPr>
        <w:t>或负责人</w:t>
      </w:r>
      <w:r>
        <w:rPr>
          <w:rFonts w:hint="eastAsia" w:ascii="宋体" w:hAnsi="宋体" w:cs="宋体;SimSun"/>
          <w:b/>
          <w:bCs/>
          <w:color w:val="auto"/>
          <w:sz w:val="24"/>
          <w:szCs w:val="24"/>
          <w:highlight w:val="none"/>
        </w:rPr>
        <w:t>参加</w:t>
      </w:r>
      <w:r>
        <w:rPr>
          <w:rFonts w:hint="eastAsia" w:ascii="宋体" w:hAnsi="宋体" w:eastAsia="宋体" w:cs="宋体;SimSun"/>
          <w:b/>
          <w:bCs/>
          <w:color w:val="auto"/>
          <w:sz w:val="24"/>
          <w:szCs w:val="24"/>
          <w:highlight w:val="none"/>
          <w:lang w:val="en-US" w:eastAsia="zh-CN"/>
        </w:rPr>
        <w:t>投标</w:t>
      </w:r>
      <w:r>
        <w:rPr>
          <w:rFonts w:hint="eastAsia" w:ascii="宋体" w:hAnsi="宋体" w:cs="宋体;SimSun"/>
          <w:b/>
          <w:bCs/>
          <w:color w:val="auto"/>
          <w:sz w:val="24"/>
          <w:szCs w:val="24"/>
          <w:highlight w:val="none"/>
        </w:rPr>
        <w:t>只须提供法定代表人</w:t>
      </w:r>
      <w:r>
        <w:rPr>
          <w:rFonts w:hint="eastAsia" w:ascii="宋体" w:hAnsi="宋体" w:eastAsia="宋体" w:cs="宋体;SimSun"/>
          <w:b/>
          <w:bCs/>
          <w:color w:val="auto"/>
          <w:sz w:val="24"/>
          <w:szCs w:val="24"/>
          <w:highlight w:val="none"/>
          <w:lang w:val="en-US" w:eastAsia="zh-CN"/>
        </w:rPr>
        <w:t>或负责人</w:t>
      </w:r>
      <w:r>
        <w:rPr>
          <w:rFonts w:hint="eastAsia" w:ascii="宋体" w:hAnsi="宋体" w:cs="宋体;SimSun"/>
          <w:b/>
          <w:bCs/>
          <w:color w:val="auto"/>
          <w:sz w:val="24"/>
          <w:szCs w:val="24"/>
          <w:highlight w:val="none"/>
        </w:rPr>
        <w:t>身份证明。</w:t>
      </w:r>
    </w:p>
    <w:p>
      <w:pPr>
        <w:shd w:val="clear" w:color="auto" w:fill="FFFFFF"/>
        <w:spacing w:line="480" w:lineRule="exact"/>
        <w:rPr>
          <w:rFonts w:hint="eastAsia" w:ascii="宋体" w:hAnsi="宋体" w:eastAsia="宋体" w:cs="宋体"/>
          <w:b/>
          <w:color w:val="auto"/>
          <w:sz w:val="32"/>
          <w:szCs w:val="32"/>
          <w:highlight w:val="none"/>
        </w:rPr>
      </w:pPr>
      <w:r>
        <w:rPr>
          <w:rFonts w:hint="eastAsia" w:ascii="宋体" w:hAnsi="宋体" w:eastAsia="宋体" w:cs="宋体"/>
          <w:b/>
          <w:bCs/>
          <w:color w:val="auto"/>
          <w:sz w:val="18"/>
          <w:szCs w:val="18"/>
          <w:highlight w:val="none"/>
        </w:rPr>
        <w:br w:type="page"/>
      </w:r>
    </w:p>
    <w:p>
      <w:pPr>
        <w:shd w:val="clear" w:color="auto" w:fill="FFFFFF"/>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授权委托书</w:t>
      </w:r>
    </w:p>
    <w:p>
      <w:pPr>
        <w:shd w:val="clear" w:color="auto" w:fill="FFFFFF"/>
        <w:spacing w:line="480" w:lineRule="exact"/>
        <w:jc w:val="center"/>
        <w:rPr>
          <w:rFonts w:hint="eastAsia" w:ascii="宋体" w:hAnsi="宋体" w:eastAsia="宋体" w:cs="宋体"/>
          <w:b/>
          <w:bCs/>
          <w:color w:val="auto"/>
          <w:sz w:val="24"/>
          <w:highlight w:val="none"/>
        </w:rPr>
      </w:pPr>
    </w:p>
    <w:p>
      <w:pPr>
        <w:pStyle w:val="46"/>
        <w:shd w:val="clear" w:color="auto" w:fill="FFFFFF"/>
        <w:snapToGrid w:val="0"/>
        <w:spacing w:line="440" w:lineRule="exact"/>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本授权委托书声明：我系</w:t>
      </w:r>
      <w:r>
        <w:rPr>
          <w:rFonts w:hint="eastAsia" w:ascii="宋体" w:hAnsi="宋体" w:cs="宋体"/>
          <w:color w:val="auto"/>
          <w:kern w:val="2"/>
          <w:sz w:val="24"/>
          <w:highlight w:val="none"/>
          <w:u w:val="single"/>
        </w:rPr>
        <w:t xml:space="preserve"> （供应商名称） </w:t>
      </w:r>
      <w:r>
        <w:rPr>
          <w:rFonts w:hint="eastAsia" w:ascii="宋体" w:hAnsi="宋体" w:cs="宋体"/>
          <w:color w:val="auto"/>
          <w:kern w:val="2"/>
          <w:sz w:val="24"/>
          <w:highlight w:val="none"/>
        </w:rPr>
        <w:t>的</w:t>
      </w:r>
      <w:r>
        <w:rPr>
          <w:rFonts w:hint="eastAsia" w:ascii="宋体" w:hAnsi="宋体" w:cs="宋体"/>
          <w:color w:val="auto"/>
          <w:kern w:val="2"/>
          <w:sz w:val="24"/>
          <w:highlight w:val="none"/>
          <w:lang w:eastAsia="zh-CN"/>
        </w:rPr>
        <w:t>法定代表人（</w:t>
      </w:r>
      <w:r>
        <w:rPr>
          <w:rFonts w:hint="eastAsia" w:ascii="宋体" w:hAnsi="宋体" w:cs="宋体"/>
          <w:color w:val="auto"/>
          <w:kern w:val="2"/>
          <w:sz w:val="24"/>
          <w:highlight w:val="none"/>
          <w:lang w:val="en-US" w:eastAsia="zh-CN"/>
        </w:rPr>
        <w:t>或</w:t>
      </w:r>
      <w:r>
        <w:rPr>
          <w:rFonts w:hint="eastAsia" w:ascii="宋体" w:hAnsi="宋体" w:cs="宋体"/>
          <w:color w:val="auto"/>
          <w:kern w:val="2"/>
          <w:sz w:val="24"/>
          <w:highlight w:val="none"/>
          <w:lang w:eastAsia="zh-CN"/>
        </w:rPr>
        <w:t>负责人）</w:t>
      </w:r>
      <w:r>
        <w:rPr>
          <w:rFonts w:hint="eastAsia" w:ascii="宋体" w:hAnsi="宋体" w:cs="宋体"/>
          <w:color w:val="auto"/>
          <w:kern w:val="2"/>
          <w:sz w:val="24"/>
          <w:highlight w:val="none"/>
        </w:rPr>
        <w:t>，现授权委托</w:t>
      </w:r>
      <w:r>
        <w:rPr>
          <w:rFonts w:hint="eastAsia" w:ascii="宋体" w:hAnsi="宋体" w:cs="宋体"/>
          <w:color w:val="auto"/>
          <w:kern w:val="2"/>
          <w:sz w:val="24"/>
          <w:highlight w:val="none"/>
          <w:u w:val="single"/>
        </w:rPr>
        <w:t>（供应商名称）</w:t>
      </w:r>
      <w:r>
        <w:rPr>
          <w:rFonts w:hint="eastAsia" w:ascii="宋体" w:hAnsi="宋体" w:cs="宋体"/>
          <w:color w:val="auto"/>
          <w:kern w:val="2"/>
          <w:sz w:val="24"/>
          <w:highlight w:val="none"/>
        </w:rPr>
        <w:t>的为我的代理人，以</w:t>
      </w:r>
      <w:r>
        <w:rPr>
          <w:rFonts w:hint="eastAsia" w:ascii="宋体" w:hAnsi="宋体" w:cs="宋体"/>
          <w:color w:val="auto"/>
          <w:kern w:val="2"/>
          <w:sz w:val="24"/>
          <w:highlight w:val="none"/>
          <w:u w:val="single"/>
        </w:rPr>
        <w:t>（供应商名称）</w:t>
      </w:r>
      <w:r>
        <w:rPr>
          <w:rFonts w:hint="eastAsia" w:ascii="宋体" w:hAnsi="宋体" w:cs="宋体"/>
          <w:color w:val="auto"/>
          <w:kern w:val="2"/>
          <w:sz w:val="24"/>
          <w:highlight w:val="none"/>
        </w:rPr>
        <w:t>的名义参加</w:t>
      </w:r>
      <w:r>
        <w:rPr>
          <w:rFonts w:hint="eastAsia" w:ascii="宋体" w:hAnsi="宋体" w:cs="宋体"/>
          <w:color w:val="auto"/>
          <w:kern w:val="2"/>
          <w:sz w:val="24"/>
          <w:highlight w:val="none"/>
          <w:u w:val="single"/>
        </w:rPr>
        <w:t>（项目名称和项目编号）</w:t>
      </w:r>
      <w:r>
        <w:rPr>
          <w:rFonts w:hint="eastAsia" w:ascii="宋体" w:hAnsi="宋体" w:cs="宋体"/>
          <w:color w:val="auto"/>
          <w:kern w:val="2"/>
          <w:sz w:val="24"/>
          <w:highlight w:val="none"/>
        </w:rPr>
        <w:t>招标项目的投标活动。代理人在参加整个招标投标活动所签署的一切文件和处理与之相关的一切事物，我均予承认。</w:t>
      </w:r>
    </w:p>
    <w:p>
      <w:pPr>
        <w:pStyle w:val="46"/>
        <w:shd w:val="clear" w:color="auto" w:fill="FFFFFF"/>
        <w:snapToGrid w:val="0"/>
        <w:spacing w:line="440" w:lineRule="exact"/>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代理人：   性别：  年龄：</w:t>
      </w:r>
    </w:p>
    <w:p>
      <w:pPr>
        <w:pStyle w:val="46"/>
        <w:shd w:val="clear" w:color="auto" w:fill="FFFFFF"/>
        <w:snapToGrid w:val="0"/>
        <w:spacing w:line="440" w:lineRule="exact"/>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部  门：   职务：</w:t>
      </w:r>
    </w:p>
    <w:p>
      <w:pPr>
        <w:shd w:val="clear" w:color="auto" w:fill="FFFFFF"/>
        <w:spacing w:line="480" w:lineRule="exact"/>
        <w:rPr>
          <w:rFonts w:hint="eastAsia" w:ascii="宋体" w:hAnsi="宋体" w:eastAsia="宋体" w:cs="宋体"/>
          <w:bCs/>
          <w:color w:val="auto"/>
          <w:sz w:val="24"/>
          <w:highlight w:val="none"/>
        </w:rPr>
      </w:pPr>
      <w:r>
        <w:rPr>
          <w:rFonts w:hint="eastAsia" w:ascii="宋体" w:hAnsi="宋体" w:eastAsia="宋体" w:cs="宋体"/>
          <w:color w:val="auto"/>
          <w:sz w:val="24"/>
          <w:highlight w:val="none"/>
        </w:rPr>
        <w:pict>
          <v:shape id="文本框 2" o:spid="_x0000_s1035" o:spt="202" type="#_x0000_t202" style="position:absolute;left:0pt;margin-left:-0.1pt;margin-top:9.65pt;height:126.75pt;width:238pt;z-index:251661312;mso-width-relative:page;mso-height-relative:page;" coordsize="21600,21600">
            <v:path/>
            <v:fill focussize="0,0"/>
            <v:stroke miterlimit="2"/>
            <v:imagedata o:title=""/>
            <o:lock v:ext="edit"/>
            <v:textbo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（正面</w:t>
                  </w:r>
                  <w:r>
                    <w:rPr>
                      <w:rFonts w:hint="eastAsia" w:ascii="宋体" w:hAnsi="宋体" w:eastAsia="宋体"/>
                      <w:color w:val="000000"/>
                      <w:sz w:val="32"/>
                      <w:szCs w:val="32"/>
                      <w:lang w:eastAsia="zh-CN"/>
                    </w:rPr>
                    <w:t>国徽面</w:t>
                  </w:r>
                  <w:r>
                    <w:rPr>
                      <w:rFonts w:hint="eastAsia" w:ascii="宋体" w:hAnsi="宋体"/>
                      <w:color w:val="000000"/>
                      <w:sz w:val="32"/>
                      <w:szCs w:val="32"/>
                    </w:rPr>
                    <w:t>）</w:t>
                  </w:r>
                </w:p>
                <w:p/>
                <w:p/>
                <w:p/>
                <w:p/>
                <w:p/>
                <w:p/>
                <w:p>
                  <w:pPr>
                    <w:rPr>
                      <w:sz w:val="32"/>
                      <w:szCs w:val="32"/>
                    </w:rPr>
                  </w:pPr>
                </w:p>
              </w:txbxContent>
            </v:textbox>
          </v:shape>
        </w:pict>
      </w:r>
      <w:r>
        <w:rPr>
          <w:rFonts w:hint="eastAsia" w:ascii="宋体" w:hAnsi="宋体" w:eastAsia="宋体" w:cs="宋体"/>
          <w:color w:val="auto"/>
          <w:sz w:val="24"/>
          <w:highlight w:val="none"/>
        </w:rPr>
        <w:pict>
          <v:shape id="文本框 1" o:spid="_x0000_s1036" o:spt="202" type="#_x0000_t202" style="position:absolute;left:0pt;margin-left:248.9pt;margin-top:9.65pt;height:126.75pt;width:224.5pt;z-index:251662336;mso-width-relative:page;mso-height-relative:page;" coordsize="21600,21600">
            <v:path/>
            <v:fill focussize="0,0"/>
            <v:stroke miterlimit="2"/>
            <v:imagedata o:title=""/>
            <o:lock v:ext="edit"/>
            <v:textbo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（反面</w:t>
                  </w:r>
                  <w:r>
                    <w:rPr>
                      <w:rFonts w:hint="eastAsia" w:ascii="宋体" w:hAnsi="宋体" w:eastAsia="宋体"/>
                      <w:color w:val="000000"/>
                      <w:sz w:val="32"/>
                      <w:szCs w:val="32"/>
                      <w:lang w:eastAsia="zh-CN"/>
                    </w:rPr>
                    <w:t>头像面</w:t>
                  </w:r>
                  <w:r>
                    <w:rPr>
                      <w:rFonts w:hint="eastAsia" w:ascii="宋体" w:hAnsi="宋体"/>
                      <w:color w:val="000000"/>
                      <w:sz w:val="32"/>
                      <w:szCs w:val="32"/>
                    </w:rPr>
                    <w:t>）</w:t>
                  </w:r>
                </w:p>
                <w:p/>
                <w:p/>
                <w:p/>
                <w:p/>
                <w:p/>
                <w:p/>
                <w:p>
                  <w:pPr>
                    <w:rPr>
                      <w:sz w:val="32"/>
                      <w:szCs w:val="32"/>
                    </w:rPr>
                  </w:pPr>
                </w:p>
              </w:txbxContent>
            </v:textbox>
          </v:shape>
        </w:pict>
      </w: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pStyle w:val="46"/>
        <w:shd w:val="clear" w:color="auto" w:fill="FFFFFF"/>
        <w:snapToGrid w:val="0"/>
        <w:spacing w:line="480" w:lineRule="exact"/>
        <w:ind w:firstLine="210"/>
        <w:rPr>
          <w:rFonts w:hint="eastAsia" w:ascii="宋体" w:hAnsi="宋体" w:cs="宋体"/>
          <w:color w:val="auto"/>
          <w:sz w:val="24"/>
          <w:highlight w:val="none"/>
        </w:rPr>
      </w:pPr>
    </w:p>
    <w:p>
      <w:pPr>
        <w:pStyle w:val="46"/>
        <w:shd w:val="clear" w:color="auto" w:fill="FFFFFF"/>
        <w:snapToGrid w:val="0"/>
        <w:spacing w:line="480" w:lineRule="exact"/>
        <w:ind w:firstLine="210"/>
        <w:rPr>
          <w:rFonts w:hint="eastAsia" w:ascii="宋体" w:hAnsi="宋体" w:cs="宋体"/>
          <w:color w:val="auto"/>
          <w:sz w:val="24"/>
          <w:highlight w:val="none"/>
        </w:rPr>
      </w:pPr>
    </w:p>
    <w:p>
      <w:pPr>
        <w:pStyle w:val="46"/>
        <w:shd w:val="clear" w:color="auto" w:fill="FFFFFF"/>
        <w:snapToGrid w:val="0"/>
        <w:spacing w:line="480" w:lineRule="exact"/>
        <w:ind w:firstLine="210"/>
        <w:rPr>
          <w:rFonts w:hint="eastAsia" w:ascii="宋体" w:hAnsi="宋体" w:cs="宋体"/>
          <w:color w:val="auto"/>
          <w:kern w:val="2"/>
          <w:sz w:val="24"/>
          <w:highlight w:val="none"/>
        </w:rPr>
      </w:pPr>
    </w:p>
    <w:p>
      <w:pPr>
        <w:widowControl/>
        <w:spacing w:line="48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8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签章</w:t>
      </w:r>
      <w:r>
        <w:rPr>
          <w:rFonts w:hint="eastAsia" w:ascii="宋体" w:hAnsi="宋体" w:eastAsia="宋体" w:cs="宋体"/>
          <w:color w:val="auto"/>
          <w:sz w:val="24"/>
          <w:highlight w:val="none"/>
        </w:rPr>
        <w:t>）：</w:t>
      </w:r>
    </w:p>
    <w:p>
      <w:pPr>
        <w:shd w:val="clear" w:color="auto" w:fill="FFFFFF"/>
        <w:tabs>
          <w:tab w:val="left" w:pos="3780"/>
        </w:tabs>
        <w:spacing w:line="48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授权代理人（签字）：</w:t>
      </w:r>
    </w:p>
    <w:p>
      <w:pPr>
        <w:widowControl/>
        <w:spacing w:line="48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2"/>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highlight w:val="none"/>
        </w:rPr>
      </w:pPr>
    </w:p>
    <w:p>
      <w:pPr>
        <w:widowControl/>
        <w:spacing w:line="440" w:lineRule="exact"/>
        <w:ind w:firstLine="240" w:firstLineChars="100"/>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highlight w:val="none"/>
        </w:rPr>
        <w:br w:type="page"/>
      </w:r>
      <w:r>
        <w:rPr>
          <w:rFonts w:hint="eastAsia" w:ascii="宋体" w:hAnsi="宋体" w:eastAsia="宋体" w:cs="宋体"/>
          <w:bCs/>
          <w:color w:val="auto"/>
          <w:kern w:val="0"/>
          <w:sz w:val="24"/>
          <w:highlight w:val="none"/>
        </w:rPr>
        <w:t>（</w:t>
      </w:r>
      <w:r>
        <w:rPr>
          <w:rFonts w:hint="eastAsia" w:ascii="宋体" w:hAnsi="宋体" w:eastAsia="宋体" w:cs="宋体"/>
          <w:bCs/>
          <w:color w:val="auto"/>
          <w:kern w:val="0"/>
          <w:sz w:val="24"/>
          <w:highlight w:val="none"/>
          <w:lang w:val="en-US" w:eastAsia="zh-CN"/>
        </w:rPr>
        <w:t>四</w:t>
      </w:r>
      <w:r>
        <w:rPr>
          <w:rFonts w:hint="eastAsia" w:ascii="宋体" w:hAnsi="宋体" w:eastAsia="宋体" w:cs="宋体"/>
          <w:bCs/>
          <w:color w:val="auto"/>
          <w:kern w:val="0"/>
          <w:sz w:val="24"/>
          <w:highlight w:val="none"/>
        </w:rPr>
        <w:t>）</w:t>
      </w:r>
      <w:r>
        <w:rPr>
          <w:rFonts w:hint="eastAsia" w:ascii="宋体" w:hAnsi="宋体" w:eastAsia="宋体" w:cs="宋体"/>
          <w:b w:val="0"/>
          <w:bCs w:val="0"/>
          <w:color w:val="auto"/>
          <w:sz w:val="24"/>
          <w:szCs w:val="24"/>
          <w:highlight w:val="none"/>
        </w:rPr>
        <w:t>中小微企业声明函及其他资料（如中小微企业需提供下列资料，如为大型企业可不提供）</w:t>
      </w:r>
    </w:p>
    <w:p>
      <w:pPr>
        <w:shd w:val="clear" w:color="auto" w:fill="FFFFFF"/>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中小企业声明函（货物）</w:t>
      </w:r>
    </w:p>
    <w:p>
      <w:pPr>
        <w:widowControl/>
        <w:jc w:val="left"/>
        <w:rPr>
          <w:rFonts w:hint="eastAsia" w:ascii="宋体" w:hAnsi="宋体" w:eastAsia="宋体" w:cs="宋体"/>
          <w:color w:val="auto"/>
          <w:sz w:val="24"/>
          <w:szCs w:val="24"/>
          <w:highlight w:val="none"/>
        </w:rPr>
      </w:pPr>
    </w:p>
    <w:p>
      <w:pPr>
        <w:widowControl/>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采购活动，提供的货物全部由符合政策要求的中小企业制造。相关企业的具体情况如下：</w:t>
      </w:r>
    </w:p>
    <w:p>
      <w:pPr>
        <w:widowControl/>
        <w:numPr>
          <w:ilvl w:val="0"/>
          <w:numId w:val="7"/>
        </w:num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（中型企业、小型企业、微型企业）；</w:t>
      </w:r>
    </w:p>
    <w:p>
      <w:pPr>
        <w:widowControl/>
        <w:numPr>
          <w:ilvl w:val="0"/>
          <w:numId w:val="7"/>
        </w:num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（中型企业、小型企业、微型企业）；</w:t>
      </w:r>
    </w:p>
    <w:p>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widowControl/>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widowControl/>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本企业对上述声明的真实性负责。如有虚假，将依法承担相应责任。</w:t>
      </w:r>
    </w:p>
    <w:p>
      <w:pPr>
        <w:widowControl/>
        <w:spacing w:line="480" w:lineRule="exact"/>
        <w:jc w:val="left"/>
        <w:rPr>
          <w:rFonts w:hint="eastAsia" w:ascii="宋体" w:hAnsi="宋体" w:eastAsia="宋体" w:cs="宋体"/>
          <w:color w:val="auto"/>
          <w:sz w:val="24"/>
          <w:szCs w:val="24"/>
          <w:highlight w:val="none"/>
        </w:rPr>
      </w:pPr>
    </w:p>
    <w:p>
      <w:pPr>
        <w:pStyle w:val="51"/>
        <w:spacing w:line="5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盖</w:t>
      </w:r>
      <w:r>
        <w:rPr>
          <w:rFonts w:hint="eastAsia" w:ascii="宋体" w:hAnsi="宋体" w:cs="宋体"/>
          <w:color w:val="auto"/>
          <w:sz w:val="24"/>
          <w:szCs w:val="24"/>
          <w:highlight w:val="none"/>
          <w:u w:val="single"/>
        </w:rPr>
        <w:t xml:space="preserve">公章）      </w:t>
      </w:r>
    </w:p>
    <w:p>
      <w:pPr>
        <w:widowControl/>
        <w:spacing w:line="480" w:lineRule="exact"/>
        <w:ind w:right="480"/>
        <w:jc w:val="center"/>
        <w:rPr>
          <w:rFonts w:hint="eastAsia" w:ascii="宋体" w:hAnsi="宋体" w:eastAsia="宋体" w:cs="宋体"/>
          <w:color w:val="auto"/>
          <w:sz w:val="24"/>
          <w:szCs w:val="24"/>
          <w:highlight w:val="none"/>
        </w:rPr>
      </w:pPr>
    </w:p>
    <w:p>
      <w:pPr>
        <w:widowControl/>
        <w:spacing w:line="480" w:lineRule="exact"/>
        <w:ind w:right="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rPr>
          <w:rFonts w:hint="eastAsia" w:ascii="宋体" w:hAnsi="宋体" w:eastAsia="宋体" w:cs="宋体"/>
          <w:color w:val="auto"/>
          <w:highlight w:val="none"/>
        </w:rPr>
      </w:pPr>
    </w:p>
    <w:p>
      <w:pPr>
        <w:pStyle w:val="2"/>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pPr>
        <w:pStyle w:val="2"/>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若</w:t>
      </w:r>
      <w:r>
        <w:rPr>
          <w:rFonts w:hint="eastAsia" w:ascii="宋体" w:hAnsi="宋体" w:eastAsia="宋体" w:cs="宋体"/>
          <w:color w:val="auto"/>
          <w:kern w:val="0"/>
          <w:sz w:val="24"/>
          <w:highlight w:val="none"/>
          <w:lang w:val="en-US" w:eastAsia="zh-CN"/>
        </w:rPr>
        <w:t>所有货物均</w:t>
      </w:r>
      <w:r>
        <w:rPr>
          <w:rFonts w:hint="eastAsia" w:ascii="宋体" w:hAnsi="宋体" w:eastAsia="宋体" w:cs="宋体"/>
          <w:color w:val="auto"/>
          <w:kern w:val="0"/>
          <w:sz w:val="24"/>
          <w:highlight w:val="none"/>
        </w:rPr>
        <w:t>为监狱企业或残疾人企业</w:t>
      </w:r>
      <w:r>
        <w:rPr>
          <w:rFonts w:hint="eastAsia" w:ascii="宋体" w:hAnsi="宋体" w:eastAsia="宋体" w:cs="宋体"/>
          <w:color w:val="auto"/>
          <w:kern w:val="0"/>
          <w:sz w:val="24"/>
          <w:highlight w:val="none"/>
          <w:lang w:val="en-US" w:eastAsia="zh-CN"/>
        </w:rPr>
        <w:t>制造</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须提供监狱企业或残疾人企业声明函（格式自拟）</w:t>
      </w:r>
    </w:p>
    <w:p>
      <w:pPr>
        <w:pStyle w:val="2"/>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3、中标的供应商的《中小微企业声明函》将作为中标结果公告一并公示。</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hd w:val="clear" w:color="auto" w:fill="FFFFFF"/>
        <w:spacing w:line="48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不参与围标串标承诺书</w:t>
      </w:r>
    </w:p>
    <w:p>
      <w:pPr>
        <w:pStyle w:val="2"/>
        <w:spacing w:line="480" w:lineRule="exact"/>
        <w:jc w:val="center"/>
        <w:rPr>
          <w:rFonts w:hint="eastAsia" w:ascii="宋体" w:hAnsi="宋体" w:eastAsia="宋体" w:cs="宋体"/>
          <w:b/>
          <w:color w:val="auto"/>
          <w:spacing w:val="0"/>
          <w:sz w:val="30"/>
          <w:szCs w:val="30"/>
          <w:highlight w:val="none"/>
        </w:rPr>
      </w:pPr>
    </w:p>
    <w:p>
      <w:pPr>
        <w:pStyle w:val="2"/>
        <w:spacing w:line="480" w:lineRule="exact"/>
        <w:jc w:val="center"/>
        <w:rPr>
          <w:rFonts w:hint="eastAsia" w:ascii="宋体" w:hAnsi="宋体" w:eastAsia="宋体" w:cs="宋体"/>
          <w:b/>
          <w:color w:val="auto"/>
          <w:spacing w:val="0"/>
          <w:sz w:val="30"/>
          <w:szCs w:val="30"/>
          <w:highlight w:val="none"/>
        </w:rPr>
      </w:pPr>
    </w:p>
    <w:p>
      <w:pPr>
        <w:pStyle w:val="2"/>
        <w:spacing w:line="480" w:lineRule="exact"/>
        <w:ind w:left="0" w:leftChars="0" w:firstLine="0" w:firstLineChars="0"/>
        <w:jc w:val="center"/>
        <w:rPr>
          <w:rFonts w:hint="eastAsia" w:ascii="宋体" w:hAnsi="宋体" w:eastAsia="宋体" w:cs="宋体"/>
          <w:b/>
          <w:color w:val="auto"/>
          <w:spacing w:val="0"/>
          <w:sz w:val="28"/>
          <w:szCs w:val="28"/>
          <w:highlight w:val="none"/>
        </w:rPr>
      </w:pPr>
      <w:r>
        <w:rPr>
          <w:rFonts w:hint="eastAsia" w:ascii="宋体" w:hAnsi="宋体" w:eastAsia="宋体" w:cs="宋体"/>
          <w:b/>
          <w:color w:val="auto"/>
          <w:spacing w:val="0"/>
          <w:sz w:val="28"/>
          <w:szCs w:val="28"/>
          <w:highlight w:val="none"/>
        </w:rPr>
        <w:t>不参与围标串标承诺书</w:t>
      </w:r>
    </w:p>
    <w:p>
      <w:pPr>
        <w:pStyle w:val="2"/>
        <w:spacing w:line="480" w:lineRule="exact"/>
        <w:jc w:val="center"/>
        <w:rPr>
          <w:rFonts w:hint="eastAsia" w:ascii="宋体" w:hAnsi="宋体" w:eastAsia="宋体" w:cs="宋体"/>
          <w:b/>
          <w:color w:val="auto"/>
          <w:spacing w:val="0"/>
          <w:sz w:val="30"/>
          <w:szCs w:val="30"/>
          <w:highlight w:val="none"/>
        </w:rPr>
      </w:pPr>
    </w:p>
    <w:p>
      <w:pPr>
        <w:pStyle w:val="5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本人作为（单位名称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法定代表人（</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lang w:eastAsia="zh-CN"/>
        </w:rPr>
        <w:t>负责人）</w:t>
      </w:r>
      <w:r>
        <w:rPr>
          <w:rFonts w:hint="eastAsia" w:ascii="宋体" w:hAnsi="宋体" w:cs="宋体"/>
          <w:color w:val="auto"/>
          <w:sz w:val="24"/>
          <w:szCs w:val="24"/>
          <w:highlight w:val="none"/>
        </w:rPr>
        <w:t>，清楚知晓我公司本项目招标活动，对以下事项作出承诺：</w:t>
      </w:r>
    </w:p>
    <w:p>
      <w:pPr>
        <w:pStyle w:val="5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一、我单位遵循公开、公平、公正、诚实守信的原则，依法依规参与本项目竞标。</w:t>
      </w:r>
    </w:p>
    <w:p>
      <w:pPr>
        <w:pStyle w:val="5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二、我单位在本项目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活动中，未参与围标串标。</w:t>
      </w:r>
    </w:p>
    <w:p>
      <w:pPr>
        <w:pStyle w:val="5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三、我单位如被查实在本项目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活动中存在围标串标的，递交</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行为作为实施串通投标违法行为的关键环节，本人承担直接责任人员法律责任，接受相应行政处罚和失信惩戒。</w:t>
      </w:r>
    </w:p>
    <w:p>
      <w:pPr>
        <w:pStyle w:val="50"/>
        <w:spacing w:line="440" w:lineRule="exact"/>
        <w:jc w:val="left"/>
        <w:rPr>
          <w:rFonts w:ascii="宋体" w:hAnsi="宋体" w:cs="宋体"/>
          <w:color w:val="auto"/>
          <w:sz w:val="24"/>
          <w:szCs w:val="24"/>
          <w:highlight w:val="none"/>
        </w:rPr>
      </w:pPr>
    </w:p>
    <w:p>
      <w:pPr>
        <w:pStyle w:val="50"/>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pPr>
        <w:pStyle w:val="50"/>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项目编号：    </w:t>
      </w:r>
    </w:p>
    <w:p>
      <w:pPr>
        <w:pStyle w:val="50"/>
        <w:spacing w:line="440" w:lineRule="exact"/>
        <w:jc w:val="left"/>
        <w:rPr>
          <w:rFonts w:hint="eastAsia" w:ascii="宋体" w:hAnsi="宋体" w:cs="宋体"/>
          <w:color w:val="auto"/>
          <w:sz w:val="24"/>
          <w:szCs w:val="24"/>
          <w:highlight w:val="none"/>
        </w:rPr>
      </w:pPr>
    </w:p>
    <w:p>
      <w:pPr>
        <w:pStyle w:val="50"/>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供应商单位名称（</w:t>
      </w:r>
      <w:r>
        <w:rPr>
          <w:rFonts w:hint="eastAsia" w:ascii="宋体" w:hAnsi="宋体" w:cs="宋体"/>
          <w:color w:val="auto"/>
          <w:sz w:val="24"/>
          <w:szCs w:val="24"/>
          <w:highlight w:val="none"/>
          <w:lang w:val="en-US" w:eastAsia="zh-CN"/>
        </w:rPr>
        <w:t>电子公章</w:t>
      </w:r>
      <w:r>
        <w:rPr>
          <w:rFonts w:hint="eastAsia" w:ascii="宋体" w:hAnsi="宋体" w:cs="宋体"/>
          <w:color w:val="auto"/>
          <w:sz w:val="24"/>
          <w:szCs w:val="24"/>
          <w:highlight w:val="none"/>
        </w:rPr>
        <w:t>）：</w:t>
      </w:r>
    </w:p>
    <w:p>
      <w:pPr>
        <w:shd w:val="clear" w:color="auto" w:fill="FFFFFF"/>
        <w:tabs>
          <w:tab w:val="left" w:pos="3780"/>
        </w:tabs>
        <w:spacing w:line="440" w:lineRule="exact"/>
        <w:rPr>
          <w:rFonts w:hint="eastAsia" w:ascii="宋体" w:hAnsi="宋体" w:eastAsia="宋体" w:cs="宋体"/>
          <w:color w:val="auto"/>
          <w:sz w:val="24"/>
          <w:highlight w:val="none"/>
        </w:rPr>
      </w:pPr>
    </w:p>
    <w:p>
      <w:pPr>
        <w:shd w:val="clear" w:color="auto" w:fill="FFFFFF"/>
        <w:tabs>
          <w:tab w:val="left" w:pos="378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（签章）：</w:t>
      </w:r>
    </w:p>
    <w:p>
      <w:pPr>
        <w:pStyle w:val="2"/>
        <w:rPr>
          <w:rFonts w:hint="eastAsia" w:ascii="宋体" w:hAnsi="宋体" w:eastAsia="宋体" w:cs="宋体"/>
          <w:color w:val="auto"/>
          <w:sz w:val="24"/>
          <w:highlight w:val="none"/>
        </w:rPr>
      </w:pPr>
    </w:p>
    <w:p>
      <w:pPr>
        <w:pStyle w:val="50"/>
        <w:spacing w:line="440" w:lineRule="exact"/>
        <w:ind w:firstLine="4320" w:firstLineChars="18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pPr>
        <w:pStyle w:val="2"/>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pPr>
        <w:pStyle w:val="50"/>
        <w:spacing w:line="440" w:lineRule="exact"/>
        <w:jc w:val="left"/>
        <w:rPr>
          <w:rFonts w:hint="eastAsia" w:ascii="宋体" w:hAnsi="宋体" w:cs="宋体"/>
          <w:color w:val="auto"/>
          <w:sz w:val="24"/>
          <w:szCs w:val="24"/>
          <w:highlight w:val="none"/>
        </w:rPr>
      </w:pPr>
    </w:p>
    <w:p>
      <w:pPr>
        <w:spacing w:line="480" w:lineRule="exact"/>
        <w:rPr>
          <w:rFonts w:hint="eastAsia" w:ascii="宋体" w:hAnsi="宋体" w:eastAsia="宋体" w:cs="宋体"/>
          <w:color w:val="auto"/>
          <w:sz w:val="24"/>
          <w:highlight w:val="none"/>
        </w:rPr>
      </w:pPr>
      <w:r>
        <w:rPr>
          <w:rFonts w:hint="eastAsia" w:ascii="宋体" w:hAnsi="宋体" w:eastAsia="宋体" w:cs="宋体"/>
          <w:color w:val="auto"/>
          <w:spacing w:val="0"/>
          <w:highlight w:val="none"/>
        </w:rPr>
        <w:br w:type="page"/>
      </w:r>
      <w:bookmarkStart w:id="160" w:name="_Toc73974716"/>
      <w:bookmarkStart w:id="161" w:name="_Toc23743"/>
      <w:bookmarkStart w:id="162" w:name="_Toc53602923"/>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）投标保证金</w:t>
      </w:r>
    </w:p>
    <w:p>
      <w:pPr>
        <w:spacing w:line="48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提供被采购代理机构认可的缴纳凭证</w:t>
      </w:r>
    </w:p>
    <w:p>
      <w:pPr>
        <w:spacing w:line="480" w:lineRule="exact"/>
        <w:ind w:left="141" w:leftChars="67" w:firstLine="480" w:firstLineChars="200"/>
        <w:rPr>
          <w:rFonts w:hint="eastAsia" w:ascii="宋体" w:hAnsi="宋体" w:eastAsia="宋体" w:cs="宋体"/>
          <w:color w:val="auto"/>
          <w:sz w:val="24"/>
          <w:highlight w:val="none"/>
        </w:rPr>
      </w:pPr>
    </w:p>
    <w:p>
      <w:pPr>
        <w:spacing w:line="480" w:lineRule="exact"/>
        <w:ind w:left="141" w:leftChars="67" w:firstLine="480" w:firstLineChars="200"/>
        <w:rPr>
          <w:rFonts w:hint="eastAsia" w:ascii="宋体" w:hAnsi="宋体" w:eastAsia="宋体" w:cs="宋体"/>
          <w:color w:val="auto"/>
          <w:sz w:val="24"/>
          <w:highlight w:val="none"/>
        </w:rPr>
      </w:pPr>
    </w:p>
    <w:p>
      <w:pPr>
        <w:spacing w:line="480" w:lineRule="exact"/>
        <w:rPr>
          <w:rFonts w:hint="default" w:ascii="宋体" w:hAnsi="宋体" w:eastAsia="宋体" w:cs="宋体"/>
          <w:color w:val="auto"/>
          <w:sz w:val="24"/>
          <w:highlight w:val="none"/>
          <w:lang w:val="en-US" w:eastAsia="zh-CN"/>
        </w:rPr>
      </w:pPr>
      <w:r>
        <w:rPr>
          <w:rFonts w:hint="eastAsia" w:ascii="宋体" w:hAnsi="宋体" w:eastAsia="宋体" w:cs="宋体"/>
          <w:b/>
          <w:bCs/>
          <w:color w:val="auto"/>
          <w:kern w:val="0"/>
          <w:sz w:val="24"/>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）此处附“信用中国”网站（www.creditchina.gov.cn ）“</w:t>
      </w:r>
      <w:r>
        <w:rPr>
          <w:rFonts w:hint="eastAsia" w:ascii="宋体" w:hAnsi="宋体" w:eastAsia="宋体" w:cs="宋体"/>
          <w:color w:val="auto"/>
          <w:sz w:val="24"/>
          <w:highlight w:val="none"/>
          <w:lang w:val="zh-CN"/>
        </w:rPr>
        <w:t>中国政府采购网</w:t>
      </w:r>
      <w:r>
        <w:rPr>
          <w:rFonts w:hint="eastAsia" w:ascii="宋体" w:hAnsi="宋体" w:eastAsia="宋体" w:cs="宋体"/>
          <w:color w:val="auto"/>
          <w:sz w:val="24"/>
          <w:highlight w:val="none"/>
        </w:rPr>
        <w:t>”（www.ccgp.gov.cn）查询企业信用信息截图</w:t>
      </w:r>
      <w:r>
        <w:rPr>
          <w:rFonts w:hint="eastAsia" w:ascii="宋体" w:hAnsi="宋体" w:eastAsia="宋体" w:cs="宋体"/>
          <w:color w:val="auto"/>
          <w:sz w:val="24"/>
          <w:highlight w:val="none"/>
          <w:lang w:val="en-US" w:eastAsia="zh-CN"/>
        </w:rPr>
        <w:t>或打印件</w:t>
      </w:r>
    </w:p>
    <w:p>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（查询时间：须自招标文件发布之日起至投标文件递交截止时间内）</w:t>
      </w:r>
    </w:p>
    <w:p>
      <w:pPr>
        <w:spacing w:line="360" w:lineRule="auto"/>
        <w:ind w:firstLine="482" w:firstLineChars="200"/>
        <w:rPr>
          <w:rFonts w:hint="eastAsia" w:ascii="宋体" w:hAnsi="宋体" w:eastAsia="宋体" w:cs="宋体"/>
          <w:b/>
          <w:bCs/>
          <w:color w:val="auto"/>
          <w:kern w:val="0"/>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说明：</w:t>
      </w:r>
      <w:r>
        <w:rPr>
          <w:rFonts w:hint="eastAsia" w:ascii="宋体" w:hAnsi="宋体" w:eastAsia="宋体" w:cs="宋体"/>
          <w:b/>
          <w:bCs/>
          <w:color w:val="auto"/>
          <w:kern w:val="0"/>
          <w:sz w:val="24"/>
          <w:highlight w:val="none"/>
        </w:rPr>
        <w:t>如</w:t>
      </w:r>
      <w:r>
        <w:rPr>
          <w:rFonts w:hint="eastAsia" w:ascii="宋体" w:hAnsi="宋体" w:eastAsia="宋体" w:cs="宋体"/>
          <w:b/>
          <w:bCs/>
          <w:color w:val="auto"/>
          <w:kern w:val="0"/>
          <w:sz w:val="24"/>
          <w:highlight w:val="none"/>
          <w:lang w:val="en-US" w:eastAsia="zh-CN"/>
        </w:rPr>
        <w:t>网站查询信息中</w:t>
      </w:r>
      <w:r>
        <w:rPr>
          <w:rFonts w:hint="eastAsia" w:ascii="宋体" w:hAnsi="宋体" w:eastAsia="宋体" w:cs="宋体"/>
          <w:b/>
          <w:bCs/>
          <w:color w:val="auto"/>
          <w:kern w:val="0"/>
          <w:sz w:val="24"/>
          <w:highlight w:val="none"/>
        </w:rPr>
        <w:t>失信记录已失效，供应商需提供相关证明资料，</w:t>
      </w:r>
      <w:r>
        <w:rPr>
          <w:rFonts w:hint="eastAsia" w:ascii="宋体" w:hAnsi="宋体" w:eastAsia="宋体" w:cs="宋体"/>
          <w:b/>
          <w:bCs/>
          <w:color w:val="auto"/>
          <w:kern w:val="0"/>
          <w:sz w:val="24"/>
          <w:highlight w:val="none"/>
          <w:lang w:val="en-US" w:eastAsia="zh-CN"/>
        </w:rPr>
        <w:t>否则其资格审查不合格。</w:t>
      </w:r>
    </w:p>
    <w:p>
      <w:pPr>
        <w:pStyle w:val="2"/>
        <w:rPr>
          <w:rFonts w:hint="eastAsia"/>
          <w:color w:val="auto"/>
          <w:highlight w:val="none"/>
        </w:rPr>
      </w:pPr>
    </w:p>
    <w:p>
      <w:pPr>
        <w:pStyle w:val="4"/>
        <w:spacing w:line="480" w:lineRule="exact"/>
        <w:ind w:left="-15" w:leftChars="-7"/>
        <w:jc w:val="center"/>
        <w:rPr>
          <w:rFonts w:hint="eastAsia" w:ascii="宋体" w:hAnsi="宋体" w:cs="宋体"/>
          <w:color w:val="auto"/>
          <w:sz w:val="28"/>
          <w:szCs w:val="28"/>
          <w:highlight w:val="none"/>
        </w:rPr>
      </w:pPr>
      <w:r>
        <w:rPr>
          <w:rFonts w:hint="eastAsia" w:ascii="宋体" w:hAnsi="宋体" w:eastAsia="宋体" w:cs="宋体"/>
          <w:b/>
          <w:bCs/>
          <w:color w:val="auto"/>
          <w:kern w:val="0"/>
          <w:sz w:val="24"/>
          <w:highlight w:val="none"/>
        </w:rPr>
        <w:br w:type="page"/>
      </w:r>
      <w:bookmarkStart w:id="163" w:name="_Toc31212"/>
      <w:r>
        <w:rPr>
          <w:rStyle w:val="32"/>
          <w:rFonts w:hint="eastAsia"/>
          <w:highlight w:val="none"/>
          <w:lang w:eastAsia="zh-CN"/>
        </w:rPr>
        <w:t>三</w:t>
      </w:r>
      <w:r>
        <w:rPr>
          <w:rStyle w:val="32"/>
          <w:rFonts w:hint="eastAsia"/>
          <w:highlight w:val="none"/>
        </w:rPr>
        <w:t>、商务文件</w:t>
      </w:r>
      <w:bookmarkEnd w:id="160"/>
      <w:bookmarkEnd w:id="161"/>
      <w:bookmarkEnd w:id="162"/>
      <w:bookmarkEnd w:id="163"/>
    </w:p>
    <w:p>
      <w:pPr>
        <w:pStyle w:val="2"/>
        <w:numPr>
          <w:ilvl w:val="0"/>
          <w:numId w:val="0"/>
        </w:numPr>
        <w:spacing w:line="400" w:lineRule="exact"/>
        <w:ind w:left="210" w:leftChars="0"/>
        <w:rPr>
          <w:rFonts w:hint="eastAsia" w:ascii="宋体" w:hAnsi="宋体" w:eastAsia="宋体" w:cs="宋体"/>
          <w:color w:val="auto"/>
          <w:sz w:val="24"/>
          <w:highlight w:val="none"/>
        </w:rPr>
      </w:pPr>
      <w:bookmarkStart w:id="164" w:name="_Toc53602924"/>
      <w:bookmarkStart w:id="165" w:name="_Toc73974718"/>
      <w:bookmarkStart w:id="166" w:name="_Toc19743"/>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医疗器械注册证</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127"/>
        <w:gridCol w:w="1642"/>
        <w:gridCol w:w="1547"/>
        <w:gridCol w:w="2043"/>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11"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货物名称</w:t>
            </w:r>
          </w:p>
        </w:tc>
        <w:tc>
          <w:tcPr>
            <w:tcW w:w="2127"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医疗器械使用</w:t>
            </w:r>
          </w:p>
          <w:p>
            <w:pPr>
              <w:spacing w:line="4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安全性分类级别</w:t>
            </w:r>
          </w:p>
        </w:tc>
        <w:tc>
          <w:tcPr>
            <w:tcW w:w="1642"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是否有医疗器械注册证</w:t>
            </w:r>
          </w:p>
        </w:tc>
        <w:tc>
          <w:tcPr>
            <w:tcW w:w="1547" w:type="dxa"/>
            <w:noWrap w:val="0"/>
            <w:vAlign w:val="top"/>
          </w:tcPr>
          <w:p>
            <w:pPr>
              <w:spacing w:line="4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注册证有效期截止时间</w:t>
            </w:r>
          </w:p>
        </w:tc>
        <w:tc>
          <w:tcPr>
            <w:tcW w:w="2043"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注册证见投标文件（）页码</w:t>
            </w:r>
          </w:p>
        </w:tc>
        <w:tc>
          <w:tcPr>
            <w:tcW w:w="907" w:type="dxa"/>
            <w:noWrap w:val="0"/>
            <w:vAlign w:val="top"/>
          </w:tcPr>
          <w:p>
            <w:pPr>
              <w:spacing w:line="4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一类</w:t>
            </w:r>
          </w:p>
          <w:p>
            <w:pPr>
              <w:spacing w:line="400" w:lineRule="exact"/>
              <w:rPr>
                <w:rFonts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二类</w:t>
            </w:r>
          </w:p>
          <w:p>
            <w:pPr>
              <w:spacing w:line="400" w:lineRule="exact"/>
              <w:rPr>
                <w:rFonts w:hint="eastAsia"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三类</w:t>
            </w:r>
          </w:p>
        </w:tc>
        <w:tc>
          <w:tcPr>
            <w:tcW w:w="1642" w:type="dxa"/>
            <w:noWrap w:val="0"/>
            <w:vAlign w:val="top"/>
          </w:tcPr>
          <w:p>
            <w:pPr>
              <w:spacing w:line="400" w:lineRule="exact"/>
              <w:jc w:val="left"/>
              <w:rPr>
                <w:rFonts w:hint="eastAsia"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具有</w:t>
            </w:r>
          </w:p>
          <w:p>
            <w:pPr>
              <w:spacing w:line="400" w:lineRule="exact"/>
              <w:jc w:val="left"/>
              <w:rPr>
                <w:rFonts w:hint="eastAsia"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无</w:t>
            </w: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见投标文件（）页</w:t>
            </w: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2127"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1642"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1547"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2043"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907"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bl>
    <w:p>
      <w:pPr>
        <w:pStyle w:val="2"/>
        <w:widowControl w:val="0"/>
        <w:numPr>
          <w:ilvl w:val="0"/>
          <w:numId w:val="0"/>
        </w:numPr>
        <w:suppressAutoHyphens/>
        <w:spacing w:line="400" w:lineRule="exact"/>
        <w:jc w:val="both"/>
        <w:textAlignment w:val="baseline"/>
        <w:rPr>
          <w:rFonts w:hint="eastAsia" w:ascii="宋体" w:hAnsi="宋体" w:eastAsia="宋体" w:cs="宋体"/>
          <w:color w:val="auto"/>
          <w:sz w:val="24"/>
          <w:highlight w:val="none"/>
        </w:rPr>
      </w:pPr>
    </w:p>
    <w:p>
      <w:pPr>
        <w:pStyle w:val="2"/>
        <w:spacing w:line="400" w:lineRule="exact"/>
        <w:ind w:firstLine="0"/>
        <w:rPr>
          <w:rFonts w:hint="eastAsia" w:ascii="宋体" w:hAnsi="宋体" w:eastAsia="宋体;SimSun" w:cs="宋体;SimSun"/>
          <w:color w:val="auto"/>
          <w:spacing w:val="0"/>
          <w:kern w:val="2"/>
          <w:sz w:val="24"/>
          <w:highlight w:val="none"/>
        </w:rPr>
      </w:pPr>
      <w:r>
        <w:rPr>
          <w:rFonts w:hint="eastAsia" w:ascii="宋体" w:hAnsi="宋体" w:eastAsia="宋体;SimSun" w:cs="宋体;SimSun"/>
          <w:color w:val="auto"/>
          <w:spacing w:val="0"/>
          <w:kern w:val="2"/>
          <w:sz w:val="24"/>
          <w:highlight w:val="none"/>
          <w:lang w:val="en-US" w:eastAsia="zh-CN"/>
        </w:rPr>
        <w:t>注：1.</w:t>
      </w:r>
      <w:r>
        <w:rPr>
          <w:rFonts w:hint="eastAsia" w:ascii="宋体" w:hAnsi="宋体" w:eastAsia="宋体;SimSun" w:cs="宋体;SimSun"/>
          <w:color w:val="auto"/>
          <w:spacing w:val="0"/>
          <w:kern w:val="2"/>
          <w:sz w:val="24"/>
          <w:highlight w:val="none"/>
        </w:rPr>
        <w:t>供应商</w:t>
      </w:r>
      <w:r>
        <w:rPr>
          <w:rFonts w:hint="eastAsia" w:ascii="宋体" w:hAnsi="宋体" w:eastAsia="宋体;SimSun" w:cs="宋体;SimSun"/>
          <w:color w:val="auto"/>
          <w:spacing w:val="0"/>
          <w:kern w:val="2"/>
          <w:sz w:val="24"/>
          <w:highlight w:val="none"/>
          <w:lang w:val="en-US" w:eastAsia="zh-CN"/>
        </w:rPr>
        <w:t>须附</w:t>
      </w:r>
      <w:r>
        <w:rPr>
          <w:rFonts w:hint="eastAsia" w:ascii="宋体" w:hAnsi="宋体" w:eastAsia="宋体;SimSun" w:cs="宋体;SimSun"/>
          <w:color w:val="auto"/>
          <w:spacing w:val="0"/>
          <w:kern w:val="2"/>
          <w:sz w:val="24"/>
          <w:highlight w:val="none"/>
        </w:rPr>
        <w:t>所投产品的医疗器械注册证(或按照国家食品药品监督管理部门规定实行备案管理的，出具备案证明文件)（</w:t>
      </w:r>
      <w:r>
        <w:rPr>
          <w:rFonts w:hint="eastAsia" w:ascii="宋体" w:hAnsi="宋体" w:eastAsia="宋体;SimSun" w:cs="宋体;SimSun"/>
          <w:color w:val="auto"/>
          <w:spacing w:val="0"/>
          <w:kern w:val="2"/>
          <w:sz w:val="24"/>
          <w:highlight w:val="none"/>
          <w:lang w:val="en-US" w:eastAsia="zh-CN"/>
        </w:rPr>
        <w:t>复印件</w:t>
      </w:r>
      <w:r>
        <w:rPr>
          <w:rFonts w:hint="eastAsia" w:ascii="宋体" w:hAnsi="宋体" w:eastAsia="宋体;SimSun" w:cs="宋体;SimSun"/>
          <w:color w:val="auto"/>
          <w:spacing w:val="0"/>
          <w:kern w:val="2"/>
          <w:sz w:val="24"/>
          <w:highlight w:val="none"/>
        </w:rPr>
        <w:t>）；</w:t>
      </w:r>
    </w:p>
    <w:p>
      <w:pPr>
        <w:pStyle w:val="2"/>
        <w:spacing w:line="400" w:lineRule="exact"/>
        <w:ind w:firstLine="480" w:firstLineChars="200"/>
        <w:rPr>
          <w:rFonts w:hint="default" w:ascii="宋体" w:hAnsi="宋体" w:eastAsia="宋体;SimSun" w:cs="宋体;SimSun"/>
          <w:b/>
          <w:bCs/>
          <w:color w:val="auto"/>
          <w:spacing w:val="0"/>
          <w:kern w:val="2"/>
          <w:sz w:val="24"/>
          <w:highlight w:val="none"/>
          <w:u w:val="single"/>
          <w:lang w:val="en-US" w:eastAsia="zh-CN"/>
        </w:rPr>
      </w:pPr>
      <w:r>
        <w:rPr>
          <w:rFonts w:hint="eastAsia" w:ascii="宋体" w:hAnsi="宋体" w:eastAsia="宋体;SimSun" w:cs="宋体;SimSun"/>
          <w:color w:val="auto"/>
          <w:spacing w:val="0"/>
          <w:kern w:val="2"/>
          <w:sz w:val="24"/>
          <w:highlight w:val="none"/>
          <w:lang w:val="en-US" w:eastAsia="zh-CN"/>
        </w:rPr>
        <w:t>2.</w:t>
      </w:r>
      <w:r>
        <w:rPr>
          <w:rFonts w:hint="eastAsia" w:ascii="宋体" w:hAnsi="宋体" w:eastAsia="宋体;SimSun" w:cs="宋体;SimSun"/>
          <w:color w:val="auto"/>
          <w:spacing w:val="0"/>
          <w:kern w:val="2"/>
          <w:sz w:val="24"/>
          <w:highlight w:val="none"/>
        </w:rPr>
        <w:t>投标人应根据参投的产品和响应实际情况填写上表内容，</w:t>
      </w:r>
      <w:r>
        <w:rPr>
          <w:rFonts w:hint="eastAsia" w:ascii="宋体" w:hAnsi="宋体" w:eastAsia="宋体;SimSun" w:cs="宋体;SimSun"/>
          <w:b/>
          <w:bCs/>
          <w:color w:val="auto"/>
          <w:spacing w:val="0"/>
          <w:kern w:val="2"/>
          <w:sz w:val="24"/>
          <w:highlight w:val="none"/>
          <w:u w:val="single"/>
        </w:rPr>
        <w:t>在“</w:t>
      </w:r>
      <w:r>
        <w:rPr>
          <w:rFonts w:hint="eastAsia"/>
          <w:color w:val="auto"/>
          <w:highlight w:val="none"/>
          <w:u w:val="single"/>
        </w:rPr>
        <w:sym w:font="Wingdings" w:char="00A8"/>
      </w:r>
      <w:r>
        <w:rPr>
          <w:rFonts w:hint="eastAsia" w:ascii="宋体" w:hAnsi="宋体" w:eastAsia="宋体;SimSun" w:cs="宋体;SimSun"/>
          <w:b/>
          <w:bCs/>
          <w:color w:val="auto"/>
          <w:spacing w:val="0"/>
          <w:kern w:val="2"/>
          <w:sz w:val="24"/>
          <w:highlight w:val="none"/>
          <w:u w:val="single"/>
        </w:rPr>
        <w:t>”中勾选</w:t>
      </w:r>
      <w:r>
        <w:rPr>
          <w:rFonts w:hint="eastAsia" w:ascii="宋体" w:hAnsi="宋体" w:eastAsia="宋体;SimSun" w:cs="宋体;SimSun"/>
          <w:b/>
          <w:bCs/>
          <w:color w:val="auto"/>
          <w:spacing w:val="0"/>
          <w:kern w:val="2"/>
          <w:sz w:val="24"/>
          <w:highlight w:val="none"/>
          <w:u w:val="single"/>
        </w:rPr>
        <w:sym w:font="Wingdings 2" w:char="F050"/>
      </w:r>
      <w:r>
        <w:rPr>
          <w:rFonts w:hint="eastAsia" w:ascii="宋体" w:hAnsi="宋体" w:eastAsia="宋体;SimSun" w:cs="宋体;SimSun"/>
          <w:b/>
          <w:bCs/>
          <w:color w:val="auto"/>
          <w:spacing w:val="0"/>
          <w:kern w:val="2"/>
          <w:sz w:val="24"/>
          <w:highlight w:val="none"/>
          <w:u w:val="single"/>
        </w:rPr>
        <w:t>对应项，并后附提供相关注册证书（如有），对应填写所在投标文件页码；如无，页码处可用“/”表示。</w:t>
      </w:r>
    </w:p>
    <w:p>
      <w:pPr>
        <w:pStyle w:val="2"/>
        <w:spacing w:line="480" w:lineRule="exact"/>
        <w:ind w:firstLine="480" w:firstLineChars="200"/>
        <w:rPr>
          <w:rFonts w:hint="default" w:ascii="宋体" w:hAnsi="宋体" w:eastAsia="仿宋_GB2312" w:cs="宋体;SimSun"/>
          <w:color w:val="auto"/>
          <w:spacing w:val="0"/>
          <w:sz w:val="24"/>
          <w:szCs w:val="24"/>
          <w:highlight w:val="none"/>
          <w:lang w:val="en-US" w:eastAsia="zh-CN"/>
        </w:rPr>
      </w:pPr>
      <w:r>
        <w:rPr>
          <w:rFonts w:hint="eastAsia" w:ascii="宋体" w:hAnsi="宋体" w:cs="宋体;SimSun"/>
          <w:color w:val="auto"/>
          <w:spacing w:val="0"/>
          <w:sz w:val="24"/>
          <w:szCs w:val="24"/>
          <w:highlight w:val="none"/>
          <w:lang w:val="en-US" w:eastAsia="zh-CN"/>
        </w:rPr>
        <w:t>3.</w:t>
      </w:r>
      <w:r>
        <w:rPr>
          <w:rFonts w:hint="eastAsia" w:ascii="宋体" w:hAnsi="宋体" w:eastAsia="宋体;SimSun" w:cs="宋体;SimSun"/>
          <w:color w:val="auto"/>
          <w:spacing w:val="0"/>
          <w:kern w:val="2"/>
          <w:sz w:val="24"/>
          <w:highlight w:val="none"/>
        </w:rPr>
        <w:t>如本表格式内容不能满足需要，投标人可根据本表格格式自行划表填写，但必须体现以上内容。</w:t>
      </w:r>
    </w:p>
    <w:p>
      <w:pPr>
        <w:pStyle w:val="2"/>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）开标一览表</w:t>
      </w:r>
    </w:p>
    <w:p>
      <w:pPr>
        <w:shd w:val="clear" w:color="auto" w:fill="FFFFFF"/>
        <w:spacing w:line="440" w:lineRule="exact"/>
        <w:jc w:val="center"/>
        <w:rPr>
          <w:rFonts w:hint="eastAsia" w:ascii="宋体" w:hAnsi="宋体" w:eastAsia="宋体" w:cs="宋体"/>
          <w:b/>
          <w:color w:val="auto"/>
          <w:sz w:val="28"/>
          <w:szCs w:val="28"/>
          <w:highlight w:val="none"/>
        </w:rPr>
      </w:pPr>
    </w:p>
    <w:p>
      <w:pPr>
        <w:shd w:val="clear" w:color="auto" w:fill="FFFFFF"/>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p>
      <w:pPr>
        <w:tabs>
          <w:tab w:val="center" w:pos="7115"/>
          <w:tab w:val="right" w:pos="14230"/>
        </w:tabs>
        <w:ind w:firstLine="723"/>
        <w:jc w:val="center"/>
        <w:rPr>
          <w:rFonts w:hint="eastAsia" w:ascii="宋体" w:hAnsi="宋体" w:eastAsia="宋体" w:cs="宋体"/>
          <w:color w:val="auto"/>
          <w:sz w:val="24"/>
          <w:highlight w:val="none"/>
        </w:rPr>
      </w:pPr>
    </w:p>
    <w:p>
      <w:pPr>
        <w:tabs>
          <w:tab w:val="center" w:pos="7115"/>
          <w:tab w:val="right" w:pos="14230"/>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w:t>
      </w:r>
    </w:p>
    <w:p>
      <w:pPr>
        <w:spacing w:line="480" w:lineRule="exact"/>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乌鲁木齐市米东区人民医院医疗设备采购项目</w:t>
      </w:r>
      <w:r>
        <w:rPr>
          <w:rFonts w:hint="eastAsia" w:ascii="宋体" w:hAnsi="宋体" w:eastAsia="宋体" w:cs="宋体"/>
          <w:color w:val="auto"/>
          <w:sz w:val="24"/>
          <w:highlight w:val="none"/>
          <w:lang w:val="en-US" w:eastAsia="zh-CN"/>
        </w:rPr>
        <w:t>/标项</w:t>
      </w:r>
      <w:r>
        <w:rPr>
          <w:rFonts w:hint="eastAsia" w:ascii="宋体" w:hAnsi="宋体" w:eastAsia="宋体" w:cs="宋体"/>
          <w:color w:val="auto"/>
          <w:sz w:val="24"/>
          <w:highlight w:val="none"/>
          <w:u w:val="single"/>
          <w:lang w:val="en-US" w:eastAsia="zh-CN"/>
        </w:rPr>
        <w:t xml:space="preserve">     </w:t>
      </w:r>
    </w:p>
    <w:p>
      <w:pPr>
        <w:spacing w:line="48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2023HDYPCS-039</w:t>
      </w:r>
      <w:r>
        <w:rPr>
          <w:rFonts w:hint="eastAsia" w:ascii="宋体" w:hAnsi="宋体" w:eastAsia="宋体" w:cs="宋体"/>
          <w:color w:val="auto"/>
          <w:sz w:val="24"/>
          <w:highlight w:val="none"/>
          <w:lang w:val="en-US" w:eastAsia="zh-CN"/>
        </w:rPr>
        <w:t>/标项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单位：元</w:t>
      </w:r>
    </w:p>
    <w:tbl>
      <w:tblPr>
        <w:tblStyle w:val="25"/>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8"/>
        <w:gridCol w:w="668"/>
        <w:gridCol w:w="932"/>
        <w:gridCol w:w="1100"/>
        <w:gridCol w:w="909"/>
        <w:gridCol w:w="1049"/>
        <w:gridCol w:w="1049"/>
        <w:gridCol w:w="1153"/>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2" w:hRule="atLeast"/>
          <w:jc w:val="center"/>
        </w:trPr>
        <w:tc>
          <w:tcPr>
            <w:tcW w:w="2028"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668"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932"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品牌/规格型号</w:t>
            </w:r>
          </w:p>
        </w:tc>
        <w:tc>
          <w:tcPr>
            <w:tcW w:w="1100" w:type="dxa"/>
            <w:tcBorders>
              <w:bottom w:val="single" w:color="auto" w:sz="4" w:space="0"/>
            </w:tcBorders>
            <w:noWrap w:val="0"/>
            <w:vAlign w:val="center"/>
          </w:tcPr>
          <w:p>
            <w:pPr>
              <w:spacing w:line="300" w:lineRule="exact"/>
              <w:jc w:val="center"/>
              <w:rPr>
                <w:rFonts w:hint="eastAsia"/>
                <w:color w:val="auto"/>
                <w:highlight w:val="none"/>
                <w:lang w:val="en-US" w:eastAsia="zh-CN"/>
              </w:rPr>
            </w:pPr>
            <w:r>
              <w:rPr>
                <w:rFonts w:hint="eastAsia"/>
                <w:color w:val="auto"/>
                <w:highlight w:val="none"/>
                <w:lang w:val="en-US" w:eastAsia="zh-CN"/>
              </w:rPr>
              <w:t>设备价</w:t>
            </w:r>
          </w:p>
          <w:p>
            <w:pPr>
              <w:spacing w:line="300" w:lineRule="exact"/>
              <w:jc w:val="center"/>
              <w:rPr>
                <w:rFonts w:hint="default"/>
                <w:color w:val="auto"/>
                <w:highlight w:val="none"/>
                <w:lang w:val="en-US" w:eastAsia="zh-CN"/>
              </w:rPr>
            </w:pPr>
            <w:r>
              <w:rPr>
                <w:rFonts w:hint="eastAsia"/>
                <w:color w:val="auto"/>
                <w:highlight w:val="none"/>
                <w:lang w:val="en-US" w:eastAsia="zh-CN"/>
              </w:rPr>
              <w:t>（单价）</w:t>
            </w:r>
          </w:p>
        </w:tc>
        <w:tc>
          <w:tcPr>
            <w:tcW w:w="909"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运杂费</w:t>
            </w:r>
          </w:p>
        </w:tc>
        <w:tc>
          <w:tcPr>
            <w:tcW w:w="1049" w:type="dxa"/>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安装调试费</w:t>
            </w:r>
          </w:p>
        </w:tc>
        <w:tc>
          <w:tcPr>
            <w:tcW w:w="1049" w:type="dxa"/>
            <w:noWrap w:val="0"/>
            <w:vAlign w:val="center"/>
          </w:tcPr>
          <w:p>
            <w:pPr>
              <w:spacing w:line="3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交货期</w:t>
            </w:r>
          </w:p>
        </w:tc>
        <w:tc>
          <w:tcPr>
            <w:tcW w:w="1153" w:type="dxa"/>
            <w:noWrap w:val="0"/>
            <w:vAlign w:val="center"/>
          </w:tcPr>
          <w:p>
            <w:pPr>
              <w:spacing w:line="3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合价</w:t>
            </w:r>
          </w:p>
        </w:tc>
        <w:tc>
          <w:tcPr>
            <w:tcW w:w="945" w:type="dxa"/>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20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top"/>
              <w:rPr>
                <w:rFonts w:hint="eastAsia" w:ascii="宋体" w:hAnsi="宋体" w:eastAsia="宋体" w:cs="宋体"/>
                <w:color w:val="auto"/>
                <w:sz w:val="21"/>
                <w:szCs w:val="21"/>
                <w:highlight w:val="none"/>
                <w:lang w:eastAsia="zh-CN"/>
              </w:rPr>
            </w:pPr>
          </w:p>
        </w:tc>
        <w:tc>
          <w:tcPr>
            <w:tcW w:w="668" w:type="dxa"/>
            <w:noWrap w:val="0"/>
            <w:vAlign w:val="center"/>
          </w:tcPr>
          <w:p>
            <w:pPr>
              <w:spacing w:line="300" w:lineRule="exact"/>
              <w:jc w:val="center"/>
              <w:rPr>
                <w:rFonts w:hint="eastAsia" w:ascii="宋体" w:hAnsi="宋体" w:eastAsia="宋体" w:cs="宋体"/>
                <w:color w:val="auto"/>
                <w:highlight w:val="none"/>
              </w:rPr>
            </w:pPr>
          </w:p>
        </w:tc>
        <w:tc>
          <w:tcPr>
            <w:tcW w:w="932" w:type="dxa"/>
            <w:noWrap w:val="0"/>
            <w:vAlign w:val="center"/>
          </w:tcPr>
          <w:p>
            <w:pPr>
              <w:spacing w:line="300" w:lineRule="exact"/>
              <w:jc w:val="center"/>
              <w:rPr>
                <w:rFonts w:hint="eastAsia" w:ascii="宋体" w:hAnsi="宋体" w:eastAsia="宋体" w:cs="宋体"/>
                <w:color w:val="auto"/>
                <w:highlight w:val="none"/>
              </w:rPr>
            </w:pPr>
          </w:p>
        </w:tc>
        <w:tc>
          <w:tcPr>
            <w:tcW w:w="1100" w:type="dxa"/>
            <w:noWrap w:val="0"/>
            <w:vAlign w:val="center"/>
          </w:tcPr>
          <w:p>
            <w:pPr>
              <w:spacing w:line="300" w:lineRule="exact"/>
              <w:jc w:val="center"/>
              <w:rPr>
                <w:rFonts w:hint="eastAsia" w:ascii="宋体" w:hAnsi="宋体" w:eastAsia="宋体" w:cs="宋体"/>
                <w:color w:val="auto"/>
                <w:highlight w:val="none"/>
              </w:rPr>
            </w:pPr>
          </w:p>
        </w:tc>
        <w:tc>
          <w:tcPr>
            <w:tcW w:w="909" w:type="dxa"/>
            <w:noWrap w:val="0"/>
            <w:vAlign w:val="center"/>
          </w:tcPr>
          <w:p>
            <w:pPr>
              <w:spacing w:line="300" w:lineRule="exact"/>
              <w:jc w:val="center"/>
              <w:rPr>
                <w:rFonts w:hint="eastAsia" w:ascii="宋体" w:hAnsi="宋体" w:eastAsia="宋体" w:cs="宋体"/>
                <w:color w:val="auto"/>
                <w:highlight w:val="none"/>
              </w:rPr>
            </w:pPr>
          </w:p>
        </w:tc>
        <w:tc>
          <w:tcPr>
            <w:tcW w:w="1049" w:type="dxa"/>
            <w:noWrap w:val="0"/>
            <w:vAlign w:val="center"/>
          </w:tcPr>
          <w:p>
            <w:pPr>
              <w:spacing w:line="300" w:lineRule="exact"/>
              <w:ind w:firstLine="525" w:firstLineChars="250"/>
              <w:jc w:val="center"/>
              <w:rPr>
                <w:rFonts w:hint="eastAsia" w:ascii="宋体" w:hAnsi="宋体" w:eastAsia="宋体" w:cs="宋体"/>
                <w:color w:val="auto"/>
                <w:highlight w:val="none"/>
              </w:rPr>
            </w:pPr>
          </w:p>
        </w:tc>
        <w:tc>
          <w:tcPr>
            <w:tcW w:w="1049" w:type="dxa"/>
            <w:noWrap w:val="0"/>
            <w:vAlign w:val="center"/>
          </w:tcPr>
          <w:p>
            <w:pPr>
              <w:spacing w:line="300" w:lineRule="exact"/>
              <w:ind w:firstLine="525" w:firstLineChars="250"/>
              <w:jc w:val="center"/>
              <w:rPr>
                <w:rFonts w:hint="eastAsia" w:ascii="宋体" w:hAnsi="宋体" w:eastAsia="宋体" w:cs="宋体"/>
                <w:color w:val="auto"/>
                <w:highlight w:val="none"/>
              </w:rPr>
            </w:pPr>
          </w:p>
        </w:tc>
        <w:tc>
          <w:tcPr>
            <w:tcW w:w="1153" w:type="dxa"/>
            <w:tcBorders>
              <w:right w:val="single" w:color="auto" w:sz="4" w:space="0"/>
            </w:tcBorders>
            <w:noWrap w:val="0"/>
            <w:vAlign w:val="center"/>
          </w:tcPr>
          <w:p>
            <w:pPr>
              <w:pStyle w:val="2"/>
              <w:spacing w:line="300" w:lineRule="exact"/>
              <w:jc w:val="center"/>
              <w:rPr>
                <w:rFonts w:hint="eastAsia" w:ascii="宋体" w:hAnsi="宋体" w:eastAsia="宋体" w:cs="宋体"/>
                <w:color w:val="auto"/>
                <w:spacing w:val="0"/>
                <w:highlight w:val="none"/>
              </w:rPr>
            </w:pPr>
          </w:p>
        </w:tc>
        <w:tc>
          <w:tcPr>
            <w:tcW w:w="945" w:type="dxa"/>
            <w:tcBorders>
              <w:right w:val="single" w:color="auto" w:sz="4" w:space="0"/>
            </w:tcBorders>
            <w:noWrap w:val="0"/>
            <w:vAlign w:val="center"/>
          </w:tcPr>
          <w:p>
            <w:pPr>
              <w:pStyle w:val="2"/>
              <w:spacing w:line="300" w:lineRule="exact"/>
              <w:jc w:val="center"/>
              <w:rPr>
                <w:rFonts w:hint="eastAsia" w:ascii="宋体" w:hAnsi="宋体" w:eastAsia="宋体" w:cs="宋体"/>
                <w:color w:val="auto"/>
                <w:spacing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3628" w:type="dxa"/>
            <w:gridSpan w:val="3"/>
            <w:noWrap w:val="0"/>
            <w:vAlign w:val="center"/>
          </w:tcPr>
          <w:p>
            <w:pPr>
              <w:spacing w:line="3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磋商总报价</w:t>
            </w:r>
          </w:p>
        </w:tc>
        <w:tc>
          <w:tcPr>
            <w:tcW w:w="6205" w:type="dxa"/>
            <w:gridSpan w:val="6"/>
            <w:tcBorders>
              <w:right w:val="single" w:color="auto" w:sz="4" w:space="0"/>
            </w:tcBorders>
            <w:noWrap w:val="0"/>
            <w:vAlign w:val="center"/>
          </w:tcPr>
          <w:p>
            <w:pPr>
              <w:pStyle w:val="2"/>
              <w:spacing w:line="300" w:lineRule="exact"/>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小写：</w:t>
            </w:r>
          </w:p>
          <w:p>
            <w:pPr>
              <w:pStyle w:val="2"/>
              <w:spacing w:line="300" w:lineRule="exact"/>
              <w:jc w:val="left"/>
              <w:rPr>
                <w:rFonts w:hint="eastAsia" w:ascii="宋体" w:hAnsi="宋体" w:eastAsia="宋体" w:cs="宋体"/>
                <w:color w:val="auto"/>
                <w:spacing w:val="0"/>
                <w:highlight w:val="none"/>
              </w:rPr>
            </w:pPr>
            <w:r>
              <w:rPr>
                <w:rFonts w:hint="eastAsia" w:ascii="宋体" w:hAnsi="宋体" w:eastAsia="宋体" w:cs="宋体"/>
                <w:color w:val="auto"/>
                <w:highlight w:val="none"/>
                <w:lang w:val="en-US" w:eastAsia="zh-CN"/>
              </w:rPr>
              <w:t>大写：</w:t>
            </w:r>
          </w:p>
        </w:tc>
      </w:tr>
    </w:tbl>
    <w:p>
      <w:pPr>
        <w:shd w:val="clear" w:color="auto" w:fill="FFFFFF"/>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或授权代理人（签</w:t>
      </w:r>
      <w:r>
        <w:rPr>
          <w:rFonts w:hint="eastAsia" w:ascii="宋体" w:hAnsi="宋体" w:eastAsia="宋体" w:cs="宋体"/>
          <w:color w:val="auto"/>
          <w:sz w:val="24"/>
          <w:highlight w:val="none"/>
          <w:lang w:val="en-US" w:eastAsia="zh-CN"/>
        </w:rPr>
        <w:t>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供应商（</w:t>
      </w:r>
      <w:r>
        <w:rPr>
          <w:rFonts w:hint="eastAsia" w:ascii="宋体" w:hAnsi="宋体" w:eastAsia="宋体" w:cs="宋体"/>
          <w:snapToGrid w:val="0"/>
          <w:color w:val="auto"/>
          <w:spacing w:val="-11"/>
          <w:kern w:val="0"/>
          <w:sz w:val="24"/>
          <w:szCs w:val="24"/>
          <w:highlight w:val="none"/>
          <w:lang w:val="en-US" w:eastAsia="zh-CN"/>
        </w:rPr>
        <w:t>电子公章</w:t>
      </w:r>
      <w:r>
        <w:rPr>
          <w:rFonts w:hint="eastAsia" w:ascii="宋体" w:hAnsi="宋体" w:eastAsia="宋体" w:cs="宋体"/>
          <w:color w:val="auto"/>
          <w:sz w:val="24"/>
          <w:highlight w:val="none"/>
        </w:rPr>
        <w:t>）：</w:t>
      </w: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widowControl/>
        <w:spacing w:line="44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注：1</w:t>
      </w:r>
      <w:r>
        <w:rPr>
          <w:rFonts w:hint="eastAsia" w:ascii="宋体" w:hAnsi="宋体" w:eastAsia="宋体" w:cs="宋体"/>
          <w:b/>
          <w:color w:val="auto"/>
          <w:sz w:val="24"/>
          <w:highlight w:val="none"/>
        </w:rPr>
        <w:t>、在开标一览表中，按第二章投标须知15.3条款的规定不允许出现两种报价，否则其投标将被拒绝。</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2、除</w:t>
      </w:r>
      <w:r>
        <w:rPr>
          <w:rFonts w:hint="eastAsia" w:ascii="宋体" w:hAnsi="宋体" w:cs="宋体"/>
          <w:b/>
          <w:bCs/>
          <w:color w:val="auto"/>
          <w:sz w:val="24"/>
          <w:highlight w:val="none"/>
          <w:lang w:val="en-US" w:eastAsia="zh-CN"/>
        </w:rPr>
        <w:t>投标</w:t>
      </w:r>
      <w:r>
        <w:rPr>
          <w:rFonts w:hint="eastAsia" w:ascii="宋体" w:hAnsi="宋体" w:eastAsia="宋体" w:cs="宋体"/>
          <w:b/>
          <w:bCs/>
          <w:color w:val="auto"/>
          <w:sz w:val="24"/>
          <w:highlight w:val="none"/>
          <w:lang w:val="en-US" w:eastAsia="zh-CN"/>
        </w:rPr>
        <w:t>文件外，须单独封装一份在信袋内。</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3、投标总报价大写金额与小写金额不一致，以大写金额为准。</w:t>
      </w:r>
    </w:p>
    <w:p>
      <w:pPr>
        <w:pStyle w:val="2"/>
        <w:ind w:left="0" w:leftChars="0" w:firstLine="482" w:firstLineChars="200"/>
        <w:rPr>
          <w:rFonts w:hint="default" w:ascii="宋体" w:hAnsi="宋体" w:eastAsia="宋体" w:cs="宋体"/>
          <w:b/>
          <w:color w:val="auto"/>
          <w:spacing w:val="0"/>
          <w:kern w:val="2"/>
          <w:sz w:val="24"/>
          <w:szCs w:val="21"/>
          <w:highlight w:val="none"/>
          <w:lang w:val="en-US" w:eastAsia="zh-CN" w:bidi="ar-SA"/>
        </w:rPr>
      </w:pPr>
      <w:r>
        <w:rPr>
          <w:rFonts w:hint="eastAsia" w:ascii="宋体" w:hAnsi="宋体" w:eastAsia="宋体" w:cs="宋体"/>
          <w:b/>
          <w:color w:val="auto"/>
          <w:spacing w:val="0"/>
          <w:kern w:val="2"/>
          <w:sz w:val="24"/>
          <w:szCs w:val="21"/>
          <w:highlight w:val="none"/>
          <w:lang w:val="en-US" w:eastAsia="zh-CN" w:bidi="ar-SA"/>
        </w:rPr>
        <w:t>4、</w:t>
      </w:r>
      <w:r>
        <w:rPr>
          <w:rFonts w:hint="default" w:ascii="宋体" w:hAnsi="宋体" w:eastAsia="宋体" w:cs="宋体"/>
          <w:b/>
          <w:color w:val="auto"/>
          <w:spacing w:val="0"/>
          <w:kern w:val="2"/>
          <w:sz w:val="24"/>
          <w:szCs w:val="21"/>
          <w:highlight w:val="none"/>
          <w:lang w:val="en-US" w:eastAsia="zh-CN" w:bidi="ar-SA"/>
        </w:rPr>
        <w:t>项目编号按照2023HDYPCS-039</w:t>
      </w:r>
      <w:r>
        <w:rPr>
          <w:rFonts w:hint="eastAsia" w:ascii="宋体" w:hAnsi="宋体" w:eastAsia="宋体" w:cs="宋体"/>
          <w:b/>
          <w:color w:val="auto"/>
          <w:spacing w:val="0"/>
          <w:kern w:val="2"/>
          <w:sz w:val="24"/>
          <w:szCs w:val="21"/>
          <w:highlight w:val="none"/>
          <w:lang w:val="en-US" w:eastAsia="zh-CN" w:bidi="ar-SA"/>
        </w:rPr>
        <w:t>/标项一</w:t>
      </w:r>
      <w:r>
        <w:rPr>
          <w:rFonts w:hint="default" w:ascii="宋体" w:hAnsi="宋体" w:eastAsia="宋体" w:cs="宋体"/>
          <w:b/>
          <w:color w:val="auto"/>
          <w:spacing w:val="0"/>
          <w:kern w:val="2"/>
          <w:sz w:val="24"/>
          <w:szCs w:val="21"/>
          <w:highlight w:val="none"/>
          <w:lang w:val="en-US" w:eastAsia="zh-CN" w:bidi="ar-SA"/>
        </w:rPr>
        <w:t>、2023HDYPCS-039/标项</w:t>
      </w:r>
      <w:r>
        <w:rPr>
          <w:rFonts w:hint="eastAsia" w:ascii="宋体" w:hAnsi="宋体" w:eastAsia="宋体" w:cs="宋体"/>
          <w:b/>
          <w:color w:val="auto"/>
          <w:spacing w:val="0"/>
          <w:kern w:val="2"/>
          <w:sz w:val="24"/>
          <w:szCs w:val="21"/>
          <w:highlight w:val="none"/>
          <w:lang w:val="en-US" w:eastAsia="zh-CN" w:bidi="ar-SA"/>
        </w:rPr>
        <w:t>二</w:t>
      </w:r>
      <w:r>
        <w:rPr>
          <w:rFonts w:hint="default" w:ascii="宋体" w:hAnsi="宋体" w:eastAsia="宋体" w:cs="宋体"/>
          <w:b/>
          <w:color w:val="auto"/>
          <w:spacing w:val="0"/>
          <w:kern w:val="2"/>
          <w:sz w:val="24"/>
          <w:szCs w:val="21"/>
          <w:highlight w:val="none"/>
          <w:lang w:val="en-US" w:eastAsia="zh-CN" w:bidi="ar-SA"/>
        </w:rPr>
        <w:t>等依次类推。</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auto"/>
          <w:szCs w:val="24"/>
          <w:highlight w:val="none"/>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 明细报价表</w:t>
      </w:r>
    </w:p>
    <w:p>
      <w:pPr>
        <w:pStyle w:val="44"/>
        <w:ind w:firstLine="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明细报价表</w:t>
      </w:r>
    </w:p>
    <w:p>
      <w:pPr>
        <w:pStyle w:val="40"/>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（此表由各供应商按招标货物内容、顺序编制填写，包括详细的产品配置清单、价格、供货范围、名称、规格、技术参数、主要配件的品牌及供货厂家等。）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63"/>
        <w:gridCol w:w="1559"/>
        <w:gridCol w:w="993"/>
        <w:gridCol w:w="861"/>
        <w:gridCol w:w="985"/>
        <w:gridCol w:w="84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063" w:type="dxa"/>
            <w:noWrap w:val="0"/>
            <w:vAlign w:val="center"/>
          </w:tcPr>
          <w:p>
            <w:pPr>
              <w:spacing w:line="30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155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品牌及规格型号</w:t>
            </w:r>
          </w:p>
        </w:tc>
        <w:tc>
          <w:tcPr>
            <w:tcW w:w="99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数量（标明单位）</w:t>
            </w:r>
          </w:p>
        </w:tc>
        <w:tc>
          <w:tcPr>
            <w:tcW w:w="861"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985"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合价（元）</w:t>
            </w:r>
          </w:p>
        </w:tc>
        <w:tc>
          <w:tcPr>
            <w:tcW w:w="847"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生产厂家</w:t>
            </w:r>
          </w:p>
        </w:tc>
        <w:tc>
          <w:tcPr>
            <w:tcW w:w="1134" w:type="dxa"/>
            <w:noWrap w:val="0"/>
            <w:vAlign w:val="center"/>
          </w:tcPr>
          <w:p>
            <w:pPr>
              <w:spacing w:line="3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（所投的全部货物、服务内容）</w:t>
            </w:r>
          </w:p>
        </w:tc>
        <w:tc>
          <w:tcPr>
            <w:tcW w:w="1559"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93"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61"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85"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47"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59"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93"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61"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85"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47"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59"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93"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61"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85"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47"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备品备件</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专用工具</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安装调试费</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运杂费</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3772" w:type="dxa"/>
            <w:gridSpan w:val="2"/>
            <w:noWrap w:val="0"/>
            <w:vAlign w:val="center"/>
          </w:tcPr>
          <w:p>
            <w:pPr>
              <w:spacing w:line="30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合计总价（元）</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bl>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w:t>
      </w:r>
      <w:r>
        <w:rPr>
          <w:rFonts w:hint="eastAsia" w:ascii="宋体" w:hAnsi="宋体" w:eastAsia="宋体" w:cs="宋体"/>
          <w:color w:val="auto"/>
          <w:sz w:val="24"/>
          <w:highlight w:val="none"/>
          <w:lang w:val="en-US" w:eastAsia="zh-CN"/>
        </w:rPr>
        <w:t>签章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w:t>
      </w:r>
      <w:r>
        <w:rPr>
          <w:rFonts w:hint="eastAsia" w:ascii="宋体" w:hAnsi="宋体" w:eastAsia="宋体" w:cs="宋体"/>
          <w:snapToGrid w:val="0"/>
          <w:color w:val="auto"/>
          <w:spacing w:val="-11"/>
          <w:kern w:val="0"/>
          <w:sz w:val="24"/>
          <w:szCs w:val="24"/>
          <w:highlight w:val="none"/>
          <w:lang w:val="en-US" w:eastAsia="zh-CN"/>
        </w:rPr>
        <w:t>电子公章</w:t>
      </w:r>
      <w:r>
        <w:rPr>
          <w:rFonts w:hint="eastAsia" w:ascii="宋体" w:hAnsi="宋体" w:eastAsia="宋体" w:cs="宋体"/>
          <w:color w:val="auto"/>
          <w:sz w:val="24"/>
          <w:highlight w:val="none"/>
        </w:rPr>
        <w:t>）：</w:t>
      </w: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5"/>
        <w:ind w:right="-553"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spacing w:line="460" w:lineRule="exact"/>
        <w:ind w:right="-15" w:firstLine="964" w:firstLineChars="400"/>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b/>
          <w:color w:val="auto"/>
          <w:sz w:val="24"/>
          <w:szCs w:val="24"/>
          <w:highlight w:val="none"/>
        </w:rPr>
        <w:t>供应商须参照第三章所列明的内容全部报价。</w:t>
      </w:r>
      <w:r>
        <w:rPr>
          <w:rFonts w:hint="eastAsia" w:ascii="宋体" w:hAnsi="宋体" w:cs="宋体"/>
          <w:b/>
          <w:bCs/>
          <w:color w:val="auto"/>
          <w:kern w:val="0"/>
          <w:sz w:val="24"/>
          <w:highlight w:val="none"/>
          <w:lang w:val="en-US" w:eastAsia="zh-CN"/>
        </w:rPr>
        <w:t>改变格式或未按照要求填报，</w:t>
      </w:r>
      <w:r>
        <w:rPr>
          <w:rFonts w:hint="eastAsia" w:ascii="宋体" w:hAnsi="宋体" w:eastAsia="宋体" w:cs="宋体"/>
          <w:b/>
          <w:color w:val="auto"/>
          <w:sz w:val="24"/>
          <w:szCs w:val="24"/>
          <w:highlight w:val="none"/>
        </w:rPr>
        <w:t>视为未实质性响应招标文件。</w:t>
      </w:r>
    </w:p>
    <w:p>
      <w:pPr>
        <w:pStyle w:val="2"/>
        <w:rPr>
          <w:rFonts w:hint="eastAsia" w:ascii="宋体" w:hAnsi="宋体" w:eastAsia="宋体" w:cs="宋体"/>
          <w:color w:val="auto"/>
          <w:spacing w:val="0"/>
          <w:highlight w:val="none"/>
        </w:rPr>
      </w:pPr>
    </w:p>
    <w:p>
      <w:pPr>
        <w:widowControl/>
        <w:ind w:left="141" w:leftChars="67"/>
        <w:jc w:val="left"/>
        <w:rPr>
          <w:rFonts w:hint="eastAsia" w:ascii="宋体" w:hAnsi="宋体" w:eastAsia="宋体" w:cs="宋体"/>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四</w:t>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实质性响应一览表</w:t>
      </w:r>
    </w:p>
    <w:p>
      <w:pPr>
        <w:shd w:val="clear" w:color="auto" w:fill="FFFFFF"/>
        <w:spacing w:line="440" w:lineRule="exact"/>
        <w:jc w:val="center"/>
        <w:rPr>
          <w:rFonts w:ascii="宋体" w:hAnsi="宋体" w:eastAsia="宋体" w:cs="宋体"/>
          <w:b/>
          <w:color w:val="auto"/>
          <w:sz w:val="28"/>
          <w:szCs w:val="28"/>
          <w:highlight w:val="none"/>
        </w:rPr>
      </w:pPr>
    </w:p>
    <w:p>
      <w:pPr>
        <w:pStyle w:val="44"/>
        <w:ind w:firstLine="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实质性响应一览表</w:t>
      </w:r>
    </w:p>
    <w:p>
      <w:pPr>
        <w:shd w:val="clear" w:color="auto" w:fill="FFFFFF"/>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5"/>
        <w:tblW w:w="9317" w:type="dxa"/>
        <w:jc w:val="center"/>
        <w:tblLayout w:type="fixed"/>
        <w:tblCellMar>
          <w:top w:w="0" w:type="dxa"/>
          <w:left w:w="108" w:type="dxa"/>
          <w:bottom w:w="0" w:type="dxa"/>
          <w:right w:w="108" w:type="dxa"/>
        </w:tblCellMar>
      </w:tblPr>
      <w:tblGrid>
        <w:gridCol w:w="936"/>
        <w:gridCol w:w="1795"/>
        <w:gridCol w:w="2020"/>
        <w:gridCol w:w="2132"/>
        <w:gridCol w:w="2434"/>
      </w:tblGrid>
      <w:tr>
        <w:tblPrEx>
          <w:tblCellMar>
            <w:top w:w="0" w:type="dxa"/>
            <w:left w:w="108" w:type="dxa"/>
            <w:bottom w:w="0" w:type="dxa"/>
            <w:right w:w="108" w:type="dxa"/>
          </w:tblCellMar>
        </w:tblPrEx>
        <w:trPr>
          <w:cantSplit/>
          <w:trHeight w:val="797"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序号</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条款序号</w:t>
            </w: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条款</w:t>
            </w: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SimSun" w:cs="宋体"/>
                <w:color w:val="auto"/>
                <w:sz w:val="24"/>
                <w:highlight w:val="none"/>
                <w:lang w:val="en-US" w:eastAsia="zh-CN"/>
              </w:rPr>
            </w:pP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条款</w:t>
            </w:r>
            <w:r>
              <w:rPr>
                <w:rFonts w:hint="eastAsia" w:ascii="宋体" w:hAnsi="宋体" w:cs="宋体"/>
                <w:color w:val="auto"/>
                <w:sz w:val="24"/>
                <w:highlight w:val="none"/>
                <w:lang w:val="en-US" w:eastAsia="zh-CN"/>
              </w:rPr>
              <w:t>或响应页码</w:t>
            </w: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响应/偏离</w:t>
            </w: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eastAsia="宋体;SimSun" w:cs="宋体"/>
                <w:color w:val="auto"/>
                <w:sz w:val="24"/>
                <w:highlight w:val="none"/>
                <w:lang w:eastAsia="zh-CN"/>
              </w:rPr>
            </w:pPr>
            <w:r>
              <w:rPr>
                <w:rFonts w:hint="eastAsia" w:ascii="宋体" w:hAnsi="宋体" w:cs="宋体"/>
                <w:color w:val="auto"/>
                <w:sz w:val="24"/>
                <w:highlight w:val="none"/>
                <w:lang w:val="en-US" w:eastAsia="zh-CN"/>
              </w:rPr>
              <w:t>1</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eastAsia="宋体;SimSun" w:cs="宋体"/>
                <w:color w:val="auto"/>
                <w:sz w:val="24"/>
                <w:highlight w:val="none"/>
                <w:lang w:val="en-US" w:eastAsia="zh-CN"/>
              </w:rPr>
            </w:pPr>
            <w:r>
              <w:rPr>
                <w:rFonts w:hint="eastAsia" w:ascii="宋体" w:hAnsi="宋体" w:cs="宋体"/>
                <w:color w:val="auto"/>
                <w:sz w:val="24"/>
                <w:highlight w:val="none"/>
                <w:lang w:val="en-US" w:eastAsia="zh-CN"/>
              </w:rPr>
              <w:t>2</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eastAsia="宋体;SimSun" w:cs="宋体"/>
                <w:color w:val="auto"/>
                <w:sz w:val="24"/>
                <w:highlight w:val="none"/>
                <w:lang w:val="en-US" w:eastAsia="zh-CN"/>
              </w:rPr>
            </w:pPr>
            <w:r>
              <w:rPr>
                <w:rFonts w:hint="eastAsia" w:ascii="宋体" w:hAnsi="宋体" w:cs="宋体"/>
                <w:color w:val="auto"/>
                <w:sz w:val="24"/>
                <w:highlight w:val="none"/>
                <w:lang w:val="en-US" w:eastAsia="zh-CN"/>
              </w:rPr>
              <w:t>3</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44"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bl>
    <w:p>
      <w:pPr>
        <w:shd w:val="clear" w:color="auto" w:fill="FFFFFF"/>
        <w:spacing w:line="500" w:lineRule="exact"/>
        <w:ind w:left="961" w:leftChars="228" w:hanging="482" w:hangingChars="200"/>
        <w:rPr>
          <w:rFonts w:hint="eastAsia" w:ascii="宋体" w:hAnsi="宋体" w:eastAsia="宋体" w:cs="宋体"/>
          <w:b/>
          <w:bCs/>
          <w:color w:val="auto"/>
          <w:sz w:val="24"/>
          <w:szCs w:val="24"/>
          <w:highlight w:val="none"/>
          <w:lang w:eastAsia="zh-CN"/>
        </w:rPr>
      </w:pPr>
      <w:r>
        <w:rPr>
          <w:rFonts w:hint="eastAsia" w:ascii="宋体" w:hAnsi="宋体" w:eastAsia="宋体"/>
          <w:b/>
          <w:bCs w:val="0"/>
          <w:color w:val="auto"/>
          <w:kern w:val="0"/>
          <w:sz w:val="24"/>
          <w:szCs w:val="24"/>
          <w:highlight w:val="none"/>
        </w:rPr>
        <w:t>注：</w:t>
      </w:r>
      <w:r>
        <w:rPr>
          <w:rFonts w:ascii="宋体" w:hAnsi="宋体" w:eastAsia="宋体" w:cs="宋体"/>
          <w:b/>
          <w:bCs/>
          <w:color w:val="auto"/>
          <w:sz w:val="24"/>
          <w:szCs w:val="24"/>
          <w:highlight w:val="none"/>
        </w:rPr>
        <w:t>1、对于招标文件加“★”条款的响应，如有偏离，其投标文件无效。</w:t>
      </w:r>
    </w:p>
    <w:p>
      <w:pPr>
        <w:shd w:val="clear" w:color="auto" w:fill="FFFFFF"/>
        <w:spacing w:line="500" w:lineRule="exact"/>
        <w:ind w:left="958" w:leftChars="456" w:firstLine="0" w:firstLineChars="0"/>
        <w:rPr>
          <w:rFonts w:ascii="宋体" w:hAnsi="宋体" w:eastAsia="宋体" w:cs="宋体"/>
          <w:color w:val="auto"/>
          <w:sz w:val="24"/>
          <w:szCs w:val="24"/>
          <w:highlight w:val="none"/>
        </w:rPr>
      </w:pPr>
      <w:r>
        <w:rPr>
          <w:rFonts w:ascii="宋体" w:hAnsi="宋体" w:eastAsia="宋体" w:cs="宋体"/>
          <w:b/>
          <w:bCs/>
          <w:color w:val="auto"/>
          <w:sz w:val="24"/>
          <w:szCs w:val="24"/>
          <w:highlight w:val="none"/>
        </w:rPr>
        <w:t>2、本表中未列明条款</w:t>
      </w:r>
      <w:r>
        <w:rPr>
          <w:rFonts w:hint="eastAsia" w:ascii="宋体" w:hAnsi="宋体" w:eastAsia="宋体" w:cs="宋体"/>
          <w:b/>
          <w:bCs/>
          <w:color w:val="auto"/>
          <w:sz w:val="24"/>
          <w:szCs w:val="24"/>
          <w:highlight w:val="none"/>
          <w:lang w:val="en-US" w:eastAsia="zh-CN"/>
        </w:rPr>
        <w:t>或</w:t>
      </w:r>
      <w:r>
        <w:rPr>
          <w:rFonts w:ascii="宋体" w:hAnsi="宋体" w:eastAsia="宋体" w:cs="宋体"/>
          <w:b/>
          <w:bCs/>
          <w:color w:val="auto"/>
          <w:sz w:val="24"/>
          <w:szCs w:val="24"/>
          <w:highlight w:val="none"/>
        </w:rPr>
        <w:t>内容与</w:t>
      </w:r>
      <w:r>
        <w:rPr>
          <w:rFonts w:hint="eastAsia" w:ascii="宋体" w:hAnsi="宋体" w:eastAsia="宋体" w:cs="宋体"/>
          <w:b/>
          <w:bCs/>
          <w:color w:val="auto"/>
          <w:sz w:val="24"/>
          <w:szCs w:val="24"/>
          <w:highlight w:val="none"/>
          <w:lang w:val="en-US" w:eastAsia="zh-CN"/>
        </w:rPr>
        <w:t>投标</w:t>
      </w:r>
      <w:r>
        <w:rPr>
          <w:rFonts w:ascii="宋体" w:hAnsi="宋体" w:eastAsia="宋体" w:cs="宋体"/>
          <w:b/>
          <w:bCs/>
          <w:color w:val="auto"/>
          <w:sz w:val="24"/>
          <w:szCs w:val="24"/>
          <w:highlight w:val="none"/>
        </w:rPr>
        <w:t>正文不一致的，均以正文为准。</w:t>
      </w:r>
    </w:p>
    <w:p>
      <w:pPr>
        <w:shd w:val="clear" w:color="auto" w:fill="FFFFFF"/>
        <w:spacing w:line="500" w:lineRule="exact"/>
        <w:ind w:left="424" w:leftChars="202"/>
        <w:rPr>
          <w:rFonts w:ascii="宋体" w:hAnsi="宋体" w:eastAsia="宋体" w:cs="宋体"/>
          <w:color w:val="auto"/>
          <w:sz w:val="24"/>
          <w:highlight w:val="none"/>
        </w:rPr>
      </w:pP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或授权代理人（签章）：</w:t>
      </w:r>
    </w:p>
    <w:p>
      <w:pPr>
        <w:widowControl/>
        <w:spacing w:line="44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widowControl/>
        <w:ind w:left="141" w:leftChars="67"/>
        <w:jc w:val="left"/>
        <w:rPr>
          <w:rFonts w:ascii="宋体" w:hAnsi="宋体" w:eastAsia="宋体" w:cs="宋体"/>
          <w:bCs/>
          <w:color w:val="auto"/>
          <w:kern w:val="0"/>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五</w:t>
      </w:r>
      <w:r>
        <w:rPr>
          <w:rFonts w:hint="eastAsia" w:ascii="宋体" w:hAnsi="宋体" w:eastAsia="宋体" w:cs="宋体"/>
          <w:bCs/>
          <w:color w:val="auto"/>
          <w:sz w:val="24"/>
          <w:highlight w:val="none"/>
        </w:rPr>
        <w:t>）合同条款偏离表</w:t>
      </w:r>
    </w:p>
    <w:p>
      <w:pPr>
        <w:shd w:val="clear" w:color="auto" w:fill="FFFFFF"/>
        <w:spacing w:line="440" w:lineRule="exact"/>
        <w:jc w:val="center"/>
        <w:outlineLvl w:val="9"/>
        <w:rPr>
          <w:rFonts w:ascii="宋体" w:hAnsi="宋体" w:eastAsia="宋体" w:cs="宋体"/>
          <w:b/>
          <w:color w:val="auto"/>
          <w:sz w:val="28"/>
          <w:szCs w:val="28"/>
          <w:highlight w:val="none"/>
        </w:rPr>
      </w:pPr>
      <w:bookmarkStart w:id="167" w:name="_Toc10717"/>
    </w:p>
    <w:p>
      <w:pPr>
        <w:shd w:val="clear" w:color="auto" w:fill="FFFFFF"/>
        <w:spacing w:line="440" w:lineRule="exact"/>
        <w:jc w:val="center"/>
        <w:outlineLvl w:val="9"/>
        <w:rPr>
          <w:rFonts w:ascii="宋体" w:hAnsi="宋体" w:eastAsia="宋体" w:cs="宋体"/>
          <w:b/>
          <w:color w:val="auto"/>
          <w:sz w:val="28"/>
          <w:szCs w:val="28"/>
          <w:highlight w:val="none"/>
        </w:rPr>
      </w:pPr>
      <w:bookmarkStart w:id="168" w:name="_Toc23702"/>
      <w:r>
        <w:rPr>
          <w:rFonts w:hint="eastAsia" w:ascii="宋体" w:hAnsi="宋体" w:eastAsia="宋体" w:cs="宋体"/>
          <w:b/>
          <w:color w:val="auto"/>
          <w:sz w:val="28"/>
          <w:szCs w:val="28"/>
          <w:highlight w:val="none"/>
        </w:rPr>
        <w:t>合同条款偏离表</w:t>
      </w:r>
      <w:bookmarkEnd w:id="167"/>
      <w:bookmarkEnd w:id="168"/>
    </w:p>
    <w:p>
      <w:pPr>
        <w:shd w:val="clear" w:color="auto" w:fill="FFFFFF"/>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5"/>
        <w:tblW w:w="9178" w:type="dxa"/>
        <w:tblInd w:w="0" w:type="dxa"/>
        <w:tblLayout w:type="fixed"/>
        <w:tblCellMar>
          <w:top w:w="0" w:type="dxa"/>
          <w:left w:w="108" w:type="dxa"/>
          <w:bottom w:w="0" w:type="dxa"/>
          <w:right w:w="108" w:type="dxa"/>
        </w:tblCellMar>
      </w:tblPr>
      <w:tblGrid>
        <w:gridCol w:w="922"/>
        <w:gridCol w:w="1769"/>
        <w:gridCol w:w="1989"/>
        <w:gridCol w:w="2101"/>
        <w:gridCol w:w="2397"/>
      </w:tblGrid>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rPr>
                <w:rFonts w:ascii="宋体" w:hAnsi="宋体" w:eastAsia="宋体" w:cs="宋体"/>
                <w:color w:val="auto"/>
                <w:highlight w:val="none"/>
              </w:rPr>
            </w:pPr>
            <w:r>
              <w:rPr>
                <w:rFonts w:hint="eastAsia" w:ascii="宋体" w:hAnsi="宋体" w:eastAsia="宋体" w:cs="宋体"/>
                <w:color w:val="auto"/>
                <w:highlight w:val="none"/>
              </w:rPr>
              <w:t>序号</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条款序号</w:t>
            </w: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条款</w:t>
            </w: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条款</w:t>
            </w: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响应/偏离</w:t>
            </w: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highlight w:val="none"/>
                <w:lang w:eastAsia="zh-CN"/>
              </w:rPr>
            </w:pPr>
            <w:r>
              <w:rPr>
                <w:rFonts w:hint="eastAsia" w:ascii="宋体" w:hAnsi="宋体" w:cs="宋体"/>
                <w:color w:val="auto"/>
                <w:sz w:val="24"/>
                <w:highlight w:val="none"/>
                <w:lang w:val="en-US" w:eastAsia="zh-CN"/>
              </w:rPr>
              <w:t>1</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highlight w:val="none"/>
                <w:lang w:val="en-US" w:eastAsia="zh-CN"/>
              </w:rPr>
            </w:pPr>
            <w:r>
              <w:rPr>
                <w:rFonts w:hint="eastAsia" w:ascii="宋体" w:hAnsi="宋体" w:cs="宋体"/>
                <w:color w:val="auto"/>
                <w:sz w:val="24"/>
                <w:highlight w:val="none"/>
                <w:lang w:val="en-US" w:eastAsia="zh-CN"/>
              </w:rPr>
              <w:t>2</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highlight w:val="none"/>
                <w:lang w:val="en-US" w:eastAsia="zh-CN"/>
              </w:rPr>
            </w:pPr>
            <w:r>
              <w:rPr>
                <w:rFonts w:hint="eastAsia" w:ascii="宋体" w:hAnsi="宋体" w:cs="宋体"/>
                <w:color w:val="auto"/>
                <w:sz w:val="24"/>
                <w:highlight w:val="none"/>
                <w:lang w:val="en-US" w:eastAsia="zh-CN"/>
              </w:rPr>
              <w:t>3</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ascii="宋体" w:hAnsi="宋体" w:eastAsia="宋体" w:cs="宋体"/>
                <w:color w:val="auto"/>
                <w:highlight w:val="none"/>
              </w:rPr>
            </w:pPr>
            <w:r>
              <w:rPr>
                <w:rFonts w:hint="eastAsia" w:ascii="宋体" w:hAnsi="宋体" w:cs="宋体"/>
                <w:color w:val="auto"/>
                <w:sz w:val="24"/>
                <w:highlight w:val="none"/>
              </w:rPr>
              <w:t>…</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41"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bl>
    <w:p>
      <w:pPr>
        <w:shd w:val="clear" w:color="auto" w:fill="FFFFFF"/>
        <w:spacing w:line="50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b w:val="0"/>
          <w:bCs/>
          <w:color w:val="auto"/>
          <w:kern w:val="0"/>
          <w:sz w:val="24"/>
          <w:szCs w:val="24"/>
          <w:highlight w:val="none"/>
        </w:rPr>
        <w:t>注：</w:t>
      </w:r>
      <w:r>
        <w:rPr>
          <w:rFonts w:hint="eastAsia" w:ascii="宋体" w:hAnsi="宋体" w:eastAsia="宋体"/>
          <w:b w:val="0"/>
          <w:bCs/>
          <w:color w:val="auto"/>
          <w:kern w:val="0"/>
          <w:sz w:val="24"/>
          <w:szCs w:val="24"/>
          <w:highlight w:val="none"/>
          <w:lang w:val="en-US" w:eastAsia="zh-CN"/>
        </w:rPr>
        <w:t>如有偏离须一一列明。</w:t>
      </w:r>
    </w:p>
    <w:p>
      <w:pPr>
        <w:shd w:val="clear" w:color="auto" w:fill="FFFFFF"/>
        <w:spacing w:line="440" w:lineRule="exact"/>
        <w:ind w:firstLine="99"/>
        <w:rPr>
          <w:rFonts w:ascii="宋体" w:hAnsi="宋体" w:eastAsia="宋体" w:cs="宋体"/>
          <w:color w:val="auto"/>
          <w:highlight w:val="none"/>
        </w:rPr>
      </w:pPr>
    </w:p>
    <w:p>
      <w:pPr>
        <w:shd w:val="clear" w:color="auto" w:fill="FFFFFF"/>
        <w:spacing w:line="500" w:lineRule="exact"/>
        <w:ind w:left="424" w:leftChars="202"/>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snapToGrid w:val="0"/>
          <w:color w:val="auto"/>
          <w:spacing w:val="-11"/>
          <w:kern w:val="0"/>
          <w:sz w:val="24"/>
          <w:szCs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424" w:leftChars="202"/>
        <w:rPr>
          <w:rFonts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或授权代理人（签章）：</w:t>
      </w:r>
    </w:p>
    <w:p>
      <w:pPr>
        <w:widowControl/>
        <w:spacing w:line="440" w:lineRule="exact"/>
        <w:ind w:left="424" w:leftChars="202"/>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日期：   年   月   日</w:t>
      </w:r>
    </w:p>
    <w:p>
      <w:pPr>
        <w:widowControl/>
        <w:spacing w:line="440" w:lineRule="exact"/>
        <w:ind w:left="424" w:leftChars="202"/>
        <w:jc w:val="left"/>
        <w:rPr>
          <w:rFonts w:hint="eastAsia" w:ascii="宋体" w:hAnsi="宋体" w:eastAsia="宋体" w:cs="宋体"/>
          <w:color w:val="auto"/>
          <w:kern w:val="0"/>
          <w:sz w:val="24"/>
          <w:highlight w:val="none"/>
        </w:rPr>
      </w:pPr>
    </w:p>
    <w:p>
      <w:pPr>
        <w:widowControl/>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p>
    <w:p>
      <w:pPr>
        <w:widowControl/>
        <w:jc w:val="left"/>
        <w:rPr>
          <w:rFonts w:hint="eastAsia" w:ascii="宋体" w:hAnsi="宋体" w:eastAsia="宋体" w:cs="宋体"/>
          <w:color w:val="auto"/>
          <w:highlight w:val="none"/>
        </w:rPr>
      </w:pPr>
      <w:r>
        <w:rPr>
          <w:rFonts w:hint="eastAsia" w:ascii="宋体" w:hAnsi="宋体" w:eastAsia="宋体" w:cs="宋体"/>
          <w:bCs/>
          <w:color w:val="auto"/>
          <w:kern w:val="0"/>
          <w:sz w:val="24"/>
          <w:highlight w:val="none"/>
        </w:rPr>
        <w:t>（</w:t>
      </w:r>
      <w:r>
        <w:rPr>
          <w:rFonts w:hint="eastAsia" w:ascii="宋体" w:hAnsi="宋体" w:eastAsia="宋体" w:cs="宋体"/>
          <w:bCs/>
          <w:color w:val="auto"/>
          <w:kern w:val="0"/>
          <w:sz w:val="24"/>
          <w:highlight w:val="none"/>
          <w:lang w:val="en-US" w:eastAsia="zh-CN"/>
        </w:rPr>
        <w:t>六</w:t>
      </w:r>
      <w:r>
        <w:rPr>
          <w:rFonts w:hint="eastAsia" w:ascii="宋体" w:hAnsi="宋体" w:eastAsia="宋体" w:cs="宋体"/>
          <w:bCs/>
          <w:color w:val="auto"/>
          <w:kern w:val="0"/>
          <w:sz w:val="24"/>
          <w:highlight w:val="none"/>
        </w:rPr>
        <w:t>）近三年</w:t>
      </w: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月01日至今）</w:t>
      </w:r>
      <w:r>
        <w:rPr>
          <w:rFonts w:hint="eastAsia" w:ascii="宋体" w:hAnsi="宋体" w:eastAsia="宋体" w:cs="宋体"/>
          <w:bCs/>
          <w:color w:val="auto"/>
          <w:kern w:val="0"/>
          <w:sz w:val="24"/>
          <w:highlight w:val="none"/>
        </w:rPr>
        <w:t>所投产品的销售业绩</w:t>
      </w:r>
    </w:p>
    <w:p>
      <w:pPr>
        <w:widowControl/>
        <w:jc w:val="center"/>
        <w:rPr>
          <w:rFonts w:hint="eastAsia" w:ascii="宋体" w:hAnsi="宋体" w:eastAsia="宋体" w:cs="宋体"/>
          <w:b/>
          <w:color w:val="auto"/>
          <w:sz w:val="28"/>
          <w:szCs w:val="28"/>
          <w:highlight w:val="none"/>
        </w:rPr>
      </w:pPr>
    </w:p>
    <w:p>
      <w:pPr>
        <w:widowControl/>
        <w:jc w:val="center"/>
        <w:rPr>
          <w:rFonts w:hint="eastAsia" w:ascii="宋体" w:hAnsi="宋体" w:eastAsia="宋体" w:cs="宋体"/>
          <w:bCs/>
          <w:color w:val="auto"/>
          <w:sz w:val="24"/>
          <w:highlight w:val="none"/>
        </w:rPr>
      </w:pPr>
      <w:r>
        <w:rPr>
          <w:rFonts w:hint="eastAsia" w:ascii="宋体" w:hAnsi="宋体" w:eastAsia="宋体" w:cs="宋体"/>
          <w:b/>
          <w:color w:val="auto"/>
          <w:sz w:val="28"/>
          <w:szCs w:val="28"/>
          <w:highlight w:val="none"/>
        </w:rPr>
        <w:t>近三年所投产品销售业绩表</w:t>
      </w:r>
    </w:p>
    <w:tbl>
      <w:tblPr>
        <w:tblStyle w:val="25"/>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68"/>
        <w:gridCol w:w="1760"/>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268"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设备名称</w:t>
            </w:r>
          </w:p>
        </w:tc>
        <w:tc>
          <w:tcPr>
            <w:tcW w:w="1760"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数量规模</w:t>
            </w:r>
          </w:p>
        </w:tc>
        <w:tc>
          <w:tcPr>
            <w:tcW w:w="1393"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合同价格</w:t>
            </w:r>
          </w:p>
        </w:tc>
        <w:tc>
          <w:tcPr>
            <w:tcW w:w="3120"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1</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2</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3</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60" w:type="dxa"/>
            <w:noWrap w:val="0"/>
            <w:vAlign w:val="center"/>
          </w:tcPr>
          <w:p>
            <w:pPr>
              <w:widowControl/>
              <w:spacing w:line="440" w:lineRule="exact"/>
              <w:jc w:val="center"/>
              <w:rPr>
                <w:rFonts w:hint="eastAsia" w:ascii="宋体" w:hAnsi="宋体" w:eastAsia="宋体" w:cs="宋体"/>
                <w:b/>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b/>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b/>
                <w:color w:val="auto"/>
                <w:sz w:val="24"/>
                <w:szCs w:val="24"/>
                <w:highlight w:val="none"/>
              </w:rPr>
            </w:pPr>
          </w:p>
        </w:tc>
      </w:tr>
    </w:tbl>
    <w:p>
      <w:pPr>
        <w:widowControl/>
        <w:spacing w:line="44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备注：每项业绩须附证明资料如中标/成交通知书或</w:t>
      </w:r>
      <w:r>
        <w:rPr>
          <w:rFonts w:hint="eastAsia" w:ascii="宋体" w:hAnsi="宋体" w:cs="宋体"/>
          <w:b/>
          <w:color w:val="auto"/>
          <w:sz w:val="24"/>
          <w:highlight w:val="none"/>
        </w:rPr>
        <w:t>与</w:t>
      </w:r>
      <w:r>
        <w:rPr>
          <w:rFonts w:hint="eastAsia" w:ascii="宋体" w:hAnsi="宋体"/>
          <w:b/>
          <w:bCs/>
          <w:color w:val="auto"/>
          <w:sz w:val="24"/>
          <w:highlight w:val="none"/>
        </w:rPr>
        <w:t>使用单位签订</w:t>
      </w:r>
      <w:r>
        <w:rPr>
          <w:rFonts w:hint="eastAsia" w:ascii="宋体" w:hAnsi="宋体" w:cs="宋体"/>
          <w:b/>
          <w:color w:val="auto"/>
          <w:sz w:val="24"/>
          <w:highlight w:val="none"/>
        </w:rPr>
        <w:t>的供货</w:t>
      </w:r>
      <w:r>
        <w:rPr>
          <w:rFonts w:hint="eastAsia" w:ascii="宋体" w:hAnsi="宋体" w:eastAsia="宋体" w:cs="宋体"/>
          <w:b/>
          <w:color w:val="auto"/>
          <w:sz w:val="24"/>
          <w:highlight w:val="none"/>
        </w:rPr>
        <w:t>合同的扫描件，未提供证明材料的评审时不予计分。（证明资料应清晰反映货物名称、合同金额、合同签字盖章页信息）。</w:t>
      </w:r>
    </w:p>
    <w:p>
      <w:pPr>
        <w:pStyle w:val="20"/>
        <w:rPr>
          <w:rFonts w:hint="eastAsia"/>
          <w:color w:val="auto"/>
          <w:highlight w:val="none"/>
        </w:rPr>
      </w:pP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w:t>
      </w:r>
      <w:r>
        <w:rPr>
          <w:rFonts w:hint="eastAsia" w:ascii="宋体" w:hAnsi="宋体"/>
          <w:color w:val="auto"/>
          <w:sz w:val="24"/>
          <w:highlight w:val="none"/>
        </w:rPr>
        <w:t>签章</w:t>
      </w:r>
      <w:r>
        <w:rPr>
          <w:rFonts w:hint="eastAsia" w:ascii="宋体" w:hAnsi="宋体" w:eastAsia="宋体" w:cs="宋体"/>
          <w:color w:val="auto"/>
          <w:sz w:val="24"/>
          <w:highlight w:val="none"/>
        </w:rPr>
        <w:t>）：</w:t>
      </w: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widowControl/>
        <w:jc w:val="left"/>
        <w:rPr>
          <w:rFonts w:hint="eastAsia" w:ascii="宋体" w:hAnsi="宋体" w:eastAsia="宋体" w:cs="宋体"/>
          <w:color w:val="auto"/>
          <w:highlight w:val="none"/>
        </w:rPr>
      </w:pPr>
    </w:p>
    <w:p>
      <w:pPr>
        <w:widowControl/>
        <w:jc w:val="left"/>
        <w:rPr>
          <w:rFonts w:hint="eastAsia" w:ascii="宋体" w:hAnsi="宋体" w:eastAsia="宋体" w:cs="宋体"/>
          <w:color w:val="auto"/>
          <w:highlight w:val="none"/>
        </w:rPr>
      </w:pPr>
    </w:p>
    <w:p>
      <w:pPr>
        <w:pStyle w:val="2"/>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0"/>
        <w:textAlignment w:val="baseline"/>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br w:type="page"/>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七</w:t>
      </w:r>
      <w:r>
        <w:rPr>
          <w:rFonts w:hint="eastAsia" w:ascii="宋体" w:hAnsi="宋体" w:eastAsia="宋体" w:cs="宋体"/>
          <w:color w:val="auto"/>
          <w:spacing w:val="0"/>
          <w:sz w:val="24"/>
          <w:szCs w:val="24"/>
          <w:highlight w:val="none"/>
        </w:rPr>
        <w:t>）节能、环保产品明细表（如为节能、环保产品提供下列明细表，非节能环保产品可不提供）</w:t>
      </w:r>
    </w:p>
    <w:p>
      <w:pPr>
        <w:pStyle w:val="53"/>
        <w:rPr>
          <w:rFonts w:hint="eastAsia" w:ascii="宋体" w:hAnsi="宋体" w:cs="宋体"/>
          <w:color w:val="auto"/>
          <w:sz w:val="24"/>
          <w:highlight w:val="none"/>
        </w:rPr>
      </w:pPr>
    </w:p>
    <w:p>
      <w:pPr>
        <w:shd w:val="clear" w:color="auto" w:fill="FFFFFF"/>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环境标志产品明细表</w:t>
      </w:r>
    </w:p>
    <w:p>
      <w:pPr>
        <w:pStyle w:val="54"/>
        <w:spacing w:line="360" w:lineRule="auto"/>
        <w:ind w:left="0" w:firstLine="0"/>
        <w:rPr>
          <w:rFonts w:hint="eastAsia" w:ascii="宋体" w:hAnsi="宋体" w:cs="宋体"/>
          <w:color w:val="auto"/>
          <w:highlight w:val="none"/>
        </w:rPr>
      </w:pPr>
      <w:r>
        <w:rPr>
          <w:rFonts w:hint="eastAsia" w:ascii="宋体" w:hAnsi="宋体" w:cs="宋体"/>
          <w:color w:val="auto"/>
          <w:highlight w:val="none"/>
        </w:rPr>
        <w:t>项目编号、包号：                                    价格单位：元</w:t>
      </w:r>
    </w:p>
    <w:tbl>
      <w:tblPr>
        <w:tblStyle w:val="25"/>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91"/>
        <w:gridCol w:w="1191"/>
        <w:gridCol w:w="1191"/>
        <w:gridCol w:w="1191"/>
        <w:gridCol w:w="1603"/>
        <w:gridCol w:w="1404"/>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注册商标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规格型号</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中国环境标志认证证书编号</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认证证书有效截止日期</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p>
            <w:pPr>
              <w:pStyle w:val="53"/>
              <w:spacing w:line="360" w:lineRule="auto"/>
              <w:ind w:right="480"/>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right="154" w:firstLine="105" w:firstLineChars="5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合计</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r>
    </w:tbl>
    <w:p>
      <w:pPr>
        <w:pStyle w:val="53"/>
        <w:keepNext w:val="0"/>
        <w:keepLines w:val="0"/>
        <w:pageBreakBefore w:val="0"/>
        <w:widowControl w:val="0"/>
        <w:kinsoku/>
        <w:wordWrap/>
        <w:overflowPunct/>
        <w:topLinePunct w:val="0"/>
        <w:autoSpaceDE/>
        <w:autoSpaceDN/>
        <w:bidi w:val="0"/>
        <w:adjustRightInd/>
        <w:snapToGrid/>
        <w:spacing w:line="440" w:lineRule="exact"/>
        <w:ind w:right="-91"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说明：供应商所投产品属于国家颁布的环境标志品目内产品的，须提交国家确定的认证机构出具的的环境标志产品认证证书，否则，不予加分。</w:t>
      </w:r>
    </w:p>
    <w:p>
      <w:pPr>
        <w:pStyle w:val="53"/>
        <w:spacing w:line="360" w:lineRule="auto"/>
        <w:ind w:left="7560" w:right="-97" w:hanging="7560" w:hangingChars="3150"/>
        <w:jc w:val="right"/>
        <w:rPr>
          <w:rFonts w:hint="eastAsia" w:ascii="宋体" w:hAnsi="宋体" w:cs="宋体"/>
          <w:color w:val="auto"/>
          <w:sz w:val="24"/>
          <w:highlight w:val="none"/>
        </w:rPr>
      </w:pPr>
    </w:p>
    <w:p>
      <w:pPr>
        <w:pStyle w:val="53"/>
        <w:spacing w:line="360" w:lineRule="auto"/>
        <w:ind w:left="7560" w:right="-97" w:hanging="7560" w:hangingChars="3150"/>
        <w:jc w:val="right"/>
        <w:rPr>
          <w:rFonts w:hint="eastAsia" w:ascii="宋体" w:hAnsi="宋体" w:cs="宋体"/>
          <w:color w:val="auto"/>
          <w:sz w:val="24"/>
          <w:highlight w:val="none"/>
        </w:rPr>
      </w:pPr>
    </w:p>
    <w:p>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pStyle w:val="53"/>
        <w:spacing w:line="360" w:lineRule="auto"/>
        <w:ind w:left="7560" w:right="-97" w:hanging="7560" w:hangingChars="3150"/>
        <w:jc w:val="right"/>
        <w:rPr>
          <w:rFonts w:hint="eastAsia" w:ascii="宋体" w:hAnsi="宋体" w:cs="宋体"/>
          <w:color w:val="auto"/>
          <w:sz w:val="24"/>
          <w:highlight w:val="none"/>
        </w:rPr>
      </w:pPr>
      <w:r>
        <w:rPr>
          <w:rFonts w:hint="eastAsia" w:ascii="宋体" w:hAnsi="宋体" w:cs="宋体"/>
          <w:color w:val="auto"/>
          <w:sz w:val="24"/>
          <w:highlight w:val="none"/>
        </w:rPr>
        <w:t xml:space="preserve">                                  日  期：    年    月    日</w:t>
      </w:r>
    </w:p>
    <w:p>
      <w:pPr>
        <w:shd w:val="clear" w:color="auto" w:fill="FFFFFF"/>
        <w:spacing w:line="440" w:lineRule="exact"/>
        <w:jc w:val="center"/>
        <w:rPr>
          <w:rFonts w:hint="eastAsia" w:ascii="宋体" w:hAnsi="宋体" w:eastAsia="宋体" w:cs="宋体"/>
          <w:color w:val="auto"/>
          <w:sz w:val="28"/>
          <w:szCs w:val="28"/>
          <w:highlight w:val="none"/>
        </w:rPr>
      </w:pPr>
      <w:r>
        <w:rPr>
          <w:rFonts w:hint="eastAsia" w:ascii="宋体" w:hAnsi="宋体" w:cs="宋体"/>
          <w:color w:val="auto"/>
          <w:sz w:val="24"/>
          <w:highlight w:val="none"/>
        </w:rPr>
        <w:br w:type="page"/>
      </w:r>
      <w:r>
        <w:rPr>
          <w:rFonts w:hint="eastAsia" w:ascii="宋体" w:hAnsi="宋体" w:eastAsia="宋体" w:cs="宋体"/>
          <w:b/>
          <w:bCs/>
          <w:color w:val="auto"/>
          <w:sz w:val="28"/>
          <w:szCs w:val="28"/>
          <w:highlight w:val="none"/>
        </w:rPr>
        <w:t>节能标志产品明细表</w:t>
      </w:r>
    </w:p>
    <w:p>
      <w:pPr>
        <w:pStyle w:val="54"/>
        <w:spacing w:line="360" w:lineRule="auto"/>
        <w:ind w:left="0" w:firstLine="0"/>
        <w:rPr>
          <w:rFonts w:hint="eastAsia" w:ascii="宋体" w:hAnsi="宋体" w:cs="宋体"/>
          <w:color w:val="auto"/>
          <w:highlight w:val="none"/>
        </w:rPr>
      </w:pPr>
      <w:r>
        <w:rPr>
          <w:rFonts w:hint="eastAsia" w:ascii="宋体" w:hAnsi="宋体" w:cs="宋体"/>
          <w:color w:val="auto"/>
          <w:highlight w:val="none"/>
        </w:rPr>
        <w:t>项目编号、包号：                    价格单位：元</w:t>
      </w:r>
    </w:p>
    <w:tbl>
      <w:tblPr>
        <w:tblStyle w:val="25"/>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650"/>
        <w:gridCol w:w="1120"/>
        <w:gridCol w:w="1245"/>
        <w:gridCol w:w="1617"/>
        <w:gridCol w:w="1742"/>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产品名称</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制造商</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产品型号</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节能标志认证证书号</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节能产品认证证书有效截止日期</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firstLine="420" w:firstLineChars="200"/>
              <w:jc w:val="center"/>
              <w:textAlignment w:val="auto"/>
              <w:rPr>
                <w:rFonts w:hint="eastAsia" w:ascii="宋体" w:hAnsi="宋体" w:cs="宋体"/>
                <w:color w:val="auto"/>
                <w:sz w:val="21"/>
                <w:szCs w:val="21"/>
                <w:highlight w:val="none"/>
              </w:rPr>
            </w:pPr>
          </w:p>
          <w:p>
            <w:pPr>
              <w:pStyle w:val="53"/>
              <w:keepNext w:val="0"/>
              <w:keepLines w:val="0"/>
              <w:pageBreakBefore w:val="0"/>
              <w:widowControl w:val="0"/>
              <w:kinsoku/>
              <w:wordWrap/>
              <w:overflowPunct/>
              <w:topLinePunct w:val="0"/>
              <w:autoSpaceDE/>
              <w:autoSpaceDN/>
              <w:bidi w:val="0"/>
              <w:adjustRightInd/>
              <w:snapToGrid/>
              <w:spacing w:line="300" w:lineRule="exact"/>
              <w:ind w:right="480" w:firstLine="525" w:firstLineChars="25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83" w:firstLine="105" w:firstLineChars="5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合计</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bl>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说明：供应商所投产品属于国家颁布的节能品目内产品的，须提交国家确定的认证机构出具的节能产品认证证书，否则，不予加分。</w:t>
      </w:r>
    </w:p>
    <w:p>
      <w:pPr>
        <w:widowControl/>
        <w:spacing w:line="400" w:lineRule="exact"/>
        <w:jc w:val="left"/>
        <w:rPr>
          <w:rFonts w:hint="eastAsia" w:ascii="宋体" w:hAnsi="宋体" w:eastAsia="宋体" w:cs="宋体"/>
          <w:bCs/>
          <w:color w:val="auto"/>
          <w:highlight w:val="none"/>
        </w:rPr>
      </w:pPr>
    </w:p>
    <w:p>
      <w:pPr>
        <w:widowControl/>
        <w:spacing w:line="400" w:lineRule="exact"/>
        <w:jc w:val="left"/>
        <w:rPr>
          <w:rFonts w:hint="eastAsia" w:ascii="宋体" w:hAnsi="宋体" w:eastAsia="宋体" w:cs="宋体"/>
          <w:bCs/>
          <w:color w:val="auto"/>
          <w:highlight w:val="none"/>
        </w:rPr>
      </w:pPr>
    </w:p>
    <w:p>
      <w:pPr>
        <w:widowControl/>
        <w:spacing w:line="400" w:lineRule="exact"/>
        <w:ind w:firstLine="4680" w:firstLineChars="19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spacing w:line="500" w:lineRule="exact"/>
        <w:rPr>
          <w:rFonts w:hint="eastAsia" w:ascii="宋体" w:hAnsi="宋体" w:eastAsia="宋体" w:cs="宋体"/>
          <w:bCs/>
          <w:color w:val="auto"/>
          <w:highlight w:val="none"/>
        </w:rPr>
      </w:pPr>
      <w:r>
        <w:rPr>
          <w:rFonts w:hint="eastAsia" w:ascii="宋体" w:hAnsi="宋体" w:eastAsia="宋体" w:cs="宋体"/>
          <w:color w:val="auto"/>
          <w:sz w:val="24"/>
          <w:highlight w:val="none"/>
        </w:rPr>
        <w:t xml:space="preserve">                                  日  期：    年    月    日</w:t>
      </w:r>
    </w:p>
    <w:p>
      <w:pPr>
        <w:pStyle w:val="53"/>
        <w:spacing w:line="360" w:lineRule="auto"/>
        <w:ind w:left="7560" w:right="-97" w:hanging="7560" w:hangingChars="3150"/>
        <w:jc w:val="right"/>
        <w:rPr>
          <w:rFonts w:hint="eastAsia" w:ascii="宋体" w:hAnsi="宋体" w:cs="宋体"/>
          <w:color w:val="auto"/>
          <w:sz w:val="24"/>
          <w:highlight w:val="none"/>
        </w:rPr>
      </w:pPr>
    </w:p>
    <w:p>
      <w:pPr>
        <w:pStyle w:val="53"/>
        <w:spacing w:line="360" w:lineRule="auto"/>
        <w:ind w:left="7560" w:right="-97" w:hanging="7560" w:hangingChars="3150"/>
        <w:jc w:val="left"/>
        <w:rPr>
          <w:rFonts w:hint="eastAsia" w:ascii="宋体" w:hAnsi="宋体" w:eastAsia="宋体" w:cs="宋体"/>
          <w:bCs/>
          <w:color w:val="auto"/>
          <w:spacing w:val="0"/>
          <w:sz w:val="24"/>
          <w:szCs w:val="24"/>
          <w:highlight w:val="none"/>
        </w:rPr>
      </w:pPr>
      <w:r>
        <w:rPr>
          <w:rFonts w:hint="eastAsia" w:ascii="宋体" w:hAnsi="宋体" w:cs="宋体"/>
          <w:color w:val="auto"/>
          <w:sz w:val="24"/>
          <w:highlight w:val="none"/>
        </w:rPr>
        <w:br w:type="page"/>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八</w:t>
      </w:r>
      <w:r>
        <w:rPr>
          <w:rFonts w:hint="eastAsia" w:ascii="宋体" w:hAnsi="宋体" w:eastAsia="宋体" w:cs="宋体"/>
          <w:color w:val="auto"/>
          <w:sz w:val="24"/>
          <w:highlight w:val="none"/>
          <w:lang w:val="en-US" w:eastAsia="zh-CN"/>
        </w:rPr>
        <w:t>）</w:t>
      </w:r>
      <w:r>
        <w:rPr>
          <w:rFonts w:hint="eastAsia" w:ascii="宋体" w:hAnsi="宋体" w:eastAsia="宋体" w:cs="宋体"/>
          <w:bCs/>
          <w:color w:val="auto"/>
          <w:spacing w:val="0"/>
          <w:sz w:val="24"/>
          <w:szCs w:val="24"/>
          <w:highlight w:val="none"/>
        </w:rPr>
        <w:t>虚假应标承担责任声明</w:t>
      </w:r>
    </w:p>
    <w:p>
      <w:pPr>
        <w:pStyle w:val="2"/>
        <w:ind w:firstLine="0"/>
        <w:rPr>
          <w:rFonts w:hint="eastAsia" w:ascii="宋体" w:hAnsi="宋体" w:eastAsia="宋体" w:cs="宋体"/>
          <w:bCs/>
          <w:color w:val="auto"/>
          <w:spacing w:val="0"/>
          <w:sz w:val="24"/>
          <w:szCs w:val="24"/>
          <w:highlight w:val="none"/>
        </w:rPr>
      </w:pP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虚假应标承担责任声明</w:t>
      </w:r>
    </w:p>
    <w:p>
      <w:pPr>
        <w:pStyle w:val="2"/>
        <w:ind w:firstLine="0"/>
        <w:rPr>
          <w:rFonts w:hint="eastAsia" w:ascii="宋体" w:hAnsi="宋体" w:eastAsia="宋体" w:cs="宋体"/>
          <w:bCs/>
          <w:color w:val="auto"/>
          <w:spacing w:val="0"/>
          <w:sz w:val="24"/>
          <w:szCs w:val="24"/>
          <w:highlight w:val="none"/>
        </w:rPr>
      </w:pPr>
    </w:p>
    <w:p>
      <w:pPr>
        <w:spacing w:line="360" w:lineRule="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 xml:space="preserve">        （采购人名称）      ：</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我公司承诺：所提供的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（包括一切技术资料、技术承诺、商务承诺等）均真实有效，若在项目</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rPr>
        <w:t>过程中（包括开</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rPr>
        <w:t>、评审、</w:t>
      </w:r>
      <w:r>
        <w:rPr>
          <w:rFonts w:hint="eastAsia" w:ascii="宋体" w:hAnsi="宋体" w:cs="宋体"/>
          <w:color w:val="auto"/>
          <w:sz w:val="24"/>
          <w:highlight w:val="none"/>
          <w:lang w:val="en-US" w:eastAsia="zh-CN"/>
        </w:rPr>
        <w:t>中标公告</w:t>
      </w:r>
      <w:r>
        <w:rPr>
          <w:rFonts w:hint="eastAsia" w:ascii="宋体" w:hAnsi="宋体" w:eastAsia="宋体" w:cs="宋体"/>
          <w:color w:val="auto"/>
          <w:sz w:val="24"/>
          <w:highlight w:val="none"/>
        </w:rPr>
        <w:t>过程）及履行合同期间（包括验收过程）发现我公司提供的服务（或产品）与投标文件不一致，或发现我公司提供了不真实的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（虚假材料），我公司愿意承担一切法律责任并认可采购人或采购代理机构作出的取消</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资格、罚没保证金等决定。</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特此声明</w:t>
      </w:r>
      <w:r>
        <w:rPr>
          <w:rFonts w:hint="eastAsia" w:ascii="宋体" w:hAnsi="宋体" w:eastAsia="宋体" w:cs="宋体"/>
          <w:color w:val="auto"/>
          <w:sz w:val="24"/>
          <w:highlight w:val="none"/>
          <w:lang w:eastAsia="zh-CN"/>
        </w:rPr>
        <w:t>！</w:t>
      </w:r>
    </w:p>
    <w:p>
      <w:pPr>
        <w:pStyle w:val="2"/>
        <w:ind w:firstLine="0"/>
        <w:rPr>
          <w:rFonts w:hint="eastAsia" w:ascii="宋体" w:hAnsi="宋体" w:eastAsia="宋体" w:cs="宋体"/>
          <w:bCs/>
          <w:color w:val="auto"/>
          <w:spacing w:val="0"/>
          <w:sz w:val="24"/>
          <w:szCs w:val="24"/>
          <w:highlight w:val="none"/>
        </w:rPr>
      </w:pPr>
    </w:p>
    <w:p>
      <w:pPr>
        <w:pStyle w:val="2"/>
        <w:ind w:firstLine="0"/>
        <w:rPr>
          <w:rFonts w:hint="eastAsia" w:ascii="宋体" w:hAnsi="宋体" w:eastAsia="宋体" w:cs="宋体"/>
          <w:bCs/>
          <w:color w:val="auto"/>
          <w:spacing w:val="0"/>
          <w:sz w:val="24"/>
          <w:szCs w:val="24"/>
          <w:highlight w:val="none"/>
        </w:rPr>
      </w:pPr>
    </w:p>
    <w:p>
      <w:pPr>
        <w:spacing w:line="360" w:lineRule="auto"/>
        <w:rPr>
          <w:rFonts w:hint="eastAsia" w:ascii="宋体" w:hAnsi="宋体" w:eastAsia="宋体" w:cs="宋体"/>
          <w:color w:val="auto"/>
          <w:sz w:val="24"/>
          <w:highlight w:val="none"/>
        </w:rPr>
      </w:pPr>
    </w:p>
    <w:p>
      <w:pPr>
        <w:shd w:val="clear" w:color="auto" w:fill="FFFFFF"/>
        <w:spacing w:line="500" w:lineRule="exact"/>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电子公章</w:t>
      </w:r>
      <w:r>
        <w:rPr>
          <w:rFonts w:hint="eastAsia" w:ascii="宋体" w:hAnsi="宋体" w:cs="宋体"/>
          <w:color w:val="auto"/>
          <w:sz w:val="24"/>
          <w:highlight w:val="none"/>
        </w:rPr>
        <w:t>）：</w:t>
      </w:r>
    </w:p>
    <w:p>
      <w:pPr>
        <w:shd w:val="clear" w:color="auto" w:fill="FFFFFF"/>
        <w:tabs>
          <w:tab w:val="left" w:pos="3780"/>
        </w:tabs>
        <w:spacing w:line="440" w:lineRule="exact"/>
        <w:rPr>
          <w:rFonts w:hint="eastAsia" w:ascii="宋体" w:hAnsi="宋体" w:cs="宋体"/>
          <w:color w:val="auto"/>
          <w:sz w:val="24"/>
          <w:highlight w:val="none"/>
        </w:rPr>
      </w:pP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或</w:t>
      </w:r>
      <w:r>
        <w:rPr>
          <w:rFonts w:hint="eastAsia" w:ascii="宋体" w:hAnsi="宋体" w:cs="宋体"/>
          <w:color w:val="auto"/>
          <w:sz w:val="24"/>
          <w:highlight w:val="none"/>
          <w:lang w:eastAsia="zh-CN"/>
        </w:rPr>
        <w:t>负责人</w:t>
      </w:r>
      <w:r>
        <w:rPr>
          <w:rFonts w:hint="eastAsia" w:ascii="宋体" w:hAnsi="宋体" w:cs="宋体"/>
          <w:color w:val="auto"/>
          <w:sz w:val="24"/>
          <w:highlight w:val="none"/>
        </w:rPr>
        <w:t>或授权代理人（签章）：</w:t>
      </w:r>
    </w:p>
    <w:p>
      <w:pPr>
        <w:shd w:val="clear" w:color="auto" w:fill="FFFFFF"/>
        <w:spacing w:line="500" w:lineRule="exact"/>
        <w:rPr>
          <w:rFonts w:hint="eastAsia" w:ascii="宋体" w:hAnsi="宋体" w:cs="宋体"/>
          <w:color w:val="auto"/>
          <w:sz w:val="24"/>
          <w:highlight w:val="none"/>
        </w:rPr>
      </w:pPr>
      <w:r>
        <w:rPr>
          <w:rFonts w:hint="eastAsia" w:ascii="宋体" w:hAnsi="宋体" w:cs="宋体"/>
          <w:color w:val="auto"/>
          <w:sz w:val="24"/>
          <w:highlight w:val="none"/>
        </w:rPr>
        <w:t>日  期：  年  月  日</w:t>
      </w:r>
    </w:p>
    <w:p>
      <w:pPr>
        <w:widowControl/>
        <w:spacing w:line="440" w:lineRule="exact"/>
        <w:ind w:firstLine="720" w:firstLineChars="300"/>
        <w:jc w:val="left"/>
        <w:rPr>
          <w:rFonts w:ascii="宋体" w:hAnsi="宋体" w:eastAsia="宋体" w:cs="宋体"/>
          <w:color w:val="auto"/>
          <w:kern w:val="0"/>
          <w:sz w:val="24"/>
          <w:highlight w:val="none"/>
        </w:rPr>
      </w:pPr>
    </w:p>
    <w:p>
      <w:pPr>
        <w:widowControl/>
        <w:spacing w:line="440" w:lineRule="exact"/>
        <w:jc w:val="left"/>
        <w:rPr>
          <w:rFonts w:hint="eastAsia" w:ascii="宋体" w:hAnsi="宋体" w:eastAsia="宋体" w:cs="宋体"/>
          <w:color w:val="auto"/>
          <w:spacing w:val="0"/>
          <w:highlight w:val="none"/>
        </w:rPr>
      </w:pPr>
      <w:r>
        <w:rPr>
          <w:rFonts w:hint="eastAsia" w:ascii="宋体" w:hAnsi="宋体" w:eastAsia="宋体" w:cs="宋体"/>
          <w:b/>
          <w:bCs/>
          <w:color w:val="auto"/>
          <w:highlight w:val="none"/>
        </w:rPr>
        <w:br w:type="page"/>
      </w:r>
      <w:r>
        <w:rPr>
          <w:rFonts w:hint="eastAsia" w:ascii="宋体" w:hAnsi="宋体" w:eastAsia="宋体" w:cs="宋体"/>
          <w:bCs/>
          <w:color w:val="auto"/>
          <w:spacing w:val="0"/>
          <w:kern w:val="2"/>
          <w:sz w:val="24"/>
          <w:highlight w:val="none"/>
        </w:rPr>
        <w:t>（</w:t>
      </w:r>
      <w:r>
        <w:rPr>
          <w:rFonts w:hint="eastAsia" w:ascii="宋体" w:hAnsi="宋体" w:eastAsia="宋体" w:cs="宋体"/>
          <w:bCs/>
          <w:color w:val="auto"/>
          <w:spacing w:val="0"/>
          <w:kern w:val="2"/>
          <w:sz w:val="24"/>
          <w:highlight w:val="none"/>
          <w:lang w:val="en-US" w:eastAsia="zh-CN"/>
        </w:rPr>
        <w:t>九</w:t>
      </w:r>
      <w:r>
        <w:rPr>
          <w:rFonts w:hint="eastAsia" w:ascii="宋体" w:hAnsi="宋体" w:eastAsia="宋体" w:cs="宋体"/>
          <w:bCs/>
          <w:color w:val="auto"/>
          <w:spacing w:val="0"/>
          <w:kern w:val="2"/>
          <w:sz w:val="24"/>
          <w:highlight w:val="none"/>
        </w:rPr>
        <w:t>）售后服务承诺</w:t>
      </w:r>
    </w:p>
    <w:p>
      <w:pPr>
        <w:pStyle w:val="2"/>
        <w:ind w:firstLine="0"/>
        <w:jc w:val="center"/>
        <w:rPr>
          <w:rFonts w:hint="eastAsia" w:ascii="宋体" w:hAnsi="宋体" w:eastAsia="宋体" w:cs="宋体"/>
          <w:b/>
          <w:color w:val="auto"/>
          <w:spacing w:val="0"/>
          <w:sz w:val="28"/>
          <w:szCs w:val="28"/>
          <w:highlight w:val="none"/>
        </w:rPr>
      </w:pPr>
    </w:p>
    <w:p>
      <w:pPr>
        <w:pStyle w:val="2"/>
        <w:ind w:firstLine="0"/>
        <w:jc w:val="center"/>
        <w:rPr>
          <w:rFonts w:hint="eastAsia" w:ascii="宋体" w:hAnsi="宋体" w:eastAsia="宋体" w:cs="宋体"/>
          <w:b/>
          <w:color w:val="auto"/>
          <w:spacing w:val="0"/>
          <w:sz w:val="28"/>
          <w:szCs w:val="28"/>
          <w:highlight w:val="none"/>
        </w:rPr>
      </w:pPr>
      <w:r>
        <w:rPr>
          <w:rFonts w:hint="eastAsia" w:ascii="宋体" w:hAnsi="宋体" w:eastAsia="宋体" w:cs="宋体"/>
          <w:b/>
          <w:color w:val="auto"/>
          <w:spacing w:val="0"/>
          <w:sz w:val="28"/>
          <w:szCs w:val="28"/>
          <w:highlight w:val="none"/>
        </w:rPr>
        <w:t>售后服务承诺</w:t>
      </w:r>
      <w:r>
        <w:rPr>
          <w:rFonts w:hint="eastAsia" w:ascii="宋体" w:hAnsi="宋体" w:eastAsia="宋体" w:cs="宋体"/>
          <w:b/>
          <w:bCs/>
          <w:color w:val="auto"/>
          <w:spacing w:val="0"/>
          <w:sz w:val="28"/>
          <w:szCs w:val="28"/>
          <w:highlight w:val="none"/>
        </w:rPr>
        <w:t>（含维保计划</w:t>
      </w:r>
      <w:r>
        <w:rPr>
          <w:rFonts w:hint="eastAsia" w:ascii="宋体" w:hAnsi="宋体" w:eastAsia="宋体" w:cs="宋体"/>
          <w:b/>
          <w:color w:val="auto"/>
          <w:spacing w:val="0"/>
          <w:sz w:val="28"/>
          <w:szCs w:val="28"/>
          <w:highlight w:val="none"/>
        </w:rPr>
        <w:t>）</w:t>
      </w:r>
    </w:p>
    <w:p>
      <w:pPr>
        <w:autoSpaceDE w:val="0"/>
        <w:autoSpaceDN w:val="0"/>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售后承诺书格式自拟，内容包括但不限于以下内容：</w:t>
      </w:r>
    </w:p>
    <w:p>
      <w:pPr>
        <w:autoSpaceDE w:val="0"/>
        <w:autoSpaceDN w:val="0"/>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1、详细的售后服务方案；</w:t>
      </w:r>
    </w:p>
    <w:p>
      <w:pPr>
        <w:autoSpaceDE w:val="0"/>
        <w:autoSpaceDN w:val="0"/>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2、详细的维保计划</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包含</w:t>
      </w:r>
      <w:r>
        <w:rPr>
          <w:rFonts w:hint="eastAsia" w:ascii="宋体" w:hAnsi="宋体" w:eastAsia="宋体" w:cs="宋体"/>
          <w:color w:val="auto"/>
          <w:kern w:val="0"/>
          <w:sz w:val="24"/>
          <w:highlight w:val="none"/>
        </w:rPr>
        <w:t>保修期内和保修期后，如设备出现故障，派工程技术人员到达现场解决问题的售后服务响应时间</w:t>
      </w:r>
      <w:r>
        <w:rPr>
          <w:rFonts w:hint="eastAsia" w:ascii="宋体" w:hAnsi="宋体" w:eastAsia="宋体" w:cs="宋体"/>
          <w:color w:val="auto"/>
          <w:kern w:val="0"/>
          <w:sz w:val="24"/>
          <w:highlight w:val="none"/>
          <w:lang w:val="en-US" w:eastAsia="zh-CN"/>
        </w:rPr>
        <w:t>等</w:t>
      </w:r>
      <w:r>
        <w:rPr>
          <w:rFonts w:hint="eastAsia" w:ascii="宋体" w:hAnsi="宋体" w:eastAsia="宋体" w:cs="宋体"/>
          <w:color w:val="auto"/>
          <w:kern w:val="0"/>
          <w:sz w:val="24"/>
          <w:highlight w:val="none"/>
        </w:rPr>
        <w:t>；</w:t>
      </w:r>
    </w:p>
    <w:p>
      <w:pPr>
        <w:widowControl/>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3、售后服务网点明细表（包括联系人、详细地址、电话、传真）及本地化服务情况一览表）；</w:t>
      </w:r>
    </w:p>
    <w:p>
      <w:pPr>
        <w:widowControl/>
        <w:spacing w:line="440" w:lineRule="exact"/>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详细的</w:t>
      </w:r>
      <w:r>
        <w:rPr>
          <w:rFonts w:hint="eastAsia" w:ascii="宋体" w:hAnsi="宋体" w:eastAsia="宋体" w:cs="宋体"/>
          <w:color w:val="auto"/>
          <w:kern w:val="0"/>
          <w:sz w:val="24"/>
          <w:highlight w:val="none"/>
          <w:lang w:val="en-US" w:eastAsia="zh-CN"/>
        </w:rPr>
        <w:t>培训方案；</w:t>
      </w:r>
    </w:p>
    <w:p>
      <w:pPr>
        <w:widowControl/>
        <w:spacing w:line="44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、其他供应商认为必要的承诺内容</w:t>
      </w:r>
      <w:r>
        <w:rPr>
          <w:rFonts w:hint="eastAsia" w:ascii="宋体" w:hAnsi="宋体" w:eastAsia="宋体" w:cs="宋体"/>
          <w:color w:val="auto"/>
          <w:kern w:val="0"/>
          <w:sz w:val="24"/>
          <w:highlight w:val="none"/>
          <w:lang w:eastAsia="zh-CN"/>
        </w:rPr>
        <w:t>。</w:t>
      </w:r>
    </w:p>
    <w:p>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）供应商认为有必要提供的其他商务资料</w:t>
      </w:r>
    </w:p>
    <w:p>
      <w:pPr>
        <w:pStyle w:val="55"/>
        <w:rPr>
          <w:rFonts w:hint="eastAsia" w:ascii="宋体" w:hAnsi="宋体" w:cs="宋体"/>
          <w:color w:val="auto"/>
          <w:highlight w:val="none"/>
        </w:rPr>
      </w:pPr>
    </w:p>
    <w:p>
      <w:pPr>
        <w:pStyle w:val="55"/>
        <w:rPr>
          <w:rFonts w:hint="eastAsia" w:ascii="宋体" w:hAnsi="宋体" w:cs="宋体"/>
          <w:b w:val="0"/>
          <w:bCs/>
          <w:color w:val="auto"/>
          <w:kern w:val="0"/>
          <w:sz w:val="24"/>
          <w:highlight w:val="none"/>
        </w:rPr>
      </w:pPr>
      <w:r>
        <w:rPr>
          <w:rFonts w:hint="eastAsia" w:ascii="宋体" w:hAnsi="宋体" w:cs="宋体"/>
          <w:b w:val="0"/>
          <w:bCs/>
          <w:color w:val="auto"/>
          <w:sz w:val="24"/>
          <w:highlight w:val="none"/>
        </w:rPr>
        <w:t>1、</w:t>
      </w:r>
      <w:r>
        <w:rPr>
          <w:rFonts w:hint="eastAsia" w:ascii="宋体" w:hAnsi="宋体" w:cs="宋体"/>
          <w:b w:val="0"/>
          <w:bCs/>
          <w:color w:val="auto"/>
          <w:kern w:val="0"/>
          <w:sz w:val="24"/>
          <w:highlight w:val="none"/>
        </w:rPr>
        <w:t>供应商自觉抵制政府采购领域商业贿赂行为承诺书；（格式自拟）</w:t>
      </w:r>
    </w:p>
    <w:p>
      <w:pPr>
        <w:pStyle w:val="55"/>
        <w:rPr>
          <w:rFonts w:hint="eastAsia" w:ascii="宋体" w:hAnsi="宋体" w:cs="宋体"/>
          <w:b w:val="0"/>
          <w:bCs/>
          <w:color w:val="auto"/>
          <w:kern w:val="0"/>
          <w:sz w:val="24"/>
          <w:highlight w:val="none"/>
        </w:rPr>
      </w:pPr>
    </w:p>
    <w:p>
      <w:pPr>
        <w:pStyle w:val="55"/>
        <w:rPr>
          <w:rFonts w:hint="eastAsia" w:ascii="宋体" w:hAnsi="宋体" w:cs="宋体"/>
          <w:b w:val="0"/>
          <w:bCs/>
          <w:color w:val="auto"/>
          <w:kern w:val="0"/>
          <w:sz w:val="24"/>
          <w:highlight w:val="none"/>
        </w:rPr>
      </w:pPr>
    </w:p>
    <w:p>
      <w:pPr>
        <w:pStyle w:val="55"/>
        <w:rPr>
          <w:rFonts w:hint="eastAsia" w:ascii="宋体" w:hAnsi="宋体" w:cs="宋体"/>
          <w:b w:val="0"/>
          <w:bCs/>
          <w:color w:val="auto"/>
          <w:kern w:val="0"/>
          <w:sz w:val="24"/>
          <w:highlight w:val="none"/>
        </w:rPr>
      </w:pPr>
    </w:p>
    <w:p>
      <w:pPr>
        <w:pStyle w:val="55"/>
        <w:rPr>
          <w:rFonts w:hint="eastAsia" w:ascii="宋体" w:hAnsi="宋体" w:cs="宋体"/>
          <w:b w:val="0"/>
          <w:bCs/>
          <w:color w:val="auto"/>
          <w:kern w:val="0"/>
          <w:sz w:val="24"/>
          <w:highlight w:val="none"/>
        </w:rPr>
      </w:pPr>
    </w:p>
    <w:p>
      <w:pPr>
        <w:pStyle w:val="56"/>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b/>
          <w:bCs/>
          <w:color w:val="auto"/>
          <w:kern w:val="0"/>
          <w:sz w:val="24"/>
          <w:szCs w:val="24"/>
          <w:highlight w:val="none"/>
        </w:rPr>
      </w:pPr>
      <w:r>
        <w:rPr>
          <w:rFonts w:hint="eastAsia" w:ascii="宋体" w:hAnsi="宋体" w:cs="宋体"/>
          <w:b w:val="0"/>
          <w:bCs/>
          <w:color w:val="auto"/>
          <w:sz w:val="24"/>
          <w:highlight w:val="none"/>
        </w:rPr>
        <w:t>2、</w:t>
      </w:r>
      <w:r>
        <w:rPr>
          <w:rFonts w:hint="eastAsia" w:ascii="宋体" w:hAnsi="宋体" w:cs="宋体"/>
          <w:b w:val="0"/>
          <w:bCs/>
          <w:color w:val="auto"/>
          <w:kern w:val="0"/>
          <w:sz w:val="24"/>
          <w:highlight w:val="none"/>
        </w:rPr>
        <w:t>供应商如提供的货物涉及快递和包装</w:t>
      </w:r>
      <w:r>
        <w:rPr>
          <w:rFonts w:hint="eastAsia" w:ascii="宋体" w:hAnsi="宋体" w:cs="宋体"/>
          <w:b w:val="0"/>
          <w:bCs/>
          <w:color w:val="auto"/>
          <w:kern w:val="0"/>
          <w:sz w:val="24"/>
          <w:szCs w:val="24"/>
          <w:highlight w:val="none"/>
        </w:rPr>
        <w:t>，须提供《</w:t>
      </w:r>
      <w:r>
        <w:rPr>
          <w:rFonts w:hint="eastAsia" w:ascii="宋体" w:hAnsi="宋体" w:cs="宋体"/>
          <w:b w:val="0"/>
          <w:bCs/>
          <w:color w:val="auto"/>
          <w:sz w:val="24"/>
          <w:highlight w:val="none"/>
        </w:rPr>
        <w:t>财政部等三部门联合印发商品包装和快递包</w:t>
      </w:r>
      <w:r>
        <w:rPr>
          <w:rFonts w:hint="eastAsia" w:ascii="宋体" w:hAnsi="宋体" w:cs="宋体"/>
          <w:color w:val="auto"/>
          <w:sz w:val="24"/>
          <w:highlight w:val="none"/>
        </w:rPr>
        <w:t>装政府采购需求标准</w:t>
      </w:r>
      <w:r>
        <w:rPr>
          <w:rFonts w:hint="eastAsia" w:ascii="宋体" w:hAnsi="宋体" w:cs="宋体"/>
          <w:color w:val="auto"/>
          <w:kern w:val="0"/>
          <w:sz w:val="24"/>
          <w:szCs w:val="24"/>
          <w:highlight w:val="none"/>
        </w:rPr>
        <w:t>》</w:t>
      </w:r>
      <w:r>
        <w:rPr>
          <w:rFonts w:hint="eastAsia" w:ascii="宋体" w:hAnsi="宋体" w:cs="宋体"/>
          <w:color w:val="auto"/>
          <w:sz w:val="24"/>
          <w:highlight w:val="none"/>
        </w:rPr>
        <w:t>（试行）(财办库〔2020〕123号文)的</w:t>
      </w:r>
      <w:r>
        <w:rPr>
          <w:rFonts w:hint="eastAsia" w:ascii="宋体" w:hAnsi="宋体" w:cs="宋体"/>
          <w:color w:val="auto"/>
          <w:kern w:val="0"/>
          <w:sz w:val="24"/>
          <w:highlight w:val="none"/>
        </w:rPr>
        <w:t>承诺书</w:t>
      </w:r>
      <w:r>
        <w:rPr>
          <w:rFonts w:hint="eastAsia" w:ascii="宋体" w:hAnsi="宋体" w:cs="宋体"/>
          <w:color w:val="auto"/>
          <w:sz w:val="24"/>
          <w:highlight w:val="none"/>
        </w:rPr>
        <w:t>；</w:t>
      </w:r>
      <w:r>
        <w:rPr>
          <w:rFonts w:hint="eastAsia" w:ascii="宋体" w:hAnsi="宋体" w:cs="宋体"/>
          <w:color w:val="auto"/>
          <w:kern w:val="0"/>
          <w:sz w:val="24"/>
          <w:highlight w:val="none"/>
        </w:rPr>
        <w:t>（格式自拟）</w:t>
      </w:r>
    </w:p>
    <w:p>
      <w:pPr>
        <w:pStyle w:val="2"/>
        <w:rPr>
          <w:rFonts w:hint="eastAsia" w:ascii="宋体" w:hAnsi="宋体" w:eastAsia="宋体" w:cs="宋体"/>
          <w:color w:val="auto"/>
          <w:spacing w:val="0"/>
          <w:highlight w:val="none"/>
        </w:rPr>
      </w:pPr>
    </w:p>
    <w:p>
      <w:pPr>
        <w:pStyle w:val="2"/>
        <w:rPr>
          <w:rFonts w:hint="eastAsia" w:ascii="宋体" w:hAnsi="宋体" w:eastAsia="宋体" w:cs="宋体"/>
          <w:color w:val="auto"/>
          <w:spacing w:val="0"/>
          <w:highlight w:val="none"/>
        </w:rPr>
      </w:pPr>
    </w:p>
    <w:p>
      <w:pPr>
        <w:pStyle w:val="2"/>
        <w:ind w:firstLine="0"/>
        <w:rPr>
          <w:rFonts w:hint="eastAsia" w:ascii="宋体" w:hAnsi="宋体" w:eastAsia="宋体" w:cs="宋体"/>
          <w:color w:val="auto"/>
          <w:spacing w:val="0"/>
          <w:highlight w:val="none"/>
        </w:rPr>
      </w:pPr>
      <w:r>
        <w:rPr>
          <w:rFonts w:hint="eastAsia" w:ascii="宋体" w:hAnsi="宋体" w:eastAsia="宋体" w:cs="宋体"/>
          <w:bCs/>
          <w:color w:val="auto"/>
          <w:spacing w:val="0"/>
          <w:kern w:val="2"/>
          <w:sz w:val="24"/>
          <w:szCs w:val="24"/>
          <w:highlight w:val="none"/>
        </w:rPr>
        <w:t>3、供应商认为有必要的其他资料</w:t>
      </w:r>
    </w:p>
    <w:p>
      <w:pPr>
        <w:widowControl/>
        <w:spacing w:line="440" w:lineRule="exact"/>
        <w:ind w:firstLine="480" w:firstLineChars="200"/>
        <w:jc w:val="left"/>
        <w:rPr>
          <w:rFonts w:hint="eastAsia" w:ascii="宋体" w:hAnsi="宋体" w:eastAsia="宋体" w:cs="宋体"/>
          <w:color w:val="auto"/>
          <w:kern w:val="0"/>
          <w:sz w:val="24"/>
          <w:highlight w:val="none"/>
        </w:rPr>
      </w:pPr>
    </w:p>
    <w:p>
      <w:pPr>
        <w:pStyle w:val="4"/>
        <w:jc w:val="center"/>
        <w:rPr>
          <w:rFonts w:hint="eastAsia" w:ascii="宋体" w:hAnsi="宋体" w:cs="宋体"/>
          <w:b/>
          <w:bCs/>
          <w:color w:val="auto"/>
          <w:sz w:val="28"/>
          <w:szCs w:val="28"/>
          <w:highlight w:val="none"/>
        </w:rPr>
      </w:pPr>
      <w:r>
        <w:rPr>
          <w:rFonts w:hint="eastAsia" w:ascii="宋体" w:hAnsi="宋体" w:eastAsia="宋体" w:cs="宋体"/>
          <w:b w:val="0"/>
          <w:bCs w:val="0"/>
          <w:color w:val="auto"/>
          <w:highlight w:val="none"/>
        </w:rPr>
        <w:br w:type="page"/>
      </w:r>
      <w:bookmarkStart w:id="169" w:name="_Toc9260"/>
      <w:r>
        <w:rPr>
          <w:rStyle w:val="32"/>
          <w:rFonts w:hint="eastAsia"/>
          <w:highlight w:val="none"/>
          <w:lang w:eastAsia="zh-CN"/>
        </w:rPr>
        <w:t>四</w:t>
      </w:r>
      <w:r>
        <w:rPr>
          <w:rStyle w:val="32"/>
          <w:rFonts w:hint="eastAsia"/>
          <w:highlight w:val="none"/>
        </w:rPr>
        <w:t>、技术部分</w:t>
      </w:r>
      <w:bookmarkEnd w:id="164"/>
      <w:bookmarkEnd w:id="165"/>
      <w:bookmarkEnd w:id="166"/>
      <w:bookmarkEnd w:id="169"/>
    </w:p>
    <w:p>
      <w:pPr>
        <w:shd w:val="clear" w:color="auto" w:fill="FFFFFF"/>
        <w:spacing w:line="440" w:lineRule="exact"/>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4"/>
          <w:highlight w:val="none"/>
        </w:rPr>
        <w:t>（一）技术条款偏离表</w:t>
      </w:r>
    </w:p>
    <w:p>
      <w:pPr>
        <w:shd w:val="clear" w:color="auto" w:fill="FFFFFF"/>
        <w:spacing w:line="440" w:lineRule="exact"/>
        <w:ind w:firstLine="562" w:firstLineChars="20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技术条款偏离表</w:t>
      </w:r>
    </w:p>
    <w:p>
      <w:pPr>
        <w:shd w:val="clear" w:color="auto" w:fill="FFFFFF"/>
        <w:spacing w:line="50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5"/>
        <w:tblW w:w="0" w:type="auto"/>
        <w:jc w:val="center"/>
        <w:tblLayout w:type="fixed"/>
        <w:tblCellMar>
          <w:top w:w="0" w:type="dxa"/>
          <w:left w:w="108" w:type="dxa"/>
          <w:bottom w:w="0" w:type="dxa"/>
          <w:right w:w="108" w:type="dxa"/>
        </w:tblCellMar>
      </w:tblPr>
      <w:tblGrid>
        <w:gridCol w:w="1005"/>
        <w:gridCol w:w="1409"/>
        <w:gridCol w:w="1812"/>
        <w:gridCol w:w="1811"/>
        <w:gridCol w:w="1811"/>
        <w:gridCol w:w="1811"/>
      </w:tblGrid>
      <w:tr>
        <w:tblPrEx>
          <w:tblCellMar>
            <w:top w:w="0" w:type="dxa"/>
            <w:left w:w="108" w:type="dxa"/>
            <w:bottom w:w="0" w:type="dxa"/>
            <w:right w:w="108" w:type="dxa"/>
          </w:tblCellMar>
        </w:tblPrEx>
        <w:trPr>
          <w:cantSplit/>
          <w:trHeight w:val="788" w:hRule="exact"/>
          <w:jc w:val="center"/>
        </w:trPr>
        <w:tc>
          <w:tcPr>
            <w:tcW w:w="100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序 号</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条款</w:t>
            </w:r>
          </w:p>
        </w:tc>
        <w:tc>
          <w:tcPr>
            <w:tcW w:w="181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招标规格</w:t>
            </w:r>
          </w:p>
        </w:tc>
        <w:tc>
          <w:tcPr>
            <w:tcW w:w="181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投标规格</w:t>
            </w:r>
          </w:p>
        </w:tc>
        <w:tc>
          <w:tcPr>
            <w:tcW w:w="181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是否偏离</w:t>
            </w:r>
          </w:p>
        </w:tc>
        <w:tc>
          <w:tcPr>
            <w:tcW w:w="181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技术支持资料所在投标文件页码</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w:t>
            </w:r>
          </w:p>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45"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bl>
    <w:p>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说明：</w:t>
      </w:r>
    </w:p>
    <w:p>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（1）供应商须对第三章</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采购需求</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技术要求中第二项“技术规格要求</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中</w:t>
      </w:r>
      <w:r>
        <w:rPr>
          <w:rFonts w:hint="eastAsia" w:ascii="宋体" w:hAnsi="宋体" w:eastAsia="宋体" w:cs="宋体"/>
          <w:b/>
          <w:bCs w:val="0"/>
          <w:color w:val="auto"/>
          <w:kern w:val="0"/>
          <w:sz w:val="24"/>
          <w:szCs w:val="24"/>
          <w:highlight w:val="none"/>
        </w:rPr>
        <w:t>所有参数逐条说明响应内容及是否存在偏离等情况</w:t>
      </w:r>
      <w:r>
        <w:rPr>
          <w:rFonts w:hint="eastAsia" w:ascii="宋体" w:hAnsi="宋体" w:eastAsia="宋体" w:cs="宋体"/>
          <w:b/>
          <w:color w:val="auto"/>
          <w:kern w:val="0"/>
          <w:sz w:val="24"/>
          <w:szCs w:val="24"/>
          <w:highlight w:val="none"/>
        </w:rPr>
        <w:t>，如有偏离，须一一列明。对参数未提供技术支持资料，或参数与其提供的技术支持资料不一致的，均视为负偏离。</w:t>
      </w:r>
    </w:p>
    <w:p>
      <w:pPr>
        <w:shd w:val="clear" w:color="auto" w:fill="FFFFFF"/>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（2）技术条款偏离表中投标规格应为供应商提供设备的实际技术参数（或规格），不能完全复制第三章</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采购需求</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技术要求中第二项</w:t>
      </w:r>
      <w:r>
        <w:rPr>
          <w:rFonts w:hint="eastAsia" w:ascii="Times New Roman" w:hAnsi="Times New Roman" w:cs="Times New Roman"/>
          <w:b/>
          <w:bCs/>
          <w:color w:val="auto"/>
          <w:sz w:val="24"/>
          <w:szCs w:val="24"/>
          <w:highlight w:val="none"/>
          <w:lang w:val="en-US" w:eastAsia="zh-CN"/>
        </w:rPr>
        <w:t>“主要技术参数</w:t>
      </w:r>
      <w:r>
        <w:rPr>
          <w:rFonts w:hint="default" w:ascii="宋体" w:hAnsi="宋体" w:eastAsia="宋体" w:cs="宋体"/>
          <w:b/>
          <w:color w:val="auto"/>
          <w:kern w:val="0"/>
          <w:sz w:val="24"/>
          <w:szCs w:val="24"/>
          <w:highlight w:val="none"/>
          <w:lang w:val="en-US" w:eastAsia="zh-CN"/>
        </w:rPr>
        <w:t>”</w:t>
      </w:r>
      <w:r>
        <w:rPr>
          <w:rFonts w:hint="eastAsia" w:ascii="宋体" w:hAnsi="宋体" w:eastAsia="宋体" w:cs="宋体"/>
          <w:b/>
          <w:color w:val="auto"/>
          <w:kern w:val="0"/>
          <w:sz w:val="24"/>
          <w:szCs w:val="24"/>
          <w:highlight w:val="none"/>
        </w:rPr>
        <w:t>中的技术参数（招标规格），否则将</w:t>
      </w:r>
      <w:r>
        <w:rPr>
          <w:rFonts w:hint="eastAsia" w:ascii="宋体" w:hAnsi="宋体" w:eastAsia="宋体" w:cs="宋体"/>
          <w:b/>
          <w:color w:val="auto"/>
          <w:sz w:val="24"/>
          <w:szCs w:val="24"/>
          <w:highlight w:val="none"/>
        </w:rPr>
        <w:t>视为未实质性响应招标文件要求，做无效投标处理。</w:t>
      </w:r>
    </w:p>
    <w:p>
      <w:pPr>
        <w:shd w:val="clear" w:color="auto" w:fill="FFFFFF"/>
        <w:spacing w:line="500" w:lineRule="exact"/>
        <w:ind w:left="706" w:leftChars="336"/>
        <w:rPr>
          <w:rFonts w:hint="eastAsia" w:ascii="宋体" w:hAnsi="宋体" w:eastAsia="宋体" w:cs="宋体"/>
          <w:color w:val="auto"/>
          <w:sz w:val="24"/>
          <w:highlight w:val="none"/>
        </w:rPr>
      </w:pPr>
    </w:p>
    <w:p>
      <w:pPr>
        <w:shd w:val="clear" w:color="auto" w:fill="FFFFFF"/>
        <w:spacing w:line="500" w:lineRule="exact"/>
        <w:ind w:left="706" w:leftChars="336"/>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706" w:leftChars="336"/>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法定代表人或授权代理人（</w:t>
      </w:r>
      <w:r>
        <w:rPr>
          <w:rFonts w:hint="eastAsia" w:ascii="宋体" w:hAnsi="宋体"/>
          <w:color w:val="auto"/>
          <w:sz w:val="24"/>
          <w:highlight w:val="none"/>
        </w:rPr>
        <w:t>签章</w:t>
      </w:r>
      <w:r>
        <w:rPr>
          <w:rFonts w:hint="eastAsia" w:ascii="宋体" w:hAnsi="宋体" w:eastAsia="宋体" w:cs="宋体"/>
          <w:color w:val="auto"/>
          <w:sz w:val="24"/>
          <w:highlight w:val="none"/>
        </w:rPr>
        <w:t>）：</w:t>
      </w:r>
    </w:p>
    <w:p>
      <w:pPr>
        <w:shd w:val="clear" w:color="auto" w:fill="FFFFFF"/>
        <w:spacing w:line="500" w:lineRule="exact"/>
        <w:ind w:left="706" w:leftChars="336"/>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pPr>
        <w:widowControl/>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p>
    <w:p>
      <w:pPr>
        <w:shd w:val="clear" w:color="auto" w:fill="FFFFFF"/>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（二）产品详细配置清单；</w:t>
      </w:r>
      <w:r>
        <w:rPr>
          <w:rFonts w:hint="eastAsia" w:ascii="宋体" w:hAnsi="宋体" w:eastAsia="宋体" w:cs="宋体"/>
          <w:bCs/>
          <w:color w:val="auto"/>
          <w:sz w:val="24"/>
          <w:highlight w:val="none"/>
          <w:lang w:eastAsia="zh-CN"/>
        </w:rPr>
        <w:t>（包括备品备件、专用工具和软件）</w:t>
      </w:r>
      <w:r>
        <w:rPr>
          <w:rFonts w:hint="eastAsia" w:ascii="宋体" w:hAnsi="宋体" w:eastAsia="宋体" w:cs="宋体"/>
          <w:bCs/>
          <w:color w:val="auto"/>
          <w:sz w:val="24"/>
          <w:highlight w:val="none"/>
        </w:rPr>
        <w:t>；</w:t>
      </w:r>
    </w:p>
    <w:p>
      <w:pPr>
        <w:shd w:val="clear" w:color="auto" w:fill="FFFFFF"/>
        <w:spacing w:line="440" w:lineRule="exact"/>
        <w:rPr>
          <w:rFonts w:hint="eastAsia" w:ascii="宋体" w:hAnsi="宋体" w:eastAsia="宋体" w:cs="宋体"/>
          <w:bCs/>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24"/>
          <w:highlight w:val="none"/>
        </w:rPr>
        <w:t>（三）供应商所投产品技术支持资料</w:t>
      </w:r>
    </w:p>
    <w:p>
      <w:pPr>
        <w:pStyle w:val="2"/>
        <w:spacing w:line="480" w:lineRule="exact"/>
        <w:ind w:firstLine="480" w:firstLineChars="200"/>
        <w:rPr>
          <w:rFonts w:hint="eastAsia" w:ascii="宋体" w:hAnsi="宋体" w:eastAsia="宋体" w:cs="宋体"/>
          <w:bCs/>
          <w:color w:val="auto"/>
          <w:spacing w:val="0"/>
          <w:kern w:val="2"/>
          <w:sz w:val="24"/>
          <w:szCs w:val="21"/>
          <w:highlight w:val="none"/>
          <w:lang w:val="en-US" w:eastAsia="zh-CN" w:bidi="ar-SA"/>
        </w:rPr>
      </w:pPr>
      <w:r>
        <w:rPr>
          <w:rFonts w:hint="eastAsia" w:ascii="宋体" w:hAnsi="宋体" w:eastAsia="宋体" w:cs="宋体"/>
          <w:bCs/>
          <w:color w:val="auto"/>
          <w:spacing w:val="0"/>
          <w:kern w:val="2"/>
          <w:sz w:val="24"/>
          <w:szCs w:val="21"/>
          <w:highlight w:val="none"/>
          <w:lang w:val="en-US" w:eastAsia="zh-CN" w:bidi="ar-SA"/>
        </w:rPr>
        <w:t>供应商所投产品（且为所投型号）应提供具有检测资质的部门出具的检验检测报告（反映主要参数内容的部分）、制造商对外公开发行的印刷版彩页、（国家无需检测的设备可以不提供检验报告）</w:t>
      </w:r>
    </w:p>
    <w:p>
      <w:pPr>
        <w:pStyle w:val="2"/>
        <w:spacing w:line="480" w:lineRule="exact"/>
        <w:ind w:firstLine="482" w:firstLineChars="200"/>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对参数未提供技术支持资料，或参数与其提供的技术支持资料不一致的，在评审时均视为技术参数负偏离。</w:t>
      </w:r>
    </w:p>
    <w:p>
      <w:pPr>
        <w:pStyle w:val="2"/>
        <w:spacing w:line="480" w:lineRule="exact"/>
        <w:ind w:firstLine="482" w:firstLineChars="200"/>
        <w:rPr>
          <w:rFonts w:hint="eastAsia" w:ascii="宋体" w:hAnsi="宋体" w:eastAsia="宋体" w:cs="宋体"/>
          <w:b/>
          <w:bCs/>
          <w:color w:val="auto"/>
          <w:spacing w:val="0"/>
          <w:sz w:val="24"/>
          <w:szCs w:val="24"/>
          <w:highlight w:val="none"/>
        </w:rPr>
      </w:pPr>
    </w:p>
    <w:p>
      <w:pPr>
        <w:pStyle w:val="2"/>
        <w:spacing w:line="480" w:lineRule="exact"/>
        <w:ind w:firstLine="482" w:firstLineChars="200"/>
        <w:rPr>
          <w:rFonts w:hint="eastAsia" w:ascii="宋体" w:hAnsi="宋体" w:eastAsia="宋体" w:cs="宋体"/>
          <w:b/>
          <w:bCs/>
          <w:color w:val="auto"/>
          <w:spacing w:val="0"/>
          <w:sz w:val="24"/>
          <w:szCs w:val="24"/>
          <w:highlight w:val="none"/>
        </w:rPr>
      </w:pPr>
    </w:p>
    <w:p>
      <w:pPr>
        <w:pStyle w:val="2"/>
        <w:spacing w:line="480" w:lineRule="exact"/>
        <w:ind w:firstLine="482" w:firstLineChars="200"/>
        <w:rPr>
          <w:rFonts w:hint="eastAsia" w:ascii="宋体" w:hAnsi="宋体" w:eastAsia="宋体" w:cs="宋体"/>
          <w:b/>
          <w:bCs/>
          <w:color w:val="auto"/>
          <w:spacing w:val="0"/>
          <w:sz w:val="24"/>
          <w:szCs w:val="24"/>
          <w:highlight w:val="none"/>
        </w:rPr>
      </w:pPr>
    </w:p>
    <w:p>
      <w:pPr>
        <w:shd w:val="clear" w:color="auto" w:fill="FFFFFF"/>
        <w:spacing w:line="440" w:lineRule="exact"/>
        <w:rPr>
          <w:rFonts w:hint="eastAsia" w:ascii="宋体" w:hAnsi="宋体" w:eastAsia="宋体" w:cs="宋体"/>
          <w:bCs/>
          <w:color w:val="auto"/>
          <w:sz w:val="24"/>
          <w:highlight w:val="none"/>
        </w:rPr>
      </w:pPr>
      <w:r>
        <w:rPr>
          <w:rFonts w:hint="eastAsia" w:ascii="宋体" w:hAnsi="宋体" w:eastAsia="宋体" w:cs="宋体"/>
          <w:color w:val="auto"/>
          <w:spacing w:val="0"/>
          <w:highlight w:val="none"/>
        </w:rPr>
        <w:br w:type="page"/>
      </w:r>
      <w:bookmarkStart w:id="170" w:name="_Toc35984293"/>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四</w:t>
      </w:r>
      <w:r>
        <w:rPr>
          <w:rFonts w:hint="eastAsia" w:ascii="宋体" w:hAnsi="宋体" w:eastAsia="宋体" w:cs="宋体"/>
          <w:bCs/>
          <w:color w:val="auto"/>
          <w:sz w:val="24"/>
          <w:highlight w:val="none"/>
        </w:rPr>
        <w:t>）供应商认为有必要的其他技术资料</w:t>
      </w:r>
      <w:bookmarkEnd w:id="170"/>
    </w:p>
    <w:p>
      <w:pPr>
        <w:pStyle w:val="4"/>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ascii="宋体" w:hAnsi="宋体" w:cs="宋体"/>
          <w:b w:val="0"/>
          <w:color w:val="auto"/>
          <w:w w:val="99"/>
          <w:kern w:val="0"/>
          <w:position w:val="-4"/>
          <w:szCs w:val="32"/>
          <w:highlight w:val="none"/>
        </w:rPr>
      </w:pPr>
      <w:r>
        <w:rPr>
          <w:rFonts w:hint="eastAsia" w:ascii="宋体" w:hAnsi="宋体" w:cs="宋体"/>
          <w:color w:val="auto"/>
          <w:w w:val="99"/>
          <w:highlight w:val="none"/>
        </w:rPr>
        <w:br w:type="page"/>
      </w:r>
      <w:bookmarkStart w:id="171" w:name="_Toc24722"/>
      <w:bookmarkStart w:id="172" w:name="_Toc35984304"/>
      <w:bookmarkStart w:id="173" w:name="_Toc73974719"/>
      <w:bookmarkStart w:id="174" w:name="_Toc512349764"/>
      <w:bookmarkStart w:id="175" w:name="_Toc53602925"/>
      <w:bookmarkStart w:id="176" w:name="_Toc12100"/>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、其他资料</w:t>
      </w:r>
      <w:bookmarkEnd w:id="171"/>
      <w:bookmarkEnd w:id="172"/>
      <w:bookmarkEnd w:id="173"/>
      <w:bookmarkEnd w:id="174"/>
      <w:bookmarkEnd w:id="175"/>
      <w:bookmarkEnd w:id="176"/>
    </w:p>
    <w:p>
      <w:pPr>
        <w:pStyle w:val="58"/>
        <w:ind w:firstLine="473"/>
        <w:rPr>
          <w:rFonts w:hint="eastAsia" w:ascii="宋体" w:hAnsi="宋体" w:eastAsia="宋体" w:cs="宋体"/>
          <w:color w:val="auto"/>
          <w:w w:val="99"/>
          <w:highlight w:val="none"/>
        </w:rPr>
      </w:pPr>
    </w:p>
    <w:p>
      <w:pPr>
        <w:topLinePunct/>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1.供应商账户信息：</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账户信息具体内容如下：</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账户名称：</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税号：</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地址及电话：</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银行账号：</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开户行名称：</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行号：  </w:t>
      </w:r>
    </w:p>
    <w:p>
      <w:pPr>
        <w:pStyle w:val="2"/>
        <w:rPr>
          <w:rFonts w:hint="eastAsia" w:ascii="宋体" w:hAnsi="宋体" w:eastAsia="宋体" w:cs="宋体"/>
          <w:color w:val="auto"/>
          <w:highlight w:val="none"/>
        </w:rPr>
      </w:pPr>
    </w:p>
    <w:p>
      <w:pPr>
        <w:spacing w:line="520" w:lineRule="exact"/>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lang w:eastAsia="zh-CN"/>
        </w:rPr>
        <w:t>文件</w:t>
      </w:r>
      <w:r>
        <w:rPr>
          <w:rFonts w:hint="eastAsia" w:ascii="宋体" w:hAnsi="宋体" w:eastAsia="宋体" w:cs="宋体"/>
          <w:b/>
          <w:bCs/>
          <w:color w:val="auto"/>
          <w:sz w:val="24"/>
          <w:szCs w:val="24"/>
          <w:highlight w:val="none"/>
        </w:rPr>
        <w:t>未提供格式的内容</w:t>
      </w:r>
    </w:p>
    <w:p>
      <w:pPr>
        <w:topLinePunct/>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3.供应商认为有必要的其他资料</w:t>
      </w:r>
    </w:p>
    <w:p>
      <w:pPr>
        <w:topLinePunct/>
        <w:spacing w:line="520" w:lineRule="exact"/>
        <w:ind w:firstLine="482" w:firstLineChars="200"/>
        <w:rPr>
          <w:rFonts w:ascii="宋体" w:hAnsi="宋体" w:eastAsia="宋体" w:cs="宋体"/>
          <w:b/>
          <w:bCs/>
          <w:color w:val="auto"/>
          <w:sz w:val="24"/>
          <w:highlight w:val="none"/>
        </w:rPr>
      </w:pPr>
    </w:p>
    <w:p>
      <w:pPr>
        <w:pStyle w:val="58"/>
        <w:ind w:firstLine="473"/>
        <w:rPr>
          <w:rFonts w:ascii="宋体" w:hAnsi="宋体" w:eastAsia="宋体" w:cs="宋体"/>
          <w:color w:val="auto"/>
          <w:w w:val="99"/>
          <w:highlight w:val="none"/>
        </w:rPr>
      </w:pPr>
    </w:p>
    <w:p>
      <w:pPr>
        <w:pStyle w:val="2"/>
        <w:rPr>
          <w:rFonts w:ascii="宋体" w:hAnsi="宋体" w:eastAsia="宋体" w:cs="宋体"/>
          <w:color w:val="auto"/>
          <w:spacing w:val="0"/>
          <w:highlight w:val="none"/>
        </w:rPr>
      </w:pPr>
    </w:p>
    <w:p>
      <w:pPr>
        <w:rPr>
          <w:rFonts w:ascii="宋体" w:hAnsi="宋体" w:eastAsia="宋体" w:cs="宋体"/>
          <w:color w:val="auto"/>
          <w:highlight w:val="none"/>
        </w:rPr>
      </w:pPr>
    </w:p>
    <w:p>
      <w:pPr>
        <w:rPr>
          <w:color w:val="auto"/>
          <w:highlight w:val="none"/>
        </w:rPr>
      </w:pPr>
    </w:p>
    <w:sectPr>
      <w:headerReference r:id="rId5" w:type="default"/>
      <w:footerReference r:id="rId6" w:type="default"/>
      <w:pgSz w:w="11906" w:h="16838"/>
      <w:pgMar w:top="1440" w:right="1106" w:bottom="1440" w:left="1800" w:header="851" w:footer="752" w:gutter="0"/>
      <w:pgNumType w:fmt="decimal"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SimSun">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t>------------------------------------------------------------------------------------------------------------------------------------------------------</w:t>
    </w:r>
  </w:p>
  <w:p>
    <w:pPr>
      <w:pStyle w:val="1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t>----------------------------------------------------------------------</w:t>
    </w: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jc w:val="center"/>
                </w:pPr>
                <w:r>
                  <w:fldChar w:fldCharType="begin"/>
                </w:r>
                <w:r>
                  <w:instrText xml:space="preserve"> PAGE  \* MERGEFORMAT </w:instrText>
                </w:r>
                <w:r>
                  <w:fldChar w:fldCharType="separate"/>
                </w:r>
                <w:r>
                  <w:t>- 32 -</w:t>
                </w:r>
                <w:r>
                  <w:fldChar w:fldCharType="end"/>
                </w:r>
              </w:p>
            </w:txbxContent>
          </v:textbox>
        </v:shape>
      </w:pict>
    </w:r>
    <w:r>
      <w:t>-</w:t>
    </w:r>
    <w:r>
      <w:rPr>
        <w:rFonts w:hint="eastAsia"/>
        <w:lang w:val="en-US" w:eastAsia="zh-CN"/>
      </w:rPr>
      <w:t xml:space="preserve">     </w:t>
    </w:r>
    <w:r>
      <w:t>-----------------------------------------------------------------------</w:t>
    </w:r>
  </w:p>
  <w:p>
    <w:pPr>
      <w:pStyle w:val="1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bottom w:val="none" w:color="auto" w:sz="0" w:space="0"/>
      </w:pBdr>
      <w:spacing w:line="240" w:lineRule="exact"/>
      <w:jc w:val="both"/>
      <w:rPr>
        <w:b/>
        <w:bCs/>
        <w:i/>
        <w:iCs/>
        <w:sz w:val="21"/>
        <w:szCs w:val="21"/>
      </w:rPr>
    </w:pPr>
    <w:r>
      <w:rPr>
        <w:rFonts w:hint="eastAsia"/>
        <w:b/>
        <w:bCs/>
        <w:i/>
        <w:iCs/>
        <w:sz w:val="21"/>
        <w:szCs w:val="21"/>
        <w:lang w:eastAsia="zh-CN"/>
      </w:rPr>
      <w:t>新疆恒达壹品项目管理咨询有限公司磋商文件</w:t>
    </w:r>
    <w:r>
      <w:rPr>
        <w:rFonts w:hint="eastAsia"/>
        <w:b/>
        <w:bCs/>
        <w:i/>
        <w:iCs/>
        <w:sz w:val="21"/>
        <w:szCs w:val="21"/>
      </w:rPr>
      <w:t xml:space="preserve">   </w:t>
    </w:r>
    <w:r>
      <w:rPr>
        <w:rFonts w:hint="eastAsia"/>
        <w:b/>
        <w:bCs/>
        <w:i/>
        <w:iCs/>
        <w:sz w:val="21"/>
        <w:szCs w:val="21"/>
        <w:lang w:val="en-US" w:eastAsia="zh-CN"/>
      </w:rPr>
      <w:t xml:space="preserve">      </w:t>
    </w:r>
    <w:r>
      <w:rPr>
        <w:rFonts w:hint="eastAsia"/>
        <w:b/>
        <w:bCs/>
        <w:i/>
        <w:iCs/>
        <w:sz w:val="21"/>
        <w:szCs w:val="21"/>
      </w:rPr>
      <w:t xml:space="preserve">          </w:t>
    </w:r>
  </w:p>
  <w:p>
    <w:pPr>
      <w:pStyle w:val="59"/>
      <w:pBdr>
        <w:bottom w:val="none" w:color="auto" w:sz="0" w:space="0"/>
      </w:pBdr>
      <w:spacing w:line="80" w:lineRule="exact"/>
      <w:ind w:left="-199" w:leftChars="-95"/>
    </w:pP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bottom w:val="none" w:color="auto" w:sz="0" w:space="0"/>
      </w:pBdr>
      <w:spacing w:line="240" w:lineRule="exact"/>
      <w:jc w:val="both"/>
      <w:rPr>
        <w:rFonts w:hint="eastAsia"/>
        <w:b/>
        <w:bCs/>
        <w:i/>
        <w:iCs/>
        <w:color w:val="000000" w:themeColor="text1"/>
        <w:sz w:val="21"/>
        <w:szCs w:val="21"/>
      </w:rPr>
    </w:pPr>
    <w:r>
      <w:rPr>
        <w:rFonts w:hint="eastAsia"/>
        <w:b/>
        <w:bCs/>
        <w:i/>
        <w:iCs/>
        <w:color w:val="000000" w:themeColor="text1"/>
        <w:sz w:val="21"/>
        <w:szCs w:val="21"/>
        <w:lang w:eastAsia="zh-CN"/>
      </w:rPr>
      <w:t>新疆恒达壹品项目管理咨询有限公司磋商文件</w:t>
    </w:r>
    <w:r>
      <w:rPr>
        <w:rFonts w:hint="eastAsia"/>
        <w:b/>
        <w:bCs/>
        <w:i/>
        <w:iCs/>
        <w:color w:val="000000" w:themeColor="text1"/>
        <w:sz w:val="21"/>
        <w:szCs w:val="21"/>
      </w:rPr>
      <w:t xml:space="preserve">        </w:t>
    </w:r>
    <w:r>
      <w:rPr>
        <w:rFonts w:hint="eastAsia"/>
        <w:b/>
        <w:bCs/>
        <w:i/>
        <w:iCs/>
        <w:color w:val="000000" w:themeColor="text1"/>
        <w:sz w:val="21"/>
        <w:szCs w:val="21"/>
        <w:lang w:val="en-US" w:eastAsia="zh-CN"/>
      </w:rPr>
      <w:t xml:space="preserve">   </w:t>
    </w:r>
    <w:r>
      <w:rPr>
        <w:rFonts w:hint="eastAsia"/>
        <w:b/>
        <w:bCs/>
        <w:i/>
        <w:iCs/>
        <w:color w:val="000000" w:themeColor="text1"/>
        <w:sz w:val="21"/>
        <w:szCs w:val="21"/>
      </w:rPr>
      <w:t xml:space="preserve">  </w:t>
    </w:r>
    <w:r>
      <w:rPr>
        <w:rFonts w:hint="eastAsia"/>
        <w:b/>
        <w:bCs/>
        <w:i/>
        <w:iCs/>
        <w:color w:val="000000" w:themeColor="text1"/>
        <w:sz w:val="21"/>
        <w:szCs w:val="21"/>
        <w:lang w:val="en-US" w:eastAsia="zh-CN"/>
      </w:rPr>
      <w:t xml:space="preserve">       </w:t>
    </w:r>
  </w:p>
  <w:p>
    <w:pPr>
      <w:pStyle w:val="59"/>
      <w:pBdr>
        <w:bottom w:val="none" w:color="auto" w:sz="0" w:space="0"/>
      </w:pBdr>
      <w:tabs>
        <w:tab w:val="clear" w:pos="8306"/>
      </w:tabs>
      <w:spacing w:line="80" w:lineRule="exact"/>
      <w:ind w:left="-199" w:leftChars="-95" w:firstLine="180" w:firstLineChars="100"/>
      <w:jc w:val="both"/>
      <w:rPr>
        <w:color w:val="000000" w:themeColor="text1"/>
      </w:rPr>
    </w:pPr>
    <w:r>
      <w:rPr>
        <w:color w:val="000000" w:themeColor="text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CFE79"/>
    <w:multiLevelType w:val="singleLevel"/>
    <w:tmpl w:val="C5ECFE79"/>
    <w:lvl w:ilvl="0" w:tentative="0">
      <w:start w:val="1"/>
      <w:numFmt w:val="decimal"/>
      <w:suff w:val="nothing"/>
      <w:lvlText w:val="（%1）"/>
      <w:lvlJc w:val="left"/>
    </w:lvl>
  </w:abstractNum>
  <w:abstractNum w:abstractNumId="1">
    <w:nsid w:val="D02EBE38"/>
    <w:multiLevelType w:val="singleLevel"/>
    <w:tmpl w:val="D02EBE38"/>
    <w:lvl w:ilvl="0" w:tentative="0">
      <w:start w:val="1"/>
      <w:numFmt w:val="decimal"/>
      <w:suff w:val="nothing"/>
      <w:lvlText w:val="%1、"/>
      <w:lvlJc w:val="left"/>
    </w:lvl>
  </w:abstractNum>
  <w:abstractNum w:abstractNumId="2">
    <w:nsid w:val="08E4F1DC"/>
    <w:multiLevelType w:val="singleLevel"/>
    <w:tmpl w:val="08E4F1DC"/>
    <w:lvl w:ilvl="0" w:tentative="0">
      <w:start w:val="1"/>
      <w:numFmt w:val="decimal"/>
      <w:suff w:val="nothing"/>
      <w:lvlText w:val="%1、"/>
      <w:lvlJc w:val="left"/>
    </w:lvl>
  </w:abstractNum>
  <w:abstractNum w:abstractNumId="3">
    <w:nsid w:val="0F4E81C2"/>
    <w:multiLevelType w:val="singleLevel"/>
    <w:tmpl w:val="0F4E81C2"/>
    <w:lvl w:ilvl="0" w:tentative="0">
      <w:start w:val="2"/>
      <w:numFmt w:val="chineseCounting"/>
      <w:suff w:val="space"/>
      <w:lvlText w:val="第%1章"/>
      <w:lvlJc w:val="left"/>
      <w:pPr>
        <w:ind w:left="3360"/>
      </w:pPr>
      <w:rPr>
        <w:rFonts w:hint="eastAsia"/>
      </w:rPr>
    </w:lvl>
  </w:abstractNum>
  <w:abstractNum w:abstractNumId="4">
    <w:nsid w:val="25090165"/>
    <w:multiLevelType w:val="multilevel"/>
    <w:tmpl w:val="25090165"/>
    <w:lvl w:ilvl="0" w:tentative="0">
      <w:start w:val="1"/>
      <w:numFmt w:val="none"/>
      <w:suff w:val="nothing"/>
      <w:lvlText w:val=""/>
      <w:lvlJc w:val="left"/>
    </w:lvl>
    <w:lvl w:ilvl="1" w:tentative="0">
      <w:start w:val="1"/>
      <w:numFmt w:val="none"/>
      <w:pStyle w:val="38"/>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5">
    <w:nsid w:val="3165FDD7"/>
    <w:multiLevelType w:val="singleLevel"/>
    <w:tmpl w:val="3165FDD7"/>
    <w:lvl w:ilvl="0" w:tentative="0">
      <w:start w:val="1"/>
      <w:numFmt w:val="decimal"/>
      <w:suff w:val="space"/>
      <w:lvlText w:val="%1、"/>
      <w:lvlJc w:val="left"/>
    </w:lvl>
  </w:abstractNum>
  <w:abstractNum w:abstractNumId="6">
    <w:nsid w:val="3AB7BC49"/>
    <w:multiLevelType w:val="singleLevel"/>
    <w:tmpl w:val="3AB7BC49"/>
    <w:lvl w:ilvl="0" w:tentative="0">
      <w:start w:val="9"/>
      <w:numFmt w:val="chineseCounting"/>
      <w:suff w:val="space"/>
      <w:lvlText w:val="（%1）"/>
      <w:lvlJc w:val="left"/>
      <w:rPr>
        <w:rFonts w:hint="eastAsia"/>
      </w:rPr>
    </w:lvl>
  </w:abstractNum>
  <w:num w:numId="1">
    <w:abstractNumId w:val="4"/>
  </w:num>
  <w:num w:numId="2">
    <w:abstractNumId w:val="3"/>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2OWU3MjA4NjIwNTQ0ZjM1NjUzZmIwNDUyOWRlNTMifQ=="/>
    <w:docVar w:name="KSO_WPS_MARK_KEY" w:val="3b254ecd-e08c-4355-b352-8a10e0caa82c"/>
  </w:docVars>
  <w:rsids>
    <w:rsidRoot w:val="18837877"/>
    <w:rsid w:val="0002574B"/>
    <w:rsid w:val="000406B1"/>
    <w:rsid w:val="0011157B"/>
    <w:rsid w:val="004B0D73"/>
    <w:rsid w:val="004C0647"/>
    <w:rsid w:val="004E43BF"/>
    <w:rsid w:val="0050244A"/>
    <w:rsid w:val="006D0CE9"/>
    <w:rsid w:val="007756C4"/>
    <w:rsid w:val="00775F01"/>
    <w:rsid w:val="007E02F7"/>
    <w:rsid w:val="008102F1"/>
    <w:rsid w:val="00AD2FAD"/>
    <w:rsid w:val="00B120A8"/>
    <w:rsid w:val="00C34DAD"/>
    <w:rsid w:val="00C85F20"/>
    <w:rsid w:val="00DA5C53"/>
    <w:rsid w:val="00F46D15"/>
    <w:rsid w:val="00F66F31"/>
    <w:rsid w:val="010F49EE"/>
    <w:rsid w:val="011521E8"/>
    <w:rsid w:val="01284C10"/>
    <w:rsid w:val="01335F7E"/>
    <w:rsid w:val="014D28C9"/>
    <w:rsid w:val="015B3238"/>
    <w:rsid w:val="016D6AC7"/>
    <w:rsid w:val="019B48AC"/>
    <w:rsid w:val="01C506B1"/>
    <w:rsid w:val="01CD7566"/>
    <w:rsid w:val="01CE3A0A"/>
    <w:rsid w:val="01DD669F"/>
    <w:rsid w:val="01E52B01"/>
    <w:rsid w:val="02151639"/>
    <w:rsid w:val="02274EC8"/>
    <w:rsid w:val="022F7FB8"/>
    <w:rsid w:val="02691F2E"/>
    <w:rsid w:val="02975EAA"/>
    <w:rsid w:val="02A209F3"/>
    <w:rsid w:val="02CB7F49"/>
    <w:rsid w:val="02F4124E"/>
    <w:rsid w:val="03084CFA"/>
    <w:rsid w:val="03187320"/>
    <w:rsid w:val="031E1229"/>
    <w:rsid w:val="031E6982"/>
    <w:rsid w:val="032356B1"/>
    <w:rsid w:val="033A2416"/>
    <w:rsid w:val="036A767D"/>
    <w:rsid w:val="036B52A1"/>
    <w:rsid w:val="03AC38D7"/>
    <w:rsid w:val="03B83C1E"/>
    <w:rsid w:val="03C07382"/>
    <w:rsid w:val="03CB5B51"/>
    <w:rsid w:val="03DE5DE4"/>
    <w:rsid w:val="041811A5"/>
    <w:rsid w:val="041B280B"/>
    <w:rsid w:val="041E23E5"/>
    <w:rsid w:val="043833BC"/>
    <w:rsid w:val="04551AD8"/>
    <w:rsid w:val="04812937"/>
    <w:rsid w:val="04934A97"/>
    <w:rsid w:val="04956A61"/>
    <w:rsid w:val="04C3537C"/>
    <w:rsid w:val="04CC4D76"/>
    <w:rsid w:val="05031C1C"/>
    <w:rsid w:val="0534627A"/>
    <w:rsid w:val="05500BDA"/>
    <w:rsid w:val="055204AE"/>
    <w:rsid w:val="05573D16"/>
    <w:rsid w:val="05812B41"/>
    <w:rsid w:val="05834B0B"/>
    <w:rsid w:val="05B80C59"/>
    <w:rsid w:val="05C25634"/>
    <w:rsid w:val="05C72C1A"/>
    <w:rsid w:val="05D109E8"/>
    <w:rsid w:val="05DE1D42"/>
    <w:rsid w:val="05DF5021"/>
    <w:rsid w:val="05EC5B44"/>
    <w:rsid w:val="05F17CC7"/>
    <w:rsid w:val="06141C07"/>
    <w:rsid w:val="061E4834"/>
    <w:rsid w:val="06385829"/>
    <w:rsid w:val="06652463"/>
    <w:rsid w:val="06764670"/>
    <w:rsid w:val="067B3A34"/>
    <w:rsid w:val="06913258"/>
    <w:rsid w:val="06B70F10"/>
    <w:rsid w:val="06C90C44"/>
    <w:rsid w:val="06CC4290"/>
    <w:rsid w:val="06D575E9"/>
    <w:rsid w:val="06E72E78"/>
    <w:rsid w:val="06EA081F"/>
    <w:rsid w:val="070D0B30"/>
    <w:rsid w:val="07266355"/>
    <w:rsid w:val="072E563C"/>
    <w:rsid w:val="07372051"/>
    <w:rsid w:val="076170CE"/>
    <w:rsid w:val="07814373"/>
    <w:rsid w:val="07DD40F6"/>
    <w:rsid w:val="07EF46DA"/>
    <w:rsid w:val="07F13FAE"/>
    <w:rsid w:val="080F2686"/>
    <w:rsid w:val="08183C31"/>
    <w:rsid w:val="081859DF"/>
    <w:rsid w:val="08430864"/>
    <w:rsid w:val="088969F0"/>
    <w:rsid w:val="08F55D20"/>
    <w:rsid w:val="0926237D"/>
    <w:rsid w:val="09273A00"/>
    <w:rsid w:val="094E5430"/>
    <w:rsid w:val="095347F5"/>
    <w:rsid w:val="09581D10"/>
    <w:rsid w:val="095A6AE5"/>
    <w:rsid w:val="095C7B4D"/>
    <w:rsid w:val="09727371"/>
    <w:rsid w:val="097E09E9"/>
    <w:rsid w:val="0985716A"/>
    <w:rsid w:val="09AF5ECF"/>
    <w:rsid w:val="09C33728"/>
    <w:rsid w:val="09CB3921"/>
    <w:rsid w:val="09CB6D91"/>
    <w:rsid w:val="09DE12BD"/>
    <w:rsid w:val="09F2225F"/>
    <w:rsid w:val="0A586566"/>
    <w:rsid w:val="0A616547"/>
    <w:rsid w:val="0A812E37"/>
    <w:rsid w:val="0A8A06EA"/>
    <w:rsid w:val="0A984BB5"/>
    <w:rsid w:val="0B252163"/>
    <w:rsid w:val="0B6158EF"/>
    <w:rsid w:val="0B7373D0"/>
    <w:rsid w:val="0B7A250D"/>
    <w:rsid w:val="0B8057B7"/>
    <w:rsid w:val="0B9335CE"/>
    <w:rsid w:val="0B981B5D"/>
    <w:rsid w:val="0BA13F3D"/>
    <w:rsid w:val="0BA15CEB"/>
    <w:rsid w:val="0BCD088E"/>
    <w:rsid w:val="0BDC4F75"/>
    <w:rsid w:val="0C193AD3"/>
    <w:rsid w:val="0C2F32F7"/>
    <w:rsid w:val="0C5965C6"/>
    <w:rsid w:val="0C7156BE"/>
    <w:rsid w:val="0C7D22B4"/>
    <w:rsid w:val="0C880C59"/>
    <w:rsid w:val="0CB3217A"/>
    <w:rsid w:val="0CB63A18"/>
    <w:rsid w:val="0CE9437B"/>
    <w:rsid w:val="0CEE4F60"/>
    <w:rsid w:val="0CF462EF"/>
    <w:rsid w:val="0D166265"/>
    <w:rsid w:val="0D18022F"/>
    <w:rsid w:val="0D1C7D1F"/>
    <w:rsid w:val="0D2E2912"/>
    <w:rsid w:val="0D703BC7"/>
    <w:rsid w:val="0D7511DD"/>
    <w:rsid w:val="0D8B27AF"/>
    <w:rsid w:val="0D8B6C53"/>
    <w:rsid w:val="0D9E6986"/>
    <w:rsid w:val="0DB00467"/>
    <w:rsid w:val="0DE3083D"/>
    <w:rsid w:val="0DE93D5E"/>
    <w:rsid w:val="0DF5231E"/>
    <w:rsid w:val="0E0D7668"/>
    <w:rsid w:val="0E3D043A"/>
    <w:rsid w:val="0E4137B5"/>
    <w:rsid w:val="0E417312"/>
    <w:rsid w:val="0E4F1A2E"/>
    <w:rsid w:val="0E5E4539"/>
    <w:rsid w:val="0E744FA2"/>
    <w:rsid w:val="0E786645"/>
    <w:rsid w:val="0E8813E4"/>
    <w:rsid w:val="0EB9159E"/>
    <w:rsid w:val="0EBB3568"/>
    <w:rsid w:val="0EC71F0D"/>
    <w:rsid w:val="0F296723"/>
    <w:rsid w:val="0F44530B"/>
    <w:rsid w:val="0F452E31"/>
    <w:rsid w:val="0F4E6CC3"/>
    <w:rsid w:val="0F515C7A"/>
    <w:rsid w:val="0F6E2388"/>
    <w:rsid w:val="0F784FB5"/>
    <w:rsid w:val="0F7F00F1"/>
    <w:rsid w:val="0FC326A3"/>
    <w:rsid w:val="0FCE0B27"/>
    <w:rsid w:val="0FD53DBB"/>
    <w:rsid w:val="0FDC3796"/>
    <w:rsid w:val="0FF16F0F"/>
    <w:rsid w:val="0FFC5BE6"/>
    <w:rsid w:val="10022AD1"/>
    <w:rsid w:val="10081B39"/>
    <w:rsid w:val="101515B7"/>
    <w:rsid w:val="1033779B"/>
    <w:rsid w:val="105A290D"/>
    <w:rsid w:val="105E051F"/>
    <w:rsid w:val="106C2D6C"/>
    <w:rsid w:val="106F63B8"/>
    <w:rsid w:val="10751B78"/>
    <w:rsid w:val="10754461"/>
    <w:rsid w:val="10765998"/>
    <w:rsid w:val="10953945"/>
    <w:rsid w:val="10AB3168"/>
    <w:rsid w:val="10CA7A92"/>
    <w:rsid w:val="10DC63E8"/>
    <w:rsid w:val="10F66AD9"/>
    <w:rsid w:val="110C00AB"/>
    <w:rsid w:val="11203B56"/>
    <w:rsid w:val="112C42A9"/>
    <w:rsid w:val="116021A5"/>
    <w:rsid w:val="11692E07"/>
    <w:rsid w:val="11733C86"/>
    <w:rsid w:val="11E3705D"/>
    <w:rsid w:val="11F1104F"/>
    <w:rsid w:val="11FE3E97"/>
    <w:rsid w:val="12152F8F"/>
    <w:rsid w:val="12296A3A"/>
    <w:rsid w:val="123E554A"/>
    <w:rsid w:val="12543AB7"/>
    <w:rsid w:val="12695089"/>
    <w:rsid w:val="126B2BAF"/>
    <w:rsid w:val="126B5812"/>
    <w:rsid w:val="127A1044"/>
    <w:rsid w:val="12850115"/>
    <w:rsid w:val="12AA461D"/>
    <w:rsid w:val="12DB7D35"/>
    <w:rsid w:val="12FD414F"/>
    <w:rsid w:val="13386F35"/>
    <w:rsid w:val="13426BC9"/>
    <w:rsid w:val="1363007C"/>
    <w:rsid w:val="139525D9"/>
    <w:rsid w:val="13985C26"/>
    <w:rsid w:val="139B74C4"/>
    <w:rsid w:val="139D4FEA"/>
    <w:rsid w:val="13CC3B21"/>
    <w:rsid w:val="13FC61B5"/>
    <w:rsid w:val="140C03C2"/>
    <w:rsid w:val="14103A0E"/>
    <w:rsid w:val="14531B4D"/>
    <w:rsid w:val="14A423A8"/>
    <w:rsid w:val="14B06F9F"/>
    <w:rsid w:val="14BA7E1E"/>
    <w:rsid w:val="14DC1B42"/>
    <w:rsid w:val="14EA425F"/>
    <w:rsid w:val="15051099"/>
    <w:rsid w:val="150C0679"/>
    <w:rsid w:val="15202377"/>
    <w:rsid w:val="15415E49"/>
    <w:rsid w:val="15477903"/>
    <w:rsid w:val="15776810"/>
    <w:rsid w:val="15811C69"/>
    <w:rsid w:val="15AA7E92"/>
    <w:rsid w:val="15F878BA"/>
    <w:rsid w:val="163634D4"/>
    <w:rsid w:val="164812CA"/>
    <w:rsid w:val="164C2CF7"/>
    <w:rsid w:val="164E6A70"/>
    <w:rsid w:val="165C118C"/>
    <w:rsid w:val="167E123D"/>
    <w:rsid w:val="169C3C7F"/>
    <w:rsid w:val="16AB2114"/>
    <w:rsid w:val="16B56756"/>
    <w:rsid w:val="16CF2161"/>
    <w:rsid w:val="16CF6F0F"/>
    <w:rsid w:val="16D50F3F"/>
    <w:rsid w:val="16D52CED"/>
    <w:rsid w:val="16F00F19"/>
    <w:rsid w:val="16F72C63"/>
    <w:rsid w:val="16FF7D6A"/>
    <w:rsid w:val="17045380"/>
    <w:rsid w:val="17083D60"/>
    <w:rsid w:val="17144F93"/>
    <w:rsid w:val="173E0892"/>
    <w:rsid w:val="173F2FE1"/>
    <w:rsid w:val="1752311A"/>
    <w:rsid w:val="176C18A3"/>
    <w:rsid w:val="17730085"/>
    <w:rsid w:val="177527CB"/>
    <w:rsid w:val="1776340B"/>
    <w:rsid w:val="1789226F"/>
    <w:rsid w:val="17ED6BF8"/>
    <w:rsid w:val="180121FA"/>
    <w:rsid w:val="18115FA7"/>
    <w:rsid w:val="182868AE"/>
    <w:rsid w:val="18463EA2"/>
    <w:rsid w:val="18837877"/>
    <w:rsid w:val="189D783A"/>
    <w:rsid w:val="18B708FC"/>
    <w:rsid w:val="18C64FE3"/>
    <w:rsid w:val="18C66D91"/>
    <w:rsid w:val="18CD29F6"/>
    <w:rsid w:val="18F51424"/>
    <w:rsid w:val="193F08F1"/>
    <w:rsid w:val="1945415A"/>
    <w:rsid w:val="19461284"/>
    <w:rsid w:val="194B373A"/>
    <w:rsid w:val="195720DF"/>
    <w:rsid w:val="19923117"/>
    <w:rsid w:val="19BA5FD2"/>
    <w:rsid w:val="19CE51EA"/>
    <w:rsid w:val="19E27BFB"/>
    <w:rsid w:val="19E76B6A"/>
    <w:rsid w:val="19EF6A45"/>
    <w:rsid w:val="1A045DC3"/>
    <w:rsid w:val="1A0538E9"/>
    <w:rsid w:val="1A073B05"/>
    <w:rsid w:val="1A0C1536"/>
    <w:rsid w:val="1A0E1CF5"/>
    <w:rsid w:val="1A1B310D"/>
    <w:rsid w:val="1A3A6BA3"/>
    <w:rsid w:val="1A470709"/>
    <w:rsid w:val="1A495ECC"/>
    <w:rsid w:val="1A8011C2"/>
    <w:rsid w:val="1A8342C9"/>
    <w:rsid w:val="1AA475A6"/>
    <w:rsid w:val="1AB07CF9"/>
    <w:rsid w:val="1ABD2416"/>
    <w:rsid w:val="1ADE22E3"/>
    <w:rsid w:val="1AF36070"/>
    <w:rsid w:val="1B010554"/>
    <w:rsid w:val="1B063DBD"/>
    <w:rsid w:val="1B300E3A"/>
    <w:rsid w:val="1B522B5E"/>
    <w:rsid w:val="1B603BF4"/>
    <w:rsid w:val="1B6B6A0B"/>
    <w:rsid w:val="1B6F0841"/>
    <w:rsid w:val="1B701236"/>
    <w:rsid w:val="1B8043CE"/>
    <w:rsid w:val="1C1F5136"/>
    <w:rsid w:val="1C314E69"/>
    <w:rsid w:val="1C3B7A96"/>
    <w:rsid w:val="1C3F216A"/>
    <w:rsid w:val="1C5222D8"/>
    <w:rsid w:val="1C631418"/>
    <w:rsid w:val="1C672639"/>
    <w:rsid w:val="1C784DFC"/>
    <w:rsid w:val="1C7F7983"/>
    <w:rsid w:val="1CA27B15"/>
    <w:rsid w:val="1CA94A00"/>
    <w:rsid w:val="1CE371B8"/>
    <w:rsid w:val="1CE42A30"/>
    <w:rsid w:val="1D2D5FB4"/>
    <w:rsid w:val="1D385D84"/>
    <w:rsid w:val="1D5F77B4"/>
    <w:rsid w:val="1DBC0763"/>
    <w:rsid w:val="1DE35B34"/>
    <w:rsid w:val="1EA25BAA"/>
    <w:rsid w:val="1ECE2E43"/>
    <w:rsid w:val="1ED208AB"/>
    <w:rsid w:val="1EE066D3"/>
    <w:rsid w:val="1EE31B52"/>
    <w:rsid w:val="1EE76CC2"/>
    <w:rsid w:val="1EF42074"/>
    <w:rsid w:val="1EF42966"/>
    <w:rsid w:val="1EF83A1C"/>
    <w:rsid w:val="1EFD54D7"/>
    <w:rsid w:val="1F100D66"/>
    <w:rsid w:val="1F114ADE"/>
    <w:rsid w:val="1F120F82"/>
    <w:rsid w:val="1F2A2C2F"/>
    <w:rsid w:val="1F4849A4"/>
    <w:rsid w:val="1F5E41C7"/>
    <w:rsid w:val="1F617814"/>
    <w:rsid w:val="1F9F17AB"/>
    <w:rsid w:val="1FA67FFA"/>
    <w:rsid w:val="1FAC696D"/>
    <w:rsid w:val="1FC41B50"/>
    <w:rsid w:val="1FD60202"/>
    <w:rsid w:val="20052895"/>
    <w:rsid w:val="20390790"/>
    <w:rsid w:val="205D76B3"/>
    <w:rsid w:val="20767F2D"/>
    <w:rsid w:val="20931C4F"/>
    <w:rsid w:val="20CE0ED9"/>
    <w:rsid w:val="20DE38EC"/>
    <w:rsid w:val="20E424AA"/>
    <w:rsid w:val="20EF0E4F"/>
    <w:rsid w:val="20FF1092"/>
    <w:rsid w:val="21221225"/>
    <w:rsid w:val="21366A7E"/>
    <w:rsid w:val="218C7F8D"/>
    <w:rsid w:val="21A267A6"/>
    <w:rsid w:val="21A34113"/>
    <w:rsid w:val="21BF5C16"/>
    <w:rsid w:val="21EB6892"/>
    <w:rsid w:val="221A4255"/>
    <w:rsid w:val="225158A7"/>
    <w:rsid w:val="22635651"/>
    <w:rsid w:val="22743D02"/>
    <w:rsid w:val="22883309"/>
    <w:rsid w:val="22A16179"/>
    <w:rsid w:val="22BF31CF"/>
    <w:rsid w:val="22C34D44"/>
    <w:rsid w:val="231F5A1C"/>
    <w:rsid w:val="232272BA"/>
    <w:rsid w:val="23305E7B"/>
    <w:rsid w:val="2335523F"/>
    <w:rsid w:val="23641680"/>
    <w:rsid w:val="2366189C"/>
    <w:rsid w:val="23751ADF"/>
    <w:rsid w:val="239006C7"/>
    <w:rsid w:val="239D1036"/>
    <w:rsid w:val="23A34399"/>
    <w:rsid w:val="23CB0FB5"/>
    <w:rsid w:val="23D36806"/>
    <w:rsid w:val="23DF164F"/>
    <w:rsid w:val="240B2444"/>
    <w:rsid w:val="24157931"/>
    <w:rsid w:val="241C01AD"/>
    <w:rsid w:val="24264B88"/>
    <w:rsid w:val="244B0A92"/>
    <w:rsid w:val="2451554A"/>
    <w:rsid w:val="245416F5"/>
    <w:rsid w:val="248A6BA2"/>
    <w:rsid w:val="24A02B8C"/>
    <w:rsid w:val="24BE1264"/>
    <w:rsid w:val="24CA19B7"/>
    <w:rsid w:val="24D740D4"/>
    <w:rsid w:val="24DB1E16"/>
    <w:rsid w:val="24DB3BC4"/>
    <w:rsid w:val="24FE78B3"/>
    <w:rsid w:val="2500187D"/>
    <w:rsid w:val="2503311B"/>
    <w:rsid w:val="25294D9D"/>
    <w:rsid w:val="25317C88"/>
    <w:rsid w:val="25496D80"/>
    <w:rsid w:val="25626093"/>
    <w:rsid w:val="2573204F"/>
    <w:rsid w:val="25754019"/>
    <w:rsid w:val="25902C01"/>
    <w:rsid w:val="259C77F7"/>
    <w:rsid w:val="25B54415"/>
    <w:rsid w:val="25D23219"/>
    <w:rsid w:val="25D32AED"/>
    <w:rsid w:val="25DF1492"/>
    <w:rsid w:val="25E44CFA"/>
    <w:rsid w:val="25F924A7"/>
    <w:rsid w:val="260D24A3"/>
    <w:rsid w:val="26445799"/>
    <w:rsid w:val="267B1C9E"/>
    <w:rsid w:val="26812F1F"/>
    <w:rsid w:val="26860330"/>
    <w:rsid w:val="26887D7C"/>
    <w:rsid w:val="26C002DA"/>
    <w:rsid w:val="26C1503C"/>
    <w:rsid w:val="26D67961"/>
    <w:rsid w:val="26EA6E76"/>
    <w:rsid w:val="27092506"/>
    <w:rsid w:val="27A209C9"/>
    <w:rsid w:val="27C9064C"/>
    <w:rsid w:val="281A0EA7"/>
    <w:rsid w:val="282633A8"/>
    <w:rsid w:val="28500425"/>
    <w:rsid w:val="28771E56"/>
    <w:rsid w:val="289F315B"/>
    <w:rsid w:val="28A349F9"/>
    <w:rsid w:val="28F45255"/>
    <w:rsid w:val="28F60FCD"/>
    <w:rsid w:val="29183639"/>
    <w:rsid w:val="29205C29"/>
    <w:rsid w:val="293B2E83"/>
    <w:rsid w:val="29AE5D4B"/>
    <w:rsid w:val="29C25353"/>
    <w:rsid w:val="2A021BF3"/>
    <w:rsid w:val="2A063491"/>
    <w:rsid w:val="2A1E2D2D"/>
    <w:rsid w:val="2A3F69A3"/>
    <w:rsid w:val="2A524ACA"/>
    <w:rsid w:val="2A64473F"/>
    <w:rsid w:val="2A662182"/>
    <w:rsid w:val="2A7E571E"/>
    <w:rsid w:val="2A832D34"/>
    <w:rsid w:val="2A932F00"/>
    <w:rsid w:val="2AB729DE"/>
    <w:rsid w:val="2AE8174C"/>
    <w:rsid w:val="2AEB08D9"/>
    <w:rsid w:val="2B004F19"/>
    <w:rsid w:val="2B032830"/>
    <w:rsid w:val="2B057077"/>
    <w:rsid w:val="2B9C6F57"/>
    <w:rsid w:val="2B9D7E25"/>
    <w:rsid w:val="2BA72A52"/>
    <w:rsid w:val="2BA74800"/>
    <w:rsid w:val="2BAE2033"/>
    <w:rsid w:val="2BB46F1D"/>
    <w:rsid w:val="2BBC43D8"/>
    <w:rsid w:val="2BCC070B"/>
    <w:rsid w:val="2BF57C61"/>
    <w:rsid w:val="2C043A01"/>
    <w:rsid w:val="2C1D2D14"/>
    <w:rsid w:val="2C2A60C4"/>
    <w:rsid w:val="2C5030EA"/>
    <w:rsid w:val="2C6C77F8"/>
    <w:rsid w:val="2C901738"/>
    <w:rsid w:val="2C94508D"/>
    <w:rsid w:val="2CBA4A07"/>
    <w:rsid w:val="2CBE44F7"/>
    <w:rsid w:val="2CC17B44"/>
    <w:rsid w:val="2CC413E2"/>
    <w:rsid w:val="2CC80ED2"/>
    <w:rsid w:val="2CD81F99"/>
    <w:rsid w:val="2CDA6E57"/>
    <w:rsid w:val="2CFF19DE"/>
    <w:rsid w:val="2D19172E"/>
    <w:rsid w:val="2D482013"/>
    <w:rsid w:val="2D4D707F"/>
    <w:rsid w:val="2D8748E9"/>
    <w:rsid w:val="2D974F5D"/>
    <w:rsid w:val="2D9E60D7"/>
    <w:rsid w:val="2DAA4C3A"/>
    <w:rsid w:val="2DAD1E76"/>
    <w:rsid w:val="2DC7118A"/>
    <w:rsid w:val="2DD1025A"/>
    <w:rsid w:val="2DD413AD"/>
    <w:rsid w:val="2DE1388B"/>
    <w:rsid w:val="2E0B36BF"/>
    <w:rsid w:val="2E393461"/>
    <w:rsid w:val="2E4E18AB"/>
    <w:rsid w:val="2E5F13C2"/>
    <w:rsid w:val="2E6E3CFB"/>
    <w:rsid w:val="2E7408FE"/>
    <w:rsid w:val="2E8602C8"/>
    <w:rsid w:val="2E8D38C5"/>
    <w:rsid w:val="2E9A328C"/>
    <w:rsid w:val="2E9C2616"/>
    <w:rsid w:val="2EB57234"/>
    <w:rsid w:val="2EBE07DF"/>
    <w:rsid w:val="2EC97183"/>
    <w:rsid w:val="2ED81174"/>
    <w:rsid w:val="2EF71823"/>
    <w:rsid w:val="2EFA558F"/>
    <w:rsid w:val="2F0A3A24"/>
    <w:rsid w:val="2F3D2622"/>
    <w:rsid w:val="2F4B1946"/>
    <w:rsid w:val="2F5838B9"/>
    <w:rsid w:val="2F880DEC"/>
    <w:rsid w:val="2FA5374C"/>
    <w:rsid w:val="2FA554FB"/>
    <w:rsid w:val="2FA86D99"/>
    <w:rsid w:val="2FAF0127"/>
    <w:rsid w:val="2FCD67FF"/>
    <w:rsid w:val="2FF33720"/>
    <w:rsid w:val="30142680"/>
    <w:rsid w:val="306547E2"/>
    <w:rsid w:val="306B6744"/>
    <w:rsid w:val="307D4739"/>
    <w:rsid w:val="30872E52"/>
    <w:rsid w:val="30A05CC2"/>
    <w:rsid w:val="30BC0D4E"/>
    <w:rsid w:val="30C87B8C"/>
    <w:rsid w:val="30FA7AC8"/>
    <w:rsid w:val="30FC55EE"/>
    <w:rsid w:val="31126BC0"/>
    <w:rsid w:val="311C17EC"/>
    <w:rsid w:val="311E37B6"/>
    <w:rsid w:val="312241A9"/>
    <w:rsid w:val="31253040"/>
    <w:rsid w:val="3163566D"/>
    <w:rsid w:val="316E7B6E"/>
    <w:rsid w:val="31774C75"/>
    <w:rsid w:val="3193135A"/>
    <w:rsid w:val="320329AC"/>
    <w:rsid w:val="322A1CE7"/>
    <w:rsid w:val="323668DE"/>
    <w:rsid w:val="324B09F8"/>
    <w:rsid w:val="3264470A"/>
    <w:rsid w:val="32935ADE"/>
    <w:rsid w:val="329D695D"/>
    <w:rsid w:val="32B1065A"/>
    <w:rsid w:val="32EC51EE"/>
    <w:rsid w:val="33550FE6"/>
    <w:rsid w:val="33A51F6D"/>
    <w:rsid w:val="33D12D62"/>
    <w:rsid w:val="33E62944"/>
    <w:rsid w:val="34192013"/>
    <w:rsid w:val="345614B9"/>
    <w:rsid w:val="345B3482"/>
    <w:rsid w:val="34605E94"/>
    <w:rsid w:val="34692F9B"/>
    <w:rsid w:val="348A543F"/>
    <w:rsid w:val="349F69BC"/>
    <w:rsid w:val="34C30EFF"/>
    <w:rsid w:val="34C46423"/>
    <w:rsid w:val="34D523DE"/>
    <w:rsid w:val="350B24EC"/>
    <w:rsid w:val="35123632"/>
    <w:rsid w:val="35417A73"/>
    <w:rsid w:val="3554618D"/>
    <w:rsid w:val="356E45E1"/>
    <w:rsid w:val="359D0A22"/>
    <w:rsid w:val="35F07067"/>
    <w:rsid w:val="35F26FC0"/>
    <w:rsid w:val="362829E1"/>
    <w:rsid w:val="362C7791"/>
    <w:rsid w:val="36877708"/>
    <w:rsid w:val="36AA1648"/>
    <w:rsid w:val="36BD75CE"/>
    <w:rsid w:val="36CB2799"/>
    <w:rsid w:val="37046FAB"/>
    <w:rsid w:val="372B235C"/>
    <w:rsid w:val="37340EF5"/>
    <w:rsid w:val="37B3277F"/>
    <w:rsid w:val="37CE75B8"/>
    <w:rsid w:val="37D5396E"/>
    <w:rsid w:val="382C66FB"/>
    <w:rsid w:val="384714EB"/>
    <w:rsid w:val="384C1168"/>
    <w:rsid w:val="384D672F"/>
    <w:rsid w:val="387243E8"/>
    <w:rsid w:val="38A345A1"/>
    <w:rsid w:val="38BF074C"/>
    <w:rsid w:val="38CD7870"/>
    <w:rsid w:val="38D86941"/>
    <w:rsid w:val="38FE486E"/>
    <w:rsid w:val="390239BE"/>
    <w:rsid w:val="390270E7"/>
    <w:rsid w:val="390B4B77"/>
    <w:rsid w:val="393C7440"/>
    <w:rsid w:val="394538AA"/>
    <w:rsid w:val="394C46CD"/>
    <w:rsid w:val="396D7177"/>
    <w:rsid w:val="397F500E"/>
    <w:rsid w:val="3991089E"/>
    <w:rsid w:val="39A46823"/>
    <w:rsid w:val="39C25AF1"/>
    <w:rsid w:val="39C944DB"/>
    <w:rsid w:val="39FF6B36"/>
    <w:rsid w:val="3A0F6392"/>
    <w:rsid w:val="3A137505"/>
    <w:rsid w:val="3A1A3377"/>
    <w:rsid w:val="3A1C0AAF"/>
    <w:rsid w:val="3A241712"/>
    <w:rsid w:val="3A32799B"/>
    <w:rsid w:val="3A4D6EBA"/>
    <w:rsid w:val="3A6D30B9"/>
    <w:rsid w:val="3A747BF2"/>
    <w:rsid w:val="3AAD5BAB"/>
    <w:rsid w:val="3AD13648"/>
    <w:rsid w:val="3ADE5D64"/>
    <w:rsid w:val="3B196D9D"/>
    <w:rsid w:val="3B251BE5"/>
    <w:rsid w:val="3B30241A"/>
    <w:rsid w:val="3B3B6D13"/>
    <w:rsid w:val="3B40257B"/>
    <w:rsid w:val="3B6E533A"/>
    <w:rsid w:val="3B8E1539"/>
    <w:rsid w:val="3B972832"/>
    <w:rsid w:val="3B9A34E6"/>
    <w:rsid w:val="3B9D177C"/>
    <w:rsid w:val="3BBC60A6"/>
    <w:rsid w:val="3BD31641"/>
    <w:rsid w:val="3BE178BA"/>
    <w:rsid w:val="3C0435A9"/>
    <w:rsid w:val="3C261771"/>
    <w:rsid w:val="3C2D2B00"/>
    <w:rsid w:val="3C394A07"/>
    <w:rsid w:val="3C5207B8"/>
    <w:rsid w:val="3C7F0E81"/>
    <w:rsid w:val="3C806160"/>
    <w:rsid w:val="3C81109D"/>
    <w:rsid w:val="3CB925E5"/>
    <w:rsid w:val="3CDF4E8B"/>
    <w:rsid w:val="3CDF7B9C"/>
    <w:rsid w:val="3D001FC2"/>
    <w:rsid w:val="3D0A2E41"/>
    <w:rsid w:val="3D257C7B"/>
    <w:rsid w:val="3D2A140F"/>
    <w:rsid w:val="3D2D6B2F"/>
    <w:rsid w:val="3D37175C"/>
    <w:rsid w:val="3D624A2B"/>
    <w:rsid w:val="3D8C1AA8"/>
    <w:rsid w:val="3D954074"/>
    <w:rsid w:val="3DBF3C2B"/>
    <w:rsid w:val="3DEA0F04"/>
    <w:rsid w:val="3E23240C"/>
    <w:rsid w:val="3E3A2109"/>
    <w:rsid w:val="3E611186"/>
    <w:rsid w:val="3E7161E4"/>
    <w:rsid w:val="3E8804C1"/>
    <w:rsid w:val="3E895FE7"/>
    <w:rsid w:val="3E897C62"/>
    <w:rsid w:val="3E947E8F"/>
    <w:rsid w:val="3E974BA8"/>
    <w:rsid w:val="3EAD43CC"/>
    <w:rsid w:val="3EE21FA0"/>
    <w:rsid w:val="3F09295D"/>
    <w:rsid w:val="3F23643C"/>
    <w:rsid w:val="3F3C12AC"/>
    <w:rsid w:val="3F402B4A"/>
    <w:rsid w:val="3F6A7BC7"/>
    <w:rsid w:val="3F7722E4"/>
    <w:rsid w:val="3F903F59"/>
    <w:rsid w:val="3FDA18CF"/>
    <w:rsid w:val="40251D40"/>
    <w:rsid w:val="403700AF"/>
    <w:rsid w:val="40752CC7"/>
    <w:rsid w:val="408178BE"/>
    <w:rsid w:val="40866C82"/>
    <w:rsid w:val="409969B6"/>
    <w:rsid w:val="40A11D0E"/>
    <w:rsid w:val="40EA7211"/>
    <w:rsid w:val="410A2B27"/>
    <w:rsid w:val="411918A4"/>
    <w:rsid w:val="411C3143"/>
    <w:rsid w:val="41393CF5"/>
    <w:rsid w:val="41412BA9"/>
    <w:rsid w:val="41466412"/>
    <w:rsid w:val="414B55AD"/>
    <w:rsid w:val="414F52C6"/>
    <w:rsid w:val="41670862"/>
    <w:rsid w:val="41923405"/>
    <w:rsid w:val="41AC44C7"/>
    <w:rsid w:val="41B11ADD"/>
    <w:rsid w:val="41BB295C"/>
    <w:rsid w:val="41C10404"/>
    <w:rsid w:val="41C932CA"/>
    <w:rsid w:val="41CC2DBB"/>
    <w:rsid w:val="41D1217F"/>
    <w:rsid w:val="41E77BF5"/>
    <w:rsid w:val="41F8595E"/>
    <w:rsid w:val="41FD1C8D"/>
    <w:rsid w:val="421107CE"/>
    <w:rsid w:val="42382D99"/>
    <w:rsid w:val="426C1EA8"/>
    <w:rsid w:val="427D651B"/>
    <w:rsid w:val="42921492"/>
    <w:rsid w:val="42C04967"/>
    <w:rsid w:val="42E12896"/>
    <w:rsid w:val="42E859D2"/>
    <w:rsid w:val="42EA71D0"/>
    <w:rsid w:val="43104F29"/>
    <w:rsid w:val="432D41E6"/>
    <w:rsid w:val="432F53AF"/>
    <w:rsid w:val="433B01F8"/>
    <w:rsid w:val="43454BD3"/>
    <w:rsid w:val="434D3A87"/>
    <w:rsid w:val="435C532D"/>
    <w:rsid w:val="43635059"/>
    <w:rsid w:val="43655275"/>
    <w:rsid w:val="436C03B1"/>
    <w:rsid w:val="4382091B"/>
    <w:rsid w:val="43917E18"/>
    <w:rsid w:val="43923B90"/>
    <w:rsid w:val="4418584D"/>
    <w:rsid w:val="44226CC2"/>
    <w:rsid w:val="442A3DC9"/>
    <w:rsid w:val="4442466E"/>
    <w:rsid w:val="44564BBE"/>
    <w:rsid w:val="44586B88"/>
    <w:rsid w:val="445D5F4C"/>
    <w:rsid w:val="44705C7F"/>
    <w:rsid w:val="447424DD"/>
    <w:rsid w:val="44784B34"/>
    <w:rsid w:val="447A343E"/>
    <w:rsid w:val="449D459A"/>
    <w:rsid w:val="44A044B6"/>
    <w:rsid w:val="44A1408B"/>
    <w:rsid w:val="44D73F50"/>
    <w:rsid w:val="44D97CC8"/>
    <w:rsid w:val="44E429D0"/>
    <w:rsid w:val="44EC107E"/>
    <w:rsid w:val="452D1DC2"/>
    <w:rsid w:val="453F1307"/>
    <w:rsid w:val="454F1D39"/>
    <w:rsid w:val="457E43CC"/>
    <w:rsid w:val="45815C6A"/>
    <w:rsid w:val="458319E2"/>
    <w:rsid w:val="45943BEF"/>
    <w:rsid w:val="45997458"/>
    <w:rsid w:val="45A2455E"/>
    <w:rsid w:val="45B222C8"/>
    <w:rsid w:val="45C762CF"/>
    <w:rsid w:val="45CD7101"/>
    <w:rsid w:val="4626592C"/>
    <w:rsid w:val="464B69A4"/>
    <w:rsid w:val="465A0B6A"/>
    <w:rsid w:val="46647A66"/>
    <w:rsid w:val="468E4AE3"/>
    <w:rsid w:val="46A41C10"/>
    <w:rsid w:val="46D5626E"/>
    <w:rsid w:val="46DF533E"/>
    <w:rsid w:val="46E14C12"/>
    <w:rsid w:val="46E30A33"/>
    <w:rsid w:val="46E6047B"/>
    <w:rsid w:val="46EB3CE3"/>
    <w:rsid w:val="470D3C59"/>
    <w:rsid w:val="47307948"/>
    <w:rsid w:val="47394A4E"/>
    <w:rsid w:val="476A2E5A"/>
    <w:rsid w:val="476B6BD2"/>
    <w:rsid w:val="477D27D3"/>
    <w:rsid w:val="47801310"/>
    <w:rsid w:val="47812853"/>
    <w:rsid w:val="479B74B7"/>
    <w:rsid w:val="47B42327"/>
    <w:rsid w:val="47CF7161"/>
    <w:rsid w:val="48084421"/>
    <w:rsid w:val="48330BAD"/>
    <w:rsid w:val="48343468"/>
    <w:rsid w:val="48671147"/>
    <w:rsid w:val="488066AD"/>
    <w:rsid w:val="48825F81"/>
    <w:rsid w:val="48960F88"/>
    <w:rsid w:val="48C90054"/>
    <w:rsid w:val="48CB5B7A"/>
    <w:rsid w:val="48DD765B"/>
    <w:rsid w:val="491F7C74"/>
    <w:rsid w:val="49247038"/>
    <w:rsid w:val="492D2391"/>
    <w:rsid w:val="493F6BB3"/>
    <w:rsid w:val="49463453"/>
    <w:rsid w:val="49634005"/>
    <w:rsid w:val="496B4C67"/>
    <w:rsid w:val="496D3E90"/>
    <w:rsid w:val="49823E59"/>
    <w:rsid w:val="49971F00"/>
    <w:rsid w:val="499E503D"/>
    <w:rsid w:val="49A607E1"/>
    <w:rsid w:val="49BC54C3"/>
    <w:rsid w:val="49CD147E"/>
    <w:rsid w:val="49D547D7"/>
    <w:rsid w:val="49F70BF1"/>
    <w:rsid w:val="4A107744"/>
    <w:rsid w:val="4A145439"/>
    <w:rsid w:val="4A1474F2"/>
    <w:rsid w:val="4A45370A"/>
    <w:rsid w:val="4A47474D"/>
    <w:rsid w:val="4A4C6847"/>
    <w:rsid w:val="4A5C6A7C"/>
    <w:rsid w:val="4A600544"/>
    <w:rsid w:val="4A623FC0"/>
    <w:rsid w:val="4A6F0787"/>
    <w:rsid w:val="4A9D52F4"/>
    <w:rsid w:val="4AA852C8"/>
    <w:rsid w:val="4AAA3236"/>
    <w:rsid w:val="4ADD7DE7"/>
    <w:rsid w:val="4AE8782A"/>
    <w:rsid w:val="4B1650A7"/>
    <w:rsid w:val="4B1B446B"/>
    <w:rsid w:val="4B29302C"/>
    <w:rsid w:val="4B306168"/>
    <w:rsid w:val="4B4734B2"/>
    <w:rsid w:val="4B5E0F27"/>
    <w:rsid w:val="4B810772"/>
    <w:rsid w:val="4B8B339F"/>
    <w:rsid w:val="4BAF3037"/>
    <w:rsid w:val="4BD56A5C"/>
    <w:rsid w:val="4BE807F1"/>
    <w:rsid w:val="4C0A4C0B"/>
    <w:rsid w:val="4C2061DD"/>
    <w:rsid w:val="4C286E40"/>
    <w:rsid w:val="4C3C0B3D"/>
    <w:rsid w:val="4C7402D7"/>
    <w:rsid w:val="4CAF130F"/>
    <w:rsid w:val="4CB16E35"/>
    <w:rsid w:val="4CB428ED"/>
    <w:rsid w:val="4CB6269D"/>
    <w:rsid w:val="4CBB7CB4"/>
    <w:rsid w:val="4CC50B32"/>
    <w:rsid w:val="4CD82614"/>
    <w:rsid w:val="4CDE39A2"/>
    <w:rsid w:val="4CF84A64"/>
    <w:rsid w:val="4D267823"/>
    <w:rsid w:val="4D2717ED"/>
    <w:rsid w:val="4D2A4128"/>
    <w:rsid w:val="4D3857A8"/>
    <w:rsid w:val="4D5A127B"/>
    <w:rsid w:val="4D907392"/>
    <w:rsid w:val="4DA30E74"/>
    <w:rsid w:val="4DA4699A"/>
    <w:rsid w:val="4DA9228F"/>
    <w:rsid w:val="4DC25072"/>
    <w:rsid w:val="4DC57396"/>
    <w:rsid w:val="4DD86643"/>
    <w:rsid w:val="4DED20EF"/>
    <w:rsid w:val="4E200716"/>
    <w:rsid w:val="4E3715BC"/>
    <w:rsid w:val="4E4B32B9"/>
    <w:rsid w:val="4E4F1CA6"/>
    <w:rsid w:val="4E54216E"/>
    <w:rsid w:val="4E5E2F9D"/>
    <w:rsid w:val="4E6F0D56"/>
    <w:rsid w:val="4E832A53"/>
    <w:rsid w:val="4E8C5DAC"/>
    <w:rsid w:val="4EAB08C8"/>
    <w:rsid w:val="4EAC1FAA"/>
    <w:rsid w:val="4EDE7C89"/>
    <w:rsid w:val="4F0C47F7"/>
    <w:rsid w:val="4F2340A4"/>
    <w:rsid w:val="4F343D4D"/>
    <w:rsid w:val="4F42646A"/>
    <w:rsid w:val="4F6243E0"/>
    <w:rsid w:val="4F6B3C13"/>
    <w:rsid w:val="4F707A09"/>
    <w:rsid w:val="4F7800DE"/>
    <w:rsid w:val="4F840831"/>
    <w:rsid w:val="4FB629B4"/>
    <w:rsid w:val="4FBA4253"/>
    <w:rsid w:val="4FC151B1"/>
    <w:rsid w:val="4FF0033C"/>
    <w:rsid w:val="4FF84D7B"/>
    <w:rsid w:val="500F0A42"/>
    <w:rsid w:val="50137E07"/>
    <w:rsid w:val="501A73E7"/>
    <w:rsid w:val="502862FD"/>
    <w:rsid w:val="503E4D65"/>
    <w:rsid w:val="503E4E84"/>
    <w:rsid w:val="50447FC0"/>
    <w:rsid w:val="504D156B"/>
    <w:rsid w:val="506F7733"/>
    <w:rsid w:val="50A0169A"/>
    <w:rsid w:val="50BB64D4"/>
    <w:rsid w:val="50BC55A0"/>
    <w:rsid w:val="50C35389"/>
    <w:rsid w:val="50F96FFC"/>
    <w:rsid w:val="51047AF9"/>
    <w:rsid w:val="5119144D"/>
    <w:rsid w:val="514B169A"/>
    <w:rsid w:val="51654692"/>
    <w:rsid w:val="51962A9D"/>
    <w:rsid w:val="51AE7DE7"/>
    <w:rsid w:val="51B55619"/>
    <w:rsid w:val="51B618FC"/>
    <w:rsid w:val="51EC090F"/>
    <w:rsid w:val="520619D1"/>
    <w:rsid w:val="52195BA8"/>
    <w:rsid w:val="521D6D1B"/>
    <w:rsid w:val="523F4EE3"/>
    <w:rsid w:val="52522E68"/>
    <w:rsid w:val="52881DD5"/>
    <w:rsid w:val="528C45CC"/>
    <w:rsid w:val="52976ACD"/>
    <w:rsid w:val="529945F3"/>
    <w:rsid w:val="529B516A"/>
    <w:rsid w:val="52D15C52"/>
    <w:rsid w:val="52E862DC"/>
    <w:rsid w:val="52ED2B91"/>
    <w:rsid w:val="52F263F9"/>
    <w:rsid w:val="52F44D85"/>
    <w:rsid w:val="530C3017"/>
    <w:rsid w:val="532E5683"/>
    <w:rsid w:val="533D4580"/>
    <w:rsid w:val="534722A1"/>
    <w:rsid w:val="53687981"/>
    <w:rsid w:val="537E1A3B"/>
    <w:rsid w:val="53CD3389"/>
    <w:rsid w:val="53D37FD9"/>
    <w:rsid w:val="53E53868"/>
    <w:rsid w:val="53EB5322"/>
    <w:rsid w:val="53EE6BC1"/>
    <w:rsid w:val="53FD32A8"/>
    <w:rsid w:val="54177EC5"/>
    <w:rsid w:val="5427113F"/>
    <w:rsid w:val="542E520F"/>
    <w:rsid w:val="54462559"/>
    <w:rsid w:val="544B7B6F"/>
    <w:rsid w:val="54505185"/>
    <w:rsid w:val="5454111A"/>
    <w:rsid w:val="54624EB9"/>
    <w:rsid w:val="547A66A6"/>
    <w:rsid w:val="547C7CF5"/>
    <w:rsid w:val="5489467D"/>
    <w:rsid w:val="54A31759"/>
    <w:rsid w:val="54B020C8"/>
    <w:rsid w:val="54CF254E"/>
    <w:rsid w:val="54D20290"/>
    <w:rsid w:val="54E12281"/>
    <w:rsid w:val="55135359"/>
    <w:rsid w:val="55284354"/>
    <w:rsid w:val="55316DE0"/>
    <w:rsid w:val="554F18E1"/>
    <w:rsid w:val="55564A1D"/>
    <w:rsid w:val="555D5DAC"/>
    <w:rsid w:val="55630EE8"/>
    <w:rsid w:val="55760EAA"/>
    <w:rsid w:val="5579695E"/>
    <w:rsid w:val="55834D3E"/>
    <w:rsid w:val="558A2919"/>
    <w:rsid w:val="55943DC4"/>
    <w:rsid w:val="55B66ABA"/>
    <w:rsid w:val="55C74349"/>
    <w:rsid w:val="55EF691A"/>
    <w:rsid w:val="55F10BEA"/>
    <w:rsid w:val="55FC47B5"/>
    <w:rsid w:val="561641AD"/>
    <w:rsid w:val="561E20DC"/>
    <w:rsid w:val="56332FB1"/>
    <w:rsid w:val="563A7E9B"/>
    <w:rsid w:val="56505911"/>
    <w:rsid w:val="56794E67"/>
    <w:rsid w:val="56826DF8"/>
    <w:rsid w:val="56C43C09"/>
    <w:rsid w:val="56CC4D76"/>
    <w:rsid w:val="56E36785"/>
    <w:rsid w:val="56EB73E7"/>
    <w:rsid w:val="571C57F3"/>
    <w:rsid w:val="57405985"/>
    <w:rsid w:val="57622BF6"/>
    <w:rsid w:val="576378C6"/>
    <w:rsid w:val="576B1E2A"/>
    <w:rsid w:val="57802226"/>
    <w:rsid w:val="57835872"/>
    <w:rsid w:val="57906472"/>
    <w:rsid w:val="57D56DAE"/>
    <w:rsid w:val="57ED34E9"/>
    <w:rsid w:val="58030761"/>
    <w:rsid w:val="58094C63"/>
    <w:rsid w:val="580B09D6"/>
    <w:rsid w:val="581A61D6"/>
    <w:rsid w:val="583A39F1"/>
    <w:rsid w:val="584C035A"/>
    <w:rsid w:val="58801DB1"/>
    <w:rsid w:val="58871392"/>
    <w:rsid w:val="58DA3BB7"/>
    <w:rsid w:val="58DE46D2"/>
    <w:rsid w:val="58E862D4"/>
    <w:rsid w:val="58FD7D1F"/>
    <w:rsid w:val="591E3AA4"/>
    <w:rsid w:val="593E7CA2"/>
    <w:rsid w:val="594159E5"/>
    <w:rsid w:val="59466C53"/>
    <w:rsid w:val="59600476"/>
    <w:rsid w:val="59702FA0"/>
    <w:rsid w:val="59876129"/>
    <w:rsid w:val="598C3104"/>
    <w:rsid w:val="59AA0627"/>
    <w:rsid w:val="59B03041"/>
    <w:rsid w:val="59B2243E"/>
    <w:rsid w:val="59F42A57"/>
    <w:rsid w:val="5A0F7891"/>
    <w:rsid w:val="5A201A9E"/>
    <w:rsid w:val="5A2450EA"/>
    <w:rsid w:val="5A3B2434"/>
    <w:rsid w:val="5A785436"/>
    <w:rsid w:val="5A8262B5"/>
    <w:rsid w:val="5AA1673B"/>
    <w:rsid w:val="5ABE3CA9"/>
    <w:rsid w:val="5B447282"/>
    <w:rsid w:val="5B4A138C"/>
    <w:rsid w:val="5B4B48F9"/>
    <w:rsid w:val="5B86580B"/>
    <w:rsid w:val="5BB22BCA"/>
    <w:rsid w:val="5BCC3C8B"/>
    <w:rsid w:val="5BD743DE"/>
    <w:rsid w:val="5BE32D83"/>
    <w:rsid w:val="5BE47DA7"/>
    <w:rsid w:val="5C2018E1"/>
    <w:rsid w:val="5C294C3A"/>
    <w:rsid w:val="5C3D2493"/>
    <w:rsid w:val="5C450967"/>
    <w:rsid w:val="5C51483F"/>
    <w:rsid w:val="5C71038F"/>
    <w:rsid w:val="5C7560D1"/>
    <w:rsid w:val="5C874799"/>
    <w:rsid w:val="5CCA4434"/>
    <w:rsid w:val="5D373386"/>
    <w:rsid w:val="5D443CF5"/>
    <w:rsid w:val="5D4526CC"/>
    <w:rsid w:val="5D4E54F2"/>
    <w:rsid w:val="5DD46E27"/>
    <w:rsid w:val="5DDC5CDC"/>
    <w:rsid w:val="5DE057CC"/>
    <w:rsid w:val="5DE80B25"/>
    <w:rsid w:val="5E0019CA"/>
    <w:rsid w:val="5E0E058B"/>
    <w:rsid w:val="5E2C6C63"/>
    <w:rsid w:val="5E4955B1"/>
    <w:rsid w:val="5E4C4C10"/>
    <w:rsid w:val="5E543AC4"/>
    <w:rsid w:val="5E5835B4"/>
    <w:rsid w:val="5EB033F0"/>
    <w:rsid w:val="5EB06204"/>
    <w:rsid w:val="5EB804F7"/>
    <w:rsid w:val="5EC23124"/>
    <w:rsid w:val="5EF86B45"/>
    <w:rsid w:val="5F0F74DD"/>
    <w:rsid w:val="5F300033"/>
    <w:rsid w:val="5F3A53B0"/>
    <w:rsid w:val="5F447FDD"/>
    <w:rsid w:val="5F6B7317"/>
    <w:rsid w:val="5F7206A6"/>
    <w:rsid w:val="5F8A0C9D"/>
    <w:rsid w:val="5F964E5F"/>
    <w:rsid w:val="5FA36AB1"/>
    <w:rsid w:val="5FB23198"/>
    <w:rsid w:val="5FBA3DFB"/>
    <w:rsid w:val="5FDE21DF"/>
    <w:rsid w:val="5FE62E42"/>
    <w:rsid w:val="601D2D07"/>
    <w:rsid w:val="603242D9"/>
    <w:rsid w:val="604D7C39"/>
    <w:rsid w:val="605026E2"/>
    <w:rsid w:val="60563B24"/>
    <w:rsid w:val="606721D5"/>
    <w:rsid w:val="606A4CC8"/>
    <w:rsid w:val="608B5E00"/>
    <w:rsid w:val="60B372AA"/>
    <w:rsid w:val="60C82547"/>
    <w:rsid w:val="60D20340"/>
    <w:rsid w:val="60D44B41"/>
    <w:rsid w:val="60E76E71"/>
    <w:rsid w:val="60FB46CB"/>
    <w:rsid w:val="61151474"/>
    <w:rsid w:val="61381005"/>
    <w:rsid w:val="618F4E58"/>
    <w:rsid w:val="61970898"/>
    <w:rsid w:val="61A905CB"/>
    <w:rsid w:val="61DE64C6"/>
    <w:rsid w:val="61EC0E0C"/>
    <w:rsid w:val="620006A6"/>
    <w:rsid w:val="62261C1B"/>
    <w:rsid w:val="62621997"/>
    <w:rsid w:val="62800F8B"/>
    <w:rsid w:val="6286674D"/>
    <w:rsid w:val="62A23239"/>
    <w:rsid w:val="62A96AD4"/>
    <w:rsid w:val="62E418BB"/>
    <w:rsid w:val="62EA0E9B"/>
    <w:rsid w:val="62EC69C1"/>
    <w:rsid w:val="62EE098B"/>
    <w:rsid w:val="62FC09F3"/>
    <w:rsid w:val="630A5099"/>
    <w:rsid w:val="634E31D8"/>
    <w:rsid w:val="636E73D6"/>
    <w:rsid w:val="63944AB9"/>
    <w:rsid w:val="63A4104A"/>
    <w:rsid w:val="63B219B9"/>
    <w:rsid w:val="63F33CDA"/>
    <w:rsid w:val="63F41FD1"/>
    <w:rsid w:val="63FA3360"/>
    <w:rsid w:val="640B266D"/>
    <w:rsid w:val="641A7207"/>
    <w:rsid w:val="64243F39"/>
    <w:rsid w:val="64342B64"/>
    <w:rsid w:val="64355278"/>
    <w:rsid w:val="644C3BBB"/>
    <w:rsid w:val="647749B0"/>
    <w:rsid w:val="64864DA3"/>
    <w:rsid w:val="648B3FB8"/>
    <w:rsid w:val="649D4417"/>
    <w:rsid w:val="64B13A1E"/>
    <w:rsid w:val="64B17EC2"/>
    <w:rsid w:val="64CC6AAA"/>
    <w:rsid w:val="64ED07CF"/>
    <w:rsid w:val="651435E1"/>
    <w:rsid w:val="6526267B"/>
    <w:rsid w:val="653A1C66"/>
    <w:rsid w:val="653B778C"/>
    <w:rsid w:val="65436640"/>
    <w:rsid w:val="6557090B"/>
    <w:rsid w:val="65586590"/>
    <w:rsid w:val="655B1BDC"/>
    <w:rsid w:val="656C3DE9"/>
    <w:rsid w:val="658E1FB1"/>
    <w:rsid w:val="65AF2289"/>
    <w:rsid w:val="65E00324"/>
    <w:rsid w:val="65FF07B9"/>
    <w:rsid w:val="660B53B0"/>
    <w:rsid w:val="661324B7"/>
    <w:rsid w:val="66187ACD"/>
    <w:rsid w:val="66214BD4"/>
    <w:rsid w:val="66442670"/>
    <w:rsid w:val="66523152"/>
    <w:rsid w:val="665603F0"/>
    <w:rsid w:val="665925BF"/>
    <w:rsid w:val="667C1E0A"/>
    <w:rsid w:val="66855163"/>
    <w:rsid w:val="66974E96"/>
    <w:rsid w:val="669C7511"/>
    <w:rsid w:val="66A870A3"/>
    <w:rsid w:val="66AE71A6"/>
    <w:rsid w:val="66CD2666"/>
    <w:rsid w:val="66D41C46"/>
    <w:rsid w:val="66D954AE"/>
    <w:rsid w:val="670047E9"/>
    <w:rsid w:val="67073DC9"/>
    <w:rsid w:val="671230A7"/>
    <w:rsid w:val="673301EB"/>
    <w:rsid w:val="67457452"/>
    <w:rsid w:val="674973A8"/>
    <w:rsid w:val="677671A1"/>
    <w:rsid w:val="67955879"/>
    <w:rsid w:val="6796514D"/>
    <w:rsid w:val="67AB0BF9"/>
    <w:rsid w:val="67F8129B"/>
    <w:rsid w:val="683230C8"/>
    <w:rsid w:val="683E7CBF"/>
    <w:rsid w:val="687B559D"/>
    <w:rsid w:val="68A13DAA"/>
    <w:rsid w:val="68C8208B"/>
    <w:rsid w:val="690D7691"/>
    <w:rsid w:val="692A0243"/>
    <w:rsid w:val="693C3AD3"/>
    <w:rsid w:val="694105EE"/>
    <w:rsid w:val="6965127B"/>
    <w:rsid w:val="69763488"/>
    <w:rsid w:val="697C5FC6"/>
    <w:rsid w:val="697D0373"/>
    <w:rsid w:val="698E2580"/>
    <w:rsid w:val="69BA3375"/>
    <w:rsid w:val="69C02956"/>
    <w:rsid w:val="69D65CD5"/>
    <w:rsid w:val="69F12938"/>
    <w:rsid w:val="6A220F1A"/>
    <w:rsid w:val="6A95793E"/>
    <w:rsid w:val="6AA14A49"/>
    <w:rsid w:val="6AAF37E1"/>
    <w:rsid w:val="6AB06526"/>
    <w:rsid w:val="6AB9187F"/>
    <w:rsid w:val="6AC36259"/>
    <w:rsid w:val="6AD82761"/>
    <w:rsid w:val="6ADC6960"/>
    <w:rsid w:val="6B166CD1"/>
    <w:rsid w:val="6B23319C"/>
    <w:rsid w:val="6B2C2051"/>
    <w:rsid w:val="6B451364"/>
    <w:rsid w:val="6B833C3B"/>
    <w:rsid w:val="6B851761"/>
    <w:rsid w:val="6B943956"/>
    <w:rsid w:val="6BAF4A30"/>
    <w:rsid w:val="6BBD714D"/>
    <w:rsid w:val="6BD82490"/>
    <w:rsid w:val="6C021003"/>
    <w:rsid w:val="6C094140"/>
    <w:rsid w:val="6C0A7EB8"/>
    <w:rsid w:val="6C172D01"/>
    <w:rsid w:val="6C2B2308"/>
    <w:rsid w:val="6C4038DA"/>
    <w:rsid w:val="6C6C00BA"/>
    <w:rsid w:val="6C77379F"/>
    <w:rsid w:val="6C895281"/>
    <w:rsid w:val="6CAD0F6F"/>
    <w:rsid w:val="6CB95B66"/>
    <w:rsid w:val="6CDC1854"/>
    <w:rsid w:val="6D21370B"/>
    <w:rsid w:val="6D220D98"/>
    <w:rsid w:val="6D635AD2"/>
    <w:rsid w:val="6D69269B"/>
    <w:rsid w:val="6D7970A3"/>
    <w:rsid w:val="6D800432"/>
    <w:rsid w:val="6D8739C4"/>
    <w:rsid w:val="6D8D3CCB"/>
    <w:rsid w:val="6D970E1E"/>
    <w:rsid w:val="6DA07930"/>
    <w:rsid w:val="6DA32372"/>
    <w:rsid w:val="6DDE33AA"/>
    <w:rsid w:val="6DEA1D4F"/>
    <w:rsid w:val="6E1A0886"/>
    <w:rsid w:val="6E1F5E9D"/>
    <w:rsid w:val="6E2039C3"/>
    <w:rsid w:val="6E2C680B"/>
    <w:rsid w:val="6E3A2B94"/>
    <w:rsid w:val="6E4476B1"/>
    <w:rsid w:val="6E5B49FB"/>
    <w:rsid w:val="6E6B7334"/>
    <w:rsid w:val="6E8E6B7E"/>
    <w:rsid w:val="6E9F2B3A"/>
    <w:rsid w:val="6EA445F4"/>
    <w:rsid w:val="6EA63EC8"/>
    <w:rsid w:val="6EE844E0"/>
    <w:rsid w:val="6EFE2191"/>
    <w:rsid w:val="6F1475C7"/>
    <w:rsid w:val="6F1E7F02"/>
    <w:rsid w:val="6F23376B"/>
    <w:rsid w:val="6F2E3E23"/>
    <w:rsid w:val="6F484F7F"/>
    <w:rsid w:val="6F653D83"/>
    <w:rsid w:val="6F814935"/>
    <w:rsid w:val="6FBB39A3"/>
    <w:rsid w:val="6FCA008A"/>
    <w:rsid w:val="6FF56673"/>
    <w:rsid w:val="701D640C"/>
    <w:rsid w:val="7031449B"/>
    <w:rsid w:val="703A6FBE"/>
    <w:rsid w:val="703C2A36"/>
    <w:rsid w:val="70453BB5"/>
    <w:rsid w:val="704C4F43"/>
    <w:rsid w:val="705D180E"/>
    <w:rsid w:val="706C1141"/>
    <w:rsid w:val="707E52EE"/>
    <w:rsid w:val="70926DFA"/>
    <w:rsid w:val="70A22132"/>
    <w:rsid w:val="70B825D8"/>
    <w:rsid w:val="70B86135"/>
    <w:rsid w:val="70CB5E68"/>
    <w:rsid w:val="70E146EF"/>
    <w:rsid w:val="70F128E9"/>
    <w:rsid w:val="711856FA"/>
    <w:rsid w:val="7139429A"/>
    <w:rsid w:val="715440AF"/>
    <w:rsid w:val="715C7408"/>
    <w:rsid w:val="715F45D3"/>
    <w:rsid w:val="717402AD"/>
    <w:rsid w:val="71752277"/>
    <w:rsid w:val="717C3606"/>
    <w:rsid w:val="71816E6E"/>
    <w:rsid w:val="71836742"/>
    <w:rsid w:val="718B3849"/>
    <w:rsid w:val="71B7463E"/>
    <w:rsid w:val="71C34D91"/>
    <w:rsid w:val="71EF202A"/>
    <w:rsid w:val="71F65166"/>
    <w:rsid w:val="72010916"/>
    <w:rsid w:val="720158B9"/>
    <w:rsid w:val="720C5859"/>
    <w:rsid w:val="72113D4E"/>
    <w:rsid w:val="721C6C32"/>
    <w:rsid w:val="722A62F9"/>
    <w:rsid w:val="72343EE1"/>
    <w:rsid w:val="725D6F93"/>
    <w:rsid w:val="72730565"/>
    <w:rsid w:val="727E6F0A"/>
    <w:rsid w:val="728F1117"/>
    <w:rsid w:val="729C3F60"/>
    <w:rsid w:val="72D1172F"/>
    <w:rsid w:val="7329331A"/>
    <w:rsid w:val="733D069E"/>
    <w:rsid w:val="7363682B"/>
    <w:rsid w:val="73697BBA"/>
    <w:rsid w:val="737427E7"/>
    <w:rsid w:val="737722D7"/>
    <w:rsid w:val="737D2149"/>
    <w:rsid w:val="73814F04"/>
    <w:rsid w:val="73836ECE"/>
    <w:rsid w:val="73922314"/>
    <w:rsid w:val="739369E5"/>
    <w:rsid w:val="73EA2AA9"/>
    <w:rsid w:val="73FC79CF"/>
    <w:rsid w:val="742E508B"/>
    <w:rsid w:val="74337932"/>
    <w:rsid w:val="743D2128"/>
    <w:rsid w:val="74485A21"/>
    <w:rsid w:val="744D4DE6"/>
    <w:rsid w:val="74681C20"/>
    <w:rsid w:val="74A35835"/>
    <w:rsid w:val="74AF784E"/>
    <w:rsid w:val="74B5542A"/>
    <w:rsid w:val="74DB6895"/>
    <w:rsid w:val="74F457F1"/>
    <w:rsid w:val="74FB2A94"/>
    <w:rsid w:val="75041948"/>
    <w:rsid w:val="751A7A23"/>
    <w:rsid w:val="75324707"/>
    <w:rsid w:val="753A7A60"/>
    <w:rsid w:val="753B69A0"/>
    <w:rsid w:val="753D30AC"/>
    <w:rsid w:val="75546172"/>
    <w:rsid w:val="75911E94"/>
    <w:rsid w:val="75AD404E"/>
    <w:rsid w:val="75B82733"/>
    <w:rsid w:val="75B90985"/>
    <w:rsid w:val="75C13CDD"/>
    <w:rsid w:val="75D02946"/>
    <w:rsid w:val="75D51537"/>
    <w:rsid w:val="76164029"/>
    <w:rsid w:val="761D53B8"/>
    <w:rsid w:val="762D3121"/>
    <w:rsid w:val="763117F4"/>
    <w:rsid w:val="76432944"/>
    <w:rsid w:val="764C7A4B"/>
    <w:rsid w:val="764F3097"/>
    <w:rsid w:val="766034F6"/>
    <w:rsid w:val="767026A5"/>
    <w:rsid w:val="76733229"/>
    <w:rsid w:val="76D4359C"/>
    <w:rsid w:val="77091498"/>
    <w:rsid w:val="772B47CC"/>
    <w:rsid w:val="77356731"/>
    <w:rsid w:val="77383B2B"/>
    <w:rsid w:val="773F4EBA"/>
    <w:rsid w:val="77407626"/>
    <w:rsid w:val="776D5ECB"/>
    <w:rsid w:val="77925931"/>
    <w:rsid w:val="77B92EBE"/>
    <w:rsid w:val="77E72B75"/>
    <w:rsid w:val="77ED4572"/>
    <w:rsid w:val="78044086"/>
    <w:rsid w:val="780600CD"/>
    <w:rsid w:val="78120820"/>
    <w:rsid w:val="78250553"/>
    <w:rsid w:val="78342545"/>
    <w:rsid w:val="78362761"/>
    <w:rsid w:val="78412EB3"/>
    <w:rsid w:val="785A0692"/>
    <w:rsid w:val="78647ED5"/>
    <w:rsid w:val="787053BD"/>
    <w:rsid w:val="788E3ABC"/>
    <w:rsid w:val="789723F4"/>
    <w:rsid w:val="78A76BA2"/>
    <w:rsid w:val="78AB6441"/>
    <w:rsid w:val="78EA7678"/>
    <w:rsid w:val="78F61EF0"/>
    <w:rsid w:val="790C44DA"/>
    <w:rsid w:val="79144F31"/>
    <w:rsid w:val="79183C14"/>
    <w:rsid w:val="79202AC9"/>
    <w:rsid w:val="79503953"/>
    <w:rsid w:val="7953080D"/>
    <w:rsid w:val="79537342"/>
    <w:rsid w:val="795846EA"/>
    <w:rsid w:val="79625133"/>
    <w:rsid w:val="79817A0B"/>
    <w:rsid w:val="798474FC"/>
    <w:rsid w:val="79B55907"/>
    <w:rsid w:val="79C8388C"/>
    <w:rsid w:val="79C97604"/>
    <w:rsid w:val="79D55FA9"/>
    <w:rsid w:val="79DA711C"/>
    <w:rsid w:val="7A0F14BB"/>
    <w:rsid w:val="7A102B3D"/>
    <w:rsid w:val="7A187C44"/>
    <w:rsid w:val="7A2332DE"/>
    <w:rsid w:val="7A282934"/>
    <w:rsid w:val="7A682979"/>
    <w:rsid w:val="7A7C6425"/>
    <w:rsid w:val="7ACA7190"/>
    <w:rsid w:val="7AE069B4"/>
    <w:rsid w:val="7AEA2CFA"/>
    <w:rsid w:val="7B112A51"/>
    <w:rsid w:val="7B2B3074"/>
    <w:rsid w:val="7B3429AD"/>
    <w:rsid w:val="7B4C28CE"/>
    <w:rsid w:val="7B5A3457"/>
    <w:rsid w:val="7B8E6410"/>
    <w:rsid w:val="7B9A4DB4"/>
    <w:rsid w:val="7BA43E85"/>
    <w:rsid w:val="7BB37C24"/>
    <w:rsid w:val="7C0F5F9F"/>
    <w:rsid w:val="7C1508DF"/>
    <w:rsid w:val="7C1F350C"/>
    <w:rsid w:val="7C202506"/>
    <w:rsid w:val="7C3F595C"/>
    <w:rsid w:val="7C6B04FF"/>
    <w:rsid w:val="7C745605"/>
    <w:rsid w:val="7C785652"/>
    <w:rsid w:val="7C7E46D6"/>
    <w:rsid w:val="7C8415C1"/>
    <w:rsid w:val="7C8B294F"/>
    <w:rsid w:val="7CB40F10"/>
    <w:rsid w:val="7CB77BE8"/>
    <w:rsid w:val="7CBC6FAC"/>
    <w:rsid w:val="7CC12815"/>
    <w:rsid w:val="7CDD764F"/>
    <w:rsid w:val="7CF404F4"/>
    <w:rsid w:val="7D284642"/>
    <w:rsid w:val="7D3E79C1"/>
    <w:rsid w:val="7D454D96"/>
    <w:rsid w:val="7D584F27"/>
    <w:rsid w:val="7D60202E"/>
    <w:rsid w:val="7D7635FF"/>
    <w:rsid w:val="7D851A94"/>
    <w:rsid w:val="7D8C697F"/>
    <w:rsid w:val="7DC0201E"/>
    <w:rsid w:val="7DC10D1E"/>
    <w:rsid w:val="7DF05160"/>
    <w:rsid w:val="7E054425"/>
    <w:rsid w:val="7E097FCF"/>
    <w:rsid w:val="7E3F1C43"/>
    <w:rsid w:val="7E8B30DA"/>
    <w:rsid w:val="7ECA59B1"/>
    <w:rsid w:val="7EE0405C"/>
    <w:rsid w:val="7EE10F4C"/>
    <w:rsid w:val="7F2826D7"/>
    <w:rsid w:val="7F313C82"/>
    <w:rsid w:val="7F453289"/>
    <w:rsid w:val="7F477001"/>
    <w:rsid w:val="7F5259A6"/>
    <w:rsid w:val="7F5F07EF"/>
    <w:rsid w:val="7F651B7D"/>
    <w:rsid w:val="7F71407E"/>
    <w:rsid w:val="7F756CC9"/>
    <w:rsid w:val="7F7F2494"/>
    <w:rsid w:val="7FA42277"/>
    <w:rsid w:val="7FBA01BB"/>
    <w:rsid w:val="7FCA5EFE"/>
    <w:rsid w:val="7FD840FD"/>
    <w:rsid w:val="7FEE3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2"/>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styleId="4">
    <w:name w:val="heading 1"/>
    <w:basedOn w:val="1"/>
    <w:next w:val="1"/>
    <w:qFormat/>
    <w:uiPriority w:val="0"/>
    <w:pPr>
      <w:keepNext/>
      <w:keepLines/>
      <w:suppressAutoHyphens w:val="0"/>
      <w:spacing w:before="340" w:after="330" w:line="578" w:lineRule="auto"/>
      <w:outlineLvl w:val="0"/>
    </w:pPr>
    <w:rPr>
      <w:rFonts w:eastAsia="宋体"/>
      <w:kern w:val="44"/>
      <w:sz w:val="44"/>
      <w:szCs w:val="44"/>
    </w:rPr>
  </w:style>
  <w:style w:type="paragraph" w:styleId="5">
    <w:name w:val="heading 2"/>
    <w:basedOn w:val="1"/>
    <w:next w:val="1"/>
    <w:link w:val="32"/>
    <w:unhideWhenUsed/>
    <w:qFormat/>
    <w:uiPriority w:val="0"/>
    <w:pPr>
      <w:keepNext/>
      <w:keepLines/>
      <w:spacing w:line="413" w:lineRule="auto"/>
      <w:outlineLvl w:val="1"/>
    </w:pPr>
    <w:rPr>
      <w:rFonts w:ascii="Arial" w:hAnsi="Arial" w:eastAsia="黑体"/>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
    <w:basedOn w:val="3"/>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
    <w:name w:val="正文_1"/>
    <w:next w:val="2"/>
    <w:qFormat/>
    <w:uiPriority w:val="0"/>
    <w:pPr>
      <w:widowControl w:val="0"/>
      <w:suppressAutoHyphens/>
      <w:jc w:val="both"/>
    </w:pPr>
    <w:rPr>
      <w:rFonts w:ascii="Calibri" w:hAnsi="Calibri" w:eastAsia="宋体;SimSun" w:cs="Calibri"/>
      <w:kern w:val="2"/>
      <w:sz w:val="21"/>
      <w:szCs w:val="21"/>
      <w:lang w:val="en-US" w:eastAsia="zh-CN" w:bidi="ar-SA"/>
    </w:rPr>
  </w:style>
  <w:style w:type="paragraph" w:styleId="7">
    <w:name w:val="Normal Indent"/>
    <w:basedOn w:val="1"/>
    <w:next w:val="1"/>
    <w:qFormat/>
    <w:uiPriority w:val="0"/>
    <w:pPr>
      <w:autoSpaceDE w:val="0"/>
      <w:autoSpaceDN w:val="0"/>
      <w:adjustRightInd w:val="0"/>
      <w:ind w:firstLine="420"/>
      <w:jc w:val="left"/>
      <w:textAlignment w:val="baseline"/>
    </w:pPr>
    <w:rPr>
      <w:rFonts w:ascii="宋体"/>
      <w:kern w:val="0"/>
      <w:sz w:val="34"/>
      <w:szCs w:val="20"/>
    </w:rPr>
  </w:style>
  <w:style w:type="paragraph" w:styleId="8">
    <w:name w:val="index 5"/>
    <w:basedOn w:val="1"/>
    <w:next w:val="1"/>
    <w:semiHidden/>
    <w:qFormat/>
    <w:uiPriority w:val="0"/>
    <w:pPr>
      <w:suppressAutoHyphens w:val="0"/>
      <w:ind w:left="800" w:leftChars="800"/>
    </w:pPr>
    <w:rPr>
      <w:rFonts w:eastAsia="宋体"/>
      <w:szCs w:val="24"/>
    </w:rPr>
  </w:style>
  <w:style w:type="paragraph" w:styleId="9">
    <w:name w:val="Document Map"/>
    <w:basedOn w:val="1"/>
    <w:link w:val="63"/>
    <w:qFormat/>
    <w:uiPriority w:val="0"/>
    <w:rPr>
      <w:rFonts w:ascii="宋体" w:eastAsia="宋体"/>
      <w:sz w:val="18"/>
      <w:szCs w:val="18"/>
    </w:r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unhideWhenUsed/>
    <w:qFormat/>
    <w:uiPriority w:val="99"/>
    <w:pPr>
      <w:jc w:val="left"/>
    </w:pPr>
  </w:style>
  <w:style w:type="paragraph" w:styleId="12">
    <w:name w:val="Body Text"/>
    <w:basedOn w:val="1"/>
    <w:next w:val="1"/>
    <w:qFormat/>
    <w:uiPriority w:val="0"/>
    <w:pPr>
      <w:spacing w:after="120"/>
    </w:pPr>
  </w:style>
  <w:style w:type="paragraph" w:styleId="13">
    <w:name w:val="Body Text Indent"/>
    <w:basedOn w:val="1"/>
    <w:next w:val="14"/>
    <w:qFormat/>
    <w:uiPriority w:val="0"/>
    <w:pPr>
      <w:ind w:firstLine="540"/>
    </w:pPr>
    <w:rPr>
      <w:rFonts w:eastAsia="仿宋_GB2312"/>
      <w:sz w:val="28"/>
      <w:szCs w:val="28"/>
    </w:rPr>
  </w:style>
  <w:style w:type="paragraph" w:styleId="14">
    <w:name w:val="Body Text First Indent 2"/>
    <w:basedOn w:val="13"/>
    <w:next w:val="7"/>
    <w:qFormat/>
    <w:uiPriority w:val="0"/>
    <w:pPr>
      <w:spacing w:after="120" w:line="240" w:lineRule="auto"/>
      <w:ind w:left="420" w:leftChars="200" w:firstLine="420" w:firstLineChars="200"/>
    </w:pPr>
    <w:rPr>
      <w:rFonts w:ascii="Times New Roman"/>
      <w:sz w:val="21"/>
    </w:rPr>
  </w:style>
  <w:style w:type="paragraph" w:styleId="15">
    <w:name w:val="Plain Text"/>
    <w:basedOn w:val="1"/>
    <w:qFormat/>
    <w:uiPriority w:val="0"/>
    <w:rPr>
      <w:rFonts w:ascii="宋体;SimSun" w:hAnsi="宋体;SimSun" w:cs="宋体;SimSun"/>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4"/>
    <w:basedOn w:val="1"/>
    <w:next w:val="1"/>
    <w:unhideWhenUsed/>
    <w:qFormat/>
    <w:uiPriority w:val="39"/>
    <w:pPr>
      <w:ind w:left="1260" w:leftChars="600"/>
    </w:pPr>
  </w:style>
  <w:style w:type="paragraph" w:styleId="20">
    <w:name w:val="footnote text"/>
    <w:basedOn w:val="1"/>
    <w:next w:val="8"/>
    <w:semiHidden/>
    <w:qFormat/>
    <w:uiPriority w:val="0"/>
    <w:pPr>
      <w:tabs>
        <w:tab w:val="left" w:pos="502"/>
      </w:tabs>
      <w:suppressAutoHyphens w:val="0"/>
      <w:snapToGrid w:val="0"/>
      <w:jc w:val="left"/>
    </w:pPr>
    <w:rPr>
      <w:rFonts w:eastAsia="宋体"/>
      <w:sz w:val="18"/>
      <w:szCs w:val="18"/>
    </w:rPr>
  </w:style>
  <w:style w:type="paragraph" w:styleId="21">
    <w:name w:val="toc 2"/>
    <w:basedOn w:val="1"/>
    <w:next w:val="1"/>
    <w:link w:val="76"/>
    <w:semiHidden/>
    <w:qFormat/>
    <w:uiPriority w:val="0"/>
    <w:pPr>
      <w:ind w:left="420" w:leftChars="200"/>
    </w:pPr>
  </w:style>
  <w:style w:type="paragraph" w:styleId="22">
    <w:name w:val="Normal (Web)"/>
    <w:basedOn w:val="1"/>
    <w:qFormat/>
    <w:uiPriority w:val="0"/>
    <w:pPr>
      <w:spacing w:before="280" w:after="280"/>
      <w:jc w:val="left"/>
    </w:pPr>
    <w:rPr>
      <w:kern w:val="0"/>
      <w:sz w:val="24"/>
      <w:szCs w:val="24"/>
    </w:rPr>
  </w:style>
  <w:style w:type="paragraph" w:styleId="23">
    <w:name w:val="Title"/>
    <w:basedOn w:val="1"/>
    <w:next w:val="1"/>
    <w:qFormat/>
    <w:uiPriority w:val="0"/>
  </w:style>
  <w:style w:type="paragraph" w:styleId="24">
    <w:name w:val="Body Text First Indent"/>
    <w:basedOn w:val="12"/>
    <w:next w:val="1"/>
    <w:qFormat/>
    <w:uiPriority w:val="0"/>
    <w:pPr>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semiHidden/>
    <w:qFormat/>
    <w:uiPriority w:val="0"/>
  </w:style>
  <w:style w:type="character" w:styleId="29">
    <w:name w:val="Hyperlink"/>
    <w:basedOn w:val="27"/>
    <w:qFormat/>
    <w:uiPriority w:val="0"/>
    <w:rPr>
      <w:color w:val="0000FF"/>
      <w:u w:val="single"/>
    </w:rPr>
  </w:style>
  <w:style w:type="paragraph" w:customStyle="1" w:styleId="30">
    <w:name w:val="Char"/>
    <w:basedOn w:val="1"/>
    <w:qFormat/>
    <w:uiPriority w:val="0"/>
    <w:pPr>
      <w:tabs>
        <w:tab w:val="left" w:pos="360"/>
      </w:tabs>
      <w:suppressAutoHyphens w:val="0"/>
      <w:spacing w:line="360" w:lineRule="auto"/>
      <w:ind w:left="482" w:firstLine="200" w:firstLineChars="200"/>
    </w:pPr>
    <w:rPr>
      <w:rFonts w:eastAsia="宋体"/>
      <w:szCs w:val="20"/>
    </w:rPr>
  </w:style>
  <w:style w:type="paragraph" w:customStyle="1" w:styleId="31">
    <w:name w:val="TOC 21"/>
    <w:basedOn w:val="1"/>
    <w:next w:val="1"/>
    <w:qFormat/>
    <w:uiPriority w:val="0"/>
    <w:pPr>
      <w:ind w:left="420"/>
    </w:pPr>
  </w:style>
  <w:style w:type="character" w:customStyle="1" w:styleId="32">
    <w:name w:val="标题 2 Char"/>
    <w:link w:val="5"/>
    <w:qFormat/>
    <w:uiPriority w:val="0"/>
    <w:rPr>
      <w:rFonts w:ascii="Arial" w:hAnsi="Arial" w:eastAsia="黑体"/>
      <w:b/>
      <w:sz w:val="32"/>
    </w:rPr>
  </w:style>
  <w:style w:type="paragraph" w:customStyle="1" w:styleId="33">
    <w:name w:val="正文_0_1"/>
    <w:next w:val="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文本_0"/>
    <w:basedOn w:val="33"/>
    <w:qFormat/>
    <w:uiPriority w:val="0"/>
    <w:pPr>
      <w:spacing w:after="120"/>
    </w:pPr>
  </w:style>
  <w:style w:type="paragraph" w:customStyle="1" w:styleId="35">
    <w:name w:val="正文缩进2格"/>
    <w:basedOn w:val="1"/>
    <w:unhideWhenUsed/>
    <w:qFormat/>
    <w:uiPriority w:val="99"/>
    <w:pPr>
      <w:spacing w:line="600" w:lineRule="exact"/>
      <w:ind w:firstLine="639" w:firstLineChars="206"/>
    </w:pPr>
    <w:rPr>
      <w:rFonts w:hAnsi="宋体" w:eastAsia="Times New Roman"/>
      <w:sz w:val="31"/>
      <w:szCs w:val="24"/>
    </w:rPr>
  </w:style>
  <w:style w:type="paragraph" w:customStyle="1" w:styleId="36">
    <w:name w:val="正文_2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37">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38">
    <w:name w:val="Heading 21"/>
    <w:basedOn w:val="1"/>
    <w:next w:val="1"/>
    <w:qFormat/>
    <w:uiPriority w:val="0"/>
    <w:pPr>
      <w:widowControl/>
      <w:numPr>
        <w:ilvl w:val="1"/>
        <w:numId w:val="1"/>
      </w:numPr>
      <w:spacing w:before="280" w:after="280"/>
      <w:jc w:val="left"/>
      <w:outlineLvl w:val="1"/>
    </w:pPr>
    <w:rPr>
      <w:rFonts w:ascii="宋体;SimSun" w:hAnsi="宋体;SimSun" w:cs="宋体;SimSun"/>
      <w:b/>
      <w:bCs/>
      <w:kern w:val="0"/>
      <w:sz w:val="36"/>
      <w:szCs w:val="36"/>
    </w:rPr>
  </w:style>
  <w:style w:type="paragraph" w:customStyle="1" w:styleId="3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5）标书正文 首行缩进2字符"/>
    <w:basedOn w:val="1"/>
    <w:qFormat/>
    <w:uiPriority w:val="0"/>
    <w:pPr>
      <w:spacing w:line="520" w:lineRule="exact"/>
      <w:ind w:firstLine="560"/>
    </w:pPr>
    <w:rPr>
      <w:rFonts w:eastAsia="仿宋_GB2312"/>
      <w:sz w:val="28"/>
      <w:szCs w:val="28"/>
    </w:rPr>
  </w:style>
  <w:style w:type="paragraph" w:customStyle="1" w:styleId="41">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42">
    <w:name w:val="正文文本缩进_0_0"/>
    <w:basedOn w:val="43"/>
    <w:qFormat/>
    <w:uiPriority w:val="0"/>
    <w:pPr>
      <w:spacing w:line="500" w:lineRule="exact"/>
      <w:ind w:left="1588" w:firstLine="433"/>
    </w:pPr>
    <w:rPr>
      <w:rFonts w:ascii="Calibri" w:hAnsi="Calibri" w:cs="Calibri"/>
      <w:sz w:val="24"/>
      <w:szCs w:val="24"/>
    </w:rPr>
  </w:style>
  <w:style w:type="paragraph" w:customStyle="1" w:styleId="43">
    <w:name w:val="正文_3_0"/>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44">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45">
    <w:name w:val="_Style 20"/>
    <w:basedOn w:val="1"/>
    <w:qFormat/>
    <w:uiPriority w:val="0"/>
    <w:rPr>
      <w:rFonts w:ascii="Tahoma" w:hAnsi="Tahoma"/>
      <w:sz w:val="24"/>
      <w:szCs w:val="20"/>
    </w:rPr>
  </w:style>
  <w:style w:type="paragraph" w:customStyle="1" w:styleId="4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7">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_13_0"/>
    <w:next w:val="5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文本_2_0"/>
    <w:basedOn w:val="51"/>
    <w:qFormat/>
    <w:uiPriority w:val="0"/>
    <w:pPr>
      <w:spacing w:after="120"/>
    </w:pPr>
  </w:style>
  <w:style w:type="paragraph" w:customStyle="1" w:styleId="53">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文本缩进_3"/>
    <w:basedOn w:val="53"/>
    <w:qFormat/>
    <w:uiPriority w:val="0"/>
    <w:pPr>
      <w:spacing w:line="500" w:lineRule="exact"/>
      <w:ind w:left="1588" w:firstLine="433"/>
    </w:pPr>
    <w:rPr>
      <w:rFonts w:ascii="Calibri" w:hAnsi="Calibri" w:cs="Calibri"/>
      <w:sz w:val="24"/>
    </w:rPr>
  </w:style>
  <w:style w:type="paragraph" w:customStyle="1" w:styleId="55">
    <w:name w:val="正文_4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17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58">
    <w:name w:val="*正文"/>
    <w:basedOn w:val="1"/>
    <w:qFormat/>
    <w:uiPriority w:val="0"/>
    <w:pPr>
      <w:widowControl/>
      <w:spacing w:line="360" w:lineRule="auto"/>
      <w:ind w:firstLine="560" w:firstLineChars="200"/>
      <w:jc w:val="left"/>
    </w:pPr>
    <w:rPr>
      <w:rFonts w:ascii="仿宋_GB2312"/>
      <w:sz w:val="24"/>
      <w:szCs w:val="28"/>
    </w:rPr>
  </w:style>
  <w:style w:type="paragraph" w:customStyle="1" w:styleId="59">
    <w:name w:val="Header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60">
    <w:name w:val="UserStyle_0"/>
    <w:basedOn w:val="61"/>
    <w:qFormat/>
    <w:uiPriority w:val="0"/>
    <w:pPr>
      <w:ind w:firstLine="525"/>
    </w:pPr>
    <w:rPr>
      <w:spacing w:val="20"/>
      <w:szCs w:val="20"/>
    </w:rPr>
  </w:style>
  <w:style w:type="paragraph" w:customStyle="1" w:styleId="61">
    <w:name w:val="UserStyle_1"/>
    <w:next w:val="60"/>
    <w:qFormat/>
    <w:uiPriority w:val="0"/>
    <w:pPr>
      <w:suppressAutoHyphens/>
      <w:jc w:val="both"/>
      <w:textAlignment w:val="baseline"/>
    </w:pPr>
    <w:rPr>
      <w:rFonts w:ascii="Calibri" w:hAnsi="Calibri" w:eastAsia="宋体;SimSun" w:cs="Times New Roman"/>
      <w:kern w:val="2"/>
      <w:sz w:val="21"/>
      <w:szCs w:val="21"/>
      <w:lang w:val="en-US" w:eastAsia="zh-CN" w:bidi="ar-SA"/>
    </w:rPr>
  </w:style>
  <w:style w:type="character" w:customStyle="1" w:styleId="62">
    <w:name w:val="NormalCharacter"/>
    <w:link w:val="1"/>
    <w:semiHidden/>
    <w:qFormat/>
    <w:uiPriority w:val="0"/>
    <w:rPr>
      <w:rFonts w:ascii="Times New Roman" w:hAnsi="Times New Roman" w:eastAsia="宋体;SimSun" w:cs="Times New Roman"/>
      <w:kern w:val="2"/>
      <w:sz w:val="21"/>
      <w:szCs w:val="21"/>
      <w:lang w:val="en-US" w:eastAsia="zh-CN" w:bidi="ar-SA"/>
    </w:rPr>
  </w:style>
  <w:style w:type="character" w:customStyle="1" w:styleId="63">
    <w:name w:val="文档结构图 Char"/>
    <w:basedOn w:val="27"/>
    <w:link w:val="9"/>
    <w:qFormat/>
    <w:uiPriority w:val="0"/>
    <w:rPr>
      <w:rFonts w:ascii="宋体"/>
      <w:kern w:val="2"/>
      <w:sz w:val="18"/>
      <w:szCs w:val="18"/>
    </w:rPr>
  </w:style>
  <w:style w:type="paragraph" w:customStyle="1" w:styleId="64">
    <w:name w:val="纯文本1"/>
    <w:basedOn w:val="1"/>
    <w:qFormat/>
    <w:uiPriority w:val="0"/>
    <w:rPr>
      <w:rFonts w:ascii="宋体" w:hAnsi="Courier New" w:cs="Courier New"/>
      <w:szCs w:val="21"/>
    </w:rPr>
  </w:style>
  <w:style w:type="paragraph" w:customStyle="1" w:styleId="65">
    <w:name w:val="正文 New"/>
    <w:basedOn w:val="1"/>
    <w:qFormat/>
    <w:uiPriority w:val="0"/>
    <w:pPr>
      <w:spacing w:before="100" w:beforeAutospacing="1" w:after="100" w:afterAutospacing="1" w:line="440" w:lineRule="exact"/>
      <w:ind w:left="357" w:hanging="357"/>
    </w:pPr>
    <w:rPr>
      <w:szCs w:val="21"/>
    </w:rPr>
  </w:style>
  <w:style w:type="paragraph" w:customStyle="1" w:styleId="66">
    <w:name w:val="4）小标题 加黑 左对齐"/>
    <w:basedOn w:val="1"/>
    <w:next w:val="40"/>
    <w:qFormat/>
    <w:uiPriority w:val="0"/>
    <w:pPr>
      <w:keepNext/>
      <w:spacing w:before="62" w:after="62" w:line="500" w:lineRule="exact"/>
      <w:ind w:firstLine="200"/>
    </w:pPr>
    <w:rPr>
      <w:rFonts w:eastAsia="仿宋_GB2312"/>
      <w:b/>
      <w:bCs/>
      <w:sz w:val="28"/>
      <w:szCs w:val="28"/>
    </w:rPr>
  </w:style>
  <w:style w:type="paragraph" w:customStyle="1" w:styleId="67">
    <w:name w:val="样式1"/>
    <w:basedOn w:val="1"/>
    <w:qFormat/>
    <w:uiPriority w:val="0"/>
    <w:rPr>
      <w:rFonts w:ascii="Times New Roman" w:hAnsi="Times New Roman"/>
    </w:rPr>
  </w:style>
  <w:style w:type="paragraph" w:customStyle="1" w:styleId="68">
    <w:name w:val="Normal"/>
    <w:qFormat/>
    <w:uiPriority w:val="0"/>
    <w:rPr>
      <w:rFonts w:ascii="Times New Roman" w:hAnsi="Times New Roman" w:eastAsia="Times New Roman" w:cs="Times New Roman"/>
      <w:sz w:val="24"/>
      <w:szCs w:val="24"/>
      <w:lang w:bidi="ar-SA"/>
    </w:rPr>
  </w:style>
  <w:style w:type="paragraph" w:customStyle="1" w:styleId="69">
    <w:name w:val="Other|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paragraph" w:styleId="70">
    <w:name w:val="List Paragraph"/>
    <w:basedOn w:val="1"/>
    <w:qFormat/>
    <w:uiPriority w:val="34"/>
    <w:pPr>
      <w:ind w:firstLine="420" w:firstLineChars="200"/>
    </w:pPr>
  </w:style>
  <w:style w:type="character" w:customStyle="1" w:styleId="71">
    <w:name w:val="font21"/>
    <w:basedOn w:val="27"/>
    <w:qFormat/>
    <w:uiPriority w:val="0"/>
    <w:rPr>
      <w:rFonts w:hint="eastAsia" w:ascii="宋体" w:hAnsi="宋体" w:eastAsia="宋体" w:cs="宋体"/>
      <w:b/>
      <w:bCs/>
      <w:color w:val="000000"/>
      <w:sz w:val="24"/>
      <w:szCs w:val="24"/>
      <w:u w:val="none"/>
    </w:rPr>
  </w:style>
  <w:style w:type="character" w:customStyle="1" w:styleId="72">
    <w:name w:val="font31"/>
    <w:basedOn w:val="27"/>
    <w:qFormat/>
    <w:uiPriority w:val="0"/>
    <w:rPr>
      <w:rFonts w:hint="eastAsia" w:ascii="宋体" w:hAnsi="宋体" w:eastAsia="宋体" w:cs="宋体"/>
      <w:color w:val="000000"/>
      <w:sz w:val="21"/>
      <w:szCs w:val="21"/>
      <w:u w:val="none"/>
    </w:rPr>
  </w:style>
  <w:style w:type="character" w:customStyle="1" w:styleId="73">
    <w:name w:val="font41"/>
    <w:basedOn w:val="27"/>
    <w:qFormat/>
    <w:uiPriority w:val="0"/>
    <w:rPr>
      <w:rFonts w:hint="eastAsia" w:ascii="宋体" w:hAnsi="宋体" w:eastAsia="宋体" w:cs="宋体"/>
      <w:color w:val="000000"/>
      <w:sz w:val="28"/>
      <w:szCs w:val="28"/>
      <w:u w:val="none"/>
    </w:rPr>
  </w:style>
  <w:style w:type="character" w:customStyle="1" w:styleId="74">
    <w:name w:val="font01"/>
    <w:basedOn w:val="27"/>
    <w:qFormat/>
    <w:uiPriority w:val="0"/>
    <w:rPr>
      <w:rFonts w:hint="eastAsia" w:ascii="宋体" w:hAnsi="宋体" w:eastAsia="宋体" w:cs="宋体"/>
      <w:color w:val="000000"/>
      <w:sz w:val="22"/>
      <w:szCs w:val="22"/>
      <w:u w:val="none"/>
    </w:rPr>
  </w:style>
  <w:style w:type="paragraph" w:styleId="75">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76">
    <w:name w:val="目录 2 Char"/>
    <w:link w:val="2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30"/>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91</Pages>
  <Words>41715</Words>
  <Characters>45457</Characters>
  <Lines>242</Lines>
  <Paragraphs>68</Paragraphs>
  <TotalTime>59</TotalTime>
  <ScaleCrop>false</ScaleCrop>
  <LinksUpToDate>false</LinksUpToDate>
  <CharactersWithSpaces>47908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2021-08-25T05:19:00Z</dcterms:created>
  <dc:creator>淡淡的味道</dc:creator>
  <cp:lastModifiedBy>     另</cp:lastModifiedBy>
  <cp:lastPrinted>2023-10-20T05:19:00Z</cp:lastPrinted>
  <dcterms:modified xsi:type="dcterms:W3CDTF">2023-10-27T03:04:46Z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A993A30F451148D4BD7C075D944EB41E</vt:lpwstr>
  </property>
</Properties>
</file>