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numPr>
          <w:ilvl w:val="0"/>
          <w:numId w:val="0"/>
        </w:numPr>
        <w:tabs>
          <w:tab w:val="center" w:pos="4365"/>
          <w:tab w:val="clear" w:pos="360"/>
        </w:tabs>
        <w:ind w:leftChars="0"/>
        <w:jc w:val="both"/>
        <w:rPr>
          <w:rFonts w:hint="eastAsia" w:ascii="仿宋" w:hAnsi="仿宋" w:eastAsia="仿宋" w:cs="仿宋"/>
          <w:color w:val="auto"/>
          <w:sz w:val="48"/>
          <w:szCs w:val="28"/>
        </w:rPr>
      </w:pPr>
      <w:bookmarkStart w:id="0" w:name="_Toc511727499"/>
      <w:bookmarkStart w:id="1" w:name="_Toc511727757"/>
      <w:bookmarkStart w:id="2" w:name="_Toc6412581"/>
      <w:bookmarkStart w:id="3" w:name="_Toc520393753"/>
      <w:bookmarkStart w:id="4" w:name="_Toc511727989"/>
      <w:bookmarkStart w:id="5" w:name="_Toc511727620"/>
      <w:bookmarkStart w:id="6" w:name="_Toc8243122"/>
      <w:bookmarkStart w:id="7" w:name="_Toc15973"/>
      <w:bookmarkStart w:id="8" w:name="_Hlk513649049"/>
    </w:p>
    <w:p>
      <w:pPr>
        <w:rPr>
          <w:rFonts w:hint="eastAsia"/>
        </w:rPr>
      </w:pPr>
    </w:p>
    <w:bookmarkEnd w:id="0"/>
    <w:bookmarkEnd w:id="1"/>
    <w:bookmarkEnd w:id="2"/>
    <w:bookmarkEnd w:id="3"/>
    <w:bookmarkEnd w:id="4"/>
    <w:bookmarkEnd w:id="5"/>
    <w:bookmarkEnd w:id="6"/>
    <w:p>
      <w:pPr>
        <w:tabs>
          <w:tab w:val="left" w:pos="456"/>
        </w:tabs>
        <w:spacing w:line="360" w:lineRule="auto"/>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项目编号：XJRJHCCS2023-004</w:t>
      </w:r>
    </w:p>
    <w:p>
      <w:pPr>
        <w:tabs>
          <w:tab w:val="left" w:pos="456"/>
        </w:tabs>
        <w:spacing w:line="360" w:lineRule="auto"/>
        <w:jc w:val="left"/>
        <w:rPr>
          <w:rFonts w:hint="default" w:ascii="仿宋" w:hAnsi="仿宋" w:eastAsia="仿宋" w:cs="仿宋"/>
          <w:b/>
          <w:color w:val="auto"/>
          <w:sz w:val="52"/>
          <w:szCs w:val="52"/>
          <w:highlight w:val="none"/>
          <w:lang w:val="en-US" w:eastAsia="zh-CN"/>
        </w:rPr>
      </w:pPr>
    </w:p>
    <w:p>
      <w:pPr>
        <w:pStyle w:val="17"/>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lang w:eastAsia="zh-CN"/>
        </w:rPr>
      </w:pPr>
    </w:p>
    <w:p>
      <w:pPr>
        <w:spacing w:line="360" w:lineRule="auto"/>
        <w:jc w:val="center"/>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研学实践教育营地咨询项目</w:t>
      </w:r>
    </w:p>
    <w:p>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48"/>
          <w:szCs w:val="48"/>
          <w:highlight w:val="none"/>
        </w:rPr>
        <w:t>招 标 文 件</w:t>
      </w:r>
    </w:p>
    <w:p>
      <w:pPr>
        <w:overflowPunct w:val="0"/>
        <w:spacing w:line="500" w:lineRule="exact"/>
        <w:rPr>
          <w:rFonts w:hint="eastAsia" w:ascii="仿宋" w:hAnsi="仿宋" w:eastAsia="仿宋" w:cs="仿宋"/>
          <w:color w:val="auto"/>
          <w:sz w:val="32"/>
          <w:szCs w:val="32"/>
          <w:highlight w:val="none"/>
        </w:rPr>
      </w:pPr>
    </w:p>
    <w:p>
      <w:pPr>
        <w:pStyle w:val="17"/>
        <w:rPr>
          <w:rFonts w:hint="eastAsia" w:ascii="仿宋" w:hAnsi="仿宋" w:eastAsia="仿宋" w:cs="仿宋"/>
          <w:color w:val="auto"/>
          <w:highlight w:val="none"/>
        </w:rPr>
      </w:pPr>
    </w:p>
    <w:p>
      <w:pPr>
        <w:overflowPunct w:val="0"/>
        <w:spacing w:line="500" w:lineRule="exact"/>
        <w:rPr>
          <w:rFonts w:hint="eastAsia" w:ascii="仿宋" w:hAnsi="仿宋" w:eastAsia="仿宋" w:cs="仿宋"/>
          <w:color w:val="auto"/>
          <w:sz w:val="32"/>
          <w:szCs w:val="32"/>
          <w:highlight w:val="none"/>
        </w:rPr>
      </w:pPr>
    </w:p>
    <w:p>
      <w:pPr>
        <w:overflowPunct w:val="0"/>
        <w:spacing w:line="500" w:lineRule="exact"/>
        <w:ind w:firstLine="301" w:firstLineChars="100"/>
        <w:rPr>
          <w:rFonts w:hint="eastAsia" w:ascii="仿宋" w:hAnsi="仿宋" w:eastAsia="仿宋" w:cs="仿宋"/>
          <w:b/>
          <w:color w:val="auto"/>
          <w:sz w:val="30"/>
          <w:szCs w:val="30"/>
          <w:highlight w:val="none"/>
        </w:rPr>
      </w:pPr>
    </w:p>
    <w:p>
      <w:pPr>
        <w:overflowPunct w:val="0"/>
        <w:spacing w:line="500" w:lineRule="exact"/>
        <w:ind w:firstLine="301" w:firstLineChars="1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招标</w:t>
      </w:r>
      <w:r>
        <w:rPr>
          <w:rFonts w:hint="eastAsia" w:ascii="仿宋" w:hAnsi="仿宋" w:eastAsia="仿宋" w:cs="仿宋"/>
          <w:b/>
          <w:color w:val="auto"/>
          <w:sz w:val="30"/>
          <w:szCs w:val="30"/>
          <w:highlight w:val="none"/>
        </w:rPr>
        <w:t>人：</w:t>
      </w:r>
      <w:r>
        <w:rPr>
          <w:rFonts w:hint="eastAsia" w:ascii="仿宋" w:hAnsi="仿宋" w:eastAsia="仿宋" w:cs="仿宋"/>
          <w:b/>
          <w:color w:val="auto"/>
          <w:sz w:val="30"/>
          <w:szCs w:val="30"/>
          <w:highlight w:val="none"/>
          <w:lang w:eastAsia="zh-CN"/>
        </w:rPr>
        <w:t xml:space="preserve"> 博尔塔拉职业技术学院</w:t>
      </w:r>
    </w:p>
    <w:p>
      <w:pPr>
        <w:overflowPunct w:val="0"/>
        <w:spacing w:line="500" w:lineRule="exact"/>
        <w:ind w:firstLine="301" w:firstLineChars="100"/>
        <w:rPr>
          <w:rFonts w:hint="eastAsia" w:ascii="仿宋" w:hAnsi="仿宋" w:eastAsia="仿宋" w:cs="仿宋"/>
          <w:b/>
          <w:color w:val="auto"/>
          <w:sz w:val="30"/>
          <w:szCs w:val="30"/>
          <w:highlight w:val="none"/>
        </w:rPr>
      </w:pPr>
    </w:p>
    <w:p>
      <w:pPr>
        <w:overflowPunct w:val="0"/>
        <w:spacing w:line="500" w:lineRule="exact"/>
        <w:rPr>
          <w:rFonts w:hint="eastAsia" w:ascii="仿宋" w:hAnsi="仿宋" w:eastAsia="仿宋" w:cs="仿宋"/>
          <w:b/>
          <w:color w:val="auto"/>
          <w:sz w:val="30"/>
          <w:szCs w:val="30"/>
          <w:highlight w:val="none"/>
        </w:rPr>
      </w:pPr>
    </w:p>
    <w:p>
      <w:pPr>
        <w:overflowPunct w:val="0"/>
        <w:spacing w:line="500" w:lineRule="exact"/>
        <w:ind w:left="1202" w:leftChars="142" w:hanging="904" w:hangingChars="300"/>
        <w:rPr>
          <w:rFonts w:hint="eastAsia" w:ascii="仿宋" w:hAnsi="仿宋" w:eastAsia="仿宋" w:cs="仿宋"/>
          <w:b/>
          <w:color w:val="auto"/>
          <w:sz w:val="30"/>
          <w:szCs w:val="30"/>
          <w:highlight w:val="none"/>
        </w:rPr>
      </w:pPr>
    </w:p>
    <w:p>
      <w:pPr>
        <w:overflowPunct w:val="0"/>
        <w:spacing w:line="500" w:lineRule="exact"/>
        <w:ind w:left="1202" w:leftChars="142" w:hanging="904" w:hangingChars="3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代理机构：</w:t>
      </w:r>
      <w:r>
        <w:rPr>
          <w:rFonts w:hint="eastAsia" w:ascii="仿宋" w:hAnsi="仿宋" w:eastAsia="仿宋" w:cs="仿宋"/>
          <w:b/>
          <w:color w:val="auto"/>
          <w:sz w:val="30"/>
          <w:szCs w:val="30"/>
          <w:highlight w:val="none"/>
          <w:lang w:eastAsia="zh-CN"/>
        </w:rPr>
        <w:t>新疆润锦宏昌工程管理服务有限公司</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lang w:val="en-US" w:eastAsia="zh-CN"/>
        </w:rPr>
        <w:br w:type="textWrapping"/>
      </w:r>
      <w:r>
        <w:rPr>
          <w:rFonts w:hint="eastAsia" w:ascii="仿宋" w:hAnsi="仿宋" w:eastAsia="仿宋" w:cs="仿宋"/>
          <w:b/>
          <w:color w:val="auto"/>
          <w:sz w:val="30"/>
          <w:szCs w:val="30"/>
          <w:highlight w:val="none"/>
          <w:lang w:val="en-US" w:eastAsia="zh-CN"/>
        </w:rPr>
        <w:br w:type="textWrapping"/>
      </w:r>
      <w:r>
        <w:rPr>
          <w:rFonts w:hint="eastAsia" w:ascii="仿宋" w:hAnsi="仿宋" w:eastAsia="仿宋" w:cs="仿宋"/>
          <w:b/>
          <w:color w:val="auto"/>
          <w:sz w:val="30"/>
          <w:szCs w:val="30"/>
          <w:highlight w:val="none"/>
          <w:lang w:val="en-US" w:eastAsia="zh-CN"/>
        </w:rPr>
        <w:t xml:space="preserve">                </w:t>
      </w:r>
    </w:p>
    <w:p>
      <w:pPr>
        <w:overflowPunct w:val="0"/>
        <w:spacing w:line="500" w:lineRule="exact"/>
        <w:ind w:left="1202" w:leftChars="142" w:hanging="904" w:hangingChars="300"/>
        <w:rPr>
          <w:rFonts w:hint="eastAsia" w:ascii="仿宋" w:hAnsi="仿宋" w:eastAsia="仿宋" w:cs="仿宋"/>
          <w:b/>
          <w:color w:val="auto"/>
          <w:sz w:val="30"/>
          <w:szCs w:val="30"/>
          <w:highlight w:val="none"/>
          <w:lang w:val="en-US" w:eastAsia="zh-CN"/>
        </w:rPr>
      </w:pPr>
    </w:p>
    <w:p>
      <w:pPr>
        <w:overflowPunct w:val="0"/>
        <w:spacing w:line="500" w:lineRule="exact"/>
        <w:ind w:left="1202" w:leftChars="142" w:hanging="904" w:hangingChars="300"/>
        <w:rPr>
          <w:rFonts w:hint="eastAsia" w:ascii="仿宋" w:hAnsi="仿宋" w:eastAsia="仿宋" w:cs="仿宋"/>
          <w:b/>
          <w:color w:val="auto"/>
          <w:sz w:val="30"/>
          <w:szCs w:val="30"/>
          <w:highlight w:val="none"/>
          <w:lang w:val="en-US" w:eastAsia="zh-CN"/>
        </w:rPr>
      </w:pPr>
    </w:p>
    <w:p>
      <w:pPr>
        <w:overflowPunct w:val="0"/>
        <w:spacing w:line="500" w:lineRule="exact"/>
        <w:ind w:left="1262" w:leftChars="142" w:hanging="964" w:hangingChars="300"/>
        <w:jc w:val="center"/>
        <w:rPr>
          <w:rFonts w:hint="eastAsia" w:ascii="仿宋" w:hAnsi="仿宋" w:eastAsia="仿宋" w:cs="仿宋"/>
          <w:color w:val="auto"/>
          <w:sz w:val="32"/>
          <w:szCs w:val="32"/>
          <w:highlight w:val="none"/>
          <w:lang w:val="en-US"/>
        </w:rPr>
        <w:sectPr>
          <w:headerReference r:id="rId3" w:type="default"/>
          <w:type w:val="continuous"/>
          <w:pgSz w:w="11907" w:h="16840"/>
          <w:pgMar w:top="1440" w:right="1080" w:bottom="1440" w:left="1080" w:header="964" w:footer="992" w:gutter="0"/>
          <w:cols w:space="720" w:num="1"/>
          <w:docGrid w:linePitch="354" w:charSpace="0"/>
        </w:sectPr>
      </w:pPr>
      <w:r>
        <w:rPr>
          <w:rFonts w:hint="eastAsia" w:ascii="仿宋" w:hAnsi="仿宋" w:eastAsia="仿宋" w:cs="仿宋"/>
          <w:b/>
          <w:color w:val="auto"/>
          <w:sz w:val="32"/>
          <w:szCs w:val="32"/>
          <w:highlight w:val="none"/>
          <w:lang w:val="en-US" w:eastAsia="zh-CN"/>
        </w:rPr>
        <w:t>2023</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10月</w:t>
      </w:r>
    </w:p>
    <w:p>
      <w:pPr>
        <w:pStyle w:val="3"/>
        <w:numPr>
          <w:ilvl w:val="0"/>
          <w:numId w:val="0"/>
        </w:numPr>
        <w:bidi w:val="0"/>
        <w:spacing w:line="240" w:lineRule="auto"/>
        <w:ind w:leftChars="0"/>
        <w:jc w:val="center"/>
        <w:rPr>
          <w:rFonts w:hint="eastAsia" w:ascii="仿宋" w:hAnsi="仿宋" w:eastAsia="仿宋" w:cs="仿宋"/>
          <w:color w:val="auto"/>
          <w:sz w:val="28"/>
          <w:szCs w:val="28"/>
          <w:highlight w:val="none"/>
        </w:rPr>
      </w:pPr>
    </w:p>
    <w:p>
      <w:pPr>
        <w:pStyle w:val="3"/>
        <w:numPr>
          <w:ilvl w:val="0"/>
          <w:numId w:val="0"/>
        </w:numPr>
        <w:bidi w:val="0"/>
        <w:spacing w:line="240" w:lineRule="auto"/>
        <w:ind w:leftChars="0"/>
        <w:jc w:val="center"/>
        <w:rPr>
          <w:rFonts w:hint="eastAsia" w:ascii="仿宋" w:hAnsi="仿宋" w:eastAsia="仿宋" w:cs="仿宋"/>
          <w:color w:val="auto"/>
          <w:sz w:val="28"/>
          <w:szCs w:val="28"/>
          <w:highlight w:val="none"/>
        </w:rPr>
      </w:pPr>
    </w:p>
    <w:p>
      <w:pPr>
        <w:pStyle w:val="3"/>
        <w:numPr>
          <w:ilvl w:val="0"/>
          <w:numId w:val="0"/>
        </w:numPr>
        <w:bidi w:val="0"/>
        <w:spacing w:line="240" w:lineRule="auto"/>
        <w:ind w:leftChars="0"/>
        <w:jc w:val="center"/>
        <w:rPr>
          <w:rFonts w:hint="eastAsia" w:ascii="仿宋" w:hAnsi="仿宋" w:eastAsia="仿宋" w:cs="仿宋"/>
          <w:color w:val="auto"/>
          <w:sz w:val="28"/>
          <w:szCs w:val="28"/>
          <w:highlight w:val="none"/>
        </w:rPr>
      </w:pPr>
    </w:p>
    <w:p>
      <w:pPr>
        <w:pStyle w:val="3"/>
        <w:numPr>
          <w:ilvl w:val="0"/>
          <w:numId w:val="0"/>
        </w:numPr>
        <w:bidi w:val="0"/>
        <w:spacing w:line="240" w:lineRule="auto"/>
        <w:ind w:leftChars="0"/>
        <w:jc w:val="center"/>
        <w:rPr>
          <w:rFonts w:hint="eastAsia" w:ascii="仿宋" w:hAnsi="仿宋" w:eastAsia="仿宋" w:cs="仿宋"/>
          <w:color w:val="auto"/>
          <w:sz w:val="28"/>
          <w:szCs w:val="28"/>
          <w:highlight w:val="none"/>
        </w:rPr>
      </w:pPr>
    </w:p>
    <w:p>
      <w:pPr>
        <w:pStyle w:val="3"/>
        <w:numPr>
          <w:ilvl w:val="0"/>
          <w:numId w:val="0"/>
        </w:numPr>
        <w:bidi w:val="0"/>
        <w:spacing w:line="240" w:lineRule="auto"/>
        <w:ind w:leftChars="0"/>
        <w:jc w:val="center"/>
        <w:rPr>
          <w:rFonts w:hint="eastAsia" w:ascii="仿宋" w:hAnsi="仿宋" w:eastAsia="仿宋" w:cs="仿宋"/>
          <w:color w:val="auto"/>
          <w:sz w:val="28"/>
          <w:szCs w:val="28"/>
          <w:highlight w:val="none"/>
        </w:rPr>
      </w:pPr>
    </w:p>
    <w:p>
      <w:pPr>
        <w:pStyle w:val="3"/>
        <w:numPr>
          <w:ilvl w:val="0"/>
          <w:numId w:val="0"/>
        </w:numPr>
        <w:bidi w:val="0"/>
        <w:spacing w:line="240" w:lineRule="auto"/>
        <w:ind w:leftChars="0"/>
        <w:jc w:val="both"/>
        <w:rPr>
          <w:rFonts w:hint="eastAsia" w:ascii="仿宋" w:hAnsi="仿宋" w:eastAsia="仿宋" w:cs="仿宋"/>
          <w:color w:val="auto"/>
          <w:sz w:val="28"/>
          <w:szCs w:val="28"/>
          <w:highlight w:val="none"/>
        </w:rPr>
      </w:pPr>
    </w:p>
    <w:p>
      <w:pPr>
        <w:pStyle w:val="3"/>
        <w:numPr>
          <w:ilvl w:val="0"/>
          <w:numId w:val="0"/>
        </w:numPr>
        <w:bidi w:val="0"/>
        <w:spacing w:line="240" w:lineRule="auto"/>
        <w:ind w:lef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w:t>
      </w:r>
      <w:r>
        <w:rPr>
          <w:rFonts w:hint="eastAsia" w:ascii="仿宋" w:hAnsi="仿宋" w:eastAsia="仿宋" w:cs="仿宋"/>
          <w:color w:val="auto"/>
          <w:sz w:val="28"/>
          <w:szCs w:val="28"/>
          <w:highlight w:val="none"/>
          <w:lang w:val="en-US" w:eastAsia="zh-CN"/>
        </w:rPr>
        <w:t>部分</w:t>
      </w:r>
      <w:r>
        <w:rPr>
          <w:rFonts w:hint="eastAsia" w:ascii="仿宋" w:hAnsi="仿宋" w:eastAsia="仿宋" w:cs="仿宋"/>
          <w:color w:val="auto"/>
          <w:sz w:val="28"/>
          <w:szCs w:val="28"/>
          <w:highlight w:val="none"/>
        </w:rPr>
        <w:t xml:space="preserve"> 招标公告</w:t>
      </w:r>
      <w:bookmarkEnd w:id="7"/>
    </w:p>
    <w:p>
      <w:pPr>
        <w:pBdr>
          <w:top w:val="single" w:color="auto" w:sz="4" w:space="1"/>
          <w:left w:val="single" w:color="auto" w:sz="4" w:space="4"/>
          <w:bottom w:val="single" w:color="auto" w:sz="4" w:space="1"/>
          <w:right w:val="single" w:color="auto" w:sz="4" w:space="4"/>
        </w:pBdr>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pPr>
        <w:pBdr>
          <w:top w:val="single" w:color="auto" w:sz="4" w:space="1"/>
          <w:left w:val="single" w:color="auto" w:sz="4" w:space="4"/>
          <w:bottom w:val="single" w:color="auto" w:sz="4" w:space="1"/>
          <w:right w:val="single" w:color="auto" w:sz="4" w:space="4"/>
        </w:pBdr>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研学</w:t>
      </w:r>
      <w:r>
        <w:rPr>
          <w:rFonts w:hint="eastAsia" w:ascii="仿宋" w:hAnsi="仿宋" w:eastAsia="仿宋" w:cs="仿宋"/>
          <w:color w:val="auto"/>
          <w:sz w:val="24"/>
          <w:highlight w:val="none"/>
          <w:u w:val="single"/>
          <w:lang w:val="en-US" w:eastAsia="zh-CN"/>
        </w:rPr>
        <w:t>实践教育</w:t>
      </w:r>
      <w:r>
        <w:rPr>
          <w:rFonts w:hint="eastAsia" w:ascii="仿宋" w:hAnsi="仿宋" w:eastAsia="仿宋" w:cs="仿宋"/>
          <w:color w:val="auto"/>
          <w:sz w:val="24"/>
          <w:highlight w:val="none"/>
          <w:u w:val="single"/>
        </w:rPr>
        <w:t>营地咨询项目</w:t>
      </w:r>
      <w:r>
        <w:rPr>
          <w:rFonts w:hint="eastAsia" w:ascii="仿宋" w:hAnsi="仿宋" w:eastAsia="仿宋" w:cs="仿宋"/>
          <w:color w:val="auto"/>
          <w:sz w:val="24"/>
          <w:highlight w:val="none"/>
        </w:rPr>
        <w:t>的潜在投标人应在</w:t>
      </w:r>
      <w:r>
        <w:rPr>
          <w:rFonts w:hint="eastAsia" w:ascii="仿宋" w:hAnsi="仿宋" w:eastAsia="仿宋" w:cs="仿宋"/>
          <w:color w:val="auto"/>
          <w:sz w:val="24"/>
          <w:highlight w:val="none"/>
          <w:u w:val="single"/>
        </w:rPr>
        <w:t>新疆政府采购网</w:t>
      </w:r>
      <w:r>
        <w:rPr>
          <w:rFonts w:hint="eastAsia" w:ascii="仿宋" w:hAnsi="仿宋" w:eastAsia="仿宋" w:cs="仿宋"/>
          <w:color w:val="auto"/>
          <w:sz w:val="24"/>
          <w:highlight w:val="none"/>
        </w:rPr>
        <w:t>获取招标文件，并于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2023年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lang w:eastAsia="zh-CN"/>
        </w:rPr>
        <w:t xml:space="preserve"> 月</w:t>
      </w:r>
      <w:r>
        <w:rPr>
          <w:rFonts w:hint="eastAsia" w:ascii="仿宋" w:hAnsi="仿宋" w:eastAsia="仿宋" w:cs="仿宋"/>
          <w:color w:val="auto"/>
          <w:sz w:val="24"/>
          <w:highlight w:val="none"/>
          <w:u w:val="single"/>
          <w:lang w:val="en-US" w:eastAsia="zh-CN"/>
        </w:rPr>
        <w:t>07</w:t>
      </w:r>
      <w:r>
        <w:rPr>
          <w:rFonts w:hint="eastAsia" w:ascii="仿宋" w:hAnsi="仿宋" w:eastAsia="仿宋" w:cs="仿宋"/>
          <w:color w:val="auto"/>
          <w:sz w:val="24"/>
          <w:highlight w:val="none"/>
          <w:u w:val="single"/>
          <w:lang w:eastAsia="zh-CN"/>
        </w:rPr>
        <w:t>日</w:t>
      </w:r>
      <w:r>
        <w:rPr>
          <w:rFonts w:hint="eastAsia" w:ascii="仿宋" w:hAnsi="仿宋" w:eastAsia="仿宋" w:cs="仿宋"/>
          <w:color w:val="auto"/>
          <w:sz w:val="24"/>
          <w:highlight w:val="none"/>
          <w:u w:val="single"/>
          <w:lang w:val="en-US" w:eastAsia="zh-CN"/>
        </w:rPr>
        <w:t>16</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rPr>
        <w:t>前递交投标文件</w:t>
      </w:r>
      <w:r>
        <w:rPr>
          <w:rFonts w:hint="eastAsia" w:ascii="仿宋" w:hAnsi="仿宋" w:eastAsia="仿宋" w:cs="仿宋"/>
          <w:color w:val="auto"/>
          <w:sz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highlight w:val="none"/>
        </w:rPr>
      </w:pPr>
      <w:bookmarkStart w:id="9" w:name="_Toc35393621"/>
      <w:bookmarkStart w:id="10" w:name="_Toc35393790"/>
      <w:bookmarkStart w:id="11" w:name="_Toc28359079"/>
      <w:bookmarkStart w:id="12" w:name="_Toc28359002"/>
      <w:bookmarkStart w:id="13" w:name="_Hlk24379207"/>
      <w:r>
        <w:rPr>
          <w:rFonts w:hint="eastAsia" w:ascii="仿宋" w:hAnsi="仿宋" w:eastAsia="仿宋" w:cs="仿宋"/>
          <w:b/>
          <w:bCs/>
          <w:color w:val="auto"/>
          <w:sz w:val="24"/>
          <w:highlight w:val="none"/>
        </w:rPr>
        <w:t>一、项目基本情况</w:t>
      </w:r>
      <w:bookmarkEnd w:id="9"/>
      <w:bookmarkEnd w:id="10"/>
      <w:bookmarkEnd w:id="11"/>
      <w:bookmarkEnd w:id="12"/>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rPr>
        <w:t>项目编号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XJRJHCCS2023-004</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项目名称</w:t>
      </w:r>
      <w:r>
        <w:rPr>
          <w:rFonts w:hint="eastAsia" w:ascii="仿宋" w:hAnsi="仿宋" w:eastAsia="仿宋" w:cs="仿宋"/>
          <w:color w:val="auto"/>
          <w:sz w:val="24"/>
          <w:highlight w:val="none"/>
        </w:rPr>
        <w:t>：研学</w:t>
      </w:r>
      <w:r>
        <w:rPr>
          <w:rFonts w:hint="eastAsia" w:ascii="仿宋" w:hAnsi="仿宋" w:eastAsia="仿宋" w:cs="仿宋"/>
          <w:color w:val="auto"/>
          <w:sz w:val="24"/>
          <w:highlight w:val="none"/>
          <w:lang w:val="en-US" w:eastAsia="zh-CN"/>
        </w:rPr>
        <w:t>实践教育</w:t>
      </w:r>
      <w:r>
        <w:rPr>
          <w:rFonts w:hint="eastAsia" w:ascii="仿宋" w:hAnsi="仿宋" w:eastAsia="仿宋" w:cs="仿宋"/>
          <w:color w:val="auto"/>
          <w:sz w:val="24"/>
          <w:highlight w:val="none"/>
        </w:rPr>
        <w:t>营地咨询项目</w:t>
      </w:r>
    </w:p>
    <w:p>
      <w:pPr>
        <w:pStyle w:val="17"/>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szCs w:val="24"/>
          <w:highlight w:val="none"/>
        </w:rPr>
        <w:t>采购方式</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竞争性磋商</w:t>
      </w:r>
    </w:p>
    <w:bookmarkEnd w:id="13"/>
    <w:p>
      <w:pPr>
        <w:pStyle w:val="17"/>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color w:val="auto"/>
          <w:szCs w:val="24"/>
          <w:highlight w:val="none"/>
          <w:lang w:val="en-US" w:eastAsia="zh-CN"/>
        </w:rPr>
      </w:pPr>
      <w:bookmarkStart w:id="14" w:name="_Toc35393791"/>
      <w:bookmarkStart w:id="15" w:name="_Toc28359003"/>
      <w:bookmarkStart w:id="16" w:name="_Toc35393622"/>
      <w:bookmarkStart w:id="17" w:name="_Toc28359080"/>
      <w:r>
        <w:rPr>
          <w:rFonts w:hint="eastAsia" w:ascii="仿宋" w:hAnsi="仿宋" w:eastAsia="仿宋" w:cs="仿宋"/>
          <w:b/>
          <w:bCs/>
          <w:color w:val="auto"/>
          <w:szCs w:val="24"/>
          <w:highlight w:val="none"/>
          <w:lang w:val="en-US" w:eastAsia="zh-CN"/>
        </w:rPr>
        <w:t>预算金额</w:t>
      </w:r>
      <w:r>
        <w:rPr>
          <w:rFonts w:hint="eastAsia" w:ascii="仿宋" w:hAnsi="仿宋" w:eastAsia="仿宋" w:cs="仿宋"/>
          <w:color w:val="auto"/>
          <w:szCs w:val="24"/>
          <w:highlight w:val="none"/>
          <w:lang w:val="en-US" w:eastAsia="zh-CN"/>
        </w:rPr>
        <w:t>：172万元</w:t>
      </w:r>
      <w:r>
        <w:rPr>
          <w:rFonts w:hint="eastAsia" w:ascii="仿宋" w:hAnsi="仿宋" w:eastAsia="仿宋" w:cs="仿宋"/>
          <w:color w:val="auto"/>
          <w:szCs w:val="24"/>
          <w:highlight w:val="none"/>
          <w:lang w:val="en-US" w:eastAsia="zh-CN"/>
        </w:rPr>
        <w:br w:type="textWrapping"/>
      </w:r>
      <w:r>
        <w:rPr>
          <w:rFonts w:hint="eastAsia" w:ascii="仿宋" w:hAnsi="仿宋" w:eastAsia="仿宋" w:cs="仿宋"/>
          <w:b/>
          <w:bCs/>
          <w:color w:val="auto"/>
          <w:szCs w:val="24"/>
          <w:highlight w:val="none"/>
          <w:lang w:val="en-US" w:eastAsia="zh-CN"/>
        </w:rPr>
        <w:t>采购需求</w:t>
      </w:r>
      <w:r>
        <w:rPr>
          <w:rFonts w:hint="eastAsia" w:ascii="仿宋" w:hAnsi="仿宋" w:eastAsia="仿宋" w:cs="仿宋"/>
          <w:color w:val="auto"/>
          <w:szCs w:val="24"/>
          <w:highlight w:val="none"/>
          <w:lang w:val="en-US" w:eastAsia="zh-CN"/>
        </w:rPr>
        <w:t>：详见磋商文件。</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合同履行期限</w:t>
      </w:r>
      <w:r>
        <w:rPr>
          <w:rFonts w:hint="eastAsia" w:ascii="仿宋" w:hAnsi="仿宋" w:eastAsia="仿宋" w:cs="仿宋"/>
          <w:b w:val="0"/>
          <w:bCs w:val="0"/>
          <w:color w:val="auto"/>
          <w:kern w:val="2"/>
          <w:sz w:val="24"/>
          <w:szCs w:val="24"/>
          <w:highlight w:val="none"/>
          <w:lang w:val="en-US" w:eastAsia="zh-CN" w:bidi="ar-SA"/>
        </w:rPr>
        <w:t>：自合同签订之日起一年。</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本项目（ 否 ）接受联合体投标。</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申请人的资格要求：</w:t>
      </w:r>
      <w:bookmarkEnd w:id="14"/>
      <w:bookmarkEnd w:id="15"/>
      <w:bookmarkEnd w:id="16"/>
      <w:bookmarkEnd w:id="17"/>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color w:val="auto"/>
          <w:sz w:val="24"/>
          <w:highlight w:val="none"/>
          <w:lang w:val="en-US" w:eastAsia="zh-CN"/>
        </w:rPr>
      </w:pPr>
      <w:bookmarkStart w:id="18" w:name="_Toc28359082"/>
      <w:bookmarkStart w:id="19" w:name="_Toc35393624"/>
      <w:bookmarkStart w:id="20" w:name="_Toc28359005"/>
      <w:bookmarkStart w:id="21" w:name="_Toc35393793"/>
      <w:r>
        <w:rPr>
          <w:rFonts w:hint="eastAsia" w:ascii="仿宋" w:hAnsi="仿宋" w:eastAsia="仿宋" w:cs="仿宋"/>
          <w:b/>
          <w:bCs/>
          <w:color w:val="auto"/>
          <w:sz w:val="24"/>
          <w:highlight w:val="none"/>
          <w:lang w:val="en-US" w:eastAsia="zh-CN"/>
        </w:rPr>
        <w:t>1.基本资格要求：</w:t>
      </w:r>
      <w:r>
        <w:rPr>
          <w:rFonts w:hint="eastAsia" w:ascii="仿宋" w:hAnsi="仿宋" w:eastAsia="仿宋" w:cs="仿宋"/>
          <w:b w:val="0"/>
          <w:bCs w:val="0"/>
          <w:color w:val="auto"/>
          <w:sz w:val="24"/>
          <w:highlight w:val="none"/>
          <w:lang w:val="en-US" w:eastAsia="zh-CN"/>
        </w:rPr>
        <w:t>符合《中华人民共和国政府采购法》第二十二条的规定；</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bCs/>
          <w:color w:val="auto"/>
          <w:sz w:val="24"/>
          <w:highlight w:val="none"/>
          <w:lang w:val="en-US" w:eastAsia="zh-CN"/>
        </w:rPr>
        <w:t>2.落实政府采购政策需满足的资格要求：</w:t>
      </w:r>
      <w:r>
        <w:rPr>
          <w:rFonts w:hint="eastAsia" w:ascii="仿宋" w:hAnsi="仿宋" w:eastAsia="仿宋" w:cs="仿宋"/>
          <w:b w:val="0"/>
          <w:bCs w:val="0"/>
          <w:color w:val="auto"/>
          <w:sz w:val="24"/>
          <w:highlight w:val="none"/>
          <w:lang w:val="en-US" w:eastAsia="zh-CN"/>
        </w:rPr>
        <w:t>落实促进中小企业发展政策，供应商为中小企业。《政府采购促进中小企业发展管理办法》（财库〔2020〕46 号）、《关于政府采购支持监狱企业发展有关问题的通知》(财库〔2014〕68 号)、《关于促进残疾人就业政府采购政策的通知》（财库〔2017〕141 号)、《关于调整优化节能产品、环境标志产品政府采购执行机制的通知》（财库〔2019〕09 号)、《财政部关于印发环境标志产品政府采购品目清单的通知》（财库〔2019〕18 号）《关于印发节能产品政府采购品目清单的通知》（财库〔2019〕19 号）。</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3.本项目的特定资格要求：无。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三、获取采购文件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b/>
          <w:bCs/>
          <w:color w:val="auto"/>
          <w:sz w:val="24"/>
          <w:highlight w:val="none"/>
        </w:rPr>
        <w:t>  1.</w:t>
      </w:r>
      <w:r>
        <w:rPr>
          <w:rFonts w:hint="eastAsia" w:ascii="仿宋" w:hAnsi="仿宋" w:eastAsia="仿宋" w:cs="仿宋"/>
          <w:color w:val="auto"/>
          <w:kern w:val="0"/>
          <w:sz w:val="24"/>
          <w:szCs w:val="20"/>
          <w:highlight w:val="none"/>
        </w:rPr>
        <w:t> 时间：202</w:t>
      </w:r>
      <w:r>
        <w:rPr>
          <w:rFonts w:hint="eastAsia" w:ascii="仿宋" w:hAnsi="仿宋" w:eastAsia="仿宋" w:cs="仿宋"/>
          <w:color w:val="auto"/>
          <w:kern w:val="0"/>
          <w:sz w:val="24"/>
          <w:szCs w:val="20"/>
          <w:highlight w:val="none"/>
          <w:lang w:val="en-US" w:eastAsia="zh-CN"/>
        </w:rPr>
        <w:t>3</w:t>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lang w:val="en-US" w:eastAsia="zh-CN"/>
        </w:rPr>
        <w:t xml:space="preserve"> 10</w:t>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lang w:val="en-US" w:eastAsia="zh-CN"/>
        </w:rPr>
        <w:t>28</w:t>
      </w:r>
      <w:r>
        <w:rPr>
          <w:rFonts w:hint="eastAsia" w:ascii="仿宋" w:hAnsi="仿宋" w:eastAsia="仿宋" w:cs="仿宋"/>
          <w:color w:val="auto"/>
          <w:kern w:val="0"/>
          <w:sz w:val="24"/>
          <w:szCs w:val="20"/>
          <w:highlight w:val="none"/>
        </w:rPr>
        <w:t>日至202</w:t>
      </w:r>
      <w:r>
        <w:rPr>
          <w:rFonts w:hint="eastAsia" w:ascii="仿宋" w:hAnsi="仿宋" w:eastAsia="仿宋" w:cs="仿宋"/>
          <w:color w:val="auto"/>
          <w:kern w:val="0"/>
          <w:sz w:val="24"/>
          <w:szCs w:val="20"/>
          <w:highlight w:val="none"/>
          <w:lang w:val="en-US" w:eastAsia="zh-CN"/>
        </w:rPr>
        <w:t>3</w:t>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lang w:val="en-US" w:eastAsia="zh-CN"/>
        </w:rPr>
        <w:t xml:space="preserve">11 </w:t>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lang w:val="en-US" w:eastAsia="zh-CN"/>
        </w:rPr>
        <w:t>06</w:t>
      </w:r>
      <w:r>
        <w:rPr>
          <w:rFonts w:hint="eastAsia" w:ascii="仿宋" w:hAnsi="仿宋" w:eastAsia="仿宋" w:cs="仿宋"/>
          <w:color w:val="auto"/>
          <w:kern w:val="0"/>
          <w:sz w:val="24"/>
          <w:szCs w:val="20"/>
          <w:highlight w:val="none"/>
        </w:rPr>
        <w:t>日，每天上午</w:t>
      </w:r>
      <w:r>
        <w:rPr>
          <w:rFonts w:hint="eastAsia" w:ascii="仿宋" w:hAnsi="仿宋" w:eastAsia="仿宋" w:cs="仿宋"/>
          <w:color w:val="auto"/>
          <w:kern w:val="0"/>
          <w:sz w:val="24"/>
          <w:szCs w:val="20"/>
          <w:highlight w:val="none"/>
          <w:lang w:val="en-US" w:eastAsia="zh-CN"/>
        </w:rPr>
        <w:t>00</w:t>
      </w:r>
      <w:r>
        <w:rPr>
          <w:rFonts w:hint="eastAsia" w:ascii="仿宋" w:hAnsi="仿宋" w:eastAsia="仿宋" w:cs="仿宋"/>
          <w:color w:val="auto"/>
          <w:kern w:val="0"/>
          <w:sz w:val="24"/>
          <w:szCs w:val="20"/>
          <w:highlight w:val="none"/>
        </w:rPr>
        <w:t>:00至1</w:t>
      </w:r>
      <w:r>
        <w:rPr>
          <w:rFonts w:hint="eastAsia" w:ascii="仿宋" w:hAnsi="仿宋" w:eastAsia="仿宋" w:cs="仿宋"/>
          <w:color w:val="auto"/>
          <w:kern w:val="0"/>
          <w:sz w:val="24"/>
          <w:szCs w:val="20"/>
          <w:highlight w:val="none"/>
          <w:lang w:val="en-US" w:eastAsia="zh-CN"/>
        </w:rPr>
        <w:t>2</w:t>
      </w:r>
      <w:r>
        <w:rPr>
          <w:rFonts w:hint="eastAsia" w:ascii="仿宋" w:hAnsi="仿宋" w:eastAsia="仿宋" w:cs="仿宋"/>
          <w:color w:val="auto"/>
          <w:kern w:val="0"/>
          <w:sz w:val="24"/>
          <w:szCs w:val="20"/>
          <w:highlight w:val="none"/>
        </w:rPr>
        <w:t>:00，下午</w:t>
      </w:r>
      <w:r>
        <w:rPr>
          <w:rFonts w:hint="eastAsia" w:ascii="仿宋" w:hAnsi="仿宋" w:eastAsia="仿宋" w:cs="仿宋"/>
          <w:color w:val="auto"/>
          <w:kern w:val="0"/>
          <w:sz w:val="24"/>
          <w:szCs w:val="20"/>
          <w:highlight w:val="none"/>
          <w:lang w:val="en-US" w:eastAsia="zh-CN"/>
        </w:rPr>
        <w:t>12</w:t>
      </w:r>
      <w:r>
        <w:rPr>
          <w:rFonts w:hint="eastAsia" w:ascii="仿宋" w:hAnsi="仿宋" w:eastAsia="仿宋" w:cs="仿宋"/>
          <w:color w:val="auto"/>
          <w:kern w:val="0"/>
          <w:sz w:val="24"/>
          <w:szCs w:val="20"/>
          <w:highlight w:val="none"/>
        </w:rPr>
        <w:t>:00至</w:t>
      </w:r>
      <w:r>
        <w:rPr>
          <w:rFonts w:hint="eastAsia" w:ascii="仿宋" w:hAnsi="仿宋" w:eastAsia="仿宋" w:cs="仿宋"/>
          <w:color w:val="auto"/>
          <w:kern w:val="0"/>
          <w:sz w:val="24"/>
          <w:szCs w:val="20"/>
          <w:highlight w:val="none"/>
          <w:lang w:val="en-US" w:eastAsia="zh-CN"/>
        </w:rPr>
        <w:t>23:59</w:t>
      </w:r>
      <w:r>
        <w:rPr>
          <w:rFonts w:hint="eastAsia" w:ascii="仿宋" w:hAnsi="仿宋" w:eastAsia="仿宋" w:cs="仿宋"/>
          <w:color w:val="auto"/>
          <w:kern w:val="0"/>
          <w:sz w:val="24"/>
          <w:szCs w:val="20"/>
          <w:highlight w:val="none"/>
        </w:rPr>
        <w:t>（北京时间，法定节假日除外）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2.地点：新疆政府采购网政采云平台（www.zcygov.cn）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3.方式：线上获取，供应商登录政采云账户,在线申请获取采购文件（登录政府采购云平台→采购项目→获取采购文件→申请，审核通过后可下载采购文件，如有操作性问题，可与政采云在线客服进行咨询，咨询电话</w:t>
      </w:r>
      <w:r>
        <w:rPr>
          <w:rFonts w:hint="eastAsia" w:ascii="仿宋" w:hAnsi="仿宋" w:eastAsia="仿宋" w:cs="仿宋"/>
          <w:color w:val="auto"/>
          <w:kern w:val="0"/>
          <w:sz w:val="24"/>
          <w:szCs w:val="20"/>
          <w:highlight w:val="none"/>
          <w:lang w:val="en-US" w:eastAsia="zh-CN"/>
        </w:rPr>
        <w:t>95763</w:t>
      </w:r>
      <w:r>
        <w:rPr>
          <w:rFonts w:hint="eastAsia" w:ascii="仿宋" w:hAnsi="仿宋" w:eastAsia="仿宋" w:cs="仿宋"/>
          <w:color w:val="auto"/>
          <w:kern w:val="0"/>
          <w:sz w:val="24"/>
          <w:szCs w:val="20"/>
          <w:highlight w:val="none"/>
        </w:rPr>
        <w:t>）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18"/>
      <w:bookmarkEnd w:id="19"/>
      <w:bookmarkEnd w:id="20"/>
      <w:bookmarkEnd w:id="21"/>
      <w:r>
        <w:rPr>
          <w:rFonts w:hint="eastAsia" w:ascii="仿宋" w:hAnsi="仿宋" w:eastAsia="仿宋" w:cs="仿宋"/>
          <w:b/>
          <w:bCs/>
          <w:color w:val="auto"/>
          <w:sz w:val="24"/>
          <w:highlight w:val="none"/>
        </w:rPr>
        <w:t>提交投标文件截止时间、开标时间和地点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提交投标文件截止时间：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07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 xml:space="preserve"> 下午16:00分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w:t>
      </w:r>
      <w:bookmarkStart w:id="22" w:name="_Toc35393794"/>
      <w:bookmarkStart w:id="23" w:name="_Toc28359084"/>
      <w:bookmarkStart w:id="24" w:name="_Toc35393625"/>
      <w:bookmarkStart w:id="25" w:name="_Toc28359007"/>
      <w:r>
        <w:rPr>
          <w:rFonts w:hint="eastAsia" w:ascii="仿宋" w:hAnsi="仿宋" w:eastAsia="仿宋" w:cs="仿宋"/>
          <w:color w:val="auto"/>
          <w:sz w:val="24"/>
          <w:highlight w:val="none"/>
        </w:rPr>
        <w:t>新疆政府采购网政采云平台（www.zcygov.cn）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highlight w:val="none"/>
          <w:u w:val="single"/>
          <w:lang w:val="en-US" w:eastAsia="zh-CN"/>
        </w:rPr>
      </w:pPr>
      <w:r>
        <w:rPr>
          <w:rFonts w:hint="eastAsia" w:ascii="仿宋" w:hAnsi="仿宋" w:eastAsia="仿宋" w:cs="仿宋"/>
          <w:bCs/>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07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 xml:space="preserve"> 下午16:00分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开标地点：新疆政府采购网政采云平台（www.zcygov.cn）</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2"/>
      <w:bookmarkEnd w:id="23"/>
      <w:bookmarkEnd w:id="24"/>
      <w:bookmarkEnd w:id="2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highlight w:val="none"/>
        </w:rPr>
      </w:pPr>
      <w:bookmarkStart w:id="26" w:name="_Toc35393795"/>
      <w:bookmarkStart w:id="27" w:name="_Toc35393626"/>
      <w:r>
        <w:rPr>
          <w:rFonts w:hint="eastAsia" w:ascii="仿宋" w:hAnsi="仿宋" w:eastAsia="仿宋" w:cs="仿宋"/>
          <w:b/>
          <w:bCs/>
          <w:color w:val="auto"/>
          <w:sz w:val="24"/>
          <w:highlight w:val="none"/>
        </w:rPr>
        <w:t>六、其他补充事宜</w:t>
      </w:r>
      <w:bookmarkEnd w:id="26"/>
      <w:bookmarkEnd w:id="27"/>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bookmarkStart w:id="28" w:name="_Toc35393796"/>
      <w:bookmarkStart w:id="29" w:name="_Toc28359085"/>
      <w:bookmarkStart w:id="30" w:name="_Toc28359008"/>
      <w:bookmarkStart w:id="31" w:name="_Toc35393627"/>
      <w:r>
        <w:rPr>
          <w:rFonts w:hint="eastAsia" w:ascii="仿宋" w:hAnsi="仿宋" w:eastAsia="仿宋" w:cs="仿宋"/>
          <w:color w:val="auto"/>
          <w:kern w:val="0"/>
          <w:sz w:val="24"/>
          <w:szCs w:val="20"/>
          <w:highlight w:val="none"/>
        </w:rPr>
        <w:t>1、本项目采用全流程不见面电子开评标，供应商在开标前应确保成为新疆政府采购网正式注册入库供应商，并完成 CA 数字证书申领。因未注册入库、未办理 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lang w:val="en-US" w:eastAsia="zh-CN"/>
        </w:rPr>
        <w:t>2、</w:t>
      </w:r>
      <w:r>
        <w:rPr>
          <w:rFonts w:hint="eastAsia" w:ascii="仿宋" w:hAnsi="仿宋" w:eastAsia="仿宋" w:cs="仿宋"/>
          <w:color w:val="auto"/>
          <w:kern w:val="0"/>
          <w:sz w:val="24"/>
          <w:szCs w:val="20"/>
          <w:highlight w:val="none"/>
        </w:rPr>
        <w:t>供应商可通过新疆数字证书认证中心官网（https://www.xjca.com.cn/）或下载“新疆政务通”APP 自行进行 CA 数字证书申领，也可与新疆 CA 全疆服务机构联系现场办理 CA 数字证书，具体流程请前往新疆政府采购网（http://www.ccgp-xinjiang.gov.cn/）办事指南模块查看《CA 证书办理操作指南》。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3、本项目实行网上投标，采用加密电子投标文件(供应商须使用 CA 加密设备通过政采云电子投标客户端制作投标文件)。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4、供应商编制电子投标文件应安装“电子招投标供应商投标客户端”软件，并按照本采购文件和政采云投标客户端的要求编制并加密投标文件。未按规定加密的投标文件，将被电子招投标供应商客户端拒收。“电子招投标供应商投标客户端”请至新疆政府采购网下载专区获取，如有问题可拨打政采云客户服务热线 95763 进行咨询。</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5、供应商在开标时须使用制作加密电子投标文件所使用的 CA 锁及电脑，电脑须提前配置好浏览器（建议使用谷歌浏览器），以便开标时解锁。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6、供应商对不见面开评 标 系 统 的 技 术 操 作 咨 询 ， 可 通 过https://edu.zcygov.cn/luban/xinjiang-e-biding 自助查询，也可在政采云帮助中心 常 见 问 题 解 答 和 操 作 流 程 讲 解 视 频 中 自 助 查 询 ， 网 址 为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https://service.zcygov.cn/#/help，“项目采购”—“操作流程-电子招投标”—“政府采购项目电子交易管理操作指南-供应商”版面获取操作指南。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lang w:val="en-US" w:eastAsia="zh-CN"/>
        </w:rPr>
      </w:pPr>
      <w:r>
        <w:rPr>
          <w:rFonts w:hint="eastAsia" w:ascii="仿宋" w:hAnsi="仿宋" w:eastAsia="仿宋" w:cs="仿宋"/>
          <w:color w:val="auto"/>
          <w:kern w:val="0"/>
          <w:sz w:val="24"/>
          <w:szCs w:val="20"/>
          <w:highlight w:val="none"/>
        </w:rPr>
        <w:t>7、为了保证开评标顺利进行，政采云线上开标功能完全实现，供应商开标所使用的电脑设备须具有视频及语音功能。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特别提示：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超过200万元的货物和服务采购项目、超过400万元的工程采购项目中适宜由中小企业提供的，预留该部分采购项目预算总额的40%以上专门面向中小企业采购，其中预留给小微企业的比例不低于</w:t>
      </w:r>
      <w:r>
        <w:rPr>
          <w:rFonts w:hint="eastAsia" w:ascii="仿宋" w:hAnsi="仿宋" w:eastAsia="仿宋" w:cs="仿宋"/>
          <w:color w:val="auto"/>
          <w:kern w:val="0"/>
          <w:sz w:val="24"/>
          <w:szCs w:val="20"/>
          <w:highlight w:val="none"/>
          <w:lang w:val="en-US" w:eastAsia="zh-CN"/>
        </w:rPr>
        <w:t>7</w:t>
      </w:r>
      <w:r>
        <w:rPr>
          <w:rFonts w:hint="eastAsia" w:ascii="仿宋" w:hAnsi="仿宋" w:eastAsia="仿宋" w:cs="仿宋"/>
          <w:color w:val="auto"/>
          <w:kern w:val="0"/>
          <w:sz w:val="24"/>
          <w:szCs w:val="20"/>
          <w:highlight w:val="none"/>
        </w:rPr>
        <w:t>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0"/>
          <w:highlight w:val="none"/>
          <w:lang w:val="zh-CN"/>
        </w:rPr>
      </w:pPr>
      <w:r>
        <w:rPr>
          <w:rFonts w:hint="eastAsia" w:ascii="仿宋" w:hAnsi="仿宋" w:eastAsia="仿宋" w:cs="仿宋"/>
          <w:color w:val="auto"/>
          <w:kern w:val="0"/>
          <w:sz w:val="24"/>
          <w:szCs w:val="20"/>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w:t>
      </w:r>
      <w:r>
        <w:rPr>
          <w:rFonts w:hint="eastAsia" w:ascii="仿宋" w:hAnsi="仿宋" w:eastAsia="仿宋" w:cs="仿宋"/>
          <w:color w:val="auto"/>
          <w:kern w:val="0"/>
          <w:sz w:val="24"/>
          <w:highlight w:val="none"/>
        </w:rPr>
        <w:t> </w:t>
      </w:r>
    </w:p>
    <w:p>
      <w:pPr>
        <w:widowControl/>
        <w:spacing w:line="288"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w:t>
      </w:r>
      <w:bookmarkEnd w:id="28"/>
      <w:bookmarkEnd w:id="29"/>
      <w:bookmarkEnd w:id="30"/>
      <w:bookmarkEnd w:id="31"/>
      <w:r>
        <w:rPr>
          <w:rFonts w:hint="eastAsia" w:ascii="仿宋" w:hAnsi="仿宋" w:eastAsia="仿宋" w:cs="仿宋"/>
          <w:b/>
          <w:bCs/>
          <w:color w:val="auto"/>
          <w:sz w:val="24"/>
          <w:highlight w:val="none"/>
        </w:rPr>
        <w:t>对本次采购提出询问，请按以下方式联系</w:t>
      </w:r>
    </w:p>
    <w:p>
      <w:pPr>
        <w:widowControl/>
        <w:spacing w:line="288"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1.采购人信息</w:t>
      </w:r>
    </w:p>
    <w:p>
      <w:pPr>
        <w:spacing w:line="288"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名称：博尔塔拉职业技术学院</w:t>
      </w:r>
    </w:p>
    <w:p>
      <w:pPr>
        <w:spacing w:line="288" w:lineRule="auto"/>
        <w:ind w:left="1079" w:leftChars="371" w:hanging="300" w:hangingChars="125"/>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rPr>
        <w:t>地址：</w:t>
      </w:r>
      <w:bookmarkStart w:id="32" w:name="_Toc28359086"/>
      <w:bookmarkStart w:id="33" w:name="_Toc28359009"/>
      <w:r>
        <w:rPr>
          <w:rFonts w:hint="eastAsia" w:ascii="仿宋" w:hAnsi="仿宋" w:eastAsia="仿宋" w:cs="仿宋"/>
          <w:color w:val="auto"/>
          <w:sz w:val="24"/>
          <w:highlight w:val="none"/>
        </w:rPr>
        <w:t>新疆博州博乐市赛里木湖路14号</w:t>
      </w:r>
    </w:p>
    <w:p>
      <w:pPr>
        <w:spacing w:line="288" w:lineRule="auto"/>
        <w:ind w:left="1079" w:leftChars="371" w:hanging="300" w:hangingChars="125"/>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联系方式：0909</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2316127</w:t>
      </w:r>
    </w:p>
    <w:p>
      <w:pPr>
        <w:spacing w:line="288" w:lineRule="auto"/>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32"/>
      <w:bookmarkEnd w:id="33"/>
    </w:p>
    <w:p>
      <w:pPr>
        <w:spacing w:line="288" w:lineRule="auto"/>
        <w:ind w:firstLine="720" w:firstLineChars="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新疆润锦宏昌工程管理服务有限公司</w:t>
      </w:r>
    </w:p>
    <w:p>
      <w:pPr>
        <w:spacing w:line="288"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地址：博乐市隆泉大厦17楼1706室</w:t>
      </w:r>
    </w:p>
    <w:p>
      <w:pPr>
        <w:spacing w:line="288"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周丽君</w:t>
      </w:r>
      <w:r>
        <w:rPr>
          <w:rFonts w:hint="eastAsia" w:ascii="仿宋" w:hAnsi="仿宋" w:eastAsia="仿宋" w:cs="仿宋"/>
          <w:color w:val="auto"/>
          <w:sz w:val="24"/>
          <w:highlight w:val="none"/>
        </w:rPr>
        <w:t xml:space="preserve"> </w:t>
      </w:r>
    </w:p>
    <w:p>
      <w:pPr>
        <w:spacing w:line="288"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0909-2299002</w:t>
      </w:r>
    </w:p>
    <w:p>
      <w:pPr>
        <w:ind w:right="84" w:rightChars="40"/>
        <w:jc w:val="center"/>
        <w:rPr>
          <w:rFonts w:hint="eastAsia" w:ascii="仿宋" w:hAnsi="仿宋" w:eastAsia="仿宋" w:cs="仿宋"/>
          <w:b/>
          <w:bCs/>
          <w:color w:val="auto"/>
          <w:sz w:val="28"/>
          <w:szCs w:val="18"/>
          <w:highlight w:val="none"/>
        </w:rPr>
      </w:pPr>
    </w:p>
    <w:p>
      <w:pPr>
        <w:pStyle w:val="2"/>
        <w:spacing w:line="400" w:lineRule="atLeast"/>
        <w:ind w:right="84" w:rightChars="40"/>
        <w:rPr>
          <w:rFonts w:hint="eastAsia" w:ascii="仿宋" w:hAnsi="仿宋" w:eastAsia="仿宋" w:cs="仿宋"/>
          <w:b/>
          <w:color w:val="auto"/>
          <w:highlight w:val="none"/>
        </w:rPr>
      </w:pPr>
    </w:p>
    <w:p>
      <w:pPr>
        <w:spacing w:line="400" w:lineRule="atLeast"/>
        <w:ind w:right="84" w:rightChars="40"/>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pPr>
        <w:pStyle w:val="3"/>
        <w:numPr>
          <w:ilvl w:val="0"/>
          <w:numId w:val="0"/>
        </w:numPr>
        <w:ind w:right="84" w:rightChars="40"/>
        <w:jc w:val="center"/>
        <w:rPr>
          <w:rFonts w:hint="eastAsia" w:ascii="仿宋" w:hAnsi="仿宋" w:eastAsia="仿宋" w:cs="仿宋"/>
          <w:color w:val="auto"/>
          <w:sz w:val="32"/>
          <w:szCs w:val="32"/>
          <w:highlight w:val="none"/>
        </w:rPr>
      </w:pPr>
      <w:bookmarkStart w:id="34" w:name="_Toc349637918"/>
      <w:bookmarkStart w:id="35" w:name="_Toc267301280"/>
      <w:bookmarkStart w:id="36" w:name="_Toc349573119"/>
      <w:bookmarkStart w:id="37" w:name="_Toc3484"/>
      <w:bookmarkStart w:id="38" w:name="_Toc298240403"/>
      <w:r>
        <w:rPr>
          <w:rFonts w:hint="eastAsia" w:ascii="仿宋" w:hAnsi="仿宋" w:eastAsia="仿宋" w:cs="仿宋"/>
          <w:color w:val="auto"/>
          <w:sz w:val="32"/>
          <w:szCs w:val="32"/>
          <w:highlight w:val="none"/>
        </w:rPr>
        <w:t>第二部分  供应商须知</w:t>
      </w:r>
      <w:bookmarkEnd w:id="34"/>
      <w:bookmarkEnd w:id="35"/>
      <w:bookmarkEnd w:id="36"/>
      <w:bookmarkEnd w:id="37"/>
      <w:bookmarkEnd w:id="38"/>
    </w:p>
    <w:p>
      <w:pPr>
        <w:pStyle w:val="4"/>
        <w:spacing w:before="0" w:after="100" w:afterAutospacing="1" w:line="400" w:lineRule="atLeast"/>
        <w:ind w:right="84" w:rightChars="40"/>
        <w:jc w:val="center"/>
        <w:rPr>
          <w:rFonts w:hint="eastAsia" w:ascii="仿宋" w:hAnsi="仿宋" w:eastAsia="仿宋" w:cs="仿宋"/>
          <w:color w:val="auto"/>
          <w:sz w:val="28"/>
          <w:szCs w:val="28"/>
          <w:highlight w:val="none"/>
        </w:rPr>
      </w:pPr>
      <w:bookmarkStart w:id="39" w:name="_Toc298240404"/>
      <w:bookmarkStart w:id="40" w:name="_Toc349637919"/>
      <w:bookmarkStart w:id="41" w:name="_Toc23070"/>
      <w:bookmarkStart w:id="42" w:name="_Toc349573120"/>
      <w:bookmarkStart w:id="43" w:name="_Toc267301281"/>
      <w:r>
        <w:rPr>
          <w:rFonts w:hint="eastAsia" w:ascii="仿宋" w:hAnsi="仿宋" w:eastAsia="仿宋" w:cs="仿宋"/>
          <w:color w:val="auto"/>
          <w:sz w:val="28"/>
          <w:szCs w:val="28"/>
          <w:highlight w:val="none"/>
        </w:rPr>
        <w:t>供应商须知附表</w:t>
      </w:r>
      <w:bookmarkEnd w:id="39"/>
      <w:bookmarkEnd w:id="40"/>
      <w:bookmarkEnd w:id="41"/>
      <w:bookmarkEnd w:id="42"/>
      <w:bookmarkEnd w:id="43"/>
    </w:p>
    <w:tbl>
      <w:tblPr>
        <w:tblStyle w:val="38"/>
        <w:tblW w:w="100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92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采购项目名称：研学</w:t>
            </w:r>
            <w:r>
              <w:rPr>
                <w:rFonts w:hint="eastAsia" w:ascii="仿宋" w:hAnsi="仿宋" w:eastAsia="仿宋" w:cs="仿宋"/>
                <w:color w:val="auto"/>
                <w:sz w:val="24"/>
                <w:szCs w:val="24"/>
                <w:highlight w:val="none"/>
                <w:lang w:val="en-US" w:eastAsia="zh-CN"/>
              </w:rPr>
              <w:t>实践教育</w:t>
            </w:r>
            <w:r>
              <w:rPr>
                <w:rFonts w:hint="eastAsia" w:ascii="仿宋" w:hAnsi="仿宋" w:eastAsia="仿宋" w:cs="仿宋"/>
                <w:color w:val="auto"/>
                <w:sz w:val="24"/>
                <w:szCs w:val="24"/>
                <w:highlight w:val="none"/>
              </w:rPr>
              <w:t>营地咨询项目</w:t>
            </w:r>
          </w:p>
          <w:p>
            <w:pPr>
              <w:ind w:right="84" w:rightChars="4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lang w:eastAsia="zh-CN"/>
              </w:rPr>
              <w:t>XJRJHCCS2023-004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名称：博尔塔拉职业技术学院</w:t>
            </w:r>
          </w:p>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址：新疆博州博乐市赛里木湖路14号</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电话: 0909-2316127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新疆润锦宏昌工程管理服务有限公司</w:t>
            </w:r>
          </w:p>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周丽君</w:t>
            </w:r>
          </w:p>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0909-2299002</w:t>
            </w:r>
          </w:p>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地址：博乐市隆泉大厦17楼1706室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磋商范围：研学</w:t>
            </w:r>
            <w:r>
              <w:rPr>
                <w:rFonts w:hint="eastAsia" w:ascii="仿宋" w:hAnsi="仿宋" w:eastAsia="仿宋" w:cs="仿宋"/>
                <w:color w:val="auto"/>
                <w:sz w:val="24"/>
                <w:szCs w:val="24"/>
                <w:highlight w:val="none"/>
                <w:lang w:val="en-US" w:eastAsia="zh-CN"/>
              </w:rPr>
              <w:t>实践教育</w:t>
            </w:r>
            <w:r>
              <w:rPr>
                <w:rFonts w:hint="eastAsia" w:ascii="仿宋" w:hAnsi="仿宋" w:eastAsia="仿宋" w:cs="仿宋"/>
                <w:color w:val="auto"/>
                <w:sz w:val="24"/>
                <w:szCs w:val="24"/>
                <w:highlight w:val="none"/>
              </w:rPr>
              <w:t>营地咨询项目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服务质量标准：符合国家有关规范和标准要求，满足磋商文件要求。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b w:val="0"/>
                <w:bCs w:val="0"/>
                <w:color w:val="auto"/>
                <w:kern w:val="2"/>
                <w:sz w:val="24"/>
                <w:szCs w:val="24"/>
                <w:highlight w:val="none"/>
                <w:lang w:val="en-US" w:eastAsia="zh-CN" w:bidi="ar-SA"/>
              </w:rPr>
              <w:t>自合同签订之日起一年</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联合体参与磋商：不接受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磋商文件答疑和澄清：供应商对于需要澄清答疑的问题，应于磋商截止日5日前</w:t>
            </w:r>
            <w:r>
              <w:rPr>
                <w:rFonts w:hint="eastAsia" w:ascii="仿宋" w:hAnsi="仿宋" w:eastAsia="仿宋" w:cs="仿宋"/>
                <w:color w:val="auto"/>
                <w:sz w:val="24"/>
                <w:szCs w:val="24"/>
                <w:highlight w:val="none"/>
                <w:lang w:eastAsia="zh-CN"/>
              </w:rPr>
              <w:t>政采云平台提出</w:t>
            </w:r>
            <w:r>
              <w:rPr>
                <w:rFonts w:hint="eastAsia" w:ascii="仿宋" w:hAnsi="仿宋" w:eastAsia="仿宋" w:cs="仿宋"/>
                <w:color w:val="auto"/>
                <w:sz w:val="24"/>
                <w:szCs w:val="24"/>
                <w:highlight w:val="none"/>
              </w:rPr>
              <w:t>（逾期的问题不再予以答复），采购人将对供应商所提问题根据情况予以答复。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b/>
                <w:bCs/>
                <w:color w:val="auto"/>
                <w:sz w:val="24"/>
                <w:szCs w:val="24"/>
                <w:highlight w:val="none"/>
              </w:rPr>
            </w:pPr>
            <w:r>
              <w:rPr>
                <w:rFonts w:hint="eastAsia" w:ascii="仿宋" w:hAnsi="仿宋" w:eastAsia="仿宋" w:cs="仿宋"/>
                <w:b/>
                <w:bCs/>
                <w:color w:val="auto"/>
                <w:highlight w:val="none"/>
              </w:rPr>
              <w:t>采</w:t>
            </w:r>
            <w:r>
              <w:rPr>
                <w:rFonts w:hint="eastAsia" w:ascii="仿宋" w:hAnsi="仿宋" w:eastAsia="仿宋" w:cs="仿宋"/>
                <w:b/>
                <w:bCs/>
                <w:color w:val="auto"/>
                <w:sz w:val="24"/>
                <w:szCs w:val="24"/>
                <w:highlight w:val="none"/>
              </w:rPr>
              <w:t>购预算（最高限价）：</w:t>
            </w:r>
            <w:r>
              <w:rPr>
                <w:rFonts w:hint="eastAsia" w:ascii="仿宋" w:hAnsi="仿宋" w:eastAsia="仿宋" w:cs="仿宋"/>
                <w:b/>
                <w:bCs/>
                <w:color w:val="auto"/>
                <w:sz w:val="24"/>
                <w:szCs w:val="24"/>
                <w:highlight w:val="none"/>
                <w:lang w:val="en-US" w:eastAsia="zh-CN"/>
              </w:rPr>
              <w:t>1720000.00元</w:t>
            </w:r>
            <w:r>
              <w:rPr>
                <w:rFonts w:hint="eastAsia" w:ascii="仿宋" w:hAnsi="仿宋" w:eastAsia="仿宋" w:cs="仿宋"/>
                <w:b/>
                <w:bCs/>
                <w:color w:val="auto"/>
                <w:sz w:val="24"/>
                <w:szCs w:val="24"/>
                <w:highlight w:val="none"/>
              </w:rPr>
              <w:t>，供应商不得超过此预算价，否则做无效标处理。</w:t>
            </w:r>
          </w:p>
          <w:p>
            <w:pPr>
              <w:ind w:right="84" w:rightChars="4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本项目所属行业：教育服务业</w:t>
            </w:r>
          </w:p>
          <w:p>
            <w:pPr>
              <w:ind w:right="84" w:rightChars="40"/>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是否允许采购进口产品：不允许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符合《中华人民共和国政府采购法》第二十二条规定：</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(1)具有独立承担民事责任的能力: 提供有效的营业执照;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（2）具有履行合同所必需的设备和专业技术能力: 提供相关文件证明;</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(3)参加政府采购活动前三年内，在经营活动中没有重大违法记录，提供无重大违法记录声明函。</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二、法定代表人授权委托书；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磋商保证金：</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磋商响应有效期：提交磋商响应文件截止之日起开始计算，期限为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评标方法及标准：综合评分法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磋商响应文件：请登录政采云投标客户端投标</w:t>
            </w:r>
            <w:r>
              <w:rPr>
                <w:rFonts w:hint="eastAsia" w:ascii="仿宋" w:hAnsi="仿宋" w:eastAsia="仿宋" w:cs="仿宋"/>
                <w:color w:val="auto"/>
                <w:sz w:val="24"/>
                <w:szCs w:val="24"/>
                <w:highlight w:val="none"/>
                <w:lang w:eastAsia="zh-CN"/>
              </w:rPr>
              <w:t>。</w:t>
            </w:r>
          </w:p>
          <w:p>
            <w:pPr>
              <w:ind w:right="84" w:rightChars="4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备注：</w:t>
            </w:r>
            <w:r>
              <w:rPr>
                <w:rFonts w:hint="eastAsia" w:ascii="仿宋" w:hAnsi="仿宋" w:eastAsia="仿宋" w:cs="仿宋"/>
                <w:b/>
                <w:bCs/>
                <w:color w:val="auto"/>
                <w:sz w:val="24"/>
                <w:szCs w:val="24"/>
                <w:highlight w:val="none"/>
                <w:lang w:val="en-US" w:eastAsia="zh-CN"/>
              </w:rPr>
              <w:t>开标后各投标供应商</w:t>
            </w:r>
            <w:r>
              <w:rPr>
                <w:rFonts w:hint="eastAsia" w:ascii="仿宋" w:hAnsi="仿宋" w:eastAsia="仿宋" w:cs="仿宋"/>
                <w:b/>
                <w:bCs/>
                <w:color w:val="auto"/>
                <w:sz w:val="24"/>
                <w:szCs w:val="24"/>
                <w:highlight w:val="none"/>
                <w:lang w:eastAsia="zh-CN"/>
              </w:rPr>
              <w:t>需提交</w:t>
            </w:r>
            <w:r>
              <w:rPr>
                <w:rFonts w:hint="eastAsia" w:ascii="仿宋" w:hAnsi="仿宋" w:eastAsia="仿宋" w:cs="仿宋"/>
                <w:b/>
                <w:bCs/>
                <w:color w:val="auto"/>
                <w:sz w:val="24"/>
                <w:szCs w:val="24"/>
                <w:highlight w:val="none"/>
              </w:rPr>
              <w:t>正本一份、副本</w:t>
            </w: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份</w:t>
            </w:r>
            <w:r>
              <w:rPr>
                <w:rFonts w:hint="eastAsia" w:ascii="仿宋" w:hAnsi="仿宋" w:eastAsia="仿宋" w:cs="仿宋"/>
                <w:b/>
                <w:bCs/>
                <w:color w:val="auto"/>
                <w:sz w:val="24"/>
                <w:szCs w:val="24"/>
                <w:highlight w:val="none"/>
                <w:lang w:eastAsia="zh-CN"/>
              </w:rPr>
              <w:t>纸质版响应文件</w:t>
            </w:r>
            <w:r>
              <w:rPr>
                <w:rFonts w:hint="eastAsia" w:ascii="仿宋" w:hAnsi="仿宋" w:eastAsia="仿宋" w:cs="仿宋"/>
                <w:b/>
                <w:bCs/>
                <w:color w:val="auto"/>
                <w:sz w:val="24"/>
                <w:szCs w:val="24"/>
                <w:highlight w:val="none"/>
              </w:rPr>
              <w:t>递交采购代理机构。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投标供应商应当在投标截止时间前，将政采云投标客户端生成的电子加密标书（文件名后缀.jmbs）上传至政采云平台。</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rPr>
              <w:t>磋商响应文件递交截止时间：2023年</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07</w:t>
            </w:r>
            <w:r>
              <w:rPr>
                <w:rFonts w:hint="eastAsia" w:ascii="仿宋" w:hAnsi="仿宋" w:eastAsia="仿宋" w:cs="仿宋"/>
                <w:b/>
                <w:bCs/>
                <w:color w:val="auto"/>
                <w:sz w:val="24"/>
                <w:szCs w:val="24"/>
                <w:highlight w:val="none"/>
              </w:rPr>
              <w:t xml:space="preserve">日 </w:t>
            </w: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sz w:val="24"/>
                <w:szCs w:val="24"/>
                <w:highlight w:val="none"/>
              </w:rPr>
              <w:t>:00（北京时间）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磋商日期：2023年</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07</w:t>
            </w:r>
            <w:r>
              <w:rPr>
                <w:rFonts w:hint="eastAsia" w:ascii="仿宋" w:hAnsi="仿宋" w:eastAsia="仿宋" w:cs="仿宋"/>
                <w:b/>
                <w:bCs/>
                <w:color w:val="auto"/>
                <w:sz w:val="24"/>
                <w:szCs w:val="24"/>
                <w:highlight w:val="none"/>
              </w:rPr>
              <w:t xml:space="preserve">日 </w:t>
            </w: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sz w:val="24"/>
                <w:szCs w:val="24"/>
                <w:highlight w:val="none"/>
              </w:rPr>
              <w:t>:00（北京时间）</w:t>
            </w:r>
          </w:p>
          <w:p>
            <w:pPr>
              <w:ind w:right="84" w:rightChars="4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磋商地点：政采云平台https://www.zcygov.cn/政采云不见面开标大厅。 </w:t>
            </w:r>
            <w:r>
              <w:rPr>
                <w:rFonts w:hint="eastAsia" w:ascii="仿宋" w:hAnsi="仿宋" w:eastAsia="仿宋" w:cs="仿宋"/>
                <w:b/>
                <w:bCs/>
                <w:color w:val="auto"/>
                <w:sz w:val="24"/>
                <w:szCs w:val="24"/>
                <w:highlight w:val="none"/>
                <w:lang w:eastAsia="zh-CN"/>
              </w:rPr>
              <w:t>（开标方式：不见面开标，供应商不需要到达现场。）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中标服务费收取标准：本项目代理服务费用参照[2002]1980号《招标代理服务收费管理暂行办法》附表有关规定计取，本项目采购代理服务费由中标供应商在领取中标通知书同时向采购代理机构支付一次性付清。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磋商时携带的证件：</w:t>
            </w:r>
            <w:r>
              <w:rPr>
                <w:rFonts w:hint="eastAsia" w:ascii="仿宋" w:hAnsi="仿宋" w:eastAsia="仿宋" w:cs="仿宋"/>
                <w:b w:val="0"/>
                <w:bCs w:val="0"/>
                <w:i w:val="0"/>
                <w:caps w:val="0"/>
                <w:color w:val="auto"/>
                <w:spacing w:val="0"/>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default"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付款方式：</w:t>
            </w:r>
            <w:r>
              <w:rPr>
                <w:rFonts w:hint="eastAsia" w:ascii="仿宋" w:hAnsi="仿宋" w:eastAsia="仿宋" w:cs="仿宋"/>
                <w:b w:val="0"/>
                <w:bCs w:val="0"/>
                <w:color w:val="auto"/>
                <w:sz w:val="24"/>
                <w:szCs w:val="24"/>
                <w:highlight w:val="none"/>
                <w:lang w:val="en-US" w:eastAsia="zh-CN"/>
              </w:rPr>
              <w:t>按合同要求执行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为了确保采购质量和维护公平的竞争，评标委员会认为供应商的报价明显低于其他通过符合性审查供应商的报价，有可能影响产品质量或者不能诚信履约的，将要求其在评标现场在评标委员会规定的时间内提供书面说明，必要时提交相关证明材料；供应商不能证明其报价合理性的，评标委员会将其作为无效投标处理；如不提供或评委认定其资料不能详尽合理说明其成本的，则视为报价无效，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9270" w:type="dxa"/>
            <w:tcBorders>
              <w:top w:val="single" w:color="auto" w:sz="4" w:space="0"/>
              <w:left w:val="single" w:color="auto" w:sz="4" w:space="0"/>
              <w:bottom w:val="single" w:color="auto" w:sz="4" w:space="0"/>
              <w:right w:val="single" w:color="auto" w:sz="4" w:space="0"/>
            </w:tcBorders>
            <w:noWrap w:val="0"/>
            <w:vAlign w:val="center"/>
          </w:tcPr>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响应文件编制须知：</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1、在采购文件领取截止时间前，使用办理的CA数字证书，通过窗口下载所投项目的采购文件。</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需在新疆政府采购网（http://www.ccgp-xinjiang.gov.cn/）下载专区自行下载政采云电子投标客户端。在电子投标客户端内制作对应的响应文件。响应文件制作完成后在谈判响应截止时间前上传至政采云平台对应项目即可。</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3、采购文件规定：不接受响应文件中出现的可选择或可调整的投标方案和报价，任何有选择的或可调整的投标方案和报价将被视为不响应采购文件，其投标将被拒绝。</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bCs/>
                <w:color w:val="auto"/>
                <w:sz w:val="24"/>
                <w:szCs w:val="24"/>
                <w:highlight w:val="none"/>
                <w:lang w:val="en-US" w:eastAsia="zh-CN"/>
              </w:rPr>
              <w:t>本项目采购方式为竞争性磋商，报价采用二轮报价方式进行</w:t>
            </w:r>
            <w:r>
              <w:rPr>
                <w:rFonts w:hint="eastAsia" w:ascii="仿宋" w:hAnsi="仿宋" w:eastAsia="仿宋" w:cs="仿宋"/>
                <w:color w:val="auto"/>
                <w:sz w:val="24"/>
                <w:szCs w:val="24"/>
                <w:highlight w:val="none"/>
                <w:lang w:val="en-US" w:eastAsia="zh-CN"/>
              </w:rPr>
              <w:t>，且供应商的第二轮报价为针对本项目的最终报价。不接受可选择或可调整的投标方案和报价，任何有选择的或可调整的投标方案和报价将被视为非响应性投标而被拒绝。</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参加投标的供应商需在政采云平台规定的报价时间内进行二轮报价，若供应商未在规定报价时间内向政采云平台提交所投项目二轮报价的（以政采云平台收到二轮报价的时间为准），视为自动放弃该项目的投标。二轮报价时长截止后不做任何延长。</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声明：供应商在制作响应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5" w:type="dxa"/>
            <w:tcBorders>
              <w:top w:val="single" w:color="auto" w:sz="4" w:space="0"/>
              <w:bottom w:val="single" w:color="auto" w:sz="4" w:space="0"/>
              <w:right w:val="single" w:color="auto" w:sz="4" w:space="0"/>
            </w:tcBorders>
            <w:noWrap w:val="0"/>
            <w:vAlign w:val="center"/>
          </w:tcPr>
          <w:p>
            <w:pPr>
              <w:ind w:right="84" w:rightChars="4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9270" w:type="dxa"/>
            <w:tcBorders>
              <w:top w:val="single" w:color="auto" w:sz="4" w:space="0"/>
              <w:left w:val="single" w:color="auto" w:sz="4" w:space="0"/>
              <w:bottom w:val="single" w:color="auto" w:sz="4" w:space="0"/>
            </w:tcBorders>
            <w:noWrap w:val="0"/>
            <w:vAlign w:val="center"/>
          </w:tcPr>
          <w:p>
            <w:pPr>
              <w:ind w:right="84" w:rightChars="4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响应文件解密时长：30分钟（过时未进行解密的响</w:t>
            </w:r>
            <w:bookmarkStart w:id="116" w:name="_GoBack"/>
            <w:bookmarkEnd w:id="116"/>
            <w:r>
              <w:rPr>
                <w:rFonts w:hint="eastAsia" w:ascii="仿宋" w:hAnsi="仿宋" w:eastAsia="仿宋" w:cs="仿宋"/>
                <w:b/>
                <w:bCs/>
                <w:color w:val="auto"/>
                <w:sz w:val="24"/>
                <w:szCs w:val="24"/>
                <w:highlight w:val="none"/>
                <w:lang w:val="en-US" w:eastAsia="zh-CN"/>
              </w:rPr>
              <w:t>应文件，开标现场不进行解密时间延长。）</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（友情提示：若供应商已领取副锁（含多把副锁）请注意正副锁的使用差别，务必使用生成响应文件的那把锁解密）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5" w:type="dxa"/>
            <w:tcBorders>
              <w:top w:val="single" w:color="auto" w:sz="4" w:space="0"/>
              <w:bottom w:val="single" w:color="auto" w:sz="4" w:space="0"/>
              <w:right w:val="single" w:color="auto" w:sz="4" w:space="0"/>
            </w:tcBorders>
            <w:noWrap w:val="0"/>
            <w:vAlign w:val="center"/>
          </w:tcPr>
          <w:p>
            <w:pPr>
              <w:ind w:right="84" w:rightChars="4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9270" w:type="dxa"/>
            <w:tcBorders>
              <w:top w:val="single" w:color="auto" w:sz="4" w:space="0"/>
              <w:left w:val="single" w:color="auto" w:sz="4" w:space="0"/>
              <w:bottom w:val="single" w:color="auto" w:sz="4" w:space="0"/>
            </w:tcBorders>
            <w:noWrap w:val="0"/>
            <w:vAlign w:val="center"/>
          </w:tcPr>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1、供应商必须针对本项目制作响应文件并报价，响应文件必须满足采购文件份数与制作等要求，否则将导致投标被拒绝。</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2、当出现下列情形之一，响应文件将予以退回：</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（1）供应商在响应文件递交截止时间前未成功上传加密电子响应文件；</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（2）供应商使用解密的CA数字证书与上传加密响应文件使用的CA数字证书不一致；</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（3）供应商解密时CA数字证书已过期，导致无法正常解密；</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（4）加密响应文件时，CA数字证书未过期，解密时，显示CA数字证书已过期，导致无法正常解密；</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（5）未在规定的响应文件解密时间内进行解密的；</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（6）供应商个人原因导致无法解密的其他情形。 </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3、供应商应在谈判响应截止时间前将投标时使用的计算机安装相关的浏览器（推荐使用谷歌浏览器）、CA驱动等软件，方便响应文件解密时能够正常解密。</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4、供应商需在磋商响应文件递交截止时间前自行测试开标时使用的计算机，如因供应商自身原因导致响应文件解密失败的，由供应商自行承担相应后果。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0" w:type="auto"/>
            <w:tcBorders>
              <w:top w:val="single" w:color="auto" w:sz="4" w:space="0"/>
              <w:bottom w:val="single" w:color="auto" w:sz="4" w:space="0"/>
              <w:right w:val="single" w:color="auto" w:sz="4" w:space="0"/>
            </w:tcBorders>
            <w:noWrap w:val="0"/>
            <w:vAlign w:val="center"/>
          </w:tcPr>
          <w:p>
            <w:pPr>
              <w:ind w:right="84" w:rightChars="4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0" w:type="auto"/>
            <w:tcBorders>
              <w:top w:val="single" w:color="auto" w:sz="4" w:space="0"/>
              <w:left w:val="single" w:color="auto" w:sz="4" w:space="0"/>
              <w:bottom w:val="single" w:color="auto" w:sz="4" w:space="0"/>
            </w:tcBorders>
            <w:noWrap w:val="0"/>
            <w:vAlign w:val="center"/>
          </w:tcPr>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1、无论何种原因，在响应文件中未提供相应材料的，磋商小组将视同其未提供。</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2、各供应商应在开标前应确保成为新疆政府采购网正式注册入库供应商，并完成CA数字证书（符合国密标准）申领。如需咨询，请联系新疆CA服务热线0991-2819290；</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4、供应商首次参加政府采购活动的，可前往新疆政府采购网（ http://www.ccgp-xinjiang.gov.cn/）下载操作指南。（步骤：进入新疆政府采购网（</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"http://www.ccgp-xinjiang.gov.cn/"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http://www.ccgp-xinjiang.gov.cn/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）点击主页面的办事指南—选择并下载供应商政采云平台操作指南。）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0" w:type="auto"/>
            <w:tcBorders>
              <w:top w:val="single" w:color="auto" w:sz="4" w:space="0"/>
              <w:bottom w:val="single" w:color="auto" w:sz="4" w:space="0"/>
              <w:right w:val="single" w:color="auto" w:sz="4" w:space="0"/>
            </w:tcBorders>
            <w:noWrap w:val="0"/>
            <w:vAlign w:val="center"/>
          </w:tcPr>
          <w:p>
            <w:pPr>
              <w:ind w:right="84" w:rightChars="4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0" w:type="auto"/>
            <w:tcBorders>
              <w:top w:val="single" w:color="auto" w:sz="4" w:space="0"/>
              <w:left w:val="single" w:color="auto" w:sz="4" w:space="0"/>
              <w:bottom w:val="single" w:color="auto" w:sz="4" w:space="0"/>
            </w:tcBorders>
            <w:noWrap w:val="0"/>
            <w:vAlign w:val="center"/>
          </w:tcPr>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质疑：</w:t>
            </w:r>
            <w:r>
              <w:rPr>
                <w:rFonts w:hint="eastAsia" w:ascii="仿宋" w:hAnsi="仿宋" w:eastAsia="仿宋" w:cs="仿宋"/>
                <w:color w:val="auto"/>
                <w:sz w:val="24"/>
                <w:highlight w:val="none"/>
              </w:rPr>
              <w:t>质疑供应商在法定质疑期内应当一次性提出针对同一采购环节提出质疑</w:t>
            </w:r>
            <w:r>
              <w:rPr>
                <w:rFonts w:hint="eastAsia" w:ascii="仿宋" w:hAnsi="仿宋" w:eastAsia="仿宋" w:cs="仿宋"/>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0" w:type="auto"/>
            <w:tcBorders>
              <w:top w:val="single" w:color="auto" w:sz="4" w:space="0"/>
              <w:right w:val="single" w:color="auto" w:sz="4" w:space="0"/>
            </w:tcBorders>
            <w:noWrap w:val="0"/>
            <w:vAlign w:val="center"/>
          </w:tcPr>
          <w:p>
            <w:pPr>
              <w:ind w:right="84" w:rightChars="40"/>
              <w:jc w:val="center"/>
              <w:rPr>
                <w:rFonts w:hint="default" w:ascii="仿宋" w:hAnsi="仿宋" w:eastAsia="仿宋" w:cs="仿宋"/>
                <w:color w:val="auto"/>
                <w:sz w:val="24"/>
                <w:szCs w:val="24"/>
                <w:highlight w:val="none"/>
                <w:lang w:val="en-US" w:eastAsia="zh-CN"/>
              </w:rPr>
            </w:pPr>
            <w:bookmarkStart w:id="44" w:name="_Toc24344"/>
            <w:r>
              <w:rPr>
                <w:rFonts w:hint="eastAsia" w:ascii="仿宋" w:hAnsi="仿宋" w:eastAsia="仿宋" w:cs="仿宋"/>
                <w:color w:val="auto"/>
                <w:sz w:val="24"/>
                <w:szCs w:val="24"/>
                <w:highlight w:val="none"/>
                <w:lang w:val="en-US" w:eastAsia="zh-CN"/>
              </w:rPr>
              <w:t>27</w:t>
            </w:r>
          </w:p>
        </w:tc>
        <w:tc>
          <w:tcPr>
            <w:tcW w:w="0" w:type="auto"/>
            <w:tcBorders>
              <w:top w:val="single" w:color="auto" w:sz="4" w:space="0"/>
              <w:left w:val="single" w:color="auto" w:sz="4" w:space="0"/>
            </w:tcBorders>
            <w:noWrap w:val="0"/>
            <w:vAlign w:val="center"/>
          </w:tcPr>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特别提示：</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运维项目，采用综合评估法但未采用低价优先法计算价格分的，评标时应当在采用原报价进行评分的基础上增加其价格得分的3%~5%作为其价格分。</w:t>
            </w:r>
          </w:p>
          <w:p>
            <w:pPr>
              <w:ind w:right="84" w:rightChars="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运维项目，采用综合评估法但未采用低价优先法计算价格分的，评标时应当在采用原报价进行评分的基础上增加其价格得分的1%~2%作为其价格分。</w:t>
            </w:r>
          </w:p>
        </w:tc>
      </w:tr>
    </w:tbl>
    <w:p>
      <w:pPr>
        <w:pStyle w:val="4"/>
        <w:pageBreakBefore w:val="0"/>
        <w:widowControl w:val="0"/>
        <w:kinsoku/>
        <w:wordWrap/>
        <w:overflowPunct/>
        <w:topLinePunct w:val="0"/>
        <w:autoSpaceDE/>
        <w:autoSpaceDN/>
        <w:bidi w:val="0"/>
        <w:adjustRightInd/>
        <w:snapToGrid/>
        <w:spacing w:before="100" w:beforeAutospacing="1" w:after="100" w:afterAutospacing="1" w:line="400" w:lineRule="exact"/>
        <w:ind w:right="84" w:rightChars="4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备注：磋商文件正文文本中的内容与须知前附表内容不一致时，以须知前附表内容为准。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br w:type="page"/>
      </w:r>
      <w:bookmarkStart w:id="45" w:name="_Toc267301282"/>
      <w:bookmarkStart w:id="46" w:name="_Toc349637920"/>
      <w:bookmarkStart w:id="47" w:name="_Toc298240405"/>
      <w:bookmarkStart w:id="48" w:name="_Toc349573121"/>
      <w:r>
        <w:rPr>
          <w:rFonts w:hint="eastAsia" w:ascii="仿宋" w:hAnsi="仿宋" w:eastAsia="仿宋" w:cs="仿宋"/>
          <w:color w:val="auto"/>
          <w:sz w:val="28"/>
          <w:szCs w:val="28"/>
          <w:highlight w:val="none"/>
        </w:rPr>
        <w:t>A  说　明</w:t>
      </w:r>
      <w:bookmarkEnd w:id="44"/>
      <w:bookmarkEnd w:id="45"/>
      <w:bookmarkEnd w:id="46"/>
      <w:bookmarkEnd w:id="47"/>
      <w:bookmarkEnd w:id="48"/>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 适用范围：本磋商文件仅适用于本次磋商邀请中所叙述项目的服务</w:t>
      </w:r>
      <w:r>
        <w:rPr>
          <w:rFonts w:hint="eastAsia" w:ascii="仿宋" w:hAnsi="仿宋" w:eastAsia="仿宋" w:cs="仿宋"/>
          <w:color w:val="auto"/>
          <w:sz w:val="24"/>
          <w:szCs w:val="22"/>
          <w:highlight w:val="none"/>
          <w:lang w:eastAsia="zh-CN"/>
        </w:rPr>
        <w:t>、货物</w:t>
      </w:r>
      <w:r>
        <w:rPr>
          <w:rFonts w:hint="eastAsia" w:ascii="仿宋" w:hAnsi="仿宋" w:eastAsia="仿宋" w:cs="仿宋"/>
          <w:color w:val="auto"/>
          <w:sz w:val="24"/>
          <w:szCs w:val="22"/>
          <w:highlight w:val="none"/>
        </w:rPr>
        <w:t>采购。</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2．定义</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2.1 “采购代理机构”系指</w:t>
      </w:r>
      <w:r>
        <w:rPr>
          <w:rFonts w:hint="eastAsia" w:ascii="仿宋" w:hAnsi="仿宋" w:eastAsia="仿宋" w:cs="仿宋"/>
          <w:color w:val="auto"/>
          <w:sz w:val="24"/>
          <w:szCs w:val="22"/>
          <w:highlight w:val="none"/>
          <w:lang w:eastAsia="zh-CN"/>
        </w:rPr>
        <w:t>新疆润锦宏昌工程管理服务有限公司</w:t>
      </w:r>
      <w:r>
        <w:rPr>
          <w:rFonts w:hint="eastAsia" w:ascii="仿宋" w:hAnsi="仿宋" w:eastAsia="仿宋" w:cs="仿宋"/>
          <w:color w:val="auto"/>
          <w:sz w:val="24"/>
          <w:szCs w:val="22"/>
          <w:highlight w:val="none"/>
        </w:rPr>
        <w:t>；</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2.2 “买方”系指</w:t>
      </w:r>
      <w:r>
        <w:rPr>
          <w:rFonts w:hint="eastAsia" w:ascii="仿宋" w:hAnsi="仿宋" w:eastAsia="仿宋" w:cs="仿宋"/>
          <w:color w:val="auto"/>
          <w:sz w:val="24"/>
          <w:szCs w:val="22"/>
          <w:highlight w:val="none"/>
          <w:lang w:eastAsia="zh-CN"/>
        </w:rPr>
        <w:t xml:space="preserve"> 博尔塔拉职业技术学院</w:t>
      </w:r>
      <w:r>
        <w:rPr>
          <w:rFonts w:hint="eastAsia" w:ascii="仿宋" w:hAnsi="仿宋" w:eastAsia="仿宋" w:cs="仿宋"/>
          <w:color w:val="auto"/>
          <w:sz w:val="24"/>
          <w:szCs w:val="22"/>
          <w:highlight w:val="none"/>
        </w:rPr>
        <w:t>；</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 “磋商供应商”系指向采购代理机构提交磋商响应文件的服务供应商；</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2.4 “成交方”系指在本次磋商中成交，将被授予合同的服务供应商，即成为“成交方”。</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3．合格的供应商</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3.1 有能力提供磋商文件中所要求的服务、资格审查合格的服务供应商；</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3.2 供应商必须遵守有关的国内法律和规章条例。</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4．供应商资格(废标因素)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2"/>
          <w:highlight w:val="none"/>
          <w:lang w:val="en-US" w:eastAsia="zh-CN"/>
        </w:rPr>
        <w:t>4.</w:t>
      </w:r>
      <w:r>
        <w:rPr>
          <w:rFonts w:hint="eastAsia" w:ascii="仿宋" w:hAnsi="仿宋" w:eastAsia="仿宋" w:cs="仿宋"/>
          <w:b/>
          <w:bCs/>
          <w:color w:val="auto"/>
          <w:sz w:val="24"/>
          <w:szCs w:val="24"/>
          <w:highlight w:val="none"/>
        </w:rPr>
        <w:t>1.满足《中华人民共和国政府采购法》第二十二条规定；</w:t>
      </w: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lang w:val="en-US" w:eastAsia="zh-CN"/>
        </w:rPr>
        <w:t>(1)具有独立承担民事责任的能力: 提供有效的营业执照;</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（2）具有履行合同所必需的设备和专业技术能力: 提供相关文件证明;</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lang w:val="en-US" w:eastAsia="zh-CN"/>
        </w:rPr>
        <w:t>(3)参加政府采购活动前三年内，在经营活动中没有重大违法记录，提供无重大违法记录声明函。</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lang w:val="en-US" w:eastAsia="zh-CN"/>
        </w:rPr>
        <w:t>（4）法定代表人授权委托书；</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
          <w:bCs/>
          <w:strike w:val="0"/>
          <w:dstrike w:val="0"/>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4.</w:t>
      </w:r>
      <w:r>
        <w:rPr>
          <w:rFonts w:hint="eastAsia" w:ascii="仿宋" w:hAnsi="仿宋" w:eastAsia="仿宋" w:cs="仿宋"/>
          <w:b/>
          <w:bCs/>
          <w:strike w:val="0"/>
          <w:dstrike w:val="0"/>
          <w:color w:val="auto"/>
          <w:sz w:val="24"/>
          <w:szCs w:val="24"/>
          <w:highlight w:val="none"/>
        </w:rPr>
        <w:t xml:space="preserve">2.落实政府采购政策需满足的资格要求：本项目为专门面向中小企业（含中型、小型、微型企业、监狱企业、残疾人福利性单位）采购项目。 </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4.3.</w:t>
      </w:r>
      <w:r>
        <w:rPr>
          <w:rFonts w:hint="eastAsia" w:ascii="仿宋" w:hAnsi="仿宋" w:eastAsia="仿宋" w:cs="仿宋"/>
          <w:b/>
          <w:bCs/>
          <w:color w:val="auto"/>
          <w:sz w:val="24"/>
          <w:szCs w:val="24"/>
          <w:highlight w:val="none"/>
        </w:rPr>
        <w:t>本项目的特定资格要求：</w:t>
      </w:r>
      <w:r>
        <w:rPr>
          <w:rFonts w:hint="eastAsia" w:ascii="仿宋" w:hAnsi="仿宋" w:eastAsia="仿宋" w:cs="仿宋"/>
          <w:b/>
          <w:bCs/>
          <w:color w:val="auto"/>
          <w:sz w:val="24"/>
          <w:szCs w:val="24"/>
          <w:highlight w:val="none"/>
          <w:lang w:val="en-US" w:eastAsia="zh-CN"/>
        </w:rPr>
        <w:t>无</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4、本项目不接受联合体投标</w:t>
      </w:r>
      <w:r>
        <w:rPr>
          <w:rFonts w:hint="eastAsia" w:ascii="仿宋" w:hAnsi="仿宋" w:eastAsia="仿宋" w:cs="仿宋"/>
          <w:b/>
          <w:bCs/>
          <w:color w:val="auto"/>
          <w:sz w:val="24"/>
          <w:szCs w:val="22"/>
          <w:highlight w:val="none"/>
        </w:rPr>
        <w:t>。</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5．磋商费用</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5.1 无论磋商过程中的作法和结果如何，供应商将自行承担所有与参加磋商有关的全部费用。</w:t>
      </w:r>
    </w:p>
    <w:p>
      <w:pPr>
        <w:pStyle w:val="12"/>
        <w:pageBreakBefore w:val="0"/>
        <w:widowControl w:val="0"/>
        <w:kinsoku/>
        <w:wordWrap/>
        <w:overflowPunct/>
        <w:topLinePunct w:val="0"/>
        <w:autoSpaceDE/>
        <w:autoSpaceDN/>
        <w:bidi w:val="0"/>
        <w:adjustRightInd/>
        <w:snapToGrid/>
        <w:spacing w:line="400" w:lineRule="exact"/>
        <w:ind w:right="84" w:rightChars="40" w:firstLine="0" w:firstLineChars="0"/>
        <w:textAlignment w:val="auto"/>
        <w:rPr>
          <w:rFonts w:hint="eastAsia" w:ascii="仿宋" w:hAnsi="仿宋" w:eastAsia="仿宋" w:cs="仿宋"/>
          <w:color w:val="auto"/>
          <w:highlight w:val="none"/>
        </w:rPr>
      </w:pPr>
      <w:bookmarkStart w:id="49" w:name="_Toc267301283"/>
      <w:bookmarkStart w:id="50" w:name="_Toc349637921"/>
      <w:bookmarkStart w:id="51" w:name="_Toc349573122"/>
      <w:bookmarkStart w:id="52" w:name="_Toc298240406"/>
    </w:p>
    <w:p>
      <w:pPr>
        <w:pStyle w:val="4"/>
        <w:pageBreakBefore w:val="0"/>
        <w:widowControl w:val="0"/>
        <w:kinsoku/>
        <w:wordWrap/>
        <w:overflowPunct/>
        <w:topLinePunct w:val="0"/>
        <w:autoSpaceDE/>
        <w:autoSpaceDN/>
        <w:bidi w:val="0"/>
        <w:adjustRightInd/>
        <w:snapToGrid/>
        <w:spacing w:before="100" w:beforeAutospacing="1" w:after="100" w:afterAutospacing="1" w:line="400" w:lineRule="exact"/>
        <w:ind w:right="84" w:rightChars="40"/>
        <w:jc w:val="center"/>
        <w:textAlignment w:val="auto"/>
        <w:rPr>
          <w:rFonts w:hint="eastAsia" w:ascii="仿宋" w:hAnsi="仿宋" w:eastAsia="仿宋" w:cs="仿宋"/>
          <w:color w:val="auto"/>
          <w:sz w:val="28"/>
          <w:szCs w:val="28"/>
          <w:highlight w:val="none"/>
        </w:rPr>
      </w:pPr>
      <w:bookmarkStart w:id="53" w:name="_Toc7639"/>
      <w:r>
        <w:rPr>
          <w:rFonts w:hint="eastAsia" w:ascii="仿宋" w:hAnsi="仿宋" w:eastAsia="仿宋" w:cs="仿宋"/>
          <w:color w:val="auto"/>
          <w:sz w:val="28"/>
          <w:szCs w:val="28"/>
          <w:highlight w:val="none"/>
        </w:rPr>
        <w:t>B  磋商文件</w:t>
      </w:r>
      <w:bookmarkEnd w:id="49"/>
      <w:bookmarkEnd w:id="50"/>
      <w:bookmarkEnd w:id="51"/>
      <w:bookmarkEnd w:id="52"/>
      <w:bookmarkEnd w:id="53"/>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6．磋商文件构成</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6.1磋商文件包括：</w:t>
      </w:r>
    </w:p>
    <w:p>
      <w:pPr>
        <w:pageBreakBefore w:val="0"/>
        <w:widowControl w:val="0"/>
        <w:kinsoku/>
        <w:wordWrap/>
        <w:overflowPunct/>
        <w:topLinePunct w:val="0"/>
        <w:autoSpaceDE/>
        <w:autoSpaceDN/>
        <w:bidi w:val="0"/>
        <w:adjustRightInd/>
        <w:snapToGrid/>
        <w:spacing w:line="400" w:lineRule="exact"/>
        <w:ind w:right="84" w:rightChars="40" w:firstLine="2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（1）磋商邀请；</w:t>
      </w:r>
    </w:p>
    <w:p>
      <w:pPr>
        <w:pageBreakBefore w:val="0"/>
        <w:widowControl w:val="0"/>
        <w:kinsoku/>
        <w:wordWrap/>
        <w:overflowPunct/>
        <w:topLinePunct w:val="0"/>
        <w:autoSpaceDE/>
        <w:autoSpaceDN/>
        <w:bidi w:val="0"/>
        <w:adjustRightInd/>
        <w:snapToGrid/>
        <w:spacing w:line="400" w:lineRule="exact"/>
        <w:ind w:right="84" w:rightChars="40" w:firstLine="2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（2）供应商须知；</w:t>
      </w:r>
    </w:p>
    <w:p>
      <w:pPr>
        <w:pageBreakBefore w:val="0"/>
        <w:widowControl w:val="0"/>
        <w:kinsoku/>
        <w:wordWrap/>
        <w:overflowPunct/>
        <w:topLinePunct w:val="0"/>
        <w:autoSpaceDE/>
        <w:autoSpaceDN/>
        <w:bidi w:val="0"/>
        <w:adjustRightInd/>
        <w:snapToGrid/>
        <w:spacing w:line="400" w:lineRule="exact"/>
        <w:ind w:right="84" w:rightChars="40" w:firstLine="2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需求及技术规格；</w:t>
      </w:r>
    </w:p>
    <w:p>
      <w:pPr>
        <w:pageBreakBefore w:val="0"/>
        <w:widowControl w:val="0"/>
        <w:kinsoku/>
        <w:wordWrap/>
        <w:overflowPunct/>
        <w:topLinePunct w:val="0"/>
        <w:autoSpaceDE/>
        <w:autoSpaceDN/>
        <w:bidi w:val="0"/>
        <w:adjustRightInd/>
        <w:snapToGrid/>
        <w:spacing w:line="400" w:lineRule="exact"/>
        <w:ind w:right="84" w:rightChars="40" w:firstLine="2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（4）合同；</w:t>
      </w:r>
    </w:p>
    <w:p>
      <w:pPr>
        <w:pageBreakBefore w:val="0"/>
        <w:widowControl w:val="0"/>
        <w:kinsoku/>
        <w:wordWrap/>
        <w:overflowPunct/>
        <w:topLinePunct w:val="0"/>
        <w:autoSpaceDE/>
        <w:autoSpaceDN/>
        <w:bidi w:val="0"/>
        <w:adjustRightInd/>
        <w:snapToGrid/>
        <w:spacing w:line="400" w:lineRule="exact"/>
        <w:ind w:right="84" w:rightChars="40" w:firstLine="24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szCs w:val="22"/>
          <w:highlight w:val="none"/>
        </w:rPr>
        <w:t>磋商响应文件格式；</w:t>
      </w:r>
    </w:p>
    <w:p>
      <w:pPr>
        <w:pageBreakBefore w:val="0"/>
        <w:widowControl w:val="0"/>
        <w:kinsoku/>
        <w:wordWrap/>
        <w:overflowPunct/>
        <w:topLinePunct w:val="0"/>
        <w:autoSpaceDE/>
        <w:autoSpaceDN/>
        <w:bidi w:val="0"/>
        <w:adjustRightInd/>
        <w:snapToGrid/>
        <w:spacing w:line="400" w:lineRule="exact"/>
        <w:ind w:right="84" w:rightChars="40" w:firstLine="24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szCs w:val="22"/>
          <w:highlight w:val="none"/>
        </w:rPr>
        <w:t>附件资料；</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6.2 磋商响应文件以中文编写。</w:t>
      </w:r>
    </w:p>
    <w:p>
      <w:pPr>
        <w:pageBreakBefore w:val="0"/>
        <w:widowControl w:val="0"/>
        <w:kinsoku/>
        <w:wordWrap/>
        <w:overflowPunct/>
        <w:topLinePunct w:val="0"/>
        <w:autoSpaceDE/>
        <w:autoSpaceDN/>
        <w:bidi w:val="0"/>
        <w:adjustRightInd/>
        <w:snapToGrid/>
        <w:spacing w:line="400" w:lineRule="exact"/>
        <w:ind w:left="360" w:right="84" w:rightChars="40" w:hanging="360" w:hanging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7．磋商文件澄清</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7.1供应商对磋商文件有疑问的，须在首次响应文件</w:t>
      </w:r>
      <w:r>
        <w:rPr>
          <w:rFonts w:hint="eastAsia" w:ascii="仿宋" w:hAnsi="仿宋" w:eastAsia="仿宋" w:cs="仿宋"/>
          <w:color w:val="auto"/>
          <w:sz w:val="24"/>
          <w:szCs w:val="24"/>
          <w:highlight w:val="none"/>
        </w:rPr>
        <w:t>递交截止时间5日前</w:t>
      </w:r>
      <w:r>
        <w:rPr>
          <w:rFonts w:hint="eastAsia" w:ascii="仿宋" w:hAnsi="仿宋" w:eastAsia="仿宋" w:cs="仿宋"/>
          <w:color w:val="auto"/>
          <w:sz w:val="24"/>
          <w:szCs w:val="24"/>
          <w:highlight w:val="none"/>
          <w:lang w:eastAsia="zh-CN"/>
        </w:rPr>
        <w:t>在政采云平台</w:t>
      </w:r>
      <w:r>
        <w:rPr>
          <w:rFonts w:hint="eastAsia" w:ascii="仿宋" w:hAnsi="仿宋" w:eastAsia="仿宋" w:cs="仿宋"/>
          <w:color w:val="auto"/>
          <w:sz w:val="24"/>
          <w:highlight w:val="none"/>
        </w:rPr>
        <w:t>提出询问，采购代理机构</w:t>
      </w:r>
      <w:r>
        <w:rPr>
          <w:rFonts w:hint="eastAsia" w:ascii="仿宋" w:hAnsi="仿宋" w:eastAsia="仿宋" w:cs="仿宋"/>
          <w:color w:val="auto"/>
          <w:sz w:val="24"/>
          <w:highlight w:val="none"/>
          <w:lang w:eastAsia="zh-CN"/>
        </w:rPr>
        <w:t>和采购人</w:t>
      </w:r>
      <w:r>
        <w:rPr>
          <w:rFonts w:hint="eastAsia" w:ascii="仿宋" w:hAnsi="仿宋" w:eastAsia="仿宋" w:cs="仿宋"/>
          <w:color w:val="auto"/>
          <w:sz w:val="24"/>
          <w:highlight w:val="none"/>
        </w:rPr>
        <w:t>将及时做出答复；</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  磋商文件的修改</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8.1 对磋商文件进行必要的修改，采购代理机构</w:t>
      </w:r>
      <w:r>
        <w:rPr>
          <w:rFonts w:hint="eastAsia" w:ascii="仿宋" w:hAnsi="仿宋" w:eastAsia="仿宋" w:cs="仿宋"/>
          <w:color w:val="auto"/>
          <w:sz w:val="24"/>
          <w:szCs w:val="24"/>
          <w:highlight w:val="none"/>
        </w:rPr>
        <w:t>将在磋商响应文件递交截止时间5个工作日前</w:t>
      </w:r>
      <w:r>
        <w:rPr>
          <w:rFonts w:hint="eastAsia" w:ascii="仿宋" w:hAnsi="仿宋" w:eastAsia="仿宋" w:cs="仿宋"/>
          <w:color w:val="auto"/>
          <w:sz w:val="24"/>
          <w:szCs w:val="24"/>
          <w:highlight w:val="none"/>
          <w:lang w:eastAsia="zh-CN"/>
        </w:rPr>
        <w:t>在政采云平台</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eastAsia="zh-CN"/>
        </w:rPr>
        <w:t>补充文件的形式</w:t>
      </w:r>
      <w:r>
        <w:rPr>
          <w:rFonts w:hint="eastAsia" w:ascii="仿宋" w:hAnsi="仿宋" w:eastAsia="仿宋" w:cs="仿宋"/>
          <w:color w:val="auto"/>
          <w:sz w:val="24"/>
          <w:szCs w:val="24"/>
          <w:highlight w:val="none"/>
        </w:rPr>
        <w:t>通知所有</w:t>
      </w:r>
      <w:r>
        <w:rPr>
          <w:rFonts w:hint="eastAsia" w:ascii="仿宋" w:hAnsi="仿宋" w:eastAsia="仿宋" w:cs="仿宋"/>
          <w:color w:val="auto"/>
          <w:sz w:val="24"/>
          <w:szCs w:val="24"/>
          <w:highlight w:val="none"/>
          <w:lang w:eastAsia="zh-CN"/>
        </w:rPr>
        <w:t>获取</w:t>
      </w:r>
      <w:r>
        <w:rPr>
          <w:rFonts w:hint="eastAsia" w:ascii="仿宋" w:hAnsi="仿宋" w:eastAsia="仿宋" w:cs="仿宋"/>
          <w:color w:val="auto"/>
          <w:sz w:val="24"/>
          <w:szCs w:val="24"/>
          <w:highlight w:val="none"/>
        </w:rPr>
        <w:t>磋商文件的供应商。该修改的内容为磋商文件的组成部分；</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 供应商在规定的时间内未对磋商文件提出澄清要求的，采购代理机构将视其为同意。</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8.3 在磋商响应文件递交截止时间前，采购人可视具体情况延长磋商截止时间，并将变更时间书面通知所有</w:t>
      </w:r>
      <w:r>
        <w:rPr>
          <w:rFonts w:hint="eastAsia" w:ascii="仿宋" w:hAnsi="仿宋" w:eastAsia="仿宋" w:cs="仿宋"/>
          <w:color w:val="auto"/>
          <w:sz w:val="24"/>
          <w:highlight w:val="none"/>
          <w:lang w:eastAsia="zh-CN"/>
        </w:rPr>
        <w:t>获取磋商文件</w:t>
      </w:r>
      <w:r>
        <w:rPr>
          <w:rFonts w:hint="eastAsia" w:ascii="仿宋" w:hAnsi="仿宋" w:eastAsia="仿宋" w:cs="仿宋"/>
          <w:color w:val="auto"/>
          <w:sz w:val="24"/>
          <w:highlight w:val="none"/>
        </w:rPr>
        <w:t>的供应商。</w:t>
      </w:r>
    </w:p>
    <w:p>
      <w:pPr>
        <w:pStyle w:val="4"/>
        <w:pageBreakBefore w:val="0"/>
        <w:widowControl w:val="0"/>
        <w:kinsoku/>
        <w:wordWrap/>
        <w:overflowPunct/>
        <w:topLinePunct w:val="0"/>
        <w:autoSpaceDE/>
        <w:autoSpaceDN/>
        <w:bidi w:val="0"/>
        <w:adjustRightInd/>
        <w:snapToGrid/>
        <w:spacing w:before="100" w:beforeAutospacing="1" w:after="100" w:afterAutospacing="1" w:line="400" w:lineRule="exact"/>
        <w:ind w:right="84" w:rightChars="40"/>
        <w:jc w:val="center"/>
        <w:textAlignment w:val="auto"/>
        <w:rPr>
          <w:rFonts w:hint="eastAsia" w:ascii="仿宋" w:hAnsi="仿宋" w:eastAsia="仿宋" w:cs="仿宋"/>
          <w:color w:val="auto"/>
          <w:sz w:val="28"/>
          <w:szCs w:val="28"/>
          <w:highlight w:val="none"/>
        </w:rPr>
      </w:pPr>
      <w:bookmarkStart w:id="54" w:name="_Toc349573123"/>
      <w:bookmarkStart w:id="55" w:name="_Toc298240407"/>
      <w:bookmarkStart w:id="56" w:name="_Toc349637922"/>
      <w:bookmarkStart w:id="57" w:name="_Toc4359"/>
      <w:bookmarkStart w:id="58" w:name="_Toc267301284"/>
      <w:r>
        <w:rPr>
          <w:rFonts w:hint="eastAsia" w:ascii="仿宋" w:hAnsi="仿宋" w:eastAsia="仿宋" w:cs="仿宋"/>
          <w:color w:val="auto"/>
          <w:sz w:val="28"/>
          <w:szCs w:val="28"/>
          <w:highlight w:val="none"/>
        </w:rPr>
        <w:t>C  磋商响应文件的编写</w:t>
      </w:r>
      <w:bookmarkEnd w:id="54"/>
      <w:bookmarkEnd w:id="55"/>
      <w:bookmarkEnd w:id="56"/>
      <w:bookmarkEnd w:id="57"/>
      <w:bookmarkEnd w:id="58"/>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9．要求</w:t>
      </w:r>
    </w:p>
    <w:p>
      <w:pPr>
        <w:pageBreakBefore w:val="0"/>
        <w:widowControl w:val="0"/>
        <w:kinsoku/>
        <w:wordWrap/>
        <w:overflowPunct/>
        <w:topLinePunct w:val="0"/>
        <w:autoSpaceDE/>
        <w:autoSpaceDN/>
        <w:bidi w:val="0"/>
        <w:adjustRightInd/>
        <w:snapToGrid/>
        <w:spacing w:line="400" w:lineRule="exact"/>
        <w:ind w:left="360" w:right="84" w:rightChars="40" w:hanging="360" w:hanging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 供应商应仔细阅读磋商文件的所有内容，按磋商文件的要求提供磋商响应文件，并保证所提供的全部资料的真实性，以使其磋商响应文件对磋商文件作出实质性响应，否则其磋商可能被拒绝。</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10．磋商语言</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10.1磋商响应文件及供应商与采购代理机构就磋商交换的文件和来往信件，应以中文书写（磋商供应商提交的支持文件和印刷的文献可以使用别的语言，但其相应内容必须附有中文翻译文本，在解释竞争性磋商响应文件时以翻译文本为主）。</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11．磋商响应文件的构成</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 供应商编写的磋商响应文件应包括下列内容：</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磋商响应书；</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磋商报价表；</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分项报价表；</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授权委托书及受委托人身份证复印件；</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资格声明函；</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技术条款偏离表；</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商务条款偏离表；</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供应商近</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rPr>
        <w:t>年同类业绩；</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项目组人员简介；</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资格证明文件；</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bCs/>
          <w:color w:val="auto"/>
          <w:sz w:val="24"/>
          <w:highlight w:val="none"/>
        </w:rPr>
        <w:t>项目</w:t>
      </w:r>
      <w:r>
        <w:rPr>
          <w:rFonts w:hint="eastAsia" w:ascii="仿宋" w:hAnsi="仿宋" w:eastAsia="仿宋" w:cs="仿宋"/>
          <w:bCs/>
          <w:color w:val="auto"/>
          <w:sz w:val="24"/>
          <w:highlight w:val="none"/>
          <w:lang w:eastAsia="zh-CN"/>
        </w:rPr>
        <w:t>服务技术</w:t>
      </w:r>
      <w:r>
        <w:rPr>
          <w:rFonts w:hint="eastAsia" w:ascii="仿宋" w:hAnsi="仿宋" w:eastAsia="仿宋" w:cs="仿宋"/>
          <w:bCs/>
          <w:color w:val="auto"/>
          <w:sz w:val="24"/>
          <w:highlight w:val="none"/>
        </w:rPr>
        <w:t>方案</w:t>
      </w:r>
      <w:r>
        <w:rPr>
          <w:rFonts w:hint="eastAsia" w:ascii="仿宋" w:hAnsi="仿宋" w:eastAsia="仿宋" w:cs="仿宋"/>
          <w:color w:val="auto"/>
          <w:sz w:val="24"/>
          <w:szCs w:val="22"/>
          <w:highlight w:val="none"/>
        </w:rPr>
        <w:t>；</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供应商诚信承诺书；</w:t>
      </w:r>
    </w:p>
    <w:p>
      <w:pPr>
        <w:pageBreakBefore w:val="0"/>
        <w:widowControl w:val="0"/>
        <w:numPr>
          <w:ilvl w:val="0"/>
          <w:numId w:val="2"/>
        </w:numPr>
        <w:tabs>
          <w:tab w:val="left" w:pos="540"/>
          <w:tab w:val="left" w:pos="900"/>
          <w:tab w:val="left" w:pos="1080"/>
          <w:tab w:val="clear" w:pos="1440"/>
        </w:tabs>
        <w:kinsoku/>
        <w:wordWrap/>
        <w:overflowPunct/>
        <w:topLinePunct w:val="0"/>
        <w:autoSpaceDE/>
        <w:autoSpaceDN/>
        <w:bidi w:val="0"/>
        <w:adjustRightInd/>
        <w:snapToGrid/>
        <w:spacing w:line="400" w:lineRule="exact"/>
        <w:ind w:left="720" w:right="84" w:rightChars="40" w:hanging="36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其他资料。</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 供应商应将磋商响应文件装订成册，并填写文件资料清单。</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12．磋商响应文件格式</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12.1 供应商应按磋商文件的磋商响应文件格式中提供的文件格式填写磋商书、磋商报价表、磋商报价分项表。</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13．磋商报价</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pageBreakBefore w:val="0"/>
        <w:widowControl w:val="0"/>
        <w:kinsoku/>
        <w:wordWrap/>
        <w:overflowPunct/>
        <w:topLinePunct w:val="0"/>
        <w:autoSpaceDE/>
        <w:autoSpaceDN/>
        <w:bidi w:val="0"/>
        <w:adjustRightInd/>
        <w:snapToGrid/>
        <w:spacing w:line="400" w:lineRule="exact"/>
        <w:ind w:left="629" w:right="84" w:rightChars="40" w:hanging="628" w:hangingChars="26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 算术性修正。算术性修正是指对磋商响应文件的报价明细进行校核，并对其算术上和运算上的差错给予修正。修正的原则如下：</w:t>
      </w:r>
    </w:p>
    <w:p>
      <w:pPr>
        <w:pageBreakBefore w:val="0"/>
        <w:widowControl w:val="0"/>
        <w:kinsoku/>
        <w:wordWrap/>
        <w:overflowPunct/>
        <w:topLinePunct w:val="0"/>
        <w:autoSpaceDE/>
        <w:autoSpaceDN/>
        <w:bidi w:val="0"/>
        <w:adjustRightInd/>
        <w:snapToGrid/>
        <w:spacing w:line="400" w:lineRule="exact"/>
        <w:ind w:left="720" w:right="84" w:rightChars="40" w:hanging="720" w:hanging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13.2.1 当以数字表示的金额与文字表示的金额有差异时，以文字表示的金额为准；</w:t>
      </w:r>
    </w:p>
    <w:p>
      <w:pPr>
        <w:pageBreakBefore w:val="0"/>
        <w:widowControl w:val="0"/>
        <w:kinsoku/>
        <w:wordWrap/>
        <w:overflowPunct/>
        <w:topLinePunct w:val="0"/>
        <w:autoSpaceDE/>
        <w:autoSpaceDN/>
        <w:bidi w:val="0"/>
        <w:adjustRightInd/>
        <w:snapToGrid/>
        <w:spacing w:line="400" w:lineRule="exact"/>
        <w:ind w:left="720" w:right="84" w:rightChars="40" w:hanging="720" w:hanging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13.2.2 当单价与数量相乘不等于合价时，以单价计算为准。如果单价有明显的小数点位置差错，应以标出的合价为准，同时对单价予以修正；</w:t>
      </w:r>
    </w:p>
    <w:p>
      <w:pPr>
        <w:pageBreakBefore w:val="0"/>
        <w:widowControl w:val="0"/>
        <w:kinsoku/>
        <w:wordWrap/>
        <w:overflowPunct/>
        <w:topLinePunct w:val="0"/>
        <w:autoSpaceDE/>
        <w:autoSpaceDN/>
        <w:bidi w:val="0"/>
        <w:adjustRightInd/>
        <w:snapToGrid/>
        <w:spacing w:line="400" w:lineRule="exact"/>
        <w:ind w:left="720" w:right="84" w:rightChars="40" w:hanging="720" w:hanging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13.2.3 当各明细部分的价格累计不等于合价时，应以各明细的累计计数为准，修正合价。</w:t>
      </w:r>
    </w:p>
    <w:p>
      <w:pPr>
        <w:pageBreakBefore w:val="0"/>
        <w:widowControl w:val="0"/>
        <w:kinsoku/>
        <w:wordWrap/>
        <w:overflowPunct/>
        <w:topLinePunct w:val="0"/>
        <w:autoSpaceDE/>
        <w:autoSpaceDN/>
        <w:bidi w:val="0"/>
        <w:adjustRightInd/>
        <w:snapToGrid/>
        <w:spacing w:line="400" w:lineRule="exact"/>
        <w:ind w:left="720" w:right="84" w:rightChars="40" w:hanging="720" w:hanging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13.2.4 按以上原则对算术性差错修正，应取得供应商的同意，并确认修正后最终磋商报价。如果供应商拒绝确认，则其磋商响应文件将不予以评审并按废标处理，没收其磋商担保。</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14．磋商货币</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14.1人民币报价。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2"/>
          <w:highlight w:val="none"/>
        </w:rPr>
        <w:t>15．供应商的证明文件：供应商必须提交证明其有资格进行磋商和有能力履行合同的文件（磋商响应文件格式），作为磋商响应文件的一部分。（如不满足以下条款将导致废标）</w:t>
      </w:r>
      <w:r>
        <w:rPr>
          <w:rFonts w:hint="eastAsia" w:ascii="仿宋" w:hAnsi="仿宋" w:eastAsia="仿宋" w:cs="仿宋"/>
          <w:color w:val="auto"/>
          <w:sz w:val="24"/>
          <w:szCs w:val="22"/>
          <w:highlight w:val="none"/>
        </w:rPr>
        <w:br w:type="textWrapping"/>
      </w:r>
      <w:r>
        <w:rPr>
          <w:rFonts w:hint="eastAsia" w:ascii="仿宋" w:hAnsi="仿宋" w:eastAsia="仿宋" w:cs="仿宋"/>
          <w:b/>
          <w:bCs/>
          <w:color w:val="auto"/>
          <w:sz w:val="24"/>
          <w:szCs w:val="24"/>
          <w:highlight w:val="none"/>
        </w:rPr>
        <w:t>满足《中华人民共和国政府采购法》第二十二条规定；</w:t>
      </w: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lang w:val="en-US" w:eastAsia="zh-CN"/>
        </w:rPr>
        <w:t>(1)具有独立承担民事责任的能力: 提供有效的营业执照;</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（2）具有履行合同所必需的设备和专业技术能力: 提供相关文件证明;</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lang w:val="en-US" w:eastAsia="zh-CN"/>
        </w:rPr>
        <w:t>(3)参加政府采购活动前三年内，在经营活动中没有重大违法记录，提供无重大违法记录声明函。</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lang w:val="en-US" w:eastAsia="zh-CN"/>
        </w:rPr>
        <w:t>（4）法定代表人授权委托书；</w:t>
      </w:r>
    </w:p>
    <w:p>
      <w:pPr>
        <w:pageBreakBefore w:val="0"/>
        <w:widowControl w:val="0"/>
        <w:kinsoku/>
        <w:wordWrap/>
        <w:overflowPunct/>
        <w:topLinePunct w:val="0"/>
        <w:autoSpaceDE/>
        <w:autoSpaceDN/>
        <w:bidi w:val="0"/>
        <w:adjustRightInd/>
        <w:snapToGrid/>
        <w:spacing w:line="400" w:lineRule="exact"/>
        <w:ind w:left="480" w:right="84" w:rightChars="40" w:hanging="480"/>
        <w:textAlignment w:val="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本项目不接受联合体投标</w:t>
      </w:r>
      <w:r>
        <w:rPr>
          <w:rFonts w:hint="eastAsia" w:ascii="仿宋" w:hAnsi="仿宋" w:eastAsia="仿宋" w:cs="仿宋"/>
          <w:b/>
          <w:bCs/>
          <w:color w:val="auto"/>
          <w:sz w:val="24"/>
          <w:szCs w:val="22"/>
          <w:highlight w:val="none"/>
        </w:rPr>
        <w:t>。</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注：（1）磋商响应文件中，</w:t>
      </w:r>
      <w:r>
        <w:rPr>
          <w:rFonts w:hint="eastAsia" w:ascii="仿宋" w:hAnsi="仿宋" w:eastAsia="仿宋" w:cs="仿宋"/>
          <w:b/>
          <w:bCs/>
          <w:color w:val="auto"/>
          <w:sz w:val="24"/>
          <w:highlight w:val="none"/>
        </w:rPr>
        <w:t>供应商</w:t>
      </w:r>
      <w:r>
        <w:rPr>
          <w:rFonts w:hint="eastAsia" w:ascii="仿宋" w:hAnsi="仿宋" w:eastAsia="仿宋" w:cs="仿宋"/>
          <w:b/>
          <w:bCs/>
          <w:color w:val="auto"/>
          <w:sz w:val="24"/>
          <w:highlight w:val="none"/>
          <w:lang w:eastAsia="zh-CN"/>
        </w:rPr>
        <w:t>应按照磋商文件规定加盖电子印章</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法定代表人印章</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法定代表人</w:t>
      </w:r>
      <w:r>
        <w:rPr>
          <w:rFonts w:hint="eastAsia" w:ascii="仿宋" w:hAnsi="仿宋" w:eastAsia="仿宋" w:cs="仿宋"/>
          <w:b/>
          <w:bCs/>
          <w:color w:val="auto"/>
          <w:sz w:val="24"/>
          <w:highlight w:val="none"/>
        </w:rPr>
        <w:t>授权人签字</w:t>
      </w:r>
      <w:r>
        <w:rPr>
          <w:rFonts w:hint="eastAsia" w:ascii="仿宋" w:hAnsi="仿宋" w:eastAsia="仿宋" w:cs="仿宋"/>
          <w:b/>
          <w:bCs/>
          <w:color w:val="auto"/>
          <w:sz w:val="24"/>
          <w:highlight w:val="none"/>
          <w:lang w:eastAsia="zh-CN"/>
        </w:rPr>
        <w:t>或印章</w:t>
      </w:r>
      <w:r>
        <w:rPr>
          <w:rFonts w:hint="eastAsia" w:ascii="仿宋" w:hAnsi="仿宋" w:eastAsia="仿宋" w:cs="仿宋"/>
          <w:b/>
          <w:bCs/>
          <w:color w:val="auto"/>
          <w:sz w:val="24"/>
          <w:highlight w:val="none"/>
        </w:rPr>
        <w:t>；</w:t>
      </w:r>
    </w:p>
    <w:p>
      <w:pPr>
        <w:pageBreakBefore w:val="0"/>
        <w:widowControl w:val="0"/>
        <w:numPr>
          <w:ilvl w:val="0"/>
          <w:numId w:val="6"/>
        </w:numPr>
        <w:kinsoku/>
        <w:wordWrap/>
        <w:overflowPunct/>
        <w:topLinePunct w:val="0"/>
        <w:autoSpaceDE/>
        <w:autoSpaceDN/>
        <w:bidi w:val="0"/>
        <w:adjustRightInd/>
        <w:snapToGrid/>
        <w:spacing w:line="400" w:lineRule="exact"/>
        <w:ind w:right="84" w:rightChars="40" w:firstLine="361" w:firstLineChars="15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所有资格证明文件必须满足磋商文件要求，否则将导致废标。</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 </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服务符合磋商文件规定的技术响应文件</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16.1上述文件可以是文字资料、图纸和数据，并提供：</w:t>
      </w:r>
    </w:p>
    <w:p>
      <w:pPr>
        <w:pageBreakBefore w:val="0"/>
        <w:widowControl w:val="0"/>
        <w:kinsoku/>
        <w:wordWrap/>
        <w:overflowPunct/>
        <w:topLinePunct w:val="0"/>
        <w:autoSpaceDE/>
        <w:autoSpaceDN/>
        <w:bidi w:val="0"/>
        <w:adjustRightInd/>
        <w:snapToGrid/>
        <w:spacing w:line="400" w:lineRule="exact"/>
        <w:ind w:right="84" w:rightChars="40" w:firstLine="48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）服务描述</w:t>
      </w:r>
    </w:p>
    <w:p>
      <w:pPr>
        <w:pageBreakBefore w:val="0"/>
        <w:widowControl w:val="0"/>
        <w:kinsoku/>
        <w:wordWrap/>
        <w:overflowPunct/>
        <w:topLinePunct w:val="0"/>
        <w:autoSpaceDE/>
        <w:autoSpaceDN/>
        <w:bidi w:val="0"/>
        <w:adjustRightInd/>
        <w:snapToGrid/>
        <w:spacing w:line="400" w:lineRule="exact"/>
        <w:ind w:right="84" w:rightChars="40"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）服务方案。</w:t>
      </w:r>
    </w:p>
    <w:p>
      <w:pPr>
        <w:pageBreakBefore w:val="0"/>
        <w:widowControl w:val="0"/>
        <w:kinsoku/>
        <w:wordWrap/>
        <w:overflowPunct/>
        <w:topLinePunct w:val="0"/>
        <w:autoSpaceDE/>
        <w:autoSpaceDN/>
        <w:bidi w:val="0"/>
        <w:adjustRightInd/>
        <w:snapToGrid/>
        <w:spacing w:line="400" w:lineRule="exact"/>
        <w:ind w:right="84" w:rightChars="40"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）实施该项目包含的主要设备等；</w:t>
      </w:r>
    </w:p>
    <w:p>
      <w:pPr>
        <w:pageBreakBefore w:val="0"/>
        <w:widowControl w:val="0"/>
        <w:kinsoku/>
        <w:wordWrap/>
        <w:overflowPunct/>
        <w:topLinePunct w:val="0"/>
        <w:autoSpaceDE/>
        <w:autoSpaceDN/>
        <w:bidi w:val="0"/>
        <w:adjustRightInd/>
        <w:snapToGrid/>
        <w:spacing w:line="400" w:lineRule="exact"/>
        <w:ind w:right="84" w:rightChars="40"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没有按要求提供资料或提供资料不完全，将是对本次采购没有作出实质性响应，其风险由供应商自行承担。</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17．磋商的有效期</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17.1</w:t>
      </w:r>
      <w:r>
        <w:rPr>
          <w:rFonts w:hint="eastAsia" w:ascii="仿宋" w:hAnsi="仿宋" w:eastAsia="仿宋" w:cs="仿宋"/>
          <w:b/>
          <w:color w:val="auto"/>
          <w:sz w:val="24"/>
          <w:highlight w:val="none"/>
        </w:rPr>
        <w:t>磋商有效期从提交磋商响应文件截止之日起开始计算，期限为</w:t>
      </w:r>
      <w:r>
        <w:rPr>
          <w:rFonts w:hint="eastAsia" w:ascii="仿宋" w:hAnsi="仿宋" w:eastAsia="仿宋" w:cs="仿宋"/>
          <w:b/>
          <w:color w:val="auto"/>
          <w:sz w:val="24"/>
          <w:highlight w:val="none"/>
          <w:lang w:val="en-US" w:eastAsia="zh-CN"/>
        </w:rPr>
        <w:t>90</w:t>
      </w:r>
      <w:r>
        <w:rPr>
          <w:rFonts w:hint="eastAsia" w:ascii="仿宋" w:hAnsi="仿宋" w:eastAsia="仿宋" w:cs="仿宋"/>
          <w:b/>
          <w:color w:val="auto"/>
          <w:sz w:val="24"/>
          <w:highlight w:val="none"/>
        </w:rPr>
        <w:t>天；</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 在特殊情况下，采购代理机构可与供应商商量延长磋商响应文件的有效期。</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18．磋商响应文件的书写要求。</w:t>
      </w:r>
      <w:r>
        <w:rPr>
          <w:rFonts w:hint="eastAsia" w:ascii="仿宋" w:hAnsi="仿宋" w:eastAsia="仿宋" w:cs="仿宋"/>
          <w:color w:val="auto"/>
          <w:sz w:val="24"/>
          <w:highlight w:val="none"/>
          <w:lang w:eastAsia="zh-CN"/>
        </w:rPr>
        <w:t>（全流程不见面除外）</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 磋商响应文件须打印。</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18.2 磋商响应文件应清楚工整，修改处应由磋商供应商全权代表签章。</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18.3磋商响应文件应由法人代表或法人授权代表在凡规定签章处逐一签署及加盖单位的公章。</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18.4电报、电话、传真形式的磋商概不接受。</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18.5磋商响应文件的份数：</w:t>
      </w:r>
      <w:r>
        <w:rPr>
          <w:rFonts w:hint="eastAsia" w:ascii="仿宋" w:hAnsi="仿宋" w:eastAsia="仿宋" w:cs="仿宋"/>
          <w:color w:val="auto"/>
          <w:sz w:val="24"/>
          <w:szCs w:val="22"/>
          <w:highlight w:val="none"/>
          <w:lang w:eastAsia="zh-CN"/>
        </w:rPr>
        <w:t>详见供应商须知前附表</w:t>
      </w:r>
      <w:r>
        <w:rPr>
          <w:rFonts w:hint="eastAsia" w:ascii="仿宋" w:hAnsi="仿宋" w:eastAsia="仿宋" w:cs="仿宋"/>
          <w:color w:val="auto"/>
          <w:sz w:val="24"/>
          <w:szCs w:val="22"/>
          <w:highlight w:val="none"/>
        </w:rPr>
        <w:t>。</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19．磋商保证金</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19.1供应商按照供应商须知附表要求的金额，于磋商响应文件递交截止时间前向采购代理机构交纳磋商保证金。</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19.2磋商保证金有效期应当与磋商响应有效期一致。</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19.3磋商保证金的退还时间：</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19.3在成交通知书发出后5个工作日内退还未成交供应商的磋商保证金，在采购合同签订后5个工作日内退还成交供应商的磋商保证金。不计利息。退还方式参照第五部分磋商响应文件格式中“退磋商保证金的函”。</w:t>
      </w:r>
    </w:p>
    <w:p>
      <w:pPr>
        <w:pStyle w:val="2"/>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p>
    <w:p>
      <w:pPr>
        <w:pStyle w:val="4"/>
        <w:pageBreakBefore w:val="0"/>
        <w:widowControl w:val="0"/>
        <w:kinsoku/>
        <w:wordWrap/>
        <w:overflowPunct/>
        <w:topLinePunct w:val="0"/>
        <w:autoSpaceDE/>
        <w:autoSpaceDN/>
        <w:bidi w:val="0"/>
        <w:adjustRightInd/>
        <w:snapToGrid/>
        <w:spacing w:before="100" w:beforeAutospacing="1" w:after="100" w:afterAutospacing="1" w:line="400" w:lineRule="exact"/>
        <w:ind w:right="84" w:rightChars="40"/>
        <w:jc w:val="center"/>
        <w:textAlignment w:val="auto"/>
        <w:rPr>
          <w:rFonts w:hint="eastAsia" w:ascii="仿宋" w:hAnsi="仿宋" w:eastAsia="仿宋" w:cs="仿宋"/>
          <w:color w:val="auto"/>
          <w:sz w:val="28"/>
          <w:szCs w:val="28"/>
          <w:highlight w:val="none"/>
        </w:rPr>
      </w:pPr>
      <w:bookmarkStart w:id="59" w:name="_Toc349637923"/>
      <w:bookmarkStart w:id="60" w:name="_Toc298240408"/>
      <w:bookmarkStart w:id="61" w:name="_Toc349573124"/>
      <w:bookmarkStart w:id="62" w:name="_Toc267301285"/>
      <w:bookmarkStart w:id="63" w:name="_Toc8157"/>
      <w:r>
        <w:rPr>
          <w:rFonts w:hint="eastAsia" w:ascii="仿宋" w:hAnsi="仿宋" w:eastAsia="仿宋" w:cs="仿宋"/>
          <w:color w:val="auto"/>
          <w:sz w:val="28"/>
          <w:szCs w:val="28"/>
          <w:highlight w:val="none"/>
        </w:rPr>
        <w:t>D  磋商响应文件的递交</w:t>
      </w:r>
      <w:bookmarkEnd w:id="59"/>
      <w:bookmarkEnd w:id="60"/>
      <w:bookmarkEnd w:id="61"/>
      <w:bookmarkEnd w:id="62"/>
      <w:bookmarkEnd w:id="63"/>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 磋商响应文件的密封与标记</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20.1 电子响应文件的内容通过数字证书进行加密并签章。未按要求加密和数字证书认证的响应文件，电子评标系统将无法接受,采购单位不予受理。</w:t>
      </w:r>
      <w:r>
        <w:rPr>
          <w:rFonts w:hint="eastAsia" w:ascii="仿宋" w:hAnsi="仿宋" w:eastAsia="仿宋" w:cs="仿宋"/>
          <w:color w:val="auto"/>
          <w:sz w:val="24"/>
          <w:highlight w:val="none"/>
          <w:lang w:eastAsia="zh-CN"/>
        </w:rPr>
        <w:t>全流程不见面项目</w:t>
      </w:r>
      <w:r>
        <w:rPr>
          <w:rFonts w:hint="eastAsia" w:ascii="仿宋" w:hAnsi="仿宋" w:eastAsia="仿宋" w:cs="仿宋"/>
          <w:color w:val="auto"/>
          <w:sz w:val="24"/>
          <w:highlight w:val="none"/>
          <w:lang w:val="en-US" w:eastAsia="zh-CN"/>
        </w:rPr>
        <w:t>开标现场</w:t>
      </w:r>
      <w:r>
        <w:rPr>
          <w:rFonts w:hint="eastAsia" w:ascii="仿宋" w:hAnsi="仿宋" w:eastAsia="仿宋" w:cs="仿宋"/>
          <w:color w:val="auto"/>
          <w:sz w:val="24"/>
          <w:highlight w:val="none"/>
          <w:lang w:eastAsia="zh-CN"/>
        </w:rPr>
        <w:t>供应商无需单独密封递交纸质版投标文件，</w:t>
      </w:r>
      <w:r>
        <w:rPr>
          <w:rFonts w:hint="eastAsia" w:ascii="仿宋" w:hAnsi="仿宋" w:eastAsia="仿宋" w:cs="仿宋"/>
          <w:color w:val="auto"/>
          <w:sz w:val="24"/>
          <w:highlight w:val="none"/>
          <w:lang w:val="en-US" w:eastAsia="zh-CN"/>
        </w:rPr>
        <w:t>开标后各投标单位需提供纸质文件至代理机构</w:t>
      </w:r>
      <w:r>
        <w:rPr>
          <w:rFonts w:hint="eastAsia" w:ascii="仿宋" w:hAnsi="仿宋" w:eastAsia="仿宋" w:cs="仿宋"/>
          <w:color w:val="auto"/>
          <w:sz w:val="24"/>
          <w:highlight w:val="none"/>
          <w:lang w:eastAsia="zh-CN"/>
        </w:rPr>
        <w:t>。</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20.</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磋商响应文件装订要求：磋商响应文件要求不得活页装订</w:t>
      </w:r>
      <w:r>
        <w:rPr>
          <w:rFonts w:hint="eastAsia" w:ascii="仿宋" w:hAnsi="仿宋" w:eastAsia="仿宋" w:cs="仿宋"/>
          <w:color w:val="auto"/>
          <w:sz w:val="24"/>
          <w:highlight w:val="none"/>
          <w:lang w:eastAsia="zh-CN"/>
        </w:rPr>
        <w:t>。</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 磋商响应文件递交截止时间</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 磋商响应文件的递交不得迟于</w:t>
      </w:r>
      <w:r>
        <w:rPr>
          <w:rFonts w:hint="eastAsia" w:ascii="仿宋" w:hAnsi="仿宋" w:eastAsia="仿宋" w:cs="仿宋"/>
          <w:color w:val="auto"/>
          <w:kern w:val="0"/>
          <w:sz w:val="24"/>
          <w:szCs w:val="24"/>
          <w:highlight w:val="none"/>
          <w:lang w:eastAsia="zh-CN"/>
        </w:rPr>
        <w:t>供应商须知前附表要求的文件递交截止时间</w:t>
      </w:r>
      <w:r>
        <w:rPr>
          <w:rFonts w:hint="eastAsia" w:ascii="仿宋" w:hAnsi="仿宋" w:eastAsia="仿宋" w:cs="仿宋"/>
          <w:color w:val="auto"/>
          <w:sz w:val="24"/>
          <w:highlight w:val="none"/>
        </w:rPr>
        <w:t>。</w:t>
      </w:r>
    </w:p>
    <w:p>
      <w:pPr>
        <w:pageBreakBefore w:val="0"/>
        <w:widowControl w:val="0"/>
        <w:kinsoku/>
        <w:wordWrap/>
        <w:overflowPunct/>
        <w:topLinePunct w:val="0"/>
        <w:autoSpaceDE/>
        <w:autoSpaceDN/>
        <w:bidi w:val="0"/>
        <w:adjustRightInd/>
        <w:snapToGrid/>
        <w:spacing w:line="400" w:lineRule="exact"/>
        <w:ind w:left="540" w:leftChars="257"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磋商响应文件</w:t>
      </w:r>
      <w:r>
        <w:rPr>
          <w:rFonts w:hint="eastAsia" w:ascii="仿宋" w:hAnsi="仿宋" w:eastAsia="仿宋" w:cs="仿宋"/>
          <w:color w:val="auto"/>
          <w:sz w:val="24"/>
          <w:highlight w:val="none"/>
          <w:lang w:eastAsia="zh-CN"/>
        </w:rPr>
        <w:t>需在响应截止时间前通过政采云https://www.zcygov.cn/上传完成。逾期上传的或者未上传到平台的响应文件，采购人不予受理）</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 所有磋商响应文件不论派人送交还是通过邮寄递交，都必须按采购代理机构在磋商邀请中规定的磋商响应文件递交截止时间之前送到磋商文件规定的地点；</w:t>
      </w:r>
      <w:r>
        <w:rPr>
          <w:rFonts w:hint="eastAsia" w:ascii="仿宋" w:hAnsi="仿宋" w:eastAsia="仿宋" w:cs="仿宋"/>
          <w:color w:val="auto"/>
          <w:sz w:val="24"/>
          <w:highlight w:val="none"/>
          <w:lang w:eastAsia="zh-CN"/>
        </w:rPr>
        <w:t>（全流程不见面除外）</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21.3 采购单位将拒绝并原封退回在规定的响应文件递交截止期后送达的任何响应文件。由于对网上招标操作不熟悉或自身电脑、网络的原因导致不能在响应文件递交截止时间之前上传响应文件，自行承担后果。建议于开标前1个工作日完成响应文件的制作与上传。</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22．磋商响应文件的修改和撤销</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22.1 供应商在提交磋商响应文件后可对其磋商响应文件进行修改或撤销，供应商在</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4"/>
        <w:pageBreakBefore w:val="0"/>
        <w:widowControl w:val="0"/>
        <w:kinsoku/>
        <w:wordWrap/>
        <w:overflowPunct/>
        <w:topLinePunct w:val="0"/>
        <w:autoSpaceDE/>
        <w:autoSpaceDN/>
        <w:bidi w:val="0"/>
        <w:adjustRightInd/>
        <w:snapToGrid/>
        <w:spacing w:before="100" w:beforeAutospacing="1" w:after="100" w:afterAutospacing="1" w:line="400" w:lineRule="exact"/>
        <w:ind w:right="84" w:rightChars="40"/>
        <w:jc w:val="center"/>
        <w:textAlignment w:val="auto"/>
        <w:rPr>
          <w:rFonts w:hint="eastAsia" w:ascii="仿宋" w:hAnsi="仿宋" w:eastAsia="仿宋" w:cs="仿宋"/>
          <w:color w:val="auto"/>
          <w:sz w:val="28"/>
          <w:szCs w:val="28"/>
          <w:highlight w:val="none"/>
        </w:rPr>
      </w:pPr>
      <w:bookmarkStart w:id="64" w:name="_Toc5656"/>
      <w:bookmarkStart w:id="65" w:name="_Toc349637924"/>
      <w:bookmarkStart w:id="66" w:name="_Toc267301286"/>
      <w:bookmarkStart w:id="67" w:name="_Toc349573125"/>
      <w:bookmarkStart w:id="68" w:name="_Toc298240409"/>
      <w:r>
        <w:rPr>
          <w:rFonts w:hint="eastAsia" w:ascii="仿宋" w:hAnsi="仿宋" w:eastAsia="仿宋" w:cs="仿宋"/>
          <w:color w:val="auto"/>
          <w:sz w:val="28"/>
          <w:szCs w:val="28"/>
          <w:highlight w:val="none"/>
        </w:rPr>
        <w:t>E  磋商程序</w:t>
      </w:r>
      <w:bookmarkEnd w:id="64"/>
      <w:bookmarkEnd w:id="65"/>
      <w:bookmarkEnd w:id="66"/>
      <w:bookmarkEnd w:id="67"/>
      <w:bookmarkEnd w:id="68"/>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23．磋商</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23.1 本次磋商按磋商文件中磋商邀请规定的时间地点进行磋商，将邀请供应商的法定代表人或其授权委托人准时参加</w:t>
      </w:r>
      <w:r>
        <w:rPr>
          <w:rFonts w:hint="eastAsia" w:ascii="仿宋" w:hAnsi="仿宋" w:eastAsia="仿宋" w:cs="仿宋"/>
          <w:color w:val="auto"/>
          <w:sz w:val="24"/>
          <w:szCs w:val="22"/>
          <w:highlight w:val="none"/>
          <w:lang w:val="en-US" w:eastAsia="zh-CN"/>
        </w:rPr>
        <w:t>线上</w:t>
      </w:r>
      <w:r>
        <w:rPr>
          <w:rFonts w:hint="eastAsia" w:ascii="仿宋" w:hAnsi="仿宋" w:eastAsia="仿宋" w:cs="仿宋"/>
          <w:color w:val="auto"/>
          <w:sz w:val="24"/>
          <w:szCs w:val="22"/>
          <w:highlight w:val="none"/>
        </w:rPr>
        <w:t>磋商会；</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rPr>
        <w:t>23.</w:t>
      </w: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lang w:eastAsia="zh-CN"/>
        </w:rPr>
        <w:t>响应文件解密</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解密时长为30分钟。</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23.3供应商对一次报价进行线上签字确认。</w:t>
      </w:r>
    </w:p>
    <w:p>
      <w:pPr>
        <w:pStyle w:val="14"/>
        <w:rPr>
          <w:rFonts w:hint="default"/>
          <w:color w:val="auto"/>
          <w:lang w:val="en-US" w:eastAsia="zh-CN"/>
        </w:rPr>
      </w:pPr>
      <w:r>
        <w:rPr>
          <w:rFonts w:hint="eastAsia" w:ascii="仿宋" w:hAnsi="仿宋" w:eastAsia="仿宋" w:cs="仿宋"/>
          <w:color w:val="auto"/>
          <w:sz w:val="24"/>
          <w:szCs w:val="22"/>
          <w:highlight w:val="none"/>
          <w:lang w:val="en-US" w:eastAsia="zh-CN"/>
        </w:rPr>
        <w:t>23.4评标委员会进行资格性审查、符合性审核及商务技术评审。</w:t>
      </w:r>
    </w:p>
    <w:p>
      <w:pPr>
        <w:pStyle w:val="14"/>
        <w:rPr>
          <w:rFonts w:hint="default"/>
          <w:color w:val="auto"/>
          <w:lang w:val="en-US" w:eastAsia="zh-CN"/>
        </w:rPr>
      </w:pPr>
      <w:r>
        <w:rPr>
          <w:rFonts w:hint="eastAsia" w:ascii="仿宋" w:hAnsi="仿宋" w:eastAsia="仿宋" w:cs="仿宋"/>
          <w:color w:val="auto"/>
          <w:sz w:val="24"/>
          <w:szCs w:val="22"/>
          <w:highlight w:val="none"/>
          <w:lang w:val="en-US" w:eastAsia="zh-CN"/>
        </w:rPr>
        <w:t>23.5供应商线上二次报价.</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w:t>
      </w: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rPr>
        <w:t>对采购方的纪律要求；</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采购方不得泄露磋商活动中应当保密的情况和资料，不得与供应商串通损害国家利益、社会公共利益或者他人合法权益；</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23.6对供应商的纪律要求</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23.7 对与磋商活动有关的工作人员的纪律要求</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23.8对磋商小组成员要求磋商纪律</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23.8.1磋商小组应当依照有关法律法规的规定，按照磋商文件确定的磋商标准和办法客观、公正的对磋商响应文件提出评审意见。磋商文件没有规定的磋商标准和方法不得作为磋商依据；</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23.8.2磋商小组成员不得私下接触供应商，不得收受供应商给予的财务或者其他好处，不得向采购方征询确定成交方意向；</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23.8.3不得接受任何单位或个人明示或暗示提出的倾向或排斥特定供应商的要求；</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23.8.4不得有其他不客观，不公正履行职务的行为。</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24．磋商过程</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24.1 磋商的依据为磋商文件和磋商响应文件。</w:t>
      </w:r>
    </w:p>
    <w:p>
      <w:pPr>
        <w:pageBreakBefore w:val="0"/>
        <w:widowControl w:val="0"/>
        <w:kinsoku/>
        <w:wordWrap/>
        <w:overflowPunct/>
        <w:topLinePunct w:val="0"/>
        <w:autoSpaceDE/>
        <w:autoSpaceDN/>
        <w:bidi w:val="0"/>
        <w:adjustRightInd/>
        <w:snapToGrid/>
        <w:spacing w:line="400" w:lineRule="exact"/>
        <w:ind w:left="602" w:right="84" w:rightChars="40" w:hanging="602" w:hangingChars="250"/>
        <w:textAlignment w:val="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24.2磋商时，</w:t>
      </w:r>
      <w:r>
        <w:rPr>
          <w:rFonts w:hint="eastAsia" w:ascii="仿宋" w:hAnsi="仿宋" w:eastAsia="仿宋" w:cs="仿宋"/>
          <w:b/>
          <w:bCs/>
          <w:color w:val="auto"/>
          <w:sz w:val="24"/>
          <w:szCs w:val="22"/>
          <w:highlight w:val="none"/>
          <w:lang w:eastAsia="zh-CN"/>
        </w:rPr>
        <w:t>采购人或采购代理机构</w:t>
      </w:r>
      <w:r>
        <w:rPr>
          <w:rFonts w:hint="eastAsia" w:ascii="仿宋" w:hAnsi="仿宋" w:eastAsia="仿宋" w:cs="仿宋"/>
          <w:b/>
          <w:bCs/>
          <w:color w:val="auto"/>
          <w:sz w:val="24"/>
          <w:szCs w:val="22"/>
          <w:highlight w:val="none"/>
        </w:rPr>
        <w:t>将对供应商进行资格审核</w:t>
      </w:r>
      <w:r>
        <w:rPr>
          <w:rFonts w:hint="eastAsia" w:ascii="仿宋" w:hAnsi="仿宋" w:eastAsia="仿宋" w:cs="仿宋"/>
          <w:b/>
          <w:bCs/>
          <w:color w:val="auto"/>
          <w:sz w:val="24"/>
          <w:szCs w:val="22"/>
          <w:highlight w:val="none"/>
          <w:lang w:eastAsia="zh-CN"/>
        </w:rPr>
        <w:t>（具体详见资格审核表）</w:t>
      </w:r>
      <w:r>
        <w:rPr>
          <w:rFonts w:hint="eastAsia" w:ascii="仿宋" w:hAnsi="仿宋" w:eastAsia="仿宋" w:cs="仿宋"/>
          <w:b/>
          <w:bCs/>
          <w:color w:val="auto"/>
          <w:sz w:val="24"/>
          <w:szCs w:val="22"/>
          <w:highlight w:val="none"/>
        </w:rPr>
        <w:t>；</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24.3对通过资格审核的供应商，磋商小组将审查磋商响应文件是否完整，是否有计算错误，要求的保证金是否提供，文件是否恰当地签署；</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24.4 在对磋商响应文件进行详细评估之前，磋商小组将依据供应商提供的资格证明文件审查供应商的财务、技术和生产能力。如果确定供应商无资格履行合同，其响应文件将被拒绝；</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24.5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的供应商的公平竞争地位；  </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25．磋商响应文件的澄清</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对重要内容作出书面答复；</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25.2 要澄清的答复应是书面的，但不得对磋商内容进行实质性修改。澄清文件须由供应商法人代表或法人授权代表签字和/或加盖公章并作为磋商响应文件的组成部分；</w:t>
      </w:r>
    </w:p>
    <w:p>
      <w:pPr>
        <w:pageBreakBefore w:val="0"/>
        <w:widowControl w:val="0"/>
        <w:kinsoku/>
        <w:wordWrap/>
        <w:overflowPunct/>
        <w:topLinePunct w:val="0"/>
        <w:autoSpaceDE/>
        <w:autoSpaceDN/>
        <w:bidi w:val="0"/>
        <w:adjustRightInd/>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 磋商结束后，磋商小组应当要求所有实质性响应的供应商在规定时间内提交最后报价。</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26．确定成交供应商的办法</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26.1磋商小组按照磋商文件要求对磋商响应文件中的供应商资格、供应商资格证明文件、重要技术指标以及技术和商务上要求的其它重要内容进行审核。</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26.2</w:t>
      </w:r>
      <w:r>
        <w:rPr>
          <w:rFonts w:hint="eastAsia" w:ascii="仿宋" w:hAnsi="仿宋" w:eastAsia="仿宋" w:cs="仿宋"/>
          <w:color w:val="auto"/>
          <w:sz w:val="24"/>
          <w:szCs w:val="24"/>
          <w:highlight w:val="none"/>
          <w:shd w:val="clear" w:color="auto" w:fill="FFFFFF"/>
        </w:rPr>
        <w:t>经磋商确定最后报价的供应商后，由磋商小组采用综合评分法对提交最后报价的供应商的响应文件和最后报价进行综合评分。</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对响应文件的评估和比较分为两步进行，磋商小组会按照磋商文件要求对响应文件中的供应商资格、供应商资格证明文件、重要技术指标以及技术和商务上要求的其它重要内容进行审核，审核合格后即视为实质性响应的文件，进行第二个步骤：对实质性响应的文件进行评估和比较采用综合评分法进行打分评比，打分方法：总分为100分，其中价格因素占</w:t>
      </w:r>
      <w:r>
        <w:rPr>
          <w:rFonts w:hint="eastAsia" w:ascii="仿宋" w:hAnsi="仿宋" w:eastAsia="仿宋" w:cs="仿宋"/>
          <w:bCs/>
          <w:color w:val="auto"/>
          <w:sz w:val="24"/>
          <w:highlight w:val="none"/>
          <w:lang w:val="en-US" w:eastAsia="zh-CN"/>
        </w:rPr>
        <w:t>15</w:t>
      </w:r>
      <w:r>
        <w:rPr>
          <w:rFonts w:hint="eastAsia" w:ascii="仿宋" w:hAnsi="仿宋" w:eastAsia="仿宋" w:cs="仿宋"/>
          <w:bCs/>
          <w:color w:val="auto"/>
          <w:sz w:val="24"/>
          <w:highlight w:val="none"/>
        </w:rPr>
        <w:t>分，技术因素、商务因素占</w:t>
      </w:r>
      <w:r>
        <w:rPr>
          <w:rFonts w:hint="eastAsia" w:ascii="仿宋" w:hAnsi="仿宋" w:eastAsia="仿宋" w:cs="仿宋"/>
          <w:bCs/>
          <w:color w:val="auto"/>
          <w:sz w:val="24"/>
          <w:highlight w:val="none"/>
          <w:lang w:val="en-US" w:eastAsia="zh-CN"/>
        </w:rPr>
        <w:t>85</w:t>
      </w:r>
      <w:r>
        <w:rPr>
          <w:rFonts w:hint="eastAsia" w:ascii="仿宋" w:hAnsi="仿宋" w:eastAsia="仿宋" w:cs="仿宋"/>
          <w:bCs/>
          <w:color w:val="auto"/>
          <w:sz w:val="24"/>
          <w:highlight w:val="none"/>
        </w:rPr>
        <w:t>分。将每位供应商的价格得分、技术得分、商务得分相加即为该供应商的总得分。详细评分标准如下：</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rPr>
        <w:t xml:space="preserve">   综合评分法中的价格分统一采用低价优先法计算，即满足磋商文件要求且最后报价最低的供应商的价格为磋商基准价，其价格分为满分。其他供应商的价格分统一按照下列公式计算：</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　磋商报价得分=（磋商基准价/最终磋商报价）×价格权值（</w:t>
      </w:r>
      <w:r>
        <w:rPr>
          <w:rFonts w:hint="eastAsia" w:ascii="仿宋" w:hAnsi="仿宋" w:eastAsia="仿宋" w:cs="仿宋"/>
          <w:b/>
          <w:bCs/>
          <w:color w:val="auto"/>
          <w:sz w:val="24"/>
          <w:szCs w:val="24"/>
          <w:highlight w:val="none"/>
          <w:shd w:val="clear" w:color="auto" w:fill="FFFFFF"/>
          <w:lang w:val="en-US" w:eastAsia="zh-CN"/>
        </w:rPr>
        <w:t>15</w:t>
      </w:r>
      <w:r>
        <w:rPr>
          <w:rFonts w:hint="eastAsia" w:ascii="仿宋" w:hAnsi="仿宋" w:eastAsia="仿宋" w:cs="仿宋"/>
          <w:b/>
          <w:bCs/>
          <w:color w:val="auto"/>
          <w:sz w:val="24"/>
          <w:szCs w:val="24"/>
          <w:highlight w:val="none"/>
          <w:shd w:val="clear" w:color="auto" w:fill="FFFFFF"/>
        </w:rPr>
        <w:t>%）×100</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color w:val="auto"/>
          <w:spacing w:val="0"/>
          <w:sz w:val="24"/>
          <w:szCs w:val="20"/>
          <w:highlight w:val="none"/>
          <w:lang w:val="en-US" w:bidi="ar-SA"/>
        </w:rPr>
      </w:pPr>
      <w:r>
        <w:rPr>
          <w:rFonts w:hint="eastAsia" w:ascii="仿宋" w:hAnsi="仿宋" w:eastAsia="仿宋" w:cs="仿宋"/>
          <w:color w:val="auto"/>
          <w:spacing w:val="0"/>
          <w:sz w:val="24"/>
          <w:szCs w:val="20"/>
          <w:highlight w:val="none"/>
          <w:lang w:val="en-US" w:bidi="ar-SA"/>
        </w:rPr>
        <w:t xml:space="preserve">  </w:t>
      </w:r>
    </w:p>
    <w:p>
      <w:pPr>
        <w:pageBreakBefore w:val="0"/>
        <w:widowControl w:val="0"/>
        <w:kinsoku/>
        <w:wordWrap/>
        <w:overflowPunct/>
        <w:topLinePunct w:val="0"/>
        <w:autoSpaceDE/>
        <w:autoSpaceDN/>
        <w:bidi w:val="0"/>
        <w:adjustRightInd/>
        <w:snapToGrid/>
        <w:spacing w:line="400" w:lineRule="exact"/>
        <w:ind w:right="84" w:rightChars="40"/>
        <w:textAlignment w:val="auto"/>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rPr>
        <w:t>项目评审过程中，不得去掉最后报价中的最高报价和最低报价。技术、商务</w:t>
      </w:r>
      <w:r>
        <w:rPr>
          <w:rFonts w:hint="eastAsia" w:ascii="仿宋" w:hAnsi="仿宋" w:eastAsia="仿宋" w:cs="仿宋"/>
          <w:b/>
          <w:bCs/>
          <w:color w:val="auto"/>
          <w:sz w:val="24"/>
          <w:szCs w:val="24"/>
          <w:highlight w:val="none"/>
          <w:shd w:val="clear" w:color="auto" w:fill="FFFFFF"/>
          <w:lang w:val="en-US" w:eastAsia="zh-CN"/>
        </w:rPr>
        <w:t>85</w:t>
      </w:r>
      <w:r>
        <w:rPr>
          <w:rFonts w:hint="eastAsia" w:ascii="仿宋" w:hAnsi="仿宋" w:eastAsia="仿宋" w:cs="仿宋"/>
          <w:b/>
          <w:bCs/>
          <w:color w:val="auto"/>
          <w:sz w:val="24"/>
          <w:szCs w:val="24"/>
          <w:highlight w:val="none"/>
          <w:shd w:val="clear" w:color="auto" w:fill="FFFFFF"/>
        </w:rPr>
        <w:t>分</w:t>
      </w:r>
      <w:r>
        <w:rPr>
          <w:rFonts w:hint="eastAsia" w:ascii="仿宋" w:hAnsi="仿宋" w:eastAsia="仿宋" w:cs="仿宋"/>
          <w:b/>
          <w:bCs/>
          <w:color w:val="auto"/>
          <w:sz w:val="24"/>
          <w:szCs w:val="24"/>
          <w:highlight w:val="none"/>
          <w:shd w:val="clear" w:color="auto" w:fill="FFFFFF"/>
          <w:lang w:eastAsia="zh-CN"/>
        </w:rPr>
        <w:t>。</w:t>
      </w:r>
    </w:p>
    <w:p>
      <w:pPr>
        <w:spacing w:line="440" w:lineRule="exact"/>
        <w:rPr>
          <w:rFonts w:hint="eastAsia" w:ascii="仿宋" w:hAnsi="仿宋" w:eastAsia="仿宋" w:cs="仿宋"/>
          <w:b/>
          <w:bCs/>
          <w:color w:val="auto"/>
          <w:spacing w:val="-2"/>
          <w:sz w:val="24"/>
          <w:szCs w:val="24"/>
          <w:highlight w:val="none"/>
          <w:lang w:eastAsia="zh-CN"/>
        </w:rPr>
      </w:pPr>
    </w:p>
    <w:p>
      <w:pPr>
        <w:spacing w:line="440" w:lineRule="exact"/>
        <w:rPr>
          <w:rFonts w:hint="eastAsia" w:ascii="仿宋" w:hAnsi="仿宋" w:eastAsia="仿宋" w:cs="仿宋"/>
          <w:b/>
          <w:bCs/>
          <w:color w:val="auto"/>
          <w:spacing w:val="-2"/>
          <w:sz w:val="24"/>
          <w:szCs w:val="24"/>
          <w:highlight w:val="none"/>
          <w:lang w:eastAsia="zh-CN"/>
        </w:rPr>
      </w:pPr>
    </w:p>
    <w:p>
      <w:pPr>
        <w:spacing w:line="440" w:lineRule="exact"/>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lang w:eastAsia="zh-CN"/>
        </w:rPr>
        <w:t>附表</w:t>
      </w:r>
      <w:r>
        <w:rPr>
          <w:rFonts w:hint="eastAsia" w:ascii="仿宋" w:hAnsi="仿宋" w:eastAsia="仿宋" w:cs="仿宋"/>
          <w:b/>
          <w:bCs/>
          <w:color w:val="auto"/>
          <w:spacing w:val="-2"/>
          <w:sz w:val="24"/>
          <w:szCs w:val="24"/>
          <w:highlight w:val="none"/>
        </w:rPr>
        <w:t>1.资格性审查</w:t>
      </w:r>
    </w:p>
    <w:tbl>
      <w:tblPr>
        <w:tblStyle w:val="38"/>
        <w:tblpPr w:leftFromText="180" w:rightFromText="180" w:vertAnchor="text" w:horzAnchor="page" w:tblpX="1155" w:tblpY="229"/>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189"/>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34"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89"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5575"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734"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89" w:type="dxa"/>
            <w:noWrap w:val="0"/>
            <w:vAlign w:val="center"/>
          </w:tcPr>
          <w:p>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557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34"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189" w:type="dxa"/>
            <w:noWrap w:val="0"/>
            <w:vAlign w:val="center"/>
          </w:tcPr>
          <w:p>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具有履行合同所必需的设备和专业技术能力: </w:t>
            </w:r>
          </w:p>
        </w:tc>
        <w:tc>
          <w:tcPr>
            <w:tcW w:w="557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trPr>
        <w:tc>
          <w:tcPr>
            <w:tcW w:w="734"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189" w:type="dxa"/>
            <w:noWrap w:val="0"/>
            <w:vAlign w:val="center"/>
          </w:tcPr>
          <w:p>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无重大违法记录声明函。</w:t>
            </w:r>
            <w:r>
              <w:rPr>
                <w:rFonts w:hint="eastAsia" w:ascii="仿宋" w:hAnsi="仿宋" w:eastAsia="仿宋" w:cs="仿宋"/>
                <w:color w:val="auto"/>
                <w:sz w:val="24"/>
                <w:szCs w:val="24"/>
                <w:highlight w:val="none"/>
                <w:lang w:val="en-US" w:eastAsia="zh-CN"/>
              </w:rPr>
              <w:br w:type="textWrapping"/>
            </w:r>
          </w:p>
        </w:tc>
        <w:tc>
          <w:tcPr>
            <w:tcW w:w="5575" w:type="dxa"/>
            <w:noWrap w:val="0"/>
            <w:vAlign w:val="center"/>
          </w:tcPr>
          <w:p>
            <w:pPr>
              <w:rPr>
                <w:rFonts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参加政府采购活动前3年内在经营活动中没有重大违法记录的书面声明（格式自拟）</w:t>
            </w:r>
          </w:p>
          <w:p>
            <w:pPr>
              <w:pStyle w:val="12"/>
              <w:ind w:left="0" w:leftChars="0" w:firstLine="0" w:firstLineChars="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未处于中国政府采购网</w:t>
            </w:r>
            <w:r>
              <w:rPr>
                <w:rFonts w:hint="eastAsia" w:ascii="仿宋" w:hAnsi="仿宋" w:eastAsia="仿宋" w:cs="仿宋"/>
                <w:color w:val="auto"/>
                <w:sz w:val="24"/>
                <w:szCs w:val="24"/>
                <w:highlight w:val="none"/>
                <w:lang w:val="en-US"/>
              </w:rPr>
              <w:t>(www.ccgp.gov.cn)“</w:t>
            </w:r>
            <w:r>
              <w:rPr>
                <w:rFonts w:hint="eastAsia" w:ascii="仿宋" w:hAnsi="仿宋" w:eastAsia="仿宋" w:cs="仿宋"/>
                <w:color w:val="auto"/>
                <w:sz w:val="24"/>
                <w:szCs w:val="24"/>
                <w:highlight w:val="none"/>
              </w:rPr>
              <w:t>政府采购严重违法失信行为信息记录</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中的禁止参加政府采购活动期间</w:t>
            </w:r>
            <w:r>
              <w:rPr>
                <w:rFonts w:hint="eastAsia" w:ascii="仿宋" w:hAnsi="仿宋" w:eastAsia="仿宋" w:cs="仿宋"/>
                <w:color w:val="auto"/>
                <w:sz w:val="24"/>
                <w:szCs w:val="24"/>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734"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189" w:type="dxa"/>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法定代表人授权委托书</w:t>
            </w:r>
          </w:p>
        </w:tc>
        <w:tc>
          <w:tcPr>
            <w:tcW w:w="5575" w:type="dxa"/>
            <w:noWrap w:val="0"/>
            <w:vAlign w:val="center"/>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法定代表人授权委托书</w:t>
            </w:r>
          </w:p>
        </w:tc>
      </w:tr>
    </w:tbl>
    <w:p>
      <w:pPr>
        <w:spacing w:line="400" w:lineRule="atLeast"/>
        <w:ind w:right="84" w:rightChars="40"/>
        <w:rPr>
          <w:rFonts w:hint="eastAsia" w:ascii="仿宋" w:hAnsi="仿宋" w:eastAsia="仿宋" w:cs="仿宋"/>
          <w:b/>
          <w:bCs/>
          <w:color w:val="auto"/>
          <w:sz w:val="24"/>
          <w:szCs w:val="24"/>
          <w:highlight w:val="none"/>
          <w:shd w:val="clear" w:color="auto" w:fill="FFFFFF"/>
        </w:rPr>
      </w:pPr>
    </w:p>
    <w:p>
      <w:pPr>
        <w:widowControl/>
        <w:spacing w:line="460" w:lineRule="exact"/>
        <w:ind w:right="84" w:rightChars="40"/>
        <w:jc w:val="left"/>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br w:type="page"/>
      </w:r>
    </w:p>
    <w:p>
      <w:pPr>
        <w:widowControl/>
        <w:spacing w:line="460" w:lineRule="exact"/>
        <w:ind w:right="84" w:rightChars="40"/>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符合性审查</w:t>
      </w:r>
    </w:p>
    <w:p>
      <w:pPr>
        <w:widowControl/>
        <w:spacing w:line="460" w:lineRule="exact"/>
        <w:ind w:right="84" w:rightChars="40"/>
        <w:jc w:val="center"/>
        <w:rPr>
          <w:rFonts w:hint="eastAsia" w:ascii="仿宋" w:hAnsi="仿宋" w:eastAsia="仿宋" w:cs="仿宋"/>
          <w:b/>
          <w:bCs/>
          <w:color w:val="auto"/>
          <w:kern w:val="0"/>
          <w:sz w:val="32"/>
          <w:szCs w:val="32"/>
          <w:highlight w:val="none"/>
        </w:rPr>
      </w:pPr>
      <w:r>
        <w:rPr>
          <w:rFonts w:hint="eastAsia" w:ascii="仿宋" w:hAnsi="仿宋" w:eastAsia="仿宋" w:cs="仿宋"/>
          <w:bCs/>
          <w:color w:val="auto"/>
          <w:kern w:val="0"/>
          <w:szCs w:val="21"/>
          <w:highlight w:val="none"/>
        </w:rPr>
        <w:t xml:space="preserve">                             </w:t>
      </w:r>
    </w:p>
    <w:p>
      <w:pPr>
        <w:spacing w:line="420" w:lineRule="exact"/>
        <w:ind w:right="84" w:rightChars="40" w:firstLine="482" w:firstLineChars="200"/>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4"/>
          <w:highlight w:val="none"/>
        </w:rPr>
        <w:t>注：未通过初步审查的</w:t>
      </w:r>
      <w:r>
        <w:rPr>
          <w:rFonts w:hint="eastAsia" w:ascii="仿宋" w:hAnsi="仿宋" w:eastAsia="仿宋" w:cs="仿宋"/>
          <w:b/>
          <w:color w:val="auto"/>
          <w:sz w:val="24"/>
          <w:highlight w:val="none"/>
          <w:lang w:eastAsia="zh-CN"/>
        </w:rPr>
        <w:t>响应文件</w:t>
      </w:r>
      <w:r>
        <w:rPr>
          <w:rFonts w:hint="eastAsia" w:ascii="仿宋" w:hAnsi="仿宋" w:eastAsia="仿宋" w:cs="仿宋"/>
          <w:b/>
          <w:color w:val="auto"/>
          <w:sz w:val="24"/>
          <w:highlight w:val="none"/>
        </w:rPr>
        <w:t>，其</w:t>
      </w:r>
      <w:r>
        <w:rPr>
          <w:rFonts w:hint="eastAsia" w:ascii="仿宋" w:hAnsi="仿宋" w:eastAsia="仿宋" w:cs="仿宋"/>
          <w:b/>
          <w:color w:val="auto"/>
          <w:sz w:val="24"/>
          <w:highlight w:val="none"/>
          <w:lang w:eastAsia="zh-CN"/>
        </w:rPr>
        <w:t>响应文件</w:t>
      </w:r>
      <w:r>
        <w:rPr>
          <w:rFonts w:hint="eastAsia" w:ascii="仿宋" w:hAnsi="仿宋" w:eastAsia="仿宋" w:cs="仿宋"/>
          <w:b/>
          <w:color w:val="auto"/>
          <w:sz w:val="24"/>
          <w:highlight w:val="none"/>
        </w:rPr>
        <w:t>作为无效</w:t>
      </w:r>
      <w:r>
        <w:rPr>
          <w:rFonts w:hint="eastAsia" w:ascii="仿宋" w:hAnsi="仿宋" w:eastAsia="仿宋" w:cs="仿宋"/>
          <w:b/>
          <w:color w:val="auto"/>
          <w:sz w:val="24"/>
          <w:highlight w:val="none"/>
          <w:lang w:eastAsia="zh-CN"/>
        </w:rPr>
        <w:t>响应文件</w:t>
      </w:r>
      <w:r>
        <w:rPr>
          <w:rFonts w:hint="eastAsia" w:ascii="仿宋" w:hAnsi="仿宋" w:eastAsia="仿宋" w:cs="仿宋"/>
          <w:b/>
          <w:color w:val="auto"/>
          <w:sz w:val="24"/>
          <w:highlight w:val="none"/>
        </w:rPr>
        <w:t>，不进入下一步评审。</w:t>
      </w:r>
    </w:p>
    <w:p>
      <w:pPr>
        <w:widowControl/>
        <w:spacing w:line="460" w:lineRule="exact"/>
        <w:ind w:right="84" w:rightChars="40"/>
        <w:jc w:val="left"/>
        <w:rPr>
          <w:rFonts w:hint="eastAsia" w:ascii="仿宋" w:hAnsi="仿宋" w:eastAsia="仿宋" w:cs="仿宋"/>
          <w:b/>
          <w:color w:val="auto"/>
          <w:sz w:val="22"/>
          <w:szCs w:val="22"/>
          <w:highlight w:val="none"/>
          <w:lang w:eastAsia="zh-CN"/>
        </w:rPr>
      </w:pPr>
    </w:p>
    <w:p>
      <w:pPr>
        <w:widowControl/>
        <w:spacing w:line="460" w:lineRule="exact"/>
        <w:ind w:right="84" w:rightChars="40"/>
        <w:jc w:val="left"/>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eastAsia="zh-CN"/>
        </w:rPr>
        <w:t>附表</w:t>
      </w:r>
      <w:r>
        <w:rPr>
          <w:rFonts w:hint="eastAsia" w:ascii="仿宋" w:hAnsi="仿宋" w:eastAsia="仿宋" w:cs="仿宋"/>
          <w:b/>
          <w:color w:val="auto"/>
          <w:sz w:val="22"/>
          <w:szCs w:val="22"/>
          <w:highlight w:val="none"/>
          <w:lang w:val="en-US" w:eastAsia="zh-CN"/>
        </w:rPr>
        <w:t>2：</w:t>
      </w:r>
      <w:r>
        <w:rPr>
          <w:rFonts w:hint="eastAsia" w:ascii="仿宋" w:hAnsi="仿宋" w:eastAsia="仿宋" w:cs="仿宋"/>
          <w:b/>
          <w:color w:val="auto"/>
          <w:sz w:val="22"/>
          <w:szCs w:val="22"/>
          <w:highlight w:val="none"/>
        </w:rPr>
        <w:t>符合性审查</w:t>
      </w:r>
      <w:r>
        <w:rPr>
          <w:rFonts w:hint="eastAsia" w:ascii="仿宋" w:hAnsi="仿宋" w:eastAsia="仿宋" w:cs="仿宋"/>
          <w:b/>
          <w:color w:val="auto"/>
          <w:sz w:val="22"/>
          <w:szCs w:val="22"/>
          <w:highlight w:val="none"/>
        </w:rPr>
        <w:br w:type="textWrapping"/>
      </w:r>
    </w:p>
    <w:tbl>
      <w:tblPr>
        <w:tblStyle w:val="38"/>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68"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val="en-US" w:eastAsia="zh-CN"/>
              </w:rPr>
              <w:t>因素</w:t>
            </w:r>
          </w:p>
        </w:tc>
        <w:tc>
          <w:tcPr>
            <w:tcW w:w="5870"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67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响应文件签署</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文件“格式、内容、标识、签字、盖章”等符合</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文件要求；响应文件上法定代表人或其授权代理人的签字、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的单位章齐全符合竞争性磋商文件规定。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7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870"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法定代表人身份证明及授权委托书有效，且符合竞争性磋商文件规定的格式并按</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文件要求签字和盖章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7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响应方案</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268"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响应文件的格式</w:t>
            </w:r>
          </w:p>
        </w:tc>
        <w:tc>
          <w:tcPr>
            <w:tcW w:w="5870"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响应文件按竞争性磋商文件规定格式完整提供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响应文件内容</w:t>
            </w:r>
          </w:p>
        </w:tc>
        <w:tc>
          <w:tcPr>
            <w:tcW w:w="5870"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范围</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对竞争性磋商文件规定的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范围全部作出响应。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75"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服务期限</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268" w:type="dxa"/>
            <w:noWrap w:val="0"/>
            <w:vAlign w:val="center"/>
          </w:tcPr>
          <w:p>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服务方案</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5"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响应有效期</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5"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5870" w:type="dxa"/>
            <w:tcBorders>
              <w:bottom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响应文件未附有采购人不能接受的附加条件及法律、法规和竞争性磋商文件规定的其他无效情形。</w:t>
            </w:r>
          </w:p>
        </w:tc>
      </w:tr>
    </w:tbl>
    <w:p>
      <w:pPr>
        <w:widowControl/>
        <w:spacing w:line="460" w:lineRule="exact"/>
        <w:ind w:right="84" w:rightChars="40"/>
        <w:jc w:val="left"/>
        <w:rPr>
          <w:rFonts w:hint="eastAsia" w:ascii="仿宋" w:hAnsi="仿宋" w:eastAsia="仿宋" w:cs="仿宋"/>
          <w:b/>
          <w:color w:val="auto"/>
          <w:sz w:val="22"/>
          <w:szCs w:val="22"/>
          <w:highlight w:val="none"/>
          <w:lang w:val="en-US" w:eastAsia="zh-CN"/>
        </w:rPr>
      </w:pPr>
    </w:p>
    <w:p>
      <w:pPr>
        <w:ind w:right="84" w:rightChars="4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ind w:right="84" w:rightChars="4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附表</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：详细评审细则</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商务、技术评审表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6975"/>
        <w:gridCol w:w="900"/>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评审因素</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评分标准</w:t>
            </w: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分值</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公司资质</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公司需在行业内具备很高的影响力，属于相关一级行业协会内担任副会长及以上单位或相关一级行业协会直属分会会长单位得10分其余不得分（需提供相关可查证明，否则不得分）。</w:t>
            </w: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项目负责人专业能力</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项目负责人主编过国家级规划教材的15分（需提供相关教材名称，书号，出版社信息加盖单位公章另附教材评审为国家规划教材文件做为证明，否则不得分）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项目负责人参与起草过省部级及以上研学标准，每提供一项得5分，最高25分（需提供相关单位出具的文件通知，否则不得分）。</w:t>
            </w: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25分</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团队组建情况</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综合考虑拟组建项目执行团队人员配备情况及合理性。</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及课程研发成员（不包含项目负责人且不少于3人，需提供人员名单及依法签订的人员劳动合同）具备相关资格证书或中级及中级以上职业技能等级证书（包含1+X职业技能等级证书）得10分，每一人没有证书扣5分，人数不足3人每缺少一人扣5分，扣完为止（需提供相关证书复印件，否则不得分）。</w:t>
            </w: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项目负责人相关业绩</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近五年具有相关项目的业绩，每提供一项有效业绩得5分，最高得10分。（有效业绩需附合同复印件，未提供业绩证明材料或经评审小组认定为无效业绩得，本项不得分。）</w:t>
            </w: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运维实施方案</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投标人须根据本项目研学的需求，围绕不同学段提出初步开发方案，评委根据方案的内容进行综合评分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方案完整度高，测评依据真实可靠，客观性强，针对性强，适用性强，完全满足采购需求：15分；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方案完整度较高，测评依据较可靠，客观性较强，针对性较强，适用性较强，可以满足采购需求：10分；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方案完整度一般，测评依可靠性一般，客观性一般，针对性一般，适用性一般，基本满足采购需求：5分；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方案完整度较差，测评依据可靠性较差，客观性较差，针对性较差，适用性较差，无法完全满足采购需求：1分；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未提供该方案：0分</w:t>
            </w: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15分</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服务响应</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24小时能响应应急事件，并提出合理化建议，得6分；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48小时能响应应急事件，并提出合理化建议，得4分；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72小时能响应应急事件，并提出合理化建议，得2分；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服务承诺</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保证半年内针对课程内容组织培训，体系更新，分析执行效果，得4分；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保证一年内针对课程内容组织培训，体系更新，分析执行效果，得2分；</w:t>
            </w:r>
          </w:p>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无更新，得0分。</w:t>
            </w: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4分</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标函质量</w:t>
            </w:r>
          </w:p>
        </w:tc>
        <w:tc>
          <w:tcPr>
            <w:tcW w:w="6975" w:type="dxa"/>
          </w:tcPr>
          <w:p>
            <w:pPr>
              <w:pStyle w:val="22"/>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响应文件按磋商文件规定的格式，顺序编制内容齐全、目录清晰、页码准确，没有缺漏项，价格数量计算准确的计5分。不符合要求的，每处扣0.5分，扣完为止。</w:t>
            </w:r>
          </w:p>
        </w:tc>
        <w:tc>
          <w:tcPr>
            <w:tcW w:w="900"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c>
          <w:tcPr>
            <w:tcW w:w="838" w:type="dxa"/>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p>
        </w:tc>
      </w:tr>
    </w:tbl>
    <w:p>
      <w:pPr>
        <w:pStyle w:val="17"/>
        <w:spacing w:line="48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注：1.磋商文件要求提交的与评价指标体系相关的各类有效资料，供应商如未按要求提交的，该项评分为零分。</w:t>
      </w:r>
    </w:p>
    <w:p>
      <w:pPr>
        <w:pStyle w:val="17"/>
        <w:spacing w:line="48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2.所有评委评分分值的算术平均值（四舍五入后，小数点后保留两位有效数）。</w:t>
      </w:r>
    </w:p>
    <w:p>
      <w:pPr>
        <w:rPr>
          <w:rFonts w:hint="eastAsia" w:ascii="仿宋" w:hAnsi="仿宋" w:eastAsia="仿宋" w:cs="仿宋"/>
          <w:color w:val="auto"/>
          <w:sz w:val="24"/>
          <w:szCs w:val="22"/>
          <w:highlight w:val="none"/>
        </w:rPr>
      </w:pPr>
    </w:p>
    <w:p>
      <w:pP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26.3磋商小组应当根据综合评分情况，按照评审得分由高到低顺序推荐3名成交候选供应商，评审得分相同的，按照最后报价由低到高的顺序推荐。评审得分且最后报价相同的，按照技术指标优劣顺序推荐。</w:t>
      </w:r>
    </w:p>
    <w:p>
      <w:pPr>
        <w:pageBreakBefore w:val="0"/>
        <w:widowControl w:val="0"/>
        <w:kinsoku/>
        <w:wordWrap/>
        <w:overflowPunct/>
        <w:topLinePunct w:val="0"/>
        <w:autoSpaceDE/>
        <w:autoSpaceDN/>
        <w:bidi w:val="0"/>
        <w:snapToGrid/>
        <w:spacing w:line="400" w:lineRule="exact"/>
        <w:ind w:left="552" w:right="84" w:rightChars="40" w:hanging="552" w:hangingChars="23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26.4采购人根据磋商小组的评审报告，采购人应当确定排名第一的成交候选人为中标人。排名第一的成交候选人放弃成交、因不可抗力不能履行合同，采购人可以确定排名第二的成交候选人为成交商，以此类推。</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27．磋商过程的保密性</w:t>
      </w:r>
    </w:p>
    <w:p>
      <w:pPr>
        <w:pageBreakBefore w:val="0"/>
        <w:widowControl w:val="0"/>
        <w:kinsoku/>
        <w:wordWrap/>
        <w:overflowPunct/>
        <w:topLinePunct w:val="0"/>
        <w:autoSpaceDE/>
        <w:autoSpaceDN/>
        <w:bidi w:val="0"/>
        <w:snapToGrid/>
        <w:spacing w:line="400" w:lineRule="exact"/>
        <w:ind w:left="552" w:right="84" w:rightChars="40" w:hanging="552" w:hangingChars="23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ageBreakBefore w:val="0"/>
        <w:widowControl w:val="0"/>
        <w:kinsoku/>
        <w:wordWrap/>
        <w:overflowPunct/>
        <w:topLinePunct w:val="0"/>
        <w:autoSpaceDE/>
        <w:autoSpaceDN/>
        <w:bidi w:val="0"/>
        <w:snapToGrid/>
        <w:spacing w:line="400" w:lineRule="exact"/>
        <w:ind w:left="552" w:right="84" w:rightChars="40" w:hanging="552" w:hangingChars="23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 供应商在磋商过程中，所进行的力图影响磋商结果的，不符合《政府采购法》及本次磋商中有关规定的活动，将被取消其磋商资格。</w:t>
      </w:r>
    </w:p>
    <w:p>
      <w:pPr>
        <w:pageBreakBefore w:val="0"/>
        <w:widowControl w:val="0"/>
        <w:kinsoku/>
        <w:wordWrap/>
        <w:overflowPunct/>
        <w:topLinePunct w:val="0"/>
        <w:autoSpaceDE/>
        <w:autoSpaceDN/>
        <w:bidi w:val="0"/>
        <w:snapToGrid/>
        <w:spacing w:line="400" w:lineRule="exact"/>
        <w:ind w:left="552" w:right="84" w:rightChars="40" w:hanging="552" w:hangingChars="230"/>
        <w:textAlignment w:val="auto"/>
        <w:rPr>
          <w:rFonts w:hint="eastAsia" w:ascii="仿宋" w:hAnsi="仿宋" w:eastAsia="仿宋" w:cs="仿宋"/>
          <w:color w:val="auto"/>
          <w:sz w:val="24"/>
          <w:highlight w:val="none"/>
        </w:rPr>
      </w:pPr>
    </w:p>
    <w:p>
      <w:pPr>
        <w:pStyle w:val="4"/>
        <w:pageBreakBefore w:val="0"/>
        <w:widowControl w:val="0"/>
        <w:kinsoku/>
        <w:wordWrap/>
        <w:overflowPunct/>
        <w:topLinePunct w:val="0"/>
        <w:autoSpaceDE/>
        <w:autoSpaceDN/>
        <w:bidi w:val="0"/>
        <w:snapToGrid/>
        <w:spacing w:before="100" w:beforeAutospacing="1" w:after="100" w:afterAutospacing="1" w:line="400" w:lineRule="exact"/>
        <w:ind w:right="84" w:rightChars="40"/>
        <w:jc w:val="center"/>
        <w:textAlignment w:val="auto"/>
        <w:rPr>
          <w:rFonts w:hint="eastAsia" w:ascii="仿宋" w:hAnsi="仿宋" w:eastAsia="仿宋" w:cs="仿宋"/>
          <w:color w:val="auto"/>
          <w:sz w:val="28"/>
          <w:szCs w:val="28"/>
          <w:highlight w:val="none"/>
        </w:rPr>
      </w:pPr>
      <w:bookmarkStart w:id="69" w:name="_Toc298240410"/>
      <w:bookmarkStart w:id="70" w:name="_Toc349637925"/>
      <w:bookmarkStart w:id="71" w:name="_Toc349573126"/>
      <w:bookmarkStart w:id="72" w:name="_Toc30559"/>
      <w:bookmarkStart w:id="73" w:name="_Toc267301287"/>
      <w:r>
        <w:rPr>
          <w:rFonts w:hint="eastAsia" w:ascii="仿宋" w:hAnsi="仿宋" w:eastAsia="仿宋" w:cs="仿宋"/>
          <w:color w:val="auto"/>
          <w:sz w:val="28"/>
          <w:szCs w:val="28"/>
          <w:highlight w:val="none"/>
        </w:rPr>
        <w:t>F  授予合同</w:t>
      </w:r>
      <w:bookmarkEnd w:id="69"/>
      <w:bookmarkEnd w:id="70"/>
      <w:bookmarkEnd w:id="71"/>
      <w:bookmarkEnd w:id="72"/>
      <w:bookmarkEnd w:id="73"/>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28．合同授予标准</w:t>
      </w:r>
    </w:p>
    <w:p>
      <w:pPr>
        <w:pageBreakBefore w:val="0"/>
        <w:widowControl w:val="0"/>
        <w:kinsoku/>
        <w:wordWrap/>
        <w:overflowPunct/>
        <w:topLinePunct w:val="0"/>
        <w:autoSpaceDE/>
        <w:autoSpaceDN/>
        <w:bidi w:val="0"/>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28.1采购人根据磋商小组的评审报告，采购人应当确定排名第一的成交候选人为中标人。排名第一的成交候选人放弃成交、因不可抗力不能履行合同，采购人可以确定排名第二的成交候选人为成交商，以此类推；</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28.2 最低报价不一定是被授予合同的保证。</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29．接受和拒绝任何或所有磋商的权力</w:t>
      </w:r>
    </w:p>
    <w:p>
      <w:pPr>
        <w:pageBreakBefore w:val="0"/>
        <w:widowControl w:val="0"/>
        <w:kinsoku/>
        <w:wordWrap/>
        <w:overflowPunct/>
        <w:topLinePunct w:val="0"/>
        <w:autoSpaceDE/>
        <w:autoSpaceDN/>
        <w:bidi w:val="0"/>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29.1为维护国家利益，采购人在授予合同之前仍有选择或拒绝任何全部磋商的权力，并对所采取的行为不作任何解释。</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30．成交通知书</w:t>
      </w:r>
    </w:p>
    <w:p>
      <w:pPr>
        <w:pageBreakBefore w:val="0"/>
        <w:widowControl w:val="0"/>
        <w:kinsoku/>
        <w:wordWrap/>
        <w:overflowPunct/>
        <w:topLinePunct w:val="0"/>
        <w:autoSpaceDE/>
        <w:autoSpaceDN/>
        <w:bidi w:val="0"/>
        <w:snapToGrid/>
        <w:spacing w:line="400" w:lineRule="exact"/>
        <w:ind w:left="552" w:right="84" w:rightChars="40" w:hanging="552" w:hangingChars="23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30.1 成交公告期满后，采购代理机构将发出《成交通知书》，但发出时间不超过磋商有效期，《成交通知书》一经发出即发生法律效力；</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30.2 《成交通知书》将作为签订合同的依据；</w:t>
      </w:r>
    </w:p>
    <w:p>
      <w:pPr>
        <w:pageBreakBefore w:val="0"/>
        <w:widowControl w:val="0"/>
        <w:kinsoku/>
        <w:wordWrap/>
        <w:overflowPunct/>
        <w:topLinePunct w:val="0"/>
        <w:autoSpaceDE/>
        <w:autoSpaceDN/>
        <w:bidi w:val="0"/>
        <w:snapToGrid/>
        <w:spacing w:line="400" w:lineRule="exact"/>
        <w:ind w:left="600" w:right="84" w:rightChars="40" w:hanging="600" w:hanging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30.3 采购代理机构将在成交方按规定签订合同并提交履约保证金（如适用）后退还其磋商保证金。</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31．签订合同</w:t>
      </w:r>
    </w:p>
    <w:p>
      <w:pPr>
        <w:pageBreakBefore w:val="0"/>
        <w:widowControl w:val="0"/>
        <w:kinsoku/>
        <w:wordWrap/>
        <w:overflowPunct/>
        <w:topLinePunct w:val="0"/>
        <w:autoSpaceDE/>
        <w:autoSpaceDN/>
        <w:bidi w:val="0"/>
        <w:snapToGrid/>
        <w:spacing w:line="400" w:lineRule="exact"/>
        <w:ind w:left="540" w:right="84" w:rightChars="40" w:hanging="540" w:hangingChars="2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31.1 供应商收到《成交通知书》后，按《成交通知书》中规定的时间地点与采购人签订合同。采购人和成交方不得再订立背离合同实质性内容的其他协议；</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31.2如成交方拒签合同，则按违约处理。</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31.3磋商文件、成交方的磋商响应文件及其澄清文件等，均为签订合同的依据。</w:t>
      </w:r>
    </w:p>
    <w:p>
      <w:pPr>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33．代理服务费</w:t>
      </w:r>
    </w:p>
    <w:p>
      <w:pPr>
        <w:pStyle w:val="2"/>
        <w:pageBreakBefore w:val="0"/>
        <w:widowControl w:val="0"/>
        <w:kinsoku/>
        <w:wordWrap/>
        <w:overflowPunct/>
        <w:topLinePunct w:val="0"/>
        <w:autoSpaceDE/>
        <w:autoSpaceDN/>
        <w:bidi w:val="0"/>
        <w:snapToGrid/>
        <w:spacing w:line="400" w:lineRule="exact"/>
        <w:ind w:right="84" w:rightChars="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33.1成交方须向采购代理机构按如下标准和期限交纳代理服务费：</w:t>
      </w:r>
    </w:p>
    <w:p>
      <w:pPr>
        <w:pStyle w:val="2"/>
        <w:pageBreakBefore w:val="0"/>
        <w:widowControl w:val="0"/>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33.1.1</w:t>
      </w:r>
      <w:r>
        <w:rPr>
          <w:rFonts w:hint="eastAsia" w:ascii="仿宋" w:hAnsi="仿宋" w:eastAsia="仿宋" w:cs="仿宋"/>
          <w:color w:val="auto"/>
          <w:sz w:val="24"/>
          <w:szCs w:val="24"/>
          <w:highlight w:val="none"/>
        </w:rPr>
        <w:t>成交方须向</w:t>
      </w:r>
      <w:r>
        <w:rPr>
          <w:rFonts w:hint="eastAsia" w:ascii="仿宋" w:hAnsi="仿宋" w:eastAsia="仿宋" w:cs="仿宋"/>
          <w:color w:val="auto"/>
          <w:sz w:val="24"/>
          <w:szCs w:val="24"/>
          <w:highlight w:val="none"/>
          <w:lang w:eastAsia="zh-CN"/>
        </w:rPr>
        <w:t>新疆润锦宏昌工程管理服务有限公司</w:t>
      </w:r>
      <w:r>
        <w:rPr>
          <w:rFonts w:hint="eastAsia" w:ascii="仿宋" w:hAnsi="仿宋" w:eastAsia="仿宋" w:cs="仿宋"/>
          <w:color w:val="auto"/>
          <w:sz w:val="24"/>
          <w:szCs w:val="24"/>
          <w:highlight w:val="none"/>
        </w:rPr>
        <w:t>支付</w:t>
      </w:r>
      <w:r>
        <w:rPr>
          <w:rFonts w:hint="eastAsia" w:ascii="仿宋" w:hAnsi="仿宋" w:eastAsia="仿宋" w:cs="仿宋"/>
          <w:color w:val="auto"/>
          <w:sz w:val="24"/>
          <w:highlight w:val="none"/>
        </w:rPr>
        <w:t>代理服务费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发放中标通知书同时一次性付清</w:t>
      </w:r>
      <w:r>
        <w:rPr>
          <w:rFonts w:hint="eastAsia" w:ascii="仿宋" w:hAnsi="仿宋" w:eastAsia="仿宋" w:cs="仿宋"/>
          <w:bCs/>
          <w:color w:val="auto"/>
          <w:sz w:val="24"/>
          <w:highlight w:val="none"/>
        </w:rPr>
        <w:t>。</w:t>
      </w:r>
      <w:bookmarkStart w:id="74" w:name="_Toc267301288"/>
    </w:p>
    <w:p>
      <w:pPr>
        <w:pStyle w:val="4"/>
        <w:pageBreakBefore w:val="0"/>
        <w:widowControl w:val="0"/>
        <w:kinsoku/>
        <w:wordWrap/>
        <w:overflowPunct/>
        <w:topLinePunct w:val="0"/>
        <w:autoSpaceDE/>
        <w:autoSpaceDN/>
        <w:bidi w:val="0"/>
        <w:snapToGrid/>
        <w:spacing w:before="100" w:beforeAutospacing="1" w:after="100" w:afterAutospacing="1" w:line="400" w:lineRule="exact"/>
        <w:ind w:right="84" w:rightChars="40"/>
        <w:jc w:val="center"/>
        <w:textAlignment w:val="auto"/>
        <w:rPr>
          <w:rFonts w:hint="eastAsia" w:ascii="仿宋" w:hAnsi="仿宋" w:eastAsia="仿宋" w:cs="仿宋"/>
          <w:bCs/>
          <w:color w:val="auto"/>
          <w:sz w:val="24"/>
          <w:highlight w:val="none"/>
        </w:rPr>
      </w:pPr>
      <w:bookmarkStart w:id="75" w:name="_Toc17170"/>
      <w:r>
        <w:rPr>
          <w:rFonts w:hint="eastAsia" w:ascii="仿宋" w:hAnsi="仿宋" w:eastAsia="仿宋" w:cs="仿宋"/>
          <w:color w:val="auto"/>
          <w:sz w:val="28"/>
          <w:szCs w:val="28"/>
          <w:highlight w:val="none"/>
        </w:rPr>
        <w:t>G  磋商失败条件</w:t>
      </w:r>
      <w:bookmarkEnd w:id="75"/>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34.出现影响采购公正的违法、违规行为的；</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35.因重大变故，采购任务取消的；</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36.磋商响应文件截止时间后，实际参加的供应商不足3家；</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37.最终报价均超过采购预算的；</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38.对磋商文件作出实质性响应的供应商不足3家；</w:t>
      </w:r>
    </w:p>
    <w:p>
      <w:pPr>
        <w:pStyle w:val="4"/>
        <w:pageBreakBefore w:val="0"/>
        <w:widowControl w:val="0"/>
        <w:kinsoku/>
        <w:wordWrap/>
        <w:overflowPunct/>
        <w:topLinePunct w:val="0"/>
        <w:autoSpaceDE/>
        <w:autoSpaceDN/>
        <w:bidi w:val="0"/>
        <w:snapToGrid/>
        <w:spacing w:before="100" w:beforeAutospacing="1" w:after="100" w:afterAutospacing="1" w:line="400" w:lineRule="exact"/>
        <w:ind w:right="84" w:rightChars="40"/>
        <w:jc w:val="center"/>
        <w:textAlignment w:val="auto"/>
        <w:rPr>
          <w:rFonts w:hint="eastAsia" w:ascii="仿宋" w:hAnsi="仿宋" w:eastAsia="仿宋" w:cs="仿宋"/>
          <w:b/>
          <w:color w:val="auto"/>
          <w:sz w:val="28"/>
          <w:szCs w:val="28"/>
          <w:highlight w:val="none"/>
          <w:lang w:val="en-US" w:eastAsia="zh-CN"/>
        </w:rPr>
      </w:pPr>
      <w:bookmarkStart w:id="76" w:name="_Toc7955"/>
      <w:r>
        <w:rPr>
          <w:rFonts w:hint="eastAsia" w:ascii="仿宋" w:hAnsi="仿宋" w:eastAsia="仿宋" w:cs="仿宋"/>
          <w:b/>
          <w:color w:val="auto"/>
          <w:sz w:val="28"/>
          <w:szCs w:val="28"/>
          <w:highlight w:val="none"/>
          <w:lang w:val="en-US" w:eastAsia="zh-CN"/>
        </w:rPr>
        <w:t>H  询问、质疑、投诉</w:t>
      </w:r>
      <w:bookmarkEnd w:id="76"/>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39</w:t>
      </w:r>
      <w:r>
        <w:rPr>
          <w:rFonts w:hint="eastAsia" w:ascii="仿宋" w:hAnsi="仿宋" w:eastAsia="仿宋" w:cs="仿宋"/>
          <w:bCs/>
          <w:color w:val="auto"/>
          <w:sz w:val="24"/>
          <w:highlight w:val="none"/>
        </w:rPr>
        <w:t>、询问</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39.1</w:t>
      </w:r>
      <w:r>
        <w:rPr>
          <w:rFonts w:hint="eastAsia" w:ascii="仿宋" w:hAnsi="仿宋" w:eastAsia="仿宋" w:cs="仿宋"/>
          <w:bCs/>
          <w:color w:val="auto"/>
          <w:sz w:val="24"/>
          <w:highlight w:val="none"/>
        </w:rPr>
        <w:t>供应商对采购活动事项有疑问的，可以向采购人或采购代理机构提出询问，采购人或采购代理机构应当在三个工作日内对供应商依法提出的询问作出答复，但答复的内容不得涉及商业秘密。</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40、</w:t>
      </w:r>
      <w:r>
        <w:rPr>
          <w:rFonts w:hint="eastAsia" w:ascii="仿宋" w:hAnsi="仿宋" w:eastAsia="仿宋" w:cs="仿宋"/>
          <w:bCs/>
          <w:color w:val="auto"/>
          <w:sz w:val="24"/>
          <w:highlight w:val="none"/>
        </w:rPr>
        <w:t>质疑</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40.1</w:t>
      </w:r>
      <w:r>
        <w:rPr>
          <w:rFonts w:hint="eastAsia" w:ascii="仿宋" w:hAnsi="仿宋" w:eastAsia="仿宋" w:cs="仿宋"/>
          <w:bCs/>
          <w:color w:val="auto"/>
          <w:sz w:val="24"/>
          <w:highlight w:val="none"/>
        </w:rPr>
        <w:t xml:space="preserve"> 供应商认为采购文件、采购过程和中标、成交结果使自己的合法权益受到损害的，可以在知道或者应知其权益受到损害之日起七个工作日内，将质疑</w:t>
      </w:r>
      <w:r>
        <w:rPr>
          <w:rFonts w:hint="eastAsia" w:ascii="仿宋" w:hAnsi="仿宋" w:eastAsia="仿宋" w:cs="仿宋"/>
          <w:bCs/>
          <w:color w:val="auto"/>
          <w:sz w:val="24"/>
          <w:highlight w:val="none"/>
          <w:lang w:val="en-US" w:eastAsia="zh-CN"/>
        </w:rPr>
        <w:t>书面</w:t>
      </w:r>
      <w:r>
        <w:rPr>
          <w:rFonts w:hint="eastAsia" w:ascii="仿宋" w:hAnsi="仿宋" w:eastAsia="仿宋" w:cs="仿宋"/>
          <w:bCs/>
          <w:color w:val="auto"/>
          <w:sz w:val="24"/>
          <w:highlight w:val="none"/>
        </w:rPr>
        <w:t>文件原件和必要的证明材料送达</w:t>
      </w:r>
      <w:r>
        <w:rPr>
          <w:rFonts w:hint="eastAsia" w:ascii="仿宋" w:hAnsi="仿宋" w:eastAsia="仿宋" w:cs="仿宋"/>
          <w:bCs/>
          <w:color w:val="auto"/>
          <w:sz w:val="24"/>
          <w:highlight w:val="none"/>
          <w:lang w:val="en-US" w:eastAsia="zh-CN"/>
        </w:rPr>
        <w:t>采购人或</w:t>
      </w:r>
      <w:r>
        <w:rPr>
          <w:rFonts w:hint="eastAsia" w:ascii="仿宋" w:hAnsi="仿宋" w:eastAsia="仿宋" w:cs="仿宋"/>
          <w:bCs/>
          <w:color w:val="auto"/>
          <w:sz w:val="24"/>
          <w:highlight w:val="none"/>
        </w:rPr>
        <w:t>采购代理机构。</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40.2</w:t>
      </w:r>
      <w:r>
        <w:rPr>
          <w:rFonts w:hint="eastAsia" w:ascii="仿宋" w:hAnsi="仿宋" w:eastAsia="仿宋" w:cs="仿宋"/>
          <w:bCs/>
          <w:color w:val="auto"/>
          <w:sz w:val="24"/>
          <w:highlight w:val="none"/>
        </w:rPr>
        <w:t xml:space="preserve">上述应知其权益受到损害之日是指： </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（1）对采购文件提出质疑的，为采购文件公告期限届满之日起计算； </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（2）对采购过程提出质疑的，自采购程序环节结束之日起计算；</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（3）对中标或者成交结果提出质疑的，自中标或者成交结果公告期限届满之日起计算。</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40.</w:t>
      </w:r>
      <w:r>
        <w:rPr>
          <w:rFonts w:hint="eastAsia" w:ascii="仿宋" w:hAnsi="仿宋" w:eastAsia="仿宋" w:cs="仿宋"/>
          <w:bCs/>
          <w:color w:val="auto"/>
          <w:sz w:val="24"/>
          <w:highlight w:val="none"/>
        </w:rPr>
        <w:t>3质疑供应商在法定质疑期内应当一次性提出针对同一采购环节提出质疑。</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40.4</w:t>
      </w:r>
      <w:r>
        <w:rPr>
          <w:rFonts w:hint="eastAsia" w:ascii="仿宋" w:hAnsi="仿宋" w:eastAsia="仿宋" w:cs="仿宋"/>
          <w:bCs/>
          <w:color w:val="auto"/>
          <w:sz w:val="24"/>
          <w:highlight w:val="none"/>
        </w:rPr>
        <w:t>质疑文件应包括以下主要内容，并按照“谁主张、谁举证”的原则，附上相关证明材料。否则，</w:t>
      </w:r>
      <w:r>
        <w:rPr>
          <w:rFonts w:hint="eastAsia" w:ascii="仿宋" w:hAnsi="仿宋" w:eastAsia="仿宋" w:cs="仿宋"/>
          <w:bCs/>
          <w:color w:val="auto"/>
          <w:sz w:val="24"/>
          <w:highlight w:val="none"/>
          <w:lang w:val="en-US" w:eastAsia="zh-CN"/>
        </w:rPr>
        <w:t>采购人或</w:t>
      </w:r>
      <w:r>
        <w:rPr>
          <w:rFonts w:hint="eastAsia" w:ascii="仿宋" w:hAnsi="仿宋" w:eastAsia="仿宋" w:cs="仿宋"/>
          <w:bCs/>
          <w:color w:val="auto"/>
          <w:sz w:val="24"/>
          <w:highlight w:val="none"/>
        </w:rPr>
        <w:t>采购代理机构不予受理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　　　　　　　</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（1）供应商的姓名或者名称、地址、邮编、联系人及联系电话； </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（2）质疑项目的名称、项目编号； </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（3）具体、明确的质疑事项和与质疑事项相关的请求； </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（4）事实依据（具体条款，认为自己合法权益受到损害或可能受到损害的相关证据材料）； </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（5）必要的法律依据； </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（6）提</w:t>
      </w:r>
      <w:r>
        <w:rPr>
          <w:rFonts w:hint="eastAsia" w:ascii="仿宋" w:hAnsi="仿宋" w:eastAsia="仿宋" w:cs="仿宋"/>
          <w:bCs/>
          <w:color w:val="auto"/>
          <w:sz w:val="24"/>
          <w:highlight w:val="none"/>
          <w:lang w:val="en-US" w:eastAsia="zh-CN"/>
        </w:rPr>
        <w:t>出</w:t>
      </w:r>
      <w:r>
        <w:rPr>
          <w:rFonts w:hint="eastAsia" w:ascii="仿宋" w:hAnsi="仿宋" w:eastAsia="仿宋" w:cs="仿宋"/>
          <w:bCs/>
          <w:color w:val="auto"/>
          <w:sz w:val="24"/>
          <w:highlight w:val="none"/>
        </w:rPr>
        <w:t>质疑的日期；</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质疑文件应当署名，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（8）质疑人可以委托代理人办理质疑事项，代理人办理质疑事项时，除提交质疑书外，还应当提交质疑人的授权委托书及代理人的有效身份证明，授权委托书应当载明委托代理的具体权限和事项。</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40.</w:t>
      </w:r>
      <w:r>
        <w:rPr>
          <w:rFonts w:hint="eastAsia" w:ascii="仿宋" w:hAnsi="仿宋" w:eastAsia="仿宋" w:cs="仿宋"/>
          <w:bCs/>
          <w:color w:val="auto"/>
          <w:sz w:val="24"/>
          <w:highlight w:val="none"/>
        </w:rPr>
        <w:t>5质疑供应商是指直接参加本项目采购活动的供应商，未参加政府采购活动的供应商或在采购活动中自身权益未受到损害的供应商所提出的质疑不予受理。</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40.</w:t>
      </w:r>
      <w:r>
        <w:rPr>
          <w:rFonts w:hint="eastAsia" w:ascii="仿宋" w:hAnsi="仿宋" w:eastAsia="仿宋" w:cs="仿宋"/>
          <w:bCs/>
          <w:color w:val="auto"/>
          <w:sz w:val="24"/>
          <w:highlight w:val="none"/>
        </w:rPr>
        <w:t>6采购人、采购代理机构在收到供应商的书面质疑后将及时组织调查核实，在七个工作日内作出答复，并以书面形式通知质疑供应商和其他有关供应商，答复的内容不涉及商业秘密。</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41、</w:t>
      </w:r>
      <w:r>
        <w:rPr>
          <w:rFonts w:hint="eastAsia" w:ascii="仿宋" w:hAnsi="仿宋" w:eastAsia="仿宋" w:cs="仿宋"/>
          <w:bCs/>
          <w:color w:val="auto"/>
          <w:sz w:val="24"/>
          <w:highlight w:val="none"/>
        </w:rPr>
        <w:t>投诉</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41.1质疑人如对被质疑人的质疑回复不满意或在规定时间内未做出回复的，可在答复期满后15个工作日内向本项目管辖内的政府采购监督部门提起投诉。供应商投诉应当有明确的请求和必要的证明材料。</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41.2投诉人提起投诉应符合以下条件：</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(1)投诉人应是参与项目的供应商；</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(2)投诉前已依法进行质疑；</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(3)投诉书内容符合中华人民共和国财政部20号令《政府采购供应商投诉处理办法》的规定；</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(4)在投诉有效期内；</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(5)同一投诉事项未经处理的；</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(6)相关法律、法规和省级以上人民政府财政部门规定的其他条件。</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41.3供应商投诉时，应当当面提交投诉书，投诉书应当包括下列主要内容：</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(1)投诉人和被投诉人的姓名或者名称、通讯地址、邮编、联系人及联系电话；</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(2)质疑和质疑答复情况说明及相关证明材料；</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(3)具体、明确的投诉事项和与投诉事项相关的投诉请求；</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(4)事实依据；</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(5)法律依据；</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(5)提起投诉的日期。</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投诉人为自然人的，应当由本人签字。投诉人为法人或其他组织的，应当由其法定代表人、主要负责人，或者其授权代表签字或者盖章，并加盖单位公章。</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41.4投诉人可以授权代理人办理投诉事务。代理人办理投诉事务时，除提交投诉书外，还应当向监督部门提交投诉人的授权委托书，授权委托书应当载明委托代理的具体权限和事项。</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41.5投诉人不符合上述规定提起的投诉，政府采购监督部门不予受理。</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42、</w:t>
      </w:r>
      <w:r>
        <w:rPr>
          <w:rFonts w:hint="eastAsia" w:ascii="仿宋" w:hAnsi="仿宋" w:eastAsia="仿宋" w:cs="仿宋"/>
          <w:bCs/>
          <w:color w:val="auto"/>
          <w:sz w:val="24"/>
          <w:highlight w:val="none"/>
        </w:rPr>
        <w:t>诚实信用</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42.1</w:t>
      </w:r>
      <w:r>
        <w:rPr>
          <w:rFonts w:hint="eastAsia" w:ascii="仿宋" w:hAnsi="仿宋" w:eastAsia="仿宋" w:cs="仿宋"/>
          <w:bCs/>
          <w:color w:val="auto"/>
          <w:sz w:val="24"/>
          <w:highlight w:val="none"/>
        </w:rPr>
        <w:t>供应商不得虚假质疑和恶意质疑，并对质疑内容的真实性承担责任。</w:t>
      </w:r>
    </w:p>
    <w:p>
      <w:pPr>
        <w:pStyle w:val="2"/>
        <w:pageBreakBefore w:val="0"/>
        <w:widowControl w:val="0"/>
        <w:tabs>
          <w:tab w:val="left" w:pos="720"/>
          <w:tab w:val="left" w:pos="900"/>
          <w:tab w:val="left" w:pos="1260"/>
        </w:tabs>
        <w:kinsoku/>
        <w:wordWrap/>
        <w:overflowPunct/>
        <w:topLinePunct w:val="0"/>
        <w:autoSpaceDE/>
        <w:autoSpaceDN/>
        <w:bidi w:val="0"/>
        <w:adjustRightInd w:val="0"/>
        <w:snapToGrid/>
        <w:spacing w:line="400" w:lineRule="exact"/>
        <w:ind w:left="720" w:right="84" w:rightChars="40" w:hanging="720" w:hangingChars="3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42.2</w:t>
      </w:r>
      <w:r>
        <w:rPr>
          <w:rFonts w:hint="eastAsia" w:ascii="仿宋" w:hAnsi="仿宋" w:eastAsia="仿宋" w:cs="仿宋"/>
          <w:bCs/>
          <w:color w:val="auto"/>
          <w:sz w:val="24"/>
          <w:highlight w:val="none"/>
        </w:rPr>
        <w:t>供应商不得虚假承诺，否则，按照提供虚假材料谋取中标或成交处理。</w:t>
      </w:r>
    </w:p>
    <w:p>
      <w:pPr>
        <w:pStyle w:val="3"/>
        <w:numPr>
          <w:ilvl w:val="0"/>
          <w:numId w:val="7"/>
        </w:numPr>
        <w:spacing w:line="400" w:lineRule="atLeast"/>
        <w:ind w:right="84" w:rightChars="40"/>
        <w:jc w:val="center"/>
        <w:rPr>
          <w:rFonts w:hint="eastAsia" w:ascii="仿宋" w:hAnsi="仿宋" w:eastAsia="仿宋" w:cs="仿宋"/>
          <w:color w:val="auto"/>
          <w:sz w:val="32"/>
          <w:szCs w:val="32"/>
          <w:highlight w:val="none"/>
        </w:rPr>
      </w:pPr>
      <w:bookmarkStart w:id="77" w:name="_Toc298240411"/>
      <w:bookmarkStart w:id="78" w:name="_Toc349573127"/>
      <w:bookmarkStart w:id="79" w:name="_Toc349637926"/>
      <w:r>
        <w:rPr>
          <w:rFonts w:hint="eastAsia" w:ascii="仿宋" w:hAnsi="仿宋" w:eastAsia="仿宋" w:cs="仿宋"/>
          <w:color w:val="auto"/>
          <w:sz w:val="32"/>
          <w:szCs w:val="32"/>
          <w:highlight w:val="none"/>
        </w:rPr>
        <w:br w:type="page"/>
      </w:r>
      <w:bookmarkStart w:id="80" w:name="_Toc25781"/>
      <w:r>
        <w:rPr>
          <w:rFonts w:hint="eastAsia" w:ascii="仿宋" w:hAnsi="仿宋" w:eastAsia="仿宋" w:cs="仿宋"/>
          <w:color w:val="auto"/>
          <w:sz w:val="32"/>
          <w:szCs w:val="32"/>
          <w:highlight w:val="none"/>
        </w:rPr>
        <w:t xml:space="preserve"> </w:t>
      </w:r>
      <w:bookmarkEnd w:id="74"/>
      <w:bookmarkEnd w:id="77"/>
      <w:bookmarkEnd w:id="78"/>
      <w:bookmarkEnd w:id="79"/>
      <w:bookmarkStart w:id="81" w:name="_Toc267301295"/>
      <w:r>
        <w:rPr>
          <w:rFonts w:hint="eastAsia" w:ascii="仿宋" w:hAnsi="仿宋" w:eastAsia="仿宋" w:cs="仿宋"/>
          <w:color w:val="auto"/>
          <w:sz w:val="32"/>
          <w:szCs w:val="32"/>
          <w:highlight w:val="none"/>
        </w:rPr>
        <w:t>采购人需求</w:t>
      </w:r>
      <w:bookmarkEnd w:id="80"/>
    </w:p>
    <w:p>
      <w:pPr>
        <w:pStyle w:val="3"/>
        <w:numPr>
          <w:ilvl w:val="0"/>
          <w:numId w:val="0"/>
        </w:numPr>
        <w:spacing w:line="400" w:lineRule="atLeast"/>
        <w:ind w:right="84" w:rightChars="40" w:firstLine="723" w:firstLineChars="300"/>
        <w:jc w:val="both"/>
        <w:rPr>
          <w:rFonts w:hint="eastAsia" w:ascii="仿宋" w:hAnsi="仿宋" w:eastAsia="仿宋" w:cs="仿宋"/>
          <w:b/>
          <w:bCs/>
          <w:color w:val="auto"/>
          <w:sz w:val="32"/>
          <w:szCs w:val="32"/>
          <w:highlight w:val="none"/>
          <w:lang w:eastAsia="zh-CN"/>
        </w:rPr>
      </w:pPr>
      <w:r>
        <w:rPr>
          <w:rFonts w:hint="eastAsia" w:ascii="仿宋" w:hAnsi="仿宋" w:eastAsia="仿宋" w:cs="仿宋"/>
          <w:b/>
          <w:bCs/>
          <w:i w:val="0"/>
          <w:iCs w:val="0"/>
          <w:color w:val="auto"/>
          <w:kern w:val="0"/>
          <w:sz w:val="24"/>
          <w:szCs w:val="24"/>
          <w:u w:val="none"/>
          <w:lang w:val="en-US" w:eastAsia="zh-CN" w:bidi="ar"/>
        </w:rPr>
        <w:t>（一）服务清单</w:t>
      </w:r>
    </w:p>
    <w:bookmarkEnd w:id="81"/>
    <w:tbl>
      <w:tblPr>
        <w:tblStyle w:val="38"/>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9"/>
        <w:gridCol w:w="2253"/>
        <w:gridCol w:w="1843"/>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6" w:space="0"/>
              <w:left w:val="single" w:color="auto" w:sz="12" w:space="0"/>
              <w:bottom w:val="single" w:color="auto" w:sz="6" w:space="0"/>
              <w:right w:val="single" w:color="auto" w:sz="6" w:space="0"/>
            </w:tcBorders>
            <w:shd w:val="clear" w:color="auto" w:fill="auto"/>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bookmarkStart w:id="82" w:name="_Toc457351848"/>
            <w:bookmarkEnd w:id="82"/>
            <w:bookmarkStart w:id="83" w:name="_Toc505079093"/>
            <w:bookmarkStart w:id="84" w:name="_Toc536713139"/>
            <w:bookmarkStart w:id="85" w:name="_Toc349573138"/>
            <w:bookmarkStart w:id="86" w:name="_Toc267301296"/>
            <w:bookmarkStart w:id="87" w:name="_Toc298240423"/>
            <w:bookmarkStart w:id="88" w:name="_Toc349637937"/>
            <w:r>
              <w:rPr>
                <w:rFonts w:hint="eastAsia" w:ascii="仿宋" w:hAnsi="仿宋" w:eastAsia="仿宋" w:cs="仿宋"/>
                <w:color w:val="auto"/>
                <w:kern w:val="2"/>
                <w:sz w:val="24"/>
                <w:szCs w:val="24"/>
                <w:highlight w:val="none"/>
                <w:lang w:val="en-US" w:eastAsia="zh-CN" w:bidi="ar-SA"/>
              </w:rPr>
              <w:t>序号</w:t>
            </w:r>
          </w:p>
        </w:tc>
        <w:tc>
          <w:tcPr>
            <w:tcW w:w="2253" w:type="dxa"/>
            <w:tcBorders>
              <w:top w:val="single" w:color="auto" w:sz="6" w:space="0"/>
              <w:left w:val="single" w:color="auto" w:sz="6" w:space="0"/>
              <w:bottom w:val="single" w:color="auto" w:sz="6" w:space="0"/>
              <w:right w:val="single" w:color="auto" w:sz="6" w:space="0"/>
            </w:tcBorders>
            <w:shd w:val="clear" w:color="auto" w:fill="auto"/>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w:t>
            </w:r>
          </w:p>
        </w:tc>
        <w:tc>
          <w:tcPr>
            <w:tcW w:w="1843" w:type="dxa"/>
            <w:tcBorders>
              <w:top w:val="single" w:color="auto" w:sz="6" w:space="0"/>
              <w:left w:val="single" w:color="auto" w:sz="6" w:space="0"/>
              <w:bottom w:val="single" w:color="auto" w:sz="6" w:space="0"/>
              <w:right w:val="single" w:color="auto" w:sz="6" w:space="0"/>
            </w:tcBorders>
            <w:shd w:val="clear" w:color="auto" w:fill="auto"/>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形式</w:t>
            </w:r>
          </w:p>
        </w:tc>
        <w:tc>
          <w:tcPr>
            <w:tcW w:w="5402" w:type="dxa"/>
            <w:tcBorders>
              <w:top w:val="single" w:color="auto" w:sz="6" w:space="0"/>
              <w:left w:val="single" w:color="auto" w:sz="6" w:space="0"/>
              <w:bottom w:val="single" w:color="auto" w:sz="6" w:space="0"/>
              <w:right w:val="single" w:color="auto" w:sz="4" w:space="0"/>
            </w:tcBorders>
            <w:shd w:val="clear" w:color="auto" w:fill="auto"/>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jc w:val="center"/>
        </w:trPr>
        <w:tc>
          <w:tcPr>
            <w:tcW w:w="709"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25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《全国中小学生研学实践教育营地推荐表》</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书面材料1本，电子档1份</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全国中小学生研学实践教育营地推荐表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709"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225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5分钟营地微视频</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电子档1份</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对标营地申报要求下的营地全方位介绍视频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1" w:hRule="atLeast"/>
          <w:jc w:val="center"/>
        </w:trPr>
        <w:tc>
          <w:tcPr>
            <w:tcW w:w="709"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25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合作协议</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书面材料1本，电子档1份</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至少签约营地周边4个基地、8个研学机构合作协议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7" w:hRule="atLeast"/>
          <w:jc w:val="center"/>
        </w:trPr>
        <w:tc>
          <w:tcPr>
            <w:tcW w:w="709"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225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研学产品手册</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书面材料1本，电子档1份</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含小学、初中、高中各6大主题共40个菜单模块课程和小学、初中、高中1天&amp;2天1晚&amp;5天4晚共9条研学线路对应手册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225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学生研学手册（小学、初中、高中版）</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书面材料1本，电子档1份</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含小学、初中、高中各6大主题共40个菜单模块课程和小学、初中、高中1天&amp;2天1晚&amp;5天4晚共9条研学线路对应手册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225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研学指导手册（小学、初中、高中版）</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书面材料1本，电子档1份</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含小学、初中、高中各6大主题共40个菜单模块课程和小学、初中、高中1天&amp;2天1晚&amp;5天4晚共9条研学线路对应手册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225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研学运营手册</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书面材料1本，电子档1份</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含运营要素、要点与误区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225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研学安全手册</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书面材料1本，电子档1份</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含《研学实践指导教师安全培训计划》、《研学实践餐饮安全管理办法》、《研学实践住宿安全管理办法》、《研学实践乘车安全管理办法》、《中小学生研学实践安全须知》、《研学实践突发事件应急预案》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6" w:space="0"/>
              <w:left w:val="single" w:color="auto" w:sz="12"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2253" w:type="dxa"/>
            <w:tcBorders>
              <w:top w:val="single" w:color="auto" w:sz="6" w:space="0"/>
              <w:left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研学师资梯队打造</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培训</w:t>
            </w:r>
          </w:p>
        </w:tc>
        <w:tc>
          <w:tcPr>
            <w:tcW w:w="5402"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20名老师参加教育部门认可的研学证书（初、中、高级）师资培训且取得证书</w:t>
            </w:r>
          </w:p>
        </w:tc>
      </w:tr>
    </w:tbl>
    <w:p>
      <w:pPr>
        <w:rPr>
          <w:rFonts w:hint="eastAsia" w:ascii="仿宋" w:hAnsi="仿宋" w:eastAsia="仿宋" w:cs="仿宋"/>
          <w:b/>
          <w:bCs/>
          <w:color w:val="auto"/>
          <w:sz w:val="24"/>
          <w:szCs w:val="24"/>
          <w:highlight w:val="none"/>
        </w:rPr>
      </w:pPr>
    </w:p>
    <w:p>
      <w:pPr>
        <w:pStyle w:val="36"/>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）服务期限</w:t>
      </w:r>
    </w:p>
    <w:p>
      <w:pPr>
        <w:pStyle w:val="36"/>
        <w:keepNext w:val="0"/>
        <w:keepLines w:val="0"/>
        <w:pageBreakBefore w:val="0"/>
        <w:widowControl w:val="0"/>
        <w:kinsoku/>
        <w:wordWrap/>
        <w:overflowPunct/>
        <w:topLinePunct w:val="0"/>
        <w:autoSpaceDE w:val="0"/>
        <w:autoSpaceDN w:val="0"/>
        <w:bidi w:val="0"/>
        <w:adjustRightInd/>
        <w:snapToGrid/>
        <w:spacing w:line="440" w:lineRule="exact"/>
        <w:ind w:left="0" w:lef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eastAsia="zh-CN" w:bidi="zh-CN"/>
        </w:rPr>
        <w:t>合同服务期限为：</w:t>
      </w:r>
      <w:r>
        <w:rPr>
          <w:rFonts w:hint="eastAsia" w:ascii="仿宋" w:hAnsi="仿宋" w:eastAsia="仿宋" w:cs="仿宋"/>
          <w:b/>
          <w:bCs/>
          <w:color w:val="auto"/>
          <w:sz w:val="24"/>
          <w:szCs w:val="24"/>
          <w:highlight w:val="none"/>
          <w:lang w:val="en-US" w:eastAsia="zh-CN" w:bidi="zh-CN"/>
        </w:rPr>
        <w:t>自合同签订之日起一年</w:t>
      </w:r>
      <w:r>
        <w:rPr>
          <w:rFonts w:hint="eastAsia" w:ascii="仿宋" w:hAnsi="仿宋" w:eastAsia="仿宋" w:cs="仿宋"/>
          <w:b/>
          <w:bCs/>
          <w:color w:val="auto"/>
          <w:sz w:val="24"/>
          <w:szCs w:val="24"/>
          <w:highlight w:val="none"/>
          <w:lang w:val="zh-CN" w:eastAsia="zh-CN" w:bidi="zh-CN"/>
        </w:rPr>
        <w:t>。</w:t>
      </w:r>
    </w:p>
    <w:p>
      <w:pPr>
        <w:pStyle w:val="36"/>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）服务要求</w:t>
      </w:r>
    </w:p>
    <w:p>
      <w:pPr>
        <w:pStyle w:val="36"/>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要求影响业务</w:t>
      </w:r>
      <w:r>
        <w:rPr>
          <w:rFonts w:hint="eastAsia" w:ascii="仿宋" w:hAnsi="仿宋" w:eastAsia="仿宋" w:cs="仿宋"/>
          <w:b/>
          <w:bCs/>
          <w:color w:val="auto"/>
          <w:sz w:val="24"/>
          <w:szCs w:val="24"/>
          <w:highlight w:val="none"/>
          <w:lang w:val="en-US" w:eastAsia="zh-CN"/>
        </w:rPr>
        <w:t>的</w:t>
      </w:r>
      <w:r>
        <w:rPr>
          <w:rFonts w:hint="eastAsia" w:ascii="仿宋" w:hAnsi="仿宋" w:eastAsia="仿宋" w:cs="仿宋"/>
          <w:b/>
          <w:bCs/>
          <w:color w:val="auto"/>
          <w:sz w:val="24"/>
          <w:szCs w:val="24"/>
          <w:highlight w:val="none"/>
        </w:rPr>
        <w:t>关键性故障12小时修复；不影响业务的非关键性</w:t>
      </w:r>
      <w:r>
        <w:rPr>
          <w:rFonts w:hint="eastAsia" w:ascii="仿宋" w:hAnsi="仿宋" w:eastAsia="仿宋" w:cs="仿宋"/>
          <w:b/>
          <w:bCs/>
          <w:color w:val="auto"/>
          <w:sz w:val="24"/>
          <w:szCs w:val="24"/>
          <w:highlight w:val="none"/>
          <w:lang w:val="en-US" w:eastAsia="zh-CN"/>
        </w:rPr>
        <w:t>故障</w:t>
      </w:r>
      <w:r>
        <w:rPr>
          <w:rFonts w:hint="eastAsia" w:ascii="仿宋" w:hAnsi="仿宋" w:eastAsia="仿宋" w:cs="仿宋"/>
          <w:b/>
          <w:bCs/>
          <w:color w:val="auto"/>
          <w:sz w:val="24"/>
          <w:szCs w:val="24"/>
          <w:highlight w:val="none"/>
        </w:rPr>
        <w:t>24小时修复。随时有故障要随叫随到进行抢修。</w:t>
      </w:r>
    </w:p>
    <w:p>
      <w:pPr>
        <w:pStyle w:val="22"/>
        <w:rPr>
          <w:rFonts w:hint="eastAsia"/>
          <w:color w:val="auto"/>
        </w:rPr>
      </w:pPr>
      <w:bookmarkStart w:id="89" w:name="_Toc529"/>
    </w:p>
    <w:p>
      <w:pPr>
        <w:pStyle w:val="3"/>
        <w:numPr>
          <w:ilvl w:val="0"/>
          <w:numId w:val="0"/>
        </w:numPr>
        <w:bidi w:val="0"/>
        <w:ind w:leftChars="0" w:right="84" w:rightChars="4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合同一般条款</w:t>
      </w:r>
      <w:bookmarkEnd w:id="83"/>
      <w:r>
        <w:rPr>
          <w:rFonts w:hint="eastAsia" w:ascii="仿宋" w:hAnsi="仿宋" w:eastAsia="仿宋" w:cs="仿宋"/>
          <w:color w:val="auto"/>
          <w:sz w:val="32"/>
          <w:szCs w:val="32"/>
          <w:highlight w:val="none"/>
        </w:rPr>
        <w:t>（仅供参考）</w:t>
      </w:r>
      <w:bookmarkEnd w:id="84"/>
      <w:bookmarkEnd w:id="89"/>
    </w:p>
    <w:p>
      <w:pPr>
        <w:spacing w:line="440" w:lineRule="exact"/>
        <w:ind w:firstLine="602" w:firstLineChars="200"/>
        <w:jc w:val="center"/>
        <w:rPr>
          <w:rFonts w:hint="eastAsia" w:ascii="仿宋" w:hAnsi="仿宋" w:eastAsia="仿宋" w:cs="仿宋"/>
          <w:b/>
          <w:color w:val="auto"/>
          <w:sz w:val="22"/>
          <w:szCs w:val="22"/>
          <w:highlight w:val="none"/>
        </w:rPr>
      </w:pPr>
      <w:r>
        <w:rPr>
          <w:rFonts w:hint="eastAsia" w:ascii="仿宋" w:hAnsi="仿宋" w:eastAsia="仿宋" w:cs="仿宋"/>
          <w:b/>
          <w:bCs/>
          <w:color w:val="auto"/>
          <w:sz w:val="30"/>
          <w:highlight w:val="none"/>
          <w:lang w:val="en-US" w:eastAsia="zh-CN"/>
        </w:rPr>
        <w:t xml:space="preserve"> </w:t>
      </w:r>
      <w:r>
        <w:rPr>
          <w:rFonts w:hint="eastAsia" w:ascii="仿宋" w:hAnsi="仿宋" w:eastAsia="仿宋" w:cs="仿宋"/>
          <w:b/>
          <w:color w:val="auto"/>
          <w:sz w:val="22"/>
          <w:szCs w:val="22"/>
          <w:highlight w:val="none"/>
        </w:rPr>
        <w:t>（本合同仅供参考，具体以实际签订的合同为准）</w:t>
      </w:r>
    </w:p>
    <w:p>
      <w:pPr>
        <w:shd w:val="clear" w:color="auto" w:fill="auto"/>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ind w:firstLine="601"/>
        <w:jc w:val="center"/>
        <w:rPr>
          <w:rFonts w:hint="eastAsia" w:ascii="仿宋" w:hAnsi="仿宋" w:eastAsia="仿宋" w:cs="仿宋"/>
          <w:b/>
          <w:color w:val="auto"/>
          <w:sz w:val="36"/>
          <w:szCs w:val="36"/>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36"/>
          <w:szCs w:val="36"/>
          <w:highlight w:val="none"/>
          <w:u w:val="single"/>
        </w:rPr>
        <w:t xml:space="preserve">  项目</w:t>
      </w:r>
      <w:r>
        <w:rPr>
          <w:rFonts w:hint="eastAsia" w:ascii="仿宋" w:hAnsi="仿宋" w:eastAsia="仿宋" w:cs="仿宋"/>
          <w:b/>
          <w:color w:val="auto"/>
          <w:sz w:val="36"/>
          <w:szCs w:val="36"/>
          <w:highlight w:val="none"/>
        </w:rPr>
        <w:t>采购合同书</w:t>
      </w:r>
    </w:p>
    <w:p>
      <w:pPr>
        <w:spacing w:line="560" w:lineRule="exact"/>
        <w:rPr>
          <w:rFonts w:hint="eastAsia" w:ascii="仿宋" w:hAnsi="仿宋" w:eastAsia="仿宋" w:cs="仿宋"/>
          <w:color w:val="auto"/>
          <w:sz w:val="28"/>
          <w:szCs w:val="28"/>
          <w:highlight w:val="none"/>
        </w:rPr>
      </w:pPr>
    </w:p>
    <w:p>
      <w:pPr>
        <w:spacing w:line="560" w:lineRule="exact"/>
        <w:rPr>
          <w:rFonts w:hint="eastAsia" w:ascii="仿宋" w:hAnsi="仿宋" w:eastAsia="仿宋" w:cs="仿宋"/>
          <w:color w:val="auto"/>
          <w:sz w:val="28"/>
          <w:szCs w:val="28"/>
          <w:highlight w:val="none"/>
        </w:rPr>
      </w:pPr>
    </w:p>
    <w:p>
      <w:pPr>
        <w:spacing w:line="560" w:lineRule="exact"/>
        <w:rPr>
          <w:rFonts w:hint="eastAsia" w:ascii="仿宋" w:hAnsi="仿宋" w:eastAsia="仿宋" w:cs="仿宋"/>
          <w:color w:val="auto"/>
          <w:sz w:val="28"/>
          <w:szCs w:val="28"/>
          <w:highlight w:val="none"/>
        </w:rPr>
      </w:pPr>
    </w:p>
    <w:p>
      <w:pPr>
        <w:spacing w:line="560" w:lineRule="exact"/>
        <w:rPr>
          <w:rFonts w:hint="eastAsia" w:ascii="仿宋" w:hAnsi="仿宋" w:eastAsia="仿宋" w:cs="仿宋"/>
          <w:color w:val="auto"/>
          <w:sz w:val="28"/>
          <w:szCs w:val="28"/>
          <w:highlight w:val="none"/>
        </w:rPr>
      </w:pPr>
    </w:p>
    <w:p>
      <w:pPr>
        <w:spacing w:line="560" w:lineRule="exact"/>
        <w:ind w:firstLine="1440" w:firstLineChars="45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买    方：</w:t>
      </w:r>
      <w:r>
        <w:rPr>
          <w:rFonts w:hint="eastAsia" w:ascii="仿宋" w:hAnsi="仿宋" w:eastAsia="仿宋" w:cs="仿宋"/>
          <w:bCs/>
          <w:color w:val="auto"/>
          <w:sz w:val="32"/>
          <w:szCs w:val="32"/>
          <w:highlight w:val="none"/>
          <w:lang w:eastAsia="zh-CN"/>
        </w:rPr>
        <w:t xml:space="preserve"> 博尔塔拉职业技术学院</w:t>
      </w:r>
    </w:p>
    <w:p>
      <w:pPr>
        <w:spacing w:line="560" w:lineRule="exact"/>
        <w:ind w:firstLine="1440" w:firstLineChars="4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卖    方： </w:t>
      </w:r>
    </w:p>
    <w:p>
      <w:pPr>
        <w:spacing w:line="560" w:lineRule="exact"/>
        <w:ind w:firstLine="1440" w:firstLineChars="450"/>
        <w:rPr>
          <w:rFonts w:hint="eastAsia" w:ascii="仿宋" w:hAnsi="仿宋" w:eastAsia="仿宋" w:cs="仿宋"/>
          <w:color w:val="auto"/>
          <w:sz w:val="32"/>
          <w:szCs w:val="32"/>
          <w:highlight w:val="none"/>
        </w:rPr>
      </w:pPr>
    </w:p>
    <w:p>
      <w:pPr>
        <w:spacing w:line="560" w:lineRule="exact"/>
        <w:ind w:firstLine="1440" w:firstLineChars="45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签约地点：</w:t>
      </w:r>
      <w:r>
        <w:rPr>
          <w:rFonts w:hint="eastAsia" w:ascii="仿宋" w:hAnsi="仿宋" w:eastAsia="仿宋" w:cs="仿宋"/>
          <w:color w:val="auto"/>
          <w:sz w:val="32"/>
          <w:szCs w:val="32"/>
          <w:highlight w:val="none"/>
          <w:lang w:val="en-US" w:eastAsia="zh-CN"/>
        </w:rPr>
        <w:t>新疆博州博乐市赛里木湖路14号</w:t>
      </w:r>
    </w:p>
    <w:p>
      <w:pPr>
        <w:spacing w:line="560" w:lineRule="exact"/>
        <w:ind w:firstLine="1440" w:firstLineChars="450"/>
        <w:rPr>
          <w:rFonts w:hint="eastAsia" w:ascii="仿宋" w:hAnsi="仿宋" w:eastAsia="仿宋" w:cs="仿宋"/>
          <w:color w:val="auto"/>
          <w:sz w:val="32"/>
          <w:szCs w:val="32"/>
          <w:highlight w:val="none"/>
        </w:rPr>
      </w:pPr>
    </w:p>
    <w:p>
      <w:pPr>
        <w:spacing w:line="560" w:lineRule="exact"/>
        <w:ind w:firstLine="1440" w:firstLineChars="4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签约日期：</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年 月  日</w:t>
      </w:r>
    </w:p>
    <w:p>
      <w:pPr>
        <w:spacing w:line="560" w:lineRule="exact"/>
        <w:ind w:firstLine="1440" w:firstLineChars="450"/>
        <w:rPr>
          <w:rFonts w:hint="eastAsia" w:ascii="仿宋" w:hAnsi="仿宋" w:eastAsia="仿宋" w:cs="仿宋"/>
          <w:color w:val="auto"/>
          <w:sz w:val="32"/>
          <w:szCs w:val="32"/>
          <w:highlight w:val="none"/>
        </w:rPr>
      </w:pPr>
    </w:p>
    <w:p>
      <w:pPr>
        <w:spacing w:line="560" w:lineRule="exact"/>
        <w:ind w:firstLine="1440" w:firstLineChars="4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合同编号：</w:t>
      </w:r>
      <w:r>
        <w:rPr>
          <w:rFonts w:hint="eastAsia" w:ascii="仿宋" w:hAnsi="仿宋" w:eastAsia="仿宋" w:cs="仿宋"/>
          <w:bCs/>
          <w:color w:val="auto"/>
          <w:sz w:val="32"/>
          <w:szCs w:val="32"/>
          <w:highlight w:val="none"/>
        </w:rPr>
        <w:t xml:space="preserve"> </w:t>
      </w:r>
    </w:p>
    <w:p>
      <w:pPr>
        <w:spacing w:line="560" w:lineRule="exact"/>
        <w:ind w:firstLine="601"/>
        <w:jc w:val="center"/>
        <w:rPr>
          <w:rFonts w:hint="eastAsia" w:ascii="仿宋" w:hAnsi="仿宋" w:eastAsia="仿宋" w:cs="仿宋"/>
          <w:b/>
          <w:color w:val="auto"/>
          <w:sz w:val="32"/>
          <w:szCs w:val="32"/>
          <w:highlight w:val="none"/>
        </w:rPr>
      </w:pPr>
    </w:p>
    <w:p>
      <w:pPr>
        <w:spacing w:line="560" w:lineRule="exact"/>
        <w:ind w:firstLine="601"/>
        <w:jc w:val="center"/>
        <w:rPr>
          <w:rFonts w:hint="eastAsia" w:ascii="仿宋" w:hAnsi="仿宋" w:eastAsia="仿宋" w:cs="仿宋"/>
          <w:b/>
          <w:color w:val="auto"/>
          <w:sz w:val="28"/>
          <w:szCs w:val="28"/>
          <w:highlight w:val="none"/>
        </w:rPr>
      </w:pPr>
    </w:p>
    <w:p>
      <w:pPr>
        <w:spacing w:line="560" w:lineRule="exact"/>
        <w:ind w:firstLine="601"/>
        <w:jc w:val="center"/>
        <w:rPr>
          <w:rFonts w:hint="eastAsia" w:ascii="仿宋" w:hAnsi="仿宋" w:eastAsia="仿宋" w:cs="仿宋"/>
          <w:b/>
          <w:color w:val="auto"/>
          <w:sz w:val="28"/>
          <w:szCs w:val="28"/>
          <w:highlight w:val="none"/>
        </w:rPr>
      </w:pPr>
    </w:p>
    <w:p>
      <w:pPr>
        <w:spacing w:line="5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二零二</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月</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甲</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方： </w:t>
      </w:r>
      <w:r>
        <w:rPr>
          <w:rFonts w:hint="eastAsia" w:ascii="仿宋" w:hAnsi="仿宋" w:eastAsia="仿宋" w:cs="仿宋"/>
          <w:color w:val="auto"/>
          <w:sz w:val="24"/>
          <w:highlight w:val="none"/>
        </w:rPr>
        <w:tab/>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电</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地 址： </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乙</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方：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电</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地 址：</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rPr>
        <w:tab/>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采购编号：</w:t>
      </w:r>
    </w:p>
    <w:p>
      <w:pPr>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项目的采购结果，按照《中华人民共和国政府采购法》、《民法典》的规定，以及</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rPr>
        <w:t xml:space="preserve">      </w:t>
      </w:r>
      <w:r>
        <w:rPr>
          <w:rFonts w:hint="eastAsia" w:ascii="仿宋" w:hAnsi="仿宋" w:eastAsia="仿宋" w:cs="仿宋"/>
          <w:color w:val="auto"/>
          <w:sz w:val="24"/>
          <w:highlight w:val="none"/>
        </w:rPr>
        <w:t>）的《竞争性磋商文件》，乙方的《磋商申请文件》 及《中标通知书》，经双方协商，本着平等互利和诚实信用的原则，一致同意签订本合同如下。</w:t>
      </w: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一、服务范围：</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二、合同金额：合同金额为（大写）：</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元（含税，￥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元）人民币。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三、甲方乙方的权利和义务</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（一） 甲方的权利和义务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1、甲方有责任向乙方提供真实有效的资料信息，作为乙方进行各项服务的初始依据。</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2、甲方有责任采用合理的技能、谨慎和关注，确保资料提供之及时性、准确性、完整性及非误导性。</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3、甲方有权利对乙方的各项服务工作实施监督和检查。</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4、甲方有权利对乙方提供的服务享有知情权并对不明事项提出质询。</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（二） 乙方的权利和义务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1、乙方在甲方符合要求的前提下，有责任依据以及行业通用惯例，为甲方提供真实有效的服务。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2、乙方不得泄露甲方的商业机密并将有关资料按类别分装成册妥善保管。</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3、乙方有责任按合同中规定的时间，为甲方提供合同中约定的各项服务事项。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四、服务期限（项目完成期限）</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委托服务期间自</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月至</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月止。 </w:t>
      </w:r>
    </w:p>
    <w:p>
      <w:pPr>
        <w:numPr>
          <w:ilvl w:val="0"/>
          <w:numId w:val="8"/>
        </w:numPr>
        <w:spacing w:line="360" w:lineRule="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highlight w:val="none"/>
        </w:rPr>
        <w:t>付款方式：</w:t>
      </w:r>
      <w:r>
        <w:rPr>
          <w:rFonts w:hint="eastAsia" w:ascii="仿宋" w:hAnsi="仿宋" w:eastAsia="仿宋" w:cs="仿宋"/>
          <w:color w:val="auto"/>
          <w:sz w:val="24"/>
          <w:szCs w:val="24"/>
          <w:highlight w:val="none"/>
          <w:u w:val="single"/>
          <w:lang w:val="en-US" w:eastAsia="zh-CN"/>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、保密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1、保密内容（包括技术信息和经营信息）：乙方 从甲方获得所有资料，尤其是本合同中涉及到工程项目、管理信息、资产、人员等有关内容。 </w:t>
      </w:r>
      <w:r>
        <w:rPr>
          <w:rFonts w:hint="eastAsia" w:ascii="仿宋" w:hAnsi="仿宋" w:eastAsia="仿宋" w:cs="仿宋"/>
          <w:color w:val="auto"/>
          <w:sz w:val="24"/>
          <w:highlight w:val="none"/>
        </w:rPr>
        <w:tab/>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2、涉密人员范围：项目组所有人员。 </w:t>
      </w:r>
      <w:r>
        <w:rPr>
          <w:rFonts w:hint="eastAsia" w:ascii="仿宋" w:hAnsi="仿宋" w:eastAsia="仿宋" w:cs="仿宋"/>
          <w:color w:val="auto"/>
          <w:sz w:val="24"/>
          <w:highlight w:val="none"/>
        </w:rPr>
        <w:tab/>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3、保密期限：从甲方获得所有资料，尤其是本合同中涉及到工程项目、管理信息、资产、 人员等有关内容的相应保密期限内。 </w:t>
      </w:r>
      <w:r>
        <w:rPr>
          <w:rFonts w:hint="eastAsia" w:ascii="仿宋" w:hAnsi="仿宋" w:eastAsia="仿宋" w:cs="仿宋"/>
          <w:color w:val="auto"/>
          <w:sz w:val="24"/>
          <w:highlight w:val="none"/>
        </w:rPr>
        <w:tab/>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、违约责任与赔偿损失</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 乙方提供的服务不符合竞争性磋商文件、报价文件或本合同规定的，甲方有权解除合同，乙方返还甲方已付费用，并须向甲方支付本合同总价20%的违约金。</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 乙方未能按本合同规定的时间提供服务，从逾期之日起每日按本合同总价 3‰的数额向 甲方支付违约金；逾期半个月以上的，甲方有权终止合同，乙方返还甲方已付费用，并须向甲方支付本合同总价20%的违约金，由此造成的甲方经济损失由乙方承担。</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3）乙方泄密的，赔偿甲方合同金额的 100%作为补偿费用。造成其他损失和责任的，乙方 承担。赔偿甲方的损失范围包括被检查对象因泄密引起的诉讼、索赔。</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 其它违约责任按《中华人民共和国民法典》处理。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、争端的解决</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1)合同执行过程中发生的任何争议，如双方不能通过友好协商解决，任何一方可以向自治 区人民法院起诉。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 xml:space="preserve">、不可抗力：任何一方由于不可抗力原因不能履行合同时，应在不可抗力事件结束后 1 日内向对方通报，以减轻可能给对方造成的损失，在取得有关机构的不可抗力证明或双方谅解确认 后，允许延期履行或修订合同，并根据情况可部分或全部免于承担违约责任。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十、税费：在中国境内、外发生的与本合同执行有关的一切税费均由乙方负担。</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、其它</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 本合同所有附件、竞争性磋商文件、磋商申请文件、中标通知书通知书均为合同的有效 组成部分，与本合同具有同等法律效力。</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 在执行本合同的过程中，所有经双方签署确认的文件（包括会议纪要、补充协议、往来 信函）即成为本合同的有效组成部分。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 如一方地址、电话、传真号码有变更，应在变更当日内书面通知对方，否则，应承担相 应责任。</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 除甲方事先书面同意外，乙方不得部分或全部转让其应履行的合同项下的义务。 十三、合同生效：</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1）本合同在甲乙双方法人代表或其授权代表签字盖章后生效。</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2）合同一式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份，甲、乙方各执</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份。</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甲方（盖章）：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乙方（盖章）：</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代表（签字或盖章）：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代表（签字或盖章）：</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签定地点：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签定日期：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月</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签定日期：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月</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p>
    <w:bookmarkEnd w:id="85"/>
    <w:bookmarkEnd w:id="86"/>
    <w:bookmarkEnd w:id="87"/>
    <w:bookmarkEnd w:id="88"/>
    <w:p>
      <w:pPr>
        <w:spacing w:line="353" w:lineRule="auto"/>
        <w:ind w:right="84" w:rightChars="40"/>
        <w:jc w:val="center"/>
        <w:rPr>
          <w:rFonts w:hint="eastAsia" w:ascii="仿宋" w:hAnsi="仿宋" w:eastAsia="仿宋" w:cs="仿宋"/>
          <w:color w:val="auto"/>
          <w:sz w:val="32"/>
          <w:szCs w:val="32"/>
          <w:highlight w:val="none"/>
        </w:rPr>
      </w:pPr>
      <w:bookmarkStart w:id="90" w:name="_Toc349573144"/>
      <w:bookmarkStart w:id="91" w:name="_Toc507690272"/>
      <w:bookmarkStart w:id="92" w:name="_Toc298240429"/>
      <w:bookmarkStart w:id="93" w:name="_Toc536713145"/>
      <w:bookmarkStart w:id="94" w:name="_Toc11689"/>
      <w:bookmarkStart w:id="95" w:name="_Toc349637943"/>
      <w:r>
        <w:rPr>
          <w:rFonts w:hint="eastAsia" w:ascii="仿宋" w:hAnsi="仿宋" w:eastAsia="仿宋" w:cs="仿宋"/>
          <w:color w:val="auto"/>
          <w:sz w:val="32"/>
          <w:szCs w:val="32"/>
          <w:highlight w:val="none"/>
        </w:rPr>
        <w:t>第五部分　磋商响应文件格式</w:t>
      </w:r>
      <w:bookmarkEnd w:id="90"/>
      <w:bookmarkEnd w:id="91"/>
      <w:bookmarkEnd w:id="92"/>
      <w:bookmarkEnd w:id="93"/>
      <w:bookmarkEnd w:id="94"/>
      <w:bookmarkEnd w:id="95"/>
    </w:p>
    <w:p>
      <w:pPr>
        <w:pStyle w:val="4"/>
        <w:bidi w:val="0"/>
        <w:jc w:val="center"/>
        <w:rPr>
          <w:rFonts w:hint="eastAsia" w:ascii="仿宋" w:hAnsi="仿宋" w:eastAsia="仿宋" w:cs="仿宋"/>
          <w:color w:val="auto"/>
          <w:highlight w:val="none"/>
        </w:rPr>
      </w:pPr>
      <w:bookmarkStart w:id="96" w:name="_Toc29832"/>
      <w:r>
        <w:rPr>
          <w:rFonts w:hint="eastAsia" w:ascii="仿宋" w:hAnsi="仿宋" w:eastAsia="仿宋" w:cs="仿宋"/>
          <w:color w:val="auto"/>
          <w:highlight w:val="none"/>
        </w:rPr>
        <w:t>1、 磋商响应书</w:t>
      </w:r>
      <w:bookmarkEnd w:id="96"/>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致（</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lang w:val="zh-CN"/>
        </w:rPr>
        <w:t xml:space="preserve">）： </w:t>
      </w:r>
    </w:p>
    <w:p>
      <w:pPr>
        <w:autoSpaceDE w:val="0"/>
        <w:autoSpaceDN w:val="0"/>
        <w:adjustRightInd w:val="0"/>
        <w:spacing w:line="480" w:lineRule="exact"/>
        <w:ind w:right="84" w:rightChars="4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我们收到</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rPr>
        <w:t xml:space="preserve">                             磋商</w:t>
      </w:r>
      <w:r>
        <w:rPr>
          <w:rFonts w:hint="eastAsia" w:ascii="仿宋" w:hAnsi="仿宋" w:eastAsia="仿宋" w:cs="仿宋"/>
          <w:color w:val="auto"/>
          <w:kern w:val="0"/>
          <w:sz w:val="24"/>
          <w:highlight w:val="none"/>
          <w:lang w:val="zh-CN"/>
        </w:rPr>
        <w:t>文件，经研究，法定代表人（姓名、职务）正式授权（委托代理人姓名、职务）代表供应商（供应商名称、地址）提交磋商响应文件。</w:t>
      </w:r>
    </w:p>
    <w:p>
      <w:pPr>
        <w:autoSpaceDE w:val="0"/>
        <w:autoSpaceDN w:val="0"/>
        <w:adjustRightInd w:val="0"/>
        <w:spacing w:line="48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据此函，签字代表宣布同意如下：</w:t>
      </w:r>
    </w:p>
    <w:p>
      <w:pPr>
        <w:autoSpaceDE w:val="0"/>
        <w:autoSpaceDN w:val="0"/>
        <w:adjustRightInd w:val="0"/>
        <w:spacing w:line="48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1.我方已详阅磋商文件的全部内容，包括澄清、修改条款等有关附件，承诺对其完全理解并接受。</w:t>
      </w:r>
    </w:p>
    <w:p>
      <w:pPr>
        <w:autoSpaceDE w:val="0"/>
        <w:autoSpaceDN w:val="0"/>
        <w:adjustRightInd w:val="0"/>
        <w:spacing w:line="48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 磋商有效期从提交磋商响应文件截止之日起开始计算，</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天内有效。</w:t>
      </w:r>
    </w:p>
    <w:p>
      <w:pPr>
        <w:autoSpaceDE w:val="0"/>
        <w:autoSpaceDN w:val="0"/>
        <w:adjustRightInd w:val="0"/>
        <w:spacing w:line="48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3.我方同意按照贵方要求提供与磋商有关的一切数据或资料，理解并接受贵方制定的评审办法。</w:t>
      </w:r>
    </w:p>
    <w:p>
      <w:pPr>
        <w:autoSpaceDE w:val="0"/>
        <w:autoSpaceDN w:val="0"/>
        <w:adjustRightInd w:val="0"/>
        <w:spacing w:line="48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4.与本磋商有关的一切正式往来通讯请寄：</w:t>
      </w:r>
    </w:p>
    <w:p>
      <w:pPr>
        <w:autoSpaceDE w:val="0"/>
        <w:autoSpaceDN w:val="0"/>
        <w:adjustRightInd w:val="0"/>
        <w:spacing w:line="400" w:lineRule="exact"/>
        <w:ind w:right="84" w:rightChars="40" w:firstLine="480"/>
        <w:rPr>
          <w:rFonts w:hint="eastAsia" w:ascii="仿宋" w:hAnsi="仿宋" w:eastAsia="仿宋" w:cs="仿宋"/>
          <w:color w:val="auto"/>
          <w:kern w:val="0"/>
          <w:sz w:val="24"/>
          <w:highlight w:val="none"/>
          <w:lang w:val="zh-CN"/>
        </w:rPr>
      </w:pP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地址：_______________          邮编：______________</w:t>
      </w: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电话：_______________          传真：______________</w:t>
      </w: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法定代表人姓名： ___________   职务：____________</w:t>
      </w: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pPr>
        <w:autoSpaceDE w:val="0"/>
        <w:autoSpaceDN w:val="0"/>
        <w:adjustRightInd w:val="0"/>
        <w:spacing w:line="400" w:lineRule="exact"/>
        <w:ind w:right="84" w:rightChars="40"/>
        <w:rPr>
          <w:rFonts w:hint="eastAsia" w:ascii="仿宋" w:hAnsi="仿宋" w:eastAsia="仿宋" w:cs="仿宋"/>
          <w:bCs/>
          <w:color w:val="auto"/>
          <w:kern w:val="0"/>
          <w:sz w:val="24"/>
          <w:highlight w:val="none"/>
          <w:lang w:val="zh-CN"/>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bCs/>
          <w:color w:val="auto"/>
          <w:kern w:val="0"/>
          <w:sz w:val="24"/>
          <w:highlight w:val="none"/>
          <w:lang w:val="zh-CN"/>
        </w:rPr>
        <w:t>供应商：             （公章）</w:t>
      </w:r>
    </w:p>
    <w:p>
      <w:pPr>
        <w:autoSpaceDE w:val="0"/>
        <w:autoSpaceDN w:val="0"/>
        <w:adjustRightInd w:val="0"/>
        <w:spacing w:line="400" w:lineRule="exact"/>
        <w:ind w:right="84" w:rightChars="40"/>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 xml:space="preserve">                       法定代表人或委托代理人：             （签字）</w:t>
      </w: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lang w:val="zh-CN"/>
        </w:rPr>
        <w:t xml:space="preserve">                                      年   月   日</w:t>
      </w:r>
    </w:p>
    <w:p>
      <w:pPr>
        <w:spacing w:line="400" w:lineRule="atLeast"/>
        <w:ind w:right="84" w:rightChars="40"/>
        <w:rPr>
          <w:rFonts w:hint="eastAsia" w:ascii="仿宋" w:hAnsi="仿宋" w:eastAsia="仿宋" w:cs="仿宋"/>
          <w:color w:val="auto"/>
          <w:sz w:val="24"/>
          <w:highlight w:val="none"/>
        </w:rPr>
        <w:sectPr>
          <w:headerReference r:id="rId5" w:type="first"/>
          <w:footerReference r:id="rId8" w:type="first"/>
          <w:headerReference r:id="rId4" w:type="default"/>
          <w:footerReference r:id="rId6" w:type="default"/>
          <w:footerReference r:id="rId7" w:type="even"/>
          <w:type w:val="continuous"/>
          <w:pgSz w:w="11907" w:h="16840"/>
          <w:pgMar w:top="1440" w:right="1080" w:bottom="1440" w:left="1080" w:header="851" w:footer="635" w:gutter="0"/>
          <w:pgNumType w:fmt="decimal" w:start="1"/>
          <w:cols w:space="720" w:num="1"/>
          <w:titlePg/>
          <w:docGrid w:type="lines" w:linePitch="409" w:charSpace="0"/>
        </w:sectPr>
      </w:pPr>
    </w:p>
    <w:p>
      <w:pPr>
        <w:tabs>
          <w:tab w:val="left" w:pos="9135"/>
        </w:tabs>
        <w:spacing w:line="400" w:lineRule="atLeast"/>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p>
      <w:pPr>
        <w:tabs>
          <w:tab w:val="left" w:pos="9135"/>
        </w:tabs>
        <w:spacing w:line="400" w:lineRule="atLeast"/>
        <w:ind w:right="84" w:rightChars="40"/>
        <w:rPr>
          <w:rFonts w:hint="eastAsia" w:ascii="仿宋" w:hAnsi="仿宋" w:eastAsia="仿宋" w:cs="仿宋"/>
          <w:color w:val="auto"/>
          <w:sz w:val="24"/>
          <w:highlight w:val="none"/>
        </w:rPr>
      </w:pPr>
    </w:p>
    <w:p>
      <w:pPr>
        <w:pStyle w:val="4"/>
        <w:bidi w:val="0"/>
        <w:jc w:val="center"/>
        <w:rPr>
          <w:rFonts w:hint="eastAsia" w:ascii="仿宋" w:hAnsi="仿宋" w:eastAsia="仿宋" w:cs="仿宋"/>
          <w:color w:val="auto"/>
          <w:highlight w:val="none"/>
        </w:rPr>
      </w:pPr>
      <w:bookmarkStart w:id="97" w:name="_Toc1253"/>
      <w:r>
        <w:rPr>
          <w:rFonts w:hint="eastAsia" w:ascii="仿宋" w:hAnsi="仿宋" w:eastAsia="仿宋" w:cs="仿宋"/>
          <w:color w:val="auto"/>
          <w:highlight w:val="none"/>
        </w:rPr>
        <w:t>2、磋商报价表</w:t>
      </w:r>
      <w:bookmarkEnd w:id="97"/>
    </w:p>
    <w:p>
      <w:pPr>
        <w:tabs>
          <w:tab w:val="left" w:pos="9135"/>
        </w:tabs>
        <w:spacing w:line="400" w:lineRule="atLeast"/>
        <w:ind w:right="84" w:rightChars="40"/>
        <w:rPr>
          <w:rFonts w:hint="eastAsia" w:ascii="仿宋" w:hAnsi="仿宋" w:eastAsia="仿宋" w:cs="仿宋"/>
          <w:color w:val="auto"/>
          <w:sz w:val="24"/>
          <w:highlight w:val="none"/>
        </w:rPr>
      </w:pPr>
    </w:p>
    <w:p>
      <w:pPr>
        <w:tabs>
          <w:tab w:val="left" w:pos="9135"/>
        </w:tabs>
        <w:spacing w:line="400" w:lineRule="atLeast"/>
        <w:ind w:right="84" w:rightChars="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w:t>
      </w:r>
    </w:p>
    <w:p>
      <w:pPr>
        <w:tabs>
          <w:tab w:val="left" w:pos="9135"/>
        </w:tabs>
        <w:spacing w:line="400" w:lineRule="atLeast"/>
        <w:ind w:right="84" w:rightChars="40"/>
        <w:rPr>
          <w:rFonts w:hint="eastAsia" w:ascii="仿宋" w:hAnsi="仿宋" w:eastAsia="仿宋" w:cs="仿宋"/>
          <w:color w:val="auto"/>
          <w:sz w:val="24"/>
          <w:highlight w:val="none"/>
        </w:rPr>
      </w:pPr>
    </w:p>
    <w:tbl>
      <w:tblPr>
        <w:tblStyle w:val="38"/>
        <w:tblW w:w="0" w:type="auto"/>
        <w:tblInd w:w="0" w:type="dxa"/>
        <w:tblLayout w:type="fixed"/>
        <w:tblCellMar>
          <w:top w:w="0" w:type="dxa"/>
          <w:left w:w="0" w:type="dxa"/>
          <w:bottom w:w="0" w:type="dxa"/>
          <w:right w:w="0" w:type="dxa"/>
        </w:tblCellMar>
      </w:tblPr>
      <w:tblGrid>
        <w:gridCol w:w="2978"/>
        <w:gridCol w:w="4905"/>
        <w:gridCol w:w="3031"/>
        <w:gridCol w:w="4496"/>
      </w:tblGrid>
      <w:tr>
        <w:tblPrEx>
          <w:tblCellMar>
            <w:top w:w="0" w:type="dxa"/>
            <w:left w:w="0" w:type="dxa"/>
            <w:bottom w:w="0" w:type="dxa"/>
            <w:right w:w="0" w:type="dxa"/>
          </w:tblCellMar>
        </w:tblPrEx>
        <w:trPr>
          <w:trHeight w:val="662" w:hRule="atLeast"/>
        </w:trPr>
        <w:tc>
          <w:tcPr>
            <w:tcW w:w="2978"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360" w:lineRule="auto"/>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4905"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360" w:lineRule="auto"/>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磋商总报价</w:t>
            </w:r>
          </w:p>
        </w:tc>
        <w:tc>
          <w:tcPr>
            <w:tcW w:w="3031"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right="84" w:rightChars="4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服务期限</w:t>
            </w:r>
          </w:p>
        </w:tc>
        <w:tc>
          <w:tcPr>
            <w:tcW w:w="4496" w:type="dxa"/>
            <w:tcBorders>
              <w:top w:val="single" w:color="auto" w:sz="8" w:space="0"/>
              <w:left w:val="nil"/>
              <w:bottom w:val="single" w:color="auto" w:sz="8" w:space="0"/>
              <w:right w:val="single" w:color="auto" w:sz="8" w:space="0"/>
            </w:tcBorders>
            <w:noWrap w:val="0"/>
            <w:vAlign w:val="center"/>
          </w:tcPr>
          <w:p>
            <w:pPr>
              <w:tabs>
                <w:tab w:val="left" w:pos="5580"/>
              </w:tabs>
              <w:spacing w:line="360" w:lineRule="auto"/>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640" w:hRule="atLeast"/>
        </w:trPr>
        <w:tc>
          <w:tcPr>
            <w:tcW w:w="2978"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ind w:left="1079" w:leftChars="257" w:right="84" w:rightChars="40" w:hanging="540"/>
              <w:jc w:val="center"/>
              <w:rPr>
                <w:rFonts w:hint="eastAsia" w:ascii="仿宋" w:hAnsi="仿宋" w:eastAsia="仿宋" w:cs="仿宋"/>
                <w:color w:val="auto"/>
                <w:sz w:val="24"/>
                <w:highlight w:val="none"/>
              </w:rPr>
            </w:pPr>
          </w:p>
        </w:tc>
        <w:tc>
          <w:tcPr>
            <w:tcW w:w="4905"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ind w:right="84" w:rightChars="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360" w:lineRule="auto"/>
              <w:ind w:right="84" w:rightChars="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3031"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79" w:leftChars="257" w:right="84" w:rightChars="40" w:hanging="540"/>
              <w:jc w:val="center"/>
              <w:rPr>
                <w:rFonts w:hint="eastAsia" w:ascii="仿宋" w:hAnsi="仿宋" w:eastAsia="仿宋" w:cs="仿宋"/>
                <w:color w:val="auto"/>
                <w:sz w:val="24"/>
                <w:highlight w:val="none"/>
              </w:rPr>
            </w:pPr>
          </w:p>
        </w:tc>
        <w:tc>
          <w:tcPr>
            <w:tcW w:w="4496"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ind w:left="1079" w:leftChars="257" w:right="84" w:rightChars="40" w:hanging="540"/>
              <w:jc w:val="center"/>
              <w:rPr>
                <w:rFonts w:hint="eastAsia" w:ascii="仿宋" w:hAnsi="仿宋" w:eastAsia="仿宋" w:cs="仿宋"/>
                <w:color w:val="auto"/>
                <w:sz w:val="24"/>
                <w:highlight w:val="none"/>
              </w:rPr>
            </w:pPr>
          </w:p>
        </w:tc>
      </w:tr>
    </w:tbl>
    <w:p>
      <w:pPr>
        <w:pStyle w:val="37"/>
        <w:ind w:right="84" w:rightChars="40" w:firstLine="480"/>
        <w:rPr>
          <w:rFonts w:hint="eastAsia" w:ascii="仿宋" w:hAnsi="仿宋" w:eastAsia="仿宋" w:cs="仿宋"/>
          <w:color w:val="auto"/>
          <w:highlight w:val="none"/>
        </w:rPr>
      </w:pPr>
    </w:p>
    <w:p>
      <w:pPr>
        <w:tabs>
          <w:tab w:val="left" w:pos="9135"/>
        </w:tabs>
        <w:spacing w:line="400" w:lineRule="atLeast"/>
        <w:ind w:right="84" w:rightChars="40"/>
        <w:rPr>
          <w:rFonts w:hint="eastAsia" w:ascii="仿宋" w:hAnsi="仿宋" w:eastAsia="仿宋" w:cs="仿宋"/>
          <w:color w:val="auto"/>
          <w:sz w:val="24"/>
          <w:highlight w:val="none"/>
        </w:rPr>
      </w:pPr>
    </w:p>
    <w:p>
      <w:pPr>
        <w:tabs>
          <w:tab w:val="left" w:pos="9135"/>
        </w:tabs>
        <w:spacing w:line="400" w:lineRule="atLeast"/>
        <w:ind w:right="84" w:rightChars="40"/>
        <w:rPr>
          <w:rFonts w:hint="eastAsia" w:ascii="仿宋" w:hAnsi="仿宋" w:eastAsia="仿宋" w:cs="仿宋"/>
          <w:color w:val="auto"/>
          <w:sz w:val="24"/>
          <w:highlight w:val="none"/>
        </w:rPr>
      </w:pPr>
    </w:p>
    <w:p>
      <w:pPr>
        <w:tabs>
          <w:tab w:val="left" w:pos="9135"/>
        </w:tabs>
        <w:spacing w:line="400" w:lineRule="atLeast"/>
        <w:ind w:right="84" w:rightChars="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供应商代表签字：</w:t>
      </w:r>
      <w:r>
        <w:rPr>
          <w:rFonts w:hint="eastAsia" w:ascii="仿宋" w:hAnsi="仿宋" w:eastAsia="仿宋" w:cs="仿宋"/>
          <w:color w:val="auto"/>
          <w:sz w:val="24"/>
          <w:highlight w:val="none"/>
          <w:u w:val="single"/>
        </w:rPr>
        <w:t>　　　　　　　　　　　</w:t>
      </w:r>
    </w:p>
    <w:p>
      <w:pPr>
        <w:pStyle w:val="37"/>
        <w:ind w:right="84" w:rightChars="40" w:firstLine="480"/>
        <w:rPr>
          <w:rFonts w:hint="eastAsia" w:ascii="仿宋" w:hAnsi="仿宋" w:eastAsia="仿宋" w:cs="仿宋"/>
          <w:color w:val="auto"/>
          <w:highlight w:val="none"/>
        </w:rPr>
      </w:pPr>
      <w:r>
        <w:rPr>
          <w:rFonts w:hint="eastAsia" w:ascii="仿宋" w:hAnsi="仿宋" w:eastAsia="仿宋" w:cs="仿宋"/>
          <w:bCs/>
          <w:color w:val="auto"/>
          <w:kern w:val="0"/>
          <w:highlight w:val="none"/>
          <w:lang w:val="zh-CN"/>
        </w:rPr>
        <w:t xml:space="preserve">     年   月   日</w:t>
      </w:r>
    </w:p>
    <w:p>
      <w:pPr>
        <w:spacing w:before="156" w:beforeLines="50" w:line="400" w:lineRule="exact"/>
        <w:ind w:right="84" w:rightChars="4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备注：</w:t>
      </w:r>
    </w:p>
    <w:p>
      <w:pPr>
        <w:spacing w:before="156" w:beforeLines="50" w:line="400" w:lineRule="exact"/>
        <w:ind w:right="84" w:rightChars="4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如果有其它优惠条件，可以在磋商报价表下另附说明</w:t>
      </w:r>
      <w:r>
        <w:rPr>
          <w:rFonts w:hint="eastAsia" w:ascii="仿宋" w:hAnsi="仿宋" w:eastAsia="仿宋" w:cs="仿宋"/>
          <w:color w:val="auto"/>
          <w:sz w:val="24"/>
          <w:highlight w:val="none"/>
          <w:lang w:eastAsia="zh-CN"/>
        </w:rPr>
        <w:t>。</w:t>
      </w:r>
    </w:p>
    <w:p>
      <w:pPr>
        <w:spacing w:line="400" w:lineRule="atLeast"/>
        <w:ind w:right="84" w:rightChars="40" w:firstLine="480" w:firstLineChars="200"/>
        <w:rPr>
          <w:rFonts w:hint="eastAsia" w:ascii="仿宋" w:hAnsi="仿宋" w:eastAsia="仿宋" w:cs="仿宋"/>
          <w:color w:val="auto"/>
          <w:sz w:val="24"/>
          <w:highlight w:val="none"/>
        </w:rPr>
        <w:sectPr>
          <w:pgSz w:w="16838" w:h="11906" w:orient="landscape"/>
          <w:pgMar w:top="1440" w:right="1080" w:bottom="1440" w:left="1080" w:header="851" w:footer="992" w:gutter="0"/>
          <w:pgNumType w:fmt="decimal"/>
          <w:cols w:space="720" w:num="1"/>
          <w:docGrid w:type="linesAndChars" w:linePitch="312" w:charSpace="0"/>
        </w:sectPr>
      </w:pPr>
    </w:p>
    <w:p>
      <w:pPr>
        <w:pStyle w:val="4"/>
        <w:bidi w:val="0"/>
        <w:jc w:val="center"/>
        <w:rPr>
          <w:rFonts w:hint="eastAsia" w:ascii="仿宋" w:hAnsi="仿宋" w:eastAsia="仿宋" w:cs="仿宋"/>
          <w:color w:val="auto"/>
          <w:highlight w:val="none"/>
        </w:rPr>
      </w:pPr>
      <w:bookmarkStart w:id="98" w:name="_Toc7954"/>
      <w:bookmarkStart w:id="99" w:name="_Toc277841205"/>
      <w:r>
        <w:rPr>
          <w:rFonts w:hint="eastAsia" w:ascii="仿宋" w:hAnsi="仿宋" w:eastAsia="仿宋" w:cs="仿宋"/>
          <w:color w:val="auto"/>
          <w:highlight w:val="none"/>
        </w:rPr>
        <w:t>3、分项报价表</w:t>
      </w:r>
      <w:bookmarkEnd w:id="98"/>
      <w:bookmarkEnd w:id="99"/>
    </w:p>
    <w:p>
      <w:pPr>
        <w:spacing w:line="400" w:lineRule="atLeast"/>
        <w:ind w:right="84" w:rightChars="40"/>
        <w:rPr>
          <w:rFonts w:hint="eastAsia" w:ascii="仿宋" w:hAnsi="仿宋" w:eastAsia="仿宋" w:cs="仿宋"/>
          <w:color w:val="auto"/>
          <w:sz w:val="24"/>
          <w:highlight w:val="none"/>
        </w:rPr>
      </w:pPr>
    </w:p>
    <w:p>
      <w:pPr>
        <w:spacing w:line="400" w:lineRule="atLeast"/>
        <w:ind w:right="84" w:rightChars="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tbl>
      <w:tblPr>
        <w:tblStyle w:val="38"/>
        <w:tblpPr w:leftFromText="180" w:rightFromText="180" w:vertAnchor="text" w:horzAnchor="page" w:tblpXSpec="center" w:tblpY="373"/>
        <w:tblOverlap w:val="never"/>
        <w:tblW w:w="4996" w:type="pct"/>
        <w:jc w:val="center"/>
        <w:tblLayout w:type="autofit"/>
        <w:tblCellMar>
          <w:top w:w="0" w:type="dxa"/>
          <w:left w:w="28" w:type="dxa"/>
          <w:bottom w:w="0" w:type="dxa"/>
          <w:right w:w="28" w:type="dxa"/>
        </w:tblCellMar>
      </w:tblPr>
      <w:tblGrid>
        <w:gridCol w:w="1503"/>
        <w:gridCol w:w="556"/>
        <w:gridCol w:w="1164"/>
        <w:gridCol w:w="1287"/>
        <w:gridCol w:w="1644"/>
        <w:gridCol w:w="1183"/>
        <w:gridCol w:w="1242"/>
        <w:gridCol w:w="1216"/>
      </w:tblGrid>
      <w:tr>
        <w:tblPrEx>
          <w:tblCellMar>
            <w:top w:w="0" w:type="dxa"/>
            <w:left w:w="28" w:type="dxa"/>
            <w:bottom w:w="0" w:type="dxa"/>
            <w:right w:w="28" w:type="dxa"/>
          </w:tblCellMar>
        </w:tblPrEx>
        <w:trPr>
          <w:trHeight w:val="832" w:hRule="atLeast"/>
          <w:jc w:val="center"/>
        </w:trPr>
        <w:tc>
          <w:tcPr>
            <w:tcW w:w="767" w:type="pct"/>
            <w:vMerge w:val="restart"/>
            <w:tcBorders>
              <w:top w:val="single" w:color="auto" w:sz="6" w:space="0"/>
              <w:left w:val="single" w:color="auto" w:sz="6" w:space="0"/>
              <w:right w:val="single" w:color="auto" w:sz="4" w:space="0"/>
            </w:tcBorders>
            <w:noWrap w:val="0"/>
            <w:vAlign w:val="center"/>
          </w:tcPr>
          <w:p>
            <w:pPr>
              <w:jc w:val="left"/>
              <w:rPr>
                <w:rFonts w:hint="eastAsia" w:ascii="仿宋" w:hAnsi="仿宋" w:eastAsia="仿宋" w:cs="仿宋"/>
                <w:color w:val="auto"/>
                <w:sz w:val="22"/>
                <w:highlight w:val="none"/>
              </w:rPr>
            </w:pPr>
            <w:r>
              <w:rPr>
                <w:rFonts w:hint="eastAsia" w:ascii="仿宋" w:hAnsi="仿宋" w:eastAsia="仿宋" w:cs="仿宋"/>
                <w:color w:val="auto"/>
                <w:sz w:val="22"/>
                <w:highlight w:val="none"/>
              </w:rPr>
              <w:t>服务费用</w:t>
            </w:r>
          </w:p>
        </w:tc>
        <w:tc>
          <w:tcPr>
            <w:tcW w:w="284" w:type="pct"/>
            <w:tcBorders>
              <w:top w:val="single" w:color="auto" w:sz="6" w:space="0"/>
              <w:left w:val="single" w:color="auto" w:sz="4" w:space="0"/>
              <w:bottom w:val="single" w:color="auto" w:sz="6" w:space="0"/>
            </w:tcBorders>
            <w:noWrap w:val="0"/>
            <w:vAlign w:val="center"/>
          </w:tcPr>
          <w:p>
            <w:pPr>
              <w:spacing w:after="12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序号</w:t>
            </w:r>
          </w:p>
        </w:tc>
        <w:tc>
          <w:tcPr>
            <w:tcW w:w="594" w:type="pct"/>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名称</w:t>
            </w:r>
          </w:p>
        </w:tc>
        <w:tc>
          <w:tcPr>
            <w:tcW w:w="657" w:type="pct"/>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服务/费用类型</w:t>
            </w:r>
          </w:p>
        </w:tc>
        <w:tc>
          <w:tcPr>
            <w:tcW w:w="839" w:type="pct"/>
            <w:tcBorders>
              <w:top w:val="single" w:color="auto" w:sz="6" w:space="0"/>
              <w:left w:val="single" w:color="auto" w:sz="6" w:space="0"/>
              <w:bottom w:val="single" w:color="auto" w:sz="6" w:space="0"/>
              <w:right w:val="single" w:color="auto" w:sz="6" w:space="0"/>
            </w:tcBorders>
            <w:noWrap w:val="0"/>
            <w:vAlign w:val="center"/>
          </w:tcPr>
          <w:p>
            <w:pPr>
              <w:spacing w:before="197" w:beforeLines="50" w:after="120"/>
              <w:ind w:firstLine="440"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服务商</w:t>
            </w:r>
          </w:p>
        </w:tc>
        <w:tc>
          <w:tcPr>
            <w:tcW w:w="604" w:type="pct"/>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数量/单位</w:t>
            </w:r>
          </w:p>
        </w:tc>
        <w:tc>
          <w:tcPr>
            <w:tcW w:w="634" w:type="pct"/>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单价</w:t>
            </w:r>
          </w:p>
          <w:p>
            <w:pPr>
              <w:spacing w:after="120"/>
              <w:jc w:val="center"/>
              <w:rPr>
                <w:rFonts w:hint="eastAsia" w:ascii="仿宋" w:hAnsi="仿宋" w:eastAsia="仿宋" w:cs="仿宋"/>
                <w:bCs/>
                <w:color w:val="auto"/>
                <w:sz w:val="22"/>
                <w:highlight w:val="none"/>
              </w:rPr>
            </w:pPr>
            <w:r>
              <w:rPr>
                <w:rFonts w:hint="eastAsia" w:ascii="仿宋" w:hAnsi="仿宋" w:eastAsia="仿宋" w:cs="仿宋"/>
                <w:color w:val="auto"/>
                <w:sz w:val="22"/>
                <w:highlight w:val="none"/>
              </w:rPr>
              <w:t>（元）</w:t>
            </w:r>
          </w:p>
        </w:tc>
        <w:tc>
          <w:tcPr>
            <w:tcW w:w="619" w:type="pct"/>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bCs/>
                <w:color w:val="auto"/>
                <w:sz w:val="22"/>
                <w:highlight w:val="none"/>
              </w:rPr>
            </w:pPr>
            <w:r>
              <w:rPr>
                <w:rFonts w:hint="eastAsia" w:ascii="仿宋" w:hAnsi="仿宋" w:eastAsia="仿宋" w:cs="仿宋"/>
                <w:bCs/>
                <w:color w:val="auto"/>
                <w:sz w:val="22"/>
                <w:highlight w:val="none"/>
              </w:rPr>
              <w:t>总价</w:t>
            </w:r>
          </w:p>
          <w:p>
            <w:pPr>
              <w:spacing w:after="120"/>
              <w:jc w:val="center"/>
              <w:rPr>
                <w:rFonts w:hint="eastAsia" w:ascii="仿宋" w:hAnsi="仿宋" w:eastAsia="仿宋" w:cs="仿宋"/>
                <w:bCs/>
                <w:color w:val="auto"/>
                <w:sz w:val="22"/>
                <w:highlight w:val="none"/>
              </w:rPr>
            </w:pPr>
            <w:r>
              <w:rPr>
                <w:rFonts w:hint="eastAsia" w:ascii="仿宋" w:hAnsi="仿宋" w:eastAsia="仿宋" w:cs="仿宋"/>
                <w:bCs/>
                <w:color w:val="auto"/>
                <w:sz w:val="22"/>
                <w:highlight w:val="none"/>
              </w:rPr>
              <w:t>（元）</w:t>
            </w:r>
          </w:p>
        </w:tc>
      </w:tr>
      <w:tr>
        <w:tblPrEx>
          <w:tblCellMar>
            <w:top w:w="0" w:type="dxa"/>
            <w:left w:w="28" w:type="dxa"/>
            <w:bottom w:w="0" w:type="dxa"/>
            <w:right w:w="28" w:type="dxa"/>
          </w:tblCellMar>
        </w:tblPrEx>
        <w:trPr>
          <w:trHeight w:val="696" w:hRule="atLeast"/>
          <w:jc w:val="center"/>
        </w:trPr>
        <w:tc>
          <w:tcPr>
            <w:tcW w:w="767" w:type="pct"/>
            <w:vMerge w:val="continue"/>
            <w:tcBorders>
              <w:left w:val="single" w:color="auto" w:sz="6" w:space="0"/>
              <w:right w:val="single" w:color="auto" w:sz="4" w:space="0"/>
            </w:tcBorders>
            <w:noWrap w:val="0"/>
            <w:vAlign w:val="center"/>
          </w:tcPr>
          <w:p>
            <w:pPr>
              <w:spacing w:before="395" w:beforeLines="100"/>
              <w:jc w:val="center"/>
              <w:rPr>
                <w:rFonts w:hint="eastAsia" w:ascii="仿宋" w:hAnsi="仿宋" w:eastAsia="仿宋" w:cs="仿宋"/>
                <w:color w:val="auto"/>
                <w:sz w:val="22"/>
                <w:highlight w:val="none"/>
              </w:rPr>
            </w:pPr>
          </w:p>
        </w:tc>
        <w:tc>
          <w:tcPr>
            <w:tcW w:w="284" w:type="pct"/>
            <w:tcBorders>
              <w:top w:val="single" w:color="auto" w:sz="6" w:space="0"/>
              <w:left w:val="single" w:color="auto" w:sz="4" w:space="0"/>
              <w:bottom w:val="single" w:color="auto" w:sz="4" w:space="0"/>
            </w:tcBorders>
            <w:noWrap w:val="0"/>
            <w:vAlign w:val="center"/>
          </w:tcPr>
          <w:p>
            <w:pPr>
              <w:spacing w:before="395" w:beforeLines="10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1</w:t>
            </w:r>
          </w:p>
        </w:tc>
        <w:tc>
          <w:tcPr>
            <w:tcW w:w="594" w:type="pct"/>
            <w:tcBorders>
              <w:top w:val="single" w:color="auto" w:sz="6" w:space="0"/>
              <w:left w:val="single" w:color="auto" w:sz="6" w:space="0"/>
              <w:bottom w:val="single" w:color="auto" w:sz="4"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57" w:type="pct"/>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color w:val="auto"/>
                <w:sz w:val="22"/>
                <w:highlight w:val="none"/>
              </w:rPr>
            </w:pPr>
          </w:p>
        </w:tc>
        <w:tc>
          <w:tcPr>
            <w:tcW w:w="839" w:type="pct"/>
            <w:tcBorders>
              <w:top w:val="single" w:color="auto" w:sz="6" w:space="0"/>
              <w:left w:val="single" w:color="auto" w:sz="6" w:space="0"/>
              <w:bottom w:val="single" w:color="auto" w:sz="4"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04" w:type="pct"/>
            <w:tcBorders>
              <w:top w:val="single" w:color="auto" w:sz="6" w:space="0"/>
              <w:left w:val="single" w:color="auto" w:sz="6" w:space="0"/>
              <w:bottom w:val="single" w:color="auto" w:sz="4"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34" w:type="pct"/>
            <w:tcBorders>
              <w:top w:val="single" w:color="auto" w:sz="6" w:space="0"/>
              <w:left w:val="single" w:color="auto" w:sz="6" w:space="0"/>
              <w:bottom w:val="single" w:color="auto" w:sz="4"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19" w:type="pct"/>
            <w:tcBorders>
              <w:top w:val="single" w:color="auto" w:sz="6" w:space="0"/>
              <w:left w:val="single" w:color="auto" w:sz="6" w:space="0"/>
              <w:bottom w:val="single" w:color="auto" w:sz="4"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r>
      <w:tr>
        <w:tblPrEx>
          <w:tblCellMar>
            <w:top w:w="0" w:type="dxa"/>
            <w:left w:w="28" w:type="dxa"/>
            <w:bottom w:w="0" w:type="dxa"/>
            <w:right w:w="28" w:type="dxa"/>
          </w:tblCellMar>
        </w:tblPrEx>
        <w:trPr>
          <w:trHeight w:val="691" w:hRule="atLeast"/>
          <w:jc w:val="center"/>
        </w:trPr>
        <w:tc>
          <w:tcPr>
            <w:tcW w:w="767" w:type="pct"/>
            <w:vMerge w:val="continue"/>
            <w:tcBorders>
              <w:left w:val="single" w:color="auto" w:sz="6" w:space="0"/>
              <w:right w:val="single" w:color="auto" w:sz="4" w:space="0"/>
            </w:tcBorders>
            <w:noWrap w:val="0"/>
            <w:vAlign w:val="center"/>
          </w:tcPr>
          <w:p>
            <w:pPr>
              <w:spacing w:before="395" w:beforeLines="100"/>
              <w:jc w:val="center"/>
              <w:rPr>
                <w:rFonts w:hint="eastAsia" w:ascii="仿宋" w:hAnsi="仿宋" w:eastAsia="仿宋" w:cs="仿宋"/>
                <w:color w:val="auto"/>
                <w:sz w:val="22"/>
                <w:highlight w:val="none"/>
              </w:rPr>
            </w:pPr>
          </w:p>
        </w:tc>
        <w:tc>
          <w:tcPr>
            <w:tcW w:w="284" w:type="pct"/>
            <w:tcBorders>
              <w:top w:val="single" w:color="auto" w:sz="4" w:space="0"/>
              <w:left w:val="single" w:color="auto" w:sz="4" w:space="0"/>
              <w:bottom w:val="single" w:color="auto" w:sz="6" w:space="0"/>
            </w:tcBorders>
            <w:noWrap w:val="0"/>
            <w:vAlign w:val="center"/>
          </w:tcPr>
          <w:p>
            <w:pPr>
              <w:spacing w:before="395" w:beforeLines="10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2</w:t>
            </w:r>
          </w:p>
        </w:tc>
        <w:tc>
          <w:tcPr>
            <w:tcW w:w="594" w:type="pct"/>
            <w:tcBorders>
              <w:top w:val="single" w:color="auto" w:sz="4" w:space="0"/>
              <w:left w:val="single" w:color="auto" w:sz="6" w:space="0"/>
              <w:bottom w:val="single" w:color="auto" w:sz="6" w:space="0"/>
              <w:right w:val="single" w:color="auto" w:sz="6" w:space="0"/>
            </w:tcBorders>
            <w:noWrap w:val="0"/>
            <w:vAlign w:val="center"/>
          </w:tcPr>
          <w:p>
            <w:pPr>
              <w:spacing w:before="395" w:beforeLines="100"/>
              <w:jc w:val="center"/>
              <w:rPr>
                <w:rFonts w:hint="eastAsia" w:ascii="仿宋" w:hAnsi="仿宋" w:eastAsia="仿宋" w:cs="仿宋"/>
                <w:color w:val="auto"/>
                <w:sz w:val="22"/>
                <w:highlight w:val="none"/>
              </w:rPr>
            </w:pPr>
          </w:p>
        </w:tc>
        <w:tc>
          <w:tcPr>
            <w:tcW w:w="657" w:type="pct"/>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2"/>
                <w:highlight w:val="none"/>
              </w:rPr>
            </w:pPr>
          </w:p>
        </w:tc>
        <w:tc>
          <w:tcPr>
            <w:tcW w:w="839"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0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3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19"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r>
      <w:tr>
        <w:tblPrEx>
          <w:tblCellMar>
            <w:top w:w="0" w:type="dxa"/>
            <w:left w:w="28" w:type="dxa"/>
            <w:bottom w:w="0" w:type="dxa"/>
            <w:right w:w="28" w:type="dxa"/>
          </w:tblCellMar>
        </w:tblPrEx>
        <w:trPr>
          <w:trHeight w:val="696" w:hRule="atLeast"/>
          <w:jc w:val="center"/>
        </w:trPr>
        <w:tc>
          <w:tcPr>
            <w:tcW w:w="767" w:type="pct"/>
            <w:vMerge w:val="continue"/>
            <w:tcBorders>
              <w:left w:val="single" w:color="auto" w:sz="6" w:space="0"/>
              <w:right w:val="single" w:color="auto" w:sz="4" w:space="0"/>
            </w:tcBorders>
            <w:noWrap w:val="0"/>
            <w:vAlign w:val="center"/>
          </w:tcPr>
          <w:p>
            <w:pPr>
              <w:spacing w:before="395" w:beforeLines="100"/>
              <w:jc w:val="center"/>
              <w:rPr>
                <w:rFonts w:hint="eastAsia" w:ascii="仿宋" w:hAnsi="仿宋" w:eastAsia="仿宋" w:cs="仿宋"/>
                <w:color w:val="auto"/>
                <w:sz w:val="22"/>
                <w:highlight w:val="none"/>
              </w:rPr>
            </w:pPr>
          </w:p>
        </w:tc>
        <w:tc>
          <w:tcPr>
            <w:tcW w:w="284" w:type="pct"/>
            <w:tcBorders>
              <w:top w:val="single" w:color="auto" w:sz="4" w:space="0"/>
              <w:left w:val="single" w:color="auto" w:sz="4" w:space="0"/>
              <w:bottom w:val="single" w:color="auto" w:sz="6" w:space="0"/>
            </w:tcBorders>
            <w:noWrap w:val="0"/>
            <w:vAlign w:val="center"/>
          </w:tcPr>
          <w:p>
            <w:pPr>
              <w:spacing w:before="395" w:beforeLines="10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3</w:t>
            </w:r>
          </w:p>
        </w:tc>
        <w:tc>
          <w:tcPr>
            <w:tcW w:w="594" w:type="pct"/>
            <w:tcBorders>
              <w:top w:val="single" w:color="auto" w:sz="4" w:space="0"/>
              <w:left w:val="single" w:color="auto" w:sz="6" w:space="0"/>
              <w:bottom w:val="single" w:color="auto" w:sz="6" w:space="0"/>
              <w:right w:val="single" w:color="auto" w:sz="6" w:space="0"/>
            </w:tcBorders>
            <w:noWrap w:val="0"/>
            <w:vAlign w:val="center"/>
          </w:tcPr>
          <w:p>
            <w:pPr>
              <w:spacing w:before="395" w:beforeLines="100"/>
              <w:jc w:val="center"/>
              <w:rPr>
                <w:rFonts w:hint="eastAsia" w:ascii="仿宋" w:hAnsi="仿宋" w:eastAsia="仿宋" w:cs="仿宋"/>
                <w:color w:val="auto"/>
                <w:sz w:val="22"/>
                <w:highlight w:val="none"/>
              </w:rPr>
            </w:pPr>
          </w:p>
        </w:tc>
        <w:tc>
          <w:tcPr>
            <w:tcW w:w="657" w:type="pct"/>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2"/>
                <w:highlight w:val="none"/>
              </w:rPr>
            </w:pPr>
          </w:p>
        </w:tc>
        <w:tc>
          <w:tcPr>
            <w:tcW w:w="839"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0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3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19"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r>
      <w:tr>
        <w:tblPrEx>
          <w:tblCellMar>
            <w:top w:w="0" w:type="dxa"/>
            <w:left w:w="28" w:type="dxa"/>
            <w:bottom w:w="0" w:type="dxa"/>
            <w:right w:w="28" w:type="dxa"/>
          </w:tblCellMar>
        </w:tblPrEx>
        <w:trPr>
          <w:trHeight w:val="894" w:hRule="atLeast"/>
          <w:jc w:val="center"/>
        </w:trPr>
        <w:tc>
          <w:tcPr>
            <w:tcW w:w="767" w:type="pct"/>
            <w:vMerge w:val="continue"/>
            <w:tcBorders>
              <w:left w:val="single" w:color="auto" w:sz="6" w:space="0"/>
              <w:right w:val="single" w:color="auto" w:sz="4" w:space="0"/>
            </w:tcBorders>
            <w:noWrap w:val="0"/>
            <w:vAlign w:val="center"/>
          </w:tcPr>
          <w:p>
            <w:pPr>
              <w:spacing w:before="395" w:beforeLines="100"/>
              <w:jc w:val="center"/>
              <w:rPr>
                <w:rFonts w:hint="eastAsia" w:ascii="仿宋" w:hAnsi="仿宋" w:eastAsia="仿宋" w:cs="仿宋"/>
                <w:color w:val="auto"/>
                <w:sz w:val="22"/>
                <w:highlight w:val="none"/>
              </w:rPr>
            </w:pPr>
          </w:p>
        </w:tc>
        <w:tc>
          <w:tcPr>
            <w:tcW w:w="284" w:type="pct"/>
            <w:tcBorders>
              <w:top w:val="single" w:color="auto" w:sz="4" w:space="0"/>
              <w:left w:val="single" w:color="auto" w:sz="4" w:space="0"/>
              <w:bottom w:val="single" w:color="auto" w:sz="6" w:space="0"/>
            </w:tcBorders>
            <w:noWrap w:val="0"/>
            <w:vAlign w:val="center"/>
          </w:tcPr>
          <w:p>
            <w:pPr>
              <w:spacing w:before="395" w:beforeLines="10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4</w:t>
            </w:r>
          </w:p>
        </w:tc>
        <w:tc>
          <w:tcPr>
            <w:tcW w:w="59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57" w:type="pct"/>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2"/>
                <w:highlight w:val="none"/>
              </w:rPr>
            </w:pPr>
          </w:p>
        </w:tc>
        <w:tc>
          <w:tcPr>
            <w:tcW w:w="839"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0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3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19"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r>
      <w:tr>
        <w:tblPrEx>
          <w:tblCellMar>
            <w:top w:w="0" w:type="dxa"/>
            <w:left w:w="28" w:type="dxa"/>
            <w:bottom w:w="0" w:type="dxa"/>
            <w:right w:w="28" w:type="dxa"/>
          </w:tblCellMar>
        </w:tblPrEx>
        <w:trPr>
          <w:trHeight w:val="894" w:hRule="atLeast"/>
          <w:jc w:val="center"/>
        </w:trPr>
        <w:tc>
          <w:tcPr>
            <w:tcW w:w="767" w:type="pct"/>
            <w:vMerge w:val="continue"/>
            <w:tcBorders>
              <w:left w:val="single" w:color="auto" w:sz="6" w:space="0"/>
              <w:bottom w:val="single" w:color="auto" w:sz="6" w:space="0"/>
              <w:right w:val="single" w:color="auto" w:sz="4" w:space="0"/>
            </w:tcBorders>
            <w:noWrap w:val="0"/>
            <w:vAlign w:val="center"/>
          </w:tcPr>
          <w:p>
            <w:pPr>
              <w:spacing w:before="395" w:beforeLines="100"/>
              <w:jc w:val="center"/>
              <w:rPr>
                <w:rFonts w:hint="eastAsia" w:ascii="仿宋" w:hAnsi="仿宋" w:eastAsia="仿宋" w:cs="仿宋"/>
                <w:color w:val="auto"/>
                <w:sz w:val="22"/>
                <w:highlight w:val="none"/>
              </w:rPr>
            </w:pPr>
          </w:p>
        </w:tc>
        <w:tc>
          <w:tcPr>
            <w:tcW w:w="284" w:type="pct"/>
            <w:tcBorders>
              <w:top w:val="single" w:color="auto" w:sz="4" w:space="0"/>
              <w:left w:val="single" w:color="auto" w:sz="4" w:space="0"/>
              <w:bottom w:val="single" w:color="auto" w:sz="6" w:space="0"/>
            </w:tcBorders>
            <w:noWrap w:val="0"/>
            <w:vAlign w:val="center"/>
          </w:tcPr>
          <w:p>
            <w:pPr>
              <w:spacing w:before="395" w:beforeLines="10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59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57" w:type="pct"/>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2"/>
                <w:highlight w:val="none"/>
              </w:rPr>
              <w:t>……</w:t>
            </w:r>
          </w:p>
        </w:tc>
        <w:tc>
          <w:tcPr>
            <w:tcW w:w="839"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0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3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c>
          <w:tcPr>
            <w:tcW w:w="619"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p>
        </w:tc>
      </w:tr>
      <w:tr>
        <w:tblPrEx>
          <w:tblCellMar>
            <w:top w:w="0" w:type="dxa"/>
            <w:left w:w="28" w:type="dxa"/>
            <w:bottom w:w="0" w:type="dxa"/>
            <w:right w:w="28" w:type="dxa"/>
          </w:tblCellMar>
        </w:tblPrEx>
        <w:trPr>
          <w:trHeight w:val="565" w:hRule="atLeast"/>
          <w:jc w:val="center"/>
        </w:trPr>
        <w:tc>
          <w:tcPr>
            <w:tcW w:w="1645" w:type="pct"/>
            <w:gridSpan w:val="3"/>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其他费用</w:t>
            </w:r>
          </w:p>
        </w:tc>
        <w:tc>
          <w:tcPr>
            <w:tcW w:w="3354" w:type="pct"/>
            <w:gridSpan w:val="5"/>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highlight w:val="none"/>
              </w:rPr>
            </w:pPr>
          </w:p>
        </w:tc>
      </w:tr>
      <w:tr>
        <w:tblPrEx>
          <w:tblCellMar>
            <w:top w:w="0" w:type="dxa"/>
            <w:left w:w="28" w:type="dxa"/>
            <w:bottom w:w="0" w:type="dxa"/>
            <w:right w:w="28" w:type="dxa"/>
          </w:tblCellMar>
        </w:tblPrEx>
        <w:trPr>
          <w:trHeight w:val="565" w:hRule="atLeast"/>
          <w:jc w:val="center"/>
        </w:trPr>
        <w:tc>
          <w:tcPr>
            <w:tcW w:w="1051" w:type="pct"/>
            <w:gridSpan w:val="2"/>
            <w:tcBorders>
              <w:top w:val="single" w:color="auto" w:sz="4" w:space="0"/>
              <w:left w:val="single" w:color="auto" w:sz="6" w:space="0"/>
              <w:bottom w:val="single" w:color="auto" w:sz="6" w:space="0"/>
            </w:tcBorders>
            <w:noWrap w:val="0"/>
            <w:vAlign w:val="center"/>
          </w:tcPr>
          <w:p>
            <w:pPr>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投标总报价</w:t>
            </w:r>
          </w:p>
        </w:tc>
        <w:tc>
          <w:tcPr>
            <w:tcW w:w="594" w:type="pct"/>
            <w:tcBorders>
              <w:top w:val="single" w:color="auto" w:sz="4" w:space="0"/>
              <w:left w:val="single" w:color="auto" w:sz="6" w:space="0"/>
              <w:bottom w:val="single" w:color="auto" w:sz="6" w:space="0"/>
              <w:right w:val="single" w:color="auto" w:sz="6" w:space="0"/>
            </w:tcBorders>
            <w:noWrap w:val="0"/>
            <w:vAlign w:val="center"/>
          </w:tcPr>
          <w:p>
            <w:pPr>
              <w:spacing w:before="197" w:beforeLines="50"/>
              <w:jc w:val="left"/>
              <w:rPr>
                <w:rFonts w:hint="eastAsia" w:ascii="仿宋" w:hAnsi="仿宋" w:eastAsia="仿宋" w:cs="仿宋"/>
                <w:color w:val="auto"/>
                <w:sz w:val="22"/>
                <w:highlight w:val="none"/>
              </w:rPr>
            </w:pPr>
            <w:r>
              <w:rPr>
                <w:rFonts w:hint="eastAsia" w:ascii="仿宋" w:hAnsi="仿宋" w:eastAsia="仿宋" w:cs="仿宋"/>
                <w:color w:val="auto"/>
                <w:sz w:val="22"/>
                <w:highlight w:val="none"/>
              </w:rPr>
              <w:t>大写：                       小写：元</w:t>
            </w:r>
          </w:p>
        </w:tc>
        <w:tc>
          <w:tcPr>
            <w:tcW w:w="3354" w:type="pct"/>
            <w:gridSpan w:val="5"/>
            <w:tcBorders>
              <w:top w:val="single" w:color="auto" w:sz="4" w:space="0"/>
              <w:left w:val="single" w:color="auto" w:sz="6" w:space="0"/>
              <w:bottom w:val="single" w:color="auto" w:sz="6" w:space="0"/>
              <w:right w:val="single" w:color="auto" w:sz="6" w:space="0"/>
            </w:tcBorders>
            <w:noWrap w:val="0"/>
            <w:vAlign w:val="center"/>
          </w:tcPr>
          <w:p>
            <w:pPr>
              <w:spacing w:before="197" w:beforeLines="50"/>
              <w:jc w:val="left"/>
              <w:rPr>
                <w:rFonts w:hint="eastAsia" w:ascii="仿宋" w:hAnsi="仿宋" w:eastAsia="仿宋" w:cs="仿宋"/>
                <w:color w:val="auto"/>
                <w:highlight w:val="none"/>
              </w:rPr>
            </w:pPr>
          </w:p>
        </w:tc>
      </w:tr>
      <w:tr>
        <w:tblPrEx>
          <w:tblCellMar>
            <w:top w:w="0" w:type="dxa"/>
            <w:left w:w="28" w:type="dxa"/>
            <w:bottom w:w="0" w:type="dxa"/>
            <w:right w:w="28" w:type="dxa"/>
          </w:tblCellMar>
        </w:tblPrEx>
        <w:trPr>
          <w:trHeight w:val="647" w:hRule="atLeast"/>
          <w:jc w:val="center"/>
        </w:trPr>
        <w:tc>
          <w:tcPr>
            <w:tcW w:w="1051" w:type="pct"/>
            <w:gridSpan w:val="2"/>
            <w:tcBorders>
              <w:top w:val="single" w:color="auto" w:sz="4" w:space="0"/>
              <w:left w:val="single" w:color="auto" w:sz="6" w:space="0"/>
              <w:bottom w:val="single" w:color="auto" w:sz="6" w:space="0"/>
            </w:tcBorders>
            <w:noWrap w:val="0"/>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备注</w:t>
            </w:r>
          </w:p>
        </w:tc>
        <w:tc>
          <w:tcPr>
            <w:tcW w:w="3948" w:type="pct"/>
            <w:gridSpan w:val="6"/>
            <w:tcBorders>
              <w:top w:val="single" w:color="auto" w:sz="4" w:space="0"/>
              <w:left w:val="single" w:color="auto" w:sz="6" w:space="0"/>
              <w:bottom w:val="single" w:color="auto" w:sz="6" w:space="0"/>
              <w:right w:val="single" w:color="auto" w:sz="6" w:space="0"/>
            </w:tcBorders>
            <w:noWrap w:val="0"/>
            <w:vAlign w:val="center"/>
          </w:tcPr>
          <w:p>
            <w:pPr>
              <w:spacing w:before="197" w:beforeLines="50"/>
              <w:jc w:val="center"/>
              <w:rPr>
                <w:rFonts w:hint="eastAsia" w:ascii="仿宋" w:hAnsi="仿宋" w:eastAsia="仿宋" w:cs="仿宋"/>
                <w:color w:val="auto"/>
                <w:sz w:val="22"/>
                <w:highlight w:val="none"/>
              </w:rPr>
            </w:pPr>
            <w:r>
              <w:rPr>
                <w:rFonts w:hint="eastAsia" w:ascii="仿宋" w:hAnsi="仿宋" w:eastAsia="仿宋" w:cs="仿宋"/>
                <w:color w:val="auto"/>
                <w:spacing w:val="-6"/>
                <w:sz w:val="22"/>
                <w:highlight w:val="none"/>
              </w:rPr>
              <w:t>保留小数点后两位。</w:t>
            </w:r>
          </w:p>
        </w:tc>
      </w:tr>
    </w:tbl>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spacing w:line="360" w:lineRule="auto"/>
        <w:ind w:left="540"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1.按照上表报出本项目明细费用；</w:t>
      </w:r>
    </w:p>
    <w:p>
      <w:pPr>
        <w:spacing w:line="360" w:lineRule="auto"/>
        <w:ind w:left="540"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2.供应商报价时不得缺项、漏项。</w:t>
      </w:r>
    </w:p>
    <w:p>
      <w:pPr>
        <w:spacing w:line="360" w:lineRule="auto"/>
        <w:ind w:left="540"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3.所有费用均为含税，开发票后的价格。</w:t>
      </w:r>
    </w:p>
    <w:p>
      <w:pPr>
        <w:spacing w:line="400" w:lineRule="atLeast"/>
        <w:ind w:left="2880" w:right="84" w:rightChars="40" w:hanging="28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供应商代表签字：</w:t>
      </w:r>
      <w:r>
        <w:rPr>
          <w:rFonts w:hint="eastAsia" w:ascii="仿宋" w:hAnsi="仿宋" w:eastAsia="仿宋" w:cs="仿宋"/>
          <w:color w:val="auto"/>
          <w:sz w:val="24"/>
          <w:highlight w:val="none"/>
          <w:u w:val="single"/>
        </w:rPr>
        <w:t>　　　　　　　　　　　　　　　</w:t>
      </w:r>
    </w:p>
    <w:p>
      <w:pPr>
        <w:pStyle w:val="37"/>
        <w:ind w:right="84" w:rightChars="40" w:firstLine="480"/>
        <w:rPr>
          <w:rFonts w:hint="eastAsia" w:ascii="仿宋" w:hAnsi="仿宋" w:eastAsia="仿宋" w:cs="仿宋"/>
          <w:color w:val="auto"/>
          <w:highlight w:val="none"/>
        </w:rPr>
      </w:pPr>
      <w:r>
        <w:rPr>
          <w:rFonts w:hint="eastAsia" w:ascii="仿宋" w:hAnsi="仿宋" w:eastAsia="仿宋" w:cs="仿宋"/>
          <w:bCs/>
          <w:color w:val="auto"/>
          <w:kern w:val="0"/>
          <w:highlight w:val="none"/>
          <w:lang w:val="zh-CN"/>
        </w:rPr>
        <w:t xml:space="preserve">     年   月   日</w:t>
      </w:r>
    </w:p>
    <w:p>
      <w:pPr>
        <w:pStyle w:val="4"/>
        <w:bidi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br w:type="page"/>
      </w:r>
      <w:bookmarkStart w:id="100" w:name="_Toc16426"/>
      <w:bookmarkStart w:id="101" w:name="_Toc197140579"/>
      <w:r>
        <w:rPr>
          <w:rFonts w:hint="eastAsia" w:ascii="仿宋" w:hAnsi="仿宋" w:eastAsia="仿宋" w:cs="仿宋"/>
          <w:color w:val="auto"/>
          <w:sz w:val="24"/>
          <w:highlight w:val="none"/>
        </w:rPr>
        <w:t>4、法人代表授权书格式</w:t>
      </w:r>
      <w:bookmarkEnd w:id="100"/>
    </w:p>
    <w:p>
      <w:pPr>
        <w:spacing w:line="400" w:lineRule="atLeast"/>
        <w:ind w:right="84" w:rightChars="40"/>
        <w:rPr>
          <w:rFonts w:hint="eastAsia" w:ascii="仿宋" w:hAnsi="仿宋" w:eastAsia="仿宋" w:cs="仿宋"/>
          <w:color w:val="auto"/>
          <w:sz w:val="24"/>
          <w:highlight w:val="none"/>
        </w:rPr>
      </w:pPr>
    </w:p>
    <w:p>
      <w:pPr>
        <w:pStyle w:val="18"/>
        <w:spacing w:line="400" w:lineRule="atLeast"/>
        <w:ind w:right="84" w:rightChars="40"/>
        <w:rPr>
          <w:rFonts w:hint="eastAsia" w:ascii="仿宋" w:hAnsi="仿宋" w:eastAsia="仿宋" w:cs="仿宋"/>
          <w:color w:val="auto"/>
          <w:highlight w:val="none"/>
        </w:rPr>
      </w:pPr>
      <w:r>
        <w:rPr>
          <w:rFonts w:hint="eastAsia" w:ascii="仿宋" w:hAnsi="仿宋" w:eastAsia="仿宋" w:cs="仿宋"/>
          <w:color w:val="auto"/>
          <w:highlight w:val="none"/>
        </w:rPr>
        <w:t>本授权书声明：注册于（地区的名称）的（公司名称）的在下面签字的（法人代表姓名、职务）代表本公司授权（单位名称）的在下面签字的（被授权人的姓名、职务）为本公司的合法代理人，就（项目名称、项目编号）的磋商，以本公司的名义处理一切与之有关的事务。</w:t>
      </w:r>
    </w:p>
    <w:p>
      <w:pPr>
        <w:spacing w:line="400" w:lineRule="atLeast"/>
        <w:ind w:right="84" w:rightChars="40" w:firstLine="480"/>
        <w:rPr>
          <w:rFonts w:hint="eastAsia" w:ascii="仿宋" w:hAnsi="仿宋" w:eastAsia="仿宋" w:cs="仿宋"/>
          <w:color w:val="auto"/>
          <w:sz w:val="24"/>
          <w:highlight w:val="none"/>
        </w:rPr>
      </w:pPr>
    </w:p>
    <w:p>
      <w:pPr>
        <w:spacing w:line="400" w:lineRule="atLeast"/>
        <w:ind w:right="84" w:rightChars="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　　　　　　年　　　月　　日签字生效，特此声明。</w:t>
      </w:r>
    </w:p>
    <w:p>
      <w:pPr>
        <w:spacing w:line="400" w:lineRule="atLeast"/>
        <w:ind w:right="84" w:rightChars="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法人代表签字　　　　　　　　　　　　　　　　　</w:t>
      </w:r>
    </w:p>
    <w:p>
      <w:pPr>
        <w:spacing w:line="400" w:lineRule="atLeast"/>
        <w:ind w:right="84" w:rightChars="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被授权人签字　　　　　　　　　　　　　　　　　</w:t>
      </w:r>
    </w:p>
    <w:p>
      <w:pPr>
        <w:spacing w:line="400" w:lineRule="atLeast"/>
        <w:ind w:right="84" w:rightChars="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公        章：                         </w:t>
      </w:r>
    </w:p>
    <w:p>
      <w:pPr>
        <w:spacing w:line="400" w:lineRule="atLeast"/>
        <w:ind w:right="84" w:rightChars="40" w:firstLine="480"/>
        <w:rPr>
          <w:rFonts w:hint="eastAsia" w:ascii="仿宋" w:hAnsi="仿宋" w:eastAsia="仿宋" w:cs="仿宋"/>
          <w:color w:val="auto"/>
          <w:sz w:val="24"/>
          <w:highlight w:val="none"/>
        </w:rPr>
      </w:pP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注：提供法定代表人、被授权人身份证复印件；凡公司法人前来参加磋商的供应商，可以不提供此项证明文件。</w:t>
      </w:r>
    </w:p>
    <w:p>
      <w:pPr>
        <w:spacing w:line="400" w:lineRule="atLeast"/>
        <w:ind w:right="84" w:rightChars="40"/>
        <w:rPr>
          <w:rFonts w:hint="eastAsia" w:ascii="仿宋" w:hAnsi="仿宋" w:eastAsia="仿宋" w:cs="仿宋"/>
          <w:color w:val="auto"/>
          <w:sz w:val="24"/>
          <w:highlight w:val="none"/>
        </w:rPr>
      </w:pPr>
    </w:p>
    <w:p>
      <w:pPr>
        <w:pStyle w:val="4"/>
        <w:bidi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02" w:name="_Toc22965"/>
      <w:r>
        <w:rPr>
          <w:rFonts w:hint="eastAsia" w:ascii="仿宋" w:hAnsi="仿宋" w:eastAsia="仿宋" w:cs="仿宋"/>
          <w:color w:val="auto"/>
          <w:sz w:val="24"/>
          <w:highlight w:val="none"/>
        </w:rPr>
        <w:t>5、关于资格的声明函</w:t>
      </w:r>
      <w:bookmarkEnd w:id="102"/>
    </w:p>
    <w:p>
      <w:pPr>
        <w:spacing w:line="400" w:lineRule="atLeast"/>
        <w:ind w:right="84" w:rightChars="40"/>
        <w:rPr>
          <w:rFonts w:hint="eastAsia" w:ascii="仿宋" w:hAnsi="仿宋" w:eastAsia="仿宋" w:cs="仿宋"/>
          <w:color w:val="auto"/>
          <w:sz w:val="24"/>
          <w:highlight w:val="none"/>
        </w:rPr>
      </w:pP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　</w:t>
      </w:r>
    </w:p>
    <w:p>
      <w:pPr>
        <w:spacing w:line="400" w:lineRule="atLeast"/>
        <w:ind w:right="84" w:rightChars="40"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　　　　　年　　月　　日第（</w:t>
      </w:r>
      <w:r>
        <w:rPr>
          <w:rFonts w:hint="eastAsia" w:ascii="仿宋" w:hAnsi="仿宋" w:eastAsia="仿宋" w:cs="仿宋"/>
          <w:i/>
          <w:color w:val="auto"/>
          <w:sz w:val="24"/>
          <w:highlight w:val="none"/>
        </w:rPr>
        <w:t>项目编号</w:t>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lang w:eastAsia="zh-CN"/>
        </w:rPr>
        <w:t>公告</w:t>
      </w:r>
      <w:r>
        <w:rPr>
          <w:rFonts w:hint="eastAsia" w:ascii="仿宋" w:hAnsi="仿宋" w:eastAsia="仿宋" w:cs="仿宋"/>
          <w:color w:val="auto"/>
          <w:sz w:val="24"/>
          <w:highlight w:val="none"/>
        </w:rPr>
        <w:t>，本签字人愿意参加磋商，并有能力提供　　（</w:t>
      </w:r>
      <w:r>
        <w:rPr>
          <w:rFonts w:hint="eastAsia" w:ascii="仿宋" w:hAnsi="仿宋" w:eastAsia="仿宋" w:cs="仿宋"/>
          <w:i/>
          <w:color w:val="auto"/>
          <w:sz w:val="24"/>
          <w:highlight w:val="none"/>
        </w:rPr>
        <w:t>项目名称</w:t>
      </w:r>
      <w:r>
        <w:rPr>
          <w:rFonts w:hint="eastAsia" w:ascii="仿宋" w:hAnsi="仿宋" w:eastAsia="仿宋" w:cs="仿宋"/>
          <w:color w:val="auto"/>
          <w:sz w:val="24"/>
          <w:highlight w:val="none"/>
        </w:rPr>
        <w:t>）　　　项目中的一切磋商内容及相关服务，并证明所提交的所有文件和说明是准确和真实的。</w:t>
      </w:r>
    </w:p>
    <w:p>
      <w:pPr>
        <w:spacing w:line="400" w:lineRule="atLeast"/>
        <w:ind w:right="84" w:rightChars="40"/>
        <w:rPr>
          <w:rFonts w:hint="eastAsia" w:ascii="仿宋" w:hAnsi="仿宋" w:eastAsia="仿宋" w:cs="仿宋"/>
          <w:color w:val="auto"/>
          <w:sz w:val="24"/>
          <w:highlight w:val="none"/>
        </w:rPr>
      </w:pPr>
    </w:p>
    <w:p>
      <w:pPr>
        <w:spacing w:line="400" w:lineRule="atLeast"/>
        <w:ind w:right="84" w:rightChars="40"/>
        <w:rPr>
          <w:rFonts w:hint="eastAsia" w:ascii="仿宋" w:hAnsi="仿宋" w:eastAsia="仿宋" w:cs="仿宋"/>
          <w:color w:val="auto"/>
          <w:sz w:val="24"/>
          <w:highlight w:val="none"/>
        </w:rPr>
      </w:pP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本次供应商的受权签署本资格文件人：</w:t>
      </w: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公司名称：　　　　　　　　　　　　　签字：　　　　　　　</w:t>
      </w: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地址：　　　　　　　　　　　　　</w:t>
      </w: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传真：　　　　　　            　　　　　　　　　　　　　</w:t>
      </w: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邮编：　　　　　　　　　　　　　电话：　　　　　　　　</w:t>
      </w:r>
    </w:p>
    <w:p>
      <w:pPr>
        <w:spacing w:line="400" w:lineRule="atLeast"/>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日期：  年  月  日</w:t>
      </w:r>
    </w:p>
    <w:p>
      <w:pPr>
        <w:ind w:right="84" w:rightChars="40"/>
        <w:rPr>
          <w:rFonts w:hint="eastAsia" w:ascii="仿宋" w:hAnsi="仿宋" w:eastAsia="仿宋" w:cs="仿宋"/>
          <w:color w:val="auto"/>
          <w:sz w:val="24"/>
          <w:highlight w:val="none"/>
        </w:rPr>
      </w:pPr>
    </w:p>
    <w:bookmarkEnd w:id="101"/>
    <w:p>
      <w:pPr>
        <w:pStyle w:val="4"/>
        <w:bidi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03" w:name="_Toc29580"/>
      <w:r>
        <w:rPr>
          <w:rFonts w:hint="eastAsia" w:ascii="仿宋" w:hAnsi="仿宋" w:eastAsia="仿宋" w:cs="仿宋"/>
          <w:color w:val="auto"/>
          <w:sz w:val="24"/>
          <w:highlight w:val="none"/>
        </w:rPr>
        <w:t>6、技术偏离表</w:t>
      </w:r>
      <w:bookmarkEnd w:id="103"/>
    </w:p>
    <w:p>
      <w:pPr>
        <w:ind w:right="84" w:rightChars="40"/>
        <w:rPr>
          <w:rFonts w:hint="eastAsia" w:ascii="仿宋" w:hAnsi="仿宋" w:eastAsia="仿宋" w:cs="仿宋"/>
          <w:color w:val="auto"/>
          <w:sz w:val="24"/>
          <w:highlight w:val="none"/>
        </w:rPr>
      </w:pPr>
    </w:p>
    <w:p>
      <w:pPr>
        <w:ind w:right="84" w:rightChars="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497"/>
        <w:gridCol w:w="1987"/>
        <w:gridCol w:w="1449"/>
        <w:gridCol w:w="1134"/>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71"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53"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磋商文件要求规格</w:t>
            </w:r>
          </w:p>
        </w:tc>
        <w:tc>
          <w:tcPr>
            <w:tcW w:w="997"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磋商响应规格</w:t>
            </w:r>
          </w:p>
        </w:tc>
        <w:tc>
          <w:tcPr>
            <w:tcW w:w="727" w:type="pct"/>
            <w:noWrap w:val="0"/>
            <w:vAlign w:val="center"/>
          </w:tcPr>
          <w:p>
            <w:pPr>
              <w:ind w:right="84" w:rightChars="4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偏离</w:t>
            </w:r>
            <w:r>
              <w:rPr>
                <w:rFonts w:hint="eastAsia" w:ascii="仿宋" w:hAnsi="仿宋" w:eastAsia="仿宋" w:cs="仿宋"/>
                <w:color w:val="auto"/>
                <w:sz w:val="24"/>
                <w:highlight w:val="none"/>
                <w:lang w:eastAsia="zh-CN"/>
              </w:rPr>
              <w:t>情况</w:t>
            </w:r>
          </w:p>
        </w:tc>
        <w:tc>
          <w:tcPr>
            <w:tcW w:w="569"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c>
          <w:tcPr>
            <w:tcW w:w="1080" w:type="pct"/>
            <w:noWrap w:val="0"/>
            <w:vAlign w:val="center"/>
          </w:tcPr>
          <w:p>
            <w:pPr>
              <w:ind w:right="84" w:rightChars="4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证明材料所在页码及条目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71" w:type="pct"/>
            <w:noWrap w:val="0"/>
            <w:vAlign w:val="center"/>
          </w:tcPr>
          <w:p>
            <w:pPr>
              <w:ind w:right="84" w:rightChars="40"/>
              <w:jc w:val="center"/>
              <w:rPr>
                <w:rFonts w:hint="eastAsia" w:ascii="仿宋" w:hAnsi="仿宋" w:eastAsia="仿宋" w:cs="仿宋"/>
                <w:color w:val="auto"/>
                <w:sz w:val="24"/>
                <w:highlight w:val="none"/>
              </w:rPr>
            </w:pPr>
          </w:p>
          <w:p>
            <w:pPr>
              <w:ind w:right="84" w:rightChars="40"/>
              <w:jc w:val="center"/>
              <w:rPr>
                <w:rFonts w:hint="eastAsia" w:ascii="仿宋" w:hAnsi="仿宋" w:eastAsia="仿宋" w:cs="仿宋"/>
                <w:color w:val="auto"/>
                <w:sz w:val="24"/>
                <w:highlight w:val="none"/>
              </w:rPr>
            </w:pPr>
          </w:p>
        </w:tc>
        <w:tc>
          <w:tcPr>
            <w:tcW w:w="1253" w:type="pct"/>
            <w:noWrap w:val="0"/>
            <w:vAlign w:val="center"/>
          </w:tcPr>
          <w:p>
            <w:pPr>
              <w:ind w:right="84" w:rightChars="40"/>
              <w:jc w:val="center"/>
              <w:rPr>
                <w:rFonts w:hint="eastAsia" w:ascii="仿宋" w:hAnsi="仿宋" w:eastAsia="仿宋" w:cs="仿宋"/>
                <w:color w:val="auto"/>
                <w:sz w:val="24"/>
                <w:highlight w:val="none"/>
              </w:rPr>
            </w:pPr>
          </w:p>
        </w:tc>
        <w:tc>
          <w:tcPr>
            <w:tcW w:w="997" w:type="pct"/>
            <w:noWrap w:val="0"/>
            <w:vAlign w:val="center"/>
          </w:tcPr>
          <w:p>
            <w:pPr>
              <w:ind w:right="84" w:rightChars="40"/>
              <w:jc w:val="center"/>
              <w:rPr>
                <w:rFonts w:hint="eastAsia" w:ascii="仿宋" w:hAnsi="仿宋" w:eastAsia="仿宋" w:cs="仿宋"/>
                <w:color w:val="auto"/>
                <w:sz w:val="24"/>
                <w:highlight w:val="none"/>
              </w:rPr>
            </w:pPr>
          </w:p>
        </w:tc>
        <w:tc>
          <w:tcPr>
            <w:tcW w:w="727" w:type="pct"/>
            <w:noWrap w:val="0"/>
            <w:vAlign w:val="center"/>
          </w:tcPr>
          <w:p>
            <w:pPr>
              <w:ind w:right="84" w:rightChars="40"/>
              <w:jc w:val="center"/>
              <w:rPr>
                <w:rFonts w:hint="eastAsia" w:ascii="仿宋" w:hAnsi="仿宋" w:eastAsia="仿宋" w:cs="仿宋"/>
                <w:color w:val="auto"/>
                <w:sz w:val="24"/>
                <w:highlight w:val="none"/>
              </w:rPr>
            </w:pPr>
          </w:p>
        </w:tc>
        <w:tc>
          <w:tcPr>
            <w:tcW w:w="569" w:type="pct"/>
            <w:noWrap w:val="0"/>
            <w:vAlign w:val="center"/>
          </w:tcPr>
          <w:p>
            <w:pPr>
              <w:ind w:right="84" w:rightChars="40"/>
              <w:jc w:val="center"/>
              <w:rPr>
                <w:rFonts w:hint="eastAsia" w:ascii="仿宋" w:hAnsi="仿宋" w:eastAsia="仿宋" w:cs="仿宋"/>
                <w:color w:val="auto"/>
                <w:sz w:val="24"/>
                <w:highlight w:val="none"/>
              </w:rPr>
            </w:pPr>
          </w:p>
        </w:tc>
        <w:tc>
          <w:tcPr>
            <w:tcW w:w="1080" w:type="pct"/>
            <w:noWrap w:val="0"/>
            <w:vAlign w:val="center"/>
          </w:tcPr>
          <w:p>
            <w:pPr>
              <w:ind w:right="84" w:rightChars="40"/>
              <w:jc w:val="center"/>
              <w:rPr>
                <w:rFonts w:hint="eastAsia" w:ascii="仿宋" w:hAnsi="仿宋" w:eastAsia="仿宋" w:cs="仿宋"/>
                <w:color w:val="auto"/>
                <w:sz w:val="24"/>
                <w:highlight w:val="none"/>
              </w:rPr>
            </w:pPr>
          </w:p>
        </w:tc>
      </w:tr>
    </w:tbl>
    <w:p>
      <w:pPr>
        <w:ind w:right="84" w:rightChars="4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注：与磋商文件要求逐条对应填写。</w:t>
      </w:r>
      <w:r>
        <w:rPr>
          <w:rFonts w:hint="eastAsia" w:ascii="仿宋" w:hAnsi="仿宋" w:eastAsia="仿宋" w:cs="仿宋"/>
          <w:b/>
          <w:bCs/>
          <w:color w:val="auto"/>
          <w:sz w:val="24"/>
          <w:highlight w:val="none"/>
          <w:lang w:eastAsia="zh-CN"/>
        </w:rPr>
        <w:t>证明材料所在页码及条目必须如实填写，否则视为负偏离。</w:t>
      </w:r>
    </w:p>
    <w:p>
      <w:pPr>
        <w:ind w:right="84" w:rightChars="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供应商代表签字：</w:t>
      </w:r>
      <w:r>
        <w:rPr>
          <w:rFonts w:hint="eastAsia" w:ascii="仿宋" w:hAnsi="仿宋" w:eastAsia="仿宋" w:cs="仿宋"/>
          <w:color w:val="auto"/>
          <w:sz w:val="24"/>
          <w:highlight w:val="none"/>
          <w:u w:val="single"/>
        </w:rPr>
        <w:t>　　　　　　　　　　　　　　　</w:t>
      </w:r>
    </w:p>
    <w:p>
      <w:pPr>
        <w:pStyle w:val="4"/>
        <w:bidi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04" w:name="_Toc7118"/>
      <w:r>
        <w:rPr>
          <w:rFonts w:hint="eastAsia" w:ascii="仿宋" w:hAnsi="仿宋" w:eastAsia="仿宋" w:cs="仿宋"/>
          <w:color w:val="auto"/>
          <w:sz w:val="24"/>
          <w:highlight w:val="none"/>
        </w:rPr>
        <w:t>7、商务偏离表</w:t>
      </w:r>
      <w:bookmarkEnd w:id="104"/>
    </w:p>
    <w:p>
      <w:pPr>
        <w:ind w:right="84" w:rightChars="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075"/>
        <w:gridCol w:w="2333"/>
        <w:gridCol w:w="1686"/>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59"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43"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磋商文件的商务条款</w:t>
            </w:r>
          </w:p>
        </w:tc>
        <w:tc>
          <w:tcPr>
            <w:tcW w:w="1171"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磋商响应文件的商务条款</w:t>
            </w:r>
          </w:p>
        </w:tc>
        <w:tc>
          <w:tcPr>
            <w:tcW w:w="846"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c>
          <w:tcPr>
            <w:tcW w:w="1078" w:type="pct"/>
            <w:noWrap w:val="0"/>
            <w:vAlign w:val="center"/>
          </w:tcPr>
          <w:p>
            <w:pPr>
              <w:ind w:right="84" w:right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证明材料所在页码及条目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lang w:val="en-US" w:eastAsia="zh-CN"/>
              </w:rPr>
            </w:pPr>
          </w:p>
        </w:tc>
        <w:tc>
          <w:tcPr>
            <w:tcW w:w="1543" w:type="pct"/>
            <w:noWrap w:val="0"/>
            <w:vAlign w:val="center"/>
          </w:tcPr>
          <w:p>
            <w:pPr>
              <w:ind w:right="84" w:rightChars="4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eastAsia="zh-CN"/>
              </w:rPr>
              <w:t>磋商有效期</w:t>
            </w: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szCs w:val="24"/>
                <w:highlight w:val="none"/>
              </w:rPr>
              <w:t>磋商范围</w:t>
            </w: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szCs w:val="24"/>
                <w:highlight w:val="none"/>
              </w:rPr>
              <w:t>服务质量标准</w:t>
            </w: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kern w:val="2"/>
                <w:sz w:val="24"/>
                <w:highlight w:val="none"/>
                <w:lang w:val="en-US" w:eastAsia="zh-CN" w:bidi="ar-SA"/>
              </w:rPr>
            </w:pPr>
            <w:r>
              <w:rPr>
                <w:rFonts w:hint="eastAsia" w:ascii="仿宋" w:hAnsi="仿宋" w:eastAsia="仿宋" w:cs="仿宋"/>
                <w:i w:val="0"/>
                <w:caps w:val="0"/>
                <w:color w:val="auto"/>
                <w:spacing w:val="0"/>
                <w:sz w:val="24"/>
                <w:szCs w:val="24"/>
                <w:highlight w:val="none"/>
              </w:rPr>
              <w:t>合同履约期限</w:t>
            </w: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其他商务条款</w:t>
            </w: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lang w:val="en-US" w:eastAsia="zh-CN"/>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59" w:type="pct"/>
            <w:noWrap w:val="0"/>
            <w:vAlign w:val="center"/>
          </w:tcPr>
          <w:p>
            <w:pPr>
              <w:ind w:right="84" w:rightChars="40"/>
              <w:rPr>
                <w:rFonts w:hint="eastAsia" w:ascii="仿宋" w:hAnsi="仿宋" w:eastAsia="仿宋" w:cs="仿宋"/>
                <w:color w:val="auto"/>
                <w:sz w:val="24"/>
                <w:highlight w:val="none"/>
              </w:rPr>
            </w:pPr>
          </w:p>
        </w:tc>
        <w:tc>
          <w:tcPr>
            <w:tcW w:w="1543" w:type="pct"/>
            <w:noWrap w:val="0"/>
            <w:vAlign w:val="center"/>
          </w:tcPr>
          <w:p>
            <w:pPr>
              <w:ind w:right="84" w:rightChars="40"/>
              <w:rPr>
                <w:rFonts w:hint="eastAsia" w:ascii="仿宋" w:hAnsi="仿宋" w:eastAsia="仿宋" w:cs="仿宋"/>
                <w:color w:val="auto"/>
                <w:sz w:val="24"/>
                <w:highlight w:val="none"/>
              </w:rPr>
            </w:pPr>
          </w:p>
        </w:tc>
        <w:tc>
          <w:tcPr>
            <w:tcW w:w="1171" w:type="pct"/>
            <w:noWrap w:val="0"/>
            <w:vAlign w:val="center"/>
          </w:tcPr>
          <w:p>
            <w:pPr>
              <w:ind w:right="84" w:rightChars="40"/>
              <w:rPr>
                <w:rFonts w:hint="eastAsia" w:ascii="仿宋" w:hAnsi="仿宋" w:eastAsia="仿宋" w:cs="仿宋"/>
                <w:color w:val="auto"/>
                <w:sz w:val="24"/>
                <w:highlight w:val="none"/>
              </w:rPr>
            </w:pPr>
          </w:p>
        </w:tc>
        <w:tc>
          <w:tcPr>
            <w:tcW w:w="846" w:type="pct"/>
            <w:noWrap w:val="0"/>
            <w:vAlign w:val="center"/>
          </w:tcPr>
          <w:p>
            <w:pPr>
              <w:ind w:right="84" w:rightChars="40"/>
              <w:rPr>
                <w:rFonts w:hint="eastAsia" w:ascii="仿宋" w:hAnsi="仿宋" w:eastAsia="仿宋" w:cs="仿宋"/>
                <w:color w:val="auto"/>
                <w:sz w:val="24"/>
                <w:highlight w:val="none"/>
              </w:rPr>
            </w:pPr>
          </w:p>
        </w:tc>
        <w:tc>
          <w:tcPr>
            <w:tcW w:w="1078" w:type="pct"/>
            <w:noWrap w:val="0"/>
            <w:vAlign w:val="center"/>
          </w:tcPr>
          <w:p>
            <w:pPr>
              <w:ind w:right="84" w:rightChars="40"/>
              <w:rPr>
                <w:rFonts w:hint="eastAsia" w:ascii="仿宋" w:hAnsi="仿宋" w:eastAsia="仿宋" w:cs="仿宋"/>
                <w:color w:val="auto"/>
                <w:sz w:val="24"/>
                <w:highlight w:val="none"/>
              </w:rPr>
            </w:pPr>
          </w:p>
        </w:tc>
      </w:tr>
    </w:tbl>
    <w:p>
      <w:pPr>
        <w:ind w:right="84" w:rightChars="40"/>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p>
      <w:pPr>
        <w:bidi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供应商代表签字：</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pStyle w:val="4"/>
        <w:bidi w:val="0"/>
        <w:jc w:val="center"/>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u w:val="single"/>
        </w:rPr>
        <w:br w:type="page"/>
      </w:r>
      <w:bookmarkStart w:id="105" w:name="_Toc1572"/>
      <w:bookmarkStart w:id="106" w:name="_Toc197140584"/>
      <w:r>
        <w:rPr>
          <w:rFonts w:hint="eastAsia" w:ascii="仿宋" w:hAnsi="仿宋" w:eastAsia="仿宋" w:cs="仿宋"/>
          <w:color w:val="auto"/>
          <w:sz w:val="24"/>
          <w:highlight w:val="none"/>
        </w:rPr>
        <w:t>8、供应商近</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年同类业绩</w:t>
      </w:r>
      <w:bookmarkEnd w:id="105"/>
    </w:p>
    <w:p>
      <w:pPr>
        <w:spacing w:line="400" w:lineRule="atLeast"/>
        <w:ind w:right="84" w:rightChars="40"/>
        <w:jc w:val="center"/>
        <w:rPr>
          <w:rFonts w:hint="eastAsia" w:ascii="仿宋" w:hAnsi="仿宋" w:eastAsia="仿宋" w:cs="仿宋"/>
          <w:color w:val="auto"/>
          <w:sz w:val="24"/>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4"/>
        <w:gridCol w:w="1388"/>
        <w:gridCol w:w="1250"/>
        <w:gridCol w:w="1660"/>
        <w:gridCol w:w="202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w:t>
            </w:r>
          </w:p>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内容简述</w:t>
            </w: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委托方联系人、</w:t>
            </w:r>
          </w:p>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bl>
    <w:p>
      <w:pPr>
        <w:spacing w:line="400" w:lineRule="atLeast"/>
        <w:ind w:right="84" w:rightChars="40"/>
        <w:jc w:val="center"/>
        <w:rPr>
          <w:rFonts w:hint="eastAsia" w:ascii="仿宋" w:hAnsi="仿宋" w:eastAsia="仿宋" w:cs="仿宋"/>
          <w:color w:val="auto"/>
          <w:sz w:val="24"/>
          <w:highlight w:val="none"/>
        </w:rPr>
      </w:pPr>
    </w:p>
    <w:p>
      <w:pPr>
        <w:pStyle w:val="37"/>
        <w:ind w:right="84" w:rightChars="40" w:firstLine="480"/>
        <w:rPr>
          <w:rFonts w:hint="eastAsia" w:ascii="仿宋" w:hAnsi="仿宋" w:eastAsia="仿宋" w:cs="仿宋"/>
          <w:color w:val="auto"/>
          <w:highlight w:val="none"/>
        </w:rPr>
      </w:pPr>
    </w:p>
    <w:p>
      <w:pPr>
        <w:autoSpaceDE w:val="0"/>
        <w:autoSpaceDN w:val="0"/>
        <w:ind w:right="84" w:rightChars="4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注：1.供应商必须提供能够证明上述案例真实性的合同复印件，合同复印件中至少包括合同的甲乙双方名称，项目名称、合同金额、详细标的内容和双方签章及生效时间；</w:t>
      </w:r>
    </w:p>
    <w:p>
      <w:pPr>
        <w:autoSpaceDE w:val="0"/>
        <w:autoSpaceDN w:val="0"/>
        <w:ind w:right="84" w:rightChars="4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2.所有复印件应清晰，并加盖供应商单位公章；</w:t>
      </w:r>
    </w:p>
    <w:p>
      <w:pPr>
        <w:suppressAutoHyphens/>
        <w:autoSpaceDN w:val="0"/>
        <w:ind w:right="84" w:rightChars="4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3.未按以上要求提供业绩证明材料，评分阶段业绩不予加分。</w:t>
      </w:r>
    </w:p>
    <w:p>
      <w:pPr>
        <w:pStyle w:val="37"/>
        <w:ind w:right="84" w:rightChars="40" w:firstLine="480"/>
        <w:rPr>
          <w:rFonts w:hint="eastAsia" w:ascii="仿宋" w:hAnsi="仿宋" w:eastAsia="仿宋" w:cs="仿宋"/>
          <w:color w:val="auto"/>
          <w:highlight w:val="none"/>
        </w:rPr>
      </w:pPr>
    </w:p>
    <w:p>
      <w:pPr>
        <w:pStyle w:val="4"/>
        <w:bidi w:val="0"/>
        <w:jc w:val="center"/>
        <w:rPr>
          <w:rFonts w:hint="eastAsia" w:ascii="仿宋" w:hAnsi="仿宋" w:eastAsia="仿宋" w:cs="仿宋"/>
          <w:b w:val="0"/>
          <w:color w:val="auto"/>
          <w:kern w:val="0"/>
          <w:sz w:val="24"/>
          <w:highlight w:val="none"/>
        </w:rPr>
      </w:pPr>
      <w:r>
        <w:rPr>
          <w:rFonts w:hint="eastAsia" w:ascii="仿宋" w:hAnsi="仿宋" w:eastAsia="仿宋" w:cs="仿宋"/>
          <w:color w:val="auto"/>
          <w:sz w:val="24"/>
          <w:highlight w:val="none"/>
        </w:rPr>
        <w:br w:type="page"/>
      </w:r>
      <w:bookmarkStart w:id="107" w:name="_Toc4220"/>
      <w:r>
        <w:rPr>
          <w:rFonts w:hint="eastAsia" w:ascii="仿宋" w:hAnsi="仿宋" w:eastAsia="仿宋" w:cs="仿宋"/>
          <w:color w:val="auto"/>
          <w:sz w:val="24"/>
          <w:szCs w:val="22"/>
          <w:highlight w:val="none"/>
        </w:rPr>
        <w:t>9、项目组人员简介</w:t>
      </w:r>
      <w:bookmarkEnd w:id="107"/>
    </w:p>
    <w:p>
      <w:pPr>
        <w:suppressAutoHyphens/>
        <w:autoSpaceDE w:val="0"/>
        <w:autoSpaceDN w:val="0"/>
        <w:spacing w:line="336" w:lineRule="auto"/>
        <w:ind w:right="84" w:rightChars="4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（一）项目负责人</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87"/>
        <w:gridCol w:w="1135"/>
        <w:gridCol w:w="993"/>
        <w:gridCol w:w="398"/>
        <w:gridCol w:w="842"/>
        <w:gridCol w:w="1458"/>
        <w:gridCol w:w="225"/>
        <w:gridCol w:w="1480"/>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1"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姓名</w:t>
            </w:r>
          </w:p>
        </w:tc>
        <w:tc>
          <w:tcPr>
            <w:tcW w:w="2613" w:type="dxa"/>
            <w:gridSpan w:val="4"/>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842"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性别</w:t>
            </w:r>
          </w:p>
        </w:tc>
        <w:tc>
          <w:tcPr>
            <w:tcW w:w="1683"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480"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年龄</w:t>
            </w: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21"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职务</w:t>
            </w:r>
          </w:p>
        </w:tc>
        <w:tc>
          <w:tcPr>
            <w:tcW w:w="2613" w:type="dxa"/>
            <w:gridSpan w:val="4"/>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842"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职称</w:t>
            </w:r>
          </w:p>
        </w:tc>
        <w:tc>
          <w:tcPr>
            <w:tcW w:w="1683"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480"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学历</w:t>
            </w: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3" w:type="dxa"/>
            <w:gridSpan w:val="3"/>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参加工作时间</w:t>
            </w:r>
          </w:p>
        </w:tc>
        <w:tc>
          <w:tcPr>
            <w:tcW w:w="2233" w:type="dxa"/>
            <w:gridSpan w:val="3"/>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3163" w:type="dxa"/>
            <w:gridSpan w:val="3"/>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担任项目负责人年限</w:t>
            </w: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43" w:type="dxa"/>
            <w:gridSpan w:val="3"/>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资格证书编号</w:t>
            </w:r>
          </w:p>
        </w:tc>
        <w:tc>
          <w:tcPr>
            <w:tcW w:w="7312" w:type="dxa"/>
            <w:gridSpan w:val="7"/>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55" w:type="dxa"/>
            <w:gridSpan w:val="10"/>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类似项目工作经验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0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用户单位</w:t>
            </w:r>
          </w:p>
        </w:tc>
        <w:tc>
          <w:tcPr>
            <w:tcW w:w="212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项目名称</w:t>
            </w:r>
          </w:p>
        </w:tc>
        <w:tc>
          <w:tcPr>
            <w:tcW w:w="1240"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项目金额</w:t>
            </w:r>
          </w:p>
        </w:tc>
        <w:tc>
          <w:tcPr>
            <w:tcW w:w="1458"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日期</w:t>
            </w:r>
          </w:p>
        </w:tc>
        <w:tc>
          <w:tcPr>
            <w:tcW w:w="1705"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在实施或已完成</w:t>
            </w: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r>
              <w:rPr>
                <w:rFonts w:hint="eastAsia" w:ascii="仿宋" w:hAnsi="仿宋" w:eastAsia="仿宋" w:cs="仿宋"/>
                <w:color w:val="auto"/>
                <w:kern w:val="3"/>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212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240"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458"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705"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212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240"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458"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705"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212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240"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458"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705"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212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240"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458"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705"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212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240"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458"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705"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2128"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240"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458"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705" w:type="dxa"/>
            <w:gridSpan w:val="2"/>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c>
          <w:tcPr>
            <w:tcW w:w="1916" w:type="dxa"/>
            <w:noWrap w:val="0"/>
            <w:vAlign w:val="center"/>
          </w:tcPr>
          <w:p>
            <w:pPr>
              <w:suppressAutoHyphens/>
              <w:autoSpaceDN w:val="0"/>
              <w:spacing w:line="480" w:lineRule="exact"/>
              <w:ind w:right="84" w:rightChars="40"/>
              <w:jc w:val="center"/>
              <w:rPr>
                <w:rFonts w:hint="eastAsia" w:ascii="仿宋" w:hAnsi="仿宋" w:eastAsia="仿宋" w:cs="仿宋"/>
                <w:color w:val="auto"/>
                <w:kern w:val="3"/>
                <w:szCs w:val="21"/>
                <w:highlight w:val="none"/>
              </w:rPr>
            </w:pPr>
          </w:p>
        </w:tc>
      </w:tr>
    </w:tbl>
    <w:p>
      <w:pPr>
        <w:suppressAutoHyphens/>
        <w:autoSpaceDN w:val="0"/>
        <w:spacing w:line="336" w:lineRule="auto"/>
        <w:ind w:right="84" w:rightChars="40"/>
        <w:rPr>
          <w:rFonts w:hint="eastAsia" w:ascii="仿宋" w:hAnsi="仿宋" w:eastAsia="仿宋" w:cs="仿宋"/>
          <w:color w:val="auto"/>
          <w:kern w:val="3"/>
          <w:sz w:val="24"/>
          <w:szCs w:val="21"/>
          <w:highlight w:val="none"/>
        </w:rPr>
      </w:pPr>
      <w:r>
        <w:rPr>
          <w:rFonts w:hint="eastAsia" w:ascii="仿宋" w:hAnsi="仿宋" w:eastAsia="仿宋" w:cs="仿宋"/>
          <w:color w:val="auto"/>
          <w:kern w:val="3"/>
          <w:sz w:val="24"/>
          <w:szCs w:val="21"/>
          <w:highlight w:val="none"/>
        </w:rPr>
        <w:t>备注：附项目负责人的身份证、学历证、职称证、社保证明、</w:t>
      </w:r>
      <w:r>
        <w:rPr>
          <w:rFonts w:hint="eastAsia" w:ascii="仿宋" w:hAnsi="仿宋" w:eastAsia="仿宋" w:cs="仿宋"/>
          <w:color w:val="auto"/>
          <w:kern w:val="3"/>
          <w:sz w:val="24"/>
          <w:szCs w:val="21"/>
          <w:highlight w:val="none"/>
          <w:lang w:eastAsia="zh-CN"/>
        </w:rPr>
        <w:t>业绩证明</w:t>
      </w:r>
      <w:r>
        <w:rPr>
          <w:rFonts w:hint="eastAsia" w:ascii="仿宋" w:hAnsi="仿宋" w:eastAsia="仿宋" w:cs="仿宋"/>
          <w:color w:val="auto"/>
          <w:kern w:val="3"/>
          <w:sz w:val="24"/>
          <w:szCs w:val="21"/>
          <w:highlight w:val="none"/>
        </w:rPr>
        <w:t>等相关资料复印件并加盖供应商公章。</w:t>
      </w:r>
    </w:p>
    <w:p>
      <w:pPr>
        <w:suppressAutoHyphens/>
        <w:autoSpaceDN w:val="0"/>
        <w:spacing w:line="336" w:lineRule="auto"/>
        <w:ind w:right="84" w:rightChars="40"/>
        <w:rPr>
          <w:rFonts w:hint="eastAsia" w:ascii="仿宋" w:hAnsi="仿宋" w:eastAsia="仿宋" w:cs="仿宋"/>
          <w:color w:val="auto"/>
          <w:kern w:val="3"/>
          <w:szCs w:val="21"/>
          <w:highlight w:val="none"/>
        </w:rPr>
      </w:pPr>
    </w:p>
    <w:p>
      <w:pPr>
        <w:suppressAutoHyphens/>
        <w:autoSpaceDN w:val="0"/>
        <w:spacing w:line="336" w:lineRule="auto"/>
        <w:ind w:right="84" w:rightChars="40"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供应商(公章)：__________________________________</w:t>
      </w:r>
    </w:p>
    <w:p>
      <w:pPr>
        <w:suppressAutoHyphens/>
        <w:autoSpaceDN w:val="0"/>
        <w:spacing w:line="336" w:lineRule="auto"/>
        <w:ind w:right="84" w:rightChars="40"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供应商法定代表人或其授权代表签字：________________</w:t>
      </w:r>
    </w:p>
    <w:p>
      <w:pPr>
        <w:suppressAutoHyphens/>
        <w:autoSpaceDN w:val="0"/>
        <w:spacing w:line="336" w:lineRule="auto"/>
        <w:ind w:right="84" w:rightChars="40" w:firstLine="360" w:firstLineChars="150"/>
        <w:rPr>
          <w:rFonts w:hint="eastAsia" w:ascii="仿宋" w:hAnsi="仿宋" w:eastAsia="仿宋" w:cs="仿宋"/>
          <w:color w:val="auto"/>
          <w:kern w:val="3"/>
          <w:sz w:val="24"/>
          <w:szCs w:val="24"/>
          <w:highlight w:val="none"/>
        </w:rPr>
      </w:pPr>
      <w:r>
        <w:rPr>
          <w:rFonts w:hint="eastAsia" w:ascii="仿宋" w:hAnsi="仿宋" w:eastAsia="仿宋" w:cs="仿宋"/>
          <w:color w:val="auto"/>
          <w:sz w:val="24"/>
          <w:szCs w:val="28"/>
          <w:highlight w:val="none"/>
        </w:rPr>
        <w:t>日期：__________________________________________</w:t>
      </w:r>
    </w:p>
    <w:p>
      <w:pPr>
        <w:suppressAutoHyphens/>
        <w:autoSpaceDE w:val="0"/>
        <w:autoSpaceDN w:val="0"/>
        <w:spacing w:line="480" w:lineRule="auto"/>
        <w:ind w:right="84" w:rightChars="40"/>
        <w:rPr>
          <w:rFonts w:hint="eastAsia" w:ascii="仿宋" w:hAnsi="仿宋" w:eastAsia="仿宋" w:cs="仿宋"/>
          <w:b/>
          <w:color w:val="auto"/>
          <w:kern w:val="0"/>
          <w:sz w:val="24"/>
          <w:highlight w:val="none"/>
        </w:rPr>
      </w:pPr>
    </w:p>
    <w:p>
      <w:pPr>
        <w:suppressAutoHyphens/>
        <w:autoSpaceDE w:val="0"/>
        <w:autoSpaceDN w:val="0"/>
        <w:spacing w:line="480" w:lineRule="auto"/>
        <w:ind w:right="84" w:rightChars="4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（二）项目团队人员</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109"/>
        <w:gridCol w:w="968"/>
        <w:gridCol w:w="1388"/>
        <w:gridCol w:w="1526"/>
        <w:gridCol w:w="1246"/>
        <w:gridCol w:w="1386"/>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center"/>
          </w:tcPr>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序号</w:t>
            </w:r>
          </w:p>
        </w:tc>
        <w:tc>
          <w:tcPr>
            <w:tcW w:w="1109" w:type="dxa"/>
            <w:noWrap w:val="0"/>
            <w:vAlign w:val="center"/>
          </w:tcPr>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姓名</w:t>
            </w:r>
          </w:p>
        </w:tc>
        <w:tc>
          <w:tcPr>
            <w:tcW w:w="968" w:type="dxa"/>
            <w:noWrap w:val="0"/>
            <w:vAlign w:val="center"/>
          </w:tcPr>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年龄</w:t>
            </w:r>
          </w:p>
        </w:tc>
        <w:tc>
          <w:tcPr>
            <w:tcW w:w="1388" w:type="dxa"/>
            <w:noWrap w:val="0"/>
            <w:vAlign w:val="center"/>
          </w:tcPr>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学历及特长</w:t>
            </w:r>
          </w:p>
        </w:tc>
        <w:tc>
          <w:tcPr>
            <w:tcW w:w="1526" w:type="dxa"/>
            <w:noWrap w:val="0"/>
            <w:vAlign w:val="center"/>
          </w:tcPr>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参加工作</w:t>
            </w:r>
          </w:p>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时间及年限</w:t>
            </w:r>
          </w:p>
        </w:tc>
        <w:tc>
          <w:tcPr>
            <w:tcW w:w="1246" w:type="dxa"/>
            <w:noWrap w:val="0"/>
            <w:vAlign w:val="center"/>
          </w:tcPr>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获得相关资质证书</w:t>
            </w:r>
          </w:p>
        </w:tc>
        <w:tc>
          <w:tcPr>
            <w:tcW w:w="1386" w:type="dxa"/>
            <w:noWrap w:val="0"/>
            <w:vAlign w:val="center"/>
          </w:tcPr>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类似项目</w:t>
            </w:r>
          </w:p>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工作经验</w:t>
            </w:r>
          </w:p>
        </w:tc>
        <w:tc>
          <w:tcPr>
            <w:tcW w:w="1295" w:type="dxa"/>
            <w:noWrap w:val="0"/>
            <w:vAlign w:val="center"/>
          </w:tcPr>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本项目</w:t>
            </w:r>
          </w:p>
          <w:p>
            <w:pPr>
              <w:suppressAutoHyphens/>
              <w:autoSpaceDN w:val="0"/>
              <w:adjustRightInd w:val="0"/>
              <w:snapToGrid w:val="0"/>
              <w:ind w:right="84" w:rightChars="40"/>
              <w:jc w:val="center"/>
              <w:rPr>
                <w:rFonts w:hint="eastAsia" w:ascii="仿宋" w:hAnsi="仿宋" w:eastAsia="仿宋" w:cs="仿宋"/>
                <w:bCs/>
                <w:color w:val="auto"/>
                <w:kern w:val="3"/>
                <w:sz w:val="24"/>
                <w:szCs w:val="21"/>
                <w:highlight w:val="none"/>
              </w:rPr>
            </w:pPr>
            <w:r>
              <w:rPr>
                <w:rFonts w:hint="eastAsia" w:ascii="仿宋" w:hAnsi="仿宋" w:eastAsia="仿宋" w:cs="仿宋"/>
                <w:bCs/>
                <w:color w:val="auto"/>
                <w:kern w:val="3"/>
                <w:sz w:val="24"/>
                <w:szCs w:val="21"/>
                <w:highlight w:val="none"/>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109"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96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8"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526" w:type="dxa"/>
            <w:noWrap w:val="0"/>
            <w:vAlign w:val="center"/>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4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386"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c>
          <w:tcPr>
            <w:tcW w:w="1295" w:type="dxa"/>
            <w:noWrap w:val="0"/>
            <w:vAlign w:val="top"/>
          </w:tcPr>
          <w:p>
            <w:pPr>
              <w:suppressAutoHyphens/>
              <w:autoSpaceDN w:val="0"/>
              <w:adjustRightInd w:val="0"/>
              <w:snapToGrid w:val="0"/>
              <w:spacing w:line="480" w:lineRule="auto"/>
              <w:ind w:right="84" w:rightChars="40"/>
              <w:jc w:val="center"/>
              <w:rPr>
                <w:rFonts w:hint="eastAsia" w:ascii="仿宋" w:hAnsi="仿宋" w:eastAsia="仿宋" w:cs="仿宋"/>
                <w:color w:val="auto"/>
                <w:kern w:val="3"/>
                <w:sz w:val="24"/>
                <w:szCs w:val="24"/>
                <w:highlight w:val="none"/>
              </w:rPr>
            </w:pPr>
          </w:p>
        </w:tc>
      </w:tr>
    </w:tbl>
    <w:p>
      <w:pPr>
        <w:suppressAutoHyphens/>
        <w:autoSpaceDE w:val="0"/>
        <w:autoSpaceDN w:val="0"/>
        <w:spacing w:line="336" w:lineRule="auto"/>
        <w:ind w:right="84" w:rightChars="4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备注：附项目团队人员的身份证、学历证、职称证、社保证明等相关资料复印件并加盖供应商公章。</w:t>
      </w:r>
    </w:p>
    <w:p>
      <w:pPr>
        <w:suppressAutoHyphens/>
        <w:autoSpaceDN w:val="0"/>
        <w:spacing w:line="336" w:lineRule="auto"/>
        <w:ind w:right="84" w:rightChars="40"/>
        <w:rPr>
          <w:rFonts w:hint="eastAsia" w:ascii="仿宋" w:hAnsi="仿宋" w:eastAsia="仿宋" w:cs="仿宋"/>
          <w:color w:val="auto"/>
          <w:kern w:val="3"/>
          <w:sz w:val="24"/>
          <w:szCs w:val="24"/>
          <w:highlight w:val="none"/>
        </w:rPr>
      </w:pPr>
    </w:p>
    <w:p>
      <w:pPr>
        <w:spacing w:line="336" w:lineRule="auto"/>
        <w:ind w:right="84" w:rightChars="40"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供应商(公章)：__________________________________</w:t>
      </w:r>
    </w:p>
    <w:p>
      <w:pPr>
        <w:spacing w:line="336" w:lineRule="auto"/>
        <w:ind w:right="84" w:rightChars="40"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供应商法定代表人或其授权代表签字：________________</w:t>
      </w:r>
    </w:p>
    <w:p>
      <w:pPr>
        <w:spacing w:line="336" w:lineRule="auto"/>
        <w:ind w:right="84" w:rightChars="40" w:firstLine="360" w:firstLineChars="150"/>
        <w:rPr>
          <w:rFonts w:hint="eastAsia" w:ascii="仿宋" w:hAnsi="仿宋" w:eastAsia="仿宋" w:cs="仿宋"/>
          <w:color w:val="auto"/>
          <w:sz w:val="24"/>
          <w:szCs w:val="28"/>
          <w:highlight w:val="none"/>
          <w:u w:val="single"/>
        </w:rPr>
      </w:pPr>
      <w:r>
        <w:rPr>
          <w:rFonts w:hint="eastAsia" w:ascii="仿宋" w:hAnsi="仿宋" w:eastAsia="仿宋" w:cs="仿宋"/>
          <w:color w:val="auto"/>
          <w:sz w:val="24"/>
          <w:szCs w:val="28"/>
          <w:highlight w:val="none"/>
        </w:rPr>
        <w:t>日期：__________________________________________</w:t>
      </w:r>
    </w:p>
    <w:p>
      <w:pPr>
        <w:pStyle w:val="4"/>
        <w:bidi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08" w:name="_Toc32088"/>
      <w:r>
        <w:rPr>
          <w:rFonts w:hint="eastAsia" w:ascii="仿宋" w:hAnsi="仿宋" w:eastAsia="仿宋" w:cs="仿宋"/>
          <w:color w:val="auto"/>
          <w:sz w:val="24"/>
          <w:highlight w:val="none"/>
        </w:rPr>
        <w:t>10、资格证明文件（包含但不限于）</w:t>
      </w:r>
      <w:bookmarkEnd w:id="108"/>
    </w:p>
    <w:p>
      <w:pPr>
        <w:pStyle w:val="37"/>
        <w:ind w:right="84" w:rightChars="40" w:firstLine="720" w:firstLineChars="300"/>
        <w:rPr>
          <w:rFonts w:hint="eastAsia" w:ascii="仿宋" w:hAnsi="仿宋" w:eastAsia="仿宋" w:cs="仿宋"/>
          <w:color w:val="auto"/>
          <w:kern w:val="3"/>
          <w:szCs w:val="24"/>
          <w:highlight w:val="none"/>
        </w:rPr>
      </w:pPr>
      <w:r>
        <w:rPr>
          <w:rFonts w:hint="eastAsia" w:ascii="仿宋" w:hAnsi="仿宋" w:eastAsia="仿宋" w:cs="仿宋"/>
          <w:color w:val="auto"/>
          <w:kern w:val="3"/>
          <w:szCs w:val="24"/>
          <w:highlight w:val="none"/>
        </w:rPr>
        <w:t>（1）法人营业执照或其他资格证明</w:t>
      </w:r>
    </w:p>
    <w:p>
      <w:pPr>
        <w:pStyle w:val="37"/>
        <w:ind w:right="84" w:rightChars="40" w:firstLine="720" w:firstLineChars="300"/>
        <w:rPr>
          <w:rFonts w:hint="eastAsia" w:ascii="仿宋" w:hAnsi="仿宋" w:eastAsia="仿宋" w:cs="仿宋"/>
          <w:color w:val="auto"/>
          <w:kern w:val="3"/>
          <w:szCs w:val="24"/>
          <w:highlight w:val="none"/>
          <w:lang w:eastAsia="zh-CN"/>
        </w:rPr>
      </w:pPr>
      <w:r>
        <w:rPr>
          <w:rFonts w:hint="eastAsia" w:ascii="仿宋" w:hAnsi="仿宋" w:eastAsia="仿宋" w:cs="仿宋"/>
          <w:color w:val="auto"/>
          <w:kern w:val="3"/>
          <w:szCs w:val="24"/>
          <w:highlight w:val="none"/>
        </w:rPr>
        <w:t>（2）税务登记证书、组织机构代码证书</w:t>
      </w:r>
      <w:r>
        <w:rPr>
          <w:rFonts w:hint="eastAsia" w:ascii="仿宋" w:hAnsi="仿宋" w:eastAsia="仿宋" w:cs="仿宋"/>
          <w:color w:val="auto"/>
          <w:kern w:val="3"/>
          <w:szCs w:val="24"/>
          <w:highlight w:val="none"/>
          <w:lang w:eastAsia="zh-CN"/>
        </w:rPr>
        <w:t>（三证合一除外）</w:t>
      </w:r>
    </w:p>
    <w:p>
      <w:pPr>
        <w:pStyle w:val="37"/>
        <w:ind w:right="84" w:rightChars="40" w:firstLine="720" w:firstLineChars="300"/>
        <w:rPr>
          <w:rFonts w:hint="eastAsia" w:ascii="仿宋" w:hAnsi="仿宋" w:eastAsia="仿宋" w:cs="仿宋"/>
          <w:color w:val="auto"/>
          <w:kern w:val="3"/>
          <w:szCs w:val="24"/>
          <w:highlight w:val="none"/>
        </w:rPr>
      </w:pPr>
      <w:r>
        <w:rPr>
          <w:rFonts w:hint="eastAsia" w:ascii="仿宋" w:hAnsi="仿宋" w:eastAsia="仿宋" w:cs="仿宋"/>
          <w:color w:val="auto"/>
          <w:kern w:val="3"/>
          <w:szCs w:val="24"/>
          <w:highlight w:val="none"/>
        </w:rPr>
        <w:t>（3）法定代表人授权书</w:t>
      </w:r>
    </w:p>
    <w:p>
      <w:pPr>
        <w:pStyle w:val="37"/>
        <w:ind w:right="84" w:rightChars="40" w:firstLine="720" w:firstLineChars="300"/>
        <w:rPr>
          <w:rFonts w:hint="eastAsia" w:ascii="仿宋" w:hAnsi="仿宋" w:eastAsia="仿宋" w:cs="仿宋"/>
          <w:color w:val="auto"/>
          <w:kern w:val="3"/>
          <w:szCs w:val="24"/>
          <w:highlight w:val="none"/>
          <w:lang w:eastAsia="zh-CN"/>
        </w:rPr>
      </w:pPr>
      <w:r>
        <w:rPr>
          <w:rFonts w:hint="eastAsia" w:ascii="仿宋" w:hAnsi="仿宋" w:eastAsia="仿宋" w:cs="仿宋"/>
          <w:color w:val="auto"/>
          <w:kern w:val="3"/>
          <w:szCs w:val="24"/>
          <w:highlight w:val="none"/>
          <w:lang w:eastAsia="zh-CN"/>
        </w:rPr>
        <w:t>（</w:t>
      </w:r>
      <w:r>
        <w:rPr>
          <w:rFonts w:hint="eastAsia" w:ascii="仿宋" w:hAnsi="仿宋" w:eastAsia="仿宋" w:cs="仿宋"/>
          <w:color w:val="auto"/>
          <w:kern w:val="3"/>
          <w:szCs w:val="24"/>
          <w:highlight w:val="none"/>
          <w:lang w:val="en-US" w:eastAsia="zh-CN"/>
        </w:rPr>
        <w:t>4</w:t>
      </w:r>
      <w:r>
        <w:rPr>
          <w:rFonts w:hint="eastAsia" w:ascii="仿宋" w:hAnsi="仿宋" w:eastAsia="仿宋" w:cs="仿宋"/>
          <w:color w:val="auto"/>
          <w:kern w:val="3"/>
          <w:szCs w:val="24"/>
          <w:highlight w:val="none"/>
          <w:lang w:eastAsia="zh-CN"/>
        </w:rPr>
        <w:t>）</w:t>
      </w:r>
      <w:r>
        <w:rPr>
          <w:rFonts w:hint="eastAsia" w:ascii="仿宋" w:hAnsi="仿宋" w:eastAsia="仿宋" w:cs="仿宋"/>
          <w:color w:val="auto"/>
          <w:kern w:val="3"/>
          <w:szCs w:val="24"/>
          <w:highlight w:val="none"/>
        </w:rPr>
        <w:t>具备履行合同所必需的设备和专业技术能力的书面声明</w:t>
      </w:r>
      <w:r>
        <w:rPr>
          <w:rFonts w:hint="eastAsia" w:ascii="仿宋" w:hAnsi="仿宋" w:eastAsia="仿宋" w:cs="仿宋"/>
          <w:color w:val="auto"/>
          <w:kern w:val="3"/>
          <w:szCs w:val="24"/>
          <w:highlight w:val="none"/>
          <w:lang w:eastAsia="zh-CN"/>
        </w:rPr>
        <w:t>（提供声明书格式自拟）</w:t>
      </w:r>
    </w:p>
    <w:p>
      <w:pPr>
        <w:pStyle w:val="37"/>
        <w:ind w:right="84" w:rightChars="40" w:firstLine="720" w:firstLineChars="300"/>
        <w:rPr>
          <w:rFonts w:hint="eastAsia" w:ascii="仿宋" w:hAnsi="仿宋" w:eastAsia="仿宋" w:cs="仿宋"/>
          <w:color w:val="auto"/>
          <w:kern w:val="3"/>
          <w:szCs w:val="24"/>
          <w:highlight w:val="none"/>
        </w:rPr>
      </w:pPr>
      <w:r>
        <w:rPr>
          <w:rFonts w:hint="eastAsia" w:ascii="仿宋" w:hAnsi="仿宋" w:eastAsia="仿宋" w:cs="仿宋"/>
          <w:color w:val="auto"/>
          <w:kern w:val="3"/>
          <w:szCs w:val="24"/>
          <w:highlight w:val="none"/>
        </w:rPr>
        <w:t>（</w:t>
      </w:r>
      <w:r>
        <w:rPr>
          <w:rFonts w:hint="eastAsia" w:ascii="仿宋" w:hAnsi="仿宋" w:eastAsia="仿宋" w:cs="仿宋"/>
          <w:color w:val="auto"/>
          <w:kern w:val="3"/>
          <w:szCs w:val="24"/>
          <w:highlight w:val="none"/>
          <w:lang w:val="en-US" w:eastAsia="zh-CN"/>
        </w:rPr>
        <w:t>5</w:t>
      </w:r>
      <w:r>
        <w:rPr>
          <w:rFonts w:hint="eastAsia" w:ascii="仿宋" w:hAnsi="仿宋" w:eastAsia="仿宋" w:cs="仿宋"/>
          <w:color w:val="auto"/>
          <w:kern w:val="3"/>
          <w:szCs w:val="24"/>
          <w:highlight w:val="none"/>
        </w:rPr>
        <w:t>）</w:t>
      </w:r>
      <w:r>
        <w:rPr>
          <w:rFonts w:hint="eastAsia" w:ascii="仿宋" w:hAnsi="仿宋" w:eastAsia="仿宋" w:cs="仿宋"/>
          <w:color w:val="auto"/>
          <w:kern w:val="3"/>
          <w:szCs w:val="24"/>
          <w:highlight w:val="none"/>
          <w:lang w:val="en-US" w:eastAsia="zh-CN"/>
        </w:rPr>
        <w:t xml:space="preserve"> </w:t>
      </w:r>
      <w:r>
        <w:rPr>
          <w:rFonts w:hint="eastAsia" w:ascii="仿宋" w:hAnsi="仿宋" w:eastAsia="仿宋" w:cs="仿宋"/>
          <w:color w:val="auto"/>
          <w:kern w:val="3"/>
          <w:szCs w:val="24"/>
          <w:highlight w:val="none"/>
        </w:rPr>
        <w:t>参加本次采购活动前三年内，在经营活动中没有重大违法记录的书面声明（提供承诺书</w:t>
      </w:r>
      <w:r>
        <w:rPr>
          <w:rFonts w:hint="eastAsia" w:ascii="仿宋" w:hAnsi="仿宋" w:eastAsia="仿宋" w:cs="仿宋"/>
          <w:color w:val="auto"/>
          <w:kern w:val="3"/>
          <w:szCs w:val="24"/>
          <w:highlight w:val="none"/>
          <w:lang w:eastAsia="zh-CN"/>
        </w:rPr>
        <w:t>，格式自拟</w:t>
      </w:r>
      <w:r>
        <w:rPr>
          <w:rFonts w:hint="eastAsia" w:ascii="仿宋" w:hAnsi="仿宋" w:eastAsia="仿宋" w:cs="仿宋"/>
          <w:color w:val="auto"/>
          <w:kern w:val="3"/>
          <w:szCs w:val="24"/>
          <w:highlight w:val="none"/>
        </w:rPr>
        <w:t>）</w:t>
      </w:r>
    </w:p>
    <w:p>
      <w:pPr>
        <w:spacing w:line="400" w:lineRule="exact"/>
        <w:ind w:right="84" w:rightChars="40"/>
        <w:jc w:val="center"/>
        <w:rPr>
          <w:rFonts w:hint="eastAsia" w:ascii="仿宋" w:hAnsi="仿宋" w:eastAsia="仿宋" w:cs="仿宋"/>
          <w:bCs/>
          <w:color w:val="auto"/>
          <w:sz w:val="24"/>
          <w:highlight w:val="none"/>
        </w:rPr>
      </w:pPr>
    </w:p>
    <w:p>
      <w:pPr>
        <w:spacing w:line="400" w:lineRule="exact"/>
        <w:ind w:right="84" w:rightChars="40"/>
        <w:jc w:val="center"/>
        <w:rPr>
          <w:rFonts w:hint="eastAsia" w:ascii="仿宋" w:hAnsi="仿宋" w:eastAsia="仿宋" w:cs="仿宋"/>
          <w:bCs/>
          <w:color w:val="auto"/>
          <w:sz w:val="24"/>
          <w:highlight w:val="none"/>
        </w:rPr>
      </w:pPr>
    </w:p>
    <w:p>
      <w:pPr>
        <w:pStyle w:val="4"/>
        <w:bidi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bookmarkStart w:id="109" w:name="_Toc6984"/>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w:t>
      </w:r>
      <w:bookmarkEnd w:id="106"/>
      <w:r>
        <w:rPr>
          <w:rFonts w:hint="eastAsia" w:ascii="仿宋" w:hAnsi="仿宋" w:eastAsia="仿宋" w:cs="仿宋"/>
          <w:bCs/>
          <w:color w:val="auto"/>
          <w:sz w:val="24"/>
          <w:highlight w:val="none"/>
        </w:rPr>
        <w:t>项目</w:t>
      </w:r>
      <w:r>
        <w:rPr>
          <w:rFonts w:hint="eastAsia" w:ascii="仿宋" w:hAnsi="仿宋" w:eastAsia="仿宋" w:cs="仿宋"/>
          <w:bCs/>
          <w:color w:val="auto"/>
          <w:sz w:val="24"/>
          <w:highlight w:val="none"/>
          <w:lang w:eastAsia="zh-CN"/>
        </w:rPr>
        <w:t>整体实施</w:t>
      </w:r>
      <w:r>
        <w:rPr>
          <w:rFonts w:hint="eastAsia" w:ascii="仿宋" w:hAnsi="仿宋" w:eastAsia="仿宋" w:cs="仿宋"/>
          <w:bCs/>
          <w:color w:val="auto"/>
          <w:sz w:val="24"/>
          <w:highlight w:val="none"/>
        </w:rPr>
        <w:t>方案</w:t>
      </w:r>
      <w:bookmarkEnd w:id="109"/>
    </w:p>
    <w:p>
      <w:pPr>
        <w:pStyle w:val="93"/>
        <w:widowControl w:val="0"/>
        <w:pBdr>
          <w:left w:val="none" w:color="auto" w:sz="0" w:space="0"/>
          <w:right w:val="none" w:color="auto" w:sz="0" w:space="0"/>
        </w:pBdr>
        <w:spacing w:before="0" w:beforeAutospacing="0" w:after="0" w:afterAutospacing="0" w:line="500" w:lineRule="exact"/>
        <w:ind w:right="84" w:rightChars="40" w:firstLine="480" w:firstLineChars="200"/>
        <w:jc w:val="both"/>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至少应包括以下内容</w:t>
      </w:r>
      <w:r>
        <w:rPr>
          <w:rFonts w:hint="eastAsia" w:ascii="仿宋" w:hAnsi="仿宋" w:eastAsia="仿宋" w:cs="仿宋"/>
          <w:b/>
          <w:bCs/>
          <w:color w:val="auto"/>
          <w:kern w:val="2"/>
          <w:sz w:val="24"/>
          <w:szCs w:val="20"/>
          <w:highlight w:val="none"/>
          <w:lang w:eastAsia="zh-CN"/>
        </w:rPr>
        <w:t>（包含但不限于）</w:t>
      </w:r>
      <w:r>
        <w:rPr>
          <w:rFonts w:hint="eastAsia" w:ascii="仿宋" w:hAnsi="仿宋" w:eastAsia="仿宋" w:cs="仿宋"/>
          <w:color w:val="auto"/>
          <w:kern w:val="2"/>
          <w:sz w:val="24"/>
          <w:szCs w:val="20"/>
          <w:highlight w:val="none"/>
        </w:rPr>
        <w:t>：</w:t>
      </w:r>
    </w:p>
    <w:p>
      <w:pPr>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（1）项目分析，项目分析包括但不限于项目背景、项目重难点、相关法规政策、风险分析等；</w:t>
      </w:r>
    </w:p>
    <w:p>
      <w:pPr>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（2）实施方案，方案包括但不限于完整度、测评依据、客观性、针对性、受众适用性等；</w:t>
      </w:r>
    </w:p>
    <w:p>
      <w:pPr>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（3）质量保证方案，方案包括但不限于完整度、保障措施、具有完善的测评质量监管体系等；</w:t>
      </w:r>
    </w:p>
    <w:p>
      <w:pPr>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（4）本项目时间进度安排，时间安排包括但不限于科学合理性、利用率等；</w:t>
      </w:r>
    </w:p>
    <w:p>
      <w:pPr>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（5）售后服务能力，售后服务包括但不限于售后服务保障体系，售后服务保障措施，其他售后服务能力等；</w:t>
      </w:r>
    </w:p>
    <w:p>
      <w:pPr>
        <w:pStyle w:val="12"/>
        <w:spacing w:line="420" w:lineRule="exact"/>
        <w:ind w:right="84" w:rightChars="40" w:firstLine="48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z w:val="24"/>
          <w:szCs w:val="24"/>
          <w:highlight w:val="none"/>
          <w:lang w:val="en-US"/>
        </w:rPr>
        <w:t>（6）项目实施中有成熟、科学的措施及方法；</w:t>
      </w:r>
    </w:p>
    <w:p>
      <w:pPr>
        <w:autoSpaceDE w:val="0"/>
        <w:autoSpaceDN w:val="0"/>
        <w:adjustRightInd w:val="0"/>
        <w:spacing w:line="400" w:lineRule="exact"/>
        <w:ind w:right="84" w:rightChars="40"/>
        <w:rPr>
          <w:rFonts w:hint="eastAsia" w:ascii="仿宋" w:hAnsi="仿宋" w:eastAsia="仿宋" w:cs="仿宋"/>
          <w:color w:val="auto"/>
          <w:sz w:val="24"/>
          <w:highlight w:val="none"/>
        </w:rPr>
      </w:pPr>
    </w:p>
    <w:p>
      <w:pPr>
        <w:autoSpaceDE w:val="0"/>
        <w:autoSpaceDN w:val="0"/>
        <w:adjustRightInd w:val="0"/>
        <w:spacing w:line="400" w:lineRule="exact"/>
        <w:ind w:right="84" w:rightChars="40" w:firstLine="2640" w:firstLineChars="1100"/>
        <w:rPr>
          <w:rFonts w:hint="eastAsia" w:ascii="仿宋" w:hAnsi="仿宋" w:eastAsia="仿宋" w:cs="仿宋"/>
          <w:color w:val="auto"/>
          <w:sz w:val="24"/>
          <w:highlight w:val="none"/>
        </w:rPr>
      </w:pPr>
    </w:p>
    <w:p>
      <w:pPr>
        <w:pStyle w:val="37"/>
        <w:ind w:right="84" w:rightChars="40" w:firstLine="480"/>
        <w:rPr>
          <w:rFonts w:hint="eastAsia" w:ascii="仿宋" w:hAnsi="仿宋" w:eastAsia="仿宋" w:cs="仿宋"/>
          <w:color w:val="auto"/>
          <w:highlight w:val="none"/>
        </w:rPr>
      </w:pPr>
    </w:p>
    <w:p>
      <w:pPr>
        <w:pStyle w:val="37"/>
        <w:ind w:right="84" w:rightChars="40" w:firstLine="480"/>
        <w:rPr>
          <w:rFonts w:hint="eastAsia" w:ascii="仿宋" w:hAnsi="仿宋" w:eastAsia="仿宋" w:cs="仿宋"/>
          <w:color w:val="auto"/>
          <w:highlight w:val="none"/>
        </w:rPr>
      </w:pPr>
    </w:p>
    <w:p>
      <w:pPr>
        <w:pStyle w:val="37"/>
        <w:ind w:right="84" w:rightChars="40" w:firstLine="480"/>
        <w:rPr>
          <w:rFonts w:hint="eastAsia" w:ascii="仿宋" w:hAnsi="仿宋" w:eastAsia="仿宋" w:cs="仿宋"/>
          <w:color w:val="auto"/>
          <w:highlight w:val="none"/>
        </w:rPr>
      </w:pPr>
    </w:p>
    <w:p>
      <w:pPr>
        <w:pStyle w:val="37"/>
        <w:ind w:right="84" w:rightChars="40" w:firstLine="480"/>
        <w:rPr>
          <w:rFonts w:hint="eastAsia" w:ascii="仿宋" w:hAnsi="仿宋" w:eastAsia="仿宋" w:cs="仿宋"/>
          <w:color w:val="auto"/>
          <w:highlight w:val="none"/>
        </w:rPr>
      </w:pPr>
    </w:p>
    <w:p>
      <w:pPr>
        <w:pStyle w:val="37"/>
        <w:ind w:right="84" w:rightChars="40" w:firstLine="480"/>
        <w:rPr>
          <w:rFonts w:hint="eastAsia" w:ascii="仿宋" w:hAnsi="仿宋" w:eastAsia="仿宋" w:cs="仿宋"/>
          <w:color w:val="auto"/>
          <w:highlight w:val="none"/>
        </w:rPr>
      </w:pPr>
    </w:p>
    <w:p>
      <w:pPr>
        <w:pStyle w:val="37"/>
        <w:ind w:right="84" w:rightChars="40" w:firstLine="480"/>
        <w:rPr>
          <w:rFonts w:hint="eastAsia" w:ascii="仿宋" w:hAnsi="仿宋" w:eastAsia="仿宋" w:cs="仿宋"/>
          <w:color w:val="auto"/>
          <w:highlight w:val="none"/>
        </w:rPr>
      </w:pPr>
    </w:p>
    <w:p>
      <w:pPr>
        <w:autoSpaceDE w:val="0"/>
        <w:autoSpaceDN w:val="0"/>
        <w:adjustRightInd w:val="0"/>
        <w:spacing w:line="400" w:lineRule="exact"/>
        <w:ind w:right="84" w:rightChars="40"/>
        <w:jc w:val="left"/>
        <w:rPr>
          <w:rFonts w:hint="eastAsia" w:ascii="仿宋" w:hAnsi="仿宋" w:eastAsia="仿宋" w:cs="仿宋"/>
          <w:color w:val="auto"/>
          <w:sz w:val="24"/>
          <w:highlight w:val="none"/>
        </w:rPr>
      </w:pPr>
    </w:p>
    <w:p>
      <w:pPr>
        <w:pStyle w:val="4"/>
        <w:bidi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10" w:name="_Toc15199"/>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、供应商诚信承诺书</w:t>
      </w:r>
      <w:bookmarkEnd w:id="110"/>
    </w:p>
    <w:p>
      <w:pPr>
        <w:autoSpaceDE w:val="0"/>
        <w:autoSpaceDN w:val="0"/>
        <w:adjustRightInd w:val="0"/>
        <w:spacing w:line="40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为了诚实、客观、有序地参与</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博尔塔拉职业技术学院 磋商采购活动，愿就以下内容作出承诺：</w:t>
      </w:r>
    </w:p>
    <w:p>
      <w:pPr>
        <w:autoSpaceDE w:val="0"/>
        <w:autoSpaceDN w:val="0"/>
        <w:adjustRightInd w:val="0"/>
        <w:spacing w:line="40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一、自觉遵守各项法律、法规、规章、制度以及社会公德，维护廉洁环境，与同场竞争的供应商平等参加磋商活动。</w:t>
      </w:r>
    </w:p>
    <w:p>
      <w:pPr>
        <w:autoSpaceDE w:val="0"/>
        <w:autoSpaceDN w:val="0"/>
        <w:adjustRightInd w:val="0"/>
        <w:spacing w:line="40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二、参加采购代理机构组织的磋商活动时，严格按照磋商文件的规定和要求提供所需的相关材料，并对所提供的各类资料的真实性负责，不虚假应标，不虚列业绩。</w:t>
      </w:r>
    </w:p>
    <w:p>
      <w:pPr>
        <w:autoSpaceDE w:val="0"/>
        <w:autoSpaceDN w:val="0"/>
        <w:adjustRightInd w:val="0"/>
        <w:spacing w:line="40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三、尊重参与磋商活动各相关方的合法行为，接受磋商活动依法形成的意见、结果。</w:t>
      </w:r>
    </w:p>
    <w:p>
      <w:pPr>
        <w:autoSpaceDE w:val="0"/>
        <w:autoSpaceDN w:val="0"/>
        <w:adjustRightInd w:val="0"/>
        <w:spacing w:line="40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四、依法参加磋商活动，不围标、串标，维护市场秩序，不提供“三无”产品、以次充好。</w:t>
      </w:r>
    </w:p>
    <w:p>
      <w:pPr>
        <w:autoSpaceDE w:val="0"/>
        <w:autoSpaceDN w:val="0"/>
        <w:adjustRightInd w:val="0"/>
        <w:spacing w:line="40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五、积极推动磋商活动健康开展，对采购活动有疑问、异议时，按法律规定的程序实名（加盖单位章和法定代表人签名）反映情况，不恶意中伤、无事生非，以和谐、平等的心态参加磋商活动。</w:t>
      </w:r>
    </w:p>
    <w:p>
      <w:pPr>
        <w:autoSpaceDE w:val="0"/>
        <w:autoSpaceDN w:val="0"/>
        <w:adjustRightInd w:val="0"/>
        <w:spacing w:line="400" w:lineRule="exact"/>
        <w:ind w:right="84" w:rightChars="40"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六、认真履行成交人应承担的责任和义务，全面执行采购合同规定的各项内容，保质保量地按时提供服务。</w:t>
      </w:r>
    </w:p>
    <w:p>
      <w:pPr>
        <w:autoSpaceDE w:val="0"/>
        <w:autoSpaceDN w:val="0"/>
        <w:adjustRightInd w:val="0"/>
        <w:spacing w:line="400" w:lineRule="exact"/>
        <w:ind w:right="84" w:rightChars="40"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若本企业（单位）发生有悖于上述承诺的行为，愿意接受《中华人民共和国政府采购法》等有关法律法规中对供应商的相关处理。</w:t>
      </w:r>
    </w:p>
    <w:p>
      <w:pPr>
        <w:pStyle w:val="37"/>
        <w:ind w:right="84" w:rightChars="40" w:firstLine="480"/>
        <w:rPr>
          <w:rFonts w:hint="eastAsia" w:ascii="仿宋" w:hAnsi="仿宋" w:eastAsia="仿宋" w:cs="仿宋"/>
          <w:color w:val="auto"/>
          <w:highlight w:val="none"/>
          <w:lang w:val="zh-CN"/>
        </w:rPr>
      </w:pP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本承诺是采购项目响应文件的组成部分。</w:t>
      </w: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p>
    <w:p>
      <w:pPr>
        <w:autoSpaceDE w:val="0"/>
        <w:autoSpaceDN w:val="0"/>
        <w:adjustRightInd w:val="0"/>
        <w:spacing w:line="400" w:lineRule="exact"/>
        <w:ind w:right="84" w:rightChars="40"/>
        <w:rPr>
          <w:rFonts w:hint="eastAsia" w:ascii="仿宋" w:hAnsi="仿宋" w:eastAsia="仿宋" w:cs="仿宋"/>
          <w:color w:val="auto"/>
          <w:kern w:val="0"/>
          <w:sz w:val="24"/>
          <w:highlight w:val="none"/>
          <w:lang w:val="zh-CN"/>
        </w:rPr>
      </w:pPr>
    </w:p>
    <w:p>
      <w:pPr>
        <w:autoSpaceDE w:val="0"/>
        <w:autoSpaceDN w:val="0"/>
        <w:adjustRightInd w:val="0"/>
        <w:spacing w:line="400" w:lineRule="exact"/>
        <w:ind w:right="84" w:rightChars="40" w:firstLine="4435" w:firstLineChars="1848"/>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供应商：             （公章）</w:t>
      </w:r>
    </w:p>
    <w:p>
      <w:pPr>
        <w:autoSpaceDE w:val="0"/>
        <w:autoSpaceDN w:val="0"/>
        <w:adjustRightInd w:val="0"/>
        <w:spacing w:line="400" w:lineRule="exact"/>
        <w:ind w:right="84" w:rightChars="40"/>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 xml:space="preserve">                     法定代表人或委托代理人：             （签字）</w:t>
      </w:r>
    </w:p>
    <w:p>
      <w:pPr>
        <w:ind w:right="84" w:rightChars="4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lang w:val="zh-CN"/>
        </w:rPr>
        <w:t xml:space="preserve">                                         年   月   日</w:t>
      </w:r>
    </w:p>
    <w:bookmarkEnd w:id="8"/>
    <w:p>
      <w:pPr>
        <w:spacing w:line="400" w:lineRule="atLeast"/>
        <w:ind w:right="84" w:rightChars="40"/>
        <w:jc w:val="center"/>
        <w:rPr>
          <w:rFonts w:hint="eastAsia" w:ascii="仿宋" w:hAnsi="仿宋" w:eastAsia="仿宋" w:cs="仿宋"/>
          <w:color w:val="auto"/>
          <w:sz w:val="24"/>
          <w:highlight w:val="none"/>
        </w:rPr>
      </w:pPr>
    </w:p>
    <w:p>
      <w:pPr>
        <w:spacing w:line="400" w:lineRule="atLeast"/>
        <w:ind w:right="84" w:rightChars="40"/>
        <w:jc w:val="center"/>
        <w:rPr>
          <w:rFonts w:hint="eastAsia" w:ascii="仿宋" w:hAnsi="仿宋" w:eastAsia="仿宋" w:cs="仿宋"/>
          <w:color w:val="auto"/>
          <w:sz w:val="24"/>
          <w:highlight w:val="none"/>
        </w:rPr>
      </w:pPr>
    </w:p>
    <w:p>
      <w:pPr>
        <w:spacing w:line="400" w:lineRule="atLeast"/>
        <w:ind w:right="84" w:rightChars="40"/>
        <w:jc w:val="center"/>
        <w:rPr>
          <w:rFonts w:hint="eastAsia" w:ascii="仿宋" w:hAnsi="仿宋" w:eastAsia="仿宋" w:cs="仿宋"/>
          <w:color w:val="auto"/>
          <w:sz w:val="24"/>
          <w:highlight w:val="none"/>
        </w:rPr>
      </w:pPr>
    </w:p>
    <w:p>
      <w:pPr>
        <w:spacing w:line="400" w:lineRule="atLeast"/>
        <w:ind w:right="84" w:rightChars="40"/>
        <w:jc w:val="center"/>
        <w:rPr>
          <w:rFonts w:hint="eastAsia" w:ascii="仿宋" w:hAnsi="仿宋" w:eastAsia="仿宋" w:cs="仿宋"/>
          <w:color w:val="auto"/>
          <w:sz w:val="24"/>
          <w:highlight w:val="none"/>
        </w:rPr>
      </w:pPr>
    </w:p>
    <w:p>
      <w:pPr>
        <w:spacing w:line="400" w:lineRule="atLeast"/>
        <w:ind w:right="84" w:rightChars="40"/>
        <w:jc w:val="center"/>
        <w:rPr>
          <w:rFonts w:hint="eastAsia" w:ascii="仿宋" w:hAnsi="仿宋" w:eastAsia="仿宋" w:cs="仿宋"/>
          <w:color w:val="auto"/>
          <w:sz w:val="24"/>
          <w:highlight w:val="none"/>
        </w:rPr>
      </w:pPr>
    </w:p>
    <w:p>
      <w:pPr>
        <w:spacing w:line="400" w:lineRule="atLeast"/>
        <w:ind w:right="84" w:rightChars="40"/>
        <w:jc w:val="center"/>
        <w:rPr>
          <w:rFonts w:hint="eastAsia" w:ascii="仿宋" w:hAnsi="仿宋" w:eastAsia="仿宋" w:cs="仿宋"/>
          <w:color w:val="auto"/>
          <w:sz w:val="24"/>
          <w:highlight w:val="none"/>
        </w:rPr>
      </w:pPr>
    </w:p>
    <w:p>
      <w:pPr>
        <w:spacing w:line="400" w:lineRule="atLeast"/>
        <w:ind w:right="84" w:rightChars="40"/>
        <w:jc w:val="center"/>
        <w:rPr>
          <w:rFonts w:hint="eastAsia" w:ascii="仿宋" w:hAnsi="仿宋" w:eastAsia="仿宋" w:cs="仿宋"/>
          <w:color w:val="auto"/>
          <w:sz w:val="24"/>
          <w:highlight w:val="none"/>
        </w:rPr>
      </w:pPr>
    </w:p>
    <w:p>
      <w:pPr>
        <w:pStyle w:val="4"/>
        <w:bidi w:val="0"/>
        <w:jc w:val="center"/>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br w:type="page"/>
      </w:r>
      <w:bookmarkStart w:id="111" w:name="_Toc14103"/>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w:t>
      </w:r>
      <w:r>
        <w:rPr>
          <w:rFonts w:hint="eastAsia" w:ascii="仿宋" w:hAnsi="仿宋" w:eastAsia="仿宋" w:cs="仿宋"/>
          <w:color w:val="auto"/>
          <w:sz w:val="24"/>
          <w:szCs w:val="22"/>
          <w:highlight w:val="none"/>
        </w:rPr>
        <w:t>其他资料</w:t>
      </w:r>
      <w:bookmarkEnd w:id="111"/>
    </w:p>
    <w:p>
      <w:pPr>
        <w:autoSpaceDE w:val="0"/>
        <w:autoSpaceDN w:val="0"/>
        <w:adjustRightInd w:val="0"/>
        <w:spacing w:line="400" w:lineRule="exact"/>
        <w:ind w:right="84" w:rightChars="40"/>
        <w:rPr>
          <w:rFonts w:hint="eastAsia" w:ascii="仿宋" w:hAnsi="仿宋" w:eastAsia="仿宋" w:cs="仿宋"/>
          <w:color w:val="auto"/>
          <w:sz w:val="24"/>
          <w:highlight w:val="none"/>
        </w:rPr>
      </w:pPr>
    </w:p>
    <w:p>
      <w:pPr>
        <w:autoSpaceDE w:val="0"/>
        <w:autoSpaceDN w:val="0"/>
        <w:adjustRightInd w:val="0"/>
        <w:spacing w:line="400" w:lineRule="exact"/>
        <w:ind w:right="84" w:rightChars="4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项目服务承诺书等</w:t>
      </w:r>
    </w:p>
    <w:p>
      <w:pPr>
        <w:autoSpaceDE w:val="0"/>
        <w:autoSpaceDN w:val="0"/>
        <w:adjustRightInd w:val="0"/>
        <w:spacing w:line="400" w:lineRule="exact"/>
        <w:ind w:right="84" w:rightChars="40"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p>
      <w:pPr>
        <w:autoSpaceDE w:val="0"/>
        <w:autoSpaceDN w:val="0"/>
        <w:adjustRightInd w:val="0"/>
        <w:spacing w:line="400" w:lineRule="exact"/>
        <w:ind w:right="84" w:rightChars="40" w:firstLine="3840" w:firstLineChars="1600"/>
        <w:rPr>
          <w:rFonts w:hint="eastAsia" w:ascii="仿宋" w:hAnsi="仿宋" w:eastAsia="仿宋" w:cs="仿宋"/>
          <w:color w:val="auto"/>
          <w:sz w:val="24"/>
          <w:highlight w:val="none"/>
        </w:rPr>
      </w:pPr>
    </w:p>
    <w:p>
      <w:pPr>
        <w:pStyle w:val="37"/>
        <w:ind w:right="84" w:rightChars="40" w:firstLine="0" w:firstLineChars="0"/>
        <w:rPr>
          <w:rFonts w:hint="eastAsia" w:ascii="仿宋" w:hAnsi="仿宋" w:eastAsia="仿宋" w:cs="仿宋"/>
          <w:color w:val="auto"/>
          <w:highlight w:val="none"/>
        </w:rPr>
      </w:pPr>
    </w:p>
    <w:p>
      <w:pPr>
        <w:spacing w:line="336" w:lineRule="auto"/>
        <w:ind w:right="84" w:rightChars="40"/>
        <w:jc w:val="left"/>
        <w:rPr>
          <w:rFonts w:hint="eastAsia" w:ascii="仿宋" w:hAnsi="仿宋" w:eastAsia="仿宋" w:cs="仿宋"/>
          <w:b/>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8"/>
          <w:highlight w:val="none"/>
        </w:rPr>
        <w:t>附件资料：</w:t>
      </w:r>
    </w:p>
    <w:p>
      <w:pPr>
        <w:ind w:right="84" w:rightChars="4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中小企业声明函（</w:t>
      </w:r>
      <w:r>
        <w:rPr>
          <w:rFonts w:hint="eastAsia" w:ascii="仿宋" w:hAnsi="仿宋" w:eastAsia="仿宋" w:cs="仿宋"/>
          <w:b/>
          <w:color w:val="auto"/>
          <w:sz w:val="32"/>
          <w:highlight w:val="none"/>
          <w:lang w:eastAsia="zh-CN"/>
        </w:rPr>
        <w:t>服务</w:t>
      </w:r>
      <w:r>
        <w:rPr>
          <w:rFonts w:hint="eastAsia" w:ascii="仿宋" w:hAnsi="仿宋" w:eastAsia="仿宋" w:cs="仿宋"/>
          <w:b/>
          <w:color w:val="auto"/>
          <w:sz w:val="32"/>
          <w:highlight w:val="none"/>
        </w:rPr>
        <w:t>）</w:t>
      </w:r>
    </w:p>
    <w:p>
      <w:pPr>
        <w:keepNext w:val="0"/>
        <w:keepLines w:val="0"/>
        <w:pageBreakBefore w:val="0"/>
        <w:widowControl/>
        <w:suppressLineNumbers w:val="0"/>
        <w:kinsoku/>
        <w:wordWrap/>
        <w:overflowPunct/>
        <w:topLinePunct w:val="0"/>
        <w:autoSpaceDE/>
        <w:autoSpaceDN/>
        <w:bidi w:val="0"/>
        <w:adjustRightInd/>
        <w:snapToGrid/>
        <w:ind w:right="84" w:rightChars="4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本公司郑重声明，根据《政府采购促进中小企业发展管理办法》（财库﹝2020﹞46 号）的规定，本公司参加</w:t>
      </w:r>
      <w:r>
        <w:rPr>
          <w:rFonts w:hint="eastAsia" w:ascii="仿宋" w:hAnsi="仿宋" w:eastAsia="仿宋" w:cs="仿宋"/>
          <w:i/>
          <w:iCs/>
          <w:color w:val="auto"/>
          <w:kern w:val="0"/>
          <w:sz w:val="24"/>
          <w:szCs w:val="24"/>
          <w:highlight w:val="none"/>
          <w:u w:val="single"/>
          <w:lang w:val="en-US" w:eastAsia="zh-CN" w:bidi="ar"/>
        </w:rPr>
        <w:t>（单位名称）</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i/>
          <w:iCs/>
          <w:color w:val="auto"/>
          <w:kern w:val="0"/>
          <w:sz w:val="24"/>
          <w:szCs w:val="24"/>
          <w:highlight w:val="none"/>
          <w:u w:val="single"/>
          <w:lang w:val="en-US" w:eastAsia="zh-CN" w:bidi="ar"/>
        </w:rPr>
        <w:t>（项目名称）</w:t>
      </w:r>
      <w:r>
        <w:rPr>
          <w:rFonts w:hint="eastAsia" w:ascii="仿宋" w:hAnsi="仿宋" w:eastAsia="仿宋" w:cs="仿宋"/>
          <w:color w:val="auto"/>
          <w:kern w:val="0"/>
          <w:sz w:val="24"/>
          <w:szCs w:val="24"/>
          <w:highlight w:val="none"/>
          <w:lang w:val="en-US" w:eastAsia="zh-CN" w:bidi="ar"/>
        </w:rPr>
        <w:t xml:space="preserve">采购活动，服务 全部由符合政策要求的中小企业承接。相关企业（含联合体中的中小企业、签订分包意向协议的中小企业） 的具体情况如下： </w:t>
      </w:r>
    </w:p>
    <w:p>
      <w:pPr>
        <w:keepNext w:val="0"/>
        <w:keepLines w:val="0"/>
        <w:pageBreakBefore w:val="0"/>
        <w:widowControl/>
        <w:suppressLineNumbers w:val="0"/>
        <w:kinsoku/>
        <w:wordWrap/>
        <w:overflowPunct/>
        <w:topLinePunct w:val="0"/>
        <w:autoSpaceDE/>
        <w:autoSpaceDN/>
        <w:bidi w:val="0"/>
        <w:adjustRightInd/>
        <w:snapToGrid/>
        <w:ind w:right="84" w:rightChars="4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i/>
          <w:iCs/>
          <w:color w:val="auto"/>
          <w:kern w:val="0"/>
          <w:sz w:val="24"/>
          <w:szCs w:val="24"/>
          <w:highlight w:val="none"/>
          <w:u w:val="single"/>
          <w:lang w:val="en-US" w:eastAsia="zh-CN" w:bidi="ar"/>
        </w:rPr>
        <w:t xml:space="preserve">（标的名称） </w:t>
      </w:r>
      <w:r>
        <w:rPr>
          <w:rFonts w:hint="eastAsia" w:ascii="仿宋" w:hAnsi="仿宋" w:eastAsia="仿宋" w:cs="仿宋"/>
          <w:color w:val="auto"/>
          <w:kern w:val="0"/>
          <w:sz w:val="24"/>
          <w:szCs w:val="24"/>
          <w:highlight w:val="none"/>
          <w:lang w:val="en-US" w:eastAsia="zh-CN" w:bidi="ar"/>
        </w:rPr>
        <w:t>，属于</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；承接企业为</w:t>
      </w:r>
      <w:r>
        <w:rPr>
          <w:rFonts w:hint="eastAsia" w:ascii="仿宋" w:hAnsi="仿宋" w:eastAsia="仿宋" w:cs="仿宋"/>
          <w:i/>
          <w:iCs/>
          <w:color w:val="auto"/>
          <w:kern w:val="0"/>
          <w:sz w:val="24"/>
          <w:szCs w:val="24"/>
          <w:highlight w:val="none"/>
          <w:u w:val="single"/>
          <w:lang w:val="en-US" w:eastAsia="zh-CN" w:bidi="ar"/>
        </w:rPr>
        <w:t>（企业名称）</w:t>
      </w:r>
      <w:r>
        <w:rPr>
          <w:rFonts w:hint="eastAsia" w:ascii="仿宋" w:hAnsi="仿宋" w:eastAsia="仿宋" w:cs="仿宋"/>
          <w:color w:val="auto"/>
          <w:kern w:val="0"/>
          <w:sz w:val="24"/>
          <w:szCs w:val="24"/>
          <w:highlight w:val="none"/>
          <w:lang w:val="en-US" w:eastAsia="zh-CN" w:bidi="ar"/>
        </w:rPr>
        <w:t>，从业人员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人，营业收入为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万元，资产总额为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万元，属于</w:t>
      </w:r>
      <w:r>
        <w:rPr>
          <w:rFonts w:hint="eastAsia" w:ascii="仿宋" w:hAnsi="仿宋" w:eastAsia="仿宋" w:cs="仿宋"/>
          <w:i/>
          <w:iCs/>
          <w:color w:val="auto"/>
          <w:kern w:val="0"/>
          <w:sz w:val="24"/>
          <w:szCs w:val="24"/>
          <w:highlight w:val="none"/>
          <w:u w:val="single"/>
          <w:lang w:val="en-US" w:eastAsia="zh-CN" w:bidi="ar"/>
        </w:rPr>
        <w:t>（中型企业、小型企业、微型企业）</w:t>
      </w:r>
      <w:r>
        <w:rPr>
          <w:rFonts w:hint="eastAsia" w:ascii="仿宋" w:hAnsi="仿宋" w:eastAsia="仿宋" w:cs="仿宋"/>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right="84" w:rightChars="4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 </w:t>
      </w:r>
      <w:r>
        <w:rPr>
          <w:rFonts w:hint="eastAsia" w:ascii="仿宋" w:hAnsi="仿宋" w:eastAsia="仿宋" w:cs="仿宋"/>
          <w:i/>
          <w:iCs/>
          <w:color w:val="auto"/>
          <w:kern w:val="0"/>
          <w:sz w:val="24"/>
          <w:szCs w:val="24"/>
          <w:highlight w:val="none"/>
          <w:u w:val="single"/>
          <w:lang w:val="en-US" w:eastAsia="zh-CN" w:bidi="ar"/>
        </w:rPr>
        <w:t xml:space="preserve">（标的名称） </w:t>
      </w:r>
      <w:r>
        <w:rPr>
          <w:rFonts w:hint="eastAsia" w:ascii="仿宋" w:hAnsi="仿宋" w:eastAsia="仿宋" w:cs="仿宋"/>
          <w:color w:val="auto"/>
          <w:kern w:val="0"/>
          <w:sz w:val="24"/>
          <w:szCs w:val="24"/>
          <w:highlight w:val="none"/>
          <w:lang w:val="en-US" w:eastAsia="zh-CN" w:bidi="ar"/>
        </w:rPr>
        <w:t>，属于</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；承接企业为</w:t>
      </w:r>
      <w:r>
        <w:rPr>
          <w:rFonts w:hint="eastAsia" w:ascii="仿宋" w:hAnsi="仿宋" w:eastAsia="仿宋" w:cs="仿宋"/>
          <w:i/>
          <w:iCs/>
          <w:color w:val="auto"/>
          <w:kern w:val="0"/>
          <w:sz w:val="24"/>
          <w:szCs w:val="24"/>
          <w:highlight w:val="none"/>
          <w:u w:val="single"/>
          <w:lang w:val="en-US" w:eastAsia="zh-CN" w:bidi="ar"/>
        </w:rPr>
        <w:t>（企业名称）</w:t>
      </w:r>
      <w:r>
        <w:rPr>
          <w:rFonts w:hint="eastAsia" w:ascii="仿宋" w:hAnsi="仿宋" w:eastAsia="仿宋" w:cs="仿宋"/>
          <w:color w:val="auto"/>
          <w:kern w:val="0"/>
          <w:sz w:val="24"/>
          <w:szCs w:val="24"/>
          <w:highlight w:val="none"/>
          <w:lang w:val="en-US" w:eastAsia="zh-CN" w:bidi="ar"/>
        </w:rPr>
        <w:t>，从业人员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人，营业收入为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万元，资产总额为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万元，属于</w:t>
      </w:r>
      <w:r>
        <w:rPr>
          <w:rFonts w:hint="eastAsia" w:ascii="仿宋" w:hAnsi="仿宋" w:eastAsia="仿宋" w:cs="仿宋"/>
          <w:i/>
          <w:iCs/>
          <w:color w:val="auto"/>
          <w:kern w:val="0"/>
          <w:sz w:val="24"/>
          <w:szCs w:val="24"/>
          <w:highlight w:val="none"/>
          <w:u w:val="single"/>
          <w:lang w:val="en-US" w:eastAsia="zh-CN" w:bidi="ar"/>
        </w:rPr>
        <w:t>（中型企业、小型企业、微型企业）</w:t>
      </w:r>
      <w:r>
        <w:rPr>
          <w:rFonts w:hint="eastAsia" w:ascii="仿宋" w:hAnsi="仿宋" w:eastAsia="仿宋" w:cs="仿宋"/>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right="84" w:rightChars="4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right="84" w:rightChars="4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ind w:right="84" w:rightChars="4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本企业对上述声明内容的真实性负责。如有虚假，将依法承担相应责任。 </w:t>
      </w:r>
    </w:p>
    <w:p>
      <w:pPr>
        <w:pStyle w:val="36"/>
        <w:ind w:right="84" w:rightChars="40"/>
        <w:rPr>
          <w:rFonts w:hint="eastAsia" w:ascii="仿宋" w:hAnsi="仿宋" w:eastAsia="仿宋" w:cs="仿宋"/>
          <w:color w:val="auto"/>
          <w:kern w:val="0"/>
          <w:sz w:val="24"/>
          <w:szCs w:val="24"/>
          <w:highlight w:val="none"/>
          <w:lang w:val="en-US" w:eastAsia="zh-CN" w:bidi="ar"/>
        </w:rPr>
      </w:pPr>
    </w:p>
    <w:p>
      <w:pPr>
        <w:ind w:right="84" w:rightChars="40"/>
        <w:rPr>
          <w:rFonts w:hint="eastAsia" w:ascii="仿宋" w:hAnsi="仿宋" w:eastAsia="仿宋" w:cs="仿宋"/>
          <w:color w:val="auto"/>
          <w:highlight w:val="none"/>
        </w:rPr>
      </w:pPr>
    </w:p>
    <w:p>
      <w:pPr>
        <w:keepNext w:val="0"/>
        <w:keepLines w:val="0"/>
        <w:widowControl/>
        <w:suppressLineNumbers w:val="0"/>
        <w:ind w:right="84" w:rightChars="4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企业名称（盖章）： </w:t>
      </w:r>
    </w:p>
    <w:p>
      <w:pPr>
        <w:keepNext w:val="0"/>
        <w:keepLines w:val="0"/>
        <w:widowControl/>
        <w:suppressLineNumbers w:val="0"/>
        <w:ind w:right="84" w:rightChars="4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日 期： </w:t>
      </w:r>
    </w:p>
    <w:p>
      <w:pPr>
        <w:pStyle w:val="36"/>
        <w:ind w:right="84" w:rightChars="40"/>
        <w:rPr>
          <w:rFonts w:hint="eastAsia" w:ascii="仿宋" w:hAnsi="仿宋" w:eastAsia="仿宋" w:cs="仿宋"/>
          <w:color w:val="auto"/>
          <w:kern w:val="0"/>
          <w:sz w:val="24"/>
          <w:szCs w:val="24"/>
          <w:highlight w:val="none"/>
          <w:lang w:val="en-US" w:eastAsia="zh-CN" w:bidi="ar"/>
        </w:rPr>
      </w:pPr>
    </w:p>
    <w:p>
      <w:pPr>
        <w:ind w:right="84" w:rightChars="40"/>
        <w:rPr>
          <w:rFonts w:hint="eastAsia" w:ascii="仿宋" w:hAnsi="仿宋" w:eastAsia="仿宋" w:cs="仿宋"/>
          <w:color w:val="auto"/>
          <w:kern w:val="0"/>
          <w:sz w:val="24"/>
          <w:szCs w:val="24"/>
          <w:highlight w:val="none"/>
          <w:lang w:val="en-US" w:eastAsia="zh-CN" w:bidi="ar"/>
        </w:rPr>
      </w:pPr>
    </w:p>
    <w:p>
      <w:pPr>
        <w:pStyle w:val="36"/>
        <w:ind w:right="84" w:rightChars="40"/>
        <w:rPr>
          <w:rFonts w:hint="eastAsia" w:ascii="仿宋" w:hAnsi="仿宋" w:eastAsia="仿宋" w:cs="仿宋"/>
          <w:color w:val="auto"/>
          <w:kern w:val="0"/>
          <w:sz w:val="24"/>
          <w:szCs w:val="24"/>
          <w:highlight w:val="none"/>
          <w:lang w:val="en-US" w:eastAsia="zh-CN" w:bidi="ar"/>
        </w:rPr>
      </w:pPr>
    </w:p>
    <w:p>
      <w:pPr>
        <w:ind w:right="84" w:rightChars="40"/>
        <w:rPr>
          <w:rFonts w:hint="eastAsia" w:ascii="仿宋" w:hAnsi="仿宋" w:eastAsia="仿宋" w:cs="仿宋"/>
          <w:color w:val="auto"/>
          <w:kern w:val="0"/>
          <w:sz w:val="24"/>
          <w:szCs w:val="24"/>
          <w:highlight w:val="none"/>
          <w:lang w:val="en-US" w:eastAsia="zh-CN" w:bidi="ar"/>
        </w:rPr>
      </w:pPr>
    </w:p>
    <w:p>
      <w:pPr>
        <w:pStyle w:val="36"/>
        <w:ind w:right="84" w:rightChars="40"/>
        <w:rPr>
          <w:rFonts w:hint="eastAsia" w:ascii="仿宋" w:hAnsi="仿宋" w:eastAsia="仿宋" w:cs="仿宋"/>
          <w:color w:val="auto"/>
          <w:kern w:val="0"/>
          <w:sz w:val="24"/>
          <w:szCs w:val="24"/>
          <w:highlight w:val="none"/>
          <w:lang w:val="en-US" w:eastAsia="zh-CN" w:bidi="ar"/>
        </w:rPr>
      </w:pPr>
    </w:p>
    <w:p>
      <w:pPr>
        <w:ind w:right="84" w:rightChars="40"/>
        <w:rPr>
          <w:rFonts w:hint="eastAsia" w:ascii="仿宋" w:hAnsi="仿宋" w:eastAsia="仿宋" w:cs="仿宋"/>
          <w:color w:val="auto"/>
          <w:kern w:val="0"/>
          <w:sz w:val="24"/>
          <w:szCs w:val="24"/>
          <w:highlight w:val="none"/>
          <w:lang w:val="en-US" w:eastAsia="zh-CN" w:bidi="ar"/>
        </w:rPr>
      </w:pPr>
    </w:p>
    <w:p>
      <w:pPr>
        <w:pStyle w:val="36"/>
        <w:ind w:right="84" w:rightChars="40"/>
        <w:rPr>
          <w:rFonts w:hint="eastAsia" w:ascii="仿宋" w:hAnsi="仿宋" w:eastAsia="仿宋" w:cs="仿宋"/>
          <w:color w:val="auto"/>
          <w:highlight w:val="none"/>
        </w:rPr>
      </w:pPr>
      <w:r>
        <w:rPr>
          <w:rFonts w:hint="eastAsia" w:ascii="仿宋" w:hAnsi="仿宋" w:eastAsia="仿宋" w:cs="仿宋"/>
          <w:color w:val="auto"/>
          <w:highlight w:val="none"/>
          <w:lang w:eastAsia="zh-CN"/>
        </w:rPr>
        <w:t>注：</w:t>
      </w:r>
      <w:r>
        <w:rPr>
          <w:rFonts w:hint="eastAsia" w:ascii="仿宋" w:hAnsi="仿宋" w:eastAsia="仿宋" w:cs="仿宋"/>
          <w:color w:val="auto"/>
          <w:highlight w:val="none"/>
        </w:rPr>
        <w:t>从业人员、营业收入、资产总额填报上一年度数据，无上一年度数据的新成立企业可不填报</w:t>
      </w:r>
      <w:r>
        <w:rPr>
          <w:rFonts w:hint="eastAsia" w:ascii="仿宋" w:hAnsi="仿宋" w:eastAsia="仿宋" w:cs="仿宋"/>
          <w:color w:val="auto"/>
          <w:highlight w:val="none"/>
          <w:lang w:eastAsia="zh-CN"/>
        </w:rPr>
        <w:t>。</w:t>
      </w:r>
    </w:p>
    <w:p>
      <w:pPr>
        <w:pStyle w:val="33"/>
        <w:spacing w:before="0" w:beforeAutospacing="0" w:after="0" w:afterAutospacing="0"/>
        <w:ind w:right="84" w:rightChars="40" w:firstLine="492" w:firstLineChars="175"/>
        <w:jc w:val="both"/>
        <w:rPr>
          <w:rFonts w:hint="eastAsia" w:ascii="仿宋" w:hAnsi="仿宋" w:eastAsia="仿宋" w:cs="仿宋"/>
          <w:color w:val="auto"/>
          <w:sz w:val="21"/>
          <w:szCs w:val="21"/>
          <w:highlight w:val="none"/>
        </w:rPr>
      </w:pPr>
      <w:r>
        <w:rPr>
          <w:rFonts w:hint="eastAsia" w:ascii="仿宋" w:hAnsi="仿宋" w:eastAsia="仿宋" w:cs="仿宋"/>
          <w:b/>
          <w:color w:val="auto"/>
          <w:sz w:val="28"/>
          <w:szCs w:val="28"/>
          <w:highlight w:val="none"/>
        </w:rPr>
        <w:br w:type="page"/>
      </w:r>
    </w:p>
    <w:p>
      <w:pPr>
        <w:ind w:right="84" w:rightChars="40"/>
        <w:jc w:val="center"/>
        <w:rPr>
          <w:rFonts w:hint="eastAsia" w:ascii="仿宋" w:hAnsi="仿宋" w:eastAsia="仿宋" w:cs="仿宋"/>
          <w:b/>
          <w:color w:val="auto"/>
          <w:szCs w:val="21"/>
          <w:highlight w:val="none"/>
        </w:rPr>
      </w:pPr>
      <w:bookmarkStart w:id="112" w:name="_Toc444702747"/>
      <w:bookmarkStart w:id="113" w:name="_Toc503336056"/>
      <w:r>
        <w:rPr>
          <w:rFonts w:hint="eastAsia" w:ascii="仿宋" w:hAnsi="仿宋" w:eastAsia="仿宋" w:cs="仿宋"/>
          <w:b/>
          <w:color w:val="auto"/>
          <w:szCs w:val="21"/>
          <w:highlight w:val="none"/>
        </w:rPr>
        <w:t>监狱、戒毒企业声明函</w:t>
      </w:r>
      <w:bookmarkEnd w:id="112"/>
      <w:bookmarkEnd w:id="113"/>
    </w:p>
    <w:p>
      <w:pPr>
        <w:pStyle w:val="12"/>
        <w:ind w:right="84" w:rightChars="40"/>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（如为监狱、戒毒企业，须提供声明函）</w:t>
      </w:r>
    </w:p>
    <w:p>
      <w:pPr>
        <w:pStyle w:val="94"/>
        <w:widowControl w:val="0"/>
        <w:ind w:right="84" w:rightChars="40" w:firstLine="371" w:firstLineChars="177"/>
        <w:rPr>
          <w:rFonts w:hint="eastAsia" w:ascii="仿宋" w:hAnsi="仿宋" w:eastAsia="仿宋" w:cs="仿宋"/>
          <w:color w:val="auto"/>
          <w:kern w:val="2"/>
          <w:highlight w:val="none"/>
        </w:rPr>
      </w:pPr>
      <w:r>
        <w:rPr>
          <w:rFonts w:hint="eastAsia" w:ascii="仿宋" w:hAnsi="仿宋" w:eastAsia="仿宋" w:cs="仿宋"/>
          <w:color w:val="auto"/>
          <w:kern w:val="2"/>
          <w:highlight w:val="none"/>
        </w:rPr>
        <w:t>本公司为______（请填写：监狱、戒毒）企业。即，本公司同时满足以下条件：</w:t>
      </w:r>
    </w:p>
    <w:p>
      <w:pPr>
        <w:pStyle w:val="94"/>
        <w:widowControl w:val="0"/>
        <w:ind w:right="84" w:rightChars="40" w:firstLine="371" w:firstLineChars="177"/>
        <w:rPr>
          <w:rFonts w:hint="eastAsia" w:ascii="仿宋" w:hAnsi="仿宋" w:eastAsia="仿宋" w:cs="仿宋"/>
          <w:color w:val="auto"/>
          <w:kern w:val="2"/>
          <w:highlight w:val="none"/>
        </w:rPr>
      </w:pPr>
      <w:r>
        <w:rPr>
          <w:rFonts w:hint="eastAsia" w:ascii="仿宋" w:hAnsi="仿宋" w:eastAsia="仿宋" w:cs="仿宋"/>
          <w:color w:val="auto"/>
          <w:kern w:val="2"/>
          <w:highlight w:val="none"/>
        </w:rPr>
        <w:t>1.本公司为______（请填写：监狱、戒毒）企业。</w:t>
      </w:r>
    </w:p>
    <w:p>
      <w:pPr>
        <w:pStyle w:val="94"/>
        <w:widowControl w:val="0"/>
        <w:ind w:right="84" w:rightChars="40" w:firstLine="371" w:firstLineChars="177"/>
        <w:rPr>
          <w:rFonts w:hint="eastAsia" w:ascii="仿宋" w:hAnsi="仿宋" w:eastAsia="仿宋" w:cs="仿宋"/>
          <w:color w:val="auto"/>
          <w:kern w:val="2"/>
          <w:highlight w:val="none"/>
        </w:rPr>
      </w:pPr>
      <w:r>
        <w:rPr>
          <w:rFonts w:hint="eastAsia" w:ascii="仿宋" w:hAnsi="仿宋" w:eastAsia="仿宋" w:cs="仿宋"/>
          <w:color w:val="auto"/>
          <w:kern w:val="2"/>
          <w:highlight w:val="none"/>
        </w:rPr>
        <w:t>2.本公司参加______单位的______项目采购活动提供本企业制造的货物，由本企业承担工程、提供服务，或者提供其他______（请填写：监狱、戒毒）企业制造的货物。</w:t>
      </w:r>
    </w:p>
    <w:p>
      <w:pPr>
        <w:pStyle w:val="94"/>
        <w:widowControl w:val="0"/>
        <w:ind w:right="84" w:rightChars="40" w:firstLine="371" w:firstLineChars="177"/>
        <w:rPr>
          <w:rFonts w:hint="eastAsia" w:ascii="仿宋" w:hAnsi="仿宋" w:eastAsia="仿宋" w:cs="仿宋"/>
          <w:color w:val="auto"/>
          <w:kern w:val="2"/>
          <w:highlight w:val="none"/>
        </w:rPr>
      </w:pPr>
      <w:r>
        <w:rPr>
          <w:rFonts w:hint="eastAsia" w:ascii="仿宋" w:hAnsi="仿宋" w:eastAsia="仿宋" w:cs="仿宋"/>
          <w:color w:val="auto"/>
          <w:kern w:val="2"/>
          <w:highlight w:val="none"/>
        </w:rPr>
        <w:t>本公司对上述声明的真实性负责。如有虚假，将依法承担相应责任。</w:t>
      </w:r>
    </w:p>
    <w:p>
      <w:pPr>
        <w:ind w:right="84" w:rightChars="40" w:firstLine="152"/>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企业名称（盖章）：</w:t>
      </w:r>
    </w:p>
    <w:p>
      <w:pPr>
        <w:ind w:right="84" w:rightChars="40" w:firstLine="426"/>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pPr>
        <w:pStyle w:val="94"/>
        <w:widowControl w:val="0"/>
        <w:ind w:right="84" w:rightChars="40" w:firstLine="373" w:firstLineChars="177"/>
        <w:rPr>
          <w:rFonts w:hint="eastAsia" w:ascii="仿宋" w:hAnsi="仿宋" w:eastAsia="仿宋" w:cs="仿宋"/>
          <w:b/>
          <w:color w:val="auto"/>
          <w:kern w:val="2"/>
          <w:highlight w:val="none"/>
        </w:rPr>
      </w:pPr>
    </w:p>
    <w:p>
      <w:pPr>
        <w:pStyle w:val="94"/>
        <w:widowControl w:val="0"/>
        <w:ind w:right="84" w:rightChars="40" w:firstLine="373"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注：</w:t>
      </w:r>
    </w:p>
    <w:p>
      <w:pPr>
        <w:pStyle w:val="94"/>
        <w:widowControl w:val="0"/>
        <w:ind w:right="84" w:rightChars="40" w:firstLine="373"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(1)不符合上述情形的供应商无须提供上述声明函件。</w:t>
      </w:r>
    </w:p>
    <w:p>
      <w:pPr>
        <w:pStyle w:val="94"/>
        <w:widowControl w:val="0"/>
        <w:ind w:right="84" w:rightChars="40" w:firstLine="373"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(2)提供市监狱管理局、市教育矫治局出具的监狱企业的证明文件。</w:t>
      </w:r>
    </w:p>
    <w:p>
      <w:pPr>
        <w:pStyle w:val="94"/>
        <w:widowControl w:val="0"/>
        <w:ind w:right="84" w:rightChars="40" w:firstLine="373"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(3)在政府采购活动中，监狱、戒毒企业视同小型、微型企业，享受预留份额、评审中价格扣除等政府采购促进中小企业发展的相关政策。向监狱、戒毒企业采购的金额，计入面向中小企业采购的统计数据。</w:t>
      </w:r>
    </w:p>
    <w:p>
      <w:pPr>
        <w:ind w:right="84" w:rightChars="40" w:firstLine="424" w:firstLineChars="201"/>
        <w:jc w:val="left"/>
        <w:rPr>
          <w:rFonts w:hint="eastAsia" w:ascii="仿宋" w:hAnsi="仿宋" w:eastAsia="仿宋" w:cs="仿宋"/>
          <w:b/>
          <w:color w:val="auto"/>
          <w:szCs w:val="21"/>
          <w:highlight w:val="none"/>
        </w:rPr>
      </w:pPr>
    </w:p>
    <w:p>
      <w:pPr>
        <w:ind w:left="840" w:right="84" w:rightChars="40"/>
        <w:jc w:val="center"/>
        <w:rPr>
          <w:rFonts w:hint="eastAsia" w:ascii="仿宋" w:hAnsi="仿宋" w:eastAsia="仿宋" w:cs="仿宋"/>
          <w:color w:val="auto"/>
          <w:szCs w:val="21"/>
          <w:highlight w:val="none"/>
        </w:rPr>
      </w:pPr>
    </w:p>
    <w:p>
      <w:pPr>
        <w:ind w:right="84" w:rightChars="40" w:firstLine="315" w:firstLineChars="150"/>
        <w:jc w:val="left"/>
        <w:rPr>
          <w:rFonts w:hint="eastAsia" w:ascii="仿宋" w:hAnsi="仿宋" w:eastAsia="仿宋" w:cs="仿宋"/>
          <w:color w:val="auto"/>
          <w:szCs w:val="21"/>
          <w:highlight w:val="none"/>
        </w:rPr>
        <w:sectPr>
          <w:type w:val="continuous"/>
          <w:pgSz w:w="11907" w:h="16840"/>
          <w:pgMar w:top="1440" w:right="1080" w:bottom="1440" w:left="1080" w:header="851" w:footer="851" w:gutter="0"/>
          <w:pgNumType w:fmt="decimal"/>
          <w:cols w:space="720" w:num="1"/>
          <w:docGrid w:type="lines" w:linePitch="462" w:charSpace="0"/>
        </w:sectPr>
      </w:pPr>
    </w:p>
    <w:p>
      <w:pPr>
        <w:ind w:right="84" w:rightChars="40"/>
        <w:jc w:val="center"/>
        <w:rPr>
          <w:rFonts w:hint="eastAsia" w:ascii="仿宋" w:hAnsi="仿宋" w:eastAsia="仿宋" w:cs="仿宋"/>
          <w:b/>
          <w:color w:val="auto"/>
          <w:szCs w:val="21"/>
          <w:highlight w:val="none"/>
        </w:rPr>
      </w:pPr>
      <w:bookmarkStart w:id="114" w:name="_Toc503336057"/>
      <w:r>
        <w:rPr>
          <w:rFonts w:hint="eastAsia" w:ascii="仿宋" w:hAnsi="仿宋" w:eastAsia="仿宋" w:cs="仿宋"/>
          <w:b/>
          <w:color w:val="auto"/>
          <w:szCs w:val="21"/>
          <w:highlight w:val="none"/>
        </w:rPr>
        <w:t>残疾人福利性单位声明函</w:t>
      </w:r>
      <w:bookmarkEnd w:id="114"/>
    </w:p>
    <w:p>
      <w:pPr>
        <w:ind w:right="84" w:rightChars="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（如为残疾人福利性单位，须提供声明函）</w:t>
      </w:r>
    </w:p>
    <w:p>
      <w:pPr>
        <w:ind w:right="84" w:rightChars="40"/>
        <w:jc w:val="center"/>
        <w:rPr>
          <w:rFonts w:hint="eastAsia" w:ascii="仿宋" w:hAnsi="仿宋" w:eastAsia="仿宋" w:cs="仿宋"/>
          <w:color w:val="auto"/>
          <w:szCs w:val="21"/>
          <w:highlight w:val="none"/>
        </w:rPr>
      </w:pPr>
    </w:p>
    <w:p>
      <w:pPr>
        <w:ind w:right="84" w:rightChars="40" w:firstLine="371" w:firstLineChars="177"/>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right="84" w:rightChars="40" w:firstLine="371" w:firstLineChars="177"/>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pPr>
        <w:ind w:right="84" w:rightChars="40"/>
        <w:jc w:val="center"/>
        <w:rPr>
          <w:rFonts w:hint="eastAsia" w:ascii="仿宋" w:hAnsi="仿宋" w:eastAsia="仿宋" w:cs="仿宋"/>
          <w:color w:val="auto"/>
          <w:szCs w:val="21"/>
          <w:highlight w:val="none"/>
        </w:rPr>
      </w:pPr>
    </w:p>
    <w:p>
      <w:pPr>
        <w:ind w:right="84" w:rightChars="40"/>
        <w:jc w:val="center"/>
        <w:rPr>
          <w:rFonts w:hint="eastAsia" w:ascii="仿宋" w:hAnsi="仿宋" w:eastAsia="仿宋" w:cs="仿宋"/>
          <w:color w:val="auto"/>
          <w:szCs w:val="21"/>
          <w:highlight w:val="none"/>
        </w:rPr>
      </w:pPr>
    </w:p>
    <w:p>
      <w:pPr>
        <w:ind w:right="84" w:rightChars="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单位名称（盖章）：</w:t>
      </w:r>
    </w:p>
    <w:p>
      <w:pPr>
        <w:ind w:right="84" w:rightChars="40" w:firstLine="315" w:firstLineChars="1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日  期：</w:t>
      </w:r>
    </w:p>
    <w:p>
      <w:pPr>
        <w:ind w:right="84" w:rightChars="40" w:firstLine="315" w:firstLineChars="150"/>
        <w:jc w:val="left"/>
        <w:rPr>
          <w:rFonts w:hint="eastAsia" w:ascii="仿宋" w:hAnsi="仿宋" w:eastAsia="仿宋" w:cs="仿宋"/>
          <w:color w:val="auto"/>
          <w:szCs w:val="21"/>
          <w:highlight w:val="none"/>
        </w:rPr>
      </w:pPr>
    </w:p>
    <w:p>
      <w:pPr>
        <w:ind w:right="84" w:rightChars="40" w:firstLine="315" w:firstLineChars="150"/>
        <w:jc w:val="left"/>
        <w:rPr>
          <w:rFonts w:hint="eastAsia" w:ascii="仿宋" w:hAnsi="仿宋" w:eastAsia="仿宋" w:cs="仿宋"/>
          <w:color w:val="auto"/>
          <w:szCs w:val="21"/>
          <w:highlight w:val="none"/>
        </w:rPr>
      </w:pPr>
    </w:p>
    <w:p>
      <w:pPr>
        <w:pStyle w:val="94"/>
        <w:widowControl w:val="0"/>
        <w:ind w:right="84" w:rightChars="40" w:firstLine="371"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注：不符合上述情形的供应商无须提供上述声明函件。</w:t>
      </w:r>
    </w:p>
    <w:p>
      <w:pPr>
        <w:pStyle w:val="49"/>
        <w:rPr>
          <w:rFonts w:hint="eastAsia" w:ascii="仿宋" w:hAnsi="仿宋" w:eastAsia="仿宋" w:cs="仿宋"/>
          <w:color w:val="auto"/>
          <w:sz w:val="24"/>
          <w:highlight w:val="none"/>
        </w:rPr>
      </w:pPr>
    </w:p>
    <w:sectPr>
      <w:footerReference r:id="rId9" w:type="default"/>
      <w:type w:val="continuous"/>
      <w:pgSz w:w="11906" w:h="16838"/>
      <w:pgMar w:top="1440" w:right="1080" w:bottom="1440" w:left="1080" w:header="680" w:footer="680" w:gutter="0"/>
      <w:pgNumType w:fmt="decimal"/>
      <w:cols w:space="720" w:num="1"/>
      <w:titlePg/>
      <w:docGrid w:type="linesAndChar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Noto Sans CJK JP Regular">
    <w:altName w:val="宋体"/>
    <w:panose1 w:val="020B0500000000000000"/>
    <w:charset w:val="86"/>
    <w:family w:val="swiss"/>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3vnnAQAAyAMAAA4AAABkcnMvZTJvRG9jLnhtbK1TwY7TMBC9&#10;I/EPlu802UpdoqjpCqgWISFAWvgA17EbS7bHst0m5QPgDzhx4c539TsYO0kX7V72sJdk7Jl5M+/N&#10;eH0zGE2OwgcFtqFXi5ISYTm0yu4b+u3r7auKkhCZbZkGKxp6EoHebF6+WPeuFkvoQLfCEwSxoe5d&#10;Q7sYXV0UgXfCsLAAJyw6JXjDIh79vmg96xHd6GJZltdFD751HrgIAW+3o5NOiP4pgCCl4mIL/GCE&#10;jSOqF5pFpBQ65QLd5G6lFDx+ljKISHRDkWnMXyyC9i59i82a1XvPXKf41AJ7SgsPOBmmLBa9QG1Z&#10;ZOTg1SMoo7iHADIuOJhiJJIVQRZX5QNt7jrmROaCUgd3ET08Hyz/dPziiWobek2JZQYHfv718/z7&#10;7/nPD7JK8vQu1Bh15zAuDm9hwKWZ7wNeJtaD9Cb9kQ9BP4p7uogrhkh4SqqWVVWii6NvPiB+cZ/u&#10;fIjvBRiSjIZ6nF4WlR0/hjiGziGpmoVbpXWeoLakR9RV9XqVMy4uRNcWiyQWY7fJisNumKjtoD0h&#10;M3wQWLED/52SHtehoRa3nxL9waLaaXNmw8/GbjaY5ZjY0EjJaL6L44YdnFf7Lu9c6je4N4eIPWcq&#10;qY2x9tQdDjiLMS1j2qD/zznq/gFu/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ij7e+ecB&#10;AADIAwAADgAAAAAAAAABACAAAAAiAQAAZHJzL2Uyb0RvYy54bWxQSwUGAAAAAAYABgBZAQAAewUA&#10;AAAA&#10;">
              <v:fill on="f" focussize="0,0"/>
              <v:stroke on="f" weight="1.25pt"/>
              <v:imagedata o:title=""/>
              <o:lock v:ext="edit" aspectratio="f"/>
              <v:textbox inset="0mm,0mm,0mm,0mm" style="mso-fit-shape-to-text:t;">
                <w:txbxContent>
                  <w:p>
                    <w:pPr>
                      <w:pStyle w:val="26"/>
                    </w:pPr>
                    <w:r>
                      <w:fldChar w:fldCharType="begin"/>
                    </w:r>
                    <w:r>
                      <w:instrText xml:space="preserve"> PAGE  \* MERGEFORMAT </w:instrText>
                    </w:r>
                    <w:r>
                      <w:fldChar w:fldCharType="separate"/>
                    </w:r>
                    <w:r>
                      <w:t>5</w:t>
                    </w:r>
                    <w:r>
                      <w:fldChar w:fldCharType="end"/>
                    </w:r>
                  </w:p>
                </w:txbxContent>
              </v:textbox>
            </v:shape>
          </w:pict>
        </mc:Fallback>
      </mc:AlternateContent>
    </w:r>
    <w:r>
      <w:rPr>
        <w:lang w:val="zh-CN"/>
      </w:rPr>
      <w:t xml:space="preserve">  </w:t>
    </w:r>
  </w:p>
  <w:p>
    <w:pPr>
      <w:pStyle w:val="2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2"/>
      </w:rPr>
    </w:pPr>
    <w:r>
      <w:fldChar w:fldCharType="begin"/>
    </w:r>
    <w:r>
      <w:rPr>
        <w:rStyle w:val="42"/>
      </w:rPr>
      <w:instrText xml:space="preserve">PAGE  </w:instrText>
    </w:r>
    <w:r>
      <w:fldChar w:fldCharType="end"/>
    </w:r>
  </w:p>
  <w:p>
    <w:pPr>
      <w:pStyle w:val="26"/>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nq50LnAQAAyAMAAA4AAABkcnMvZTJvRG9jLnhtbK1TS27bMBDd&#10;F+gdCO5rKQaSCILlIK2RokDRFkh7AJoiLQL8YUhbcg/Q3qCrbrrvuXyODCnJKdJNFtlIQ87Mm3lv&#10;hqubwWhyEBCUsw29WJSUCMtdq+yuod++3r2pKAmR2ZZpZ0VDjyLQm/XrV6ve12LpOqdbAQRBbKh7&#10;39AuRl8XReCdMCwsnBcWndKBYRGPsCtaYD2iG10sy/Kq6B20HhwXIeDtZnTSCRGeA+ikVFxsHN8b&#10;YeOICkKziJRCp3yg69ytlILHz1IGEYluKDKN+YtF0N6mb7FesXoHzHeKTy2w57TwhJNhymLRM9SG&#10;RUb2oP6DMoqDC07GBXemGIlkRZDFRflEm/uOeZG5oNTBn0UPLwfLPx2+AFFtQ68psczgwE+/fp5+&#10;/z39+UGukjy9DzVG3XuMi8NbN+DSzPcBLxPrQYJJf+RD0I/iHs/iiiESnpKqZVWV6OLomw+IXzym&#10;ewjxvXCGJKOhgNPLorLDxxDH0DkkVbPuTmmdJ6gt6RH1srq+zBlnF6Jri0USi7HbZMVhO0zUtq49&#10;IjN8EFixc/Cdkh7XoaEWt58S/cGi2mlzZgNmYzsbzHJMbGikZDTfxXHD9h7Urss7l/oN/nYfsedM&#10;JbUx1p66wwFnMaZlTBv07zlHPT7A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qernQucB&#10;AADIAwAADgAAAAAAAAABACAAAAAiAQAAZHJzL2Uyb0RvYy54bWxQSwUGAAAAAAYABgBZAQAAewUA&#10;AAAA&#10;">
              <v:fill on="f" focussize="0,0"/>
              <v:stroke on="f" weight="1.2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Zx2LzmAQAAyAMAAA4AAABkcnMvZTJvRG9jLnhtbK1TzY7TMBC+&#10;I/EOlu802UrLRlXTFVAtQkKAtPAAruM0lvyn8bRJeQB4A05cuPNcfQ7GTtJFy2UPXJKxZ+ab+b4Z&#10;r28Ha9hRQdTe1fxqUXKmnPSNdvuaf/l896LiLKJwjTDeqZqfVOS3m+fP1n1YqaXvvGkUMAJxcdWH&#10;mneIYVUUUXbKirjwQTlyth6sQDrCvmhA9IRuTbEsy5dF76EJ4KWKkW63o5NPiPAUQN+2Wqqtlwer&#10;HI6ooIxAohQ7HSLf5G7bVkn82LZRITM1J6aYv1SE7F36Fpu1WO1BhE7LqQXxlBYecbJCOyp6gdoK&#10;FOwA+h8oqyX46FtcSG+LkUhWhFhclY+0ue9EUJkLSR3DRfT4/2Dlh+MnYLqpOY3dCUsDP//4fv75&#10;+/zrG7tJ8vQhrijqPlAcDq/9QEsz30e6TKyHFmz6Ex9GfhL3dBFXDchkSqqWVVWSS5JvPhB+8ZAe&#10;IOJb5S1LRs2BppdFFcf3EcfQOSRVc/5OG5MnaBzrCfW6urnOGRcXoRtHRRKLsdtk4bAbJmo735yI&#10;GT0Iqth5+MpZT+tQc0fbz5l550jttDmzAbOxmw3hJCXWHDkbzTc4btghgN53eedSvzG8OiD1nKmk&#10;NsbaU3c04CzGtIxpg/4+56iHB7j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mcdi85gEA&#10;AMgDAAAOAAAAAAAAAAEAIAAAACIBAABkcnMvZTJvRG9jLnhtbFBLBQYAAAAABgAGAFkBAAB6BQAA&#10;AAA=&#10;">
              <v:fill on="f" focussize="0,0"/>
              <v:stroke on="f" weight="1.2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46</w:t>
                    </w:r>
                    <w: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rPr>
        <w:rFonts w:hint="default"/>
        <w:lang w:val="en-US" w:eastAsia="zh-CN"/>
      </w:rPr>
    </w:pPr>
    <w:bookmarkStart w:id="115" w:name="_1343059473"/>
    <w:bookmarkEnd w:id="115"/>
    <w:r>
      <w:rPr>
        <w:rFonts w:hint="eastAsia"/>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rPr>
        <w:rFonts w:hint="eastAsia"/>
      </w:rPr>
    </w:pPr>
    <w:r>
      <w:rPr>
        <w:rFonts w:hint="eastAsia"/>
        <w:b/>
      </w:rPr>
      <w:t xml:space="preserve">                          </w:t>
    </w:r>
  </w:p>
  <w:p>
    <w:pPr>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73EE2"/>
    <w:multiLevelType w:val="singleLevel"/>
    <w:tmpl w:val="D5673EE2"/>
    <w:lvl w:ilvl="0" w:tentative="0">
      <w:start w:val="5"/>
      <w:numFmt w:val="chineseCounting"/>
      <w:suff w:val="nothing"/>
      <w:lvlText w:val="%1、"/>
      <w:lvlJc w:val="left"/>
      <w:rPr>
        <w:rFonts w:hint="eastAsia"/>
      </w:rPr>
    </w:lvl>
  </w:abstractNum>
  <w:abstractNum w:abstractNumId="1">
    <w:nsid w:val="D9041DE2"/>
    <w:multiLevelType w:val="singleLevel"/>
    <w:tmpl w:val="D9041DE2"/>
    <w:lvl w:ilvl="0" w:tentative="0">
      <w:start w:val="3"/>
      <w:numFmt w:val="chineseCounting"/>
      <w:suff w:val="space"/>
      <w:lvlText w:val="第%1部分"/>
      <w:lvlJc w:val="left"/>
      <w:rPr>
        <w:rFonts w:hint="eastAsia"/>
      </w:rPr>
    </w:lvl>
  </w:abstractNum>
  <w:abstractNum w:abstractNumId="2">
    <w:nsid w:val="13A95EE0"/>
    <w:multiLevelType w:val="singleLevel"/>
    <w:tmpl w:val="13A95EE0"/>
    <w:lvl w:ilvl="0" w:tentative="0">
      <w:start w:val="1"/>
      <w:numFmt w:val="decimal"/>
      <w:lvlText w:val="%1、"/>
      <w:lvlJc w:val="left"/>
      <w:pPr>
        <w:tabs>
          <w:tab w:val="left" w:pos="1440"/>
        </w:tabs>
        <w:ind w:left="1440" w:hanging="900"/>
      </w:pPr>
      <w:rPr>
        <w:rFonts w:ascii="Arial" w:hAnsi="Arial" w:eastAsia="宋体" w:cs="Arial"/>
      </w:rPr>
    </w:lvl>
  </w:abstractNum>
  <w:abstractNum w:abstractNumId="3">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F7FEE7"/>
    <w:multiLevelType w:val="singleLevel"/>
    <w:tmpl w:val="55F7FEE7"/>
    <w:lvl w:ilvl="0" w:tentative="0">
      <w:start w:val="2"/>
      <w:numFmt w:val="decimal"/>
      <w:suff w:val="nothing"/>
      <w:lvlText w:val="（%1）"/>
      <w:lvlJc w:val="left"/>
    </w:lvl>
  </w:abstractNum>
  <w:abstractNum w:abstractNumId="6">
    <w:nsid w:val="60EB5D54"/>
    <w:multiLevelType w:val="singleLevel"/>
    <w:tmpl w:val="60EB5D54"/>
    <w:lvl w:ilvl="0" w:tentative="0">
      <w:start w:val="2"/>
      <w:numFmt w:val="chineseCounting"/>
      <w:suff w:val="nothing"/>
      <w:lvlText w:val="%1、"/>
      <w:lvlJc w:val="left"/>
      <w:rPr>
        <w:rFonts w:hint="eastAsia"/>
      </w:rPr>
    </w:lvl>
  </w:abstractNum>
  <w:abstractNum w:abstractNumId="7">
    <w:nsid w:val="69ED417B"/>
    <w:multiLevelType w:val="singleLevel"/>
    <w:tmpl w:val="69ED417B"/>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40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mZiYjliMDBlNGY5MjdhN2NlMTU0MjhkYzU5ZDEifQ=="/>
    <w:docVar w:name="KSO_WPS_MARK_KEY" w:val="543f94f7-f6f2-4e09-9709-498079dd1bd6"/>
  </w:docVars>
  <w:rsids>
    <w:rsidRoot w:val="00172A27"/>
    <w:rsid w:val="00005393"/>
    <w:rsid w:val="00005B99"/>
    <w:rsid w:val="000061CE"/>
    <w:rsid w:val="000120CC"/>
    <w:rsid w:val="00012801"/>
    <w:rsid w:val="00027176"/>
    <w:rsid w:val="000312E0"/>
    <w:rsid w:val="00031F3A"/>
    <w:rsid w:val="00032C76"/>
    <w:rsid w:val="0003646C"/>
    <w:rsid w:val="0004267D"/>
    <w:rsid w:val="00043C76"/>
    <w:rsid w:val="00045C7B"/>
    <w:rsid w:val="00047FB7"/>
    <w:rsid w:val="00054C73"/>
    <w:rsid w:val="00061A66"/>
    <w:rsid w:val="00062840"/>
    <w:rsid w:val="00063CA2"/>
    <w:rsid w:val="000663EF"/>
    <w:rsid w:val="00066B57"/>
    <w:rsid w:val="000672BB"/>
    <w:rsid w:val="00067BB3"/>
    <w:rsid w:val="00086D1E"/>
    <w:rsid w:val="00087B1D"/>
    <w:rsid w:val="00090D45"/>
    <w:rsid w:val="000A30A0"/>
    <w:rsid w:val="000B312F"/>
    <w:rsid w:val="000B4529"/>
    <w:rsid w:val="000C2286"/>
    <w:rsid w:val="000C530D"/>
    <w:rsid w:val="000C59AB"/>
    <w:rsid w:val="000C74AC"/>
    <w:rsid w:val="000C75A0"/>
    <w:rsid w:val="000D7255"/>
    <w:rsid w:val="000E0250"/>
    <w:rsid w:val="000E1CC8"/>
    <w:rsid w:val="000E3AB8"/>
    <w:rsid w:val="000E43B7"/>
    <w:rsid w:val="000E57E9"/>
    <w:rsid w:val="000F327E"/>
    <w:rsid w:val="000F4675"/>
    <w:rsid w:val="000F4B8A"/>
    <w:rsid w:val="000F78FB"/>
    <w:rsid w:val="00117EE0"/>
    <w:rsid w:val="0012461C"/>
    <w:rsid w:val="001353AD"/>
    <w:rsid w:val="0013635C"/>
    <w:rsid w:val="00140E73"/>
    <w:rsid w:val="0014320B"/>
    <w:rsid w:val="00146788"/>
    <w:rsid w:val="00146CE4"/>
    <w:rsid w:val="00147DB6"/>
    <w:rsid w:val="001602B1"/>
    <w:rsid w:val="0016107C"/>
    <w:rsid w:val="00163AE5"/>
    <w:rsid w:val="001734F9"/>
    <w:rsid w:val="001735C4"/>
    <w:rsid w:val="0018027B"/>
    <w:rsid w:val="00195F40"/>
    <w:rsid w:val="001A180A"/>
    <w:rsid w:val="001A5348"/>
    <w:rsid w:val="001B0ED1"/>
    <w:rsid w:val="001B5C69"/>
    <w:rsid w:val="001C096E"/>
    <w:rsid w:val="001C13F1"/>
    <w:rsid w:val="001C24E8"/>
    <w:rsid w:val="001C3E8A"/>
    <w:rsid w:val="001C784B"/>
    <w:rsid w:val="001D23C1"/>
    <w:rsid w:val="001D37F7"/>
    <w:rsid w:val="001D482E"/>
    <w:rsid w:val="001D6A98"/>
    <w:rsid w:val="001E08AF"/>
    <w:rsid w:val="001E116C"/>
    <w:rsid w:val="001E1276"/>
    <w:rsid w:val="001E49FD"/>
    <w:rsid w:val="001E78C6"/>
    <w:rsid w:val="001F0DA9"/>
    <w:rsid w:val="001F1FA4"/>
    <w:rsid w:val="001F4C1C"/>
    <w:rsid w:val="001F55C8"/>
    <w:rsid w:val="00213136"/>
    <w:rsid w:val="00213ECF"/>
    <w:rsid w:val="002222AD"/>
    <w:rsid w:val="002304BC"/>
    <w:rsid w:val="00230F76"/>
    <w:rsid w:val="0023325A"/>
    <w:rsid w:val="0023349A"/>
    <w:rsid w:val="002345E6"/>
    <w:rsid w:val="00236F10"/>
    <w:rsid w:val="00240B6C"/>
    <w:rsid w:val="00247C60"/>
    <w:rsid w:val="0025123B"/>
    <w:rsid w:val="00253268"/>
    <w:rsid w:val="0025568E"/>
    <w:rsid w:val="00256ED2"/>
    <w:rsid w:val="00262C91"/>
    <w:rsid w:val="00263E53"/>
    <w:rsid w:val="002668CA"/>
    <w:rsid w:val="00277A11"/>
    <w:rsid w:val="002821C4"/>
    <w:rsid w:val="002850D8"/>
    <w:rsid w:val="002924D5"/>
    <w:rsid w:val="00293D90"/>
    <w:rsid w:val="002A2DBA"/>
    <w:rsid w:val="002A34EA"/>
    <w:rsid w:val="002A4E7F"/>
    <w:rsid w:val="002A6D96"/>
    <w:rsid w:val="002B31F0"/>
    <w:rsid w:val="002B392D"/>
    <w:rsid w:val="002B4393"/>
    <w:rsid w:val="002C109F"/>
    <w:rsid w:val="002C733C"/>
    <w:rsid w:val="002D3071"/>
    <w:rsid w:val="002D513B"/>
    <w:rsid w:val="002E0668"/>
    <w:rsid w:val="002E20D8"/>
    <w:rsid w:val="002F0C47"/>
    <w:rsid w:val="002F3204"/>
    <w:rsid w:val="002F5D44"/>
    <w:rsid w:val="00313C3C"/>
    <w:rsid w:val="00314A8C"/>
    <w:rsid w:val="00315403"/>
    <w:rsid w:val="003159B4"/>
    <w:rsid w:val="003325AE"/>
    <w:rsid w:val="003343CC"/>
    <w:rsid w:val="003566A8"/>
    <w:rsid w:val="0036469A"/>
    <w:rsid w:val="003714C5"/>
    <w:rsid w:val="00373437"/>
    <w:rsid w:val="00376117"/>
    <w:rsid w:val="0037688D"/>
    <w:rsid w:val="003770CC"/>
    <w:rsid w:val="003846D0"/>
    <w:rsid w:val="0038684B"/>
    <w:rsid w:val="00387B84"/>
    <w:rsid w:val="00387CDE"/>
    <w:rsid w:val="00390472"/>
    <w:rsid w:val="00396007"/>
    <w:rsid w:val="00397B47"/>
    <w:rsid w:val="003A0907"/>
    <w:rsid w:val="003A1C59"/>
    <w:rsid w:val="003A2DC7"/>
    <w:rsid w:val="003A3495"/>
    <w:rsid w:val="003A4611"/>
    <w:rsid w:val="003A6AFF"/>
    <w:rsid w:val="003B0A4B"/>
    <w:rsid w:val="003D3E59"/>
    <w:rsid w:val="003D6515"/>
    <w:rsid w:val="003D66BD"/>
    <w:rsid w:val="003E6862"/>
    <w:rsid w:val="003F0037"/>
    <w:rsid w:val="003F2A97"/>
    <w:rsid w:val="003F5B98"/>
    <w:rsid w:val="004014FE"/>
    <w:rsid w:val="00403C1C"/>
    <w:rsid w:val="00407177"/>
    <w:rsid w:val="00417C1A"/>
    <w:rsid w:val="004262E4"/>
    <w:rsid w:val="00430C6D"/>
    <w:rsid w:val="00431148"/>
    <w:rsid w:val="00435F20"/>
    <w:rsid w:val="00441946"/>
    <w:rsid w:val="0045430F"/>
    <w:rsid w:val="0045450B"/>
    <w:rsid w:val="00456621"/>
    <w:rsid w:val="004578C0"/>
    <w:rsid w:val="004703DB"/>
    <w:rsid w:val="00470720"/>
    <w:rsid w:val="0048640F"/>
    <w:rsid w:val="0048651F"/>
    <w:rsid w:val="004933FF"/>
    <w:rsid w:val="00494C7A"/>
    <w:rsid w:val="004A47FE"/>
    <w:rsid w:val="004A4C39"/>
    <w:rsid w:val="004A55DA"/>
    <w:rsid w:val="004B0C05"/>
    <w:rsid w:val="004B25C6"/>
    <w:rsid w:val="004B35B3"/>
    <w:rsid w:val="004B6C80"/>
    <w:rsid w:val="004C009A"/>
    <w:rsid w:val="004C1919"/>
    <w:rsid w:val="004C7A5E"/>
    <w:rsid w:val="004D21F7"/>
    <w:rsid w:val="004D2B89"/>
    <w:rsid w:val="004D37DE"/>
    <w:rsid w:val="004E284E"/>
    <w:rsid w:val="004E4CDD"/>
    <w:rsid w:val="004F37A4"/>
    <w:rsid w:val="005004DD"/>
    <w:rsid w:val="005111D6"/>
    <w:rsid w:val="00527F2F"/>
    <w:rsid w:val="00531995"/>
    <w:rsid w:val="005355DB"/>
    <w:rsid w:val="00535DC9"/>
    <w:rsid w:val="00537BC9"/>
    <w:rsid w:val="005441E3"/>
    <w:rsid w:val="0055210F"/>
    <w:rsid w:val="005571B5"/>
    <w:rsid w:val="00560AB0"/>
    <w:rsid w:val="00561AA5"/>
    <w:rsid w:val="0056260B"/>
    <w:rsid w:val="00565525"/>
    <w:rsid w:val="0057207B"/>
    <w:rsid w:val="00572FE3"/>
    <w:rsid w:val="005755B9"/>
    <w:rsid w:val="0057781F"/>
    <w:rsid w:val="00580A70"/>
    <w:rsid w:val="00581ED2"/>
    <w:rsid w:val="00582B28"/>
    <w:rsid w:val="005843C0"/>
    <w:rsid w:val="00591167"/>
    <w:rsid w:val="00592209"/>
    <w:rsid w:val="005A5AC0"/>
    <w:rsid w:val="005A5AE6"/>
    <w:rsid w:val="005B14D1"/>
    <w:rsid w:val="005B1626"/>
    <w:rsid w:val="005B56E5"/>
    <w:rsid w:val="005B7D99"/>
    <w:rsid w:val="005C39A2"/>
    <w:rsid w:val="005C3EF8"/>
    <w:rsid w:val="005C4FD0"/>
    <w:rsid w:val="005C6265"/>
    <w:rsid w:val="005D3C05"/>
    <w:rsid w:val="005D5841"/>
    <w:rsid w:val="005D7507"/>
    <w:rsid w:val="005E37E6"/>
    <w:rsid w:val="005E46AF"/>
    <w:rsid w:val="005E7B4C"/>
    <w:rsid w:val="005F5B0E"/>
    <w:rsid w:val="005F6119"/>
    <w:rsid w:val="005F7038"/>
    <w:rsid w:val="005F73A8"/>
    <w:rsid w:val="005F7964"/>
    <w:rsid w:val="00610E80"/>
    <w:rsid w:val="00613647"/>
    <w:rsid w:val="00614978"/>
    <w:rsid w:val="00614A18"/>
    <w:rsid w:val="00620965"/>
    <w:rsid w:val="00623BE5"/>
    <w:rsid w:val="006253D0"/>
    <w:rsid w:val="00627320"/>
    <w:rsid w:val="006273E3"/>
    <w:rsid w:val="00627B52"/>
    <w:rsid w:val="00633DBF"/>
    <w:rsid w:val="00634218"/>
    <w:rsid w:val="006354B0"/>
    <w:rsid w:val="00640DDB"/>
    <w:rsid w:val="0064108D"/>
    <w:rsid w:val="00643FC6"/>
    <w:rsid w:val="00652923"/>
    <w:rsid w:val="00653848"/>
    <w:rsid w:val="00655BE6"/>
    <w:rsid w:val="00657246"/>
    <w:rsid w:val="0066330B"/>
    <w:rsid w:val="006706F0"/>
    <w:rsid w:val="00671849"/>
    <w:rsid w:val="0067265D"/>
    <w:rsid w:val="00680E69"/>
    <w:rsid w:val="00685C97"/>
    <w:rsid w:val="006900D6"/>
    <w:rsid w:val="006903E5"/>
    <w:rsid w:val="0069059E"/>
    <w:rsid w:val="006A08BB"/>
    <w:rsid w:val="006A0EDB"/>
    <w:rsid w:val="006A1752"/>
    <w:rsid w:val="006A288A"/>
    <w:rsid w:val="006A3E85"/>
    <w:rsid w:val="006A4C9A"/>
    <w:rsid w:val="006B00C8"/>
    <w:rsid w:val="006B73C6"/>
    <w:rsid w:val="006C0B9D"/>
    <w:rsid w:val="006D0677"/>
    <w:rsid w:val="006D1682"/>
    <w:rsid w:val="006D3A05"/>
    <w:rsid w:val="006E2504"/>
    <w:rsid w:val="006E3BC1"/>
    <w:rsid w:val="006E6821"/>
    <w:rsid w:val="006E6F4B"/>
    <w:rsid w:val="006F1396"/>
    <w:rsid w:val="006F2AE6"/>
    <w:rsid w:val="006F79C6"/>
    <w:rsid w:val="0070007A"/>
    <w:rsid w:val="00702BC6"/>
    <w:rsid w:val="00710B27"/>
    <w:rsid w:val="007118D5"/>
    <w:rsid w:val="007128AA"/>
    <w:rsid w:val="00725078"/>
    <w:rsid w:val="00725AE6"/>
    <w:rsid w:val="00725E5C"/>
    <w:rsid w:val="007265AA"/>
    <w:rsid w:val="00735000"/>
    <w:rsid w:val="00742B2D"/>
    <w:rsid w:val="00744344"/>
    <w:rsid w:val="00753469"/>
    <w:rsid w:val="0075400B"/>
    <w:rsid w:val="00760D6E"/>
    <w:rsid w:val="00765FD1"/>
    <w:rsid w:val="00767D9A"/>
    <w:rsid w:val="00774A22"/>
    <w:rsid w:val="007771D8"/>
    <w:rsid w:val="007776D1"/>
    <w:rsid w:val="00782533"/>
    <w:rsid w:val="0079441E"/>
    <w:rsid w:val="007B257F"/>
    <w:rsid w:val="007B2F73"/>
    <w:rsid w:val="007B49CD"/>
    <w:rsid w:val="007C04A5"/>
    <w:rsid w:val="007C19EE"/>
    <w:rsid w:val="007C210B"/>
    <w:rsid w:val="007D5088"/>
    <w:rsid w:val="007E5F48"/>
    <w:rsid w:val="007E6C1E"/>
    <w:rsid w:val="007F047D"/>
    <w:rsid w:val="007F1178"/>
    <w:rsid w:val="007F5788"/>
    <w:rsid w:val="00801ACA"/>
    <w:rsid w:val="00801FE1"/>
    <w:rsid w:val="008042D0"/>
    <w:rsid w:val="008054E2"/>
    <w:rsid w:val="00811D85"/>
    <w:rsid w:val="00813394"/>
    <w:rsid w:val="00817A6C"/>
    <w:rsid w:val="008215C9"/>
    <w:rsid w:val="008218E7"/>
    <w:rsid w:val="00824466"/>
    <w:rsid w:val="00825908"/>
    <w:rsid w:val="00826317"/>
    <w:rsid w:val="00832A00"/>
    <w:rsid w:val="00833B44"/>
    <w:rsid w:val="00834A60"/>
    <w:rsid w:val="00834F5F"/>
    <w:rsid w:val="00836741"/>
    <w:rsid w:val="00837AB5"/>
    <w:rsid w:val="00837BA2"/>
    <w:rsid w:val="0084560E"/>
    <w:rsid w:val="0084640C"/>
    <w:rsid w:val="0085555D"/>
    <w:rsid w:val="00855E33"/>
    <w:rsid w:val="00857038"/>
    <w:rsid w:val="00864844"/>
    <w:rsid w:val="008653C2"/>
    <w:rsid w:val="00866251"/>
    <w:rsid w:val="0087420A"/>
    <w:rsid w:val="00880006"/>
    <w:rsid w:val="00880FE8"/>
    <w:rsid w:val="008831F0"/>
    <w:rsid w:val="0089262E"/>
    <w:rsid w:val="00896396"/>
    <w:rsid w:val="008A2319"/>
    <w:rsid w:val="008A3AC5"/>
    <w:rsid w:val="008A5DC4"/>
    <w:rsid w:val="008B1C07"/>
    <w:rsid w:val="008B2DE9"/>
    <w:rsid w:val="008C093E"/>
    <w:rsid w:val="008C1BA7"/>
    <w:rsid w:val="008C2226"/>
    <w:rsid w:val="008D0359"/>
    <w:rsid w:val="008D187A"/>
    <w:rsid w:val="008D1F12"/>
    <w:rsid w:val="008D28F1"/>
    <w:rsid w:val="008D5453"/>
    <w:rsid w:val="008D5683"/>
    <w:rsid w:val="008E2ABC"/>
    <w:rsid w:val="008E47DF"/>
    <w:rsid w:val="008E5213"/>
    <w:rsid w:val="008E537B"/>
    <w:rsid w:val="008F0BE2"/>
    <w:rsid w:val="008F14B7"/>
    <w:rsid w:val="008F5047"/>
    <w:rsid w:val="00900D61"/>
    <w:rsid w:val="00905958"/>
    <w:rsid w:val="009108A4"/>
    <w:rsid w:val="009115ED"/>
    <w:rsid w:val="009130F7"/>
    <w:rsid w:val="00915109"/>
    <w:rsid w:val="009157D0"/>
    <w:rsid w:val="00917F02"/>
    <w:rsid w:val="00922544"/>
    <w:rsid w:val="00922AC7"/>
    <w:rsid w:val="00924E45"/>
    <w:rsid w:val="00925CF4"/>
    <w:rsid w:val="00927AC1"/>
    <w:rsid w:val="0093562E"/>
    <w:rsid w:val="00941C53"/>
    <w:rsid w:val="009425F1"/>
    <w:rsid w:val="009430F5"/>
    <w:rsid w:val="00956659"/>
    <w:rsid w:val="00963B5C"/>
    <w:rsid w:val="00964A6E"/>
    <w:rsid w:val="00967966"/>
    <w:rsid w:val="00970E45"/>
    <w:rsid w:val="00971077"/>
    <w:rsid w:val="00972544"/>
    <w:rsid w:val="00975C23"/>
    <w:rsid w:val="009763B7"/>
    <w:rsid w:val="00981E71"/>
    <w:rsid w:val="00986212"/>
    <w:rsid w:val="00987600"/>
    <w:rsid w:val="009B0887"/>
    <w:rsid w:val="009B29F4"/>
    <w:rsid w:val="009B2CB2"/>
    <w:rsid w:val="009B6699"/>
    <w:rsid w:val="009B7DC9"/>
    <w:rsid w:val="009C45DC"/>
    <w:rsid w:val="009C4D1E"/>
    <w:rsid w:val="009C7B77"/>
    <w:rsid w:val="009D3B85"/>
    <w:rsid w:val="009D72E4"/>
    <w:rsid w:val="009E0FFF"/>
    <w:rsid w:val="009E6432"/>
    <w:rsid w:val="009E7944"/>
    <w:rsid w:val="009F0550"/>
    <w:rsid w:val="009F4576"/>
    <w:rsid w:val="009F6C1D"/>
    <w:rsid w:val="009F7EC2"/>
    <w:rsid w:val="00A0246D"/>
    <w:rsid w:val="00A11E57"/>
    <w:rsid w:val="00A13BF4"/>
    <w:rsid w:val="00A1410D"/>
    <w:rsid w:val="00A16078"/>
    <w:rsid w:val="00A20DF0"/>
    <w:rsid w:val="00A22FD2"/>
    <w:rsid w:val="00A24156"/>
    <w:rsid w:val="00A33441"/>
    <w:rsid w:val="00A35A47"/>
    <w:rsid w:val="00A41B65"/>
    <w:rsid w:val="00A42108"/>
    <w:rsid w:val="00A46424"/>
    <w:rsid w:val="00A501F8"/>
    <w:rsid w:val="00A509BC"/>
    <w:rsid w:val="00A5160B"/>
    <w:rsid w:val="00A517C9"/>
    <w:rsid w:val="00A5393C"/>
    <w:rsid w:val="00A5575E"/>
    <w:rsid w:val="00A661AD"/>
    <w:rsid w:val="00A711F6"/>
    <w:rsid w:val="00A7191E"/>
    <w:rsid w:val="00A74D46"/>
    <w:rsid w:val="00A824E8"/>
    <w:rsid w:val="00A8467A"/>
    <w:rsid w:val="00A84E6B"/>
    <w:rsid w:val="00A937A7"/>
    <w:rsid w:val="00AA6367"/>
    <w:rsid w:val="00AA7A11"/>
    <w:rsid w:val="00AB1077"/>
    <w:rsid w:val="00AB1CE3"/>
    <w:rsid w:val="00AB53D4"/>
    <w:rsid w:val="00AB5DB3"/>
    <w:rsid w:val="00AC0370"/>
    <w:rsid w:val="00AE4E5E"/>
    <w:rsid w:val="00AE7D29"/>
    <w:rsid w:val="00AF04D7"/>
    <w:rsid w:val="00AF1D55"/>
    <w:rsid w:val="00AF2C35"/>
    <w:rsid w:val="00B059E1"/>
    <w:rsid w:val="00B16FBC"/>
    <w:rsid w:val="00B21DF4"/>
    <w:rsid w:val="00B228B1"/>
    <w:rsid w:val="00B26B7A"/>
    <w:rsid w:val="00B34C6F"/>
    <w:rsid w:val="00B4017A"/>
    <w:rsid w:val="00B44E61"/>
    <w:rsid w:val="00B5032C"/>
    <w:rsid w:val="00B55907"/>
    <w:rsid w:val="00B57DE2"/>
    <w:rsid w:val="00B603DF"/>
    <w:rsid w:val="00B627C4"/>
    <w:rsid w:val="00B627CE"/>
    <w:rsid w:val="00B642A2"/>
    <w:rsid w:val="00B74144"/>
    <w:rsid w:val="00B74D34"/>
    <w:rsid w:val="00B75B10"/>
    <w:rsid w:val="00B8014B"/>
    <w:rsid w:val="00B8465C"/>
    <w:rsid w:val="00B8546D"/>
    <w:rsid w:val="00B90878"/>
    <w:rsid w:val="00B9315D"/>
    <w:rsid w:val="00B93814"/>
    <w:rsid w:val="00B96387"/>
    <w:rsid w:val="00B9643C"/>
    <w:rsid w:val="00BA1CEE"/>
    <w:rsid w:val="00BA5B6E"/>
    <w:rsid w:val="00BA7625"/>
    <w:rsid w:val="00BB1E8E"/>
    <w:rsid w:val="00BB3BC2"/>
    <w:rsid w:val="00BB4F08"/>
    <w:rsid w:val="00BC23F7"/>
    <w:rsid w:val="00BC3CCA"/>
    <w:rsid w:val="00BC7C63"/>
    <w:rsid w:val="00BD2D58"/>
    <w:rsid w:val="00BE281E"/>
    <w:rsid w:val="00BE69AC"/>
    <w:rsid w:val="00BE6B15"/>
    <w:rsid w:val="00BF009E"/>
    <w:rsid w:val="00BF1796"/>
    <w:rsid w:val="00C01130"/>
    <w:rsid w:val="00C026D9"/>
    <w:rsid w:val="00C0541B"/>
    <w:rsid w:val="00C1497E"/>
    <w:rsid w:val="00C221A4"/>
    <w:rsid w:val="00C22EA1"/>
    <w:rsid w:val="00C23F9D"/>
    <w:rsid w:val="00C27FE8"/>
    <w:rsid w:val="00C30E2A"/>
    <w:rsid w:val="00C44F45"/>
    <w:rsid w:val="00C528D4"/>
    <w:rsid w:val="00C52C74"/>
    <w:rsid w:val="00C54CD4"/>
    <w:rsid w:val="00C574A5"/>
    <w:rsid w:val="00C61CBD"/>
    <w:rsid w:val="00C6280F"/>
    <w:rsid w:val="00C6289E"/>
    <w:rsid w:val="00C63AFC"/>
    <w:rsid w:val="00C63D64"/>
    <w:rsid w:val="00C64275"/>
    <w:rsid w:val="00C6470C"/>
    <w:rsid w:val="00C66A81"/>
    <w:rsid w:val="00C7047C"/>
    <w:rsid w:val="00C706EC"/>
    <w:rsid w:val="00C82F1E"/>
    <w:rsid w:val="00C85DC7"/>
    <w:rsid w:val="00C86183"/>
    <w:rsid w:val="00C8670F"/>
    <w:rsid w:val="00C87BC9"/>
    <w:rsid w:val="00C91472"/>
    <w:rsid w:val="00CA6540"/>
    <w:rsid w:val="00CB3451"/>
    <w:rsid w:val="00CB5D5B"/>
    <w:rsid w:val="00CC0EBF"/>
    <w:rsid w:val="00CC1575"/>
    <w:rsid w:val="00CC1D40"/>
    <w:rsid w:val="00CC7CD3"/>
    <w:rsid w:val="00CD53AC"/>
    <w:rsid w:val="00CD6426"/>
    <w:rsid w:val="00CF0A09"/>
    <w:rsid w:val="00CF0C21"/>
    <w:rsid w:val="00CF544F"/>
    <w:rsid w:val="00CF6F52"/>
    <w:rsid w:val="00CF7032"/>
    <w:rsid w:val="00D029D4"/>
    <w:rsid w:val="00D03230"/>
    <w:rsid w:val="00D0437E"/>
    <w:rsid w:val="00D07AE7"/>
    <w:rsid w:val="00D07B4D"/>
    <w:rsid w:val="00D1211B"/>
    <w:rsid w:val="00D23F03"/>
    <w:rsid w:val="00D246C8"/>
    <w:rsid w:val="00D260C9"/>
    <w:rsid w:val="00D32E9F"/>
    <w:rsid w:val="00D330F3"/>
    <w:rsid w:val="00D3595F"/>
    <w:rsid w:val="00D4203C"/>
    <w:rsid w:val="00D51F44"/>
    <w:rsid w:val="00D55C18"/>
    <w:rsid w:val="00D633CB"/>
    <w:rsid w:val="00D65C64"/>
    <w:rsid w:val="00D665CE"/>
    <w:rsid w:val="00D66C08"/>
    <w:rsid w:val="00D706BF"/>
    <w:rsid w:val="00D71E4A"/>
    <w:rsid w:val="00D734A8"/>
    <w:rsid w:val="00D734F3"/>
    <w:rsid w:val="00D75B68"/>
    <w:rsid w:val="00D76173"/>
    <w:rsid w:val="00D77FBD"/>
    <w:rsid w:val="00D85362"/>
    <w:rsid w:val="00D875C6"/>
    <w:rsid w:val="00D903C5"/>
    <w:rsid w:val="00D928E9"/>
    <w:rsid w:val="00D92F10"/>
    <w:rsid w:val="00D933E3"/>
    <w:rsid w:val="00DA2C26"/>
    <w:rsid w:val="00DA3A1B"/>
    <w:rsid w:val="00DA56D9"/>
    <w:rsid w:val="00DA6B84"/>
    <w:rsid w:val="00DB2E79"/>
    <w:rsid w:val="00DC5290"/>
    <w:rsid w:val="00DD5FAF"/>
    <w:rsid w:val="00DE17B0"/>
    <w:rsid w:val="00DE4E30"/>
    <w:rsid w:val="00DF3D21"/>
    <w:rsid w:val="00DF4EEB"/>
    <w:rsid w:val="00DF53B8"/>
    <w:rsid w:val="00E10ECA"/>
    <w:rsid w:val="00E11665"/>
    <w:rsid w:val="00E219E3"/>
    <w:rsid w:val="00E22976"/>
    <w:rsid w:val="00E22BED"/>
    <w:rsid w:val="00E271D1"/>
    <w:rsid w:val="00E31109"/>
    <w:rsid w:val="00E33954"/>
    <w:rsid w:val="00E36680"/>
    <w:rsid w:val="00E40F0B"/>
    <w:rsid w:val="00E42F4F"/>
    <w:rsid w:val="00E4332B"/>
    <w:rsid w:val="00E43564"/>
    <w:rsid w:val="00E43D0A"/>
    <w:rsid w:val="00E520A9"/>
    <w:rsid w:val="00E52581"/>
    <w:rsid w:val="00E5264F"/>
    <w:rsid w:val="00E70529"/>
    <w:rsid w:val="00E7166E"/>
    <w:rsid w:val="00E81491"/>
    <w:rsid w:val="00E81E2E"/>
    <w:rsid w:val="00E86A6D"/>
    <w:rsid w:val="00E86B5C"/>
    <w:rsid w:val="00E87629"/>
    <w:rsid w:val="00E877EF"/>
    <w:rsid w:val="00E90F43"/>
    <w:rsid w:val="00E94429"/>
    <w:rsid w:val="00EA02AA"/>
    <w:rsid w:val="00EA058C"/>
    <w:rsid w:val="00EA7324"/>
    <w:rsid w:val="00EB0EA0"/>
    <w:rsid w:val="00EB3129"/>
    <w:rsid w:val="00EB3A58"/>
    <w:rsid w:val="00EC01F4"/>
    <w:rsid w:val="00EC0385"/>
    <w:rsid w:val="00EC0ADC"/>
    <w:rsid w:val="00EC1AE5"/>
    <w:rsid w:val="00EC4F41"/>
    <w:rsid w:val="00ED173D"/>
    <w:rsid w:val="00ED5243"/>
    <w:rsid w:val="00EE22F7"/>
    <w:rsid w:val="00EE2AA1"/>
    <w:rsid w:val="00EE3BFB"/>
    <w:rsid w:val="00EE54E9"/>
    <w:rsid w:val="00EF1147"/>
    <w:rsid w:val="00EF22F3"/>
    <w:rsid w:val="00EF72D8"/>
    <w:rsid w:val="00F01415"/>
    <w:rsid w:val="00F02063"/>
    <w:rsid w:val="00F14575"/>
    <w:rsid w:val="00F15D5C"/>
    <w:rsid w:val="00F16CA7"/>
    <w:rsid w:val="00F16E17"/>
    <w:rsid w:val="00F30076"/>
    <w:rsid w:val="00F45E8C"/>
    <w:rsid w:val="00F467E2"/>
    <w:rsid w:val="00F500B0"/>
    <w:rsid w:val="00F53BD5"/>
    <w:rsid w:val="00F56DCC"/>
    <w:rsid w:val="00F61FD5"/>
    <w:rsid w:val="00F62108"/>
    <w:rsid w:val="00F629F8"/>
    <w:rsid w:val="00F66B56"/>
    <w:rsid w:val="00F77A5A"/>
    <w:rsid w:val="00F86624"/>
    <w:rsid w:val="00F86766"/>
    <w:rsid w:val="00F86866"/>
    <w:rsid w:val="00F8754F"/>
    <w:rsid w:val="00F8776E"/>
    <w:rsid w:val="00F919E0"/>
    <w:rsid w:val="00F929BC"/>
    <w:rsid w:val="00FA1A8C"/>
    <w:rsid w:val="00FA2087"/>
    <w:rsid w:val="00FA4787"/>
    <w:rsid w:val="00FB5655"/>
    <w:rsid w:val="00FB5BDE"/>
    <w:rsid w:val="00FC0B79"/>
    <w:rsid w:val="00FD0635"/>
    <w:rsid w:val="00FD5B99"/>
    <w:rsid w:val="00FE468A"/>
    <w:rsid w:val="00FE479E"/>
    <w:rsid w:val="00FE5C80"/>
    <w:rsid w:val="01027290"/>
    <w:rsid w:val="01741E5B"/>
    <w:rsid w:val="0176597C"/>
    <w:rsid w:val="0194287E"/>
    <w:rsid w:val="01B110AA"/>
    <w:rsid w:val="01C0309B"/>
    <w:rsid w:val="01C25065"/>
    <w:rsid w:val="01E400B4"/>
    <w:rsid w:val="01EC20E2"/>
    <w:rsid w:val="01FA65AD"/>
    <w:rsid w:val="02493090"/>
    <w:rsid w:val="02750EE9"/>
    <w:rsid w:val="028C11CF"/>
    <w:rsid w:val="028D4FC8"/>
    <w:rsid w:val="02921F98"/>
    <w:rsid w:val="029C0EAA"/>
    <w:rsid w:val="02CD0DBD"/>
    <w:rsid w:val="02DF4441"/>
    <w:rsid w:val="030909EF"/>
    <w:rsid w:val="03483348"/>
    <w:rsid w:val="03522419"/>
    <w:rsid w:val="035B751F"/>
    <w:rsid w:val="037203C5"/>
    <w:rsid w:val="03A477CC"/>
    <w:rsid w:val="03D472D2"/>
    <w:rsid w:val="03E5503B"/>
    <w:rsid w:val="04583A5F"/>
    <w:rsid w:val="047D1717"/>
    <w:rsid w:val="048F6B29"/>
    <w:rsid w:val="04BF6C51"/>
    <w:rsid w:val="050339CA"/>
    <w:rsid w:val="052344C5"/>
    <w:rsid w:val="05272903"/>
    <w:rsid w:val="0532605E"/>
    <w:rsid w:val="05720B50"/>
    <w:rsid w:val="05916AD2"/>
    <w:rsid w:val="05E929C1"/>
    <w:rsid w:val="063522A9"/>
    <w:rsid w:val="066E1317"/>
    <w:rsid w:val="069D1BFD"/>
    <w:rsid w:val="069F09A5"/>
    <w:rsid w:val="06BF6017"/>
    <w:rsid w:val="06CB4428"/>
    <w:rsid w:val="06CF0E70"/>
    <w:rsid w:val="06EE5273"/>
    <w:rsid w:val="06FE6B3F"/>
    <w:rsid w:val="0757624F"/>
    <w:rsid w:val="07B40522"/>
    <w:rsid w:val="07C10885"/>
    <w:rsid w:val="07DB0C2F"/>
    <w:rsid w:val="080170F5"/>
    <w:rsid w:val="081C5AC7"/>
    <w:rsid w:val="08661970"/>
    <w:rsid w:val="08766BA9"/>
    <w:rsid w:val="08A41020"/>
    <w:rsid w:val="08C52A9F"/>
    <w:rsid w:val="08E41D65"/>
    <w:rsid w:val="091D0DD3"/>
    <w:rsid w:val="09212671"/>
    <w:rsid w:val="09363922"/>
    <w:rsid w:val="097529BD"/>
    <w:rsid w:val="09992B4F"/>
    <w:rsid w:val="09AB63DF"/>
    <w:rsid w:val="09BA5B5D"/>
    <w:rsid w:val="09D5345C"/>
    <w:rsid w:val="09DC2A3C"/>
    <w:rsid w:val="09E85885"/>
    <w:rsid w:val="09F9301B"/>
    <w:rsid w:val="0A256191"/>
    <w:rsid w:val="0AAB3A2C"/>
    <w:rsid w:val="0AAC240E"/>
    <w:rsid w:val="0AB06666"/>
    <w:rsid w:val="0AC41E4E"/>
    <w:rsid w:val="0ADD627E"/>
    <w:rsid w:val="0AEA2F37"/>
    <w:rsid w:val="0AF26D93"/>
    <w:rsid w:val="0B372C51"/>
    <w:rsid w:val="0B452CDC"/>
    <w:rsid w:val="0B621790"/>
    <w:rsid w:val="0B6F7681"/>
    <w:rsid w:val="0BD022DB"/>
    <w:rsid w:val="0BF202F5"/>
    <w:rsid w:val="0C050ECD"/>
    <w:rsid w:val="0C20301B"/>
    <w:rsid w:val="0C654F6B"/>
    <w:rsid w:val="0C873133"/>
    <w:rsid w:val="0CCC323C"/>
    <w:rsid w:val="0CCD7087"/>
    <w:rsid w:val="0CF60036"/>
    <w:rsid w:val="0D072FA0"/>
    <w:rsid w:val="0D4A5F0F"/>
    <w:rsid w:val="0D7A06DE"/>
    <w:rsid w:val="0D883DB9"/>
    <w:rsid w:val="0DAB10A3"/>
    <w:rsid w:val="0DC24958"/>
    <w:rsid w:val="0E034A3B"/>
    <w:rsid w:val="0E6C0832"/>
    <w:rsid w:val="0EA224A6"/>
    <w:rsid w:val="0EA53D44"/>
    <w:rsid w:val="0EE505E5"/>
    <w:rsid w:val="0F2F5319"/>
    <w:rsid w:val="0F515C7A"/>
    <w:rsid w:val="0FB12275"/>
    <w:rsid w:val="0FC1070A"/>
    <w:rsid w:val="0FC17EB8"/>
    <w:rsid w:val="0FDF6AA8"/>
    <w:rsid w:val="0FE32D76"/>
    <w:rsid w:val="107E484D"/>
    <w:rsid w:val="108A4076"/>
    <w:rsid w:val="10A06571"/>
    <w:rsid w:val="1109680C"/>
    <w:rsid w:val="11303385"/>
    <w:rsid w:val="113847BC"/>
    <w:rsid w:val="115A0E16"/>
    <w:rsid w:val="116873CD"/>
    <w:rsid w:val="12490E8B"/>
    <w:rsid w:val="124910EA"/>
    <w:rsid w:val="12656272"/>
    <w:rsid w:val="126E14D6"/>
    <w:rsid w:val="140432BB"/>
    <w:rsid w:val="142D77A0"/>
    <w:rsid w:val="14612A5B"/>
    <w:rsid w:val="14AF1479"/>
    <w:rsid w:val="14B4083D"/>
    <w:rsid w:val="14B9586D"/>
    <w:rsid w:val="14DC62FB"/>
    <w:rsid w:val="14E32ED1"/>
    <w:rsid w:val="154B0E78"/>
    <w:rsid w:val="15C42D02"/>
    <w:rsid w:val="15D942D4"/>
    <w:rsid w:val="15E96C0C"/>
    <w:rsid w:val="16315EBE"/>
    <w:rsid w:val="16644DEC"/>
    <w:rsid w:val="167C7E6B"/>
    <w:rsid w:val="167F131F"/>
    <w:rsid w:val="16B96C0A"/>
    <w:rsid w:val="16BA2357"/>
    <w:rsid w:val="16C71F70"/>
    <w:rsid w:val="16C73CD3"/>
    <w:rsid w:val="16D6281A"/>
    <w:rsid w:val="170E7071"/>
    <w:rsid w:val="171C4DC0"/>
    <w:rsid w:val="174F2A9F"/>
    <w:rsid w:val="175120CE"/>
    <w:rsid w:val="17780248"/>
    <w:rsid w:val="17A34DD6"/>
    <w:rsid w:val="17CA481C"/>
    <w:rsid w:val="18236B49"/>
    <w:rsid w:val="18493992"/>
    <w:rsid w:val="18BC6D19"/>
    <w:rsid w:val="18C13529"/>
    <w:rsid w:val="190478B9"/>
    <w:rsid w:val="19574FCB"/>
    <w:rsid w:val="195B1BCF"/>
    <w:rsid w:val="196F4A96"/>
    <w:rsid w:val="19923117"/>
    <w:rsid w:val="19E51499"/>
    <w:rsid w:val="19EA1530"/>
    <w:rsid w:val="1A0758B3"/>
    <w:rsid w:val="1A0E6C42"/>
    <w:rsid w:val="1A38081B"/>
    <w:rsid w:val="1A7D65B3"/>
    <w:rsid w:val="1A846F04"/>
    <w:rsid w:val="1A8A3DEE"/>
    <w:rsid w:val="1A9431DA"/>
    <w:rsid w:val="1A98475D"/>
    <w:rsid w:val="1ABE52E7"/>
    <w:rsid w:val="1AE552AC"/>
    <w:rsid w:val="1AE856E5"/>
    <w:rsid w:val="1B351FAC"/>
    <w:rsid w:val="1B50328A"/>
    <w:rsid w:val="1B862808"/>
    <w:rsid w:val="1C0E117B"/>
    <w:rsid w:val="1C271290"/>
    <w:rsid w:val="1C4F709D"/>
    <w:rsid w:val="1C6D08DF"/>
    <w:rsid w:val="1CCB44FB"/>
    <w:rsid w:val="1CD726B0"/>
    <w:rsid w:val="1CE56A4A"/>
    <w:rsid w:val="1D1D0F4A"/>
    <w:rsid w:val="1D790876"/>
    <w:rsid w:val="1DCA2E80"/>
    <w:rsid w:val="1DD41F50"/>
    <w:rsid w:val="1DF26F67"/>
    <w:rsid w:val="1E2225B8"/>
    <w:rsid w:val="1E9B20FF"/>
    <w:rsid w:val="1EB9424D"/>
    <w:rsid w:val="1EF63A04"/>
    <w:rsid w:val="1F8359DC"/>
    <w:rsid w:val="1FD61483"/>
    <w:rsid w:val="202D3756"/>
    <w:rsid w:val="203B62B7"/>
    <w:rsid w:val="20656E59"/>
    <w:rsid w:val="20D5741D"/>
    <w:rsid w:val="20E029BA"/>
    <w:rsid w:val="210675F3"/>
    <w:rsid w:val="210D62A5"/>
    <w:rsid w:val="215D72AD"/>
    <w:rsid w:val="217212D8"/>
    <w:rsid w:val="21B527DE"/>
    <w:rsid w:val="21DE339D"/>
    <w:rsid w:val="22370D00"/>
    <w:rsid w:val="224029E0"/>
    <w:rsid w:val="22813D29"/>
    <w:rsid w:val="2296541A"/>
    <w:rsid w:val="22A27774"/>
    <w:rsid w:val="22C23E49"/>
    <w:rsid w:val="22E25FC1"/>
    <w:rsid w:val="231454D0"/>
    <w:rsid w:val="2338088B"/>
    <w:rsid w:val="235F050E"/>
    <w:rsid w:val="23696C97"/>
    <w:rsid w:val="239153B8"/>
    <w:rsid w:val="239857CE"/>
    <w:rsid w:val="23C14D25"/>
    <w:rsid w:val="23DE7685"/>
    <w:rsid w:val="23E826CC"/>
    <w:rsid w:val="23EB1DA2"/>
    <w:rsid w:val="2419690F"/>
    <w:rsid w:val="24437F17"/>
    <w:rsid w:val="2492046F"/>
    <w:rsid w:val="24BE1264"/>
    <w:rsid w:val="25025BB9"/>
    <w:rsid w:val="250C0222"/>
    <w:rsid w:val="251B66B7"/>
    <w:rsid w:val="25220B02"/>
    <w:rsid w:val="25525E05"/>
    <w:rsid w:val="25BC57A4"/>
    <w:rsid w:val="25C1440C"/>
    <w:rsid w:val="25CC4E10"/>
    <w:rsid w:val="25E621A6"/>
    <w:rsid w:val="261849A4"/>
    <w:rsid w:val="26362FD5"/>
    <w:rsid w:val="265005E2"/>
    <w:rsid w:val="267A740D"/>
    <w:rsid w:val="26867B60"/>
    <w:rsid w:val="26C6304A"/>
    <w:rsid w:val="26D34D88"/>
    <w:rsid w:val="271D590A"/>
    <w:rsid w:val="27315797"/>
    <w:rsid w:val="27653C19"/>
    <w:rsid w:val="277327DA"/>
    <w:rsid w:val="27777352"/>
    <w:rsid w:val="278F0720"/>
    <w:rsid w:val="27BF67DB"/>
    <w:rsid w:val="27C070A1"/>
    <w:rsid w:val="27D95674"/>
    <w:rsid w:val="27E51204"/>
    <w:rsid w:val="283C0E1E"/>
    <w:rsid w:val="2857306D"/>
    <w:rsid w:val="28620159"/>
    <w:rsid w:val="28645547"/>
    <w:rsid w:val="288B3B53"/>
    <w:rsid w:val="289F0531"/>
    <w:rsid w:val="28AB2842"/>
    <w:rsid w:val="28E62B38"/>
    <w:rsid w:val="28FA377F"/>
    <w:rsid w:val="29023E15"/>
    <w:rsid w:val="29050BF6"/>
    <w:rsid w:val="29312005"/>
    <w:rsid w:val="29673C78"/>
    <w:rsid w:val="2973261D"/>
    <w:rsid w:val="298C7B83"/>
    <w:rsid w:val="299922F5"/>
    <w:rsid w:val="299E66BB"/>
    <w:rsid w:val="29F342A3"/>
    <w:rsid w:val="2A5E151F"/>
    <w:rsid w:val="2A756869"/>
    <w:rsid w:val="2AA44A58"/>
    <w:rsid w:val="2AA45611"/>
    <w:rsid w:val="2AAF4F1E"/>
    <w:rsid w:val="2AB77E13"/>
    <w:rsid w:val="2AFD628E"/>
    <w:rsid w:val="2B8939E4"/>
    <w:rsid w:val="2BA64EDD"/>
    <w:rsid w:val="2BEA7D3C"/>
    <w:rsid w:val="2BFC3EB7"/>
    <w:rsid w:val="2C3B13EC"/>
    <w:rsid w:val="2C581F9E"/>
    <w:rsid w:val="2C7072E8"/>
    <w:rsid w:val="2C723060"/>
    <w:rsid w:val="2C7816D9"/>
    <w:rsid w:val="2C81324C"/>
    <w:rsid w:val="2CBF52FA"/>
    <w:rsid w:val="2D265BF9"/>
    <w:rsid w:val="2DA134D1"/>
    <w:rsid w:val="2DF33D2D"/>
    <w:rsid w:val="2E151F6D"/>
    <w:rsid w:val="2E4E5407"/>
    <w:rsid w:val="2E630DF1"/>
    <w:rsid w:val="2EA17C2D"/>
    <w:rsid w:val="2EB3027F"/>
    <w:rsid w:val="2ECFAFE6"/>
    <w:rsid w:val="2EE47B19"/>
    <w:rsid w:val="2F340AA1"/>
    <w:rsid w:val="2F4D1B62"/>
    <w:rsid w:val="2FB614B6"/>
    <w:rsid w:val="2FCF4325"/>
    <w:rsid w:val="2FE57FED"/>
    <w:rsid w:val="2FFD70E5"/>
    <w:rsid w:val="302307E5"/>
    <w:rsid w:val="302428C3"/>
    <w:rsid w:val="306008D8"/>
    <w:rsid w:val="306C6018"/>
    <w:rsid w:val="307466FF"/>
    <w:rsid w:val="30925DC7"/>
    <w:rsid w:val="30B8337C"/>
    <w:rsid w:val="30C94ED2"/>
    <w:rsid w:val="30DB6CFA"/>
    <w:rsid w:val="30EB33E1"/>
    <w:rsid w:val="310E5321"/>
    <w:rsid w:val="31124E12"/>
    <w:rsid w:val="3163566D"/>
    <w:rsid w:val="31912FFA"/>
    <w:rsid w:val="32037892"/>
    <w:rsid w:val="32144BB9"/>
    <w:rsid w:val="3233322B"/>
    <w:rsid w:val="3237307B"/>
    <w:rsid w:val="323D5895"/>
    <w:rsid w:val="326E56C1"/>
    <w:rsid w:val="32892824"/>
    <w:rsid w:val="32A63A63"/>
    <w:rsid w:val="32B45038"/>
    <w:rsid w:val="32D4469C"/>
    <w:rsid w:val="33176654"/>
    <w:rsid w:val="332350B4"/>
    <w:rsid w:val="334212B2"/>
    <w:rsid w:val="33813B89"/>
    <w:rsid w:val="339935C8"/>
    <w:rsid w:val="33FF6392"/>
    <w:rsid w:val="343D03F7"/>
    <w:rsid w:val="346A0AC1"/>
    <w:rsid w:val="347B6B12"/>
    <w:rsid w:val="34802092"/>
    <w:rsid w:val="34A71D15"/>
    <w:rsid w:val="34DF325D"/>
    <w:rsid w:val="35301D0A"/>
    <w:rsid w:val="357C0934"/>
    <w:rsid w:val="35C16E06"/>
    <w:rsid w:val="36F17277"/>
    <w:rsid w:val="37254742"/>
    <w:rsid w:val="375063C7"/>
    <w:rsid w:val="377321A8"/>
    <w:rsid w:val="379F0197"/>
    <w:rsid w:val="37BF1123"/>
    <w:rsid w:val="37E42938"/>
    <w:rsid w:val="381F16E4"/>
    <w:rsid w:val="3821254F"/>
    <w:rsid w:val="384635F3"/>
    <w:rsid w:val="3878030C"/>
    <w:rsid w:val="38975BFC"/>
    <w:rsid w:val="389F518B"/>
    <w:rsid w:val="38A722E3"/>
    <w:rsid w:val="38C92B50"/>
    <w:rsid w:val="38EF6EC7"/>
    <w:rsid w:val="39382F3B"/>
    <w:rsid w:val="39475874"/>
    <w:rsid w:val="395A4030"/>
    <w:rsid w:val="39E906DA"/>
    <w:rsid w:val="39EC3D26"/>
    <w:rsid w:val="3A176FF5"/>
    <w:rsid w:val="3A7A0D2A"/>
    <w:rsid w:val="3A946333"/>
    <w:rsid w:val="3A982F65"/>
    <w:rsid w:val="3B6F4C0F"/>
    <w:rsid w:val="3C700C3E"/>
    <w:rsid w:val="3CDE3DFA"/>
    <w:rsid w:val="3D031AB2"/>
    <w:rsid w:val="3D63752D"/>
    <w:rsid w:val="3D89020A"/>
    <w:rsid w:val="3D9A1419"/>
    <w:rsid w:val="3DF139A2"/>
    <w:rsid w:val="3E1651AF"/>
    <w:rsid w:val="3E1C2E2C"/>
    <w:rsid w:val="3E4F1453"/>
    <w:rsid w:val="3E94205A"/>
    <w:rsid w:val="3EE956FE"/>
    <w:rsid w:val="3F5F7E3A"/>
    <w:rsid w:val="3FF27CC2"/>
    <w:rsid w:val="409367D7"/>
    <w:rsid w:val="40FC42B9"/>
    <w:rsid w:val="41195D48"/>
    <w:rsid w:val="412A1038"/>
    <w:rsid w:val="415006EF"/>
    <w:rsid w:val="416A2100"/>
    <w:rsid w:val="416F5968"/>
    <w:rsid w:val="417D0085"/>
    <w:rsid w:val="41F93484"/>
    <w:rsid w:val="4211652C"/>
    <w:rsid w:val="42E8700E"/>
    <w:rsid w:val="42EC3EEE"/>
    <w:rsid w:val="42F04887"/>
    <w:rsid w:val="43161F83"/>
    <w:rsid w:val="43266633"/>
    <w:rsid w:val="43346E69"/>
    <w:rsid w:val="43790D20"/>
    <w:rsid w:val="438A0837"/>
    <w:rsid w:val="43D14990"/>
    <w:rsid w:val="43EF162F"/>
    <w:rsid w:val="44114AB5"/>
    <w:rsid w:val="442A3DC9"/>
    <w:rsid w:val="44676DCB"/>
    <w:rsid w:val="448636F5"/>
    <w:rsid w:val="449E7560"/>
    <w:rsid w:val="44A512FB"/>
    <w:rsid w:val="44BF6C07"/>
    <w:rsid w:val="44DC50C3"/>
    <w:rsid w:val="45124F88"/>
    <w:rsid w:val="451F18D1"/>
    <w:rsid w:val="456B16FE"/>
    <w:rsid w:val="456C6759"/>
    <w:rsid w:val="459260C9"/>
    <w:rsid w:val="4598284D"/>
    <w:rsid w:val="459A093A"/>
    <w:rsid w:val="45D87F80"/>
    <w:rsid w:val="460D5750"/>
    <w:rsid w:val="461865CE"/>
    <w:rsid w:val="46A41C10"/>
    <w:rsid w:val="46C027C2"/>
    <w:rsid w:val="47057685"/>
    <w:rsid w:val="47263437"/>
    <w:rsid w:val="472F45C5"/>
    <w:rsid w:val="473A2575"/>
    <w:rsid w:val="475F3D89"/>
    <w:rsid w:val="47855E05"/>
    <w:rsid w:val="4799729B"/>
    <w:rsid w:val="47C36A0E"/>
    <w:rsid w:val="47CF0F0F"/>
    <w:rsid w:val="47E64D41"/>
    <w:rsid w:val="47F963EE"/>
    <w:rsid w:val="48030BB8"/>
    <w:rsid w:val="481A49ED"/>
    <w:rsid w:val="487A2EF5"/>
    <w:rsid w:val="48D923D7"/>
    <w:rsid w:val="4901159C"/>
    <w:rsid w:val="490948F4"/>
    <w:rsid w:val="494D09C0"/>
    <w:rsid w:val="498B70B7"/>
    <w:rsid w:val="499F0C75"/>
    <w:rsid w:val="49AF724A"/>
    <w:rsid w:val="49BA4625"/>
    <w:rsid w:val="49D4280C"/>
    <w:rsid w:val="49E35145"/>
    <w:rsid w:val="49FD6207"/>
    <w:rsid w:val="4A2B43F6"/>
    <w:rsid w:val="4A563B69"/>
    <w:rsid w:val="4A7933B4"/>
    <w:rsid w:val="4AA743C5"/>
    <w:rsid w:val="4B007631"/>
    <w:rsid w:val="4B30799F"/>
    <w:rsid w:val="4BA3693A"/>
    <w:rsid w:val="4C2A0E0A"/>
    <w:rsid w:val="4C955F6D"/>
    <w:rsid w:val="4CBB5F06"/>
    <w:rsid w:val="4CFB09F8"/>
    <w:rsid w:val="4D0478AD"/>
    <w:rsid w:val="4DA370C6"/>
    <w:rsid w:val="4DFA480C"/>
    <w:rsid w:val="4DFC67D6"/>
    <w:rsid w:val="4E61488B"/>
    <w:rsid w:val="4EBC7D13"/>
    <w:rsid w:val="4EEC684A"/>
    <w:rsid w:val="4EF61477"/>
    <w:rsid w:val="4F317B52"/>
    <w:rsid w:val="4F3B1580"/>
    <w:rsid w:val="4F5439E0"/>
    <w:rsid w:val="4F5F3752"/>
    <w:rsid w:val="4F9003E2"/>
    <w:rsid w:val="4F9667B6"/>
    <w:rsid w:val="4FD120CD"/>
    <w:rsid w:val="4FE570BC"/>
    <w:rsid w:val="505B3C87"/>
    <w:rsid w:val="50834F8C"/>
    <w:rsid w:val="508A20A5"/>
    <w:rsid w:val="50A373DC"/>
    <w:rsid w:val="50EA5CF0"/>
    <w:rsid w:val="51053BF3"/>
    <w:rsid w:val="514E7348"/>
    <w:rsid w:val="516945EC"/>
    <w:rsid w:val="517C1B5D"/>
    <w:rsid w:val="51FD2B1C"/>
    <w:rsid w:val="52075749"/>
    <w:rsid w:val="52271947"/>
    <w:rsid w:val="52361A5C"/>
    <w:rsid w:val="52685C73"/>
    <w:rsid w:val="52A67549"/>
    <w:rsid w:val="52C27FEE"/>
    <w:rsid w:val="53461745"/>
    <w:rsid w:val="53511372"/>
    <w:rsid w:val="53605111"/>
    <w:rsid w:val="537E1A3B"/>
    <w:rsid w:val="53BD14E1"/>
    <w:rsid w:val="53DB4BC2"/>
    <w:rsid w:val="53E915AA"/>
    <w:rsid w:val="540C51F2"/>
    <w:rsid w:val="542645AC"/>
    <w:rsid w:val="54701578"/>
    <w:rsid w:val="54755242"/>
    <w:rsid w:val="54776BB6"/>
    <w:rsid w:val="547916F7"/>
    <w:rsid w:val="54B24092"/>
    <w:rsid w:val="55883974"/>
    <w:rsid w:val="558D41B7"/>
    <w:rsid w:val="55A82D9F"/>
    <w:rsid w:val="55C23E61"/>
    <w:rsid w:val="55D9256E"/>
    <w:rsid w:val="562118B8"/>
    <w:rsid w:val="564B20A8"/>
    <w:rsid w:val="564D4072"/>
    <w:rsid w:val="569C6DA8"/>
    <w:rsid w:val="56A95021"/>
    <w:rsid w:val="56B75990"/>
    <w:rsid w:val="56F73F2E"/>
    <w:rsid w:val="56FC7846"/>
    <w:rsid w:val="56FE3E33"/>
    <w:rsid w:val="579F087A"/>
    <w:rsid w:val="57BB500C"/>
    <w:rsid w:val="57C97313"/>
    <w:rsid w:val="581249BB"/>
    <w:rsid w:val="58796638"/>
    <w:rsid w:val="5895585D"/>
    <w:rsid w:val="59142299"/>
    <w:rsid w:val="591D0E7A"/>
    <w:rsid w:val="59350742"/>
    <w:rsid w:val="593A0399"/>
    <w:rsid w:val="5947124D"/>
    <w:rsid w:val="597436C4"/>
    <w:rsid w:val="598F1658"/>
    <w:rsid w:val="59BE5287"/>
    <w:rsid w:val="59C503C4"/>
    <w:rsid w:val="59D75CDE"/>
    <w:rsid w:val="59DB7BE7"/>
    <w:rsid w:val="59F40FBB"/>
    <w:rsid w:val="5A155372"/>
    <w:rsid w:val="5ABD4E5D"/>
    <w:rsid w:val="5ABE360E"/>
    <w:rsid w:val="5ABF3065"/>
    <w:rsid w:val="5AD05272"/>
    <w:rsid w:val="5AFA22EF"/>
    <w:rsid w:val="5B1B431D"/>
    <w:rsid w:val="5B4041A6"/>
    <w:rsid w:val="5B4B66A7"/>
    <w:rsid w:val="5BAF171F"/>
    <w:rsid w:val="5BDD7C46"/>
    <w:rsid w:val="5BF50F38"/>
    <w:rsid w:val="5C752710"/>
    <w:rsid w:val="5CBB0C7B"/>
    <w:rsid w:val="5CC24183"/>
    <w:rsid w:val="5D0301E2"/>
    <w:rsid w:val="5D3A4C25"/>
    <w:rsid w:val="5D404730"/>
    <w:rsid w:val="5D953794"/>
    <w:rsid w:val="5DBA51A4"/>
    <w:rsid w:val="5DC866D4"/>
    <w:rsid w:val="5DDB01B6"/>
    <w:rsid w:val="5E0D40E7"/>
    <w:rsid w:val="5E204AB2"/>
    <w:rsid w:val="5E910814"/>
    <w:rsid w:val="5E9640DD"/>
    <w:rsid w:val="5EA36E89"/>
    <w:rsid w:val="5F117C07"/>
    <w:rsid w:val="5F322E09"/>
    <w:rsid w:val="5F381638"/>
    <w:rsid w:val="5F3E6C4E"/>
    <w:rsid w:val="5F697A43"/>
    <w:rsid w:val="5F7206A6"/>
    <w:rsid w:val="5F727B5B"/>
    <w:rsid w:val="5F7A3608"/>
    <w:rsid w:val="5F8403D9"/>
    <w:rsid w:val="5FA060C3"/>
    <w:rsid w:val="5FD517CA"/>
    <w:rsid w:val="5FF53085"/>
    <w:rsid w:val="5FF91E73"/>
    <w:rsid w:val="5FFC6BD7"/>
    <w:rsid w:val="603732E1"/>
    <w:rsid w:val="60CB41E9"/>
    <w:rsid w:val="60D809DC"/>
    <w:rsid w:val="60DE6B4B"/>
    <w:rsid w:val="61320C45"/>
    <w:rsid w:val="613C4EE5"/>
    <w:rsid w:val="613F280A"/>
    <w:rsid w:val="614B38A4"/>
    <w:rsid w:val="615434A5"/>
    <w:rsid w:val="615C0561"/>
    <w:rsid w:val="61615AA8"/>
    <w:rsid w:val="61946FF9"/>
    <w:rsid w:val="622A7403"/>
    <w:rsid w:val="62786117"/>
    <w:rsid w:val="62A25746"/>
    <w:rsid w:val="62E713AB"/>
    <w:rsid w:val="632D28F0"/>
    <w:rsid w:val="63316ACA"/>
    <w:rsid w:val="635F3637"/>
    <w:rsid w:val="639257BA"/>
    <w:rsid w:val="64412D3D"/>
    <w:rsid w:val="64A137DB"/>
    <w:rsid w:val="64D67929"/>
    <w:rsid w:val="652341F0"/>
    <w:rsid w:val="659155FE"/>
    <w:rsid w:val="659F7D1B"/>
    <w:rsid w:val="65E676F8"/>
    <w:rsid w:val="65EB11B2"/>
    <w:rsid w:val="66855163"/>
    <w:rsid w:val="668F4EC5"/>
    <w:rsid w:val="66974655"/>
    <w:rsid w:val="66B141AA"/>
    <w:rsid w:val="670047E9"/>
    <w:rsid w:val="679559C3"/>
    <w:rsid w:val="67C60C95"/>
    <w:rsid w:val="67EB4B38"/>
    <w:rsid w:val="68076351"/>
    <w:rsid w:val="682967DA"/>
    <w:rsid w:val="68303C5A"/>
    <w:rsid w:val="68437083"/>
    <w:rsid w:val="686F5D9D"/>
    <w:rsid w:val="68D979E8"/>
    <w:rsid w:val="68F24605"/>
    <w:rsid w:val="68F62348"/>
    <w:rsid w:val="69026F3E"/>
    <w:rsid w:val="690B4239"/>
    <w:rsid w:val="69307E9E"/>
    <w:rsid w:val="695E7EED"/>
    <w:rsid w:val="69E13245"/>
    <w:rsid w:val="69E403F2"/>
    <w:rsid w:val="6A0E178B"/>
    <w:rsid w:val="6A2C3B47"/>
    <w:rsid w:val="6A3273AF"/>
    <w:rsid w:val="6A5D01A4"/>
    <w:rsid w:val="6A6B28C1"/>
    <w:rsid w:val="6A8F4802"/>
    <w:rsid w:val="6ADF7EAE"/>
    <w:rsid w:val="6B735ED1"/>
    <w:rsid w:val="6BBF4F90"/>
    <w:rsid w:val="6BCA3618"/>
    <w:rsid w:val="6BED7B15"/>
    <w:rsid w:val="6C2B555E"/>
    <w:rsid w:val="6C7C7008"/>
    <w:rsid w:val="6C7D068A"/>
    <w:rsid w:val="6C801AD5"/>
    <w:rsid w:val="6CA67BE1"/>
    <w:rsid w:val="6CDA5ADC"/>
    <w:rsid w:val="6D4A2C62"/>
    <w:rsid w:val="6D6F4477"/>
    <w:rsid w:val="6D745F31"/>
    <w:rsid w:val="6D7D2D19"/>
    <w:rsid w:val="6D862B7B"/>
    <w:rsid w:val="6D9143ED"/>
    <w:rsid w:val="6DAA3701"/>
    <w:rsid w:val="6DE4144A"/>
    <w:rsid w:val="6E761835"/>
    <w:rsid w:val="6EBF4F8A"/>
    <w:rsid w:val="6EE17BB8"/>
    <w:rsid w:val="6F262A85"/>
    <w:rsid w:val="6F265009"/>
    <w:rsid w:val="6F6D2467"/>
    <w:rsid w:val="6F85176A"/>
    <w:rsid w:val="6F92426B"/>
    <w:rsid w:val="6FAA79E8"/>
    <w:rsid w:val="6FB73A81"/>
    <w:rsid w:val="6FC00FB9"/>
    <w:rsid w:val="6FCA57D1"/>
    <w:rsid w:val="6FE3114C"/>
    <w:rsid w:val="6FFD4727"/>
    <w:rsid w:val="7018708D"/>
    <w:rsid w:val="703C3AEF"/>
    <w:rsid w:val="706E0500"/>
    <w:rsid w:val="70BD7BEF"/>
    <w:rsid w:val="70C4191A"/>
    <w:rsid w:val="70DC62C7"/>
    <w:rsid w:val="70E37655"/>
    <w:rsid w:val="711E68DF"/>
    <w:rsid w:val="71600CA6"/>
    <w:rsid w:val="718213E5"/>
    <w:rsid w:val="718B3849"/>
    <w:rsid w:val="71A768D5"/>
    <w:rsid w:val="71CF53A1"/>
    <w:rsid w:val="722F2426"/>
    <w:rsid w:val="72533463"/>
    <w:rsid w:val="72CC236B"/>
    <w:rsid w:val="72E34EDB"/>
    <w:rsid w:val="72F33A41"/>
    <w:rsid w:val="73171838"/>
    <w:rsid w:val="732F1783"/>
    <w:rsid w:val="733F087C"/>
    <w:rsid w:val="734701E6"/>
    <w:rsid w:val="734939BC"/>
    <w:rsid w:val="73700F48"/>
    <w:rsid w:val="738B59F9"/>
    <w:rsid w:val="73903399"/>
    <w:rsid w:val="73AB3D2F"/>
    <w:rsid w:val="73BA1934"/>
    <w:rsid w:val="74253C6D"/>
    <w:rsid w:val="747C40BA"/>
    <w:rsid w:val="747F7695"/>
    <w:rsid w:val="748713D8"/>
    <w:rsid w:val="74CA6436"/>
    <w:rsid w:val="74E712AC"/>
    <w:rsid w:val="750806B3"/>
    <w:rsid w:val="750A2CD7"/>
    <w:rsid w:val="750F6C8E"/>
    <w:rsid w:val="753449B5"/>
    <w:rsid w:val="75371F54"/>
    <w:rsid w:val="754B3A1B"/>
    <w:rsid w:val="756E14B8"/>
    <w:rsid w:val="757A60AE"/>
    <w:rsid w:val="75F47C0F"/>
    <w:rsid w:val="76067942"/>
    <w:rsid w:val="7608190C"/>
    <w:rsid w:val="7615375C"/>
    <w:rsid w:val="761F6464"/>
    <w:rsid w:val="76726D86"/>
    <w:rsid w:val="7678626C"/>
    <w:rsid w:val="7682521B"/>
    <w:rsid w:val="768C42EB"/>
    <w:rsid w:val="76AA29C3"/>
    <w:rsid w:val="76F61765"/>
    <w:rsid w:val="77170059"/>
    <w:rsid w:val="773F3258"/>
    <w:rsid w:val="774717A2"/>
    <w:rsid w:val="77560455"/>
    <w:rsid w:val="77996CC0"/>
    <w:rsid w:val="77A94A29"/>
    <w:rsid w:val="77B04009"/>
    <w:rsid w:val="77D25D2E"/>
    <w:rsid w:val="789B6A68"/>
    <w:rsid w:val="78B43685"/>
    <w:rsid w:val="78CB4582"/>
    <w:rsid w:val="78DF304B"/>
    <w:rsid w:val="78FA19E0"/>
    <w:rsid w:val="79366790"/>
    <w:rsid w:val="793F5645"/>
    <w:rsid w:val="795F5CE7"/>
    <w:rsid w:val="79660E24"/>
    <w:rsid w:val="797F3C93"/>
    <w:rsid w:val="798B6ADC"/>
    <w:rsid w:val="79A42945"/>
    <w:rsid w:val="79BD4CAC"/>
    <w:rsid w:val="79DA35C0"/>
    <w:rsid w:val="79DD6C0C"/>
    <w:rsid w:val="79EA6CDE"/>
    <w:rsid w:val="79F71A7C"/>
    <w:rsid w:val="7A4B626B"/>
    <w:rsid w:val="7A540C7C"/>
    <w:rsid w:val="7A886B78"/>
    <w:rsid w:val="7AC2652D"/>
    <w:rsid w:val="7AC83820"/>
    <w:rsid w:val="7ADF43DA"/>
    <w:rsid w:val="7B463F9C"/>
    <w:rsid w:val="7B4A009A"/>
    <w:rsid w:val="7B8E01BE"/>
    <w:rsid w:val="7BD5403F"/>
    <w:rsid w:val="7BE530CE"/>
    <w:rsid w:val="7BFEB82A"/>
    <w:rsid w:val="7C183F2B"/>
    <w:rsid w:val="7C324FED"/>
    <w:rsid w:val="7C5533D1"/>
    <w:rsid w:val="7C707EF5"/>
    <w:rsid w:val="7C763831"/>
    <w:rsid w:val="7CC83FAB"/>
    <w:rsid w:val="7CC876FF"/>
    <w:rsid w:val="7CD80883"/>
    <w:rsid w:val="7D0D15B6"/>
    <w:rsid w:val="7D1D3EEF"/>
    <w:rsid w:val="7D510E2E"/>
    <w:rsid w:val="7D613F33"/>
    <w:rsid w:val="7D8E48D8"/>
    <w:rsid w:val="7DEC38C1"/>
    <w:rsid w:val="7DF36B2F"/>
    <w:rsid w:val="7E33329E"/>
    <w:rsid w:val="7E4436FD"/>
    <w:rsid w:val="7E5A4317"/>
    <w:rsid w:val="7E5F5E41"/>
    <w:rsid w:val="7E6671D0"/>
    <w:rsid w:val="7F132988"/>
    <w:rsid w:val="7F315C4E"/>
    <w:rsid w:val="7F325E47"/>
    <w:rsid w:val="7F9F7384"/>
    <w:rsid w:val="7FC20D7E"/>
    <w:rsid w:val="8FDF4362"/>
    <w:rsid w:val="CFFE2682"/>
    <w:rsid w:val="F1A306B5"/>
    <w:rsid w:val="F77FD76C"/>
    <w:rsid w:val="FBF97100"/>
    <w:rsid w:val="FFFD4EF2"/>
    <w:rsid w:val="FFFF40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0"/>
    <w:pPr>
      <w:keepNext/>
      <w:numPr>
        <w:ilvl w:val="0"/>
        <w:numId w:val="1"/>
      </w:numPr>
      <w:outlineLvl w:val="0"/>
    </w:pPr>
    <w:rPr>
      <w:b/>
    </w:rPr>
  </w:style>
  <w:style w:type="paragraph" w:styleId="4">
    <w:name w:val="heading 2"/>
    <w:basedOn w:val="1"/>
    <w:next w:val="1"/>
    <w:link w:val="51"/>
    <w:qFormat/>
    <w:uiPriority w:val="9"/>
    <w:pPr>
      <w:keepNext/>
      <w:keepLines/>
      <w:spacing w:before="20" w:beforeLines="0" w:after="20" w:afterLines="0" w:line="360" w:lineRule="auto"/>
      <w:outlineLvl w:val="1"/>
    </w:pPr>
    <w:rPr>
      <w:rFonts w:ascii="Arial" w:hAnsi="Arial" w:eastAsia="宋体"/>
      <w:b/>
      <w:sz w:val="28"/>
    </w:rPr>
  </w:style>
  <w:style w:type="paragraph" w:styleId="5">
    <w:name w:val="heading 3"/>
    <w:basedOn w:val="1"/>
    <w:next w:val="1"/>
    <w:link w:val="52"/>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link w:val="53"/>
    <w:qFormat/>
    <w:uiPriority w:val="0"/>
    <w:pPr>
      <w:keepNext/>
      <w:keepLines/>
      <w:numPr>
        <w:ilvl w:val="4"/>
        <w:numId w:val="2"/>
      </w:numPr>
      <w:tabs>
        <w:tab w:val="left" w:pos="1440"/>
      </w:tabs>
      <w:spacing w:before="280" w:beforeLines="0" w:after="290" w:afterLines="0" w:line="372" w:lineRule="auto"/>
      <w:outlineLvl w:val="4"/>
    </w:pPr>
    <w:rPr>
      <w:b/>
      <w:sz w:val="28"/>
    </w:rPr>
  </w:style>
  <w:style w:type="paragraph" w:styleId="8">
    <w:name w:val="heading 6"/>
    <w:basedOn w:val="1"/>
    <w:next w:val="1"/>
    <w:link w:val="54"/>
    <w:qFormat/>
    <w:uiPriority w:val="0"/>
    <w:pPr>
      <w:keepNext/>
      <w:keepLines/>
      <w:numPr>
        <w:ilvl w:val="5"/>
        <w:numId w:val="2"/>
      </w:numPr>
      <w:tabs>
        <w:tab w:val="left" w:pos="1440"/>
      </w:tabs>
      <w:spacing w:before="240" w:beforeLines="0" w:after="64" w:afterLines="0" w:line="317" w:lineRule="auto"/>
      <w:outlineLvl w:val="5"/>
    </w:pPr>
    <w:rPr>
      <w:rFonts w:ascii="Arial" w:hAnsi="Arial" w:eastAsia="黑体"/>
      <w:b/>
      <w:sz w:val="24"/>
    </w:rPr>
  </w:style>
  <w:style w:type="paragraph" w:styleId="9">
    <w:name w:val="heading 7"/>
    <w:basedOn w:val="1"/>
    <w:next w:val="1"/>
    <w:link w:val="55"/>
    <w:qFormat/>
    <w:uiPriority w:val="0"/>
    <w:pPr>
      <w:keepNext/>
      <w:keepLines/>
      <w:numPr>
        <w:ilvl w:val="6"/>
        <w:numId w:val="2"/>
      </w:numPr>
      <w:tabs>
        <w:tab w:val="left" w:pos="1440"/>
      </w:tabs>
      <w:spacing w:before="240" w:beforeLines="0" w:after="64" w:afterLines="0" w:line="317" w:lineRule="auto"/>
      <w:outlineLvl w:val="6"/>
    </w:pPr>
    <w:rPr>
      <w:b/>
      <w:sz w:val="24"/>
    </w:rPr>
  </w:style>
  <w:style w:type="paragraph" w:styleId="10">
    <w:name w:val="heading 8"/>
    <w:basedOn w:val="1"/>
    <w:next w:val="1"/>
    <w:link w:val="56"/>
    <w:qFormat/>
    <w:uiPriority w:val="0"/>
    <w:pPr>
      <w:keepNext/>
      <w:keepLines/>
      <w:numPr>
        <w:ilvl w:val="7"/>
        <w:numId w:val="2"/>
      </w:numPr>
      <w:tabs>
        <w:tab w:val="left" w:pos="1440"/>
      </w:tabs>
      <w:spacing w:before="240" w:beforeLines="0" w:after="64" w:afterLines="0" w:line="317" w:lineRule="auto"/>
      <w:outlineLvl w:val="7"/>
    </w:pPr>
    <w:rPr>
      <w:rFonts w:ascii="Arial" w:hAnsi="Arial" w:eastAsia="黑体"/>
      <w:sz w:val="24"/>
    </w:rPr>
  </w:style>
  <w:style w:type="paragraph" w:styleId="11">
    <w:name w:val="heading 9"/>
    <w:basedOn w:val="1"/>
    <w:next w:val="1"/>
    <w:link w:val="57"/>
    <w:qFormat/>
    <w:uiPriority w:val="0"/>
    <w:pPr>
      <w:keepNext/>
      <w:keepLines/>
      <w:numPr>
        <w:ilvl w:val="8"/>
        <w:numId w:val="2"/>
      </w:numPr>
      <w:tabs>
        <w:tab w:val="left" w:pos="1440"/>
      </w:tabs>
      <w:spacing w:before="240" w:beforeLines="0" w:after="64" w:afterLines="0" w:line="317" w:lineRule="auto"/>
      <w:outlineLvl w:val="8"/>
    </w:pPr>
    <w:rPr>
      <w:rFonts w:ascii="Arial" w:hAnsi="Arial" w:eastAsia="黑体"/>
    </w:rPr>
  </w:style>
  <w:style w:type="character" w:default="1" w:styleId="40">
    <w:name w:val="Default Paragraph Font"/>
    <w:semiHidden/>
    <w:qFormat/>
    <w:uiPriority w:val="0"/>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Plain Text"/>
    <w:basedOn w:val="1"/>
    <w:link w:val="62"/>
    <w:qFormat/>
    <w:uiPriority w:val="0"/>
    <w:rPr>
      <w:rFonts w:ascii="宋体" w:hAnsi="Courier New"/>
    </w:rPr>
  </w:style>
  <w:style w:type="paragraph" w:styleId="12">
    <w:name w:val="Normal Indent"/>
    <w:basedOn w:val="1"/>
    <w:next w:val="1"/>
    <w:qFormat/>
    <w:uiPriority w:val="0"/>
    <w:pPr>
      <w:ind w:firstLine="420" w:firstLineChars="200"/>
    </w:pPr>
    <w:rPr>
      <w:szCs w:val="24"/>
    </w:rPr>
  </w:style>
  <w:style w:type="paragraph" w:styleId="13">
    <w:name w:val="Document Map"/>
    <w:basedOn w:val="1"/>
    <w:link w:val="58"/>
    <w:qFormat/>
    <w:uiPriority w:val="0"/>
    <w:pPr>
      <w:shd w:val="clear" w:color="auto" w:fill="000080"/>
    </w:pPr>
  </w:style>
  <w:style w:type="paragraph" w:styleId="14">
    <w:name w:val="toa heading"/>
    <w:basedOn w:val="1"/>
    <w:next w:val="1"/>
    <w:qFormat/>
    <w:uiPriority w:val="0"/>
    <w:pPr>
      <w:spacing w:before="120"/>
    </w:pPr>
    <w:rPr>
      <w:rFonts w:ascii="Cambria" w:hAnsi="Cambria"/>
      <w:sz w:val="24"/>
    </w:rPr>
  </w:style>
  <w:style w:type="paragraph" w:styleId="15">
    <w:name w:val="annotation text"/>
    <w:basedOn w:val="1"/>
    <w:link w:val="59"/>
    <w:qFormat/>
    <w:uiPriority w:val="0"/>
    <w:pPr>
      <w:jc w:val="left"/>
    </w:pPr>
  </w:style>
  <w:style w:type="paragraph" w:styleId="16">
    <w:name w:val="Salutation"/>
    <w:basedOn w:val="1"/>
    <w:next w:val="1"/>
    <w:qFormat/>
    <w:uiPriority w:val="0"/>
    <w:rPr>
      <w:rFonts w:ascii="宋体"/>
      <w:b/>
      <w:sz w:val="28"/>
    </w:rPr>
  </w:style>
  <w:style w:type="paragraph" w:styleId="17">
    <w:name w:val="Body Text"/>
    <w:basedOn w:val="1"/>
    <w:next w:val="18"/>
    <w:link w:val="60"/>
    <w:qFormat/>
    <w:uiPriority w:val="0"/>
    <w:rPr>
      <w:rFonts w:ascii="Arial" w:hAnsi="Arial"/>
      <w:sz w:val="24"/>
    </w:rPr>
  </w:style>
  <w:style w:type="paragraph" w:styleId="18">
    <w:name w:val="Body Text Indent"/>
    <w:basedOn w:val="1"/>
    <w:next w:val="19"/>
    <w:link w:val="61"/>
    <w:qFormat/>
    <w:uiPriority w:val="0"/>
    <w:pPr>
      <w:ind w:firstLine="480"/>
    </w:pPr>
    <w:rPr>
      <w:rFonts w:ascii="宋体" w:hAnsi="宋体"/>
      <w:sz w:val="24"/>
    </w:rPr>
  </w:style>
  <w:style w:type="paragraph" w:customStyle="1" w:styleId="19">
    <w:name w:val="样式 四号 左 行距: 单倍行距"/>
    <w:basedOn w:val="1"/>
    <w:qFormat/>
    <w:uiPriority w:val="0"/>
    <w:pPr>
      <w:widowControl/>
      <w:ind w:firstLine="200" w:firstLineChars="200"/>
      <w:jc w:val="left"/>
      <w:textAlignment w:val="baseline"/>
    </w:pPr>
    <w:rPr>
      <w:color w:val="000000"/>
      <w:kern w:val="0"/>
      <w:sz w:val="28"/>
      <w:szCs w:val="20"/>
    </w:rPr>
  </w:style>
  <w:style w:type="paragraph" w:styleId="20">
    <w:name w:val="List 2"/>
    <w:basedOn w:val="1"/>
    <w:unhideWhenUsed/>
    <w:qFormat/>
    <w:uiPriority w:val="99"/>
    <w:pPr>
      <w:ind w:left="100" w:leftChars="200" w:hanging="200" w:hangingChars="200"/>
      <w:contextualSpacing/>
    </w:pPr>
  </w:style>
  <w:style w:type="paragraph" w:styleId="21">
    <w:name w:val="Block Text"/>
    <w:basedOn w:val="1"/>
    <w:qFormat/>
    <w:uiPriority w:val="0"/>
    <w:pPr>
      <w:snapToGrid w:val="0"/>
      <w:spacing w:line="480" w:lineRule="auto"/>
      <w:ind w:left="1205" w:leftChars="574" w:right="10" w:rightChars="5"/>
    </w:pPr>
    <w:rPr>
      <w:rFonts w:ascii="宋体"/>
      <w:color w:val="333333"/>
      <w:sz w:val="24"/>
    </w:rPr>
  </w:style>
  <w:style w:type="paragraph" w:styleId="22">
    <w:name w:val="toc 3"/>
    <w:basedOn w:val="1"/>
    <w:next w:val="1"/>
    <w:qFormat/>
    <w:uiPriority w:val="39"/>
    <w:pPr>
      <w:ind w:left="840" w:leftChars="400"/>
    </w:pPr>
  </w:style>
  <w:style w:type="paragraph" w:styleId="23">
    <w:name w:val="Date"/>
    <w:basedOn w:val="1"/>
    <w:next w:val="1"/>
    <w:qFormat/>
    <w:uiPriority w:val="0"/>
    <w:pPr>
      <w:ind w:left="100"/>
    </w:pPr>
    <w:rPr>
      <w:sz w:val="24"/>
    </w:rPr>
  </w:style>
  <w:style w:type="paragraph" w:styleId="24">
    <w:name w:val="Body Text Indent 2"/>
    <w:basedOn w:val="1"/>
    <w:link w:val="63"/>
    <w:qFormat/>
    <w:uiPriority w:val="0"/>
    <w:pPr>
      <w:ind w:firstLine="435"/>
    </w:pPr>
    <w:rPr>
      <w:rFonts w:ascii="宋体" w:hAnsi="宋体"/>
      <w:sz w:val="24"/>
    </w:rPr>
  </w:style>
  <w:style w:type="paragraph" w:styleId="25">
    <w:name w:val="Balloon Text"/>
    <w:basedOn w:val="1"/>
    <w:link w:val="64"/>
    <w:semiHidden/>
    <w:qFormat/>
    <w:uiPriority w:val="99"/>
    <w:rPr>
      <w:sz w:val="18"/>
      <w:szCs w:val="18"/>
    </w:rPr>
  </w:style>
  <w:style w:type="paragraph" w:styleId="26">
    <w:name w:val="footer"/>
    <w:basedOn w:val="1"/>
    <w:link w:val="65"/>
    <w:qFormat/>
    <w:uiPriority w:val="99"/>
    <w:pPr>
      <w:tabs>
        <w:tab w:val="center" w:pos="4153"/>
        <w:tab w:val="right" w:pos="8306"/>
      </w:tabs>
      <w:snapToGrid w:val="0"/>
      <w:jc w:val="left"/>
    </w:pPr>
    <w:rPr>
      <w:sz w:val="18"/>
    </w:rPr>
  </w:style>
  <w:style w:type="paragraph" w:styleId="27">
    <w:name w:val="header"/>
    <w:basedOn w:val="1"/>
    <w:link w:val="66"/>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Body Text Indent 3"/>
    <w:basedOn w:val="1"/>
    <w:qFormat/>
    <w:uiPriority w:val="0"/>
    <w:pPr>
      <w:ind w:left="471" w:hanging="471" w:hangingChars="200"/>
    </w:pPr>
    <w:rPr>
      <w:rFonts w:ascii="Arial" w:hAnsi="Arial" w:cs="Arial"/>
      <w:b/>
      <w:bCs/>
      <w:sz w:val="24"/>
    </w:rPr>
  </w:style>
  <w:style w:type="paragraph" w:styleId="30">
    <w:name w:val="toc 2"/>
    <w:basedOn w:val="1"/>
    <w:next w:val="1"/>
    <w:qFormat/>
    <w:uiPriority w:val="39"/>
    <w:pPr>
      <w:ind w:left="420" w:leftChars="200"/>
    </w:pPr>
  </w:style>
  <w:style w:type="paragraph" w:styleId="31">
    <w:name w:val="Body Text 2"/>
    <w:basedOn w:val="1"/>
    <w:qFormat/>
    <w:uiPriority w:val="0"/>
    <w:pPr>
      <w:spacing w:line="360" w:lineRule="auto"/>
    </w:pPr>
    <w:rPr>
      <w:b/>
      <w:sz w:val="28"/>
      <w:szCs w:val="21"/>
    </w:rPr>
  </w:style>
  <w:style w:type="paragraph" w:styleId="32">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33">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szCs w:val="24"/>
    </w:rPr>
  </w:style>
  <w:style w:type="paragraph" w:styleId="34">
    <w:name w:val="Title"/>
    <w:basedOn w:val="1"/>
    <w:next w:val="1"/>
    <w:qFormat/>
    <w:uiPriority w:val="0"/>
    <w:pPr>
      <w:spacing w:before="240" w:beforeLines="0" w:after="60" w:afterLines="0"/>
      <w:jc w:val="center"/>
      <w:outlineLvl w:val="0"/>
    </w:pPr>
    <w:rPr>
      <w:rFonts w:ascii="Cambria" w:hAnsi="Cambria" w:cs="Times New Roman"/>
      <w:b/>
      <w:bCs/>
      <w:sz w:val="32"/>
      <w:szCs w:val="32"/>
    </w:rPr>
  </w:style>
  <w:style w:type="paragraph" w:styleId="35">
    <w:name w:val="annotation subject"/>
    <w:basedOn w:val="15"/>
    <w:next w:val="15"/>
    <w:link w:val="68"/>
    <w:qFormat/>
    <w:uiPriority w:val="0"/>
    <w:rPr>
      <w:b/>
      <w:bCs/>
    </w:rPr>
  </w:style>
  <w:style w:type="paragraph" w:styleId="36">
    <w:name w:val="Body Text First Indent"/>
    <w:basedOn w:val="17"/>
    <w:next w:val="1"/>
    <w:link w:val="69"/>
    <w:qFormat/>
    <w:uiPriority w:val="0"/>
    <w:pPr>
      <w:spacing w:after="120" w:afterLines="0"/>
      <w:ind w:firstLine="420" w:firstLineChars="100"/>
    </w:pPr>
    <w:rPr>
      <w:rFonts w:ascii="Times New Roman" w:hAnsi="Times New Roman" w:cs="Times New Roman"/>
      <w:sz w:val="21"/>
    </w:rPr>
  </w:style>
  <w:style w:type="paragraph" w:styleId="37">
    <w:name w:val="Body Text First Indent 2"/>
    <w:basedOn w:val="18"/>
    <w:next w:val="17"/>
    <w:semiHidden/>
    <w:qFormat/>
    <w:uiPriority w:val="0"/>
    <w:pPr>
      <w:ind w:firstLine="420" w:firstLineChars="200"/>
    </w:pPr>
  </w:style>
  <w:style w:type="table" w:styleId="39">
    <w:name w:val="Table Grid"/>
    <w:basedOn w:val="38"/>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color w:val="CC0033"/>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HTML Sample"/>
    <w:basedOn w:val="40"/>
    <w:qFormat/>
    <w:uiPriority w:val="0"/>
    <w:rPr>
      <w:rFonts w:ascii="Courier New" w:hAnsi="Courier New"/>
    </w:rPr>
  </w:style>
  <w:style w:type="paragraph" w:customStyle="1" w:styleId="48">
    <w:name w:val="正文缩进1"/>
    <w:basedOn w:val="1"/>
    <w:qFormat/>
    <w:uiPriority w:val="0"/>
    <w:pPr>
      <w:ind w:firstLine="420" w:firstLineChars="200"/>
    </w:p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标题 1 Char"/>
    <w:link w:val="3"/>
    <w:qFormat/>
    <w:uiPriority w:val="9"/>
    <w:rPr>
      <w:b/>
      <w:kern w:val="2"/>
      <w:sz w:val="21"/>
    </w:rPr>
  </w:style>
  <w:style w:type="character" w:customStyle="1" w:styleId="51">
    <w:name w:val="标题 2 Char"/>
    <w:link w:val="4"/>
    <w:qFormat/>
    <w:uiPriority w:val="9"/>
    <w:rPr>
      <w:rFonts w:ascii="Arial" w:hAnsi="Arial" w:eastAsia="宋体"/>
      <w:b/>
      <w:kern w:val="2"/>
      <w:sz w:val="28"/>
    </w:rPr>
  </w:style>
  <w:style w:type="character" w:customStyle="1" w:styleId="52">
    <w:name w:val="标题 3 Char"/>
    <w:link w:val="5"/>
    <w:qFormat/>
    <w:uiPriority w:val="0"/>
    <w:rPr>
      <w:b/>
      <w:bCs/>
      <w:kern w:val="2"/>
      <w:sz w:val="32"/>
      <w:szCs w:val="32"/>
    </w:rPr>
  </w:style>
  <w:style w:type="character" w:customStyle="1" w:styleId="53">
    <w:name w:val="标题 5 Char"/>
    <w:link w:val="7"/>
    <w:qFormat/>
    <w:uiPriority w:val="0"/>
    <w:rPr>
      <w:b/>
      <w:kern w:val="2"/>
      <w:sz w:val="28"/>
    </w:rPr>
  </w:style>
  <w:style w:type="character" w:customStyle="1" w:styleId="54">
    <w:name w:val="标题 6 Char"/>
    <w:link w:val="8"/>
    <w:qFormat/>
    <w:uiPriority w:val="0"/>
    <w:rPr>
      <w:rFonts w:ascii="Arial" w:hAnsi="Arial" w:eastAsia="黑体"/>
      <w:b/>
      <w:kern w:val="2"/>
      <w:sz w:val="24"/>
    </w:rPr>
  </w:style>
  <w:style w:type="character" w:customStyle="1" w:styleId="55">
    <w:name w:val="标题 7 Char"/>
    <w:link w:val="9"/>
    <w:qFormat/>
    <w:uiPriority w:val="0"/>
    <w:rPr>
      <w:b/>
      <w:kern w:val="2"/>
      <w:sz w:val="24"/>
    </w:rPr>
  </w:style>
  <w:style w:type="character" w:customStyle="1" w:styleId="56">
    <w:name w:val="标题 8 Char"/>
    <w:link w:val="10"/>
    <w:qFormat/>
    <w:uiPriority w:val="0"/>
    <w:rPr>
      <w:rFonts w:ascii="Arial" w:hAnsi="Arial" w:eastAsia="黑体"/>
      <w:kern w:val="2"/>
      <w:sz w:val="24"/>
    </w:rPr>
  </w:style>
  <w:style w:type="character" w:customStyle="1" w:styleId="57">
    <w:name w:val="标题 9 Char"/>
    <w:link w:val="11"/>
    <w:qFormat/>
    <w:uiPriority w:val="0"/>
    <w:rPr>
      <w:rFonts w:ascii="Arial" w:hAnsi="Arial" w:eastAsia="黑体"/>
      <w:kern w:val="2"/>
      <w:sz w:val="21"/>
    </w:rPr>
  </w:style>
  <w:style w:type="character" w:customStyle="1" w:styleId="58">
    <w:name w:val="文档结构图 Char"/>
    <w:link w:val="13"/>
    <w:qFormat/>
    <w:uiPriority w:val="0"/>
    <w:rPr>
      <w:kern w:val="2"/>
      <w:sz w:val="21"/>
      <w:shd w:val="clear" w:color="auto" w:fill="000080"/>
    </w:rPr>
  </w:style>
  <w:style w:type="character" w:customStyle="1" w:styleId="59">
    <w:name w:val="批注文字 Char"/>
    <w:link w:val="15"/>
    <w:qFormat/>
    <w:uiPriority w:val="0"/>
    <w:rPr>
      <w:kern w:val="2"/>
      <w:sz w:val="21"/>
    </w:rPr>
  </w:style>
  <w:style w:type="character" w:customStyle="1" w:styleId="60">
    <w:name w:val="正文文本 Char"/>
    <w:link w:val="17"/>
    <w:qFormat/>
    <w:uiPriority w:val="0"/>
    <w:rPr>
      <w:rFonts w:ascii="Arial" w:hAnsi="Arial" w:cs="Arial"/>
      <w:kern w:val="2"/>
      <w:sz w:val="24"/>
    </w:rPr>
  </w:style>
  <w:style w:type="character" w:customStyle="1" w:styleId="61">
    <w:name w:val="正文文本缩进 Char"/>
    <w:link w:val="18"/>
    <w:qFormat/>
    <w:uiPriority w:val="0"/>
    <w:rPr>
      <w:rFonts w:ascii="宋体" w:hAnsi="宋体"/>
      <w:kern w:val="2"/>
      <w:sz w:val="24"/>
    </w:rPr>
  </w:style>
  <w:style w:type="character" w:customStyle="1" w:styleId="62">
    <w:name w:val="纯文本 Char"/>
    <w:link w:val="2"/>
    <w:qFormat/>
    <w:uiPriority w:val="0"/>
    <w:rPr>
      <w:rFonts w:ascii="宋体" w:hAnsi="Courier New" w:eastAsia="宋体"/>
      <w:kern w:val="2"/>
      <w:sz w:val="21"/>
      <w:lang w:val="en-US" w:eastAsia="zh-CN" w:bidi="ar-SA"/>
    </w:rPr>
  </w:style>
  <w:style w:type="character" w:customStyle="1" w:styleId="63">
    <w:name w:val="正文文本缩进 2 Char"/>
    <w:link w:val="24"/>
    <w:qFormat/>
    <w:uiPriority w:val="0"/>
    <w:rPr>
      <w:rFonts w:ascii="宋体" w:hAnsi="宋体"/>
      <w:kern w:val="2"/>
      <w:sz w:val="24"/>
    </w:rPr>
  </w:style>
  <w:style w:type="character" w:customStyle="1" w:styleId="64">
    <w:name w:val="批注框文本 Char"/>
    <w:link w:val="25"/>
    <w:semiHidden/>
    <w:qFormat/>
    <w:uiPriority w:val="99"/>
    <w:rPr>
      <w:kern w:val="2"/>
      <w:sz w:val="18"/>
      <w:szCs w:val="18"/>
    </w:rPr>
  </w:style>
  <w:style w:type="character" w:customStyle="1" w:styleId="65">
    <w:name w:val="页脚 Char"/>
    <w:link w:val="26"/>
    <w:qFormat/>
    <w:uiPriority w:val="99"/>
    <w:rPr>
      <w:kern w:val="2"/>
      <w:sz w:val="18"/>
    </w:rPr>
  </w:style>
  <w:style w:type="character" w:customStyle="1" w:styleId="66">
    <w:name w:val="页眉 Char"/>
    <w:link w:val="27"/>
    <w:qFormat/>
    <w:uiPriority w:val="99"/>
    <w:rPr>
      <w:kern w:val="2"/>
      <w:sz w:val="18"/>
    </w:rPr>
  </w:style>
  <w:style w:type="character" w:customStyle="1" w:styleId="67">
    <w:name w:val="HTML 预设格式 Char"/>
    <w:link w:val="32"/>
    <w:qFormat/>
    <w:uiPriority w:val="0"/>
    <w:rPr>
      <w:rFonts w:ascii="黑体" w:hAnsi="Courier New" w:eastAsia="黑体"/>
    </w:rPr>
  </w:style>
  <w:style w:type="character" w:customStyle="1" w:styleId="68">
    <w:name w:val="批注主题 Char"/>
    <w:link w:val="35"/>
    <w:qFormat/>
    <w:uiPriority w:val="0"/>
    <w:rPr>
      <w:b/>
      <w:bCs/>
      <w:kern w:val="2"/>
      <w:sz w:val="21"/>
    </w:rPr>
  </w:style>
  <w:style w:type="character" w:customStyle="1" w:styleId="69">
    <w:name w:val="正文首行缩进 Char"/>
    <w:basedOn w:val="60"/>
    <w:link w:val="36"/>
    <w:qFormat/>
    <w:uiPriority w:val="0"/>
  </w:style>
  <w:style w:type="paragraph" w:customStyle="1" w:styleId="70">
    <w:name w:val="目录 81"/>
    <w:basedOn w:val="1"/>
    <w:next w:val="1"/>
    <w:qFormat/>
    <w:uiPriority w:val="0"/>
    <w:pPr>
      <w:ind w:left="1470"/>
      <w:jc w:val="left"/>
    </w:pPr>
    <w:rPr>
      <w:szCs w:val="21"/>
    </w:rPr>
  </w:style>
  <w:style w:type="paragraph" w:customStyle="1" w:styleId="71">
    <w:name w:val="样式 正文首行缩进 2 + 首行缩进:  2 字符"/>
    <w:basedOn w:val="1"/>
    <w:qFormat/>
    <w:uiPriority w:val="0"/>
    <w:pPr>
      <w:spacing w:after="120"/>
      <w:ind w:left="200" w:leftChars="200" w:firstLine="357" w:firstLineChars="170"/>
    </w:pPr>
  </w:style>
  <w:style w:type="character" w:customStyle="1" w:styleId="72">
    <w:name w:val="Intense Reference"/>
    <w:qFormat/>
    <w:uiPriority w:val="0"/>
    <w:rPr>
      <w:b/>
      <w:bCs/>
      <w:smallCaps/>
      <w:color w:val="C0504D"/>
      <w:spacing w:val="5"/>
      <w:u w:val="single"/>
    </w:rPr>
  </w:style>
  <w:style w:type="character" w:customStyle="1" w:styleId="73">
    <w:name w:val="页脚 字符"/>
    <w:qFormat/>
    <w:uiPriority w:val="99"/>
    <w:rPr>
      <w:sz w:val="18"/>
      <w:szCs w:val="18"/>
    </w:rPr>
  </w:style>
  <w:style w:type="character" w:customStyle="1" w:styleId="74">
    <w:name w:val="标题 1 字符"/>
    <w:qFormat/>
    <w:uiPriority w:val="1"/>
    <w:rPr>
      <w:rFonts w:ascii="Noto Sans CJK JP Regular" w:hAnsi="Noto Sans CJK JP Regular" w:eastAsia="Noto Sans CJK JP Regular" w:cs="Noto Sans CJK JP Regular"/>
      <w:kern w:val="0"/>
      <w:sz w:val="36"/>
      <w:szCs w:val="36"/>
      <w:lang w:eastAsia="en-US"/>
    </w:rPr>
  </w:style>
  <w:style w:type="character" w:customStyle="1" w:styleId="75">
    <w:name w:val="页眉 字符"/>
    <w:qFormat/>
    <w:uiPriority w:val="99"/>
    <w:rPr>
      <w:sz w:val="18"/>
      <w:szCs w:val="18"/>
    </w:rPr>
  </w:style>
  <w:style w:type="character" w:customStyle="1" w:styleId="76">
    <w:name w:val="未处理的提及"/>
    <w:unhideWhenUsed/>
    <w:qFormat/>
    <w:uiPriority w:val="99"/>
    <w:rPr>
      <w:color w:val="605E5C"/>
      <w:shd w:val="clear" w:color="auto" w:fill="E1DFDD"/>
    </w:rPr>
  </w:style>
  <w:style w:type="character" w:customStyle="1" w:styleId="77">
    <w:name w:val="marklong"/>
    <w:basedOn w:val="40"/>
    <w:qFormat/>
    <w:uiPriority w:val="0"/>
  </w:style>
  <w:style w:type="character" w:customStyle="1" w:styleId="78">
    <w:name w:val="正文文字 Char"/>
    <w:qFormat/>
    <w:uiPriority w:val="0"/>
    <w:rPr>
      <w:rFonts w:ascii="Arial" w:hAnsi="Arial" w:eastAsia="宋体" w:cs="Arial"/>
      <w:kern w:val="2"/>
      <w:sz w:val="24"/>
      <w:lang w:val="en-US" w:eastAsia="zh-CN" w:bidi="ar-SA"/>
    </w:rPr>
  </w:style>
  <w:style w:type="character" w:customStyle="1" w:styleId="79">
    <w:name w:val="grame"/>
    <w:basedOn w:val="40"/>
    <w:qFormat/>
    <w:uiPriority w:val="0"/>
  </w:style>
  <w:style w:type="character" w:customStyle="1" w:styleId="80">
    <w:name w:val="font01"/>
    <w:qFormat/>
    <w:uiPriority w:val="0"/>
    <w:rPr>
      <w:rFonts w:hint="default" w:ascii="Arial" w:hAnsi="Arial" w:cs="Arial"/>
      <w:color w:val="000000"/>
      <w:sz w:val="20"/>
      <w:szCs w:val="20"/>
      <w:u w:val="none"/>
    </w:rPr>
  </w:style>
  <w:style w:type="character" w:customStyle="1" w:styleId="81">
    <w:name w:val="Book Title"/>
    <w:qFormat/>
    <w:uiPriority w:val="0"/>
    <w:rPr>
      <w:b/>
      <w:bCs/>
      <w:smallCaps/>
      <w:spacing w:val="5"/>
    </w:rPr>
  </w:style>
  <w:style w:type="character" w:customStyle="1" w:styleId="82">
    <w:name w:val="样式 正文缩进 + 首行缩进:  2 字符 Char"/>
    <w:link w:val="83"/>
    <w:qFormat/>
    <w:uiPriority w:val="0"/>
    <w:rPr>
      <w:sz w:val="24"/>
    </w:rPr>
  </w:style>
  <w:style w:type="paragraph" w:customStyle="1" w:styleId="83">
    <w:name w:val="样式 正文缩进 + 首行缩进:  2 字符"/>
    <w:basedOn w:val="12"/>
    <w:link w:val="82"/>
    <w:qFormat/>
    <w:uiPriority w:val="0"/>
    <w:pPr>
      <w:spacing w:line="360" w:lineRule="auto"/>
      <w:ind w:firstLine="200"/>
    </w:pPr>
    <w:rPr>
      <w:kern w:val="0"/>
      <w:sz w:val="24"/>
      <w:szCs w:val="20"/>
    </w:rPr>
  </w:style>
  <w:style w:type="character" w:customStyle="1" w:styleId="84">
    <w:name w:val="正文文字 Char1"/>
    <w:link w:val="85"/>
    <w:qFormat/>
    <w:uiPriority w:val="0"/>
    <w:rPr>
      <w:rFonts w:ascii="宋体" w:eastAsia="宋体"/>
      <w:color w:val="000000"/>
      <w:sz w:val="28"/>
      <w:lang w:val="en-US" w:eastAsia="zh-CN" w:bidi="ar-SA"/>
    </w:rPr>
  </w:style>
  <w:style w:type="paragraph" w:customStyle="1" w:styleId="85">
    <w:name w:val="正文文字"/>
    <w:basedOn w:val="1"/>
    <w:link w:val="84"/>
    <w:qFormat/>
    <w:uiPriority w:val="0"/>
    <w:pPr>
      <w:widowControl/>
      <w:spacing w:line="2375" w:lineRule="atLeast"/>
      <w:ind w:firstLine="419"/>
      <w:textAlignment w:val="baseline"/>
    </w:pPr>
    <w:rPr>
      <w:rFonts w:ascii="宋体"/>
      <w:color w:val="000000"/>
      <w:kern w:val="0"/>
      <w:sz w:val="28"/>
    </w:rPr>
  </w:style>
  <w:style w:type="character" w:customStyle="1" w:styleId="86">
    <w:name w:val="css21"/>
    <w:qFormat/>
    <w:uiPriority w:val="0"/>
    <w:rPr>
      <w:sz w:val="18"/>
      <w:szCs w:val="18"/>
    </w:rPr>
  </w:style>
  <w:style w:type="character" w:customStyle="1" w:styleId="87">
    <w:name w:val="fontstyle01"/>
    <w:qFormat/>
    <w:uiPriority w:val="0"/>
    <w:rPr>
      <w:rFonts w:hint="default" w:ascii="仿宋" w:hAnsi="仿宋"/>
      <w:color w:val="000000"/>
      <w:sz w:val="28"/>
      <w:szCs w:val="28"/>
    </w:rPr>
  </w:style>
  <w:style w:type="character" w:customStyle="1" w:styleId="88">
    <w:name w:val="纯文本 Char Char Char Char Char Char"/>
    <w:qFormat/>
    <w:locked/>
    <w:uiPriority w:val="0"/>
    <w:rPr>
      <w:rFonts w:ascii="宋体" w:hAnsi="Courier New" w:eastAsia="宋体"/>
      <w:kern w:val="2"/>
      <w:sz w:val="21"/>
      <w:lang w:val="en-US" w:eastAsia="zh-CN" w:bidi="ar-SA"/>
    </w:rPr>
  </w:style>
  <w:style w:type="character" w:customStyle="1" w:styleId="89">
    <w:name w:val="unnamed1"/>
    <w:basedOn w:val="40"/>
    <w:qFormat/>
    <w:uiPriority w:val="0"/>
  </w:style>
  <w:style w:type="character" w:customStyle="1" w:styleId="90">
    <w:name w:val="font31"/>
    <w:qFormat/>
    <w:uiPriority w:val="0"/>
    <w:rPr>
      <w:rFonts w:hint="eastAsia" w:ascii="宋体" w:hAnsi="宋体" w:eastAsia="宋体" w:cs="宋体"/>
      <w:color w:val="000000"/>
      <w:sz w:val="20"/>
      <w:szCs w:val="20"/>
      <w:u w:val="none"/>
    </w:rPr>
  </w:style>
  <w:style w:type="character" w:customStyle="1" w:styleId="91">
    <w:name w:val="p21"/>
    <w:qFormat/>
    <w:uiPriority w:val="0"/>
    <w:rPr>
      <w:rFonts w:hint="default" w:ascii="Arial" w:hAnsi="Arial" w:cs="Arial"/>
      <w:color w:val="333333"/>
      <w:sz w:val="18"/>
      <w:szCs w:val="18"/>
      <w:u w:val="none"/>
    </w:rPr>
  </w:style>
  <w:style w:type="paragraph" w:customStyle="1" w:styleId="92">
    <w:name w:val="Table Paragraph"/>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93">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94">
    <w:name w:val="p0"/>
    <w:basedOn w:val="1"/>
    <w:qFormat/>
    <w:uiPriority w:val="0"/>
    <w:pPr>
      <w:widowControl/>
    </w:pPr>
    <w:rPr>
      <w:kern w:val="0"/>
      <w:szCs w:val="21"/>
    </w:rPr>
  </w:style>
  <w:style w:type="paragraph" w:customStyle="1" w:styleId="95">
    <w:name w:val="文档正文"/>
    <w:basedOn w:val="1"/>
    <w:qFormat/>
    <w:uiPriority w:val="0"/>
    <w:pPr>
      <w:adjustRightInd w:val="0"/>
      <w:spacing w:before="60" w:after="60" w:line="360" w:lineRule="atLeast"/>
      <w:ind w:firstLine="482"/>
      <w:textAlignment w:val="baseline"/>
    </w:pPr>
  </w:style>
  <w:style w:type="paragraph" w:styleId="96">
    <w:name w:val="List Paragraph"/>
    <w:basedOn w:val="1"/>
    <w:qFormat/>
    <w:uiPriority w:val="34"/>
    <w:pPr>
      <w:ind w:firstLine="420" w:firstLineChars="200"/>
    </w:pPr>
    <w:rPr>
      <w:rFonts w:ascii="Calibri" w:hAnsi="Calibri" w:eastAsia="宋体" w:cs="Times New Roman"/>
      <w:szCs w:val="22"/>
    </w:rPr>
  </w:style>
  <w:style w:type="paragraph" w:customStyle="1" w:styleId="97">
    <w:name w:val="Normal Indent"/>
    <w:basedOn w:val="1"/>
    <w:qFormat/>
    <w:uiPriority w:val="0"/>
    <w:pPr>
      <w:ind w:firstLine="420" w:firstLineChars="200"/>
    </w:pPr>
    <w:rPr>
      <w:rFonts w:ascii="Calibri" w:hAnsi="Calibri"/>
    </w:rPr>
  </w:style>
  <w:style w:type="paragraph" w:customStyle="1" w:styleId="9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符号)四标题1.1"/>
    <w:basedOn w:val="1"/>
    <w:qFormat/>
    <w:uiPriority w:val="99"/>
    <w:pPr>
      <w:spacing w:line="500" w:lineRule="exact"/>
    </w:pPr>
    <w:rPr>
      <w:rFonts w:ascii="宋体" w:hAnsi="宋体" w:cs="宋体"/>
      <w:color w:val="000000"/>
      <w:kern w:val="0"/>
      <w:sz w:val="24"/>
    </w:rPr>
  </w:style>
  <w:style w:type="paragraph" w:customStyle="1" w:styleId="100">
    <w:name w:val="1 Char Char Char Char"/>
    <w:basedOn w:val="1"/>
    <w:qFormat/>
    <w:uiPriority w:val="0"/>
    <w:rPr>
      <w:rFonts w:ascii="Tahoma" w:hAnsi="Tahoma"/>
      <w:sz w:val="24"/>
    </w:rPr>
  </w:style>
  <w:style w:type="paragraph" w:customStyle="1" w:styleId="101">
    <w:name w:val="条目3"/>
    <w:basedOn w:val="2"/>
    <w:qFormat/>
    <w:uiPriority w:val="0"/>
    <w:pPr>
      <w:tabs>
        <w:tab w:val="left" w:pos="960"/>
        <w:tab w:val="left" w:pos="2940"/>
      </w:tabs>
      <w:spacing w:line="360" w:lineRule="auto"/>
      <w:ind w:left="2940" w:hanging="420"/>
    </w:pPr>
    <w:rPr>
      <w:color w:val="000000"/>
      <w:sz w:val="30"/>
    </w:rPr>
  </w:style>
  <w:style w:type="paragraph" w:customStyle="1" w:styleId="102">
    <w:name w:val="_Style 100"/>
    <w:semiHidden/>
    <w:qFormat/>
    <w:uiPriority w:val="99"/>
    <w:rPr>
      <w:rFonts w:ascii="Times New Roman" w:hAnsi="Times New Roman" w:eastAsia="宋体" w:cs="Times New Roman"/>
      <w:kern w:val="2"/>
      <w:sz w:val="21"/>
      <w:lang w:val="en-US" w:eastAsia="zh-CN" w:bidi="ar-SA"/>
    </w:rPr>
  </w:style>
  <w:style w:type="paragraph" w:customStyle="1" w:styleId="103">
    <w:name w:val="List Paragraph1"/>
    <w:basedOn w:val="1"/>
    <w:qFormat/>
    <w:uiPriority w:val="0"/>
    <w:pPr>
      <w:ind w:firstLine="420" w:firstLineChars="200"/>
    </w:pPr>
  </w:style>
  <w:style w:type="paragraph" w:customStyle="1" w:styleId="104">
    <w:name w:val="普通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05">
    <w:name w:val="标书正文"/>
    <w:basedOn w:val="1"/>
    <w:qFormat/>
    <w:uiPriority w:val="0"/>
    <w:pPr>
      <w:spacing w:line="560" w:lineRule="exact"/>
      <w:ind w:firstLine="723" w:firstLineChars="200"/>
      <w:jc w:val="center"/>
    </w:pPr>
    <w:rPr>
      <w:rFonts w:ascii="仿宋_GB2312" w:eastAsia="仿宋_GB2312"/>
      <w:sz w:val="36"/>
    </w:rPr>
  </w:style>
  <w:style w:type="paragraph" w:customStyle="1" w:styleId="106">
    <w:name w:val="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107">
    <w:name w:val="彩色列表 - 着色 11"/>
    <w:basedOn w:val="1"/>
    <w:qFormat/>
    <w:uiPriority w:val="34"/>
    <w:pPr>
      <w:widowControl/>
      <w:ind w:firstLine="420" w:firstLineChars="200"/>
      <w:jc w:val="left"/>
    </w:pPr>
    <w:rPr>
      <w:rFonts w:eastAsia="等线"/>
      <w:kern w:val="0"/>
      <w:sz w:val="24"/>
      <w:szCs w:val="24"/>
      <w:lang w:eastAsia="en-US"/>
    </w:rPr>
  </w:style>
  <w:style w:type="paragraph" w:customStyle="1" w:styleId="108">
    <w:name w:val="Char"/>
    <w:basedOn w:val="1"/>
    <w:semiHidden/>
    <w:qFormat/>
    <w:uiPriority w:val="0"/>
    <w:rPr>
      <w:rFonts w:ascii="Tahoma" w:hAnsi="Tahoma" w:cs="仿宋_GB2312"/>
      <w:sz w:val="24"/>
      <w:szCs w:val="28"/>
    </w:rPr>
  </w:style>
  <w:style w:type="paragraph" w:customStyle="1" w:styleId="109">
    <w:name w:val="条目2"/>
    <w:basedOn w:val="2"/>
    <w:qFormat/>
    <w:uiPriority w:val="0"/>
    <w:pPr>
      <w:tabs>
        <w:tab w:val="left" w:pos="420"/>
      </w:tabs>
      <w:spacing w:line="360" w:lineRule="auto"/>
      <w:ind w:left="420" w:hanging="420"/>
    </w:pPr>
    <w:rPr>
      <w:color w:val="000000"/>
      <w:sz w:val="30"/>
    </w:rPr>
  </w:style>
  <w:style w:type="paragraph" w:customStyle="1" w:styleId="110">
    <w:name w:val="测评方案正文"/>
    <w:basedOn w:val="111"/>
    <w:qFormat/>
    <w:uiPriority w:val="0"/>
    <w:pPr>
      <w:ind w:firstLine="200" w:firstLineChars="200"/>
    </w:pPr>
    <w:rPr>
      <w:b w:val="0"/>
      <w:sz w:val="21"/>
    </w:rPr>
  </w:style>
  <w:style w:type="paragraph" w:customStyle="1" w:styleId="111">
    <w:name w:val="测评方案2级"/>
    <w:basedOn w:val="1"/>
    <w:qFormat/>
    <w:uiPriority w:val="0"/>
    <w:pPr>
      <w:spacing w:beforeLines="50" w:afterLines="50" w:line="300" w:lineRule="auto"/>
    </w:pPr>
    <w:rPr>
      <w:b/>
      <w:sz w:val="28"/>
      <w:szCs w:val="32"/>
    </w:rPr>
  </w:style>
  <w:style w:type="character" w:customStyle="1" w:styleId="112">
    <w:name w:val="三级目录"/>
    <w:qFormat/>
    <w:uiPriority w:val="1902"/>
    <w:rPr>
      <w:rFonts w:ascii="宋体" w:hAnsi="宋体"/>
      <w:b/>
      <w:bCs/>
      <w:sz w:val="23"/>
    </w:rPr>
  </w:style>
  <w:style w:type="paragraph" w:customStyle="1" w:styleId="113">
    <w:name w:val="标题 5（有编号）（绿盟科技）"/>
    <w:basedOn w:val="1"/>
    <w:next w:val="11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1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15">
    <w:name w:val="列出段落11"/>
    <w:basedOn w:val="1"/>
    <w:qFormat/>
    <w:uiPriority w:val="0"/>
    <w:pPr>
      <w:ind w:firstLine="420" w:firstLineChars="200"/>
    </w:pPr>
    <w:rPr>
      <w:rFonts w:ascii="等线" w:hAnsi="等线" w:eastAsia="等线"/>
      <w:szCs w:val="22"/>
    </w:rPr>
  </w:style>
  <w:style w:type="paragraph" w:customStyle="1" w:styleId="116">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117">
    <w:name w:val="NormalCharacter"/>
    <w:qFormat/>
    <w:uiPriority w:val="0"/>
  </w:style>
  <w:style w:type="paragraph" w:customStyle="1" w:styleId="118">
    <w:name w:val="正"/>
    <w:basedOn w:val="119"/>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119">
    <w:name w:val="正文_1"/>
    <w:next w:val="118"/>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120">
    <w:name w:val="采购一级"/>
    <w:basedOn w:val="3"/>
    <w:qFormat/>
    <w:uiPriority w:val="0"/>
    <w:pPr>
      <w:keepLines w:val="0"/>
      <w:tabs>
        <w:tab w:val="left" w:pos="1530"/>
        <w:tab w:val="left" w:pos="3360"/>
      </w:tabs>
      <w:snapToGrid w:val="0"/>
      <w:spacing w:beforeLines="50" w:afterLines="50" w:line="560" w:lineRule="exact"/>
    </w:pPr>
    <w:rPr>
      <w:rFonts w:ascii="方正小标宋简体" w:hAnsi="仿宋" w:eastAsia="方正小标宋简体"/>
      <w:sz w:val="36"/>
      <w:szCs w:val="36"/>
    </w:rPr>
  </w:style>
  <w:style w:type="table" w:customStyle="1" w:styleId="1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21394</Words>
  <Characters>22938</Characters>
  <Lines>195</Lines>
  <Paragraphs>55</Paragraphs>
  <TotalTime>9</TotalTime>
  <ScaleCrop>false</ScaleCrop>
  <LinksUpToDate>false</LinksUpToDate>
  <CharactersWithSpaces>24243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2018-06-02T17:00:00Z</dcterms:created>
  <dc:creator>xt</dc:creator>
  <cp:lastModifiedBy>［姗子］～</cp:lastModifiedBy>
  <cp:lastPrinted>2021-10-01T16:40:00Z</cp:lastPrinted>
  <dcterms:modified xsi:type="dcterms:W3CDTF">2023-10-27T04:17:55Z</dcterms:modified>
  <dc:title>第一部份 投标邀请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6F927CF1B300458A87E8F656EC53E4DE_13</vt:lpwstr>
  </property>
</Properties>
</file>