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52"/>
          <w:szCs w:val="52"/>
          <w:lang w:eastAsia="zh-CN"/>
        </w:rPr>
      </w:pPr>
    </w:p>
    <w:p>
      <w:pPr>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昌吉州玛纳斯县图书馆建设项目</w:t>
      </w:r>
    </w:p>
    <w:p>
      <w:pPr>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eastAsia="zh-CN"/>
        </w:rPr>
        <w:t>监理服务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（项目编号：</w:t>
      </w:r>
      <w:r>
        <w:rPr>
          <w:rFonts w:hint="eastAsia" w:ascii="宋体" w:hAnsi="宋体" w:eastAsia="宋体" w:cs="宋体"/>
          <w:b/>
          <w:bCs/>
          <w:color w:val="auto"/>
          <w:kern w:val="0"/>
          <w:sz w:val="28"/>
          <w:szCs w:val="28"/>
          <w:lang w:eastAsia="zh-CN"/>
        </w:rPr>
        <w:t>TBD-2023-MNSCG-18</w:t>
      </w:r>
      <w:r>
        <w:rPr>
          <w:rFonts w:hint="eastAsia" w:ascii="宋体" w:hAnsi="宋体" w:eastAsia="宋体" w:cs="宋体"/>
          <w:b/>
          <w:sz w:val="28"/>
          <w:szCs w:val="28"/>
          <w:lang w:eastAsia="zh-CN"/>
        </w:rPr>
        <w:t>）</w:t>
      </w:r>
    </w:p>
    <w:p>
      <w:pPr>
        <w:spacing w:line="500" w:lineRule="exact"/>
        <w:jc w:val="center"/>
        <w:rPr>
          <w:rFonts w:hint="eastAsia" w:ascii="宋体" w:hAnsi="宋体" w:eastAsia="宋体" w:cs="宋体"/>
          <w:b/>
          <w:sz w:val="52"/>
          <w:szCs w:val="5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52"/>
          <w:szCs w:val="52"/>
        </w:rPr>
      </w:pPr>
    </w:p>
    <w:p>
      <w:pPr>
        <w:pStyle w:val="3"/>
        <w:rPr>
          <w:rFonts w:hint="eastAsia" w:ascii="宋体" w:hAnsi="宋体" w:eastAsia="宋体" w:cs="宋体"/>
          <w:b/>
          <w:sz w:val="52"/>
          <w:szCs w:val="52"/>
        </w:rPr>
      </w:pPr>
    </w:p>
    <w:p>
      <w:pPr>
        <w:rPr>
          <w:rFonts w:hint="eastAsia" w:ascii="宋体" w:hAnsi="宋体" w:eastAsia="宋体" w:cs="宋体"/>
        </w:rPr>
      </w:pPr>
    </w:p>
    <w:p>
      <w:pPr>
        <w:keepNext w:val="0"/>
        <w:keepLines w:val="0"/>
        <w:pageBreakBefore w:val="0"/>
        <w:widowControl w:val="0"/>
        <w:tabs>
          <w:tab w:val="left" w:pos="1989"/>
          <w:tab w:val="center" w:pos="4204"/>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72"/>
          <w:szCs w:val="72"/>
        </w:rPr>
      </w:pPr>
      <w:r>
        <w:rPr>
          <w:rFonts w:hint="eastAsia" w:ascii="宋体" w:hAnsi="宋体" w:eastAsia="宋体" w:cs="宋体"/>
          <w:b/>
          <w:sz w:val="72"/>
          <w:szCs w:val="72"/>
          <w:lang w:val="en-US" w:eastAsia="zh-CN"/>
        </w:rPr>
        <w:t>竞争性磋商</w:t>
      </w:r>
      <w:r>
        <w:rPr>
          <w:rFonts w:hint="eastAsia" w:ascii="宋体" w:hAnsi="宋体" w:eastAsia="宋体" w:cs="宋体"/>
          <w:b/>
          <w:sz w:val="72"/>
          <w:szCs w:val="72"/>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52"/>
          <w:szCs w:val="52"/>
        </w:rPr>
      </w:pPr>
    </w:p>
    <w:p>
      <w:pPr>
        <w:spacing w:line="500" w:lineRule="exact"/>
        <w:jc w:val="both"/>
        <w:rPr>
          <w:rFonts w:hint="eastAsia" w:ascii="宋体" w:hAnsi="宋体" w:eastAsia="宋体" w:cs="宋体"/>
          <w:b/>
          <w:sz w:val="32"/>
          <w:szCs w:val="32"/>
        </w:rPr>
      </w:pPr>
    </w:p>
    <w:p>
      <w:pPr>
        <w:spacing w:line="500" w:lineRule="exact"/>
        <w:jc w:val="center"/>
        <w:rPr>
          <w:rFonts w:hint="eastAsia" w:ascii="宋体" w:hAnsi="宋体" w:eastAsia="宋体" w:cs="宋体"/>
          <w:b/>
          <w:sz w:val="32"/>
          <w:szCs w:val="32"/>
        </w:rPr>
      </w:pPr>
    </w:p>
    <w:p>
      <w:pPr>
        <w:spacing w:line="500" w:lineRule="exact"/>
        <w:jc w:val="both"/>
        <w:rPr>
          <w:rFonts w:hint="eastAsia" w:ascii="宋体" w:hAnsi="宋体" w:eastAsia="宋体" w:cs="宋体"/>
          <w:b/>
          <w:sz w:val="32"/>
          <w:szCs w:val="32"/>
        </w:rPr>
      </w:pPr>
    </w:p>
    <w:p>
      <w:pPr>
        <w:widowControl/>
        <w:shd w:val="clear" w:color="auto" w:fill="FFFFFF"/>
        <w:spacing w:before="100" w:beforeAutospacing="1" w:after="100" w:afterAutospacing="1" w:line="360" w:lineRule="atLeast"/>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lang w:eastAsia="zh-CN"/>
        </w:rPr>
        <w:t>采购</w:t>
      </w:r>
      <w:r>
        <w:rPr>
          <w:rFonts w:hint="eastAsia" w:ascii="宋体" w:hAnsi="宋体" w:eastAsia="宋体" w:cs="宋体"/>
          <w:b/>
          <w:color w:val="auto"/>
          <w:kern w:val="0"/>
          <w:sz w:val="32"/>
          <w:szCs w:val="32"/>
        </w:rPr>
        <w:t>单位：</w:t>
      </w:r>
      <w:r>
        <w:rPr>
          <w:rFonts w:hint="eastAsia" w:ascii="宋体" w:hAnsi="宋体" w:eastAsia="宋体" w:cs="宋体"/>
          <w:b/>
          <w:color w:val="auto"/>
          <w:kern w:val="0"/>
          <w:sz w:val="32"/>
          <w:szCs w:val="32"/>
          <w:lang w:val="en-US" w:eastAsia="zh-CN"/>
        </w:rPr>
        <w:t>玛纳斯县文化体育广播电视和旅游局</w:t>
      </w:r>
    </w:p>
    <w:p>
      <w:pPr>
        <w:widowControl/>
        <w:shd w:val="clear" w:color="auto" w:fill="FFFFFF"/>
        <w:spacing w:before="100" w:beforeAutospacing="1" w:after="100" w:afterAutospacing="1" w:line="360" w:lineRule="atLeas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代理</w:t>
      </w:r>
      <w:r>
        <w:rPr>
          <w:rFonts w:hint="eastAsia" w:ascii="宋体" w:hAnsi="宋体" w:eastAsia="宋体" w:cs="宋体"/>
          <w:b/>
          <w:color w:val="auto"/>
          <w:kern w:val="0"/>
          <w:sz w:val="32"/>
          <w:szCs w:val="32"/>
          <w:lang w:eastAsia="zh-CN"/>
        </w:rPr>
        <w:t>机构</w:t>
      </w:r>
      <w:r>
        <w:rPr>
          <w:rFonts w:hint="eastAsia" w:ascii="宋体" w:hAnsi="宋体" w:eastAsia="宋体" w:cs="宋体"/>
          <w:b/>
          <w:color w:val="auto"/>
          <w:kern w:val="0"/>
          <w:sz w:val="32"/>
          <w:szCs w:val="32"/>
        </w:rPr>
        <w:t>：新疆天必达招标代理有限公司</w:t>
      </w:r>
    </w:p>
    <w:p>
      <w:pPr>
        <w:widowControl/>
        <w:shd w:val="clear" w:color="auto" w:fill="FFFFFF"/>
        <w:spacing w:before="100" w:beforeAutospacing="1" w:after="100" w:afterAutospacing="1" w:line="360" w:lineRule="atLeast"/>
        <w:jc w:val="center"/>
        <w:rPr>
          <w:rFonts w:hint="eastAsia" w:ascii="宋体" w:hAnsi="宋体" w:eastAsia="宋体" w:cs="宋体"/>
          <w:bCs/>
          <w:color w:val="auto"/>
          <w:sz w:val="32"/>
          <w:szCs w:val="32"/>
          <w:lang w:eastAsia="zh-CN"/>
        </w:rPr>
      </w:pPr>
      <w:r>
        <w:rPr>
          <w:rFonts w:hint="eastAsia" w:ascii="宋体" w:hAnsi="宋体" w:eastAsia="宋体" w:cs="宋体"/>
          <w:b/>
          <w:color w:val="auto"/>
          <w:kern w:val="0"/>
          <w:sz w:val="32"/>
          <w:szCs w:val="32"/>
        </w:rPr>
        <w:t>日期：</w:t>
      </w:r>
      <w:r>
        <w:rPr>
          <w:rFonts w:hint="eastAsia" w:ascii="宋体" w:hAnsi="宋体" w:eastAsia="宋体" w:cs="宋体"/>
          <w:b/>
          <w:color w:val="auto"/>
          <w:kern w:val="0"/>
          <w:sz w:val="32"/>
          <w:szCs w:val="32"/>
          <w:lang w:eastAsia="zh-CN"/>
        </w:rPr>
        <w:t>2023年10月</w:t>
      </w:r>
    </w:p>
    <w:p>
      <w:pPr>
        <w:shd w:val="clear" w:color="auto" w:fill="auto"/>
        <w:spacing w:line="600" w:lineRule="auto"/>
        <w:rPr>
          <w:rFonts w:hint="eastAsia" w:ascii="宋体" w:hAnsi="宋体" w:eastAsia="宋体" w:cs="宋体"/>
          <w:b/>
          <w:color w:val="auto"/>
          <w:sz w:val="44"/>
          <w:highlight w:val="none"/>
          <w:lang w:val="en-US" w:eastAsia="zh-CN"/>
        </w:rPr>
        <w:sectPr>
          <w:headerReference r:id="rId3" w:type="default"/>
          <w:pgSz w:w="11850" w:h="16783"/>
          <w:pgMar w:top="1213" w:right="1117" w:bottom="1213" w:left="1230" w:header="397" w:footer="992" w:gutter="0"/>
          <w:pgBorders>
            <w:top w:val="none" w:sz="0" w:space="0"/>
            <w:left w:val="none" w:sz="0" w:space="0"/>
            <w:bottom w:val="none" w:sz="0" w:space="0"/>
            <w:right w:val="none" w:sz="0" w:space="0"/>
          </w:pgBorders>
          <w:pgNumType w:fmt="decimal"/>
          <w:cols w:space="720" w:num="1"/>
          <w:docGrid w:linePitch="312" w:charSpace="0"/>
        </w:sectPr>
      </w:pPr>
    </w:p>
    <w:p>
      <w:pPr>
        <w:shd w:val="clear" w:color="auto" w:fill="auto"/>
        <w:spacing w:before="0" w:beforeLines="0" w:after="0" w:afterLines="0" w:line="60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_Toc30358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第一章 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_Toc30358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_Toc8815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二</w:t>
      </w:r>
      <w:r>
        <w:rPr>
          <w:rFonts w:hint="eastAsia" w:ascii="宋体" w:hAnsi="宋体" w:eastAsia="宋体" w:cs="宋体"/>
          <w:bCs w:val="0"/>
          <w:color w:val="auto"/>
          <w:sz w:val="28"/>
          <w:szCs w:val="28"/>
          <w:highlight w:val="none"/>
        </w:rPr>
        <w:t>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_Toc6411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三</w:t>
      </w:r>
      <w:r>
        <w:rPr>
          <w:rFonts w:hint="eastAsia" w:ascii="宋体" w:hAnsi="宋体" w:eastAsia="宋体" w:cs="宋体"/>
          <w:bCs w:val="0"/>
          <w:color w:val="auto"/>
          <w:sz w:val="28"/>
          <w:szCs w:val="28"/>
          <w:highlight w:val="none"/>
        </w:rPr>
        <w:t>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_Toc6411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_Toc24944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四</w:t>
      </w:r>
      <w:r>
        <w:rPr>
          <w:rFonts w:hint="eastAsia" w:ascii="宋体" w:hAnsi="宋体" w:eastAsia="宋体" w:cs="宋体"/>
          <w:bCs w:val="0"/>
          <w:color w:val="auto"/>
          <w:sz w:val="28"/>
          <w:szCs w:val="28"/>
          <w:highlight w:val="none"/>
        </w:rPr>
        <w:t>章 评审方法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_Toc24944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_Toc29569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rPr>
        <w:t>章 合同格式及合同条款</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六</w:t>
      </w:r>
      <w:r>
        <w:rPr>
          <w:rFonts w:hint="eastAsia" w:ascii="宋体" w:hAnsi="宋体" w:eastAsia="宋体" w:cs="宋体"/>
          <w:bCs w:val="0"/>
          <w:color w:val="auto"/>
          <w:sz w:val="28"/>
          <w:szCs w:val="28"/>
          <w:highlight w:val="none"/>
        </w:rPr>
        <w:t>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07"/>
        <w:shd w:val="clear" w:color="auto" w:fill="auto"/>
        <w:tabs>
          <w:tab w:val="right" w:leader="dot" w:pos="9503"/>
        </w:tabs>
        <w:spacing w:line="600" w:lineRule="auto"/>
        <w:rPr>
          <w:rFonts w:hint="eastAsia" w:ascii="宋体" w:hAnsi="宋体" w:eastAsia="宋体" w:cs="宋体"/>
          <w:color w:val="auto"/>
          <w:sz w:val="28"/>
          <w:szCs w:val="28"/>
          <w:highlight w:val="none"/>
        </w:rPr>
      </w:pPr>
    </w:p>
    <w:p>
      <w:pPr>
        <w:shd w:val="clear" w:color="auto" w:fill="auto"/>
        <w:spacing w:line="60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p>
      <w:pPr>
        <w:shd w:val="clear" w:color="auto" w:fill="auto"/>
        <w:spacing w:line="72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 w:val="44"/>
          <w:highlight w:val="none"/>
          <w:lang w:val="en-US" w:eastAsia="zh-CN"/>
        </w:rPr>
        <w:t xml:space="preserve">   </w:t>
      </w:r>
      <w:bookmarkStart w:id="0" w:name="_Toc531075007"/>
      <w:bookmarkStart w:id="1" w:name="_Toc456718476"/>
    </w:p>
    <w:bookmarkEnd w:id="0"/>
    <w:p>
      <w:pPr>
        <w:pStyle w:val="3"/>
        <w:shd w:val="clear" w:color="auto" w:fill="auto"/>
        <w:spacing w:line="240" w:lineRule="auto"/>
        <w:rPr>
          <w:rFonts w:hint="eastAsia" w:ascii="宋体" w:hAnsi="宋体" w:eastAsia="宋体" w:cs="宋体"/>
          <w:b/>
          <w:bCs w:val="0"/>
          <w:color w:val="auto"/>
          <w:szCs w:val="20"/>
          <w:highlight w:val="none"/>
        </w:rPr>
        <w:sectPr>
          <w:footerReference r:id="rId4"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2" w:name="_Toc529952596"/>
      <w:bookmarkStart w:id="3" w:name="_Toc30358"/>
      <w:bookmarkStart w:id="4" w:name="_Toc5915"/>
      <w:bookmarkStart w:id="5" w:name="_Toc13049"/>
      <w:bookmarkStart w:id="6" w:name="EBc884e50b9a914054b9124fad1c99d853"/>
    </w:p>
    <w:p>
      <w:pPr>
        <w:pStyle w:val="3"/>
        <w:shd w:val="clear" w:color="auto" w:fill="auto"/>
        <w:spacing w:line="240" w:lineRule="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Cs w:val="20"/>
          <w:highlight w:val="none"/>
        </w:rPr>
        <w:t>第一章 磋商</w:t>
      </w:r>
      <w:bookmarkEnd w:id="2"/>
      <w:r>
        <w:rPr>
          <w:rFonts w:hint="eastAsia" w:ascii="宋体" w:hAnsi="宋体" w:eastAsia="宋体" w:cs="宋体"/>
          <w:b/>
          <w:bCs w:val="0"/>
          <w:color w:val="auto"/>
          <w:szCs w:val="20"/>
          <w:highlight w:val="none"/>
        </w:rPr>
        <w:t>公告</w:t>
      </w:r>
      <w:bookmarkEnd w:id="3"/>
      <w:bookmarkEnd w:id="4"/>
      <w:bookmarkEnd w:id="5"/>
    </w:p>
    <w:bookmarkEnd w:id="6"/>
    <w:p>
      <w:pPr>
        <w:pBdr>
          <w:top w:val="single" w:color="auto" w:sz="4" w:space="1"/>
          <w:left w:val="single" w:color="auto" w:sz="4" w:space="4"/>
          <w:bottom w:val="single" w:color="auto" w:sz="4" w:space="1"/>
          <w:right w:val="single" w:color="auto" w:sz="4" w:space="4"/>
        </w:pBdr>
        <w:shd w:val="clear" w:color="auto" w:fill="auto"/>
        <w:spacing w:line="360" w:lineRule="auto"/>
        <w:ind w:firstLine="480" w:firstLineChars="200"/>
        <w:rPr>
          <w:rFonts w:hint="eastAsia" w:ascii="宋体" w:hAnsi="宋体" w:eastAsia="宋体" w:cs="宋体"/>
          <w:color w:val="auto"/>
          <w:sz w:val="24"/>
          <w:szCs w:val="24"/>
          <w:highlight w:val="none"/>
          <w:lang w:eastAsia="zh-CN"/>
        </w:rPr>
      </w:pPr>
      <w:bookmarkStart w:id="7" w:name="_Toc29745"/>
      <w:bookmarkStart w:id="8" w:name="_Toc8815"/>
      <w:bookmarkStart w:id="9" w:name="_Toc10571"/>
      <w:bookmarkStart w:id="10" w:name="_Toc531075008"/>
      <w:bookmarkStart w:id="11" w:name="_Toc256000001"/>
      <w:bookmarkStart w:id="12" w:name="_Toc532543564"/>
      <w:r>
        <w:rPr>
          <w:rFonts w:hint="eastAsia" w:ascii="宋体" w:hAnsi="宋体" w:eastAsia="宋体" w:cs="宋体"/>
          <w:color w:val="auto"/>
          <w:sz w:val="24"/>
          <w:highlight w:val="none"/>
          <w:u w:val="single"/>
          <w:lang w:eastAsia="zh-CN"/>
        </w:rPr>
        <w:t>昌吉州玛纳斯县图书馆建设项目监理服务</w:t>
      </w:r>
      <w:r>
        <w:rPr>
          <w:rFonts w:hint="eastAsia" w:ascii="宋体" w:hAnsi="宋体" w:eastAsia="宋体" w:cs="宋体"/>
          <w:color w:val="auto"/>
          <w:sz w:val="24"/>
          <w:highlight w:val="none"/>
        </w:rPr>
        <w:t>的潜在供应商应在</w:t>
      </w:r>
      <w:r>
        <w:rPr>
          <w:rFonts w:hint="eastAsia" w:ascii="宋体" w:hAnsi="宋体" w:eastAsia="宋体" w:cs="宋体"/>
          <w:b w:val="0"/>
          <w:i w:val="0"/>
          <w:color w:val="auto"/>
          <w:kern w:val="2"/>
          <w:sz w:val="24"/>
          <w:szCs w:val="24"/>
          <w:u w:val="single"/>
          <w:shd w:val="clear" w:color="auto" w:fill="FFFFFF"/>
          <w:lang w:val="en-US" w:eastAsia="zh-CN" w:bidi="ar-SA"/>
        </w:rPr>
        <w:t>新疆天必达招标代理有限公司</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2023年11月7日11：</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北京时间）前提交投标文件</w:t>
      </w:r>
      <w:r>
        <w:rPr>
          <w:rFonts w:hint="eastAsia" w:ascii="宋体" w:hAnsi="宋体" w:eastAsia="宋体" w:cs="宋体"/>
          <w:color w:val="auto"/>
          <w:sz w:val="24"/>
          <w:highlight w:val="none"/>
          <w:lang w:eastAsia="zh-CN"/>
        </w:rPr>
        <w:t>。</w:t>
      </w:r>
    </w:p>
    <w:p>
      <w:pPr>
        <w:pStyle w:val="2"/>
        <w:shd w:val="clear" w:color="auto" w:fill="auto"/>
        <w:spacing w:line="240" w:lineRule="auto"/>
        <w:jc w:val="both"/>
        <w:rPr>
          <w:rFonts w:hint="eastAsia" w:ascii="宋体" w:hAnsi="宋体" w:eastAsia="宋体" w:cs="宋体"/>
          <w:b/>
          <w:bCs/>
          <w:color w:val="auto"/>
          <w:sz w:val="24"/>
          <w:szCs w:val="24"/>
          <w:highlight w:val="none"/>
        </w:rPr>
      </w:pPr>
      <w:bookmarkStart w:id="13" w:name="_Toc35393790"/>
      <w:bookmarkStart w:id="14" w:name="_Toc29810"/>
      <w:bookmarkStart w:id="15" w:name="_Toc28359079"/>
      <w:bookmarkStart w:id="16" w:name="_Toc35393621"/>
      <w:bookmarkStart w:id="17" w:name="_Toc28359002"/>
      <w:bookmarkStart w:id="18" w:name="_Hlk24379207"/>
      <w:r>
        <w:rPr>
          <w:rFonts w:hint="eastAsia" w:ascii="宋体" w:hAnsi="宋体" w:eastAsia="宋体" w:cs="宋体"/>
          <w:b/>
          <w:bCs/>
          <w:color w:val="auto"/>
          <w:sz w:val="24"/>
          <w:szCs w:val="24"/>
          <w:highlight w:val="none"/>
        </w:rPr>
        <w:t>一、项目基本情况</w:t>
      </w:r>
      <w:bookmarkEnd w:id="13"/>
      <w:bookmarkEnd w:id="14"/>
      <w:bookmarkEnd w:id="15"/>
      <w:bookmarkEnd w:id="16"/>
      <w:bookmarkEnd w:id="17"/>
    </w:p>
    <w:bookmarkEnd w:id="18"/>
    <w:p>
      <w:pPr>
        <w:shd w:val="clear" w:color="auto" w:fill="auto"/>
        <w:tabs>
          <w:tab w:val="left" w:pos="354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sz w:val="24"/>
          <w:szCs w:val="24"/>
          <w:lang w:val="en-US" w:eastAsia="zh-CN"/>
        </w:rPr>
        <w:t>TBD-2023-MNSCG-18</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昌吉州玛纳斯县图书馆建设项目监理服务</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采购方式：竞争性磋商</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150000.00</w:t>
      </w:r>
      <w:r>
        <w:rPr>
          <w:rFonts w:hint="eastAsia" w:ascii="宋体" w:hAnsi="宋体" w:eastAsia="宋体" w:cs="宋体"/>
          <w:color w:val="auto"/>
          <w:sz w:val="24"/>
          <w:szCs w:val="24"/>
          <w:highlight w:val="none"/>
        </w:rPr>
        <w:t>元</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150000.00</w:t>
      </w:r>
      <w:r>
        <w:rPr>
          <w:rFonts w:hint="eastAsia" w:ascii="宋体" w:hAnsi="宋体" w:eastAsia="宋体" w:cs="宋体"/>
          <w:color w:val="auto"/>
          <w:sz w:val="24"/>
          <w:szCs w:val="24"/>
          <w:highlight w:val="none"/>
        </w:rPr>
        <w:t>元</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r>
        <w:rPr>
          <w:rFonts w:hint="eastAsia" w:ascii="宋体" w:hAnsi="宋体" w:eastAsia="宋体" w:cs="宋体"/>
          <w:color w:val="auto"/>
          <w:sz w:val="24"/>
          <w:szCs w:val="24"/>
          <w:highlight w:val="none"/>
          <w:lang w:eastAsia="zh-CN"/>
        </w:rPr>
        <w:t>昌吉州玛纳斯县图书馆建设项目</w:t>
      </w:r>
      <w:r>
        <w:rPr>
          <w:rFonts w:hint="eastAsia" w:ascii="宋体" w:hAnsi="宋体" w:eastAsia="宋体" w:cs="宋体"/>
          <w:color w:val="auto"/>
          <w:sz w:val="24"/>
          <w:szCs w:val="24"/>
          <w:highlight w:val="none"/>
          <w:lang w:val="en-US" w:eastAsia="zh-CN"/>
        </w:rPr>
        <w:t>全套施工图纸及工程量清单范围内的全部监理内容。（详见磋商文件）</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7.合同履行期限：合同签订之日起至竣工验收合格保修期结束止（具体以施工工期为准）。</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本项目不接受联合体。</w:t>
      </w:r>
    </w:p>
    <w:p>
      <w:pPr>
        <w:numPr>
          <w:ilvl w:val="0"/>
          <w:numId w:val="0"/>
        </w:numPr>
        <w:shd w:val="clear" w:color="auto" w:fill="auto"/>
        <w:spacing w:line="360" w:lineRule="auto"/>
        <w:rPr>
          <w:rFonts w:hint="eastAsia" w:ascii="宋体" w:hAnsi="宋体" w:eastAsia="宋体" w:cs="宋体"/>
          <w:b/>
          <w:bCs/>
          <w:color w:val="auto"/>
          <w:sz w:val="24"/>
          <w:szCs w:val="24"/>
          <w:highlight w:val="none"/>
        </w:rPr>
      </w:pPr>
      <w:bookmarkStart w:id="19" w:name="_Toc28359090"/>
      <w:bookmarkStart w:id="20" w:name="_Toc28359013"/>
      <w:bookmarkStart w:id="21" w:name="_Toc35393799"/>
      <w:bookmarkStart w:id="22" w:name="_Toc35393630"/>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申请人的资格要求</w:t>
      </w:r>
      <w:bookmarkEnd w:id="19"/>
      <w:bookmarkEnd w:id="20"/>
      <w:bookmarkEnd w:id="21"/>
      <w:bookmarkEnd w:id="22"/>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bookmarkStart w:id="23" w:name="_Toc28359091"/>
      <w:bookmarkStart w:id="24" w:name="_Toc19744"/>
      <w:bookmarkStart w:id="25" w:name="_Toc35393631"/>
      <w:bookmarkStart w:id="26" w:name="_Toc28359014"/>
      <w:bookmarkStart w:id="27" w:name="_Toc35393800"/>
      <w:r>
        <w:rPr>
          <w:rFonts w:hint="eastAsia" w:ascii="宋体" w:hAnsi="宋体" w:eastAsia="宋体" w:cs="宋体"/>
          <w:color w:val="auto"/>
          <w:sz w:val="24"/>
          <w:szCs w:val="24"/>
          <w:highlight w:val="none"/>
          <w:lang w:val="en-US" w:eastAsia="zh-CN"/>
        </w:rPr>
        <w:t>1.满足《中华人民共和国政府采购法》第二十二条要求，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SA"/>
        </w:rPr>
        <w:t>落实政府采购政策需满足的资格要求：《国务院办公厅关于建立政府强制采购节能产品制度的通知》（国办发[2007]51号）；《关于调整优化节能产品、环境标志产品政府采购执行机制的通知》（财库[2019]9号）；财政部、工业和信息化部《关于印发〈政府采购促进中小企业发展暂行办法〉的通知》（财库[2020]46号文）；关于转发《政府采购促进中小企业发展管理办法》的通知（兵财库〔2021〕7号）；财政部《关于进一步加大政府采购支持中小企业力度的通知》（财库〔2022〕19号）；财政部、司法部《关于政府采购支持监狱企业发展有关问题的通知》（财库[2014]68号文）；《关于促进残疾人就业政府采购政策的通知》（财库〔2017〕141号）；财政部《关于运用政府采购政策支持脱贫攻坚的通知》（财库〔2019〕27号文）。财政部、生态环境部和国家邮政局关于印发《商品包装政府采购需求标准（试行）》、《快递包装政府采购需求标准（试行）》的通知(财办库〔2020〕123号文)。 </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4.特定资格要求：</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（1）供应商应具备国家建设行政主管部门颁发的综合监理资质或建筑工程专业监理乙级及以上（含乙级）资质。</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（2）项目总监需具备注册</w:t>
      </w:r>
      <w:r>
        <w:rPr>
          <w:rFonts w:hint="eastAsia" w:ascii="宋体" w:hAnsi="宋体" w:cs="宋体"/>
          <w:color w:val="auto"/>
          <w:sz w:val="24"/>
          <w:szCs w:val="24"/>
          <w:highlight w:val="none"/>
          <w:lang w:val="en-US" w:eastAsia="zh-CN"/>
        </w:rPr>
        <w:t>监理工程师执业资格</w:t>
      </w:r>
      <w:r>
        <w:rPr>
          <w:rFonts w:hint="eastAsia" w:ascii="宋体" w:hAnsi="宋体" w:eastAsia="宋体" w:cs="宋体"/>
          <w:color w:val="auto"/>
          <w:sz w:val="24"/>
          <w:szCs w:val="24"/>
          <w:highlight w:val="none"/>
          <w:lang w:val="en-US" w:eastAsia="zh-CN"/>
        </w:rPr>
        <w:t>，并在本单位注册。</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5.供应商不得存在下列情形之一： </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（l）与采购人、采购代理机构存在隶属关系或者其他利害关系。</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其他供应商的法定代表人（或者负责人）为同一人；或者与其他供应商存在控股、关联关系；为采购项目提供整体设计、规范编制或者项目管理、监理、检测等服务的供应商，不得再参加本项目的采购活动。</w:t>
      </w:r>
    </w:p>
    <w:p>
      <w:pPr>
        <w:shd w:val="clear" w:color="auto" w:fill="auto"/>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23"/>
      <w:bookmarkEnd w:id="24"/>
      <w:bookmarkEnd w:id="25"/>
      <w:bookmarkEnd w:id="26"/>
      <w:bookmarkEnd w:id="27"/>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28" w:name="_Toc35393632"/>
      <w:bookmarkStart w:id="29" w:name="_Toc28359092"/>
      <w:bookmarkStart w:id="30" w:name="_Toc35393801"/>
      <w:bookmarkStart w:id="31" w:name="_Toc28359015"/>
      <w:r>
        <w:rPr>
          <w:rFonts w:hint="eastAsia" w:ascii="宋体" w:hAnsi="宋体" w:eastAsia="宋体" w:cs="宋体"/>
          <w:color w:val="auto"/>
          <w:kern w:val="2"/>
          <w:sz w:val="24"/>
          <w:szCs w:val="24"/>
          <w:highlight w:val="none"/>
          <w:lang w:val="en-US" w:eastAsia="zh-CN" w:bidi="ar-SA"/>
        </w:rPr>
        <w:t>时间：2023年10月</w:t>
      </w:r>
      <w:r>
        <w:rPr>
          <w:rFonts w:hint="eastAsia" w:ascii="宋体" w:hAnsi="宋体" w:cs="宋体"/>
          <w:color w:val="auto"/>
          <w:kern w:val="2"/>
          <w:sz w:val="24"/>
          <w:szCs w:val="24"/>
          <w:highlight w:val="none"/>
          <w:lang w:val="en-US" w:eastAsia="zh-CN" w:bidi="ar-SA"/>
        </w:rPr>
        <w:t>27</w:t>
      </w:r>
      <w:r>
        <w:rPr>
          <w:rFonts w:hint="eastAsia" w:ascii="宋体" w:hAnsi="宋体" w:eastAsia="宋体" w:cs="宋体"/>
          <w:color w:val="auto"/>
          <w:kern w:val="2"/>
          <w:sz w:val="24"/>
          <w:szCs w:val="24"/>
          <w:highlight w:val="none"/>
          <w:lang w:val="en-US" w:eastAsia="zh-CN" w:bidi="ar-SA"/>
        </w:rPr>
        <w:t>日00时00分至2023年11月</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日23时59分（磋商文件的发售期限自开始之日起不得少于5个工作日）</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地点：新疆政府采购网政采云平台https://www.zcygov.cn</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方式：供应商登录政采云平台https://www.zcygov.cn在线申请获取采购文件（进入“项目采购”应用，在获取采购文件菜单中选择项目，申请获取采购文件） </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售价：0元</w:t>
      </w:r>
    </w:p>
    <w:p>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bookmarkEnd w:id="28"/>
      <w:bookmarkEnd w:id="29"/>
      <w:bookmarkEnd w:id="30"/>
      <w:bookmarkEnd w:id="31"/>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32" w:name="_Toc35393802"/>
      <w:bookmarkStart w:id="33" w:name="_Toc28359093"/>
      <w:bookmarkStart w:id="34" w:name="_Toc35393633"/>
      <w:bookmarkStart w:id="35" w:name="_Toc28359016"/>
      <w:r>
        <w:rPr>
          <w:rFonts w:hint="eastAsia" w:ascii="宋体" w:hAnsi="宋体" w:eastAsia="宋体" w:cs="宋体"/>
          <w:color w:val="auto"/>
          <w:kern w:val="2"/>
          <w:sz w:val="24"/>
          <w:szCs w:val="24"/>
          <w:highlight w:val="none"/>
          <w:lang w:val="en-US" w:eastAsia="zh-CN" w:bidi="ar-SA"/>
        </w:rPr>
        <w:t>截止时间：2023年11月7日11：00（北京时间）</w:t>
      </w:r>
    </w:p>
    <w:p>
      <w:pPr>
        <w:pStyle w:val="28"/>
        <w:keepNext w:val="0"/>
        <w:keepLines w:val="0"/>
        <w:pageBreakBefore w:val="0"/>
        <w:widowControl w:val="0"/>
        <w:kinsoku/>
        <w:wordWrap w:val="0"/>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供应商应在此之前将加密的电子投标文件（文件后缀.jmbs）上传到政采云平台https://www.zcygov.cn对应位置或点击链接https://www.zcygov.cn/bidding-entrust/#/bidFile/upload/list。（逾期未上传的或不符合规定的投标文件将被拒绝接收）</w:t>
      </w:r>
    </w:p>
    <w:p>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bookmarkEnd w:id="32"/>
      <w:bookmarkEnd w:id="33"/>
      <w:bookmarkEnd w:id="34"/>
      <w:bookmarkEnd w:id="35"/>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时间：2023年11月7日11：00（北京时间）</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36" w:name="_Toc35393803"/>
      <w:bookmarkStart w:id="37" w:name="_Toc28359094"/>
      <w:bookmarkStart w:id="38" w:name="_Toc35393634"/>
      <w:bookmarkStart w:id="39" w:name="_Toc28359017"/>
      <w:r>
        <w:rPr>
          <w:rFonts w:hint="eastAsia" w:ascii="宋体" w:hAnsi="宋体" w:eastAsia="宋体" w:cs="宋体"/>
          <w:color w:val="auto"/>
          <w:kern w:val="2"/>
          <w:sz w:val="24"/>
          <w:szCs w:val="24"/>
          <w:highlight w:val="none"/>
          <w:lang w:val="en-US" w:eastAsia="zh-CN" w:bidi="ar-SA"/>
        </w:rPr>
        <w:t>地点：新疆政采云不见面开标大厅https://www.zcygov.cn</w:t>
      </w:r>
    </w:p>
    <w:bookmarkEnd w:id="36"/>
    <w:bookmarkEnd w:id="37"/>
    <w:bookmarkEnd w:id="38"/>
    <w:bookmarkEnd w:id="39"/>
    <w:p>
      <w:pPr>
        <w:shd w:val="clear" w:color="auto" w:fill="auto"/>
        <w:spacing w:line="360" w:lineRule="auto"/>
        <w:rPr>
          <w:rFonts w:hint="eastAsia" w:ascii="宋体" w:hAnsi="宋体" w:eastAsia="宋体" w:cs="宋体"/>
          <w:b/>
          <w:bCs/>
          <w:color w:val="auto"/>
          <w:sz w:val="24"/>
          <w:szCs w:val="24"/>
          <w:highlight w:val="none"/>
        </w:rPr>
      </w:pPr>
      <w:bookmarkStart w:id="40" w:name="_Toc27888"/>
      <w:bookmarkStart w:id="41" w:name="_Toc27800"/>
      <w:bookmarkStart w:id="42" w:name="_Toc21069"/>
      <w:bookmarkStart w:id="43" w:name="_Toc23301"/>
      <w:bookmarkStart w:id="44" w:name="_Toc28575"/>
      <w:bookmarkStart w:id="45" w:name="_Toc31205"/>
      <w:bookmarkStart w:id="46" w:name="_Toc27128"/>
      <w:bookmarkStart w:id="47" w:name="_Toc21153"/>
      <w:bookmarkStart w:id="48" w:name="_Toc28359018"/>
      <w:bookmarkStart w:id="49" w:name="_Toc2041"/>
      <w:bookmarkStart w:id="50" w:name="_Toc35393805"/>
      <w:bookmarkStart w:id="51" w:name="_Toc35393636"/>
      <w:bookmarkStart w:id="52" w:name="_Toc28359095"/>
      <w:r>
        <w:rPr>
          <w:rFonts w:hint="eastAsia" w:ascii="宋体" w:hAnsi="宋体" w:eastAsia="宋体" w:cs="宋体"/>
          <w:b/>
          <w:bCs/>
          <w:color w:val="auto"/>
          <w:sz w:val="24"/>
          <w:szCs w:val="24"/>
          <w:highlight w:val="none"/>
        </w:rPr>
        <w:t>六、公告期限</w:t>
      </w:r>
      <w:bookmarkEnd w:id="40"/>
      <w:bookmarkEnd w:id="41"/>
      <w:bookmarkEnd w:id="42"/>
      <w:bookmarkEnd w:id="43"/>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七、公告媒介：</w:t>
      </w:r>
      <w:bookmarkEnd w:id="44"/>
      <w:bookmarkEnd w:id="45"/>
      <w:bookmarkEnd w:id="46"/>
      <w:bookmarkEnd w:id="47"/>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新疆政府采购网（http://www.ccgp-xinjiang.gov.cn/）</w:t>
      </w:r>
    </w:p>
    <w:p>
      <w:pPr>
        <w:shd w:val="clear" w:color="auto" w:fill="auto"/>
        <w:spacing w:line="360" w:lineRule="auto"/>
        <w:rPr>
          <w:rFonts w:hint="eastAsia" w:ascii="宋体" w:hAnsi="宋体" w:eastAsia="宋体" w:cs="宋体"/>
          <w:b/>
          <w:bCs/>
          <w:color w:val="auto"/>
          <w:sz w:val="24"/>
          <w:szCs w:val="24"/>
          <w:highlight w:val="none"/>
        </w:rPr>
      </w:pPr>
      <w:bookmarkStart w:id="53" w:name="_Toc18889"/>
      <w:bookmarkStart w:id="54" w:name="_Toc10404"/>
      <w:bookmarkStart w:id="55" w:name="_Toc16712"/>
      <w:bookmarkStart w:id="56" w:name="_Toc7227"/>
      <w:r>
        <w:rPr>
          <w:rFonts w:hint="eastAsia" w:ascii="宋体" w:hAnsi="宋体" w:eastAsia="宋体" w:cs="宋体"/>
          <w:b/>
          <w:bCs/>
          <w:color w:val="auto"/>
          <w:sz w:val="24"/>
          <w:szCs w:val="24"/>
          <w:highlight w:val="none"/>
        </w:rPr>
        <w:t>八、其他补充事宜</w:t>
      </w:r>
      <w:bookmarkEnd w:id="53"/>
      <w:bookmarkEnd w:id="54"/>
      <w:bookmarkEnd w:id="55"/>
      <w:bookmarkEnd w:id="56"/>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1.本项目实行网上投标，采用电子投标文件。</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供应商应在开标前确保成为新疆政府采购网正式注册入库供应商，并完成CA数字证书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将政采云电子投标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4.供应商在开标时须使用制作加密电子投标文件所使用的CA锁及电脑，电脑须提前配置好浏览器（建议使用360浏览器极速模式或谷歌浏览器），以便开标时解锁。</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color w:val="auto"/>
          <w:kern w:val="2"/>
          <w:sz w:val="24"/>
          <w:szCs w:val="24"/>
          <w:shd w:val="clear" w:color="auto" w:fill="FFFFFF"/>
          <w:lang w:val="en-US" w:eastAsia="zh-CN" w:bidi="ar-SA"/>
        </w:rPr>
      </w:pPr>
      <w:r>
        <w:rPr>
          <w:rFonts w:hint="eastAsia" w:ascii="宋体" w:hAnsi="宋体" w:eastAsia="宋体" w:cs="宋体"/>
          <w:b/>
          <w:bCs/>
          <w:i w:val="0"/>
          <w:color w:val="auto"/>
          <w:kern w:val="2"/>
          <w:sz w:val="24"/>
          <w:szCs w:val="24"/>
          <w:shd w:val="clear" w:color="auto" w:fill="FFFFFF"/>
          <w:lang w:val="en-US" w:eastAsia="zh-CN" w:bidi="ar-SA"/>
        </w:rPr>
        <w:t>特别提示：</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8"/>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、凡对本次采购提出询问，请按以下方式联系。</w:t>
      </w:r>
      <w:bookmarkEnd w:id="48"/>
      <w:bookmarkEnd w:id="49"/>
      <w:bookmarkEnd w:id="50"/>
      <w:bookmarkEnd w:id="51"/>
      <w:bookmarkEnd w:id="52"/>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ascii="宋体" w:hAnsi="宋体" w:eastAsia="宋体" w:cs="宋体"/>
          <w:b/>
          <w:bCs/>
          <w:i w:val="0"/>
          <w:color w:val="auto"/>
          <w:kern w:val="2"/>
          <w:sz w:val="24"/>
          <w:szCs w:val="24"/>
          <w:shd w:val="clear" w:color="auto" w:fill="FFFFFF"/>
          <w:lang w:val="en-US" w:eastAsia="zh-CN" w:bidi="ar-SA"/>
        </w:rPr>
      </w:pPr>
      <w:r>
        <w:rPr>
          <w:rFonts w:hint="eastAsia" w:ascii="宋体" w:hAnsi="宋体" w:eastAsia="宋体" w:cs="宋体"/>
          <w:b/>
          <w:bCs/>
          <w:i w:val="0"/>
          <w:color w:val="auto"/>
          <w:kern w:val="2"/>
          <w:sz w:val="24"/>
          <w:szCs w:val="24"/>
          <w:shd w:val="clear" w:color="auto" w:fill="FFFFFF"/>
          <w:lang w:val="en-US" w:eastAsia="zh-CN" w:bidi="ar-SA"/>
        </w:rPr>
        <w:t>1.采购人信息</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名 称：玛纳斯县文化体育广播电视和旅游局</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地 址：玛纳斯县文广路1号</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联系方式：0994-4502557</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ascii="宋体" w:hAnsi="宋体" w:eastAsia="宋体" w:cs="宋体"/>
          <w:b/>
          <w:bCs/>
          <w:i w:val="0"/>
          <w:color w:val="auto"/>
          <w:kern w:val="2"/>
          <w:sz w:val="24"/>
          <w:szCs w:val="24"/>
          <w:shd w:val="clear" w:color="auto" w:fill="FFFFFF"/>
          <w:lang w:val="en-US" w:eastAsia="zh-CN" w:bidi="ar-SA"/>
        </w:rPr>
      </w:pPr>
      <w:r>
        <w:rPr>
          <w:rFonts w:hint="eastAsia" w:ascii="宋体" w:hAnsi="宋体" w:eastAsia="宋体" w:cs="宋体"/>
          <w:b/>
          <w:bCs/>
          <w:i w:val="0"/>
          <w:color w:val="auto"/>
          <w:kern w:val="2"/>
          <w:sz w:val="24"/>
          <w:szCs w:val="24"/>
          <w:shd w:val="clear" w:color="auto" w:fill="FFFFFF"/>
          <w:lang w:val="en-US" w:eastAsia="zh-CN" w:bidi="ar-SA"/>
        </w:rPr>
        <w:t>2.采购代理机构信息</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名 称：新疆天必达招标代理有限公司</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地 址：</w:t>
      </w:r>
      <w:r>
        <w:rPr>
          <w:rFonts w:hint="eastAsia" w:hAnsi="宋体" w:eastAsia="宋体" w:cs="宋体"/>
          <w:b w:val="0"/>
          <w:i w:val="0"/>
          <w:color w:val="auto"/>
          <w:kern w:val="2"/>
          <w:sz w:val="24"/>
          <w:szCs w:val="24"/>
          <w:u w:val="none"/>
          <w:shd w:val="clear" w:color="auto" w:fill="FFFFFF"/>
          <w:lang w:val="en-US" w:eastAsia="zh-CN" w:bidi="ar-SA"/>
        </w:rPr>
        <w:t>石河子市科技园人座20501室</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联系方式：13199861977</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default" w:ascii="宋体" w:hAnsi="宋体" w:eastAsia="宋体" w:cs="宋体"/>
          <w:b w:val="0"/>
          <w:i w:val="0"/>
          <w:color w:val="auto"/>
          <w:kern w:val="2"/>
          <w:sz w:val="24"/>
          <w:szCs w:val="24"/>
          <w:u w:val="none"/>
          <w:shd w:val="clear" w:color="auto" w:fill="FFFFFF"/>
          <w:lang w:val="en-US" w:eastAsia="zh-CN" w:bidi="ar-SA"/>
        </w:rPr>
      </w:pPr>
      <w:r>
        <w:rPr>
          <w:rFonts w:hint="eastAsia" w:hAnsi="宋体" w:eastAsia="宋体" w:cs="宋体"/>
          <w:b w:val="0"/>
          <w:i w:val="0"/>
          <w:color w:val="auto"/>
          <w:kern w:val="2"/>
          <w:sz w:val="24"/>
          <w:szCs w:val="24"/>
          <w:u w:val="none"/>
          <w:shd w:val="clear" w:color="auto" w:fill="FFFFFF"/>
          <w:lang w:val="en-US" w:eastAsia="zh-CN" w:bidi="ar-SA"/>
        </w:rPr>
        <w:t>电子邮箱：</w:t>
      </w:r>
      <w:r>
        <w:rPr>
          <w:rFonts w:hint="eastAsia" w:ascii="宋体" w:hAnsi="宋体" w:eastAsia="宋体" w:cs="宋体"/>
          <w:bCs/>
          <w:color w:val="auto"/>
          <w:kern w:val="2"/>
          <w:sz w:val="24"/>
          <w:szCs w:val="22"/>
          <w:highlight w:val="none"/>
          <w:lang w:val="en-US" w:eastAsia="zh-CN"/>
        </w:rPr>
        <w:t>xjtbdzb@126.com</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ascii="宋体" w:hAnsi="宋体" w:eastAsia="宋体" w:cs="宋体"/>
          <w:b/>
          <w:bCs/>
          <w:i w:val="0"/>
          <w:color w:val="auto"/>
          <w:kern w:val="2"/>
          <w:sz w:val="24"/>
          <w:szCs w:val="24"/>
          <w:shd w:val="clear" w:color="auto" w:fill="FFFFFF"/>
          <w:lang w:val="en-US" w:eastAsia="zh-CN" w:bidi="ar-SA"/>
        </w:rPr>
      </w:pPr>
      <w:r>
        <w:rPr>
          <w:rFonts w:hint="eastAsia" w:ascii="宋体" w:hAnsi="宋体" w:eastAsia="宋体" w:cs="宋体"/>
          <w:b/>
          <w:bCs/>
          <w:i w:val="0"/>
          <w:color w:val="auto"/>
          <w:kern w:val="2"/>
          <w:sz w:val="24"/>
          <w:szCs w:val="24"/>
          <w:shd w:val="clear" w:color="auto" w:fill="FFFFFF"/>
          <w:lang w:val="en-US" w:eastAsia="zh-CN" w:bidi="ar-SA"/>
        </w:rPr>
        <w:t>3.项目联系方式</w:t>
      </w:r>
    </w:p>
    <w:p>
      <w:pPr>
        <w:pStyle w:val="17"/>
        <w:pageBreakBefore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b w:val="0"/>
          <w:i w:val="0"/>
          <w:color w:val="auto"/>
          <w:kern w:val="2"/>
          <w:sz w:val="24"/>
          <w:szCs w:val="24"/>
          <w:u w:val="none"/>
          <w:shd w:val="clear" w:color="auto" w:fill="FFFFFF"/>
          <w:lang w:val="en-US" w:eastAsia="zh-CN" w:bidi="ar-SA"/>
        </w:rPr>
      </w:pPr>
      <w:r>
        <w:rPr>
          <w:rFonts w:hint="eastAsia" w:ascii="宋体" w:hAnsi="宋体" w:eastAsia="宋体" w:cs="宋体"/>
          <w:b w:val="0"/>
          <w:i w:val="0"/>
          <w:color w:val="auto"/>
          <w:kern w:val="2"/>
          <w:sz w:val="24"/>
          <w:szCs w:val="24"/>
          <w:u w:val="none"/>
          <w:shd w:val="clear" w:color="auto" w:fill="FFFFFF"/>
          <w:lang w:val="en-US" w:eastAsia="zh-CN" w:bidi="ar-SA"/>
        </w:rPr>
        <w:t>项目联系人：雷鸣</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720" w:firstLineChars="300"/>
        <w:textAlignment w:val="auto"/>
        <w:rPr>
          <w:rFonts w:hint="eastAsia" w:ascii="宋体" w:hAnsi="宋体" w:eastAsia="宋体" w:cs="宋体"/>
          <w:color w:val="auto"/>
        </w:rPr>
      </w:pPr>
      <w:r>
        <w:rPr>
          <w:rFonts w:hint="eastAsia" w:ascii="宋体" w:hAnsi="宋体" w:eastAsia="宋体" w:cs="宋体"/>
          <w:b w:val="0"/>
          <w:i w:val="0"/>
          <w:color w:val="auto"/>
          <w:kern w:val="2"/>
          <w:sz w:val="24"/>
          <w:szCs w:val="24"/>
          <w:u w:val="none"/>
          <w:shd w:val="clear" w:color="auto" w:fill="FFFFFF"/>
          <w:lang w:val="en-US" w:eastAsia="zh-CN" w:bidi="ar-SA"/>
        </w:rPr>
        <w:t>电　话：</w:t>
      </w:r>
      <w:r>
        <w:rPr>
          <w:rFonts w:hint="eastAsia" w:ascii="宋体" w:hAnsi="宋体" w:eastAsia="宋体" w:cs="宋体"/>
          <w:b w:val="0"/>
          <w:i w:val="0"/>
          <w:color w:val="auto"/>
          <w:sz w:val="24"/>
          <w:szCs w:val="24"/>
          <w:shd w:val="clear" w:color="auto" w:fill="FFFFFF"/>
        </w:rPr>
        <w:t>13199861977</w:t>
      </w:r>
    </w:p>
    <w:p>
      <w:pPr>
        <w:pStyle w:val="3"/>
        <w:keepNext w:val="0"/>
        <w:keepLines w:val="0"/>
        <w:widowControl/>
        <w:suppressLineNumbers w:val="0"/>
        <w:spacing w:line="225" w:lineRule="atLeast"/>
        <w:jc w:val="center"/>
        <w:rPr>
          <w:sz w:val="18"/>
          <w:szCs w:val="18"/>
        </w:rPr>
      </w:pPr>
    </w:p>
    <w:p>
      <w:pPr>
        <w:pStyle w:val="3"/>
        <w:keepNext w:val="0"/>
        <w:keepLines w:val="0"/>
        <w:widowControl/>
        <w:suppressLineNumbers w:val="0"/>
        <w:spacing w:line="225" w:lineRule="atLeast"/>
        <w:jc w:val="center"/>
        <w:rPr>
          <w:sz w:val="18"/>
          <w:szCs w:val="18"/>
        </w:rPr>
      </w:pPr>
    </w:p>
    <w:p>
      <w:pPr>
        <w:pStyle w:val="3"/>
        <w:keepNext w:val="0"/>
        <w:keepLines w:val="0"/>
        <w:widowControl/>
        <w:suppressLineNumbers w:val="0"/>
        <w:spacing w:line="225" w:lineRule="atLeast"/>
        <w:jc w:val="center"/>
        <w:rPr>
          <w:sz w:val="18"/>
          <w:szCs w:val="18"/>
        </w:rPr>
      </w:pPr>
    </w:p>
    <w:p>
      <w:pPr>
        <w:pStyle w:val="3"/>
        <w:keepNext w:val="0"/>
        <w:keepLines w:val="0"/>
        <w:widowControl/>
        <w:suppressLineNumbers w:val="0"/>
        <w:spacing w:line="225" w:lineRule="atLeast"/>
        <w:jc w:val="center"/>
        <w:rPr>
          <w:rFonts w:hint="eastAsia"/>
          <w:b/>
          <w:bCs w:val="0"/>
          <w:sz w:val="44"/>
          <w:szCs w:val="44"/>
          <w:lang w:val="en-US" w:eastAsia="zh-CN"/>
        </w:rPr>
      </w:pPr>
    </w:p>
    <w:p>
      <w:pPr>
        <w:pStyle w:val="3"/>
        <w:keepNext w:val="0"/>
        <w:keepLines w:val="0"/>
        <w:widowControl/>
        <w:suppressLineNumbers w:val="0"/>
        <w:spacing w:line="225" w:lineRule="atLeast"/>
        <w:jc w:val="both"/>
        <w:rPr>
          <w:rFonts w:hint="eastAsia"/>
          <w:b/>
          <w:bCs w:val="0"/>
          <w:sz w:val="44"/>
          <w:szCs w:val="44"/>
          <w:lang w:val="en-US" w:eastAsia="zh-CN"/>
        </w:rPr>
      </w:pPr>
    </w:p>
    <w:p>
      <w:pPr>
        <w:pStyle w:val="3"/>
        <w:shd w:val="clear" w:color="auto" w:fill="auto"/>
        <w:spacing w:before="0" w:after="0" w:line="240" w:lineRule="auto"/>
        <w:rPr>
          <w:rFonts w:hint="eastAsia" w:ascii="宋体" w:hAnsi="宋体" w:eastAsia="宋体" w:cs="宋体"/>
          <w:b/>
          <w:bCs w:val="0"/>
          <w:color w:val="auto"/>
          <w:highlight w:val="none"/>
        </w:rPr>
      </w:pPr>
      <w:r>
        <w:rPr>
          <w:rFonts w:hint="eastAsia"/>
          <w:b/>
          <w:bCs w:val="0"/>
          <w:sz w:val="44"/>
          <w:szCs w:val="44"/>
          <w:lang w:val="en-US" w:eastAsia="zh-CN"/>
        </w:rPr>
        <w:t xml:space="preserve">第二章 </w:t>
      </w:r>
      <w:r>
        <w:rPr>
          <w:rFonts w:hint="eastAsia" w:ascii="宋体" w:hAnsi="宋体" w:eastAsia="宋体" w:cs="宋体"/>
          <w:b/>
          <w:bCs w:val="0"/>
          <w:color w:val="auto"/>
          <w:szCs w:val="20"/>
          <w:highlight w:val="none"/>
        </w:rPr>
        <w:t xml:space="preserve"> </w:t>
      </w:r>
      <w:r>
        <w:rPr>
          <w:rFonts w:hint="eastAsia" w:ascii="宋体" w:hAnsi="宋体" w:eastAsia="宋体" w:cs="宋体"/>
          <w:b/>
          <w:bCs w:val="0"/>
          <w:color w:val="auto"/>
          <w:highlight w:val="none"/>
        </w:rPr>
        <w:t>供应商须知</w:t>
      </w:r>
      <w:bookmarkEnd w:id="7"/>
      <w:bookmarkEnd w:id="8"/>
      <w:bookmarkEnd w:id="9"/>
      <w:bookmarkEnd w:id="10"/>
      <w:bookmarkEnd w:id="11"/>
      <w:bookmarkEnd w:id="12"/>
    </w:p>
    <w:p>
      <w:pPr>
        <w:shd w:val="clear" w:color="auto" w:fill="auto"/>
        <w:rPr>
          <w:rFonts w:hint="eastAsia" w:ascii="宋体" w:hAnsi="宋体" w:eastAsia="宋体" w:cs="宋体"/>
          <w:color w:val="auto"/>
          <w:highlight w:val="none"/>
        </w:rPr>
      </w:pPr>
      <w:bookmarkStart w:id="57" w:name="EB99f3ffc62d4744a9abed5da111a780a5"/>
      <w:bookmarkStart w:id="58" w:name="_Toc21720"/>
    </w:p>
    <w:p>
      <w:pPr>
        <w:pStyle w:val="55"/>
        <w:shd w:val="clear" w:color="auto" w:fill="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供应商须知前附表</w:t>
      </w:r>
    </w:p>
    <w:tbl>
      <w:tblPr>
        <w:tblStyle w:val="32"/>
        <w:tblW w:w="1007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7"/>
        <w:gridCol w:w="1440"/>
        <w:gridCol w:w="1050"/>
        <w:gridCol w:w="663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序列号</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633"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633" w:type="dxa"/>
            <w:noWrap w:val="0"/>
            <w:vAlign w:val="center"/>
          </w:tcPr>
          <w:p>
            <w:pPr>
              <w:pStyle w:val="55"/>
              <w:shd w:val="clear" w:color="auto" w:fill="auto"/>
              <w:adjustRightInd w:val="0"/>
              <w:snapToGrid w:val="0"/>
              <w:spacing w:before="120"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昌吉州玛纳斯县图书馆建设项目监理服务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6633" w:type="dxa"/>
            <w:noWrap w:val="0"/>
            <w:vAlign w:val="center"/>
          </w:tcPr>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称：玛纳斯县文化体育广播电视和旅游局</w:t>
            </w:r>
          </w:p>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址：玛纳斯县文广路1号</w:t>
            </w:r>
          </w:p>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联系人：方芳</w:t>
            </w:r>
          </w:p>
          <w:p>
            <w:pPr>
              <w:pStyle w:val="55"/>
              <w:shd w:val="clear" w:color="auto" w:fill="auto"/>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0994-4502557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8"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6633" w:type="dxa"/>
            <w:noWrap w:val="0"/>
            <w:vAlign w:val="center"/>
          </w:tcPr>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称：新疆天必达招标代理有限公司</w:t>
            </w:r>
          </w:p>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址：石河子市科技园人座20501室</w:t>
            </w:r>
          </w:p>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联系人：雷鸣</w:t>
            </w:r>
          </w:p>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联系方式：13199861977</w:t>
            </w:r>
          </w:p>
          <w:p>
            <w:pPr>
              <w:pStyle w:val="55"/>
              <w:shd w:val="clear" w:color="auto" w:fill="auto"/>
              <w:autoSpaceDE w:val="0"/>
              <w:autoSpaceDN w:val="0"/>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r>
              <w:rPr>
                <w:rFonts w:hint="eastAsia" w:ascii="宋体" w:hAnsi="宋体" w:eastAsia="宋体" w:cs="宋体"/>
                <w:bCs/>
                <w:color w:val="auto"/>
                <w:kern w:val="2"/>
                <w:sz w:val="24"/>
                <w:szCs w:val="22"/>
                <w:highlight w:val="none"/>
                <w:lang w:val="en-US" w:eastAsia="zh-CN"/>
              </w:rPr>
              <w:t>xjtbdzb@126.com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监管部门</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玛纳斯县财政局采购办</w:t>
            </w:r>
            <w:r>
              <w:rPr>
                <w:rFonts w:hint="eastAsia" w:ascii="宋体" w:hAnsi="宋体" w:eastAsia="宋体" w:cs="宋体"/>
                <w:color w:val="auto"/>
                <w:sz w:val="24"/>
                <w:szCs w:val="24"/>
                <w:highlight w:val="none"/>
                <w:u w:val="none"/>
              </w:rPr>
              <w:t xml:space="preserve">       </w:t>
            </w:r>
          </w:p>
          <w:p>
            <w:pPr>
              <w:pStyle w:val="56"/>
              <w:keepNext w:val="0"/>
              <w:keepLines w:val="0"/>
              <w:pageBreakBefore w:val="0"/>
              <w:widowControl/>
              <w:kinsoku/>
              <w:wordWrap/>
              <w:overflowPunct/>
              <w:topLinePunct w:val="0"/>
              <w:bidi w:val="0"/>
              <w:spacing w:after="200" w:line="240" w:lineRule="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地  址：玛纳斯县碧玉大道40号 </w:t>
            </w:r>
          </w:p>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电  话：</w:t>
            </w:r>
            <w:r>
              <w:rPr>
                <w:rFonts w:hint="eastAsia" w:ascii="宋体" w:hAnsi="宋体" w:eastAsia="宋体" w:cs="宋体"/>
                <w:color w:val="auto"/>
                <w:sz w:val="24"/>
                <w:szCs w:val="24"/>
                <w:highlight w:val="none"/>
                <w:u w:val="none"/>
                <w:lang w:eastAsia="zh-CN"/>
              </w:rPr>
              <w:t xml:space="preserve">0994-6650069  </w:t>
            </w:r>
            <w:r>
              <w:rPr>
                <w:rFonts w:hint="eastAsia" w:ascii="宋体" w:hAnsi="宋体" w:eastAsia="宋体" w:cs="宋体"/>
                <w:color w:val="auto"/>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9"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项目预算</w:t>
            </w:r>
          </w:p>
        </w:tc>
        <w:tc>
          <w:tcPr>
            <w:tcW w:w="6633" w:type="dxa"/>
            <w:noWrap w:val="0"/>
            <w:vAlign w:val="center"/>
          </w:tcPr>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金额（小写）：</w:t>
            </w:r>
            <w:r>
              <w:rPr>
                <w:rFonts w:hint="eastAsia" w:ascii="宋体" w:hAnsi="宋体" w:eastAsia="宋体" w:cs="宋体"/>
                <w:color w:val="auto"/>
                <w:sz w:val="24"/>
                <w:szCs w:val="24"/>
                <w:highlight w:val="none"/>
                <w:u w:val="single"/>
                <w:lang w:val="en-US" w:eastAsia="zh-CN"/>
              </w:rPr>
              <w:t>150000.00</w:t>
            </w:r>
            <w:r>
              <w:rPr>
                <w:rFonts w:hint="eastAsia" w:ascii="宋体" w:hAnsi="宋体" w:eastAsia="宋体" w:cs="宋体"/>
                <w:color w:val="auto"/>
                <w:sz w:val="24"/>
                <w:szCs w:val="24"/>
                <w:highlight w:val="none"/>
                <w:u w:val="single"/>
                <w:lang w:val="zh-CN"/>
              </w:rPr>
              <w:t>元</w:t>
            </w:r>
            <w:r>
              <w:rPr>
                <w:rFonts w:hint="eastAsia" w:ascii="宋体" w:hAnsi="宋体" w:eastAsia="宋体" w:cs="宋体"/>
                <w:color w:val="auto"/>
                <w:sz w:val="24"/>
                <w:szCs w:val="24"/>
                <w:highlight w:val="none"/>
                <w:u w:val="single"/>
              </w:rPr>
              <w:t xml:space="preserve"> </w:t>
            </w:r>
          </w:p>
          <w:p>
            <w:pPr>
              <w:pStyle w:val="55"/>
              <w:shd w:val="clear" w:color="auto" w:fill="auto"/>
              <w:adjustRightInd w:val="0"/>
              <w:snapToGrid w:val="0"/>
              <w:spacing w:before="120" w:beforeLines="50"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金额（大写）：</w:t>
            </w:r>
            <w:r>
              <w:rPr>
                <w:rFonts w:hint="eastAsia" w:ascii="宋体" w:hAnsi="宋体" w:eastAsia="宋体" w:cs="宋体"/>
                <w:color w:val="auto"/>
                <w:sz w:val="24"/>
                <w:szCs w:val="24"/>
                <w:highlight w:val="none"/>
                <w:u w:val="single"/>
                <w:lang w:val="en-US" w:eastAsia="zh-CN"/>
              </w:rPr>
              <w:t>壹拾伍万元整</w:t>
            </w:r>
            <w:r>
              <w:rPr>
                <w:rFonts w:hint="eastAsia" w:ascii="宋体" w:hAnsi="宋体" w:eastAsia="宋体" w:cs="宋体"/>
                <w:color w:val="auto"/>
                <w:sz w:val="24"/>
                <w:szCs w:val="24"/>
                <w:highlight w:val="none"/>
                <w:u w:val="single"/>
              </w:rPr>
              <w:t xml:space="preserve">  </w:t>
            </w:r>
          </w:p>
          <w:p>
            <w:pPr>
              <w:pStyle w:val="55"/>
              <w:shd w:val="clear" w:color="auto" w:fill="auto"/>
              <w:adjustRightInd w:val="0"/>
              <w:snapToGrid w:val="0"/>
              <w:spacing w:before="120" w:beforeLines="50"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2"/>
                <w:sz w:val="24"/>
                <w:szCs w:val="24"/>
                <w:highlight w:val="none"/>
                <w:lang w:val="en-US" w:eastAsia="zh-CN"/>
              </w:rPr>
              <w:t>注：</w:t>
            </w:r>
            <w:r>
              <w:rPr>
                <w:rFonts w:hint="eastAsia" w:ascii="宋体" w:hAnsi="宋体" w:eastAsia="宋体" w:cs="宋体"/>
                <w:b/>
                <w:bCs/>
                <w:color w:val="auto"/>
                <w:kern w:val="2"/>
                <w:sz w:val="24"/>
                <w:szCs w:val="24"/>
                <w:highlight w:val="none"/>
                <w:lang w:val="zh-CN"/>
              </w:rPr>
              <w:t>投标人投标报价超过项目预算的按无效投标处理。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6633" w:type="dxa"/>
            <w:noWrap w:val="0"/>
            <w:vAlign w:val="center"/>
          </w:tcPr>
          <w:p>
            <w:pPr>
              <w:pStyle w:val="55"/>
              <w:shd w:val="clear" w:color="auto" w:fill="auto"/>
              <w:autoSpaceDE w:val="0"/>
              <w:autoSpaceDN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昌吉州玛纳斯县图书馆建设项目</w:t>
            </w:r>
            <w:r>
              <w:rPr>
                <w:rFonts w:hint="eastAsia" w:ascii="宋体" w:hAnsi="宋体" w:eastAsia="宋体" w:cs="宋体"/>
                <w:color w:val="auto"/>
                <w:sz w:val="24"/>
                <w:szCs w:val="24"/>
                <w:highlight w:val="none"/>
                <w:lang w:val="en-US" w:eastAsia="zh-CN"/>
              </w:rPr>
              <w:t>全套施工图纸及工程量清单范围内的全部监理内容。（具体采购需求详见磋商文件第三章采购需求）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kern w:val="2"/>
                <w:sz w:val="24"/>
                <w:szCs w:val="22"/>
                <w:highlight w:val="none"/>
                <w:lang w:val="en-US" w:eastAsia="zh-CN"/>
              </w:rPr>
              <w:t>★</w:t>
            </w:r>
            <w:r>
              <w:rPr>
                <w:rFonts w:hint="eastAsia" w:ascii="宋体" w:hAnsi="宋体" w:eastAsia="宋体" w:cs="宋体"/>
                <w:b/>
                <w:bCs/>
                <w:color w:val="auto"/>
                <w:sz w:val="24"/>
                <w:szCs w:val="24"/>
                <w:highlight w:val="none"/>
              </w:rPr>
              <w:t>供应商资格</w:t>
            </w:r>
          </w:p>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none"/>
              </w:rPr>
              <w:t>条件</w:t>
            </w:r>
          </w:p>
        </w:tc>
        <w:tc>
          <w:tcPr>
            <w:tcW w:w="6633" w:type="dxa"/>
            <w:noWrap w:val="0"/>
            <w:vAlign w:val="center"/>
          </w:tcPr>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要求，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3.特定资格要求：</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（1）供应商应具备国家建设行政主管部门颁发的综合监理资质或建筑工程专业监理乙级及以上（含乙级）资质。</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（2）项目总监需具备注册</w:t>
            </w:r>
            <w:r>
              <w:rPr>
                <w:rFonts w:hint="eastAsia" w:ascii="宋体" w:hAnsi="宋体" w:cs="宋体"/>
                <w:color w:val="auto"/>
                <w:sz w:val="24"/>
                <w:szCs w:val="24"/>
                <w:highlight w:val="none"/>
                <w:lang w:val="en-US" w:eastAsia="zh-CN"/>
              </w:rPr>
              <w:t>监理工程师执业资格</w:t>
            </w:r>
            <w:r>
              <w:rPr>
                <w:rFonts w:hint="eastAsia" w:ascii="宋体" w:hAnsi="宋体" w:eastAsia="宋体" w:cs="宋体"/>
                <w:color w:val="auto"/>
                <w:sz w:val="24"/>
                <w:szCs w:val="24"/>
                <w:highlight w:val="none"/>
                <w:lang w:val="en-US" w:eastAsia="zh-CN"/>
              </w:rPr>
              <w:t>，并在本单位注册。</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4.供应商不得存在下列情形之一： </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（l）与采购人、采购代理机构存在隶属关系或者其他利害关系。</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其他供应商的法定代表人（或者负责人）为同一人；或者与其他供应商存在控股、关联关系；为采购项目提供整体设计、规范编制或者项目管理、监理、检测等服务的供应商，不得再参加本项目的采购活动。</w:t>
            </w:r>
          </w:p>
          <w:p>
            <w:pPr>
              <w:shd w:val="clear" w:color="auto" w:fill="auto"/>
              <w:tabs>
                <w:tab w:val="left" w:pos="3544"/>
              </w:tabs>
              <w:spacing w:line="360" w:lineRule="auto"/>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highlight w:val="none"/>
                <w:lang w:val="en-US" w:eastAsia="zh-CN"/>
              </w:rPr>
              <w:t>（3）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947" w:type="dxa"/>
            <w:vMerge w:val="restart"/>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1440" w:type="dxa"/>
            <w:vMerge w:val="restart"/>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w:t>
            </w:r>
          </w:p>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组成部分</w:t>
            </w:r>
          </w:p>
        </w:tc>
        <w:tc>
          <w:tcPr>
            <w:tcW w:w="1050" w:type="dxa"/>
            <w:noWrap w:val="0"/>
            <w:vAlign w:val="top"/>
          </w:tcPr>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封面</w:t>
            </w:r>
          </w:p>
        </w:tc>
        <w:tc>
          <w:tcPr>
            <w:tcW w:w="6633" w:type="dxa"/>
            <w:noWrap w:val="0"/>
            <w:vAlign w:val="top"/>
          </w:tcPr>
          <w:p>
            <w:pPr>
              <w:pStyle w:val="113"/>
              <w:spacing w:before="119" w:line="219" w:lineRule="auto"/>
              <w:ind w:left="117"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947" w:type="dxa"/>
            <w:vMerge w:val="continue"/>
            <w:noWrap w:val="0"/>
            <w:vAlign w:val="center"/>
          </w:tcPr>
          <w:p>
            <w:pPr>
              <w:pStyle w:val="55"/>
              <w:shd w:val="clear" w:color="auto" w:fill="auto"/>
              <w:adjustRightInd w:val="0"/>
              <w:snapToGrid w:val="0"/>
              <w:spacing w:before="120" w:beforeLines="50" w:line="360" w:lineRule="auto"/>
              <w:jc w:val="center"/>
            </w:pPr>
          </w:p>
        </w:tc>
        <w:tc>
          <w:tcPr>
            <w:tcW w:w="1440" w:type="dxa"/>
            <w:vMerge w:val="continue"/>
            <w:noWrap w:val="0"/>
            <w:vAlign w:val="center"/>
          </w:tcPr>
          <w:p>
            <w:pPr>
              <w:pStyle w:val="55"/>
              <w:shd w:val="clear" w:color="auto" w:fill="auto"/>
              <w:adjustRightInd w:val="0"/>
              <w:snapToGrid w:val="0"/>
              <w:spacing w:before="120" w:beforeLines="50" w:line="360" w:lineRule="auto"/>
              <w:jc w:val="center"/>
            </w:pPr>
          </w:p>
        </w:tc>
        <w:tc>
          <w:tcPr>
            <w:tcW w:w="1050" w:type="dxa"/>
            <w:noWrap w:val="0"/>
            <w:vAlign w:val="top"/>
          </w:tcPr>
          <w:p>
            <w:pPr>
              <w:spacing w:line="249" w:lineRule="auto"/>
              <w:jc w:val="center"/>
              <w:rPr>
                <w:rFonts w:ascii="Arial"/>
                <w:sz w:val="21"/>
              </w:rPr>
            </w:pPr>
          </w:p>
          <w:p>
            <w:pPr>
              <w:spacing w:line="249" w:lineRule="auto"/>
              <w:jc w:val="center"/>
              <w:rPr>
                <w:rFonts w:ascii="Arial"/>
                <w:sz w:val="21"/>
              </w:rPr>
            </w:pPr>
          </w:p>
          <w:p>
            <w:pPr>
              <w:spacing w:line="249"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资格</w:t>
            </w: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w:t>
            </w:r>
          </w:p>
          <w:p>
            <w:pPr>
              <w:pStyle w:val="113"/>
              <w:spacing w:before="118"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文件</w:t>
            </w:r>
          </w:p>
        </w:tc>
        <w:tc>
          <w:tcPr>
            <w:tcW w:w="6633" w:type="dxa"/>
            <w:noWrap w:val="0"/>
            <w:vAlign w:val="top"/>
          </w:tcPr>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）★《中华人民共和国政府采购法》第二十二条应当具备的条件；并在投标文件中提供下列材料：</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①具有独立承担民事责任的能力证明材料：提供法人或者其他组织的营业执照等证明文件，自然人的身份证明。</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良好的商业信誉和健全的财务会计制度：1、投标人是法人组织的应提供经第三方审计的上一年度（2022年）的财务审计报告；2022年度财务审计报告未完成的须提供2021年度财务审计报告或近一个季度的财务报表或开标前三个月内基本开户银行出具的资信证明。2、自成立到投标截止时间，未跨一个自然年度的须提供近一个季度的财务报表或开标前三个月内基本开户银行出具的资信证明。</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③具有履行合同所必需的设备和专业技术能力：提供具备履行合同所必需的设备和专业技术能力的承诺书。</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有依法缴纳税收和社会保障资金的良好记录：1、提供税务机构出具的近一年内任两个月的依法缴纳税收等证明材料（刚成立不满三个月的企业，应提供依法缴纳税收承诺书；如依法免税的企业，应提供相应文件证明其依法免税）。2、提供近一年内任意两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⑤参加政府采购活动前三年内，在经营活动中没有重大违法记录：提供参加政府采购活动前三年内，在经营活动中没有重大违法记录声明书。</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⑥法律、行政法规规定的其他条件。  </w:t>
            </w:r>
          </w:p>
          <w:p>
            <w:pPr>
              <w:shd w:val="clear" w:color="auto" w:fill="auto"/>
              <w:tabs>
                <w:tab w:val="left" w:pos="3544"/>
              </w:tabs>
              <w:spacing w:line="360" w:lineRule="auto"/>
              <w:rPr>
                <w:rFonts w:hint="eastAsia" w:ascii="仿宋" w:hAnsi="仿宋" w:eastAsia="仿宋" w:cs="仿宋"/>
                <w:color w:val="auto"/>
                <w:kern w:val="0"/>
                <w:sz w:val="24"/>
                <w:szCs w:val="24"/>
                <w:highlight w:val="none"/>
              </w:rPr>
            </w:pPr>
            <w:r>
              <w:rPr>
                <w:rFonts w:hint="eastAsia" w:ascii="宋体" w:hAnsi="宋体" w:eastAsia="宋体" w:cs="宋体"/>
                <w:color w:val="auto"/>
                <w:sz w:val="24"/>
                <w:szCs w:val="24"/>
                <w:highlight w:val="none"/>
                <w:lang w:val="en-US" w:eastAsia="zh-CN"/>
              </w:rPr>
              <w:t xml:space="preserve">⑦投标人认为有必要提供的材料。 </w:t>
            </w:r>
            <w:r>
              <w:rPr>
                <w:rFonts w:hint="eastAsia" w:ascii="仿宋" w:hAnsi="仿宋" w:eastAsia="仿宋" w:cs="仿宋"/>
                <w:color w:val="auto"/>
                <w:kern w:val="0"/>
                <w:sz w:val="24"/>
                <w:szCs w:val="24"/>
                <w:highlight w:val="none"/>
              </w:rPr>
              <w:t xml:space="preserve">      </w:t>
            </w:r>
          </w:p>
          <w:p>
            <w:pPr>
              <w:numPr>
                <w:ilvl w:val="0"/>
                <w:numId w:val="1"/>
              </w:num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w:t>
            </w:r>
          </w:p>
          <w:p>
            <w:pPr>
              <w:numPr>
                <w:numId w:val="0"/>
              </w:num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）★投标保证金</w:t>
            </w:r>
          </w:p>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）★不参与围标串标承诺书</w:t>
            </w:r>
          </w:p>
          <w:p>
            <w:pPr>
              <w:shd w:val="clear" w:color="auto" w:fill="auto"/>
              <w:tabs>
                <w:tab w:val="left" w:pos="354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）其他声明及文件资料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947" w:type="dxa"/>
            <w:vMerge w:val="continue"/>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p>
        </w:tc>
        <w:tc>
          <w:tcPr>
            <w:tcW w:w="1440" w:type="dxa"/>
            <w:vMerge w:val="continue"/>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p>
        </w:tc>
        <w:tc>
          <w:tcPr>
            <w:tcW w:w="1050" w:type="dxa"/>
            <w:noWrap w:val="0"/>
            <w:vAlign w:val="top"/>
          </w:tcPr>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价格</w:t>
            </w: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w:t>
            </w:r>
          </w:p>
          <w:p>
            <w:pPr>
              <w:pStyle w:val="113"/>
              <w:spacing w:before="118"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文件</w:t>
            </w:r>
          </w:p>
        </w:tc>
        <w:tc>
          <w:tcPr>
            <w:tcW w:w="6633" w:type="dxa"/>
            <w:noWrap w:val="0"/>
            <w:vAlign w:val="top"/>
          </w:tcPr>
          <w:p>
            <w:pPr>
              <w:pStyle w:val="113"/>
              <w:spacing w:before="195" w:line="468" w:lineRule="exact"/>
              <w:ind w:left="125"/>
            </w:pPr>
            <w:r>
              <w:rPr>
                <w:spacing w:val="-3"/>
                <w:position w:val="17"/>
              </w:rPr>
              <w:t>（一）★开标一览表</w:t>
            </w:r>
          </w:p>
          <w:p>
            <w:pPr>
              <w:pStyle w:val="113"/>
              <w:spacing w:before="1" w:line="217" w:lineRule="auto"/>
              <w:ind w:left="125" w:leftChars="0"/>
              <w:rPr>
                <w:rFonts w:hint="eastAsia" w:ascii="宋体" w:hAnsi="宋体" w:eastAsia="宋体" w:cs="宋体"/>
                <w:b/>
                <w:bCs/>
                <w:color w:val="auto"/>
                <w:sz w:val="24"/>
                <w:szCs w:val="24"/>
                <w:highlight w:val="none"/>
              </w:rPr>
            </w:pPr>
            <w:r>
              <w:rPr>
                <w:spacing w:val="-3"/>
              </w:rPr>
              <w:t>（二）★报价明细表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947" w:type="dxa"/>
            <w:vMerge w:val="continue"/>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p>
        </w:tc>
        <w:tc>
          <w:tcPr>
            <w:tcW w:w="1440" w:type="dxa"/>
            <w:vMerge w:val="continue"/>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p>
        </w:tc>
        <w:tc>
          <w:tcPr>
            <w:tcW w:w="1050" w:type="dxa"/>
            <w:noWrap w:val="0"/>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jc w:val="center"/>
              <w:rPr>
                <w:rFonts w:ascii="Arial"/>
                <w:sz w:val="21"/>
              </w:rPr>
            </w:pP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w:t>
            </w: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w:t>
            </w:r>
          </w:p>
          <w:p>
            <w:pPr>
              <w:pStyle w:val="113"/>
              <w:spacing w:before="118" w:line="221"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w:t>
            </w:r>
          </w:p>
          <w:p>
            <w:pPr>
              <w:pStyle w:val="113"/>
              <w:spacing w:before="118"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文件</w:t>
            </w:r>
          </w:p>
        </w:tc>
        <w:tc>
          <w:tcPr>
            <w:tcW w:w="6633" w:type="dxa"/>
            <w:noWrap w:val="0"/>
            <w:vAlign w:val="top"/>
          </w:tcPr>
          <w:p>
            <w:pPr>
              <w:pStyle w:val="113"/>
              <w:spacing w:before="117" w:line="220" w:lineRule="auto"/>
              <w:ind w:left="125"/>
            </w:pPr>
            <w:r>
              <w:rPr>
                <w:spacing w:val="-3"/>
              </w:rPr>
              <w:t>（一）★投标函</w:t>
            </w:r>
          </w:p>
          <w:p>
            <w:pPr>
              <w:pStyle w:val="113"/>
              <w:spacing w:before="181" w:line="219" w:lineRule="auto"/>
              <w:ind w:left="125"/>
            </w:pPr>
            <w:r>
              <w:rPr>
                <w:spacing w:val="-2"/>
              </w:rPr>
              <w:t>（二）投标供应商声明函</w:t>
            </w:r>
          </w:p>
          <w:p>
            <w:pPr>
              <w:pStyle w:val="113"/>
              <w:spacing w:before="183" w:line="468" w:lineRule="exact"/>
              <w:ind w:left="125"/>
            </w:pPr>
            <w:r>
              <w:rPr>
                <w:spacing w:val="-4"/>
                <w:position w:val="17"/>
              </w:rPr>
              <w:t>（三）供应商自觉抵制政府采购领域商业贿赂行为承诺书</w:t>
            </w:r>
          </w:p>
          <w:p>
            <w:pPr>
              <w:pStyle w:val="113"/>
              <w:spacing w:line="219" w:lineRule="auto"/>
              <w:ind w:left="125"/>
            </w:pPr>
            <w:r>
              <w:rPr>
                <w:spacing w:val="-3"/>
              </w:rPr>
              <w:t>（四）中小企业声明函</w:t>
            </w:r>
          </w:p>
          <w:p>
            <w:pPr>
              <w:pStyle w:val="113"/>
              <w:spacing w:before="183" w:line="219" w:lineRule="auto"/>
              <w:ind w:left="125"/>
            </w:pPr>
            <w:r>
              <w:rPr>
                <w:spacing w:val="-3"/>
              </w:rPr>
              <w:t>（五）类似项目业绩表</w:t>
            </w:r>
          </w:p>
          <w:p>
            <w:pPr>
              <w:pStyle w:val="113"/>
              <w:spacing w:before="182" w:line="468" w:lineRule="exact"/>
              <w:ind w:left="125"/>
            </w:pPr>
            <w:r>
              <w:rPr>
                <w:spacing w:val="-2"/>
                <w:position w:val="17"/>
              </w:rPr>
              <w:t>（六）★实质性响应一览表</w:t>
            </w:r>
          </w:p>
          <w:p>
            <w:pPr>
              <w:pStyle w:val="113"/>
              <w:spacing w:before="1" w:line="219" w:lineRule="auto"/>
              <w:ind w:left="125"/>
            </w:pPr>
            <w:r>
              <w:rPr>
                <w:spacing w:val="-2"/>
              </w:rPr>
              <w:t>（七）商务条款偏离说明表</w:t>
            </w:r>
          </w:p>
          <w:p>
            <w:pPr>
              <w:pStyle w:val="113"/>
              <w:spacing w:before="183" w:line="219" w:lineRule="auto"/>
              <w:ind w:left="125"/>
            </w:pPr>
            <w:r>
              <w:rPr>
                <w:spacing w:val="-2"/>
              </w:rPr>
              <w:t>（八）技术条款偏离说明表</w:t>
            </w:r>
          </w:p>
          <w:p>
            <w:pPr>
              <w:pStyle w:val="113"/>
              <w:spacing w:before="183" w:line="219" w:lineRule="auto"/>
              <w:ind w:left="125"/>
            </w:pPr>
            <w:r>
              <w:rPr>
                <w:spacing w:val="-2"/>
              </w:rPr>
              <w:t>（九）项目管理人员情况</w:t>
            </w:r>
          </w:p>
          <w:p>
            <w:pPr>
              <w:pStyle w:val="113"/>
              <w:spacing w:before="183" w:line="220" w:lineRule="auto"/>
              <w:ind w:left="125" w:leftChars="0"/>
              <w:rPr>
                <w:rFonts w:hint="eastAsia" w:ascii="宋体" w:hAnsi="宋体" w:eastAsia="宋体" w:cs="宋体"/>
                <w:b/>
                <w:bCs/>
                <w:color w:val="auto"/>
                <w:sz w:val="24"/>
                <w:szCs w:val="24"/>
                <w:highlight w:val="none"/>
              </w:rPr>
            </w:pPr>
            <w:r>
              <w:rPr>
                <w:spacing w:val="-3"/>
              </w:rPr>
              <w:t>（十）监理大纲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响应文件有效期</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自首次递交响应文件截止时间起计算</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监理期限</w:t>
            </w:r>
          </w:p>
        </w:tc>
        <w:tc>
          <w:tcPr>
            <w:tcW w:w="6633" w:type="dxa"/>
            <w:noWrap w:val="0"/>
            <w:vAlign w:val="center"/>
          </w:tcPr>
          <w:p>
            <w:pPr>
              <w:shd w:val="clear" w:color="auto" w:fill="auto"/>
              <w:tabs>
                <w:tab w:val="left" w:pos="3544"/>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合同签订之日起至竣工验收合格保修期结束止（具体以施工工期为准）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项目地点</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en-US"/>
              </w:rPr>
              <w:t>玛纳斯县团结南路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联合体投标    </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不接受 </w:t>
            </w:r>
          </w:p>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633" w:type="dxa"/>
            <w:noWrap w:val="0"/>
            <w:vAlign w:val="center"/>
          </w:tcPr>
          <w:p>
            <w:pPr>
              <w:pStyle w:val="55"/>
              <w:shd w:val="clear" w:color="auto" w:fill="auto"/>
              <w:adjustRightInd w:val="0"/>
              <w:snapToGrid w:val="0"/>
              <w:spacing w:before="120" w:beforeLines="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不接受            </w:t>
            </w:r>
          </w:p>
          <w:p>
            <w:pPr>
              <w:pStyle w:val="55"/>
              <w:shd w:val="clear" w:color="auto" w:fill="auto"/>
              <w:adjustRightInd w:val="0"/>
              <w:snapToGrid w:val="0"/>
              <w:spacing w:before="120" w:beforeLine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4</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633" w:type="dxa"/>
            <w:noWrap w:val="0"/>
            <w:vAlign w:val="center"/>
          </w:tcPr>
          <w:p>
            <w:pPr>
              <w:pStyle w:val="55"/>
              <w:shd w:val="clear" w:color="auto" w:fill="auto"/>
              <w:adjustRightInd w:val="0"/>
              <w:snapToGrid w:val="0"/>
              <w:spacing w:before="120" w:beforeLines="50"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w:t>
            </w:r>
          </w:p>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截止时间</w:t>
            </w:r>
          </w:p>
        </w:tc>
        <w:tc>
          <w:tcPr>
            <w:tcW w:w="6633" w:type="dxa"/>
            <w:noWrap w:val="0"/>
            <w:vAlign w:val="center"/>
          </w:tcPr>
          <w:p>
            <w:pPr>
              <w:pStyle w:val="55"/>
              <w:shd w:val="clear" w:color="auto" w:fill="auto"/>
              <w:adjustRightInd w:val="0"/>
              <w:snapToGrid w:val="0"/>
              <w:spacing w:before="120"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color w:val="auto"/>
                <w:sz w:val="24"/>
                <w:szCs w:val="24"/>
                <w:highlight w:val="none"/>
                <w:u w:val="single"/>
                <w:lang w:val="en-US" w:eastAsia="zh-CN"/>
              </w:rPr>
              <w:t>2023年11月7日11:00</w:t>
            </w:r>
            <w:r>
              <w:rPr>
                <w:rFonts w:hint="eastAsia" w:ascii="宋体" w:hAnsi="宋体" w:eastAsia="宋体" w:cs="宋体"/>
                <w:color w:val="auto"/>
                <w:sz w:val="24"/>
                <w:szCs w:val="24"/>
                <w:highlight w:val="none"/>
              </w:rPr>
              <w:t>（北京时间）</w:t>
            </w:r>
          </w:p>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备注：磋商文件领取截止时间不得少于5日，公告时间不得少于10日。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p>
        </w:tc>
        <w:tc>
          <w:tcPr>
            <w:tcW w:w="2490" w:type="dxa"/>
            <w:gridSpan w:val="2"/>
            <w:noWrap w:val="0"/>
            <w:vAlign w:val="center"/>
          </w:tcPr>
          <w:p>
            <w:pPr>
              <w:pStyle w:val="55"/>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开标时间及</w:t>
            </w:r>
            <w:r>
              <w:rPr>
                <w:rFonts w:hint="eastAsia" w:ascii="宋体" w:hAnsi="宋体" w:eastAsia="宋体" w:cs="宋体"/>
                <w:b/>
                <w:bCs/>
                <w:color w:val="auto"/>
                <w:sz w:val="24"/>
                <w:szCs w:val="24"/>
                <w:highlight w:val="none"/>
              </w:rPr>
              <w:t>地点</w:t>
            </w:r>
          </w:p>
        </w:tc>
        <w:tc>
          <w:tcPr>
            <w:tcW w:w="6633" w:type="dxa"/>
            <w:noWrap w:val="0"/>
            <w:vAlign w:val="center"/>
          </w:tcPr>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□采用见面开标：</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bookmarkStart w:id="59" w:name="EB34014fc957d649bb8986b84244ff4257"/>
            <w:bookmarkEnd w:id="59"/>
            <w:r>
              <w:rPr>
                <w:rFonts w:hint="eastAsia" w:ascii="宋体" w:hAnsi="宋体" w:eastAsia="宋体" w:cs="宋体"/>
                <w:color w:val="auto"/>
                <w:sz w:val="24"/>
                <w:szCs w:val="24"/>
                <w:highlight w:val="none"/>
                <w:u w:val="single"/>
              </w:rPr>
              <w:t xml:space="preserve">                                    </w:t>
            </w:r>
          </w:p>
          <w:p>
            <w:pPr>
              <w:pStyle w:val="56"/>
              <w:keepNext w:val="0"/>
              <w:keepLines w:val="0"/>
              <w:pageBreakBefore w:val="0"/>
              <w:widowControl/>
              <w:kinsoku/>
              <w:wordWrap/>
              <w:overflowPunct/>
              <w:topLinePunct w:val="0"/>
              <w:bidi w:val="0"/>
              <w:spacing w:after="200" w:line="36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rPr>
              <w:t>采用</w:t>
            </w:r>
            <w:r>
              <w:rPr>
                <w:rFonts w:hint="eastAsia" w:ascii="宋体" w:hAnsi="宋体" w:eastAsia="宋体" w:cs="宋体"/>
                <w:b/>
                <w:bCs/>
                <w:color w:val="auto"/>
                <w:kern w:val="0"/>
                <w:sz w:val="24"/>
                <w:szCs w:val="24"/>
                <w:highlight w:val="none"/>
              </w:rPr>
              <w:t>不见面开标：</w:t>
            </w:r>
          </w:p>
          <w:p>
            <w:pPr>
              <w:pStyle w:val="56"/>
              <w:keepNext w:val="0"/>
              <w:keepLines w:val="0"/>
              <w:pageBreakBefore w:val="0"/>
              <w:kinsoku/>
              <w:wordWrap/>
              <w:overflowPunct/>
              <w:topLinePunct w:val="0"/>
              <w:bidi w:val="0"/>
              <w:spacing w:after="200" w:line="360" w:lineRule="exact"/>
              <w:ind w:leftChars="-1" w:hanging="2" w:hangingChars="1"/>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eastAsia="宋体" w:cs="宋体"/>
                <w:b/>
                <w:bCs/>
                <w:color w:val="auto"/>
                <w:sz w:val="24"/>
                <w:szCs w:val="24"/>
                <w:highlight w:val="none"/>
                <w:u w:val="single"/>
                <w:lang w:val="en-US" w:eastAsia="zh-CN"/>
              </w:rPr>
              <w:t>2023年11月7日11:00</w:t>
            </w:r>
            <w:r>
              <w:rPr>
                <w:rFonts w:hint="eastAsia" w:ascii="宋体" w:hAnsi="宋体" w:eastAsia="宋体" w:cs="宋体"/>
                <w:color w:val="auto"/>
                <w:sz w:val="24"/>
                <w:szCs w:val="24"/>
                <w:highlight w:val="none"/>
              </w:rPr>
              <w:t>（北京时间）</w:t>
            </w:r>
          </w:p>
          <w:p>
            <w:pPr>
              <w:pStyle w:val="56"/>
              <w:keepNext w:val="0"/>
              <w:keepLines w:val="0"/>
              <w:pageBreakBefore w:val="0"/>
              <w:kinsoku/>
              <w:wordWrap/>
              <w:overflowPunct/>
              <w:topLinePunct w:val="0"/>
              <w:bidi w:val="0"/>
              <w:spacing w:after="200" w:line="36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b/>
                <w:bCs/>
                <w:color w:val="auto"/>
                <w:sz w:val="24"/>
                <w:szCs w:val="24"/>
                <w:highlight w:val="none"/>
              </w:rPr>
              <w:t>政采云远程开标大厅</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 xml:space="preserve">分钟   </w:t>
            </w:r>
            <w:r>
              <w:rPr>
                <w:rFonts w:hint="eastAsia" w:ascii="宋体" w:hAnsi="宋体" w:eastAsia="宋体" w:cs="宋体"/>
                <w:bCs/>
                <w:color w:val="auto"/>
                <w:sz w:val="24"/>
                <w:szCs w:val="24"/>
                <w:highlight w:val="none"/>
                <w:u w:val="none"/>
              </w:rPr>
              <w:t xml:space="preserve">  </w:t>
            </w:r>
          </w:p>
          <w:p>
            <w:pPr>
              <w:pStyle w:val="55"/>
              <w:shd w:val="clear" w:color="auto" w:fill="auto"/>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除因交易平台发生故障导致投标（响应）文件无法按时解密外，投标（响应）文件未按时解密的，视为未按规定提交投标（响应）文件。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磋商小组的组建及评审专家的确定方式</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招标采购单位依法组建磋商小组共</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人组成，其中采购人代表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人和专家评委</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w:t>
            </w:r>
          </w:p>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小组确定方式：</w:t>
            </w:r>
          </w:p>
          <w:p>
            <w:pPr>
              <w:pStyle w:val="55"/>
              <w:shd w:val="clear" w:color="auto" w:fill="auto"/>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专家库中计算机随机抽取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w:t>
            </w:r>
          </w:p>
        </w:tc>
        <w:tc>
          <w:tcPr>
            <w:tcW w:w="2490" w:type="dxa"/>
            <w:gridSpan w:val="2"/>
            <w:noWrap w:val="0"/>
            <w:vAlign w:val="center"/>
          </w:tcPr>
          <w:p>
            <w:pPr>
              <w:pStyle w:val="55"/>
              <w:shd w:val="clear" w:color="auto" w:fill="auto"/>
              <w:adjustRightInd w:val="0"/>
              <w:snapToGrid w:val="0"/>
              <w:spacing w:before="120" w:beforeLines="50" w:line="360" w:lineRule="auto"/>
              <w:ind w:left="-533" w:leftChars="-254" w:firstLine="612" w:firstLineChars="254"/>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w:t>
            </w:r>
          </w:p>
        </w:tc>
        <w:tc>
          <w:tcPr>
            <w:tcW w:w="6633" w:type="dxa"/>
            <w:noWrap w:val="0"/>
            <w:vAlign w:val="center"/>
          </w:tcPr>
          <w:p>
            <w:pPr>
              <w:pStyle w:val="11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）各供应商在办理投标保证金时需备注项目名称。简化手续，优化流程，采用电子支付方式提交投标保证金的，在退还时，按原路退回，收取时不再开具收据，退还时也不再要求提交收据。</w:t>
            </w:r>
          </w:p>
          <w:p>
            <w:pPr>
              <w:pStyle w:val="11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）投标保证金金额：</w:t>
            </w:r>
            <w:r>
              <w:rPr>
                <w:rFonts w:hint="eastAsia" w:ascii="宋体" w:hAnsi="宋体" w:eastAsia="宋体" w:cs="宋体"/>
                <w:color w:val="auto"/>
                <w:sz w:val="24"/>
                <w:szCs w:val="24"/>
                <w:highlight w:val="none"/>
                <w:u w:val="single"/>
                <w:lang w:eastAsia="zh-CN"/>
              </w:rPr>
              <w:t>人民币</w:t>
            </w:r>
            <w:r>
              <w:rPr>
                <w:rFonts w:hint="eastAsia" w:ascii="宋体" w:hAnsi="宋体" w:eastAsia="宋体" w:cs="宋体"/>
                <w:color w:val="auto"/>
                <w:sz w:val="24"/>
                <w:szCs w:val="24"/>
                <w:highlight w:val="none"/>
                <w:u w:val="single"/>
                <w:lang w:val="en-US" w:eastAsia="zh-CN"/>
              </w:rPr>
              <w:t>叁仟元整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3000</w:t>
            </w:r>
            <w:r>
              <w:rPr>
                <w:rFonts w:hint="eastAsia" w:ascii="宋体" w:hAnsi="宋体" w:eastAsia="宋体" w:cs="宋体"/>
                <w:color w:val="auto"/>
                <w:sz w:val="24"/>
                <w:szCs w:val="24"/>
                <w:highlight w:val="none"/>
                <w:u w:val="single"/>
                <w:lang w:eastAsia="zh-CN"/>
              </w:rPr>
              <w:t>元）</w:t>
            </w:r>
          </w:p>
          <w:p>
            <w:pPr>
              <w:pStyle w:val="11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）投标人应在投标截止时间前提交投标保证金，并确保投标保证金在投标截止时间前缴纳，若逾期其投标无效。投标人必须以企业法人的名义或投标单位基本户提交投标保证金，</w:t>
            </w:r>
            <w:r>
              <w:rPr>
                <w:rFonts w:hint="eastAsia" w:ascii="宋体" w:hAnsi="宋体" w:eastAsia="宋体" w:cs="宋体"/>
                <w:color w:val="auto"/>
                <w:sz w:val="24"/>
                <w:szCs w:val="24"/>
                <w:highlight w:val="none"/>
              </w:rPr>
              <w:t>投标保证金必须从企业的法人基本存款</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或投标单位基本户缴纳至</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给定的基本账户。以个人、企业的办事处、分公司、子公司名义或从他人</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、投标人企业的其他账户缴纳的投标保证金无效。</w:t>
            </w:r>
          </w:p>
          <w:p>
            <w:pPr>
              <w:pStyle w:val="106"/>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投标人需自行评估因异地、跨行、公休日等因素造成的投标保证金到账延迟风险，并承担相应责任。</w:t>
            </w:r>
          </w:p>
          <w:p>
            <w:pPr>
              <w:pStyle w:val="84"/>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到账截止时间：</w:t>
            </w:r>
            <w:r>
              <w:rPr>
                <w:rFonts w:hint="eastAsia" w:ascii="宋体" w:hAnsi="宋体" w:eastAsia="宋体" w:cs="宋体"/>
                <w:color w:val="auto"/>
                <w:sz w:val="24"/>
                <w:szCs w:val="24"/>
                <w:highlight w:val="none"/>
                <w:u w:val="single"/>
                <w:lang w:eastAsia="zh-CN"/>
              </w:rPr>
              <w:t>2023年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6日19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kern w:val="0"/>
                <w:sz w:val="24"/>
                <w:szCs w:val="24"/>
                <w:highlight w:val="none"/>
              </w:rPr>
              <w:t>（北京时间）（以银行记录确认到账为准）。</w:t>
            </w:r>
          </w:p>
          <w:p>
            <w:pPr>
              <w:pStyle w:val="10"/>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未按以上要求递交投标保证金及办理确认手续的，</w:t>
            </w:r>
          </w:p>
          <w:p>
            <w:pPr>
              <w:pStyle w:val="98"/>
              <w:shd w:val="clear" w:color="auto" w:fill="auto"/>
              <w:adjustRightInd w:val="0"/>
              <w:snapToGrid w:val="0"/>
              <w:spacing w:before="120" w:beforeLines="5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其投标保证金视为无效，采购人将拒绝其投标。</w:t>
            </w:r>
          </w:p>
          <w:p>
            <w:pPr>
              <w:pStyle w:val="67"/>
              <w:adjustRightInd w:val="0"/>
              <w:snapToGrid w:val="0"/>
              <w:spacing w:before="156" w:beforeLines="50" w:after="2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收款单位： </w:t>
            </w:r>
            <w:r>
              <w:rPr>
                <w:rFonts w:hint="eastAsia" w:ascii="宋体" w:hAnsi="宋体" w:eastAsia="宋体" w:cs="宋体"/>
                <w:b/>
                <w:bCs/>
                <w:color w:val="auto"/>
                <w:sz w:val="24"/>
                <w:szCs w:val="24"/>
                <w:highlight w:val="none"/>
                <w:lang w:eastAsia="zh-CN"/>
              </w:rPr>
              <w:t>新疆天必达招标代理有限公司</w:t>
            </w:r>
            <w:r>
              <w:rPr>
                <w:rFonts w:hint="eastAsia" w:ascii="宋体" w:hAnsi="宋体" w:eastAsia="宋体" w:cs="宋体"/>
                <w:b/>
                <w:bCs/>
                <w:color w:val="auto"/>
                <w:sz w:val="24"/>
                <w:szCs w:val="24"/>
                <w:highlight w:val="none"/>
              </w:rPr>
              <w:t xml:space="preserve">   </w:t>
            </w:r>
          </w:p>
          <w:p>
            <w:pPr>
              <w:pStyle w:val="67"/>
              <w:adjustRightInd w:val="0"/>
              <w:snapToGrid w:val="0"/>
              <w:spacing w:before="156" w:beforeLines="50" w:after="20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xml:space="preserve">开户银行： </w:t>
            </w:r>
            <w:r>
              <w:rPr>
                <w:rFonts w:hint="eastAsia" w:ascii="宋体" w:hAnsi="宋体" w:eastAsia="宋体" w:cs="宋体"/>
                <w:b/>
                <w:bCs/>
                <w:color w:val="auto"/>
                <w:sz w:val="24"/>
                <w:szCs w:val="24"/>
                <w:highlight w:val="none"/>
                <w:lang w:eastAsia="zh-CN"/>
              </w:rPr>
              <w:t>中国工商银行股份有限公司石河子西环路支行</w:t>
            </w:r>
          </w:p>
          <w:p>
            <w:pPr>
              <w:pStyle w:val="106"/>
              <w:keepNext w:val="0"/>
              <w:keepLines w:val="0"/>
              <w:pageBreakBefore w:val="0"/>
              <w:shd w:val="clear" w:color="auto" w:fill="auto"/>
              <w:kinsoku/>
              <w:wordWrap/>
              <w:overflowPunct/>
              <w:topLinePunct w:val="0"/>
              <w:autoSpaceDE/>
              <w:autoSpaceDN/>
              <w:bidi w:val="0"/>
              <w:snapToGrid/>
              <w:spacing w:line="360" w:lineRule="auto"/>
              <w:ind w:left="0" w:lef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2"/>
                <w:sz w:val="24"/>
                <w:szCs w:val="24"/>
                <w:highlight w:val="none"/>
                <w:lang w:val="en-US" w:eastAsia="zh-CN" w:bidi="ar-SA"/>
              </w:rPr>
              <w:t>账号：3016028509200068152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评审办法</w:t>
            </w:r>
          </w:p>
        </w:tc>
        <w:tc>
          <w:tcPr>
            <w:tcW w:w="6633" w:type="dxa"/>
            <w:noWrap w:val="0"/>
            <w:vAlign w:val="center"/>
          </w:tcPr>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☑资格后审        □</w:t>
            </w:r>
            <w:bookmarkStart w:id="60" w:name="EB4850bee832394c4083be5b8112f9b3b6"/>
            <w:bookmarkEnd w:id="60"/>
            <w:r>
              <w:rPr>
                <w:rFonts w:hint="eastAsia" w:ascii="宋体" w:hAnsi="宋体" w:eastAsia="宋体" w:cs="宋体"/>
                <w:color w:val="auto"/>
                <w:kern w:val="2"/>
                <w:sz w:val="24"/>
                <w:szCs w:val="24"/>
                <w:highlight w:val="none"/>
                <w:lang w:val="en-US" w:eastAsia="zh-CN" w:bidi="ar-SA"/>
              </w:rPr>
              <w:t>资格预审</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2"/>
                <w:sz w:val="24"/>
                <w:szCs w:val="24"/>
                <w:highlight w:val="none"/>
                <w:lang w:val="en-US" w:eastAsia="zh-CN" w:bidi="ar-SA"/>
              </w:rPr>
            </w:pPr>
            <w:bookmarkStart w:id="61" w:name="EB0074e2ed01924d5f940b01ce03dab020"/>
            <w:bookmarkEnd w:id="61"/>
            <w:r>
              <w:rPr>
                <w:rFonts w:hint="eastAsia" w:ascii="宋体" w:hAnsi="宋体" w:eastAsia="宋体" w:cs="宋体"/>
                <w:color w:val="auto"/>
                <w:kern w:val="2"/>
                <w:sz w:val="24"/>
                <w:szCs w:val="24"/>
                <w:highlight w:val="none"/>
                <w:lang w:val="en-US" w:eastAsia="zh-CN" w:bidi="ar-SA"/>
              </w:rPr>
              <w:t xml:space="preserve">☑综合评分法      </w:t>
            </w:r>
            <w:bookmarkStart w:id="62" w:name="EB504ecbbb163e422887a350c6a0196cea"/>
            <w:bookmarkEnd w:id="62"/>
            <w:r>
              <w:rPr>
                <w:rFonts w:hint="eastAsia" w:ascii="宋体" w:hAnsi="宋体" w:eastAsia="宋体" w:cs="宋体"/>
                <w:color w:val="auto"/>
                <w:kern w:val="2"/>
                <w:sz w:val="24"/>
                <w:szCs w:val="24"/>
                <w:highlight w:val="none"/>
                <w:lang w:val="en-US" w:eastAsia="zh-CN" w:bidi="ar-SA"/>
              </w:rPr>
              <w:t>□最低评标价法</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综合评分法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pPr>
              <w:pStyle w:val="56"/>
              <w:keepNext w:val="0"/>
              <w:keepLines w:val="0"/>
              <w:pageBreakBefore w:val="0"/>
              <w:kinsoku/>
              <w:wordWrap/>
              <w:overflowPunct/>
              <w:topLinePunct w:val="0"/>
              <w:bidi w:val="0"/>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最低评标价法，是指以价格为主要因素确定中标供应商的评标方法，即在全部满足招标文件实质性要求前提下，依据统一的价格要素评定最低报价，以提出最低报价的投标人作为中标候选供应商或者中标供应商的评标方法。投标报价相同的，按技术指标优劣顺序排列，技术指标较优的一方为中标人。</w:t>
            </w:r>
          </w:p>
          <w:p>
            <w:pPr>
              <w:pStyle w:val="55"/>
              <w:shd w:val="clear" w:color="auto" w:fill="auto"/>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磋商有效期</w:t>
            </w:r>
          </w:p>
        </w:tc>
        <w:tc>
          <w:tcPr>
            <w:tcW w:w="6633" w:type="dxa"/>
            <w:noWrap w:val="0"/>
            <w:vAlign w:val="center"/>
          </w:tcPr>
          <w:p>
            <w:pPr>
              <w:pStyle w:val="55"/>
              <w:shd w:val="clear" w:color="auto" w:fill="auto"/>
              <w:adjustRightInd w:val="0"/>
              <w:snapToGrid w:val="0"/>
              <w:spacing w:before="120" w:beforeLines="50" w:line="360" w:lineRule="auto"/>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zh-CN" w:eastAsia="zh-CN" w:bidi="ar-SA"/>
              </w:rPr>
              <w:t>自投标截止之日起</w:t>
            </w:r>
            <w:bookmarkStart w:id="63" w:name="EB5a3362fe8fc1402b9d5cafc876bbbffd"/>
            <w:bookmarkEnd w:id="63"/>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zh-CN" w:eastAsia="zh-CN" w:bidi="ar-SA"/>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响应文件份数</w:t>
            </w:r>
          </w:p>
        </w:tc>
        <w:tc>
          <w:tcPr>
            <w:tcW w:w="6633" w:type="dxa"/>
            <w:noWrap w:val="0"/>
            <w:vAlign w:val="center"/>
          </w:tcPr>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□采用见面开标：</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1、加密的电子投标文件，在投标截止时间前通过</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http://www.ccgp-xinjiang.gov.cn/</w:t>
            </w:r>
            <w:r>
              <w:rPr>
                <w:rFonts w:hint="eastAsia" w:ascii="宋体" w:hAnsi="宋体" w:eastAsia="宋体" w:cs="宋体"/>
                <w:color w:val="auto"/>
                <w:sz w:val="24"/>
                <w:szCs w:val="24"/>
                <w:highlight w:val="none"/>
              </w:rPr>
              <w:t>）上传；</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2、未加密的电子投标文件 3份（光盘介质），做好标示，密封提交；</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其中，未加密的电子投标文件光盘应密封。投标人应在密封袋上注明项目名称和投标人名称。</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注：加密的电子投标文件为制作生成的加密版投标文件。未加密的电子投标文件应与加密的电子投标文件为同时生成的版本。</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因投标人自身原因导致解密失败的，将导致其投标被拒绝且投标文件被退回；但因网上招标系统故障导致所有投标人均解密失败时，投标人使用未加密的电子投标文件进行开评标。未递交加密的电子投标文件、未加密的电子投标文件（光盘3份），将导致投标被拒绝。</w:t>
            </w:r>
          </w:p>
          <w:p>
            <w:pPr>
              <w:pStyle w:val="63"/>
              <w:keepNext w:val="0"/>
              <w:keepLines w:val="0"/>
              <w:pageBreakBefore w:val="0"/>
              <w:kinsoku/>
              <w:wordWrap/>
              <w:overflowPunct/>
              <w:topLinePunct w:val="0"/>
              <w:autoSpaceDE w:val="0"/>
              <w:autoSpaceDN w:val="0"/>
              <w:bidi w:val="0"/>
              <w:spacing w:after="200" w:line="36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采用不见面开标：</w:t>
            </w:r>
          </w:p>
          <w:p>
            <w:pPr>
              <w:pStyle w:val="63"/>
              <w:keepNext w:val="0"/>
              <w:keepLines w:val="0"/>
              <w:pageBreakBefore w:val="0"/>
              <w:kinsoku/>
              <w:wordWrap/>
              <w:overflowPunct/>
              <w:topLinePunct w:val="0"/>
              <w:bidi w:val="0"/>
              <w:spacing w:after="200"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1．本项目采用不见面开标、投标人需要递交电子投标文件，加密的电子投标文件，在投标截止时间前通过</w:t>
            </w:r>
            <w:r>
              <w:rPr>
                <w:rFonts w:hint="eastAsia" w:ascii="宋体" w:hAnsi="宋体" w:eastAsia="宋体" w:cs="宋体"/>
                <w:b/>
                <w:bCs/>
                <w:color w:val="auto"/>
                <w:sz w:val="24"/>
                <w:szCs w:val="24"/>
                <w:highlight w:val="none"/>
                <w:lang w:eastAsia="zh-CN"/>
              </w:rPr>
              <w:t>登录新疆政府采购网政采云平台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https://www.zcygov.cn</w:t>
            </w:r>
            <w:r>
              <w:rPr>
                <w:rFonts w:hint="eastAsia" w:ascii="宋体" w:hAnsi="宋体" w:eastAsia="宋体" w:cs="宋体"/>
                <w:b/>
                <w:bCs/>
                <w:color w:val="auto"/>
                <w:sz w:val="24"/>
                <w:szCs w:val="24"/>
                <w:highlight w:val="none"/>
              </w:rPr>
              <w:t>）上传到指定位置。</w:t>
            </w:r>
          </w:p>
          <w:p>
            <w:pPr>
              <w:pStyle w:val="56"/>
              <w:keepNext w:val="0"/>
              <w:keepLines w:val="0"/>
              <w:pageBreakBefore w:val="0"/>
              <w:kinsoku/>
              <w:wordWrap/>
              <w:overflowPunct/>
              <w:topLinePunct w:val="0"/>
              <w:bidi w:val="0"/>
              <w:spacing w:after="200"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2.本项目采用远程不见面交易的模式。开标当日，投标人无需到达开标现场，仅需在任意地点通过</w:t>
            </w:r>
            <w:r>
              <w:rPr>
                <w:rFonts w:hint="eastAsia" w:ascii="宋体" w:hAnsi="宋体" w:eastAsia="宋体" w:cs="宋体"/>
                <w:b/>
                <w:bCs/>
                <w:color w:val="auto"/>
                <w:sz w:val="24"/>
                <w:szCs w:val="24"/>
                <w:highlight w:val="none"/>
                <w:lang w:eastAsia="zh-CN"/>
              </w:rPr>
              <w:t>新疆政府采购网</w:t>
            </w:r>
            <w:r>
              <w:rPr>
                <w:rFonts w:hint="eastAsia" w:ascii="宋体" w:hAnsi="宋体" w:eastAsia="宋体" w:cs="宋体"/>
                <w:b/>
                <w:bCs/>
                <w:color w:val="auto"/>
                <w:sz w:val="24"/>
                <w:szCs w:val="24"/>
                <w:highlight w:val="none"/>
              </w:rPr>
              <w:t>政采云平台（</w:t>
            </w:r>
            <w:r>
              <w:rPr>
                <w:rFonts w:hint="eastAsia" w:ascii="宋体" w:hAnsi="宋体" w:eastAsia="宋体" w:cs="宋体"/>
                <w:b/>
                <w:bCs/>
                <w:color w:val="auto"/>
                <w:sz w:val="24"/>
                <w:szCs w:val="24"/>
                <w:highlight w:val="none"/>
                <w:lang w:eastAsia="zh-CN"/>
              </w:rPr>
              <w:t>https://www.zcygov.cn</w:t>
            </w:r>
            <w:r>
              <w:rPr>
                <w:rFonts w:hint="eastAsia" w:ascii="宋体" w:hAnsi="宋体" w:eastAsia="宋体" w:cs="宋体"/>
                <w:b/>
                <w:bCs/>
                <w:color w:val="auto"/>
                <w:sz w:val="24"/>
                <w:szCs w:val="24"/>
                <w:highlight w:val="none"/>
              </w:rPr>
              <w:t>）政采云远程开标大厅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p>
            <w:pPr>
              <w:pStyle w:val="111"/>
              <w:keepNext w:val="0"/>
              <w:keepLines w:val="0"/>
              <w:pageBreakBefore w:val="0"/>
              <w:kinsoku/>
              <w:wordWrap/>
              <w:overflowPunct/>
              <w:topLinePunct w:val="0"/>
              <w:bidi w:val="0"/>
              <w:spacing w:line="36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3.投标人须在开标结束后，提供两份（一正一副）与电子加密文件一致的纸质版投标文件，双面打印并密封在档案袋中做好标示（快递到代理公司），以便投标保证金及时退还。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4"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2490" w:type="dxa"/>
            <w:gridSpan w:val="2"/>
            <w:noWrap w:val="0"/>
            <w:vAlign w:val="center"/>
          </w:tcPr>
          <w:p>
            <w:pPr>
              <w:jc w:val="center"/>
              <w:rPr>
                <w:rFonts w:hint="eastAsia" w:ascii="宋体" w:hAnsi="宋体" w:eastAsia="宋体" w:cs="宋体"/>
                <w:color w:val="auto"/>
                <w:kern w:val="2"/>
                <w:sz w:val="21"/>
                <w:szCs w:val="24"/>
                <w:lang w:val="en-US" w:eastAsia="ar-SA" w:bidi="ar-SA"/>
              </w:rPr>
            </w:pPr>
            <w:r>
              <w:rPr>
                <w:rFonts w:hint="eastAsia" w:ascii="宋体" w:hAnsi="宋体" w:eastAsia="宋体" w:cs="宋体"/>
                <w:b/>
                <w:bCs/>
                <w:color w:val="auto"/>
                <w:kern w:val="2"/>
                <w:sz w:val="24"/>
                <w:szCs w:val="24"/>
                <w:highlight w:val="none"/>
                <w:lang w:val="en-US" w:eastAsia="zh-CN" w:bidi="ar-SA"/>
              </w:rPr>
              <w:t>是否授权磋商小组确定成交人</w:t>
            </w:r>
          </w:p>
        </w:tc>
        <w:tc>
          <w:tcPr>
            <w:tcW w:w="6633" w:type="dxa"/>
            <w:noWrap w:val="0"/>
            <w:vAlign w:val="center"/>
          </w:tcPr>
          <w:p>
            <w:pPr>
              <w:pStyle w:val="98"/>
              <w:shd w:val="clear" w:color="auto" w:fill="auto"/>
              <w:autoSpaceDE w:val="0"/>
              <w:autoSpaceDN w:val="0"/>
              <w:adjustRightIn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w:t>
            </w:r>
          </w:p>
          <w:p>
            <w:pPr>
              <w:pStyle w:val="98"/>
              <w:shd w:val="clear" w:color="auto" w:fill="auto"/>
              <w:autoSpaceDE w:val="0"/>
              <w:autoSpaceDN w:val="0"/>
              <w:adjustRightInd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否，推荐前3名成交候选人。由采购人选择排名第一的中标候选人为中标人。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tc>
        <w:tc>
          <w:tcPr>
            <w:tcW w:w="2490" w:type="dxa"/>
            <w:gridSpan w:val="2"/>
            <w:noWrap w:val="0"/>
            <w:vAlign w:val="center"/>
          </w:tcPr>
          <w:p>
            <w:pPr>
              <w:pStyle w:val="56"/>
              <w:keepNext w:val="0"/>
              <w:keepLines w:val="0"/>
              <w:pageBreakBefore w:val="0"/>
              <w:kinsoku/>
              <w:wordWrap/>
              <w:overflowPunct/>
              <w:topLinePunct w:val="0"/>
              <w:bidi w:val="0"/>
              <w:spacing w:after="200"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答疑接受时间</w:t>
            </w:r>
          </w:p>
        </w:tc>
        <w:tc>
          <w:tcPr>
            <w:tcW w:w="6633" w:type="dxa"/>
            <w:noWrap w:val="0"/>
            <w:vAlign w:val="center"/>
          </w:tcPr>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投标截止</w:t>
            </w:r>
            <w:r>
              <w:rPr>
                <w:rFonts w:hint="eastAsia" w:ascii="宋体" w:hAnsi="宋体" w:eastAsia="宋体" w:cs="宋体"/>
                <w:color w:val="auto"/>
                <w:kern w:val="0"/>
                <w:sz w:val="24"/>
                <w:szCs w:val="24"/>
                <w:highlight w:val="none"/>
                <w:lang w:val="en-US" w:eastAsia="zh-CN"/>
              </w:rPr>
              <w:t xml:space="preserve"> 5</w:t>
            </w:r>
            <w:r>
              <w:rPr>
                <w:rFonts w:hint="eastAsia" w:ascii="宋体" w:hAnsi="宋体" w:eastAsia="宋体" w:cs="宋体"/>
                <w:color w:val="auto"/>
                <w:kern w:val="0"/>
                <w:sz w:val="24"/>
                <w:szCs w:val="24"/>
                <w:highlight w:val="none"/>
              </w:rPr>
              <w:t>日（北京时间）</w:t>
            </w:r>
            <w:r>
              <w:rPr>
                <w:rFonts w:hint="eastAsia" w:ascii="宋体" w:hAnsi="宋体" w:eastAsia="宋体" w:cs="宋体"/>
                <w:bCs/>
                <w:color w:val="auto"/>
                <w:sz w:val="24"/>
                <w:szCs w:val="24"/>
                <w:highlight w:val="none"/>
              </w:rPr>
              <w:t>前接受投标人疑问或澄清要求（逾期不予受理）。</w:t>
            </w:r>
          </w:p>
          <w:p>
            <w:pPr>
              <w:pStyle w:val="56"/>
              <w:keepNext w:val="0"/>
              <w:keepLines w:val="0"/>
              <w:pageBreakBefore w:val="0"/>
              <w:kinsoku/>
              <w:wordWrap/>
              <w:overflowPunct/>
              <w:topLinePunct w:val="0"/>
              <w:bidi w:val="0"/>
              <w:spacing w:after="200" w:line="36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提交方式：</w:t>
            </w:r>
            <w:r>
              <w:rPr>
                <w:rFonts w:hint="eastAsia" w:ascii="宋体" w:hAnsi="宋体" w:eastAsia="宋体" w:cs="宋体"/>
                <w:bCs/>
                <w:color w:val="auto"/>
                <w:sz w:val="24"/>
                <w:szCs w:val="24"/>
                <w:highlight w:val="none"/>
                <w:u w:val="single"/>
              </w:rPr>
              <w:t>政采云平台提交。</w:t>
            </w:r>
            <w:r>
              <w:rPr>
                <w:rFonts w:hint="eastAsia" w:ascii="宋体" w:hAnsi="宋体" w:eastAsia="宋体" w:cs="宋体"/>
                <w:bCs/>
                <w:color w:val="auto"/>
                <w:sz w:val="24"/>
                <w:szCs w:val="24"/>
                <w:highlight w:val="none"/>
              </w:rPr>
              <w:t xml:space="preserve">          </w:t>
            </w:r>
            <w:r>
              <w:rPr>
                <w:rFonts w:hint="eastAsia" w:ascii="仿宋" w:hAnsi="仿宋" w:eastAsia="仿宋" w:cs="仿宋"/>
                <w:bCs/>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w:t>
            </w:r>
          </w:p>
        </w:tc>
        <w:tc>
          <w:tcPr>
            <w:tcW w:w="2490" w:type="dxa"/>
            <w:gridSpan w:val="2"/>
            <w:noWrap w:val="0"/>
            <w:vAlign w:val="center"/>
          </w:tcPr>
          <w:p>
            <w:pPr>
              <w:pStyle w:val="55"/>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踏勘现场</w:t>
            </w:r>
          </w:p>
        </w:tc>
        <w:tc>
          <w:tcPr>
            <w:tcW w:w="6633" w:type="dxa"/>
            <w:noWrap w:val="0"/>
            <w:vAlign w:val="center"/>
          </w:tcPr>
          <w:p>
            <w:pPr>
              <w:pStyle w:val="98"/>
              <w:shd w:val="clear" w:color="auto" w:fill="auto"/>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☑自行踏勘。</w:t>
            </w:r>
          </w:p>
          <w:p>
            <w:pPr>
              <w:pStyle w:val="98"/>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□统一组织。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代理服务费</w:t>
            </w:r>
          </w:p>
        </w:tc>
        <w:tc>
          <w:tcPr>
            <w:tcW w:w="6633" w:type="dxa"/>
            <w:noWrap w:val="0"/>
            <w:vAlign w:val="center"/>
          </w:tcPr>
          <w:p>
            <w:pPr>
              <w:pStyle w:val="56"/>
              <w:keepNext w:val="0"/>
              <w:keepLines w:val="0"/>
              <w:pageBreakBefore w:val="0"/>
              <w:kinsoku/>
              <w:wordWrap/>
              <w:overflowPunct/>
              <w:topLinePunct w:val="0"/>
              <w:autoSpaceDE w:val="0"/>
              <w:autoSpaceDN w:val="0"/>
              <w:bidi w:val="0"/>
              <w:adjustRightInd w:val="0"/>
              <w:spacing w:after="200"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□不交纳</w:t>
            </w:r>
          </w:p>
          <w:p>
            <w:pPr>
              <w:pStyle w:val="56"/>
              <w:keepNext w:val="0"/>
              <w:keepLines w:val="0"/>
              <w:pageBreakBefore w:val="0"/>
              <w:kinsoku/>
              <w:wordWrap/>
              <w:overflowPunct/>
              <w:topLinePunct w:val="0"/>
              <w:bidi w:val="0"/>
              <w:spacing w:after="200" w:line="36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☑交纳</w:t>
            </w:r>
          </w:p>
          <w:p>
            <w:pPr>
              <w:pStyle w:val="45"/>
              <w:shd w:val="clear" w:color="auto" w:fill="auto"/>
              <w:spacing w:line="460" w:lineRule="exact"/>
              <w:ind w:leftChars="-1" w:hanging="2" w:hangingChars="1"/>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收费标准：</w:t>
            </w:r>
            <w:r>
              <w:rPr>
                <w:rFonts w:hint="eastAsia" w:ascii="宋体" w:hAnsi="宋体" w:eastAsia="宋体" w:cs="宋体"/>
                <w:color w:val="auto"/>
                <w:sz w:val="24"/>
                <w:szCs w:val="24"/>
                <w:highlight w:val="none"/>
              </w:rPr>
              <w:t>按照国家计委关于《招标代理服务收费管理暂行办法》（计价格[2002]1980号）和国家发改价格【2011】</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4号文件规定的服务费收取标准收取</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人交纳服务费。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26</w:t>
            </w:r>
          </w:p>
        </w:tc>
        <w:tc>
          <w:tcPr>
            <w:tcW w:w="2490" w:type="dxa"/>
            <w:gridSpan w:val="2"/>
            <w:noWrap w:val="0"/>
            <w:vAlign w:val="center"/>
          </w:tcPr>
          <w:p>
            <w:pPr>
              <w:pStyle w:val="55"/>
              <w:shd w:val="clear" w:color="auto" w:fill="auto"/>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中小微型企业</w:t>
            </w:r>
          </w:p>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kern w:val="0"/>
                <w:sz w:val="24"/>
                <w:szCs w:val="24"/>
                <w:highlight w:val="none"/>
                <w14:textFill>
                  <w14:solidFill>
                    <w14:schemeClr w14:val="tx1"/>
                  </w14:solidFill>
                </w14:textFill>
              </w:rPr>
              <w:t>有关政策</w:t>
            </w:r>
          </w:p>
        </w:tc>
        <w:tc>
          <w:tcPr>
            <w:tcW w:w="6633" w:type="dxa"/>
            <w:noWrap w:val="0"/>
            <w:vAlign w:val="center"/>
          </w:tcPr>
          <w:p>
            <w:pPr>
              <w:pStyle w:val="45"/>
              <w:numPr>
                <w:ilvl w:val="0"/>
                <w:numId w:val="2"/>
              </w:numPr>
              <w:shd w:val="clear" w:color="auto" w:fill="auto"/>
              <w:spacing w:line="460" w:lineRule="exact"/>
              <w:ind w:leftChars="-1" w:hanging="2" w:hangingChars="1"/>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根据《关于印发政府采购促进中小企业发展管理办法的通知》（财库[2020]46号文）规定要求，</w:t>
            </w:r>
            <w:r>
              <w:rPr>
                <w:rFonts w:hint="eastAsia" w:ascii="宋体" w:hAnsi="宋体" w:eastAsia="宋体" w:cs="宋体"/>
                <w:b/>
                <w:bCs/>
                <w:color w:val="auto"/>
                <w:kern w:val="0"/>
                <w:sz w:val="24"/>
                <w:szCs w:val="24"/>
                <w:highlight w:val="none"/>
              </w:rPr>
              <w:t>本项目为直接面向专门面向中小企业</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rPr>
              <w:t>不再执行价格评审优惠的扶持政策，参与投标的供应商须出具《中小企业声明函》。</w:t>
            </w:r>
          </w:p>
          <w:p>
            <w:pPr>
              <w:pStyle w:val="45"/>
              <w:numPr>
                <w:ilvl w:val="0"/>
                <w:numId w:val="2"/>
              </w:numPr>
              <w:shd w:val="clear" w:color="auto" w:fill="auto"/>
              <w:spacing w:line="460" w:lineRule="exact"/>
              <w:ind w:leftChars="-1" w:hanging="2" w:hangingChars="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根据《关于印发中小企业划型标准规定的通知》(工信部联企业[2011]300号) 文件的规定，本项目所属行业： 其他未列明行业。</w:t>
            </w:r>
          </w:p>
          <w:p>
            <w:pPr>
              <w:pStyle w:val="46"/>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47" w:type="dxa"/>
            <w:noWrap w:val="0"/>
            <w:vAlign w:val="center"/>
          </w:tcPr>
          <w:p>
            <w:pPr>
              <w:pStyle w:val="55"/>
              <w:shd w:val="clear" w:color="auto" w:fill="auto"/>
              <w:tabs>
                <w:tab w:val="left" w:pos="265"/>
              </w:tabs>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27</w:t>
            </w:r>
          </w:p>
        </w:tc>
        <w:tc>
          <w:tcPr>
            <w:tcW w:w="2490" w:type="dxa"/>
            <w:gridSpan w:val="2"/>
            <w:noWrap w:val="0"/>
            <w:vAlign w:val="center"/>
          </w:tcPr>
          <w:p>
            <w:pPr>
              <w:pStyle w:val="55"/>
              <w:shd w:val="clear" w:color="auto" w:fill="auto"/>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履约保证金</w:t>
            </w:r>
          </w:p>
        </w:tc>
        <w:tc>
          <w:tcPr>
            <w:tcW w:w="6633" w:type="dxa"/>
            <w:noWrap w:val="0"/>
            <w:vAlign w:val="center"/>
          </w:tcPr>
          <w:p>
            <w:pPr>
              <w:pStyle w:val="56"/>
              <w:keepNext w:val="0"/>
              <w:keepLines w:val="0"/>
              <w:pageBreakBefore w:val="0"/>
              <w:kinsoku/>
              <w:wordWrap/>
              <w:overflowPunct/>
              <w:topLinePunct w:val="0"/>
              <w:bidi w:val="0"/>
              <w:spacing w:line="360" w:lineRule="exact"/>
              <w:ind w:left="1200" w:hanging="1200" w:hangingChars="5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交纳方式：以现金、转账、汇票或者金融机构出具的保函等形式提交。</w:t>
            </w:r>
          </w:p>
          <w:p>
            <w:pPr>
              <w:pStyle w:val="56"/>
              <w:keepNext w:val="0"/>
              <w:keepLines w:val="0"/>
              <w:pageBreakBefore w:val="0"/>
              <w:kinsoku/>
              <w:wordWrap/>
              <w:overflowPunct/>
              <w:topLinePunct w:val="0"/>
              <w:bidi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交纳时间：</w:t>
            </w:r>
            <w:bookmarkStart w:id="64" w:name="EB127f418159a842c697826fd435594812"/>
            <w:bookmarkEnd w:id="64"/>
            <w:r>
              <w:rPr>
                <w:rFonts w:hint="eastAsia" w:ascii="宋体" w:hAnsi="宋体" w:eastAsia="宋体" w:cs="宋体"/>
                <w:color w:val="auto"/>
                <w:kern w:val="0"/>
                <w:sz w:val="24"/>
                <w:szCs w:val="24"/>
                <w:highlight w:val="none"/>
                <w:lang w:val="en-US" w:eastAsia="zh-CN" w:bidi="ar-SA"/>
              </w:rPr>
              <w:t xml:space="preserve"> /</w:t>
            </w:r>
          </w:p>
          <w:p>
            <w:pPr>
              <w:pStyle w:val="55"/>
              <w:shd w:val="clear" w:color="auto" w:fill="auto"/>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bidi="ar-SA"/>
              </w:rPr>
              <w:t>交纳金额</w:t>
            </w:r>
            <w:bookmarkStart w:id="65" w:name="EBb88c1beaacd74f6b939461331a0cebe1"/>
            <w:bookmarkEnd w:id="65"/>
            <w:r>
              <w:rPr>
                <w:rFonts w:hint="eastAsia" w:ascii="宋体" w:hAnsi="宋体" w:eastAsia="宋体" w:cs="宋体"/>
                <w:color w:val="auto"/>
                <w:kern w:val="0"/>
                <w:sz w:val="24"/>
                <w:szCs w:val="24"/>
                <w:highlight w:val="non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w:t>
            </w:r>
          </w:p>
        </w:tc>
        <w:tc>
          <w:tcPr>
            <w:tcW w:w="2490" w:type="dxa"/>
            <w:gridSpan w:val="2"/>
            <w:noWrap w:val="0"/>
            <w:vAlign w:val="center"/>
          </w:tcPr>
          <w:p>
            <w:pPr>
              <w:pStyle w:val="47"/>
              <w:adjustRightInd w:val="0"/>
              <w:snapToGrid w:val="0"/>
              <w:spacing w:before="120" w:beforeLines="5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最后报价要求</w:t>
            </w:r>
          </w:p>
        </w:tc>
        <w:tc>
          <w:tcPr>
            <w:tcW w:w="6633" w:type="dxa"/>
            <w:noWrap w:val="0"/>
            <w:vAlign w:val="center"/>
          </w:tcPr>
          <w:p>
            <w:pPr>
              <w:pStyle w:val="28"/>
              <w:adjustRightInd w:val="0"/>
              <w:snapToGrid w:val="0"/>
              <w:spacing w:before="156"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报价轮数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两轮报价，由各供应商使用</w:t>
            </w:r>
            <w:r>
              <w:rPr>
                <w:rFonts w:hint="eastAsia" w:ascii="宋体" w:hAnsi="宋体" w:cs="宋体"/>
                <w:color w:val="auto"/>
                <w:sz w:val="24"/>
                <w:highlight w:val="none"/>
                <w:lang w:val="en-US" w:eastAsia="zh-CN"/>
              </w:rPr>
              <w:t>CA</w:t>
            </w:r>
            <w:r>
              <w:rPr>
                <w:rFonts w:hint="eastAsia" w:ascii="宋体" w:hAnsi="宋体" w:eastAsia="宋体" w:cs="宋体"/>
                <w:color w:val="auto"/>
                <w:sz w:val="24"/>
                <w:highlight w:val="none"/>
              </w:rPr>
              <w:t>锁在政采云平台进行最终报价。</w:t>
            </w:r>
          </w:p>
          <w:p>
            <w:pPr>
              <w:pStyle w:val="28"/>
              <w:adjustRightInd w:val="0"/>
              <w:snapToGrid w:val="0"/>
              <w:spacing w:before="156"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报价时长：</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分钟，</w:t>
            </w:r>
            <w:r>
              <w:rPr>
                <w:rFonts w:hint="eastAsia" w:ascii="宋体" w:hAnsi="宋体" w:eastAsia="宋体" w:cs="宋体"/>
                <w:color w:val="auto"/>
                <w:sz w:val="24"/>
                <w:highlight w:val="none"/>
                <w:lang w:val="zh-TW"/>
              </w:rPr>
              <w:t>在磋商小组发起轮次报价时，系统进入</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val="zh-TW"/>
              </w:rPr>
              <w:t>分钟倒计时，已提交响应文件的供应商，若未按规定时间提交最后报价，视为退出磋商。（注：任何由于投标供应商自身原因如：中途离开、无法联系上等造成的超出时限无法报价的后果由各投标供应商自行承担）</w:t>
            </w:r>
          </w:p>
          <w:p>
            <w:pPr>
              <w:pStyle w:val="28"/>
              <w:adjustRightInd w:val="0"/>
              <w:snapToGrid w:val="0"/>
              <w:spacing w:before="156" w:beforeLines="5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TW"/>
              </w:rPr>
              <w:t>由磋商小组对提交最后报价的供应商进行综合评分。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w:t>
            </w:r>
          </w:p>
        </w:tc>
        <w:tc>
          <w:tcPr>
            <w:tcW w:w="2490" w:type="dxa"/>
            <w:gridSpan w:val="2"/>
            <w:noWrap w:val="0"/>
            <w:vAlign w:val="center"/>
          </w:tcPr>
          <w:p>
            <w:pPr>
              <w:pStyle w:val="56"/>
              <w:keepNext w:val="0"/>
              <w:keepLines w:val="0"/>
              <w:pageBreakBefore w:val="0"/>
              <w:kinsoku/>
              <w:wordWrap/>
              <w:overflowPunct/>
              <w:topLinePunct w:val="0"/>
              <w:autoSpaceDE w:val="0"/>
              <w:autoSpaceDN w:val="0"/>
              <w:bidi w:val="0"/>
              <w:adjustRightInd w:val="0"/>
              <w:spacing w:after="200" w:line="3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质疑的提出</w:t>
            </w:r>
          </w:p>
        </w:tc>
        <w:tc>
          <w:tcPr>
            <w:tcW w:w="6633" w:type="dxa"/>
            <w:noWrap w:val="0"/>
            <w:vAlign w:val="center"/>
          </w:tcPr>
          <w:p>
            <w:pPr>
              <w:pStyle w:val="28"/>
              <w:adjustRightInd w:val="0"/>
              <w:snapToGrid w:val="0"/>
              <w:spacing w:before="156" w:beforeLines="5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供应商应在法定质疑期内一次性提出针对同一采购程序环节的质疑。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c>
          <w:tcPr>
            <w:tcW w:w="2490" w:type="dxa"/>
            <w:gridSpan w:val="2"/>
            <w:noWrap w:val="0"/>
            <w:vAlign w:val="center"/>
          </w:tcPr>
          <w:p>
            <w:pPr>
              <w:pStyle w:val="56"/>
              <w:keepNext w:val="0"/>
              <w:keepLines w:val="0"/>
              <w:pageBreakBefore w:val="0"/>
              <w:kinsoku/>
              <w:wordWrap/>
              <w:overflowPunct/>
              <w:topLinePunct w:val="0"/>
              <w:autoSpaceDE w:val="0"/>
              <w:autoSpaceDN w:val="0"/>
              <w:bidi w:val="0"/>
              <w:adjustRightInd w:val="0"/>
              <w:spacing w:after="200"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无效标条款</w:t>
            </w:r>
          </w:p>
        </w:tc>
        <w:tc>
          <w:tcPr>
            <w:tcW w:w="6633" w:type="dxa"/>
            <w:noWrap w:val="0"/>
            <w:vAlign w:val="center"/>
          </w:tcPr>
          <w:p>
            <w:pPr>
              <w:pStyle w:val="28"/>
              <w:adjustRightInd w:val="0"/>
              <w:snapToGrid w:val="0"/>
              <w:spacing w:before="156"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有下列情况之一的，其投标视为响应无效：</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1.投标人不具备《中华人民共和国政府采购法》第二十二条规定条件；</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2.采购响应文件没有按采购文件的要求盖章或签名；</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3.投标人不符合资格条件；</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4.采购响应文件提供虚假材料；</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5.采购响应文件未完全满足采购文件中带“★”号的实质性条款或指标；</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6</w:t>
            </w:r>
            <w:r>
              <w:rPr>
                <w:rFonts w:hint="eastAsia" w:ascii="宋体" w:hAnsi="宋体" w:eastAsia="宋体" w:cs="宋体"/>
                <w:bCs/>
                <w:color w:val="auto"/>
                <w:kern w:val="2"/>
                <w:sz w:val="24"/>
                <w:szCs w:val="22"/>
                <w:highlight w:val="none"/>
              </w:rPr>
              <w:t>.投标人报价不确定或超过采购文件中列出的采购预算(最高限价)；</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7</w:t>
            </w:r>
            <w:r>
              <w:rPr>
                <w:rFonts w:hint="eastAsia" w:ascii="宋体" w:hAnsi="宋体" w:eastAsia="宋体" w:cs="宋体"/>
                <w:bCs/>
                <w:color w:val="auto"/>
                <w:kern w:val="2"/>
                <w:sz w:val="24"/>
                <w:szCs w:val="22"/>
                <w:highlight w:val="none"/>
              </w:rPr>
              <w:t>.联合体的投标人未提交各方共同签署的协议；</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8</w:t>
            </w:r>
            <w:r>
              <w:rPr>
                <w:rFonts w:hint="eastAsia" w:ascii="宋体" w:hAnsi="宋体" w:eastAsia="宋体" w:cs="宋体"/>
                <w:bCs/>
                <w:color w:val="auto"/>
                <w:kern w:val="2"/>
                <w:sz w:val="24"/>
                <w:szCs w:val="22"/>
                <w:highlight w:val="none"/>
              </w:rPr>
              <w:t>.投标人未按采购文件要求交纳投标保证金；</w:t>
            </w:r>
          </w:p>
          <w:p>
            <w:pPr>
              <w:pStyle w:val="112"/>
              <w:spacing w:line="360" w:lineRule="auto"/>
              <w:rPr>
                <w:rFonts w:hint="eastAsia" w:ascii="宋体" w:hAnsi="宋体" w:eastAsia="宋体" w:cs="宋体"/>
                <w:b/>
                <w:color w:val="auto"/>
                <w:kern w:val="2"/>
                <w:sz w:val="24"/>
                <w:szCs w:val="22"/>
                <w:highlight w:val="none"/>
              </w:rPr>
            </w:pPr>
            <w:r>
              <w:rPr>
                <w:rFonts w:hint="eastAsia" w:ascii="宋体" w:hAnsi="宋体" w:eastAsia="宋体" w:cs="宋体"/>
                <w:color w:val="auto"/>
                <w:kern w:val="2"/>
                <w:sz w:val="24"/>
                <w:szCs w:val="22"/>
                <w:highlight w:val="none"/>
                <w:lang w:val="en-US" w:eastAsia="zh-CN"/>
              </w:rPr>
              <w:t>9</w:t>
            </w:r>
            <w:r>
              <w:rPr>
                <w:rFonts w:hint="eastAsia" w:ascii="宋体" w:hAnsi="宋体" w:eastAsia="宋体" w:cs="宋体"/>
                <w:color w:val="auto"/>
                <w:kern w:val="2"/>
                <w:sz w:val="24"/>
                <w:szCs w:val="22"/>
                <w:highlight w:val="none"/>
              </w:rPr>
              <w:t>.投标人提供可调整的投标方案和报价</w:t>
            </w:r>
            <w:r>
              <w:rPr>
                <w:rFonts w:hint="eastAsia" w:ascii="宋体" w:hAnsi="宋体" w:eastAsia="宋体" w:cs="宋体"/>
                <w:bCs/>
                <w:color w:val="auto"/>
                <w:kern w:val="2"/>
                <w:sz w:val="24"/>
                <w:szCs w:val="22"/>
                <w:highlight w:val="none"/>
              </w:rPr>
              <w:t>；</w:t>
            </w:r>
          </w:p>
          <w:p>
            <w:pPr>
              <w:pStyle w:val="112"/>
              <w:spacing w:line="360" w:lineRule="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2"/>
                <w:sz w:val="24"/>
                <w:szCs w:val="22"/>
                <w:highlight w:val="none"/>
              </w:rPr>
              <w:t>.投标人投标文件填报的内容不详，或没有提供招标文件中所要求的全部资料及数据的</w:t>
            </w:r>
            <w:r>
              <w:rPr>
                <w:rFonts w:hint="eastAsia" w:ascii="宋体" w:hAnsi="宋体" w:eastAsia="宋体" w:cs="宋体"/>
                <w:bCs/>
                <w:color w:val="auto"/>
                <w:kern w:val="2"/>
                <w:sz w:val="24"/>
                <w:szCs w:val="22"/>
                <w:highlight w:val="none"/>
              </w:rPr>
              <w:t>；</w:t>
            </w:r>
          </w:p>
          <w:p>
            <w:pPr>
              <w:pStyle w:val="112"/>
              <w:spacing w:line="360" w:lineRule="auto"/>
              <w:rPr>
                <w:rFonts w:hint="eastAsia" w:ascii="宋体" w:hAnsi="宋体" w:eastAsia="宋体" w:cs="宋体"/>
                <w:b/>
                <w:color w:val="auto"/>
                <w:kern w:val="2"/>
                <w:sz w:val="24"/>
                <w:szCs w:val="22"/>
                <w:highlight w:val="none"/>
              </w:rPr>
            </w:pPr>
            <w:r>
              <w:rPr>
                <w:rFonts w:hint="eastAsia" w:ascii="宋体" w:hAnsi="宋体" w:eastAsia="宋体" w:cs="宋体"/>
                <w:color w:val="auto"/>
                <w:kern w:val="2"/>
                <w:sz w:val="24"/>
                <w:szCs w:val="22"/>
                <w:highlight w:val="none"/>
                <w:lang w:val="en-US" w:eastAsia="zh-CN"/>
              </w:rPr>
              <w:t>11</w:t>
            </w:r>
            <w:r>
              <w:rPr>
                <w:rFonts w:hint="eastAsia" w:ascii="宋体" w:hAnsi="宋体" w:eastAsia="宋体" w:cs="宋体"/>
                <w:color w:val="auto"/>
                <w:kern w:val="2"/>
                <w:sz w:val="24"/>
                <w:szCs w:val="22"/>
                <w:highlight w:val="none"/>
              </w:rPr>
              <w:t>.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宋体" w:hAnsi="宋体" w:eastAsia="宋体" w:cs="宋体"/>
                <w:bCs/>
                <w:color w:val="auto"/>
                <w:kern w:val="2"/>
                <w:sz w:val="24"/>
                <w:szCs w:val="22"/>
                <w:highlight w:val="none"/>
              </w:rPr>
              <w:t>；</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12</w:t>
            </w:r>
            <w:r>
              <w:rPr>
                <w:rFonts w:hint="eastAsia" w:ascii="宋体" w:hAnsi="宋体" w:eastAsia="宋体" w:cs="宋体"/>
                <w:bCs/>
                <w:color w:val="auto"/>
                <w:kern w:val="2"/>
                <w:sz w:val="24"/>
                <w:szCs w:val="22"/>
                <w:highlight w:val="none"/>
              </w:rPr>
              <w:t>.评审期间，投标人没有按评标委员会的要求提交经授权代表签字的澄清、说明、补正或改变了采购响应文件的实质性内容；</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13</w:t>
            </w:r>
            <w:r>
              <w:rPr>
                <w:rFonts w:hint="eastAsia" w:ascii="宋体" w:hAnsi="宋体" w:eastAsia="宋体" w:cs="宋体"/>
                <w:bCs/>
                <w:color w:val="auto"/>
                <w:kern w:val="2"/>
                <w:sz w:val="24"/>
                <w:szCs w:val="22"/>
                <w:highlight w:val="none"/>
              </w:rPr>
              <w:t>.投标人对采购人、采购代理机构、评标委员会及其工作人员施加影响，有碍公平、公正；</w:t>
            </w:r>
          </w:p>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14</w:t>
            </w:r>
            <w:r>
              <w:rPr>
                <w:rFonts w:hint="eastAsia" w:ascii="宋体" w:hAnsi="宋体" w:eastAsia="宋体" w:cs="宋体"/>
                <w:bCs/>
                <w:color w:val="auto"/>
                <w:kern w:val="2"/>
                <w:sz w:val="24"/>
                <w:szCs w:val="22"/>
                <w:highlight w:val="none"/>
              </w:rPr>
              <w:t>.经评审委员会认定投标文件技术参数及要求复制、粘贴采购文件的；</w:t>
            </w:r>
          </w:p>
          <w:p>
            <w:pPr>
              <w:pStyle w:val="56"/>
              <w:keepNext w:val="0"/>
              <w:keepLines w:val="0"/>
              <w:pageBreakBefore w:val="0"/>
              <w:kinsoku/>
              <w:wordWrap/>
              <w:overflowPunct/>
              <w:topLinePunct w:val="0"/>
              <w:autoSpaceDE w:val="0"/>
              <w:autoSpaceDN w:val="0"/>
              <w:bidi w:val="0"/>
              <w:adjustRightInd w:val="0"/>
              <w:spacing w:after="200" w:line="360" w:lineRule="exact"/>
              <w:rPr>
                <w:rFonts w:hint="eastAsia" w:ascii="宋体" w:hAnsi="宋体" w:eastAsia="宋体" w:cs="宋体"/>
                <w:b w:val="0"/>
                <w:bCs/>
                <w:color w:val="auto"/>
                <w:kern w:val="0"/>
                <w:sz w:val="24"/>
                <w:szCs w:val="24"/>
                <w:highlight w:val="none"/>
              </w:rPr>
            </w:pPr>
            <w:r>
              <w:rPr>
                <w:rFonts w:hint="eastAsia" w:ascii="宋体" w:hAnsi="宋体" w:eastAsia="宋体" w:cs="宋体"/>
                <w:bCs/>
                <w:color w:val="auto"/>
                <w:sz w:val="24"/>
                <w:szCs w:val="22"/>
                <w:highlight w:val="none"/>
                <w:lang w:val="en-US" w:eastAsia="zh-CN"/>
              </w:rPr>
              <w:t>15</w:t>
            </w:r>
            <w:r>
              <w:rPr>
                <w:rFonts w:hint="eastAsia" w:ascii="宋体" w:hAnsi="宋体" w:eastAsia="宋体" w:cs="宋体"/>
                <w:bCs/>
                <w:color w:val="auto"/>
                <w:sz w:val="24"/>
                <w:szCs w:val="22"/>
                <w:highlight w:val="none"/>
              </w:rPr>
              <w:t>.法律、法规、规章及招标文件中规定属于响应无效的其他情形。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2490" w:type="dxa"/>
            <w:gridSpan w:val="2"/>
            <w:noWrap w:val="0"/>
            <w:vAlign w:val="center"/>
          </w:tcPr>
          <w:p>
            <w:pPr>
              <w:pStyle w:val="91"/>
              <w:keepNext w:val="0"/>
              <w:keepLines w:val="0"/>
              <w:pageBreakBefore w:val="0"/>
              <w:kinsoku/>
              <w:wordWrap/>
              <w:overflowPunct/>
              <w:topLinePunct w:val="0"/>
              <w:bidi w:val="0"/>
              <w:spacing w:line="360" w:lineRule="exact"/>
              <w:ind w:left="0" w:leftChars="0" w:firstLine="0" w:firstLineChars="0"/>
              <w:contextualSpacing/>
              <w:jc w:val="center"/>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注意事项</w:t>
            </w:r>
          </w:p>
        </w:tc>
        <w:tc>
          <w:tcPr>
            <w:tcW w:w="6633" w:type="dxa"/>
            <w:noWrap w:val="0"/>
            <w:vAlign w:val="center"/>
          </w:tcPr>
          <w:p>
            <w:pPr>
              <w:pStyle w:val="56"/>
              <w:spacing w:line="360" w:lineRule="auto"/>
              <w:ind w:right="-1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lang w:val="en-US" w:eastAsia="zh-CN"/>
              </w:rPr>
              <w:t>1.</w:t>
            </w:r>
            <w:r>
              <w:rPr>
                <w:rFonts w:hint="eastAsia" w:ascii="宋体" w:hAnsi="宋体" w:eastAsia="宋体" w:cs="宋体"/>
                <w:bCs/>
                <w:color w:val="auto"/>
                <w:kern w:val="2"/>
                <w:sz w:val="24"/>
                <w:szCs w:val="22"/>
                <w:highlight w:val="none"/>
              </w:rPr>
              <w:t>根据《关于在政府采购活动中查询及使用信用记录有关问题的通知》（财库〔2016〕125 号）的要求，采购代理机构将通过“信用中国”网站（www.creditchina.gov.cn）、“中国政府采购网”网站（www.ccgp.gov.cn）等渠道查询供应商在开标当日之前的信用信息记录并保存信用记录结果网页截图，拒绝列入失信被执行人、重大税收违法案件当事人名单、政府采购严重违法失信行为记录名单及其他不符合规定条件的投标人；</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2.</w:t>
            </w:r>
            <w:r>
              <w:rPr>
                <w:rFonts w:hint="eastAsia" w:ascii="宋体" w:hAnsi="宋体" w:eastAsia="宋体" w:cs="宋体"/>
                <w:bCs/>
                <w:color w:val="auto"/>
                <w:kern w:val="2"/>
                <w:sz w:val="24"/>
                <w:szCs w:val="22"/>
                <w:highlight w:val="none"/>
              </w:rPr>
              <w:t>本项目不接受选择性报价，对于出现的政采云平台开标唱标环节经投标供应商确认的投标报价与投标文件中开标一览表的报价不一致的现象，视作选择性报价，将被作为无效投标处理。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47" w:type="dxa"/>
            <w:noWrap w:val="0"/>
            <w:vAlign w:val="center"/>
          </w:tcPr>
          <w:p>
            <w:pPr>
              <w:pStyle w:val="55"/>
              <w:shd w:val="clear" w:color="auto" w:fill="auto"/>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p>
        </w:tc>
        <w:tc>
          <w:tcPr>
            <w:tcW w:w="2490" w:type="dxa"/>
            <w:gridSpan w:val="2"/>
            <w:noWrap w:val="0"/>
            <w:vAlign w:val="center"/>
          </w:tcPr>
          <w:p>
            <w:pPr>
              <w:pStyle w:val="56"/>
              <w:autoSpaceDE w:val="0"/>
              <w:autoSpaceDN w:val="0"/>
              <w:adjustRightInd w:val="0"/>
              <w:spacing w:after="200"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其他约定</w:t>
            </w:r>
          </w:p>
        </w:tc>
        <w:tc>
          <w:tcPr>
            <w:tcW w:w="6633" w:type="dxa"/>
            <w:noWrap w:val="0"/>
            <w:vAlign w:val="center"/>
          </w:tcPr>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1.本竞争性磋商文件中所有黑体字部分为投标人注意事项，且将做为是否中标的重要因素。</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2.本《供应商须知前附表》是对《须知正文》的强调、说明、修正或者补充，凡《供应商须知前附表》的相关内容与正文不一致的，以《供应商须知前附表》为准。</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3.成交单位需在成交通知书发出之日起30日内与采购单位签订采购合同（除不可抗力因素外），并将签订的完整版合同电子清晰扫描件发送至xjtbdzb@126.com。</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说明：成交单位在领取成交通知书后，应将拟定的初稿政采合同电子版发送至采购人，并及时取得联系。</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4.在评标过程直至签订合同前的任何时间，如经证实发现供应商提供虚假投标资料(包括技术支持资料)或信息骗取中标的，将取消其中标资格，没收其投标保证金，并报行政主管部门备案。</w:t>
            </w:r>
          </w:p>
          <w:p>
            <w:pPr>
              <w:pStyle w:val="56"/>
              <w:spacing w:line="360" w:lineRule="auto"/>
              <w:ind w:right="-10"/>
              <w:rPr>
                <w:rFonts w:hint="eastAsia" w:ascii="宋体" w:hAnsi="宋体" w:eastAsia="宋体" w:cs="宋体"/>
                <w:bCs/>
                <w:color w:val="auto"/>
                <w:kern w:val="2"/>
                <w:sz w:val="24"/>
                <w:szCs w:val="22"/>
                <w:highlight w:val="none"/>
                <w:lang w:val="en-US" w:eastAsia="zh-CN"/>
              </w:rPr>
            </w:pPr>
            <w:r>
              <w:rPr>
                <w:rFonts w:hint="eastAsia" w:ascii="宋体" w:hAnsi="宋体" w:eastAsia="宋体" w:cs="宋体"/>
                <w:bCs/>
                <w:color w:val="auto"/>
                <w:kern w:val="2"/>
                <w:sz w:val="24"/>
                <w:szCs w:val="22"/>
                <w:highlight w:val="none"/>
                <w:lang w:val="en-US" w:eastAsia="zh-CN"/>
              </w:rPr>
              <w:t>5.在本次采购项目中供应商所投产品涉及商品包装和快递包装的须满足《财政部等三部门联合印发商品包装和快递包装政府采购需求标准》（试行）(财办库〔2020〕123号文)。</w:t>
            </w:r>
          </w:p>
        </w:tc>
      </w:tr>
    </w:tbl>
    <w:p>
      <w:pPr>
        <w:pStyle w:val="55"/>
        <w:shd w:val="clear" w:color="auto" w:fill="auto"/>
        <w:spacing w:line="44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4"/>
          <w:highlight w:val="none"/>
        </w:rPr>
        <w:t>注：</w:t>
      </w:r>
      <w:r>
        <w:rPr>
          <w:rFonts w:hint="eastAsia" w:ascii="宋体" w:hAnsi="宋体" w:eastAsia="宋体" w:cs="宋体"/>
          <w:b/>
          <w:bCs/>
          <w:color w:val="auto"/>
          <w:kern w:val="0"/>
          <w:sz w:val="28"/>
          <w:szCs w:val="24"/>
          <w:highlight w:val="none"/>
          <w:lang w:val="en-US" w:eastAsia="zh-CN"/>
        </w:rPr>
        <w:t xml:space="preserve"> </w:t>
      </w:r>
      <w:r>
        <w:rPr>
          <w:rFonts w:hint="eastAsia" w:ascii="宋体" w:hAnsi="宋体" w:eastAsia="宋体" w:cs="宋体"/>
          <w:color w:val="auto"/>
          <w:sz w:val="24"/>
          <w:szCs w:val="24"/>
          <w:highlight w:val="none"/>
        </w:rPr>
        <w:t>1、本表内容与采购文件其它内容不一致的，应当以本表内容为准。</w:t>
      </w:r>
    </w:p>
    <w:p>
      <w:pPr>
        <w:pStyle w:val="55"/>
        <w:shd w:val="clear" w:color="auto" w:fill="auto"/>
        <w:ind w:firstLine="720" w:firstLineChars="300"/>
        <w:rPr>
          <w:rFonts w:hint="eastAsia" w:ascii="宋体" w:hAnsi="宋体" w:eastAsia="宋体" w:cs="宋体"/>
          <w:b/>
          <w:color w:val="auto"/>
          <w:sz w:val="32"/>
          <w:szCs w:val="28"/>
          <w:highlight w:val="none"/>
        </w:rPr>
      </w:pPr>
      <w:r>
        <w:rPr>
          <w:rFonts w:hint="eastAsia" w:ascii="宋体" w:hAnsi="宋体" w:eastAsia="宋体" w:cs="宋体"/>
          <w:color w:val="auto"/>
          <w:kern w:val="0"/>
          <w:sz w:val="24"/>
          <w:szCs w:val="24"/>
          <w:highlight w:val="none"/>
        </w:rPr>
        <w:t>2、本表中“☑”标示选择使用该项。</w:t>
      </w:r>
      <w:bookmarkStart w:id="66" w:name="_Toc22254"/>
      <w:bookmarkStart w:id="67" w:name="_Toc1621"/>
      <w:bookmarkStart w:id="68" w:name="_Toc256000002"/>
      <w:bookmarkStart w:id="69" w:name="_Toc20759"/>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一、 说明</w:t>
      </w:r>
      <w:bookmarkEnd w:id="66"/>
      <w:bookmarkEnd w:id="67"/>
      <w:bookmarkEnd w:id="68"/>
      <w:bookmarkEnd w:id="69"/>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1.1适用范围</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本磋商文件仅适用于本磋商邀请函中所述项目的货物及相关服务的采购。</w:t>
      </w:r>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1.2定义</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1.2.1“采购人”是指：详见供应商须知前附表。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1.2.2“采购代理机构”是指：详见供应商须知前附表。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1.2.3“监管部门”是指：详见供应商须知前附表。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“供应商”是指：响应磋商文件要求并且符合磋商文件规定资格条件和参加竞争性磋商的法人、其他组织或者自然人。</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1.2.5“成交供应商”是指: 是指经磋商小组评审，授予合同的供应商。</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1.2.6采购人和采购代理机构统称为招标采购单位。</w:t>
      </w:r>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1.3货物和服务</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auto"/>
          <w:kern w:val="0"/>
          <w:sz w:val="24"/>
          <w:szCs w:val="24"/>
          <w:highlight w:val="none"/>
        </w:rPr>
        <w:t>提供的货物必须是其合法生产的符合国家有关标准要求的货物，并能够按照合同规定的品牌、产地、质量、价格和有效期等履约。</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1.3.2“服务”是指：除货物和工程以外的其他政府采购对象。包括：政府自身需要的服务和政府向社会公众提供的公共服务。</w:t>
      </w:r>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1.4磋商费用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1.4.1供应商应承担所有与准备和参加竞争性磋商有关的费用。不论磋商的结果如何，采购单位均无义务和责任承担这些费用。</w:t>
      </w:r>
    </w:p>
    <w:p>
      <w:pPr>
        <w:pStyle w:val="65"/>
        <w:keepNext/>
        <w:keepLines/>
        <w:shd w:val="clear" w:color="auto" w:fill="auto"/>
        <w:adjustRightInd w:val="0"/>
        <w:snapToGrid w:val="0"/>
        <w:spacing w:before="260" w:after="260" w:line="500" w:lineRule="exact"/>
        <w:ind w:left="-88" w:leftChars="-42"/>
        <w:contextualSpacing/>
        <w:jc w:val="center"/>
        <w:outlineLvl w:val="9"/>
        <w:rPr>
          <w:rFonts w:hint="eastAsia" w:ascii="宋体" w:hAnsi="宋体" w:eastAsia="宋体" w:cs="宋体"/>
          <w:b/>
          <w:color w:val="auto"/>
          <w:sz w:val="32"/>
          <w:szCs w:val="28"/>
          <w:highlight w:val="none"/>
        </w:rPr>
      </w:pPr>
      <w:bookmarkStart w:id="70" w:name="_Toc256000003"/>
      <w:bookmarkStart w:id="71" w:name="_Toc446599311"/>
      <w:bookmarkStart w:id="72" w:name="_Toc293736011"/>
      <w:bookmarkStart w:id="73" w:name="_Toc293738992"/>
      <w:bookmarkStart w:id="74" w:name="_Toc293736054"/>
      <w:bookmarkStart w:id="75" w:name="_Toc18317"/>
      <w:bookmarkStart w:id="76" w:name="_Toc32634"/>
      <w:bookmarkStart w:id="77" w:name="_Toc3092"/>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二、磋商文件</w:t>
      </w:r>
      <w:bookmarkEnd w:id="70"/>
      <w:bookmarkEnd w:id="71"/>
      <w:bookmarkEnd w:id="72"/>
      <w:bookmarkEnd w:id="73"/>
      <w:bookmarkEnd w:id="74"/>
      <w:bookmarkEnd w:id="75"/>
      <w:bookmarkEnd w:id="76"/>
      <w:bookmarkEnd w:id="77"/>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2.1磋商文件的构成</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2.1.1磋商文件由下列文件以及在采购过程中发出的修正和补充文件组成：</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w:t>
      </w:r>
      <w:r>
        <w:rPr>
          <w:rFonts w:hint="eastAsia" w:ascii="宋体" w:hAnsi="宋体" w:eastAsia="宋体" w:cs="宋体"/>
          <w:color w:val="auto"/>
          <w:sz w:val="24"/>
          <w:szCs w:val="24"/>
          <w:highlight w:val="none"/>
          <w:lang w:eastAsia="zh-CN"/>
        </w:rPr>
        <w:t>公告</w:t>
      </w:r>
      <w:r>
        <w:rPr>
          <w:rFonts w:hint="eastAsia" w:ascii="宋体" w:hAnsi="宋体" w:eastAsia="宋体" w:cs="宋体"/>
          <w:color w:val="auto"/>
          <w:sz w:val="24"/>
          <w:szCs w:val="24"/>
          <w:highlight w:val="none"/>
        </w:rPr>
        <w:t>；</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(4)评审方法；</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(5)合同格式及合同条款；</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(7)在磋商过程中由采购单位发出的澄清和补充文件等。</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2.2磋商文件的澄清</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磋商文件的全部内容。供应商若对磋商文件有任何疑问，均应在响应文件递交截止时间5日前向采购代理机构提出。采购单位对供应商所要求澄清的内容均予以答复（答复中不包括问题的来源）。必要时，采购单位将组织相关专家召开答疑会，并在新疆政府采购网向所有供应商公布。澄清文件作为磋商文件的组成部分，对供应商具有同等约束作用。</w:t>
      </w:r>
    </w:p>
    <w:p>
      <w:pPr>
        <w:pStyle w:val="65"/>
        <w:shd w:val="clear" w:color="auto" w:fill="auto"/>
        <w:spacing w:line="500" w:lineRule="exact"/>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2.2.2</w:t>
      </w:r>
      <w:r>
        <w:rPr>
          <w:rFonts w:hint="eastAsia" w:ascii="宋体" w:hAnsi="宋体" w:eastAsia="宋体" w:cs="宋体"/>
          <w:color w:val="auto"/>
          <w:sz w:val="24"/>
          <w:szCs w:val="24"/>
          <w:highlight w:val="none"/>
        </w:rPr>
        <w:t>供应商在本项目采购公告期限届满之日起5个工作日内未对磋商文件提出异议的，采购单位将视其为同意。在规定的时间后就磋商文件内容提出的质疑将不予受理。</w:t>
      </w:r>
    </w:p>
    <w:p>
      <w:pPr>
        <w:pStyle w:val="65"/>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2.3磋商文件的修改</w:t>
      </w:r>
    </w:p>
    <w:p>
      <w:pPr>
        <w:pStyle w:val="65"/>
        <w:shd w:val="clear" w:color="auto" w:fill="auto"/>
        <w:spacing w:line="500" w:lineRule="exact"/>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2.3.1采购单位可以对已发出的磋商文件进行必要的澄清或者修改。</w:t>
      </w:r>
      <w:r>
        <w:rPr>
          <w:rFonts w:hint="eastAsia" w:ascii="宋体" w:hAnsi="宋体" w:eastAsia="宋体" w:cs="宋体"/>
          <w:color w:val="auto"/>
          <w:sz w:val="24"/>
          <w:szCs w:val="24"/>
          <w:highlight w:val="none"/>
        </w:rPr>
        <w:t xml:space="preserve">澄清或者修改的内容可能影响响应文件编制的，采购单位将在响应文件递交截止时间五日前在新疆政府采购网发布更正公告。 </w:t>
      </w:r>
    </w:p>
    <w:p>
      <w:pPr>
        <w:pStyle w:val="65"/>
        <w:shd w:val="clear" w:color="auto" w:fill="auto"/>
        <w:spacing w:line="500" w:lineRule="exact"/>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2.3.2澄清或者修改的内容是磋商文件的组成部分，</w:t>
      </w:r>
      <w:r>
        <w:rPr>
          <w:rFonts w:hint="eastAsia" w:ascii="宋体" w:hAnsi="宋体" w:eastAsia="宋体" w:cs="宋体"/>
          <w:color w:val="auto"/>
          <w:sz w:val="24"/>
          <w:szCs w:val="24"/>
          <w:highlight w:val="none"/>
        </w:rPr>
        <w:t>并对供应商具有约束力。</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2.3.3为使供应商有充足的时间对磋商文件的修改部分进行研究，采购单位可适当推迟响应文件截止期，并通过书面方式通知所有下载磋商文件的供应商。</w:t>
      </w:r>
    </w:p>
    <w:p>
      <w:pPr>
        <w:pStyle w:val="65"/>
        <w:shd w:val="clear" w:color="auto" w:fill="auto"/>
        <w:spacing w:line="500" w:lineRule="exact"/>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2.3.4供应商应注意发布的澄清或修改通知，因供应商原因未及时获知澄清、修改或补充内容而导致的任何后果将由供应商自行承担。</w:t>
      </w:r>
    </w:p>
    <w:p>
      <w:pPr>
        <w:pStyle w:val="89"/>
        <w:shd w:val="clear" w:color="auto" w:fill="auto"/>
        <w:rPr>
          <w:rFonts w:hint="eastAsia" w:ascii="宋体" w:hAnsi="宋体" w:eastAsia="宋体" w:cs="宋体"/>
          <w:color w:val="auto"/>
          <w:highlight w:val="none"/>
        </w:rPr>
      </w:pPr>
      <w:bookmarkStart w:id="78" w:name="_Toc256000004"/>
      <w:bookmarkStart w:id="79" w:name="_Toc32450"/>
      <w:bookmarkStart w:id="80" w:name="_Toc256000005"/>
      <w:bookmarkStart w:id="81" w:name="_Toc293736056"/>
      <w:bookmarkStart w:id="82" w:name="_Toc293738994"/>
      <w:bookmarkStart w:id="83" w:name="_Toc446599313"/>
      <w:bookmarkStart w:id="84" w:name="_Toc293736013"/>
      <w:r>
        <w:rPr>
          <w:rFonts w:hint="eastAsia" w:ascii="宋体" w:hAnsi="宋体" w:eastAsia="宋体" w:cs="宋体"/>
          <w:color w:val="auto"/>
          <w:highlight w:val="none"/>
        </w:rPr>
        <w:t>三、响应文件的编制和数量</w:t>
      </w:r>
      <w:bookmarkEnd w:id="78"/>
      <w:bookmarkEnd w:id="79"/>
      <w:bookmarkEnd w:id="80"/>
    </w:p>
    <w:p>
      <w:pPr>
        <w:pStyle w:val="54"/>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3.1响应文件的语言</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54"/>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3.2响应文件的构成</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3.2.1供应商编制的响应文件应包括但不少于下列内容：</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（1）资格审查文件</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w:t>
      </w:r>
      <w:r>
        <w:rPr>
          <w:rFonts w:hint="eastAsia" w:ascii="宋体" w:hAnsi="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val="en-US" w:eastAsia="zh-CN"/>
        </w:rPr>
        <w:t>）</w:t>
      </w:r>
      <w:r>
        <w:rPr>
          <w:rFonts w:hint="eastAsia" w:ascii="宋体" w:hAnsi="宋体" w:cs="宋体"/>
          <w:color w:val="auto"/>
          <w:spacing w:val="-6"/>
          <w:sz w:val="24"/>
          <w:szCs w:val="24"/>
          <w:highlight w:val="none"/>
          <w:lang w:val="en-US" w:eastAsia="zh-CN"/>
        </w:rPr>
        <w:t>价格</w:t>
      </w:r>
      <w:r>
        <w:rPr>
          <w:rFonts w:hint="eastAsia" w:ascii="宋体" w:hAnsi="宋体" w:eastAsia="宋体" w:cs="宋体"/>
          <w:color w:val="auto"/>
          <w:spacing w:val="-6"/>
          <w:sz w:val="24"/>
          <w:szCs w:val="24"/>
          <w:highlight w:val="none"/>
          <w:lang w:val="en-US" w:eastAsia="zh-CN"/>
        </w:rPr>
        <w:t>要求响应文件</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w:t>
      </w:r>
      <w:r>
        <w:rPr>
          <w:rFonts w:hint="eastAsia" w:ascii="宋体" w:hAnsi="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val="en-US" w:eastAsia="zh-CN"/>
        </w:rPr>
        <w:t>）商务技术文件</w:t>
      </w:r>
    </w:p>
    <w:p>
      <w:pPr>
        <w:pStyle w:val="54"/>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3.3响应文件编制</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3.3.1电子响应文件制作时，应按照磋商文件中明确的响应文件目录和投标技术规格、参数及相关要求格式进行编制，保证目录清晰、内容完整。</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3.3.2供应商因自身原因导致电子响应文件无法导入电子评标系统的，该响应文件视为无效文件。 </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3.3.3电子响应文件具有法律效力,与其他形式的响应文件在内容和格式上等同，若响应文件与磋商文件要求不一致，其内容影响成交结果时，责任由供应商自行承担。 </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3.3.4为了保证电子标书的合法性、安全性和完整性，电子响应文件应在规定区域加盖单位和法定代表人CA电子印章。电子响应文件若无 CA电子签章，则视为无效文件。</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3.3.5供应商应完整地填写磋商文件中提供的《</w:t>
      </w:r>
      <w:r>
        <w:rPr>
          <w:rFonts w:hint="eastAsia" w:ascii="宋体" w:hAnsi="宋体" w:cs="宋体"/>
          <w:color w:val="auto"/>
          <w:spacing w:val="-6"/>
          <w:sz w:val="24"/>
          <w:szCs w:val="24"/>
          <w:highlight w:val="none"/>
          <w:lang w:val="en-US" w:eastAsia="zh-CN"/>
        </w:rPr>
        <w:t>投标</w:t>
      </w:r>
      <w:r>
        <w:rPr>
          <w:rFonts w:hint="eastAsia" w:ascii="宋体" w:hAnsi="宋体" w:eastAsia="宋体" w:cs="宋体"/>
          <w:color w:val="auto"/>
          <w:spacing w:val="-6"/>
          <w:sz w:val="24"/>
          <w:szCs w:val="24"/>
          <w:highlight w:val="none"/>
          <w:lang w:val="en-US" w:eastAsia="zh-CN"/>
        </w:rPr>
        <w:t xml:space="preserve">函》、《开标一览表》、《报价明细表》等磋商文件中规定的所有内容。 </w:t>
      </w:r>
    </w:p>
    <w:p>
      <w:pPr>
        <w:pStyle w:val="91"/>
        <w:shd w:val="clear" w:color="auto" w:fill="auto"/>
        <w:spacing w:line="500" w:lineRule="exact"/>
        <w:ind w:firstLine="460" w:firstLineChars="202"/>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3.3.6供应商必须保证响应文件所提供的全部资料真实可靠，并接受采购单位对其中任何资料进一步核实的要求。 </w:t>
      </w:r>
    </w:p>
    <w:p>
      <w:pPr>
        <w:pStyle w:val="54"/>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3.4磋商报价要求</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3.4.1供应商所提供的货物和服务均以人民币报价。</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w:t>
      </w:r>
      <w:r>
        <w:rPr>
          <w:rFonts w:hint="eastAsia" w:ascii="宋体" w:hAnsi="宋体" w:eastAsia="宋体" w:cs="宋体"/>
          <w:color w:val="auto"/>
          <w:kern w:val="0"/>
          <w:sz w:val="24"/>
          <w:szCs w:val="24"/>
          <w:highlight w:val="none"/>
          <w:lang w:val="en-US" w:eastAsia="zh-CN"/>
        </w:rPr>
        <w:t>供应</w:t>
      </w:r>
      <w:r>
        <w:rPr>
          <w:rFonts w:hint="eastAsia" w:ascii="宋体" w:hAnsi="宋体" w:eastAsia="宋体" w:cs="宋体"/>
          <w:color w:val="auto"/>
          <w:kern w:val="0"/>
          <w:sz w:val="24"/>
          <w:szCs w:val="24"/>
          <w:highlight w:val="none"/>
        </w:rPr>
        <w:t>商应按照“第三章 采购需求”规定的货物、服务内容、责任范围以及合同条款进行报价。并按《</w:t>
      </w:r>
      <w:r>
        <w:rPr>
          <w:rFonts w:hint="eastAsia" w:ascii="宋体" w:hAnsi="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3.4.3《竞争性磋商报价明细表》填写时应响应下列要求：</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（1）对于报价免费的项目应标明“免费”；</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（2）所有根据合同或其它原因应由供应商支付的税款和其它应交纳的费用都要包括在供应商提交的磋商总价中；</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（3）应包含货物运至最终目的地的运输、保险和伴随货物服务的有关费用。</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3.4.5每一种规格的货物、服务只允许有一个报价，否则将被视为无效投标。</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3.4.6供应商所报的总价在合同执行过程中是固定不变的，不得以任何理由予以变更。</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3.4.7供应商的最后磋商报价超过项目采购预算的为无效报价。</w:t>
      </w:r>
    </w:p>
    <w:p>
      <w:pPr>
        <w:pStyle w:val="91"/>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3.5备选方案</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3.5.1供应商应按照供应商须知前附表要求编制磋商备选方案，否则将被视为无效响应文件。</w:t>
      </w:r>
    </w:p>
    <w:p>
      <w:pPr>
        <w:pStyle w:val="91"/>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供应商资格证明文件</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.1供应商应提交证明其有资格参加磋商和成交后有能力履行合同的文件，并作为其响应文件的一部分。</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.2资格证明文件必须真实可靠、不得伪造。</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.3供应商相关资格证明文件：</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（1）法人或者其他组织的营业执照等证明文件，自然人的身份证明；</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（2）财务状况报告，依法缴纳税收和社会保障资金的相关材料；</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（3）具备履行合同所必需的设备和专业技术能力的证明材料；</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（4）参加政府采购活动前3年内在经营活动中没有重大违法记录的书面声明；</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（5）具备法律、行政法规规定的其他条件的证明材料；</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（6）采购项目有特殊要求的，供应商还应当提供其符合特殊要求的证明材料或者情况说明；</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（7）信用信息查询记录；</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（8）磋商文件要求或供应商认为需提供的其它相关资格证明材料。</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.4 证明投标货物、服务的合格性和符合磋商文件规定的文件。</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采取资格预审方式项目的供应商在递交响应文件时，其资格条件与资格预审时发生变化的，提交变化后的资料。</w:t>
      </w:r>
    </w:p>
    <w:p>
      <w:pPr>
        <w:pStyle w:val="54"/>
        <w:shd w:val="clear" w:color="auto" w:fill="auto"/>
        <w:spacing w:line="6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磋商保证金</w:t>
      </w:r>
    </w:p>
    <w:p>
      <w:pPr>
        <w:pStyle w:val="91"/>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sz w:val="24"/>
          <w:szCs w:val="24"/>
          <w:highlight w:val="none"/>
        </w:rPr>
        <w:t>应在响应文件截止时间之前，通过企业银行账户，将所规定数额的保证金以转账或电汇方式缴纳至该项目所</w:t>
      </w:r>
      <w:r>
        <w:rPr>
          <w:rFonts w:hint="eastAsia" w:ascii="宋体" w:hAnsi="宋体" w:eastAsia="宋体" w:cs="宋体"/>
          <w:color w:val="auto"/>
          <w:kern w:val="0"/>
          <w:sz w:val="24"/>
          <w:szCs w:val="24"/>
          <w:highlight w:val="none"/>
        </w:rPr>
        <w:t>对应的保证金收取账号内（不接受现金缴纳）。保证金缴纳时间以该项目所对应的保证金收取账号中显示的到账时间为准。</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.2对于未能按要求提交保证金的将视为未响应磋商文件的要求，其响应文件无效。</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.4成交供应商的磋商保证金,在供应商与采购人签订合同，并将合同原件报采购代理机构后5个工作日内，按照保证金的来款渠道原路退还至供应商缴纳保证金的企业银行账户内。</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.5有下列情形之一的，保证金将被没收：</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（1）供应商在响应文件中提供虚假资料的；</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（2）除因不可抗力或磋商文件认可的情形以外，成交供应商不与采购人签订合同的；</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（3）供应商与采购人、其他供应商或者采购代理机构恶意串通的；</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（4）磋商文件规定的其他情形。</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.6如开标时供应商对本单位投标保证金缴纳情况有疑义，供应商应在开标结束前向招标人提交书面申请核实保证金缴纳情况。由银行或保险公司核实后出具书面材料予以答复。</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7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pStyle w:val="91"/>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磋商的有效期</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.1磋商有效期详见供应商须知前附表。供应商响应文件中有效期不足的将被视为无效文件。</w:t>
      </w:r>
    </w:p>
    <w:p>
      <w:pPr>
        <w:pStyle w:val="91"/>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有效期内供应商未经采购结果确认谈判达成一致不得改变其磋商最后报价及承诺的全部义务。</w:t>
      </w: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bookmarkStart w:id="85" w:name="_Toc5267"/>
      <w:bookmarkStart w:id="86" w:name="_Toc256000006"/>
      <w:r>
        <w:rPr>
          <w:rFonts w:hint="eastAsia" w:ascii="宋体" w:hAnsi="宋体" w:eastAsia="宋体" w:cs="宋体"/>
          <w:b/>
          <w:color w:val="auto"/>
          <w:sz w:val="32"/>
          <w:szCs w:val="28"/>
          <w:highlight w:val="none"/>
        </w:rPr>
        <w:t>四、响应文件的递交</w:t>
      </w:r>
      <w:bookmarkEnd w:id="81"/>
      <w:bookmarkEnd w:id="82"/>
      <w:bookmarkEnd w:id="83"/>
      <w:bookmarkEnd w:id="84"/>
      <w:bookmarkEnd w:id="85"/>
      <w:bookmarkEnd w:id="86"/>
    </w:p>
    <w:p>
      <w:pPr>
        <w:pStyle w:val="84"/>
        <w:spacing w:line="500" w:lineRule="exact"/>
        <w:ind w:right="-506" w:rightChars="-241" w:firstLine="487" w:firstLineChars="202"/>
        <w:rPr>
          <w:rFonts w:hint="eastAsia" w:asciiTheme="minorEastAsia" w:hAnsiTheme="minorEastAsia" w:eastAsiaTheme="minorEastAsia" w:cstheme="minorEastAsia"/>
          <w:b/>
          <w:bCs/>
          <w:color w:val="auto"/>
          <w:kern w:val="0"/>
          <w:sz w:val="24"/>
          <w:szCs w:val="24"/>
          <w:highlight w:val="none"/>
        </w:rPr>
      </w:pPr>
      <w:bookmarkStart w:id="87" w:name="_Toc293736014"/>
      <w:bookmarkStart w:id="88" w:name="_Toc446599314"/>
      <w:bookmarkStart w:id="89" w:name="_Toc293738995"/>
      <w:bookmarkStart w:id="90" w:name="_Toc293736057"/>
      <w:bookmarkStart w:id="91" w:name="_Toc23764"/>
      <w:bookmarkStart w:id="92" w:name="_Toc9220"/>
      <w:bookmarkStart w:id="93" w:name="_Toc4087"/>
      <w:bookmarkStart w:id="94" w:name="_Toc256000007"/>
      <w:r>
        <w:rPr>
          <w:rFonts w:hint="eastAsia" w:asciiTheme="minorEastAsia" w:hAnsiTheme="minorEastAsia" w:eastAsiaTheme="minorEastAsia" w:cstheme="minorEastAsia"/>
          <w:b/>
          <w:bCs/>
          <w:color w:val="auto"/>
          <w:kern w:val="0"/>
          <w:sz w:val="24"/>
          <w:szCs w:val="24"/>
          <w:highlight w:val="none"/>
        </w:rPr>
        <w:t>4.1 响应文件的密封和标记</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4.1.1供应商应通过电子投标文件制作工具严格按磋商文件要求制作投标文件，在投标截止时间前完成上传经过数字证书电子签章并加密的投标文件。供应商在投标截止时间前，可以对其所递交的投标文件进行修改并重新上传，但以投标截止时间前最后一次上传的投标文件为有效投标文件。</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投标截止时间以</w:t>
      </w:r>
      <w:r>
        <w:rPr>
          <w:rFonts w:hint="eastAsia" w:asciiTheme="minorEastAsia" w:hAnsiTheme="minorEastAsia" w:eastAsiaTheme="minorEastAsia" w:cstheme="minorEastAsia"/>
          <w:color w:val="auto"/>
          <w:kern w:val="0"/>
          <w:sz w:val="24"/>
          <w:szCs w:val="24"/>
          <w:highlight w:val="none"/>
          <w:lang w:eastAsia="zh-CN"/>
        </w:rPr>
        <w:t>新疆政府采购网</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http://www.ccgp-xinjiang.gov.cn/</w:t>
      </w:r>
      <w:r>
        <w:rPr>
          <w:rFonts w:hint="eastAsia" w:asciiTheme="minorEastAsia" w:hAnsiTheme="minorEastAsia" w:eastAsiaTheme="minorEastAsia" w:cstheme="minorEastAsia"/>
          <w:color w:val="auto"/>
          <w:kern w:val="0"/>
          <w:sz w:val="24"/>
          <w:szCs w:val="24"/>
          <w:highlight w:val="none"/>
        </w:rPr>
        <w:t>）平台显示的时间为准，逾期系统将自动关闭，未完成上传的投标文件视为逾期送达，将被拒绝。</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4.1.2是否采用不见面开标方式详见供应商须知前附表。</w:t>
      </w:r>
    </w:p>
    <w:p>
      <w:pPr>
        <w:pStyle w:val="84"/>
        <w:spacing w:line="600" w:lineRule="exact"/>
        <w:ind w:right="-506" w:rightChars="-241" w:firstLine="565" w:firstLineChars="201"/>
        <w:contextualSpacing/>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4.2响应文件的递交</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pPr>
        <w:pStyle w:val="84"/>
        <w:keepNext w:val="0"/>
        <w:keepLines w:val="0"/>
        <w:pageBreakBefore w:val="0"/>
        <w:widowControl w:val="0"/>
        <w:kinsoku/>
        <w:wordWrap w:val="0"/>
        <w:overflowPunct/>
        <w:topLinePunct w:val="0"/>
        <w:autoSpaceDE/>
        <w:autoSpaceDN/>
        <w:bidi w:val="0"/>
        <w:adjustRightInd/>
        <w:snapToGrid/>
        <w:spacing w:line="500" w:lineRule="exact"/>
        <w:ind w:right="-506" w:rightChars="-241" w:firstLine="484" w:firstLineChars="202"/>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4.2.2是否采用不见面开标详见供应商须知前附表，若项目采用不见面开标。只需将加密电子投标文件在投标截止时间前通过</w:t>
      </w:r>
      <w:r>
        <w:rPr>
          <w:rFonts w:hint="eastAsia" w:asciiTheme="minorEastAsia" w:hAnsiTheme="minorEastAsia" w:eastAsiaTheme="minorEastAsia" w:cstheme="minorEastAsia"/>
          <w:color w:val="auto"/>
          <w:kern w:val="0"/>
          <w:sz w:val="24"/>
          <w:szCs w:val="24"/>
          <w:highlight w:val="none"/>
          <w:lang w:eastAsia="zh-CN"/>
        </w:rPr>
        <w:t>新疆政府采购网</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http://www.ccgp-xinjiang.gov.cn/</w:t>
      </w:r>
      <w:r>
        <w:rPr>
          <w:rFonts w:hint="eastAsia" w:asciiTheme="minorEastAsia" w:hAnsiTheme="minorEastAsia" w:eastAsiaTheme="minorEastAsia" w:cstheme="minorEastAsia"/>
          <w:color w:val="auto"/>
          <w:kern w:val="0"/>
          <w:sz w:val="24"/>
          <w:szCs w:val="24"/>
          <w:highlight w:val="none"/>
        </w:rPr>
        <w:t>）平台上传完成。逾期上传的或者未上传到平台的投标文件，采购人不予受理。</w:t>
      </w:r>
    </w:p>
    <w:p>
      <w:pPr>
        <w:pStyle w:val="84"/>
        <w:spacing w:line="600" w:lineRule="exact"/>
        <w:ind w:right="-506" w:rightChars="-241" w:firstLine="565" w:firstLineChars="201"/>
        <w:contextualSpacing/>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4.3迟交的响应文件</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4.3</w:t>
      </w:r>
      <w:r>
        <w:rPr>
          <w:rFonts w:hint="eastAsia" w:asciiTheme="minorEastAsia" w:hAnsiTheme="minorEastAsia" w:eastAsiaTheme="minorEastAsia" w:cstheme="minorEastAsia"/>
          <w:color w:val="auto"/>
          <w:sz w:val="24"/>
          <w:szCs w:val="24"/>
          <w:highlight w:val="none"/>
        </w:rPr>
        <w:t>.1采购</w:t>
      </w:r>
      <w:r>
        <w:rPr>
          <w:rFonts w:hint="eastAsia" w:asciiTheme="minorEastAsia" w:hAnsiTheme="minorEastAsia" w:eastAsiaTheme="minorEastAsia" w:cstheme="minorEastAsia"/>
          <w:color w:val="auto"/>
          <w:ker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由供应商自行承担。建议于开标前1个工作日完成响应文件的制作与上传。</w:t>
      </w:r>
    </w:p>
    <w:p>
      <w:pPr>
        <w:pStyle w:val="84"/>
        <w:spacing w:line="600" w:lineRule="exact"/>
        <w:ind w:right="-506" w:rightChars="-241" w:firstLine="565" w:firstLineChars="201"/>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 w:val="28"/>
          <w:szCs w:val="28"/>
          <w:highlight w:val="none"/>
        </w:rPr>
        <w:t>4.4响应文件的修改和撤回</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84"/>
        <w:spacing w:line="500" w:lineRule="exact"/>
        <w:ind w:right="-506" w:rightChars="-241" w:firstLine="484" w:firstLineChars="20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4.4.2供应商所提交的响应文件在评审结束后，无论中标与否都不退还。</w:t>
      </w: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五、</w:t>
      </w:r>
      <w:bookmarkEnd w:id="87"/>
      <w:bookmarkEnd w:id="88"/>
      <w:bookmarkEnd w:id="89"/>
      <w:bookmarkEnd w:id="90"/>
      <w:r>
        <w:rPr>
          <w:rFonts w:hint="eastAsia" w:ascii="宋体" w:hAnsi="宋体" w:eastAsia="宋体" w:cs="宋体"/>
          <w:b/>
          <w:color w:val="auto"/>
          <w:sz w:val="32"/>
          <w:szCs w:val="28"/>
          <w:highlight w:val="none"/>
        </w:rPr>
        <w:t>竞争性磋商程序</w:t>
      </w:r>
      <w:bookmarkEnd w:id="91"/>
      <w:bookmarkEnd w:id="92"/>
      <w:bookmarkEnd w:id="93"/>
      <w:bookmarkEnd w:id="94"/>
    </w:p>
    <w:p>
      <w:pPr>
        <w:pStyle w:val="65"/>
        <w:widowControl/>
        <w:shd w:val="clear" w:color="auto" w:fill="auto"/>
        <w:spacing w:line="520" w:lineRule="atLeast"/>
        <w:ind w:firstLine="42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1磋商小组的组成</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HYPERLINK "../../../WordForm/e944b4b1-01b6-4e42-b170-f783fcf7903a.doc" \l "_评标委员会"</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pStyle w:val="65"/>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5.2磋商方法</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项目评审方法详见磋商文件“第四章 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pStyle w:val="65"/>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5.3响应文件的初审</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初审分为资格性检查和符合性检查。</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5.3.1资格性检查</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（1）磋商小组根据评审办法前附表规定的评审因素和评审标准，对供应商的响应文件进行资格评审。资格性检查不合格的供应商的响应文件作无效文件处理。</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（2）磋商小组在进行资格检查时，不得改变磋商文件中已载明的资格条件、标准和办法。资格性检查不合格的供应商的响应文件作无效文件处理。</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（3）供应商在递交响应文件的同时，应逐项对照上述资格性检查要求提交相应的原件和资格证明文件供磋商小组核查，否则评委将不予采信。</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（4）磋商小组在评审中必要时可按供应商提供的联系方式就有关问题进行查询核实，或要求供应商做出书面澄清，查询及澄清结果将作为审查的依据。</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（5）通过全部资格性检查条件合格的供应商才能通过资格检查，其响应文件方可进入下一个检查阶段。</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5.3.2符合性检查</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p>
    <w:p>
      <w:pPr>
        <w:pStyle w:val="65"/>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5.4违法违规行为 </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5.4.1在评审过程中，磋商小组发现供应商有下列情形之一的，作无效文件处理：</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（1）属于同一集团、协会、商会等组织成员的供应商按照该组织要求协同投标；</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（2）不同供应商的响应文件由同一单位或者个人编制；</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（3）不同供应商委托同一单位或者个人办理投标事宜；</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（4）不同供应商的响应文件载明的项目管理成员为同一人；</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（5）不同供应商的响应文件异常一致或者投标报价呈规律性差异；</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（6）不同供应商的响应文件相互混装；</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（7）不同供应商的投标保证金从同一单位或者个人的账户转出；</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（8）使用伪造、变造的行政许可证件；</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（9）提供虚假的财务状况或者业绩；</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（10）提供虚假的项目负责人或者主要技术人员简历、劳动关系证明；</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（11）提供虚假的信用状况；</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（12）其他弄虚作假的行为。</w:t>
      </w:r>
    </w:p>
    <w:p>
      <w:pPr>
        <w:pStyle w:val="65"/>
        <w:shd w:val="clear" w:color="auto" w:fill="auto"/>
        <w:spacing w:line="500" w:lineRule="exact"/>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5.5 磋商小组审查响应文件是否完整、有无计算上的错误等。</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 响应文件的修正及澄清</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（1）磋商小组对确定为实质上响应磋商文件要求的响应文件进行校核，看其是否有计算或表达上的错误，算术错误将按以下方法更正</w:t>
      </w:r>
      <w:r>
        <w:rPr>
          <w:rFonts w:hint="eastAsia" w:ascii="宋体" w:hAnsi="宋体" w:eastAsia="宋体" w:cs="宋体"/>
          <w:color w:val="auto"/>
          <w:kern w:val="0"/>
          <w:sz w:val="24"/>
          <w:szCs w:val="24"/>
          <w:highlight w:val="none"/>
          <w:lang w:eastAsia="zh-CN"/>
        </w:rPr>
        <w:t>。</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5"/>
        <w:shd w:val="clear" w:color="auto" w:fill="auto"/>
        <w:spacing w:line="5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5.5.3实质上没有响应磋商文件要求的响应文件将被视为无效文件。供应商不得通过修正或撤销不合要求的偏离从而使其成为实质上响应的文件。</w:t>
      </w:r>
    </w:p>
    <w:p>
      <w:pPr>
        <w:pStyle w:val="65"/>
        <w:shd w:val="clear" w:color="auto" w:fill="auto"/>
        <w:spacing w:line="6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5.5.5供应商的澄清文件是其响应文件</w:t>
      </w:r>
      <w:r>
        <w:rPr>
          <w:rFonts w:hint="eastAsia" w:ascii="宋体" w:hAnsi="宋体" w:eastAsia="宋体" w:cs="宋体"/>
          <w:color w:val="auto"/>
          <w:sz w:val="24"/>
          <w:szCs w:val="24"/>
          <w:highlight w:val="none"/>
        </w:rPr>
        <w:t>的组成部分。</w:t>
      </w:r>
    </w:p>
    <w:p>
      <w:pPr>
        <w:pStyle w:val="65"/>
        <w:shd w:val="clear" w:color="auto" w:fill="auto"/>
        <w:spacing w:line="500" w:lineRule="exact"/>
        <w:ind w:firstLine="487" w:firstLineChars="2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5.6磋商</w:t>
      </w:r>
    </w:p>
    <w:p>
      <w:pPr>
        <w:pStyle w:val="84"/>
        <w:spacing w:line="500" w:lineRule="exact"/>
        <w:ind w:right="-506" w:rightChars="-24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A．采用见面开标方式</w:t>
      </w:r>
    </w:p>
    <w:p>
      <w:pPr>
        <w:pStyle w:val="84"/>
        <w:spacing w:line="500" w:lineRule="exact"/>
        <w:ind w:right="-506" w:rightChars="-241"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5.6.1磋商小组所有成员应当集中与单一供应商分别进行磋商，并给予所有参加磋商的供应商平等的磋商机会。</w:t>
      </w:r>
    </w:p>
    <w:p>
      <w:pPr>
        <w:pStyle w:val="84"/>
        <w:spacing w:line="500" w:lineRule="exact"/>
        <w:ind w:right="-506" w:rightChars="-241"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84"/>
        <w:spacing w:line="500" w:lineRule="exact"/>
        <w:ind w:right="-506" w:rightChars="-241"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5.6.3对磋商文件作出的实质性变动是磋商文件的有效组成部分，磋商小组应当及时以书面形式同时通知所有参加磋商的供应商。</w:t>
      </w:r>
    </w:p>
    <w:p>
      <w:pPr>
        <w:pStyle w:val="84"/>
        <w:spacing w:line="500" w:lineRule="exact"/>
        <w:ind w:right="-506" w:rightChars="-241"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84"/>
        <w:spacing w:line="500" w:lineRule="exact"/>
        <w:ind w:right="-506" w:rightChars="-241"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pPr>
        <w:pStyle w:val="84"/>
        <w:spacing w:line="500" w:lineRule="exact"/>
        <w:ind w:right="-506" w:rightChars="-24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84"/>
        <w:spacing w:line="500" w:lineRule="exact"/>
        <w:ind w:right="-506" w:rightChars="-241"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5.6.7已提交响应文件的供应商，在提交最后报价之前，可以根据磋商情况退出磋商。其磋商保证金将予以退还。</w:t>
      </w:r>
    </w:p>
    <w:p>
      <w:pPr>
        <w:pStyle w:val="84"/>
        <w:widowControl/>
        <w:spacing w:line="520" w:lineRule="atLeast"/>
        <w:ind w:right="-506" w:rightChars="-241"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5.6.8最后报价是供应商响应文件的有效组成部分。符合本办法第三条第四项情形的，提交最后报价的供应商可以为2家。</w:t>
      </w:r>
    </w:p>
    <w:p>
      <w:pPr>
        <w:pStyle w:val="84"/>
        <w:spacing w:line="500" w:lineRule="exact"/>
        <w:ind w:right="-506" w:rightChars="-24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5.6.9经磋商确定最终采购需求和提交最后报价的供应商后，由磋商小组采用综合评分法对提交最后报价的供应商的响应文件和最后报价进行综合评分。</w:t>
      </w:r>
    </w:p>
    <w:p>
      <w:pPr>
        <w:pStyle w:val="84"/>
        <w:spacing w:line="500" w:lineRule="exact"/>
        <w:ind w:right="-506" w:rightChars="-241"/>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B．采用不见面开标方式</w:t>
      </w:r>
      <w:r>
        <w:rPr>
          <w:rFonts w:hint="eastAsia" w:ascii="宋体" w:hAnsi="宋体" w:eastAsia="宋体" w:cs="宋体"/>
          <w:color w:val="auto"/>
          <w:sz w:val="28"/>
          <w:szCs w:val="28"/>
          <w:highlight w:val="none"/>
        </w:rPr>
        <w:t>（是否采用详见供应商须知前附表）</w:t>
      </w:r>
    </w:p>
    <w:p>
      <w:pPr>
        <w:pStyle w:val="84"/>
        <w:spacing w:line="500" w:lineRule="exact"/>
        <w:ind w:right="-506" w:rightChars="-24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在规定的投标截止时间（开标时间）和供应商须知前附表规定的地点开标。供应商的法定代表人或其委托代理人无需到达开标现场，仅需在任意地点通过</w:t>
      </w:r>
      <w:r>
        <w:rPr>
          <w:rFonts w:hint="eastAsia" w:ascii="宋体" w:hAnsi="宋体" w:eastAsia="宋体" w:cs="宋体"/>
          <w:b/>
          <w:bCs/>
          <w:color w:val="auto"/>
          <w:sz w:val="24"/>
          <w:szCs w:val="24"/>
          <w:highlight w:val="none"/>
          <w:lang w:eastAsia="zh-CN"/>
        </w:rPr>
        <w:t>新疆政府采购网</w:t>
      </w:r>
      <w:r>
        <w:rPr>
          <w:rFonts w:hint="eastAsia" w:ascii="宋体" w:hAnsi="宋体" w:eastAsia="宋体" w:cs="宋体"/>
          <w:b/>
          <w:bCs/>
          <w:color w:val="auto"/>
          <w:sz w:val="24"/>
          <w:szCs w:val="24"/>
          <w:highlight w:val="none"/>
        </w:rPr>
        <w:t>政采云远程开标大厅，使用CA密钥完成远程解密、提疑澄清、开标唱标、结果公布等交互环节。</w:t>
      </w:r>
    </w:p>
    <w:p>
      <w:pPr>
        <w:pStyle w:val="84"/>
        <w:spacing w:line="500" w:lineRule="exact"/>
        <w:ind w:right="-506" w:rightChars="-24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65"/>
        <w:shd w:val="clear" w:color="auto" w:fill="auto"/>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5.6.10采购结果确认</w:t>
      </w:r>
    </w:p>
    <w:p>
      <w:pPr>
        <w:pStyle w:val="65"/>
        <w:shd w:val="clear" w:color="auto" w:fill="auto"/>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5"/>
        <w:shd w:val="clear" w:color="auto" w:fill="auto"/>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5.7公示或公告</w:t>
      </w:r>
    </w:p>
    <w:p>
      <w:pPr>
        <w:pStyle w:val="65"/>
        <w:shd w:val="clear" w:color="auto" w:fill="auto"/>
        <w:tabs>
          <w:tab w:val="left" w:pos="1875"/>
        </w:tabs>
        <w:adjustRightInd w:val="0"/>
        <w:snapToGrid w:val="0"/>
        <w:spacing w:line="500" w:lineRule="exact"/>
        <w:ind w:firstLine="48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4"/>
          <w:szCs w:val="24"/>
          <w:highlight w:val="none"/>
        </w:rPr>
        <w:t>5.7.1成交供应商确定后，采购代理机构将在指定的媒体上发布成交公告，同时向成交供应商发出《成交通知书》。《成交通知书》是合同的组成部分,对成交供应商和采购人具有同等法律效力。</w:t>
      </w:r>
      <w:bookmarkStart w:id="95" w:name="_Toc293736015"/>
      <w:bookmarkStart w:id="96" w:name="_Toc293738996"/>
      <w:bookmarkStart w:id="97" w:name="_Toc446599315"/>
      <w:bookmarkStart w:id="98" w:name="_Toc293736058"/>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bookmarkStart w:id="99" w:name="_Toc10373"/>
      <w:bookmarkStart w:id="100" w:name="_Toc256000008"/>
      <w:bookmarkStart w:id="101" w:name="_Toc22758"/>
      <w:bookmarkStart w:id="102" w:name="_Toc21441"/>
      <w:r>
        <w:rPr>
          <w:rFonts w:hint="eastAsia" w:ascii="宋体" w:hAnsi="宋体" w:eastAsia="宋体" w:cs="宋体"/>
          <w:b/>
          <w:color w:val="auto"/>
          <w:sz w:val="32"/>
          <w:szCs w:val="28"/>
          <w:highlight w:val="none"/>
        </w:rPr>
        <w:t>六、 授予合同</w:t>
      </w:r>
      <w:bookmarkEnd w:id="95"/>
      <w:bookmarkEnd w:id="96"/>
      <w:bookmarkEnd w:id="97"/>
      <w:bookmarkEnd w:id="98"/>
      <w:bookmarkEnd w:id="99"/>
      <w:bookmarkEnd w:id="100"/>
      <w:bookmarkEnd w:id="101"/>
      <w:bookmarkEnd w:id="102"/>
    </w:p>
    <w:p>
      <w:pPr>
        <w:pStyle w:val="65"/>
        <w:shd w:val="clear" w:color="auto" w:fill="auto"/>
        <w:adjustRightInd w:val="0"/>
        <w:snapToGri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 签订合同</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6.1.1采购人应按磋商文件要求和中标人的响应文件承诺订立书面合同，不得超出磋商文件和中标人响应文件的范围，也不得再另行订立背离合同实质性内容的其他协议。</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6.1.2采购人应在《成交通知书》发出之日起30天内与成交供应商签订政府采购合同。</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6.1.3 采购人如需追加与合同标的相同的货物，在不改变合同其他条款的前提下，提交追加合同的申请报经同级财政部门、经同级财政部门审核后，可与中标人签订补充合同，但所有补充合同的采购金额不得超过原合同金额的百分之十。</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6.1.4中标人一旦中标及签订合同后，不得转包，亦不得将合同全部及任何权利、义务向第三方转让。</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6.1.5 中标人不履行合同的，采购人可在报经同级人民政府财政部门核准后，与排位在中标人之后的第一位中标候选供应商签订合同，以此类推；或在报经同级人民政府财政部门核准后重新组织采购。</w:t>
      </w:r>
    </w:p>
    <w:p>
      <w:pPr>
        <w:pStyle w:val="84"/>
        <w:adjustRightInd w:val="0"/>
        <w:snapToGrid w:val="0"/>
        <w:ind w:right="-506" w:rightChars="-241"/>
        <w:rPr>
          <w:rFonts w:hint="eastAsia" w:asciiTheme="minorEastAsia" w:hAnsiTheme="minorEastAsia" w:eastAsiaTheme="minorEastAsia" w:cstheme="minorEastAsia"/>
          <w:color w:val="auto"/>
          <w:sz w:val="24"/>
          <w:szCs w:val="24"/>
          <w:highlight w:val="none"/>
        </w:rPr>
      </w:pPr>
    </w:p>
    <w:p>
      <w:pPr>
        <w:pStyle w:val="65"/>
        <w:shd w:val="clear" w:color="auto" w:fill="auto"/>
        <w:adjustRightInd w:val="0"/>
        <w:snapToGrid w:val="0"/>
        <w:ind w:firstLine="482" w:firstLineChars="200"/>
        <w:rPr>
          <w:rFonts w:hint="eastAsia" w:ascii="宋体" w:hAnsi="宋体" w:eastAsia="宋体" w:cs="宋体"/>
          <w:b/>
          <w:bCs/>
          <w:color w:val="auto"/>
          <w:sz w:val="24"/>
          <w:szCs w:val="24"/>
          <w:highlight w:val="none"/>
        </w:rPr>
      </w:pPr>
      <w:bookmarkStart w:id="103" w:name="_Toc23378"/>
      <w:r>
        <w:rPr>
          <w:rFonts w:hint="eastAsia" w:ascii="宋体" w:hAnsi="宋体" w:eastAsia="宋体" w:cs="宋体"/>
          <w:b/>
          <w:bCs/>
          <w:color w:val="auto"/>
          <w:sz w:val="24"/>
          <w:szCs w:val="24"/>
          <w:highlight w:val="none"/>
        </w:rPr>
        <w:t>6.2合同公示</w:t>
      </w:r>
      <w:bookmarkEnd w:id="103"/>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pPr>
        <w:pStyle w:val="65"/>
        <w:widowControl/>
        <w:shd w:val="clear" w:color="auto" w:fill="auto"/>
        <w:jc w:val="left"/>
        <w:rPr>
          <w:rFonts w:hint="eastAsia" w:ascii="宋体" w:hAnsi="宋体" w:eastAsia="宋体" w:cs="宋体"/>
          <w:color w:val="auto"/>
          <w:kern w:val="0"/>
          <w:sz w:val="28"/>
          <w:szCs w:val="28"/>
          <w:highlight w:val="none"/>
        </w:rPr>
      </w:pP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rPr>
      </w:pPr>
      <w:bookmarkStart w:id="104" w:name="_Toc293736059"/>
      <w:bookmarkStart w:id="105" w:name="_Toc293738997"/>
      <w:bookmarkStart w:id="106" w:name="_Toc293736016"/>
      <w:bookmarkStart w:id="107" w:name="_Toc14775"/>
      <w:bookmarkStart w:id="108" w:name="_Toc3715"/>
      <w:bookmarkStart w:id="109" w:name="_Toc446599316"/>
      <w:bookmarkStart w:id="110" w:name="_Toc256000009"/>
      <w:bookmarkStart w:id="111" w:name="_Toc20576"/>
      <w:r>
        <w:rPr>
          <w:rFonts w:hint="eastAsia" w:ascii="宋体" w:hAnsi="宋体" w:eastAsia="宋体" w:cs="宋体"/>
          <w:b/>
          <w:color w:val="auto"/>
          <w:sz w:val="32"/>
          <w:szCs w:val="28"/>
          <w:highlight w:val="none"/>
        </w:rPr>
        <w:t>七、</w:t>
      </w:r>
      <w:bookmarkEnd w:id="104"/>
      <w:bookmarkEnd w:id="105"/>
      <w:bookmarkEnd w:id="106"/>
      <w:bookmarkEnd w:id="107"/>
      <w:bookmarkEnd w:id="108"/>
      <w:bookmarkEnd w:id="109"/>
      <w:bookmarkEnd w:id="110"/>
      <w:bookmarkEnd w:id="111"/>
      <w:bookmarkStart w:id="112" w:name="_Toc446599317"/>
      <w:bookmarkStart w:id="113" w:name="_Toc294515577"/>
      <w:bookmarkStart w:id="114" w:name="_Toc293738998"/>
      <w:bookmarkStart w:id="115" w:name="_Toc293736060"/>
      <w:bookmarkStart w:id="116" w:name="_Toc293736017"/>
      <w:r>
        <w:rPr>
          <w:rFonts w:hint="eastAsia" w:ascii="宋体" w:hAnsi="宋体" w:eastAsia="宋体" w:cs="宋体"/>
          <w:b/>
          <w:color w:val="auto"/>
          <w:sz w:val="32"/>
          <w:szCs w:val="28"/>
          <w:highlight w:val="none"/>
        </w:rPr>
        <w:t>处罚、询问和质疑</w:t>
      </w:r>
    </w:p>
    <w:p>
      <w:pPr>
        <w:pStyle w:val="65"/>
        <w:shd w:val="clear" w:color="auto" w:fill="auto"/>
        <w:adjustRightInd w:val="0"/>
        <w:snapToGrid w:val="0"/>
        <w:ind w:firstLine="482" w:firstLineChars="200"/>
        <w:rPr>
          <w:rFonts w:hint="eastAsia" w:ascii="宋体" w:hAnsi="宋体" w:eastAsia="宋体" w:cs="宋体"/>
          <w:b/>
          <w:bCs/>
          <w:color w:val="auto"/>
          <w:sz w:val="24"/>
          <w:szCs w:val="24"/>
          <w:highlight w:val="none"/>
        </w:rPr>
      </w:pPr>
      <w:bookmarkStart w:id="117" w:name="_Toc18564"/>
      <w:bookmarkStart w:id="118" w:name="_Toc5102"/>
      <w:r>
        <w:rPr>
          <w:rFonts w:hint="eastAsia" w:ascii="宋体" w:hAnsi="宋体" w:eastAsia="宋体" w:cs="宋体"/>
          <w:b/>
          <w:bCs/>
          <w:color w:val="auto"/>
          <w:sz w:val="24"/>
          <w:szCs w:val="24"/>
          <w:highlight w:val="none"/>
        </w:rPr>
        <w:t>7.1处罚</w:t>
      </w:r>
      <w:bookmarkEnd w:id="117"/>
      <w:bookmarkEnd w:id="118"/>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7.1.1发生下列情况之一，供应商的保证金不予退还；情节严重的将其列入不良记录名单。</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1）开标后在投标有效期内，供应商撤回其投标；</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2）中标后无正当理由不与采购人签订合同的；</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3）中标人与采购人订立背离合同实质性内容的其他协议；</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4）将中标项目转让给他人，或者在投标文件中未说明，且未经采购人同意，将中标项目分包给他人的；</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5）存在串通投标行为的；</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6）存在弄虚作假或提供虚假材料谋取中标的；</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7）供应商其他未按磋商文件规定和合同约定履行义务的行为。</w:t>
      </w:r>
    </w:p>
    <w:p>
      <w:pPr>
        <w:pStyle w:val="84"/>
        <w:tabs>
          <w:tab w:val="left" w:pos="1875"/>
        </w:tabs>
        <w:adjustRightInd w:val="0"/>
        <w:snapToGrid w:val="0"/>
        <w:spacing w:line="500" w:lineRule="exact"/>
        <w:ind w:right="-506" w:rightChars="-241"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7.2询问</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7.2.1供应商对采购事项有疑问的，可以向采购人或采购代理机构提出询问。</w:t>
      </w:r>
    </w:p>
    <w:p>
      <w:pPr>
        <w:pStyle w:val="84"/>
        <w:tabs>
          <w:tab w:val="left" w:pos="1875"/>
        </w:tabs>
        <w:adjustRightInd w:val="0"/>
        <w:snapToGrid w:val="0"/>
        <w:spacing w:line="500" w:lineRule="exact"/>
        <w:ind w:right="-506" w:rightChars="-241"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7.3质疑</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7.3.1供应商认为磋商文件、采购过程和成交结果使自已的权益受到损害的，可以在知道或者应知其权益受到损害之日起7个工作日内，以书面形式提出质疑。</w:t>
      </w:r>
    </w:p>
    <w:p>
      <w:pPr>
        <w:pStyle w:val="84"/>
        <w:tabs>
          <w:tab w:val="left" w:pos="1875"/>
        </w:tabs>
        <w:adjustRightInd w:val="0"/>
        <w:snapToGrid w:val="0"/>
        <w:spacing w:line="500" w:lineRule="exact"/>
        <w:ind w:right="-506" w:rightChars="-241"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供应商应在法定质疑期内一次性提出针对同一采购程序环节的质疑。</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7.3.2质疑应当按照《中华人民共和国政府采购法》、《中华人民共和国政府采购法实施条例》、《政府采购质疑和投诉办法》等法律法规的相关规定，以书面形式向采购代理机构提出。</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供应商提出质疑应当提交质疑函和必要的证明材料。质疑函应当包括下列内容：</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（一）供应商的姓名或者名称、地址、邮编、联系人及联系电话；</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（二）质疑项目的名称、编号；</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（三）具体、明确的质疑事项和与质疑事项相关的请求；</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（四）事实依据；</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（五）必要的法律依据；</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（六）提出质疑的日期。</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供应商为自然人的，应当由本人签字；供应商为法人或者其他组织的，应当由法定代表人、主要负责人，或者其授权代表签字或者盖章，并加盖公章。</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7.3.4质疑人可以采取直接送达或者邮寄方式提交质疑书。采购代理机构收到质疑书后，对质疑书进行审查，对符合质疑条件的将办理签收手续，自签收质疑书之日起即为受理。</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7.3.5采购代理机构将在受理书面质疑后7个工作日内审查质疑事项，作出答复或相关处理决定，并以书面形式通知质疑人和其他相关供应商，但答复的内容不涉及商业秘密。</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7.3.6供应商进行虚假和恶意质疑的，采购代理机构将提请有关部门将其列入不良记录名单，在一至三年内禁止参加政府采购活动，并将处理决定在相关政府采购媒体上公布。</w:t>
      </w:r>
    </w:p>
    <w:p>
      <w:pPr>
        <w:pStyle w:val="84"/>
        <w:tabs>
          <w:tab w:val="left" w:pos="1875"/>
        </w:tabs>
        <w:adjustRightInd w:val="0"/>
        <w:snapToGrid w:val="0"/>
        <w:spacing w:line="500" w:lineRule="exact"/>
        <w:ind w:right="-506" w:rightChars="-24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7.3.7质疑人对答复不满意以及采购代理机构未在规定的时间内作出答复的，可以在答复期满后15个工作日内向财政部门投拆。</w:t>
      </w:r>
      <w:bookmarkStart w:id="119" w:name="_Toc256000010"/>
      <w:bookmarkStart w:id="120" w:name="_Toc3182"/>
      <w:bookmarkStart w:id="121" w:name="_Toc10318"/>
      <w:bookmarkStart w:id="122" w:name="_Toc8018"/>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lang w:val="en-US" w:eastAsia="zh-CN"/>
        </w:rPr>
        <w:t>八、项目验收</w:t>
      </w:r>
      <w:bookmarkEnd w:id="112"/>
      <w:bookmarkEnd w:id="113"/>
      <w:bookmarkEnd w:id="114"/>
      <w:bookmarkEnd w:id="115"/>
      <w:bookmarkEnd w:id="116"/>
      <w:bookmarkEnd w:id="119"/>
      <w:bookmarkEnd w:id="120"/>
      <w:bookmarkEnd w:id="121"/>
      <w:bookmarkEnd w:id="122"/>
    </w:p>
    <w:p>
      <w:pPr>
        <w:pStyle w:val="65"/>
        <w:shd w:val="clear" w:color="auto" w:fill="auto"/>
        <w:wordWrap w:val="0"/>
        <w:topLinePunct/>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8.1采购单位按照政府采购合同规定的技术、服务、安全标准对供应商履约情况进行验收，并出具验收书。验收书包括每一项技术、服务、安全标准的履约情况。</w:t>
      </w:r>
    </w:p>
    <w:p>
      <w:pPr>
        <w:pStyle w:val="65"/>
        <w:shd w:val="clear" w:color="auto" w:fill="auto"/>
        <w:wordWrap w:val="0"/>
        <w:topLinePunct/>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8.2验收标准:磋商文件、响应文件、政府采购合同规定的标准。</w:t>
      </w: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lang w:val="en-US" w:eastAsia="zh-CN"/>
        </w:rPr>
      </w:pPr>
      <w:bookmarkStart w:id="123" w:name="_Toc28499"/>
      <w:bookmarkStart w:id="124" w:name="_Toc8482"/>
      <w:bookmarkStart w:id="125" w:name="_Toc293736061"/>
      <w:bookmarkStart w:id="126" w:name="_Toc446599318"/>
      <w:bookmarkStart w:id="127" w:name="_Toc6671"/>
      <w:bookmarkStart w:id="128" w:name="_Toc293738999"/>
      <w:bookmarkStart w:id="129" w:name="_Toc256000013"/>
      <w:bookmarkStart w:id="130" w:name="_Toc293736018"/>
      <w:r>
        <w:rPr>
          <w:rFonts w:hint="eastAsia" w:ascii="宋体" w:hAnsi="宋体" w:eastAsia="宋体" w:cs="宋体"/>
          <w:b/>
          <w:color w:val="auto"/>
          <w:sz w:val="32"/>
          <w:szCs w:val="28"/>
          <w:highlight w:val="none"/>
          <w:lang w:val="en-US" w:eastAsia="zh-CN"/>
        </w:rPr>
        <w:t>九、适用法律</w:t>
      </w:r>
      <w:bookmarkEnd w:id="123"/>
      <w:bookmarkEnd w:id="124"/>
      <w:bookmarkEnd w:id="125"/>
      <w:bookmarkEnd w:id="126"/>
      <w:bookmarkEnd w:id="127"/>
      <w:bookmarkEnd w:id="128"/>
      <w:bookmarkEnd w:id="129"/>
      <w:bookmarkEnd w:id="130"/>
    </w:p>
    <w:p>
      <w:pPr>
        <w:pStyle w:val="65"/>
        <w:shd w:val="clear" w:color="auto" w:fill="auto"/>
        <w:wordWrap w:val="0"/>
        <w:topLinePunct/>
        <w:spacing w:line="42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9.1招标采购单位和供应商的一切招标投标活动均适用于《政府采购法》、《政府采购实施条例》、《政府采购竞争性磋商采购方式管理办法》等相关规定。</w:t>
      </w: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lang w:val="en-US" w:eastAsia="zh-CN"/>
        </w:rPr>
      </w:pPr>
      <w:bookmarkStart w:id="131" w:name="_Toc278891599"/>
      <w:bookmarkStart w:id="132" w:name="_Toc446599319"/>
      <w:bookmarkStart w:id="133" w:name="_Toc437611460"/>
      <w:bookmarkStart w:id="134" w:name="_Toc26356"/>
      <w:bookmarkStart w:id="135" w:name="_Toc272247702"/>
      <w:bookmarkStart w:id="136" w:name="_Toc16827"/>
      <w:bookmarkStart w:id="137" w:name="_Toc21968"/>
      <w:bookmarkStart w:id="138" w:name="_Toc256000014"/>
      <w:r>
        <w:rPr>
          <w:rFonts w:hint="eastAsia" w:ascii="宋体" w:hAnsi="宋体" w:eastAsia="宋体" w:cs="宋体"/>
          <w:b/>
          <w:color w:val="auto"/>
          <w:sz w:val="32"/>
          <w:szCs w:val="28"/>
          <w:highlight w:val="none"/>
          <w:lang w:val="en-US" w:eastAsia="zh-CN"/>
        </w:rPr>
        <w:t>十、磋商文件的解释权</w:t>
      </w:r>
      <w:bookmarkEnd w:id="131"/>
      <w:bookmarkEnd w:id="132"/>
      <w:bookmarkEnd w:id="133"/>
      <w:bookmarkEnd w:id="134"/>
      <w:bookmarkEnd w:id="135"/>
      <w:bookmarkEnd w:id="136"/>
      <w:bookmarkEnd w:id="137"/>
      <w:bookmarkEnd w:id="138"/>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10.1本项目磋商文件的最终解释权为采购单位所有。</w:t>
      </w:r>
    </w:p>
    <w:p>
      <w:pPr>
        <w:pStyle w:val="65"/>
        <w:keepNext/>
        <w:keepLines/>
        <w:shd w:val="clear" w:color="auto" w:fill="auto"/>
        <w:adjustRightInd w:val="0"/>
        <w:snapToGrid w:val="0"/>
        <w:spacing w:before="260" w:after="260" w:line="500" w:lineRule="exact"/>
        <w:ind w:left="-88" w:leftChars="-42"/>
        <w:contextualSpacing/>
        <w:jc w:val="center"/>
        <w:outlineLvl w:val="1"/>
        <w:rPr>
          <w:rFonts w:hint="eastAsia" w:ascii="宋体" w:hAnsi="宋体" w:eastAsia="宋体" w:cs="宋体"/>
          <w:b/>
          <w:color w:val="auto"/>
          <w:sz w:val="32"/>
          <w:szCs w:val="28"/>
          <w:highlight w:val="none"/>
          <w:lang w:val="en-US" w:eastAsia="zh-CN"/>
        </w:rPr>
      </w:pPr>
      <w:bookmarkStart w:id="139" w:name="_Toc256000015"/>
      <w:bookmarkStart w:id="140" w:name="_Toc22498"/>
      <w:bookmarkStart w:id="141" w:name="_Toc15447"/>
      <w:bookmarkStart w:id="142" w:name="_Toc437611461"/>
      <w:bookmarkStart w:id="143" w:name="_Toc446599320"/>
      <w:bookmarkStart w:id="144" w:name="_Toc21207"/>
      <w:r>
        <w:rPr>
          <w:rFonts w:hint="eastAsia" w:ascii="宋体" w:hAnsi="宋体" w:eastAsia="宋体" w:cs="宋体"/>
          <w:b/>
          <w:color w:val="auto"/>
          <w:sz w:val="32"/>
          <w:szCs w:val="28"/>
          <w:highlight w:val="none"/>
          <w:lang w:val="en-US" w:eastAsia="zh-CN"/>
        </w:rPr>
        <w:t>十一、其他注意事项</w:t>
      </w:r>
      <w:bookmarkEnd w:id="139"/>
      <w:bookmarkEnd w:id="140"/>
      <w:bookmarkEnd w:id="141"/>
      <w:bookmarkEnd w:id="142"/>
      <w:bookmarkEnd w:id="143"/>
      <w:bookmarkEnd w:id="144"/>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11.1单位负责人为同一人或者存在直接控股、管理关系的不同供应商，不得参加同一合同项下的政府采购活动。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11.2供应商为采购项目提供整体设计、规范编制或者项目管理、监理、检测等服务的供应商，不得再参加该采购项目的其他采购活动。</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11.3政府采购法第二十二条第一款第五项所称重大违法记录，是指供应商因违法经营受到刑事处罚或者责令停产停业、吊销许可证或者执照、较大数额罚款等行政处罚。</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65"/>
        <w:shd w:val="clear" w:color="auto" w:fill="auto"/>
        <w:spacing w:line="50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11.5供应商在参加政府采购活动前3年内因违法经营被禁止在一定期限内参加政府采购活动，期限届满的，可以参加政府采购活动。</w:t>
      </w:r>
    </w:p>
    <w:p>
      <w:pPr>
        <w:pStyle w:val="65"/>
        <w:shd w:val="clear" w:color="auto" w:fill="auto"/>
        <w:rPr>
          <w:rFonts w:hint="eastAsia" w:ascii="宋体" w:hAnsi="宋体" w:eastAsia="宋体" w:cs="宋体"/>
          <w:color w:val="auto"/>
          <w:sz w:val="24"/>
          <w:szCs w:val="24"/>
          <w:highlight w:val="none"/>
        </w:rPr>
      </w:pPr>
    </w:p>
    <w:bookmarkEnd w:id="57"/>
    <w:p>
      <w:pPr>
        <w:shd w:val="clear" w:color="auto" w:fill="auto"/>
        <w:rPr>
          <w:rFonts w:hint="eastAsia" w:ascii="宋体" w:hAnsi="宋体" w:eastAsia="宋体" w:cs="宋体"/>
          <w:color w:val="auto"/>
          <w:sz w:val="20"/>
          <w:highlight w:val="none"/>
        </w:rPr>
      </w:pPr>
    </w:p>
    <w:bookmarkEnd w:id="1"/>
    <w:bookmarkEnd w:id="58"/>
    <w:p>
      <w:pPr>
        <w:pStyle w:val="17"/>
        <w:shd w:val="clear" w:color="auto" w:fill="auto"/>
        <w:adjustRightInd w:val="0"/>
        <w:snapToGrid w:val="0"/>
        <w:spacing w:line="500" w:lineRule="exact"/>
        <w:rPr>
          <w:rFonts w:hint="eastAsia" w:ascii="宋体" w:hAnsi="宋体" w:eastAsia="宋体" w:cs="宋体"/>
          <w:color w:val="auto"/>
          <w:sz w:val="28"/>
          <w:szCs w:val="28"/>
          <w:highlight w:val="none"/>
        </w:rPr>
        <w:sectPr>
          <w:footerReference r:id="rId5" w:type="default"/>
          <w:pgSz w:w="11850" w:h="16783"/>
          <w:pgMar w:top="1327" w:right="1344" w:bottom="1270" w:left="1287" w:header="680" w:footer="680" w:gutter="0"/>
          <w:pgBorders>
            <w:top w:val="none" w:sz="0" w:space="0"/>
            <w:left w:val="none" w:sz="0" w:space="0"/>
            <w:bottom w:val="none" w:sz="0" w:space="0"/>
            <w:right w:val="none" w:sz="0" w:space="0"/>
          </w:pgBorders>
          <w:pgNumType w:fmt="decimal" w:start="1"/>
          <w:cols w:space="720" w:num="1"/>
          <w:docGrid w:linePitch="312" w:charSpace="0"/>
        </w:sectPr>
      </w:pPr>
    </w:p>
    <w:p>
      <w:pPr>
        <w:pStyle w:val="3"/>
        <w:shd w:val="clear" w:color="auto" w:fill="auto"/>
        <w:spacing w:before="0" w:after="0" w:line="240" w:lineRule="auto"/>
        <w:ind w:left="-1" w:leftChars="0" w:firstLine="0" w:firstLineChars="0"/>
        <w:rPr>
          <w:rFonts w:hint="eastAsia" w:ascii="宋体" w:hAnsi="宋体" w:eastAsia="宋体" w:cs="宋体"/>
          <w:b/>
          <w:bCs w:val="0"/>
          <w:color w:val="auto"/>
          <w:highlight w:val="none"/>
        </w:rPr>
      </w:pPr>
      <w:bookmarkStart w:id="145" w:name="_Toc293736019"/>
      <w:bookmarkStart w:id="146" w:name="_Toc293736062"/>
      <w:bookmarkStart w:id="147" w:name="_Toc293739000"/>
      <w:bookmarkStart w:id="148" w:name="_Toc531075009"/>
      <w:bookmarkStart w:id="149" w:name="_Toc28752"/>
      <w:bookmarkStart w:id="150" w:name="_Toc256000016"/>
      <w:bookmarkStart w:id="151" w:name="_Toc532543565"/>
      <w:bookmarkStart w:id="152" w:name="_Toc446599321"/>
      <w:bookmarkStart w:id="153" w:name="_Toc8711"/>
      <w:bookmarkStart w:id="154" w:name="_Toc6411"/>
      <w:bookmarkStart w:id="155" w:name="_Toc446599322"/>
      <w:bookmarkStart w:id="156" w:name="_Toc293736020"/>
      <w:bookmarkStart w:id="157" w:name="_Toc293736063"/>
      <w:bookmarkStart w:id="158" w:name="_Toc293739001"/>
      <w:r>
        <w:rPr>
          <w:rFonts w:hint="eastAsia" w:ascii="宋体" w:hAnsi="宋体" w:eastAsia="宋体" w:cs="宋体"/>
          <w:b/>
          <w:bCs w:val="0"/>
          <w:color w:val="auto"/>
          <w:szCs w:val="20"/>
          <w:highlight w:val="none"/>
        </w:rPr>
        <w:t>第</w:t>
      </w:r>
      <w:r>
        <w:rPr>
          <w:rFonts w:hint="eastAsia" w:ascii="宋体" w:hAnsi="宋体" w:cs="宋体"/>
          <w:b/>
          <w:bCs w:val="0"/>
          <w:color w:val="auto"/>
          <w:szCs w:val="20"/>
          <w:highlight w:val="none"/>
          <w:lang w:val="en-US" w:eastAsia="zh-CN"/>
        </w:rPr>
        <w:t>三</w:t>
      </w:r>
      <w:r>
        <w:rPr>
          <w:rFonts w:hint="eastAsia" w:ascii="宋体" w:hAnsi="宋体" w:eastAsia="宋体" w:cs="宋体"/>
          <w:b/>
          <w:bCs w:val="0"/>
          <w:color w:val="auto"/>
          <w:szCs w:val="20"/>
          <w:highlight w:val="none"/>
        </w:rPr>
        <w:t xml:space="preserve">章 </w:t>
      </w:r>
      <w:r>
        <w:rPr>
          <w:rFonts w:hint="eastAsia" w:ascii="宋体" w:hAnsi="宋体" w:eastAsia="宋体" w:cs="宋体"/>
          <w:b/>
          <w:bCs w:val="0"/>
          <w:color w:val="auto"/>
          <w:highlight w:val="none"/>
        </w:rPr>
        <w:t>采购</w:t>
      </w:r>
      <w:bookmarkEnd w:id="145"/>
      <w:bookmarkEnd w:id="146"/>
      <w:bookmarkEnd w:id="147"/>
      <w:bookmarkStart w:id="159" w:name="_Toc294515580"/>
      <w:r>
        <w:rPr>
          <w:rFonts w:hint="eastAsia" w:ascii="宋体" w:hAnsi="宋体" w:eastAsia="宋体" w:cs="宋体"/>
          <w:b/>
          <w:bCs w:val="0"/>
          <w:color w:val="auto"/>
          <w:highlight w:val="none"/>
        </w:rPr>
        <w:t>需求</w:t>
      </w:r>
      <w:bookmarkEnd w:id="148"/>
      <w:bookmarkEnd w:id="149"/>
      <w:bookmarkEnd w:id="150"/>
      <w:bookmarkEnd w:id="151"/>
      <w:bookmarkEnd w:id="152"/>
      <w:bookmarkEnd w:id="153"/>
      <w:bookmarkEnd w:id="154"/>
    </w:p>
    <w:p>
      <w:pPr>
        <w:shd w:val="clear" w:color="auto" w:fill="auto"/>
        <w:rPr>
          <w:rFonts w:hint="eastAsia" w:ascii="宋体" w:hAnsi="宋体" w:eastAsia="宋体" w:cs="宋体"/>
          <w:color w:val="auto"/>
          <w:highlight w:val="none"/>
        </w:rPr>
      </w:pPr>
      <w:bookmarkStart w:id="160" w:name="EBc4a582876de2450491526119d78e098b"/>
    </w:p>
    <w:p>
      <w:pPr>
        <w:pStyle w:val="29"/>
        <w:shd w:val="clear" w:color="auto" w:fill="auto"/>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pPr>
        <w:pStyle w:val="29"/>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本项目为</w:t>
      </w:r>
      <w:r>
        <w:rPr>
          <w:rFonts w:hint="eastAsia" w:ascii="宋体" w:hAnsi="宋体" w:eastAsia="宋体" w:cs="宋体"/>
          <w:color w:val="auto"/>
          <w:sz w:val="24"/>
          <w:szCs w:val="24"/>
          <w:highlight w:val="none"/>
          <w:lang w:eastAsia="zh-CN"/>
        </w:rPr>
        <w:t>昌吉州玛纳斯县图书馆建设项目监理服务</w:t>
      </w:r>
      <w:r>
        <w:rPr>
          <w:rFonts w:hint="eastAsia" w:ascii="宋体" w:hAnsi="宋体" w:cs="宋体"/>
          <w:color w:val="auto"/>
          <w:sz w:val="24"/>
          <w:szCs w:val="24"/>
          <w:highlight w:val="none"/>
          <w:lang w:eastAsia="zh-CN"/>
        </w:rPr>
        <w:t>。</w:t>
      </w:r>
    </w:p>
    <w:bookmarkEnd w:id="159"/>
    <w:bookmarkEnd w:id="160"/>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rPr>
        <w:t>监理范围及内容</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en-US" w:bidi="ar-SA"/>
        </w:rPr>
        <w:t>新建图书馆1栋，总面积3167.78㎡，地上三层，地下一层，建筑高度16.35米，框架结构。</w:t>
      </w:r>
      <w:r>
        <w:rPr>
          <w:rFonts w:hint="eastAsia" w:ascii="宋体" w:hAnsi="宋体" w:eastAsia="宋体" w:cs="宋体"/>
          <w:color w:val="auto"/>
          <w:sz w:val="24"/>
          <w:szCs w:val="24"/>
          <w:highlight w:val="none"/>
          <w:lang w:val="en-US" w:eastAsia="zh-CN"/>
        </w:rPr>
        <w:t>全套施工图纸及工程量清单范围内的全部监理内容。</w:t>
      </w:r>
    </w:p>
    <w:p>
      <w:pPr>
        <w:numPr>
          <w:ilvl w:val="0"/>
          <w:numId w:val="3"/>
        </w:numPr>
        <w:shd w:val="clear" w:color="auto" w:fill="auto"/>
        <w:tabs>
          <w:tab w:val="left" w:pos="3544"/>
        </w:tabs>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监理</w:t>
      </w:r>
      <w:r>
        <w:rPr>
          <w:rFonts w:hint="default" w:ascii="Times New Roman" w:hAnsi="Times New Roman" w:eastAsia="宋体" w:cs="Times New Roman"/>
          <w:b/>
          <w:bCs/>
          <w:color w:val="auto"/>
          <w:sz w:val="24"/>
          <w:szCs w:val="24"/>
          <w:highlight w:val="none"/>
        </w:rPr>
        <w:t>服务期限</w:t>
      </w:r>
    </w:p>
    <w:p>
      <w:pPr>
        <w:numPr>
          <w:ilvl w:val="0"/>
          <w:numId w:val="0"/>
        </w:numPr>
        <w:shd w:val="clear" w:color="auto" w:fill="auto"/>
        <w:tabs>
          <w:tab w:val="left" w:pos="3544"/>
        </w:tabs>
        <w:spacing w:line="360" w:lineRule="auto"/>
        <w:ind w:firstLine="480" w:firstLineChars="200"/>
        <w:rPr>
          <w:rFonts w:hint="eastAsia" w:ascii="宋体" w:hAnsi="宋体" w:eastAsia="宋体" w:cs="宋体"/>
          <w:snapToGrid/>
          <w:kern w:val="0"/>
          <w:sz w:val="21"/>
          <w:szCs w:val="21"/>
          <w:u w:val="none"/>
          <w:lang w:val="en-US" w:eastAsia="en-US" w:bidi="ar-SA"/>
        </w:rPr>
      </w:pPr>
      <w:r>
        <w:rPr>
          <w:rFonts w:hint="eastAsia" w:ascii="宋体" w:hAnsi="宋体" w:eastAsia="宋体" w:cs="宋体"/>
          <w:color w:val="auto"/>
          <w:sz w:val="24"/>
          <w:szCs w:val="24"/>
          <w:highlight w:val="none"/>
          <w:lang w:val="en-US" w:eastAsia="zh-CN"/>
        </w:rPr>
        <w:t>合同签订之日起至竣工验收合格保修期结束止（具体以施工工期为准）。</w:t>
      </w:r>
    </w:p>
    <w:p>
      <w:pPr>
        <w:numPr>
          <w:ilvl w:val="0"/>
          <w:numId w:val="3"/>
        </w:numPr>
        <w:spacing w:line="360" w:lineRule="auto"/>
        <w:ind w:left="0" w:leftChars="0"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监理人员和试验检测仪器设备要求</w:t>
      </w:r>
    </w:p>
    <w:p>
      <w:pPr>
        <w:numPr>
          <w:ilvl w:val="0"/>
          <w:numId w:val="0"/>
        </w:numPr>
        <w:spacing w:line="360" w:lineRule="auto"/>
        <w:ind w:leftChars="0" w:firstLine="480" w:firstLineChars="200"/>
        <w:rPr>
          <w:rFonts w:hint="default" w:ascii="Times New Roman" w:hAnsi="Times New Roman" w:eastAsia="宋体" w:cs="Times New Roman"/>
          <w:color w:val="auto"/>
          <w:sz w:val="24"/>
          <w:szCs w:val="24"/>
          <w:highlight w:val="none"/>
          <w:lang w:val="zh-TW" w:eastAsia="zh-TW"/>
        </w:rPr>
      </w:pPr>
      <w:r>
        <w:rPr>
          <w:rFonts w:hint="default" w:ascii="Times New Roman" w:hAnsi="Times New Roman" w:eastAsia="宋体" w:cs="Times New Roman"/>
          <w:color w:val="auto"/>
          <w:sz w:val="24"/>
          <w:szCs w:val="24"/>
          <w:highlight w:val="none"/>
          <w:lang w:val="zh-TW" w:eastAsia="zh-TW"/>
        </w:rPr>
        <w:t>（1）本工程土建专业监理工程师不少于</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TW" w:eastAsia="zh-TW"/>
        </w:rPr>
        <w:t>人，电气监理工程师不少于1人，安全监理工程师不少于1人，设备监理工程师不少于1人，投资控制监理工程师不少于1人，监理员不少于</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TW" w:eastAsia="zh-TW"/>
        </w:rPr>
        <w:t>人。（专业监理工程师的中级职称证书及在投标单位注册的注册监理工程师证书或监理培训证书。其中：土建专业监理工程师提供本专业中级职称证书及在投标单位注册的监理工程师注册证书或监理培训证书；安全监理工程师提供中级职称证书及在投标单位注册的监理工程师注册证书或监理培训证书，并同时提供监理安全培训合格证书或国家注册安全工程师证书；设备监理工程师提供本专业中级职称及在投标单位注册的监理工程师注册证书或监理培训证书；电气监理工程师提供本专业中级职称证书及在投标单位注册的监理工程师注册证书或监理培训证书；投资控制监理工程师提供中级职称证书及在投标单位注册的监理工程师注册证书或注册造价工程师证书。监理员同时具备监理培训证书和初级及以上职称证书。专业监理工程师不得担任两个及以上监理职务。）</w:t>
      </w:r>
    </w:p>
    <w:p>
      <w:pPr>
        <w:spacing w:line="360" w:lineRule="auto"/>
        <w:ind w:firstLine="480" w:firstLineChars="200"/>
        <w:rPr>
          <w:rFonts w:hint="default" w:ascii="Times New Roman" w:hAnsi="Times New Roman" w:eastAsia="宋体" w:cs="Times New Roman"/>
          <w:color w:val="auto"/>
          <w:sz w:val="24"/>
          <w:szCs w:val="24"/>
          <w:highlight w:val="none"/>
          <w:lang w:val="zh-TW" w:eastAsia="zh-TW"/>
        </w:rPr>
      </w:pPr>
      <w:r>
        <w:rPr>
          <w:rFonts w:hint="default" w:ascii="Times New Roman" w:hAnsi="Times New Roman" w:eastAsia="宋体" w:cs="Times New Roman"/>
          <w:color w:val="auto"/>
          <w:sz w:val="24"/>
          <w:szCs w:val="24"/>
          <w:highlight w:val="none"/>
          <w:lang w:val="zh-TW" w:eastAsia="zh-TW"/>
        </w:rPr>
        <w:t>（2）针对项目特点，配备的监理设备、仪器满足采购工程要求。</w:t>
      </w:r>
    </w:p>
    <w:p>
      <w:pPr>
        <w:spacing w:line="360" w:lineRule="auto"/>
        <w:rPr>
          <w:rFonts w:hint="default" w:ascii="Times New Roman" w:hAnsi="Times New Roman" w:eastAsia="宋体" w:cs="Times New Roman"/>
          <w:b/>
          <w:bCs/>
          <w:color w:val="auto"/>
          <w:sz w:val="24"/>
          <w:szCs w:val="24"/>
          <w:highlight w:val="none"/>
          <w:lang w:val="zh-TW" w:eastAsia="zh-TW"/>
        </w:rPr>
      </w:pPr>
      <w:r>
        <w:rPr>
          <w:rFonts w:hint="eastAsia" w:ascii="Times New Roman" w:hAnsi="Times New Roman"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lang w:val="zh-TW" w:eastAsia="zh-TW"/>
        </w:rPr>
        <w:t>技术规范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TW" w:eastAsia="zh-TW"/>
        </w:rPr>
      </w:pPr>
      <w:bookmarkStart w:id="161" w:name="EBba7e027aca274ccfa22cbebede35febf"/>
      <w:bookmarkEnd w:id="161"/>
      <w:r>
        <w:rPr>
          <w:rFonts w:hint="default" w:ascii="Times New Roman" w:hAnsi="Times New Roman" w:eastAsia="宋体" w:cs="Times New Roman"/>
          <w:color w:val="auto"/>
          <w:sz w:val="24"/>
          <w:szCs w:val="24"/>
          <w:highlight w:val="none"/>
          <w:lang w:val="zh-TW" w:eastAsia="zh-TW"/>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auto"/>
          <w:sz w:val="24"/>
          <w:szCs w:val="24"/>
          <w:highlight w:val="none"/>
          <w:lang w:val="zh-TW" w:eastAsia="zh-TW"/>
        </w:rPr>
      </w:pPr>
      <w:r>
        <w:rPr>
          <w:rFonts w:hint="eastAsia" w:ascii="Times New Roman" w:hAnsi="Times New Roman" w:eastAsia="宋体" w:cs="Times New Roman"/>
          <w:b/>
          <w:bCs/>
          <w:color w:val="auto"/>
          <w:sz w:val="24"/>
          <w:szCs w:val="24"/>
          <w:highlight w:val="none"/>
          <w:lang w:val="zh-TW" w:eastAsia="zh-TW"/>
        </w:rPr>
        <w:t>工程监理费结算</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0"/>
          <w:highlight w:val="none"/>
        </w:rPr>
      </w:pPr>
      <w:r>
        <w:rPr>
          <w:rFonts w:hint="eastAsia" w:ascii="Times New Roman" w:hAnsi="Times New Roman" w:eastAsia="宋体" w:cs="Times New Roman"/>
          <w:color w:val="auto"/>
          <w:sz w:val="24"/>
          <w:szCs w:val="24"/>
          <w:highlight w:val="none"/>
          <w:lang w:val="zh-TW" w:eastAsia="zh-TW"/>
        </w:rPr>
        <w:t>工程竣工验收后，凭工程竣工验收单，工程监理费支付至</w:t>
      </w:r>
      <w:r>
        <w:rPr>
          <w:rFonts w:hint="eastAsia" w:ascii="Times New Roman" w:hAnsi="Times New Roman" w:eastAsia="宋体" w:cs="Times New Roman"/>
          <w:color w:val="auto"/>
          <w:sz w:val="24"/>
          <w:szCs w:val="24"/>
          <w:highlight w:val="none"/>
          <w:lang w:val="en-US" w:eastAsia="zh-CN"/>
        </w:rPr>
        <w:t>85%</w:t>
      </w:r>
      <w:r>
        <w:rPr>
          <w:rFonts w:hint="eastAsia" w:ascii="Times New Roman" w:hAnsi="Times New Roman" w:eastAsia="宋体" w:cs="Times New Roman"/>
          <w:color w:val="auto"/>
          <w:sz w:val="24"/>
          <w:szCs w:val="24"/>
          <w:highlight w:val="none"/>
          <w:lang w:val="zh-TW" w:eastAsia="zh-TW"/>
        </w:rPr>
        <w:t>（工程监理费：工程预算金额*中标费率）</w:t>
      </w: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zh-TW" w:eastAsia="zh-TW"/>
        </w:rPr>
        <w:t>工程竣工验收审计结算完成后，</w:t>
      </w:r>
      <w:r>
        <w:rPr>
          <w:rFonts w:hint="eastAsia" w:ascii="Times New Roman" w:hAnsi="Times New Roman" w:eastAsia="宋体" w:cs="Times New Roman"/>
          <w:color w:val="auto"/>
          <w:sz w:val="24"/>
          <w:szCs w:val="24"/>
          <w:highlight w:val="none"/>
          <w:lang w:val="en-US" w:eastAsia="zh-CN"/>
        </w:rPr>
        <w:t>工程监理费</w:t>
      </w:r>
      <w:r>
        <w:rPr>
          <w:rFonts w:hint="eastAsia" w:ascii="Times New Roman" w:hAnsi="Times New Roman" w:eastAsia="宋体" w:cs="Times New Roman"/>
          <w:color w:val="auto"/>
          <w:sz w:val="24"/>
          <w:szCs w:val="24"/>
          <w:highlight w:val="none"/>
          <w:lang w:val="zh-TW" w:eastAsia="zh-TW"/>
        </w:rPr>
        <w:t>付至97%（工程监理费：工程结算审定价*中标费率）</w:t>
      </w: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工程监理费</w:t>
      </w:r>
      <w:r>
        <w:rPr>
          <w:rFonts w:hint="eastAsia" w:ascii="Times New Roman" w:hAnsi="Times New Roman" w:eastAsia="宋体" w:cs="Times New Roman"/>
          <w:color w:val="auto"/>
          <w:sz w:val="24"/>
          <w:szCs w:val="24"/>
          <w:highlight w:val="none"/>
          <w:lang w:val="zh-TW" w:eastAsia="zh-TW"/>
        </w:rPr>
        <w:t>的3%作为保修款，按照国家规定的责任缺陷期满后一次性付清。</w:t>
      </w:r>
    </w:p>
    <w:p>
      <w:pPr>
        <w:pStyle w:val="3"/>
        <w:shd w:val="clear" w:color="auto" w:fill="auto"/>
        <w:spacing w:before="0" w:after="0" w:line="240" w:lineRule="auto"/>
        <w:rPr>
          <w:rFonts w:hint="eastAsia" w:ascii="宋体" w:hAnsi="宋体" w:eastAsia="宋体" w:cs="宋体"/>
          <w:b/>
          <w:bCs w:val="0"/>
          <w:color w:val="auto"/>
          <w:szCs w:val="20"/>
          <w:highlight w:val="none"/>
        </w:rPr>
        <w:sectPr>
          <w:headerReference r:id="rId6" w:type="default"/>
          <w:footerReference r:id="rId7" w:type="default"/>
          <w:pgSz w:w="11906" w:h="16839"/>
          <w:pgMar w:top="1020" w:right="1418" w:bottom="1020" w:left="1159" w:header="510" w:footer="510" w:gutter="0"/>
          <w:pgBorders>
            <w:top w:val="none" w:sz="0" w:space="0"/>
            <w:left w:val="none" w:sz="0" w:space="0"/>
            <w:bottom w:val="none" w:sz="0" w:space="0"/>
            <w:right w:val="none" w:sz="0" w:space="0"/>
          </w:pgBorders>
          <w:pgNumType w:fmt="decimal"/>
          <w:cols w:space="720" w:num="1"/>
        </w:sectPr>
      </w:pPr>
      <w:bookmarkStart w:id="162" w:name="_Toc532543566"/>
      <w:bookmarkStart w:id="163" w:name="_Toc10724"/>
      <w:bookmarkStart w:id="164" w:name="_Toc22305"/>
      <w:bookmarkStart w:id="165" w:name="_Toc256000017"/>
      <w:bookmarkStart w:id="166" w:name="_Toc24944"/>
      <w:bookmarkStart w:id="167" w:name="_Toc531075010"/>
    </w:p>
    <w:p>
      <w:pPr>
        <w:pStyle w:val="3"/>
        <w:shd w:val="clear" w:color="auto" w:fill="auto"/>
        <w:spacing w:before="0" w:after="0" w:line="240" w:lineRule="auto"/>
        <w:rPr>
          <w:rFonts w:hint="eastAsia" w:ascii="宋体" w:hAnsi="宋体" w:eastAsia="宋体" w:cs="宋体"/>
          <w:b/>
          <w:bCs w:val="0"/>
          <w:color w:val="auto"/>
          <w:highlight w:val="none"/>
        </w:rPr>
      </w:pPr>
      <w:r>
        <w:rPr>
          <w:rFonts w:hint="eastAsia" w:ascii="宋体" w:hAnsi="宋体" w:eastAsia="宋体" w:cs="宋体"/>
          <w:b/>
          <w:bCs w:val="0"/>
          <w:color w:val="auto"/>
          <w:szCs w:val="20"/>
          <w:highlight w:val="none"/>
        </w:rPr>
        <w:t>第</w:t>
      </w:r>
      <w:r>
        <w:rPr>
          <w:rFonts w:hint="eastAsia" w:ascii="宋体" w:hAnsi="宋体" w:cs="宋体"/>
          <w:b/>
          <w:bCs w:val="0"/>
          <w:color w:val="auto"/>
          <w:szCs w:val="20"/>
          <w:highlight w:val="none"/>
          <w:lang w:val="en-US" w:eastAsia="zh-CN"/>
        </w:rPr>
        <w:t>四</w:t>
      </w:r>
      <w:r>
        <w:rPr>
          <w:rFonts w:hint="eastAsia" w:ascii="宋体" w:hAnsi="宋体" w:eastAsia="宋体" w:cs="宋体"/>
          <w:b/>
          <w:bCs w:val="0"/>
          <w:color w:val="auto"/>
          <w:szCs w:val="20"/>
          <w:highlight w:val="none"/>
        </w:rPr>
        <w:t xml:space="preserve">章 </w:t>
      </w:r>
      <w:r>
        <w:rPr>
          <w:rFonts w:hint="eastAsia" w:ascii="宋体" w:hAnsi="宋体" w:eastAsia="宋体" w:cs="宋体"/>
          <w:b/>
          <w:bCs w:val="0"/>
          <w:color w:val="auto"/>
          <w:highlight w:val="none"/>
        </w:rPr>
        <w:t>评审方法</w:t>
      </w:r>
      <w:bookmarkEnd w:id="155"/>
      <w:bookmarkEnd w:id="156"/>
      <w:bookmarkEnd w:id="157"/>
      <w:bookmarkEnd w:id="158"/>
      <w:bookmarkEnd w:id="162"/>
      <w:bookmarkEnd w:id="163"/>
      <w:bookmarkEnd w:id="164"/>
      <w:bookmarkEnd w:id="165"/>
      <w:bookmarkEnd w:id="166"/>
      <w:bookmarkEnd w:id="167"/>
    </w:p>
    <w:p>
      <w:pPr>
        <w:spacing w:before="181" w:line="468" w:lineRule="exact"/>
        <w:ind w:firstLine="480" w:firstLineChars="200"/>
        <w:rPr>
          <w:rFonts w:hint="eastAsia" w:ascii="宋体" w:hAnsi="宋体" w:eastAsia="宋体" w:cs="宋体"/>
          <w:color w:val="auto"/>
          <w:kern w:val="0"/>
          <w:sz w:val="24"/>
          <w:szCs w:val="24"/>
          <w:highlight w:val="none"/>
          <w:lang w:val="en-US" w:eastAsia="zh-CN" w:bidi="ar-SA"/>
        </w:rPr>
      </w:pPr>
      <w:bookmarkStart w:id="168" w:name="_Toc293736024"/>
      <w:bookmarkStart w:id="169" w:name="_Toc293739005"/>
      <w:bookmarkStart w:id="170" w:name="_Toc446599330"/>
      <w:bookmarkStart w:id="171" w:name="_Toc293736067"/>
      <w:r>
        <w:rPr>
          <w:rFonts w:hint="eastAsia" w:ascii="宋体" w:hAnsi="宋体" w:eastAsia="宋体" w:cs="宋体"/>
          <w:color w:val="auto"/>
          <w:kern w:val="0"/>
          <w:sz w:val="24"/>
          <w:szCs w:val="24"/>
          <w:highlight w:val="none"/>
          <w:lang w:val="en-US" w:eastAsia="zh-CN" w:bidi="ar-SA"/>
        </w:rPr>
        <w:t>本项目评审方法见招标文件第二部分“投标人须知前附表 ”中的规定。采用综合评分法，评分细则如下：</w:t>
      </w:r>
    </w:p>
    <w:tbl>
      <w:tblPr>
        <w:tblStyle w:val="32"/>
        <w:tblW w:w="55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3"/>
        <w:gridCol w:w="631"/>
        <w:gridCol w:w="2160"/>
        <w:gridCol w:w="5439"/>
        <w:gridCol w:w="715"/>
        <w:gridCol w:w="67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9"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1049"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评分点</w:t>
            </w:r>
          </w:p>
        </w:tc>
        <w:tc>
          <w:tcPr>
            <w:tcW w:w="2644"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76"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9"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2644"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306"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资格检查</w:t>
            </w: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责任的能力</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提供法人或者其他组织的营业执照等证明文件，自然人的身份证明</w:t>
            </w:r>
            <w:r>
              <w:rPr>
                <w:rFonts w:hint="eastAsia" w:ascii="宋体" w:hAnsi="宋体" w:eastAsia="宋体" w:cs="宋体"/>
                <w:color w:val="auto"/>
                <w:sz w:val="24"/>
                <w:szCs w:val="24"/>
                <w:highlight w:val="none"/>
                <w:lang w:eastAsia="zh-CN"/>
              </w:rPr>
              <w:t>。</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left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left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资格要求</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供应商应具备国家建设行政主管部门颁发的综合监理资质或建筑工程专业监理乙级及以上（含乙级）资质。</w:t>
            </w:r>
          </w:p>
          <w:p>
            <w:pPr>
              <w:spacing w:line="360" w:lineRule="auto"/>
              <w:jc w:val="both"/>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项目总监需具备注册监理工程师执业资格，并在本单位注册。</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left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left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信用中国</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网站和</w:t>
            </w:r>
          </w:p>
          <w:p>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“中国政府采购网”</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rPr>
              <w:t>查询结果</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strike w:val="0"/>
                <w:dstrike w:val="0"/>
                <w:color w:val="auto"/>
                <w:sz w:val="24"/>
                <w:szCs w:val="24"/>
                <w:highlight w:val="none"/>
              </w:rPr>
              <w:t>开标时查询 1</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被列入失信被执行人； 2</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重大税收违法案件当事人名单； 3</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列入政府采购严重违法失信行为记录名单</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是否无以上异常情形。</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健全的财务会计</w:t>
            </w:r>
          </w:p>
          <w:p>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制度</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①投标人是法人组织的应提供经第三方审计的上一年度（2</w:t>
            </w:r>
            <w:r>
              <w:rPr>
                <w:rFonts w:hint="eastAsia" w:ascii="宋体" w:hAnsi="宋体" w:eastAsia="宋体" w:cs="宋体"/>
                <w:color w:val="auto"/>
                <w:sz w:val="24"/>
                <w:szCs w:val="24"/>
                <w:highlight w:val="none"/>
                <w:lang w:val="en-US" w:eastAsia="zh-CN"/>
              </w:rPr>
              <w:t>022</w:t>
            </w:r>
            <w:r>
              <w:rPr>
                <w:rFonts w:hint="eastAsia" w:ascii="宋体" w:hAnsi="宋体" w:eastAsia="宋体" w:cs="宋体"/>
                <w:color w:val="auto"/>
                <w:sz w:val="24"/>
                <w:szCs w:val="24"/>
                <w:highlight w:val="none"/>
                <w:lang w:eastAsia="zh-CN"/>
              </w:rPr>
              <w:t>年）的财务审计报告；</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lang w:eastAsia="zh-CN"/>
              </w:rPr>
              <w:t>年度财务审计报告未完成的须提供202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年度财务审计报告或近一个季度的财务报表或开标前三个月内基本开户银行出具的资信证明。</w:t>
            </w:r>
          </w:p>
          <w:p>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②自成立到投标截止时间，未跨一个自然年度的须提供近一个季度的财务报表或开标前三个月内基本开户银行出具的资信证明。</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w:t>
            </w:r>
          </w:p>
          <w:p>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技术能力</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提供具有履行合同所必需的设备和专业技术能力相关证明材料或声明</w:t>
            </w:r>
            <w:r>
              <w:rPr>
                <w:rFonts w:hint="eastAsia" w:ascii="宋体" w:hAnsi="宋体" w:eastAsia="宋体" w:cs="宋体"/>
                <w:color w:val="auto"/>
                <w:sz w:val="24"/>
                <w:szCs w:val="24"/>
                <w:highlight w:val="none"/>
                <w:lang w:eastAsia="zh-CN"/>
              </w:rPr>
              <w:t>。</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36"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有依法缴纳税收和</w:t>
            </w:r>
          </w:p>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社会保障资金的</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良好记录</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①提供税务机构出具的近一年内任两个月的依法缴纳税收等证明材料（刚成立不满三个月的企业，应提供依法缴纳税收承诺书；如依法免税的企业，应提供相应文件证明其依法免税）。</w:t>
            </w:r>
          </w:p>
          <w:p>
            <w:pPr>
              <w:numPr>
                <w:ilvl w:val="0"/>
                <w:numId w:val="0"/>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提供近一年内任意两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在经营活动中没有</w:t>
            </w:r>
          </w:p>
          <w:p>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重大违法记录的书面声明</w:t>
            </w:r>
          </w:p>
        </w:tc>
        <w:tc>
          <w:tcPr>
            <w:tcW w:w="2644"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提供参加政府采购活动近三年无重大违法记录声明书</w:t>
            </w:r>
          </w:p>
        </w:tc>
        <w:tc>
          <w:tcPr>
            <w:tcW w:w="347"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《中小企业声明函》</w:t>
            </w:r>
          </w:p>
        </w:tc>
        <w:tc>
          <w:tcPr>
            <w:tcW w:w="2644"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是否按格式出具《中小企业声明函》</w:t>
            </w:r>
          </w:p>
        </w:tc>
        <w:tc>
          <w:tcPr>
            <w:tcW w:w="347"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投标保证金</w:t>
            </w:r>
          </w:p>
        </w:tc>
        <w:tc>
          <w:tcPr>
            <w:tcW w:w="2644"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是否</w:t>
            </w:r>
            <w:r>
              <w:rPr>
                <w:rFonts w:hint="eastAsia" w:ascii="宋体" w:hAnsi="宋体" w:eastAsia="宋体" w:cs="宋体"/>
                <w:color w:val="auto"/>
                <w:sz w:val="24"/>
                <w:szCs w:val="24"/>
                <w:highlight w:val="none"/>
              </w:rPr>
              <w:t>符合供应商须知前附表的规定</w:t>
            </w:r>
          </w:p>
        </w:tc>
        <w:tc>
          <w:tcPr>
            <w:tcW w:w="347"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w:t>
            </w: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是否与营业执照等一致</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投标文件盖章</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是否按照招标文件规定签署、盖章</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报价唯一</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投标报价是否固定或投标价是唯一的、且未超出</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期限</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是否满足招标文件规定期限</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方案唯一</w:t>
            </w:r>
          </w:p>
        </w:tc>
        <w:tc>
          <w:tcPr>
            <w:tcW w:w="2644"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不接受有选择技术方案、商务方案、及其他备选方案</w:t>
            </w:r>
          </w:p>
        </w:tc>
        <w:tc>
          <w:tcPr>
            <w:tcW w:w="347"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商务偏离</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商务不存在重大偏差（如背离采购人的服务要求、付款计划等）</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22"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06"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104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偏离</w:t>
            </w:r>
          </w:p>
        </w:tc>
        <w:tc>
          <w:tcPr>
            <w:tcW w:w="2644"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主要技术规格和参数满足采购需求的要求，没有重大偏离的。</w:t>
            </w:r>
          </w:p>
        </w:tc>
        <w:tc>
          <w:tcPr>
            <w:tcW w:w="347"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c>
          <w:tcPr>
            <w:tcW w:w="32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宋体" w:hAnsi="宋体" w:eastAsia="宋体" w:cs="宋体"/>
                <w:color w:val="auto"/>
                <w:sz w:val="24"/>
                <w:szCs w:val="24"/>
                <w:highlight w:val="none"/>
              </w:rPr>
            </w:pPr>
          </w:p>
        </w:tc>
      </w:tr>
    </w:tbl>
    <w:p>
      <w:pPr>
        <w:shd w:val="clear" w:color="auto" w:fill="auto"/>
        <w:spacing w:line="360" w:lineRule="exact"/>
        <w:ind w:firstLine="560" w:firstLineChars="200"/>
        <w:rPr>
          <w:rFonts w:hint="eastAsia" w:ascii="宋体" w:hAnsi="宋体" w:eastAsia="宋体" w:cs="宋体"/>
          <w:color w:val="auto"/>
          <w:sz w:val="28"/>
          <w:szCs w:val="24"/>
          <w:highlight w:val="none"/>
        </w:rPr>
      </w:pPr>
    </w:p>
    <w:tbl>
      <w:tblPr>
        <w:tblStyle w:val="11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1023"/>
        <w:gridCol w:w="2043"/>
        <w:gridCol w:w="472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776" w:type="dxa"/>
            <w:gridSpan w:val="2"/>
            <w:noWrap w:val="0"/>
            <w:vAlign w:val="top"/>
          </w:tcPr>
          <w:p>
            <w:pPr>
              <w:pStyle w:val="113"/>
              <w:spacing w:before="171" w:line="220" w:lineRule="auto"/>
              <w:ind w:left="453"/>
              <w:rPr>
                <w:rFonts w:hint="eastAsia" w:ascii="宋体" w:hAnsi="宋体" w:eastAsia="宋体" w:cs="宋体"/>
                <w:color w:val="auto"/>
                <w:sz w:val="22"/>
                <w:szCs w:val="22"/>
              </w:rPr>
            </w:pPr>
            <w:r>
              <w:rPr>
                <w:rFonts w:hint="eastAsia" w:ascii="宋体" w:hAnsi="宋体" w:eastAsia="宋体" w:cs="宋体"/>
                <w:color w:val="auto"/>
                <w:spacing w:val="-2"/>
                <w:sz w:val="22"/>
                <w:szCs w:val="22"/>
              </w:rPr>
              <w:t>评分因素</w:t>
            </w:r>
          </w:p>
        </w:tc>
        <w:tc>
          <w:tcPr>
            <w:tcW w:w="2043" w:type="dxa"/>
            <w:noWrap w:val="0"/>
            <w:vAlign w:val="top"/>
          </w:tcPr>
          <w:p>
            <w:pPr>
              <w:pStyle w:val="113"/>
              <w:spacing w:before="171" w:line="221" w:lineRule="auto"/>
              <w:ind w:left="693"/>
              <w:rPr>
                <w:rFonts w:hint="eastAsia" w:ascii="宋体" w:hAnsi="宋体" w:eastAsia="宋体" w:cs="宋体"/>
                <w:color w:val="auto"/>
                <w:sz w:val="22"/>
                <w:szCs w:val="22"/>
              </w:rPr>
            </w:pPr>
            <w:r>
              <w:rPr>
                <w:rFonts w:hint="eastAsia" w:ascii="宋体" w:hAnsi="宋体" w:eastAsia="宋体" w:cs="宋体"/>
                <w:color w:val="auto"/>
                <w:spacing w:val="-2"/>
                <w:sz w:val="22"/>
                <w:szCs w:val="22"/>
              </w:rPr>
              <w:t>评分点</w:t>
            </w:r>
          </w:p>
        </w:tc>
        <w:tc>
          <w:tcPr>
            <w:tcW w:w="4722" w:type="dxa"/>
            <w:noWrap w:val="0"/>
            <w:vAlign w:val="top"/>
          </w:tcPr>
          <w:p>
            <w:pPr>
              <w:pStyle w:val="113"/>
              <w:spacing w:before="171" w:line="221" w:lineRule="auto"/>
              <w:ind w:left="1926"/>
              <w:rPr>
                <w:rFonts w:hint="eastAsia" w:ascii="宋体" w:hAnsi="宋体" w:eastAsia="宋体" w:cs="宋体"/>
                <w:color w:val="auto"/>
                <w:sz w:val="22"/>
                <w:szCs w:val="22"/>
              </w:rPr>
            </w:pPr>
            <w:r>
              <w:rPr>
                <w:rFonts w:hint="eastAsia" w:ascii="宋体" w:hAnsi="宋体" w:eastAsia="宋体" w:cs="宋体"/>
                <w:color w:val="auto"/>
                <w:spacing w:val="-2"/>
                <w:sz w:val="22"/>
                <w:szCs w:val="22"/>
              </w:rPr>
              <w:t>评分标准</w:t>
            </w:r>
          </w:p>
        </w:tc>
        <w:tc>
          <w:tcPr>
            <w:tcW w:w="1584" w:type="dxa"/>
            <w:noWrap w:val="0"/>
            <w:vAlign w:val="top"/>
          </w:tcPr>
          <w:p>
            <w:pPr>
              <w:pStyle w:val="113"/>
              <w:spacing w:before="171" w:line="220" w:lineRule="auto"/>
              <w:ind w:left="359"/>
              <w:rPr>
                <w:rFonts w:hint="eastAsia" w:ascii="宋体" w:hAnsi="宋体" w:eastAsia="宋体" w:cs="宋体"/>
                <w:color w:val="auto"/>
                <w:sz w:val="22"/>
                <w:szCs w:val="22"/>
              </w:rPr>
            </w:pPr>
            <w:r>
              <w:rPr>
                <w:rFonts w:hint="eastAsia" w:ascii="宋体" w:hAnsi="宋体" w:eastAsia="宋体" w:cs="宋体"/>
                <w:color w:val="auto"/>
                <w:spacing w:val="-2"/>
                <w:sz w:val="22"/>
                <w:szCs w:val="22"/>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6" w:hRule="atLeast"/>
          <w:jc w:val="center"/>
        </w:trPr>
        <w:tc>
          <w:tcPr>
            <w:tcW w:w="753" w:type="dxa"/>
            <w:vMerge w:val="restart"/>
            <w:noWrap w:val="0"/>
            <w:vAlign w:val="center"/>
          </w:tcPr>
          <w:p>
            <w:pPr>
              <w:jc w:val="center"/>
              <w:rPr>
                <w:rFonts w:hint="eastAsia" w:ascii="宋体" w:hAnsi="宋体" w:eastAsia="宋体" w:cs="宋体"/>
                <w:color w:val="auto"/>
                <w:sz w:val="21"/>
              </w:rPr>
            </w:pPr>
          </w:p>
          <w:p>
            <w:pPr>
              <w:jc w:val="center"/>
              <w:rPr>
                <w:rFonts w:hint="eastAsia" w:ascii="宋体" w:hAnsi="宋体" w:eastAsia="宋体" w:cs="宋体"/>
                <w:color w:val="auto"/>
                <w:sz w:val="21"/>
              </w:rPr>
            </w:pPr>
          </w:p>
          <w:p>
            <w:pPr>
              <w:jc w:val="center"/>
              <w:rPr>
                <w:rFonts w:hint="eastAsia" w:ascii="宋体" w:hAnsi="宋体" w:eastAsia="宋体" w:cs="宋体"/>
                <w:color w:val="auto"/>
                <w:sz w:val="21"/>
              </w:rPr>
            </w:pPr>
          </w:p>
          <w:p>
            <w:pPr>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spacing w:line="241" w:lineRule="auto"/>
              <w:jc w:val="center"/>
              <w:rPr>
                <w:rFonts w:hint="eastAsia" w:ascii="宋体" w:hAnsi="宋体" w:eastAsia="宋体" w:cs="宋体"/>
                <w:color w:val="auto"/>
                <w:sz w:val="21"/>
              </w:rPr>
            </w:pPr>
          </w:p>
          <w:p>
            <w:pPr>
              <w:pStyle w:val="113"/>
              <w:spacing w:before="71" w:line="241" w:lineRule="auto"/>
              <w:ind w:right="45"/>
              <w:jc w:val="center"/>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详细</w:t>
            </w:r>
          </w:p>
          <w:p>
            <w:pPr>
              <w:pStyle w:val="113"/>
              <w:spacing w:before="71" w:line="241" w:lineRule="auto"/>
              <w:ind w:right="45"/>
              <w:jc w:val="center"/>
              <w:rPr>
                <w:rFonts w:hint="eastAsia" w:ascii="宋体" w:hAnsi="宋体" w:eastAsia="宋体" w:cs="宋体"/>
                <w:color w:val="auto"/>
                <w:sz w:val="22"/>
                <w:szCs w:val="22"/>
              </w:rPr>
            </w:pPr>
            <w:r>
              <w:rPr>
                <w:rFonts w:hint="eastAsia" w:ascii="宋体" w:hAnsi="宋体" w:eastAsia="宋体" w:cs="宋体"/>
                <w:color w:val="auto"/>
                <w:spacing w:val="-4"/>
                <w:sz w:val="22"/>
                <w:szCs w:val="22"/>
              </w:rPr>
              <w:t>评</w:t>
            </w:r>
            <w:r>
              <w:rPr>
                <w:rFonts w:hint="eastAsia" w:ascii="宋体" w:hAnsi="宋体" w:eastAsia="宋体" w:cs="宋体"/>
                <w:color w:val="auto"/>
                <w:sz w:val="22"/>
                <w:szCs w:val="22"/>
              </w:rPr>
              <w:t>审</w:t>
            </w:r>
          </w:p>
        </w:tc>
        <w:tc>
          <w:tcPr>
            <w:tcW w:w="1023" w:type="dxa"/>
            <w:noWrap w:val="0"/>
            <w:vAlign w:val="top"/>
          </w:tcPr>
          <w:p>
            <w:pPr>
              <w:spacing w:line="271" w:lineRule="auto"/>
              <w:rPr>
                <w:rFonts w:hint="eastAsia" w:ascii="宋体" w:hAnsi="宋体" w:eastAsia="宋体" w:cs="宋体"/>
                <w:color w:val="auto"/>
                <w:sz w:val="21"/>
              </w:rPr>
            </w:pPr>
          </w:p>
          <w:p>
            <w:pPr>
              <w:spacing w:line="272" w:lineRule="auto"/>
              <w:rPr>
                <w:rFonts w:hint="eastAsia" w:ascii="宋体" w:hAnsi="宋体" w:eastAsia="宋体" w:cs="宋体"/>
                <w:color w:val="auto"/>
                <w:sz w:val="21"/>
              </w:rPr>
            </w:pPr>
          </w:p>
          <w:p>
            <w:pPr>
              <w:spacing w:line="272" w:lineRule="auto"/>
              <w:rPr>
                <w:rFonts w:hint="eastAsia" w:ascii="宋体" w:hAnsi="宋体" w:eastAsia="宋体" w:cs="宋体"/>
                <w:color w:val="auto"/>
                <w:sz w:val="21"/>
              </w:rPr>
            </w:pPr>
          </w:p>
          <w:p>
            <w:pPr>
              <w:pStyle w:val="113"/>
              <w:spacing w:before="71" w:line="219" w:lineRule="auto"/>
              <w:ind w:left="76"/>
              <w:rPr>
                <w:rFonts w:hint="eastAsia" w:ascii="宋体" w:hAnsi="宋体" w:eastAsia="宋体" w:cs="宋体"/>
                <w:color w:val="auto"/>
                <w:sz w:val="22"/>
                <w:szCs w:val="22"/>
              </w:rPr>
            </w:pPr>
            <w:r>
              <w:rPr>
                <w:rFonts w:hint="eastAsia" w:ascii="宋体" w:hAnsi="宋体" w:eastAsia="宋体" w:cs="宋体"/>
                <w:color w:val="auto"/>
                <w:spacing w:val="-3"/>
                <w:sz w:val="22"/>
                <w:szCs w:val="22"/>
              </w:rPr>
              <w:t>价格评审</w:t>
            </w:r>
          </w:p>
        </w:tc>
        <w:tc>
          <w:tcPr>
            <w:tcW w:w="2043" w:type="dxa"/>
            <w:noWrap w:val="0"/>
            <w:vAlign w:val="top"/>
          </w:tcPr>
          <w:p>
            <w:pPr>
              <w:spacing w:line="271" w:lineRule="auto"/>
              <w:rPr>
                <w:rFonts w:hint="eastAsia" w:ascii="宋体" w:hAnsi="宋体" w:eastAsia="宋体" w:cs="宋体"/>
                <w:color w:val="auto"/>
                <w:sz w:val="21"/>
              </w:rPr>
            </w:pPr>
          </w:p>
          <w:p>
            <w:pPr>
              <w:spacing w:line="272" w:lineRule="auto"/>
              <w:rPr>
                <w:rFonts w:hint="eastAsia" w:ascii="宋体" w:hAnsi="宋体" w:eastAsia="宋体" w:cs="宋体"/>
                <w:color w:val="auto"/>
                <w:sz w:val="21"/>
              </w:rPr>
            </w:pPr>
          </w:p>
          <w:p>
            <w:pPr>
              <w:spacing w:line="272" w:lineRule="auto"/>
              <w:rPr>
                <w:rFonts w:hint="eastAsia" w:ascii="宋体" w:hAnsi="宋体" w:eastAsia="宋体" w:cs="宋体"/>
                <w:color w:val="auto"/>
                <w:sz w:val="21"/>
              </w:rPr>
            </w:pPr>
          </w:p>
          <w:p>
            <w:pPr>
              <w:pStyle w:val="113"/>
              <w:spacing w:before="71" w:line="219" w:lineRule="auto"/>
              <w:ind w:left="13"/>
              <w:jc w:val="center"/>
              <w:rPr>
                <w:rFonts w:hint="eastAsia" w:ascii="宋体" w:hAnsi="宋体" w:eastAsia="宋体" w:cs="宋体"/>
                <w:color w:val="auto"/>
                <w:spacing w:val="-3"/>
                <w:sz w:val="22"/>
                <w:szCs w:val="22"/>
              </w:rPr>
            </w:pPr>
            <w:r>
              <w:rPr>
                <w:rFonts w:hint="eastAsia" w:ascii="宋体" w:hAnsi="宋体" w:eastAsia="宋体" w:cs="宋体"/>
                <w:color w:val="auto"/>
                <w:spacing w:val="-3"/>
                <w:sz w:val="22"/>
                <w:szCs w:val="22"/>
              </w:rPr>
              <w:t>投标报价</w:t>
            </w:r>
          </w:p>
          <w:p>
            <w:pPr>
              <w:pStyle w:val="113"/>
              <w:spacing w:before="71" w:line="219" w:lineRule="auto"/>
              <w:ind w:left="13"/>
              <w:jc w:val="center"/>
              <w:rPr>
                <w:rFonts w:hint="eastAsia" w:ascii="宋体" w:hAnsi="宋体" w:eastAsia="宋体" w:cs="宋体"/>
                <w:color w:val="auto"/>
                <w:sz w:val="22"/>
                <w:szCs w:val="22"/>
              </w:rPr>
            </w:pPr>
            <w:r>
              <w:rPr>
                <w:rFonts w:hint="eastAsia" w:ascii="宋体" w:hAnsi="宋体" w:eastAsia="宋体" w:cs="宋体"/>
                <w:color w:val="auto"/>
                <w:spacing w:val="-3"/>
                <w:sz w:val="22"/>
                <w:szCs w:val="22"/>
              </w:rPr>
              <w:t>（</w:t>
            </w:r>
            <w:r>
              <w:rPr>
                <w:rFonts w:hint="eastAsia" w:cs="宋体"/>
                <w:color w:val="auto"/>
                <w:spacing w:val="-3"/>
                <w:sz w:val="22"/>
                <w:szCs w:val="22"/>
                <w:lang w:val="en-US" w:eastAsia="zh-CN"/>
              </w:rPr>
              <w:t>10</w:t>
            </w:r>
            <w:r>
              <w:rPr>
                <w:rFonts w:hint="eastAsia" w:ascii="宋体" w:hAnsi="宋体" w:eastAsia="宋体" w:cs="宋体"/>
                <w:color w:val="auto"/>
                <w:spacing w:val="-3"/>
                <w:sz w:val="22"/>
                <w:szCs w:val="22"/>
              </w:rPr>
              <w:t>分）</w:t>
            </w:r>
          </w:p>
        </w:tc>
        <w:tc>
          <w:tcPr>
            <w:tcW w:w="4722" w:type="dxa"/>
            <w:noWrap w:val="0"/>
            <w:vAlign w:val="top"/>
          </w:tcPr>
          <w:p>
            <w:pPr>
              <w:pStyle w:val="113"/>
              <w:spacing w:before="51"/>
              <w:ind w:left="13" w:right="126" w:hanging="2"/>
              <w:rPr>
                <w:rFonts w:hint="eastAsia" w:ascii="宋体" w:hAnsi="宋体" w:eastAsia="宋体" w:cs="宋体"/>
                <w:color w:val="auto"/>
                <w:sz w:val="22"/>
                <w:szCs w:val="22"/>
              </w:rPr>
            </w:pPr>
            <w:r>
              <w:rPr>
                <w:rFonts w:hint="eastAsia" w:ascii="宋体" w:hAnsi="宋体" w:eastAsia="宋体" w:cs="宋体"/>
                <w:color w:val="auto"/>
                <w:spacing w:val="-1"/>
                <w:sz w:val="22"/>
                <w:szCs w:val="22"/>
                <w:lang w:val="en-US" w:eastAsia="zh-CN"/>
              </w:rPr>
              <w:t>满足磋商文件要求且投标价格最低的投标报价为评标基准价，其价格分为满分。最低报价不作为评标的唯一依据。采购人不承诺将合同授予报价最低的供应商。其他投标人的价格分统一按照下列公式计算：投标报价得分=(评标基准价/有效投标报价)×</w:t>
            </w:r>
            <w:r>
              <w:rPr>
                <w:rFonts w:hint="eastAsia" w:cs="宋体"/>
                <w:color w:val="auto"/>
                <w:spacing w:val="-1"/>
                <w:sz w:val="22"/>
                <w:szCs w:val="22"/>
                <w:lang w:val="en-US" w:eastAsia="zh-CN"/>
              </w:rPr>
              <w:t>1</w:t>
            </w:r>
            <w:r>
              <w:rPr>
                <w:rFonts w:hint="eastAsia" w:ascii="宋体" w:hAnsi="宋体" w:eastAsia="宋体" w:cs="宋体"/>
                <w:color w:val="auto"/>
                <w:spacing w:val="-1"/>
                <w:sz w:val="22"/>
                <w:szCs w:val="22"/>
                <w:lang w:val="en-US" w:eastAsia="zh-CN"/>
              </w:rPr>
              <w:t>0%×100。（保留小数点后两位）</w:t>
            </w:r>
          </w:p>
        </w:tc>
        <w:tc>
          <w:tcPr>
            <w:tcW w:w="1584" w:type="dxa"/>
            <w:noWrap w:val="0"/>
            <w:vAlign w:val="top"/>
          </w:tcPr>
          <w:p>
            <w:pPr>
              <w:spacing w:line="287" w:lineRule="auto"/>
              <w:rPr>
                <w:rFonts w:hint="eastAsia" w:ascii="宋体" w:hAnsi="宋体" w:eastAsia="宋体" w:cs="宋体"/>
                <w:color w:val="auto"/>
                <w:sz w:val="21"/>
              </w:rPr>
            </w:pPr>
          </w:p>
          <w:p>
            <w:pPr>
              <w:spacing w:line="288" w:lineRule="auto"/>
              <w:rPr>
                <w:rFonts w:hint="eastAsia" w:ascii="宋体" w:hAnsi="宋体" w:eastAsia="宋体" w:cs="宋体"/>
                <w:color w:val="auto"/>
                <w:sz w:val="21"/>
              </w:rPr>
            </w:pPr>
          </w:p>
          <w:p>
            <w:pPr>
              <w:spacing w:line="288" w:lineRule="auto"/>
              <w:rPr>
                <w:rFonts w:hint="eastAsia" w:ascii="宋体" w:hAnsi="宋体" w:eastAsia="宋体" w:cs="宋体"/>
                <w:color w:val="auto"/>
                <w:sz w:val="21"/>
              </w:rPr>
            </w:pPr>
          </w:p>
          <w:p>
            <w:pPr>
              <w:spacing w:before="67" w:line="181" w:lineRule="auto"/>
              <w:ind w:left="549"/>
              <w:rPr>
                <w:rFonts w:hint="eastAsia" w:ascii="宋体" w:hAnsi="宋体" w:eastAsia="宋体" w:cs="宋体"/>
                <w:color w:val="auto"/>
                <w:sz w:val="22"/>
                <w:szCs w:val="22"/>
              </w:rPr>
            </w:pPr>
            <w:r>
              <w:rPr>
                <w:rFonts w:hint="eastAsia" w:ascii="宋体" w:hAnsi="宋体" w:cs="宋体"/>
                <w:color w:val="auto"/>
                <w:spacing w:val="-3"/>
                <w:sz w:val="22"/>
                <w:szCs w:val="22"/>
                <w:lang w:val="en-US" w:eastAsia="zh-CN"/>
              </w:rPr>
              <w:t>1</w:t>
            </w:r>
            <w:r>
              <w:rPr>
                <w:rFonts w:hint="eastAsia" w:ascii="宋体" w:hAnsi="宋体" w:eastAsia="宋体" w:cs="宋体"/>
                <w:color w:val="auto"/>
                <w:spacing w:val="-3"/>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restart"/>
            <w:noWrap w:val="0"/>
            <w:vAlign w:val="top"/>
          </w:tcPr>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2"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pStyle w:val="113"/>
              <w:spacing w:before="72" w:line="241" w:lineRule="auto"/>
              <w:ind w:left="418" w:right="69" w:hanging="338"/>
              <w:jc w:val="center"/>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商务标</w:t>
            </w:r>
          </w:p>
          <w:p>
            <w:pPr>
              <w:pStyle w:val="113"/>
              <w:spacing w:before="72" w:line="241" w:lineRule="auto"/>
              <w:ind w:left="418" w:right="69" w:hanging="338"/>
              <w:jc w:val="center"/>
              <w:rPr>
                <w:rFonts w:hint="eastAsia" w:ascii="宋体" w:hAnsi="宋体" w:eastAsia="宋体" w:cs="宋体"/>
                <w:color w:val="auto"/>
                <w:sz w:val="22"/>
                <w:szCs w:val="22"/>
              </w:rPr>
            </w:pPr>
            <w:r>
              <w:rPr>
                <w:rFonts w:hint="eastAsia" w:ascii="宋体" w:hAnsi="宋体" w:eastAsia="宋体" w:cs="宋体"/>
                <w:color w:val="auto"/>
                <w:spacing w:val="-4"/>
                <w:sz w:val="22"/>
                <w:szCs w:val="22"/>
              </w:rPr>
              <w:t>评</w:t>
            </w:r>
            <w:r>
              <w:rPr>
                <w:rFonts w:hint="eastAsia" w:ascii="宋体" w:hAnsi="宋体" w:eastAsia="宋体" w:cs="宋体"/>
                <w:color w:val="auto"/>
                <w:sz w:val="22"/>
                <w:szCs w:val="22"/>
              </w:rPr>
              <w:t>审</w:t>
            </w:r>
          </w:p>
        </w:tc>
        <w:tc>
          <w:tcPr>
            <w:tcW w:w="2043" w:type="dxa"/>
            <w:noWrap w:val="0"/>
            <w:vAlign w:val="top"/>
          </w:tcPr>
          <w:p>
            <w:pPr>
              <w:spacing w:line="288" w:lineRule="auto"/>
              <w:rPr>
                <w:rFonts w:hint="eastAsia" w:ascii="宋体" w:hAnsi="宋体" w:eastAsia="宋体" w:cs="宋体"/>
                <w:color w:val="auto"/>
                <w:sz w:val="21"/>
              </w:rPr>
            </w:pPr>
          </w:p>
          <w:p>
            <w:pPr>
              <w:pStyle w:val="113"/>
              <w:spacing w:before="72" w:line="220" w:lineRule="auto"/>
              <w:ind w:left="371"/>
              <w:rPr>
                <w:rFonts w:hint="eastAsia" w:ascii="宋体" w:hAnsi="宋体" w:eastAsia="宋体" w:cs="宋体"/>
                <w:color w:val="auto"/>
                <w:sz w:val="22"/>
                <w:szCs w:val="22"/>
              </w:rPr>
            </w:pPr>
            <w:r>
              <w:rPr>
                <w:rFonts w:hint="eastAsia" w:ascii="宋体" w:hAnsi="宋体" w:eastAsia="宋体" w:cs="宋体"/>
                <w:color w:val="auto"/>
                <w:spacing w:val="-2"/>
                <w:sz w:val="22"/>
                <w:szCs w:val="22"/>
              </w:rPr>
              <w:t>企业类似业绩</w:t>
            </w:r>
          </w:p>
          <w:p>
            <w:pPr>
              <w:pStyle w:val="113"/>
              <w:spacing w:before="49"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w:t>
            </w:r>
            <w:r>
              <w:rPr>
                <w:rFonts w:hint="eastAsia" w:cs="宋体"/>
                <w:color w:val="auto"/>
                <w:spacing w:val="9"/>
                <w:sz w:val="22"/>
                <w:szCs w:val="22"/>
                <w:lang w:val="en-US" w:eastAsia="zh-CN"/>
              </w:rPr>
              <w:t>6</w:t>
            </w:r>
            <w:r>
              <w:rPr>
                <w:rFonts w:hint="eastAsia" w:ascii="宋体" w:hAnsi="宋体" w:eastAsia="宋体" w:cs="宋体"/>
                <w:color w:val="auto"/>
                <w:spacing w:val="9"/>
                <w:sz w:val="22"/>
                <w:szCs w:val="22"/>
              </w:rPr>
              <w:t>分）</w:t>
            </w:r>
          </w:p>
        </w:tc>
        <w:tc>
          <w:tcPr>
            <w:tcW w:w="4722" w:type="dxa"/>
            <w:noWrap w:val="0"/>
            <w:vAlign w:val="top"/>
          </w:tcPr>
          <w:p>
            <w:pPr>
              <w:pStyle w:val="113"/>
              <w:spacing w:before="48" w:line="248" w:lineRule="auto"/>
              <w:ind w:left="12" w:right="38"/>
              <w:rPr>
                <w:rFonts w:hint="eastAsia" w:ascii="宋体" w:hAnsi="宋体" w:eastAsia="宋体" w:cs="宋体"/>
                <w:color w:val="auto"/>
                <w:sz w:val="22"/>
                <w:szCs w:val="22"/>
              </w:rPr>
            </w:pPr>
            <w:r>
              <w:rPr>
                <w:rFonts w:hint="eastAsia" w:ascii="宋体" w:hAnsi="宋体" w:eastAsia="宋体" w:cs="宋体"/>
                <w:color w:val="auto"/>
                <w:spacing w:val="-1"/>
                <w:sz w:val="22"/>
                <w:szCs w:val="22"/>
              </w:rPr>
              <w:t>提供近三年相关类似</w:t>
            </w:r>
            <w:r>
              <w:rPr>
                <w:rFonts w:hint="eastAsia" w:cs="宋体"/>
                <w:color w:val="auto"/>
                <w:spacing w:val="-1"/>
                <w:sz w:val="22"/>
                <w:szCs w:val="22"/>
                <w:lang w:eastAsia="zh-CN"/>
              </w:rPr>
              <w:t>框架</w:t>
            </w:r>
            <w:r>
              <w:rPr>
                <w:rFonts w:hint="eastAsia" w:ascii="宋体" w:hAnsi="宋体" w:eastAsia="宋体" w:cs="宋体"/>
                <w:color w:val="auto"/>
                <w:spacing w:val="-1"/>
                <w:sz w:val="22"/>
                <w:szCs w:val="22"/>
              </w:rPr>
              <w:t>业绩（有合同扫描件或中标通知书扫描件为有效案例</w:t>
            </w:r>
            <w:r>
              <w:rPr>
                <w:rFonts w:hint="eastAsia" w:ascii="宋体" w:hAnsi="宋体" w:eastAsia="宋体" w:cs="宋体"/>
                <w:color w:val="auto"/>
                <w:spacing w:val="-8"/>
                <w:sz w:val="22"/>
                <w:szCs w:val="22"/>
              </w:rPr>
              <w:t>）（</w:t>
            </w:r>
            <w:r>
              <w:rPr>
                <w:rFonts w:hint="eastAsia" w:ascii="宋体" w:hAnsi="宋体" w:eastAsia="宋体" w:cs="宋体"/>
                <w:color w:val="auto"/>
                <w:spacing w:val="-1"/>
                <w:sz w:val="22"/>
                <w:szCs w:val="22"/>
              </w:rPr>
              <w:t>近三年指</w:t>
            </w:r>
            <w:r>
              <w:rPr>
                <w:rFonts w:hint="eastAsia" w:ascii="宋体" w:hAnsi="宋体" w:eastAsia="宋体" w:cs="宋体"/>
                <w:color w:val="auto"/>
                <w:spacing w:val="-53"/>
                <w:sz w:val="22"/>
                <w:szCs w:val="22"/>
              </w:rPr>
              <w:t xml:space="preserve"> </w:t>
            </w:r>
            <w:r>
              <w:rPr>
                <w:rFonts w:hint="eastAsia" w:ascii="宋体" w:hAnsi="宋体" w:eastAsia="宋体" w:cs="宋体"/>
                <w:color w:val="auto"/>
                <w:spacing w:val="-1"/>
                <w:sz w:val="22"/>
                <w:szCs w:val="22"/>
              </w:rPr>
              <w:t>2020年</w:t>
            </w:r>
            <w:r>
              <w:rPr>
                <w:rFonts w:hint="eastAsia" w:ascii="宋体" w:hAnsi="宋体" w:eastAsia="宋体" w:cs="宋体"/>
                <w:color w:val="auto"/>
                <w:spacing w:val="-29"/>
                <w:sz w:val="22"/>
                <w:szCs w:val="22"/>
              </w:rPr>
              <w:t xml:space="preserve"> </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7"/>
                <w:sz w:val="22"/>
                <w:szCs w:val="22"/>
              </w:rPr>
              <w:t>月</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7"/>
                <w:sz w:val="22"/>
                <w:szCs w:val="22"/>
              </w:rPr>
              <w:t>1日起至今</w:t>
            </w:r>
            <w:r>
              <w:rPr>
                <w:rFonts w:hint="eastAsia" w:ascii="宋体" w:hAnsi="宋体" w:eastAsia="宋体" w:cs="宋体"/>
                <w:color w:val="auto"/>
                <w:spacing w:val="7"/>
                <w:sz w:val="22"/>
                <w:szCs w:val="22"/>
              </w:rPr>
              <w:t>），</w:t>
            </w:r>
            <w:r>
              <w:rPr>
                <w:rFonts w:hint="eastAsia" w:ascii="宋体" w:hAnsi="宋体" w:eastAsia="宋体" w:cs="宋体"/>
                <w:color w:val="auto"/>
                <w:spacing w:val="-7"/>
                <w:sz w:val="22"/>
                <w:szCs w:val="22"/>
              </w:rPr>
              <w:t>每提供</w:t>
            </w:r>
            <w:r>
              <w:rPr>
                <w:rFonts w:hint="eastAsia" w:ascii="宋体" w:hAnsi="宋体" w:eastAsia="宋体" w:cs="宋体"/>
                <w:color w:val="auto"/>
                <w:spacing w:val="-29"/>
                <w:sz w:val="22"/>
                <w:szCs w:val="22"/>
              </w:rPr>
              <w:t xml:space="preserve"> </w:t>
            </w:r>
            <w:r>
              <w:rPr>
                <w:rFonts w:hint="eastAsia" w:cs="宋体"/>
                <w:color w:val="auto"/>
                <w:spacing w:val="-29"/>
                <w:sz w:val="22"/>
                <w:szCs w:val="22"/>
                <w:lang w:val="en-US" w:eastAsia="zh-CN"/>
              </w:rPr>
              <w:t>1</w:t>
            </w:r>
            <w:r>
              <w:rPr>
                <w:rFonts w:hint="eastAsia" w:ascii="宋体" w:hAnsi="宋体" w:eastAsia="宋体" w:cs="宋体"/>
                <w:color w:val="auto"/>
                <w:spacing w:val="-7"/>
                <w:sz w:val="22"/>
                <w:szCs w:val="22"/>
              </w:rPr>
              <w:t>个有效业绩得</w:t>
            </w:r>
            <w:r>
              <w:rPr>
                <w:rFonts w:hint="eastAsia" w:cs="宋体"/>
                <w:color w:val="auto"/>
                <w:spacing w:val="-29"/>
                <w:sz w:val="22"/>
                <w:szCs w:val="22"/>
                <w:lang w:val="en-US" w:eastAsia="zh-CN"/>
              </w:rPr>
              <w:t>2</w:t>
            </w:r>
            <w:r>
              <w:rPr>
                <w:rFonts w:hint="eastAsia" w:ascii="宋体" w:hAnsi="宋体" w:eastAsia="宋体" w:cs="宋体"/>
                <w:color w:val="auto"/>
                <w:spacing w:val="-7"/>
                <w:sz w:val="22"/>
                <w:szCs w:val="22"/>
              </w:rPr>
              <w:t>分，</w:t>
            </w:r>
            <w:r>
              <w:rPr>
                <w:rFonts w:hint="eastAsia" w:ascii="宋体" w:hAnsi="宋体" w:eastAsia="宋体" w:cs="宋体"/>
                <w:color w:val="auto"/>
                <w:spacing w:val="-4"/>
                <w:sz w:val="22"/>
                <w:szCs w:val="22"/>
              </w:rPr>
              <w:t>最高得</w:t>
            </w:r>
            <w:r>
              <w:rPr>
                <w:rFonts w:hint="eastAsia" w:ascii="宋体" w:hAnsi="宋体" w:eastAsia="宋体" w:cs="宋体"/>
                <w:color w:val="auto"/>
                <w:spacing w:val="-40"/>
                <w:sz w:val="22"/>
                <w:szCs w:val="22"/>
              </w:rPr>
              <w:t xml:space="preserve"> </w:t>
            </w:r>
            <w:r>
              <w:rPr>
                <w:rFonts w:hint="eastAsia" w:cs="宋体"/>
                <w:color w:val="auto"/>
                <w:spacing w:val="-4"/>
                <w:sz w:val="22"/>
                <w:szCs w:val="22"/>
                <w:lang w:val="en-US" w:eastAsia="zh-CN"/>
              </w:rPr>
              <w:t>6</w:t>
            </w:r>
            <w:r>
              <w:rPr>
                <w:rFonts w:hint="eastAsia" w:ascii="宋体" w:hAnsi="宋体" w:eastAsia="宋体" w:cs="宋体"/>
                <w:color w:val="auto"/>
                <w:spacing w:val="-4"/>
                <w:sz w:val="22"/>
                <w:szCs w:val="22"/>
              </w:rPr>
              <w:t>分。</w:t>
            </w:r>
          </w:p>
        </w:tc>
        <w:tc>
          <w:tcPr>
            <w:tcW w:w="1584" w:type="dxa"/>
            <w:vMerge w:val="restart"/>
            <w:noWrap w:val="0"/>
            <w:vAlign w:val="top"/>
          </w:tcPr>
          <w:p>
            <w:pPr>
              <w:spacing w:line="257"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before="68" w:line="181" w:lineRule="auto"/>
              <w:ind w:left="548"/>
              <w:rPr>
                <w:rFonts w:hint="eastAsia" w:ascii="宋体" w:hAnsi="宋体" w:eastAsia="宋体" w:cs="宋体"/>
                <w:color w:val="auto"/>
                <w:sz w:val="22"/>
                <w:szCs w:val="22"/>
              </w:rPr>
            </w:pPr>
            <w:r>
              <w:rPr>
                <w:rFonts w:hint="eastAsia" w:ascii="宋体" w:hAnsi="宋体" w:eastAsia="宋体" w:cs="宋体"/>
                <w:color w:val="auto"/>
                <w:spacing w:val="-2"/>
                <w:sz w:val="22"/>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pStyle w:val="113"/>
              <w:spacing w:before="171" w:line="219" w:lineRule="auto"/>
              <w:ind w:left="371"/>
              <w:rPr>
                <w:rFonts w:hint="eastAsia" w:ascii="宋体" w:hAnsi="宋体" w:eastAsia="宋体" w:cs="宋体"/>
                <w:color w:val="auto"/>
                <w:sz w:val="22"/>
                <w:szCs w:val="22"/>
              </w:rPr>
            </w:pPr>
            <w:r>
              <w:rPr>
                <w:rFonts w:hint="eastAsia" w:ascii="宋体" w:hAnsi="宋体" w:eastAsia="宋体" w:cs="宋体"/>
                <w:color w:val="auto"/>
                <w:spacing w:val="-2"/>
                <w:sz w:val="22"/>
                <w:szCs w:val="22"/>
              </w:rPr>
              <w:t>企业信用评价</w:t>
            </w:r>
          </w:p>
          <w:p>
            <w:pPr>
              <w:pStyle w:val="113"/>
              <w:spacing w:before="51"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w:t>
            </w:r>
            <w:r>
              <w:rPr>
                <w:rFonts w:hint="eastAsia" w:cs="宋体"/>
                <w:color w:val="auto"/>
                <w:spacing w:val="9"/>
                <w:sz w:val="22"/>
                <w:szCs w:val="22"/>
                <w:lang w:val="en-US" w:eastAsia="zh-CN"/>
              </w:rPr>
              <w:t>3</w:t>
            </w:r>
            <w:r>
              <w:rPr>
                <w:rFonts w:hint="eastAsia" w:ascii="宋体" w:hAnsi="宋体" w:eastAsia="宋体" w:cs="宋体"/>
                <w:color w:val="auto"/>
                <w:spacing w:val="9"/>
                <w:sz w:val="22"/>
                <w:szCs w:val="22"/>
              </w:rPr>
              <w:t>分）</w:t>
            </w:r>
          </w:p>
        </w:tc>
        <w:tc>
          <w:tcPr>
            <w:tcW w:w="4722" w:type="dxa"/>
            <w:noWrap w:val="0"/>
            <w:vAlign w:val="top"/>
          </w:tcPr>
          <w:p>
            <w:pPr>
              <w:pStyle w:val="113"/>
              <w:spacing w:before="171" w:line="241" w:lineRule="auto"/>
              <w:rPr>
                <w:rFonts w:hint="eastAsia" w:ascii="宋体" w:hAnsi="宋体" w:eastAsia="宋体" w:cs="宋体"/>
                <w:color w:val="auto"/>
                <w:sz w:val="22"/>
                <w:szCs w:val="22"/>
              </w:rPr>
            </w:pPr>
            <w:r>
              <w:rPr>
                <w:rFonts w:hint="eastAsia" w:ascii="宋体" w:hAnsi="宋体" w:eastAsia="宋体" w:cs="宋体"/>
                <w:color w:val="auto"/>
                <w:spacing w:val="-4"/>
                <w:sz w:val="22"/>
                <w:szCs w:val="22"/>
              </w:rPr>
              <w:t>投标人获得省级及以上建设行业信用评价A</w:t>
            </w:r>
            <w:r>
              <w:rPr>
                <w:rFonts w:hint="eastAsia" w:ascii="宋体" w:hAnsi="宋体" w:eastAsia="宋体" w:cs="宋体"/>
                <w:color w:val="auto"/>
                <w:spacing w:val="-5"/>
                <w:sz w:val="22"/>
                <w:szCs w:val="22"/>
              </w:rPr>
              <w:t>AA的</w:t>
            </w:r>
            <w:r>
              <w:rPr>
                <w:rFonts w:hint="eastAsia" w:ascii="宋体" w:hAnsi="宋体" w:eastAsia="宋体" w:cs="宋体"/>
                <w:color w:val="auto"/>
                <w:spacing w:val="-11"/>
                <w:sz w:val="22"/>
                <w:szCs w:val="22"/>
              </w:rPr>
              <w:t>得</w:t>
            </w:r>
            <w:r>
              <w:rPr>
                <w:rFonts w:hint="eastAsia" w:ascii="宋体" w:hAnsi="宋体" w:eastAsia="宋体" w:cs="宋体"/>
                <w:color w:val="auto"/>
                <w:spacing w:val="-39"/>
                <w:sz w:val="22"/>
                <w:szCs w:val="22"/>
              </w:rPr>
              <w:t xml:space="preserve"> </w:t>
            </w:r>
            <w:r>
              <w:rPr>
                <w:rFonts w:hint="eastAsia" w:cs="宋体"/>
                <w:color w:val="auto"/>
                <w:spacing w:val="-39"/>
                <w:sz w:val="22"/>
                <w:szCs w:val="22"/>
                <w:lang w:val="en-US" w:eastAsia="zh-CN"/>
              </w:rPr>
              <w:t>3</w:t>
            </w:r>
            <w:r>
              <w:rPr>
                <w:rFonts w:hint="eastAsia" w:ascii="宋体" w:hAnsi="宋体" w:eastAsia="宋体" w:cs="宋体"/>
                <w:color w:val="auto"/>
                <w:spacing w:val="-11"/>
                <w:sz w:val="22"/>
                <w:szCs w:val="22"/>
              </w:rPr>
              <w:t>分，AA 得</w:t>
            </w:r>
            <w:r>
              <w:rPr>
                <w:rFonts w:hint="eastAsia" w:ascii="宋体" w:hAnsi="宋体" w:eastAsia="宋体" w:cs="宋体"/>
                <w:color w:val="auto"/>
                <w:spacing w:val="-30"/>
                <w:sz w:val="22"/>
                <w:szCs w:val="22"/>
                <w:lang w:val="en-US" w:eastAsia="zh-CN"/>
              </w:rPr>
              <w:t>2</w:t>
            </w:r>
            <w:r>
              <w:rPr>
                <w:rFonts w:hint="eastAsia" w:ascii="宋体" w:hAnsi="宋体" w:eastAsia="宋体" w:cs="宋体"/>
                <w:color w:val="auto"/>
                <w:spacing w:val="-11"/>
                <w:sz w:val="22"/>
                <w:szCs w:val="22"/>
              </w:rPr>
              <w:t>分，A 得</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11"/>
                <w:sz w:val="22"/>
                <w:szCs w:val="22"/>
                <w:lang w:val="en-US" w:eastAsia="zh-CN"/>
              </w:rPr>
              <w:t>1</w:t>
            </w:r>
            <w:r>
              <w:rPr>
                <w:rFonts w:hint="eastAsia" w:ascii="宋体" w:hAnsi="宋体" w:eastAsia="宋体" w:cs="宋体"/>
                <w:color w:val="auto"/>
                <w:spacing w:val="-11"/>
                <w:sz w:val="22"/>
                <w:szCs w:val="22"/>
              </w:rPr>
              <w:t>分，未取得不得分。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293" w:lineRule="auto"/>
              <w:rPr>
                <w:rFonts w:hint="eastAsia" w:ascii="宋体" w:hAnsi="宋体" w:eastAsia="宋体" w:cs="宋体"/>
                <w:color w:val="auto"/>
                <w:sz w:val="21"/>
              </w:rPr>
            </w:pPr>
          </w:p>
          <w:p>
            <w:pPr>
              <w:pStyle w:val="113"/>
              <w:spacing w:before="72" w:line="220" w:lineRule="auto"/>
              <w:ind w:left="153"/>
              <w:rPr>
                <w:rFonts w:hint="eastAsia" w:ascii="宋体" w:hAnsi="宋体" w:eastAsia="宋体" w:cs="宋体"/>
                <w:color w:val="auto"/>
                <w:sz w:val="22"/>
                <w:szCs w:val="22"/>
              </w:rPr>
            </w:pPr>
            <w:r>
              <w:rPr>
                <w:rFonts w:hint="eastAsia" w:ascii="宋体" w:hAnsi="宋体" w:eastAsia="宋体" w:cs="宋体"/>
                <w:color w:val="auto"/>
                <w:spacing w:val="-2"/>
                <w:sz w:val="22"/>
                <w:szCs w:val="22"/>
              </w:rPr>
              <w:t>总监理工程师业绩</w:t>
            </w:r>
          </w:p>
          <w:p>
            <w:pPr>
              <w:pStyle w:val="113"/>
              <w:spacing w:before="49"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w:t>
            </w:r>
            <w:r>
              <w:rPr>
                <w:rFonts w:hint="eastAsia" w:cs="宋体"/>
                <w:color w:val="auto"/>
                <w:spacing w:val="9"/>
                <w:sz w:val="22"/>
                <w:szCs w:val="22"/>
                <w:lang w:val="en-US" w:eastAsia="zh-CN"/>
              </w:rPr>
              <w:t>4</w:t>
            </w:r>
            <w:r>
              <w:rPr>
                <w:rFonts w:hint="eastAsia" w:ascii="宋体" w:hAnsi="宋体" w:eastAsia="宋体" w:cs="宋体"/>
                <w:color w:val="auto"/>
                <w:spacing w:val="9"/>
                <w:sz w:val="22"/>
                <w:szCs w:val="22"/>
              </w:rPr>
              <w:t>分）</w:t>
            </w:r>
          </w:p>
        </w:tc>
        <w:tc>
          <w:tcPr>
            <w:tcW w:w="4722" w:type="dxa"/>
            <w:noWrap w:val="0"/>
            <w:vAlign w:val="top"/>
          </w:tcPr>
          <w:p>
            <w:pPr>
              <w:pStyle w:val="113"/>
              <w:spacing w:before="53" w:line="249" w:lineRule="auto"/>
              <w:ind w:right="38"/>
              <w:jc w:val="both"/>
              <w:rPr>
                <w:rFonts w:hint="eastAsia" w:ascii="宋体" w:hAnsi="宋体" w:eastAsia="宋体" w:cs="宋体"/>
                <w:color w:val="auto"/>
                <w:sz w:val="22"/>
                <w:szCs w:val="22"/>
              </w:rPr>
            </w:pPr>
            <w:r>
              <w:rPr>
                <w:rFonts w:hint="eastAsia" w:ascii="宋体" w:hAnsi="宋体" w:eastAsia="宋体" w:cs="宋体"/>
                <w:color w:val="auto"/>
                <w:spacing w:val="-5"/>
                <w:sz w:val="22"/>
                <w:szCs w:val="22"/>
              </w:rPr>
              <w:t>近三年（2020年</w:t>
            </w:r>
            <w:r>
              <w:rPr>
                <w:rFonts w:hint="eastAsia" w:cs="宋体"/>
                <w:color w:val="auto"/>
                <w:spacing w:val="-26"/>
                <w:sz w:val="22"/>
                <w:szCs w:val="22"/>
                <w:lang w:val="en-US" w:eastAsia="zh-CN"/>
              </w:rPr>
              <w:t>1</w:t>
            </w:r>
            <w:r>
              <w:rPr>
                <w:rFonts w:hint="eastAsia" w:ascii="宋体" w:hAnsi="宋体" w:eastAsia="宋体" w:cs="宋体"/>
                <w:color w:val="auto"/>
                <w:spacing w:val="-5"/>
                <w:sz w:val="22"/>
                <w:szCs w:val="22"/>
              </w:rPr>
              <w:t>月</w:t>
            </w:r>
            <w:r>
              <w:rPr>
                <w:rFonts w:hint="eastAsia" w:cs="宋体"/>
                <w:color w:val="auto"/>
                <w:spacing w:val="-32"/>
                <w:sz w:val="22"/>
                <w:szCs w:val="22"/>
                <w:lang w:val="en-US" w:eastAsia="zh-CN"/>
              </w:rPr>
              <w:t>1</w:t>
            </w:r>
            <w:r>
              <w:rPr>
                <w:rFonts w:hint="eastAsia" w:ascii="宋体" w:hAnsi="宋体" w:eastAsia="宋体" w:cs="宋体"/>
                <w:color w:val="auto"/>
                <w:spacing w:val="-5"/>
                <w:sz w:val="22"/>
                <w:szCs w:val="22"/>
              </w:rPr>
              <w:t>日至今）总监理工程师承</w:t>
            </w:r>
            <w:r>
              <w:rPr>
                <w:rFonts w:hint="eastAsia" w:ascii="宋体" w:hAnsi="宋体" w:eastAsia="宋体" w:cs="宋体"/>
                <w:color w:val="auto"/>
                <w:spacing w:val="-1"/>
                <w:sz w:val="22"/>
                <w:szCs w:val="22"/>
              </w:rPr>
              <w:t>担过类似或相近</w:t>
            </w:r>
            <w:r>
              <w:rPr>
                <w:rFonts w:hint="eastAsia" w:cs="宋体"/>
                <w:color w:val="auto"/>
                <w:spacing w:val="-1"/>
                <w:sz w:val="22"/>
                <w:szCs w:val="22"/>
                <w:lang w:eastAsia="zh-CN"/>
              </w:rPr>
              <w:t>框架</w:t>
            </w:r>
            <w:r>
              <w:rPr>
                <w:rFonts w:hint="eastAsia" w:ascii="宋体" w:hAnsi="宋体" w:eastAsia="宋体" w:cs="宋体"/>
                <w:color w:val="auto"/>
                <w:spacing w:val="-1"/>
                <w:sz w:val="22"/>
                <w:szCs w:val="22"/>
              </w:rPr>
              <w:t>工程项目（有合同扫描件或中标</w:t>
            </w:r>
            <w:r>
              <w:rPr>
                <w:rFonts w:hint="eastAsia" w:ascii="宋体" w:hAnsi="宋体" w:eastAsia="宋体" w:cs="宋体"/>
                <w:color w:val="auto"/>
                <w:spacing w:val="-3"/>
                <w:sz w:val="22"/>
                <w:szCs w:val="22"/>
              </w:rPr>
              <w:t>通知书扫描件为有效业绩</w:t>
            </w:r>
            <w:r>
              <w:rPr>
                <w:rFonts w:hint="eastAsia" w:ascii="宋体" w:hAnsi="宋体" w:eastAsia="宋体" w:cs="宋体"/>
                <w:color w:val="auto"/>
                <w:spacing w:val="13"/>
                <w:sz w:val="22"/>
                <w:szCs w:val="22"/>
              </w:rPr>
              <w:t>）</w:t>
            </w:r>
            <w:r>
              <w:rPr>
                <w:rFonts w:hint="eastAsia" w:ascii="宋体" w:hAnsi="宋体" w:eastAsia="宋体" w:cs="宋体"/>
                <w:color w:val="auto"/>
                <w:spacing w:val="13"/>
                <w:sz w:val="22"/>
                <w:szCs w:val="22"/>
                <w:lang w:eastAsia="zh-CN"/>
              </w:rPr>
              <w:t>，</w:t>
            </w:r>
            <w:r>
              <w:rPr>
                <w:rFonts w:hint="eastAsia" w:ascii="宋体" w:hAnsi="宋体" w:eastAsia="宋体" w:cs="宋体"/>
                <w:color w:val="auto"/>
                <w:spacing w:val="-3"/>
                <w:sz w:val="22"/>
                <w:szCs w:val="22"/>
              </w:rPr>
              <w:t>一项得</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3"/>
                <w:sz w:val="22"/>
                <w:szCs w:val="22"/>
                <w:lang w:val="en-US" w:eastAsia="zh-CN"/>
              </w:rPr>
              <w:t>2</w:t>
            </w:r>
            <w:r>
              <w:rPr>
                <w:rFonts w:hint="eastAsia" w:ascii="宋体" w:hAnsi="宋体" w:eastAsia="宋体" w:cs="宋体"/>
                <w:color w:val="auto"/>
                <w:spacing w:val="-3"/>
                <w:sz w:val="22"/>
                <w:szCs w:val="22"/>
              </w:rPr>
              <w:t>分，最多</w:t>
            </w:r>
            <w:r>
              <w:rPr>
                <w:rFonts w:hint="eastAsia" w:ascii="宋体" w:hAnsi="宋体" w:eastAsia="宋体" w:cs="宋体"/>
                <w:color w:val="auto"/>
                <w:spacing w:val="-7"/>
                <w:sz w:val="22"/>
                <w:szCs w:val="22"/>
              </w:rPr>
              <w:t>得</w:t>
            </w:r>
            <w:r>
              <w:rPr>
                <w:rFonts w:hint="eastAsia" w:cs="宋体"/>
                <w:color w:val="auto"/>
                <w:spacing w:val="-7"/>
                <w:sz w:val="22"/>
                <w:szCs w:val="22"/>
                <w:lang w:val="en-US" w:eastAsia="zh-CN"/>
              </w:rPr>
              <w:t>4</w:t>
            </w:r>
            <w:r>
              <w:rPr>
                <w:rFonts w:hint="eastAsia" w:ascii="宋体" w:hAnsi="宋体" w:eastAsia="宋体" w:cs="宋体"/>
                <w:color w:val="auto"/>
                <w:spacing w:val="-7"/>
                <w:sz w:val="22"/>
                <w:szCs w:val="22"/>
              </w:rPr>
              <w:t>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253" w:lineRule="auto"/>
              <w:rPr>
                <w:rFonts w:hint="eastAsia" w:ascii="宋体" w:hAnsi="宋体" w:eastAsia="宋体" w:cs="宋体"/>
                <w:color w:val="auto"/>
                <w:sz w:val="21"/>
              </w:rPr>
            </w:pPr>
          </w:p>
          <w:p>
            <w:pPr>
              <w:spacing w:line="254" w:lineRule="auto"/>
              <w:rPr>
                <w:rFonts w:hint="eastAsia" w:ascii="宋体" w:hAnsi="宋体" w:eastAsia="宋体" w:cs="宋体"/>
                <w:color w:val="auto"/>
                <w:sz w:val="21"/>
              </w:rPr>
            </w:pPr>
          </w:p>
          <w:p>
            <w:pPr>
              <w:spacing w:line="254" w:lineRule="auto"/>
              <w:rPr>
                <w:rFonts w:hint="eastAsia" w:ascii="宋体" w:hAnsi="宋体" w:eastAsia="宋体" w:cs="宋体"/>
                <w:color w:val="auto"/>
                <w:sz w:val="21"/>
              </w:rPr>
            </w:pPr>
          </w:p>
          <w:p>
            <w:pPr>
              <w:pStyle w:val="113"/>
              <w:spacing w:before="72" w:line="219" w:lineRule="auto"/>
              <w:ind w:left="150"/>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项目监理机构人员</w:t>
            </w:r>
          </w:p>
          <w:p>
            <w:pPr>
              <w:pStyle w:val="113"/>
              <w:spacing w:before="50" w:line="221" w:lineRule="auto"/>
              <w:ind w:left="566"/>
              <w:rPr>
                <w:rFonts w:hint="eastAsia" w:ascii="宋体" w:hAnsi="宋体" w:eastAsia="宋体" w:cs="宋体"/>
                <w:color w:val="auto"/>
                <w:sz w:val="22"/>
                <w:szCs w:val="22"/>
              </w:rPr>
            </w:pPr>
            <w:r>
              <w:rPr>
                <w:rFonts w:hint="eastAsia" w:ascii="宋体" w:hAnsi="宋体" w:eastAsia="宋体" w:cs="宋体"/>
                <w:color w:val="auto"/>
                <w:spacing w:val="-6"/>
                <w:sz w:val="22"/>
                <w:szCs w:val="22"/>
              </w:rPr>
              <w:t>（12分）</w:t>
            </w:r>
          </w:p>
        </w:tc>
        <w:tc>
          <w:tcPr>
            <w:tcW w:w="4722" w:type="dxa"/>
            <w:noWrap w:val="0"/>
            <w:vAlign w:val="top"/>
          </w:tcPr>
          <w:p>
            <w:pPr>
              <w:pStyle w:val="113"/>
              <w:spacing w:before="57" w:line="248" w:lineRule="auto"/>
              <w:ind w:left="11" w:firstLine="7"/>
              <w:jc w:val="both"/>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2"/>
                <w:sz w:val="22"/>
                <w:szCs w:val="22"/>
              </w:rPr>
              <w:t>专业监理人员数量在满足项目采购需求的基</w:t>
            </w:r>
            <w:r>
              <w:rPr>
                <w:rFonts w:hint="eastAsia" w:ascii="宋体" w:hAnsi="宋体" w:eastAsia="宋体" w:cs="宋体"/>
                <w:color w:val="auto"/>
                <w:spacing w:val="-3"/>
                <w:sz w:val="22"/>
                <w:szCs w:val="22"/>
              </w:rPr>
              <w:t>础上每额外增加</w:t>
            </w:r>
            <w:r>
              <w:rPr>
                <w:rFonts w:hint="eastAsia" w:ascii="宋体" w:hAnsi="宋体" w:eastAsia="宋体" w:cs="宋体"/>
                <w:color w:val="auto"/>
                <w:spacing w:val="-24"/>
                <w:sz w:val="22"/>
                <w:szCs w:val="22"/>
                <w:lang w:val="en-US" w:eastAsia="zh-CN"/>
              </w:rPr>
              <w:t>1</w:t>
            </w:r>
            <w:r>
              <w:rPr>
                <w:rFonts w:hint="eastAsia" w:ascii="宋体" w:hAnsi="宋体" w:eastAsia="宋体" w:cs="宋体"/>
                <w:color w:val="auto"/>
                <w:spacing w:val="-3"/>
                <w:sz w:val="22"/>
                <w:szCs w:val="22"/>
              </w:rPr>
              <w:t>人得</w:t>
            </w:r>
            <w:r>
              <w:rPr>
                <w:rFonts w:hint="eastAsia" w:ascii="宋体" w:hAnsi="宋体" w:eastAsia="宋体" w:cs="宋体"/>
                <w:color w:val="auto"/>
                <w:spacing w:val="-32"/>
                <w:sz w:val="22"/>
                <w:szCs w:val="22"/>
              </w:rPr>
              <w:t xml:space="preserve"> </w:t>
            </w:r>
            <w:r>
              <w:rPr>
                <w:rFonts w:hint="eastAsia" w:cs="宋体"/>
                <w:color w:val="auto"/>
                <w:spacing w:val="-3"/>
                <w:sz w:val="22"/>
                <w:szCs w:val="22"/>
                <w:lang w:val="en-US" w:eastAsia="zh-CN"/>
              </w:rPr>
              <w:t>2</w:t>
            </w:r>
            <w:r>
              <w:rPr>
                <w:rFonts w:hint="eastAsia" w:ascii="宋体" w:hAnsi="宋体" w:eastAsia="宋体" w:cs="宋体"/>
                <w:color w:val="auto"/>
                <w:spacing w:val="-3"/>
                <w:sz w:val="22"/>
                <w:szCs w:val="22"/>
              </w:rPr>
              <w:t>分，最多得</w:t>
            </w:r>
            <w:r>
              <w:rPr>
                <w:rFonts w:hint="eastAsia" w:cs="宋体"/>
                <w:color w:val="auto"/>
                <w:spacing w:val="-46"/>
                <w:sz w:val="22"/>
                <w:szCs w:val="22"/>
                <w:lang w:val="en-US" w:eastAsia="zh-CN"/>
              </w:rPr>
              <w:t>4</w:t>
            </w:r>
            <w:r>
              <w:rPr>
                <w:rFonts w:hint="eastAsia" w:ascii="宋体" w:hAnsi="宋体" w:eastAsia="宋体" w:cs="宋体"/>
                <w:color w:val="auto"/>
                <w:spacing w:val="-3"/>
                <w:sz w:val="22"/>
                <w:szCs w:val="22"/>
              </w:rPr>
              <w:t>分，否则</w:t>
            </w:r>
            <w:r>
              <w:rPr>
                <w:rFonts w:hint="eastAsia" w:ascii="宋体" w:hAnsi="宋体" w:eastAsia="宋体" w:cs="宋体"/>
                <w:color w:val="auto"/>
                <w:spacing w:val="-2"/>
                <w:sz w:val="22"/>
                <w:szCs w:val="22"/>
              </w:rPr>
              <w:t>不得分。</w:t>
            </w:r>
          </w:p>
          <w:p>
            <w:pPr>
              <w:pStyle w:val="113"/>
              <w:spacing w:before="49" w:line="248" w:lineRule="auto"/>
              <w:ind w:left="13" w:firstLine="5"/>
              <w:jc w:val="both"/>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6"/>
                <w:sz w:val="22"/>
                <w:szCs w:val="22"/>
              </w:rPr>
              <w:t>配备的专业监理工程师中，具有相应专业的</w:t>
            </w:r>
            <w:r>
              <w:rPr>
                <w:rFonts w:hint="eastAsia" w:ascii="宋体" w:hAnsi="宋体" w:eastAsia="宋体" w:cs="宋体"/>
                <w:color w:val="auto"/>
                <w:spacing w:val="-8"/>
                <w:sz w:val="22"/>
                <w:szCs w:val="22"/>
              </w:rPr>
              <w:t>中级及以上职称的，每</w:t>
            </w:r>
            <w:r>
              <w:rPr>
                <w:rFonts w:hint="eastAsia" w:ascii="宋体" w:hAnsi="宋体" w:eastAsia="宋体" w:cs="宋体"/>
                <w:color w:val="auto"/>
                <w:spacing w:val="-17"/>
                <w:sz w:val="22"/>
                <w:szCs w:val="22"/>
                <w:lang w:val="en-US" w:eastAsia="zh-CN"/>
              </w:rPr>
              <w:t>1</w:t>
            </w:r>
            <w:r>
              <w:rPr>
                <w:rFonts w:hint="eastAsia" w:ascii="宋体" w:hAnsi="宋体" w:eastAsia="宋体" w:cs="宋体"/>
                <w:color w:val="auto"/>
                <w:spacing w:val="-8"/>
                <w:sz w:val="22"/>
                <w:szCs w:val="22"/>
              </w:rPr>
              <w:t>人得</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8"/>
                <w:sz w:val="22"/>
                <w:szCs w:val="22"/>
                <w:lang w:val="en-US" w:eastAsia="zh-CN"/>
              </w:rPr>
              <w:t>1</w:t>
            </w:r>
            <w:r>
              <w:rPr>
                <w:rFonts w:hint="eastAsia" w:ascii="宋体" w:hAnsi="宋体" w:eastAsia="宋体" w:cs="宋体"/>
                <w:color w:val="auto"/>
                <w:spacing w:val="-8"/>
                <w:sz w:val="22"/>
                <w:szCs w:val="22"/>
              </w:rPr>
              <w:t>分，最多得</w:t>
            </w:r>
            <w:r>
              <w:rPr>
                <w:rFonts w:hint="eastAsia" w:ascii="宋体" w:hAnsi="宋体" w:eastAsia="宋体" w:cs="宋体"/>
                <w:color w:val="auto"/>
                <w:spacing w:val="-53"/>
                <w:sz w:val="22"/>
                <w:szCs w:val="22"/>
              </w:rPr>
              <w:t xml:space="preserve"> </w:t>
            </w:r>
            <w:r>
              <w:rPr>
                <w:rFonts w:hint="eastAsia" w:ascii="宋体" w:hAnsi="宋体" w:eastAsia="宋体" w:cs="宋体"/>
                <w:color w:val="auto"/>
                <w:spacing w:val="-8"/>
                <w:sz w:val="22"/>
                <w:szCs w:val="22"/>
              </w:rPr>
              <w:t>4分。</w:t>
            </w:r>
            <w:r>
              <w:rPr>
                <w:rFonts w:hint="eastAsia" w:ascii="宋体" w:hAnsi="宋体" w:eastAsia="宋体" w:cs="宋体"/>
                <w:color w:val="auto"/>
                <w:sz w:val="22"/>
                <w:szCs w:val="22"/>
              </w:rPr>
              <w:t xml:space="preserve"> </w:t>
            </w:r>
          </w:p>
          <w:p>
            <w:pPr>
              <w:pStyle w:val="113"/>
              <w:spacing w:before="49" w:line="248" w:lineRule="auto"/>
              <w:ind w:left="13" w:firstLine="5"/>
              <w:jc w:val="both"/>
              <w:rPr>
                <w:rFonts w:hint="eastAsia" w:ascii="宋体" w:hAnsi="宋体" w:eastAsia="宋体" w:cs="宋体"/>
                <w:color w:val="auto"/>
                <w:sz w:val="22"/>
                <w:szCs w:val="22"/>
              </w:rPr>
            </w:pPr>
            <w:r>
              <w:rPr>
                <w:rFonts w:hint="eastAsia" w:ascii="宋体" w:hAnsi="宋体" w:eastAsia="宋体" w:cs="宋体"/>
                <w:color w:val="auto"/>
                <w:spacing w:val="-5"/>
                <w:sz w:val="22"/>
                <w:szCs w:val="22"/>
              </w:rPr>
              <w:t>③专业监理工程师承担的工作内容划分清</w:t>
            </w:r>
            <w:r>
              <w:rPr>
                <w:rFonts w:hint="eastAsia" w:ascii="宋体" w:hAnsi="宋体" w:eastAsia="宋体" w:cs="宋体"/>
                <w:color w:val="auto"/>
                <w:spacing w:val="-6"/>
                <w:sz w:val="22"/>
                <w:szCs w:val="22"/>
              </w:rPr>
              <w:t>晰的</w:t>
            </w:r>
            <w:r>
              <w:rPr>
                <w:rFonts w:hint="eastAsia" w:ascii="宋体" w:hAnsi="宋体" w:eastAsia="宋体" w:cs="宋体"/>
                <w:color w:val="auto"/>
                <w:spacing w:val="-5"/>
                <w:sz w:val="22"/>
                <w:szCs w:val="22"/>
              </w:rPr>
              <w:t>得</w:t>
            </w:r>
            <w:r>
              <w:rPr>
                <w:rFonts w:hint="eastAsia" w:ascii="宋体" w:hAnsi="宋体" w:eastAsia="宋体" w:cs="宋体"/>
                <w:color w:val="auto"/>
                <w:spacing w:val="-43"/>
                <w:sz w:val="22"/>
                <w:szCs w:val="22"/>
              </w:rPr>
              <w:t xml:space="preserve"> </w:t>
            </w:r>
            <w:r>
              <w:rPr>
                <w:rFonts w:hint="eastAsia" w:cs="宋体"/>
                <w:color w:val="auto"/>
                <w:spacing w:val="-5"/>
                <w:sz w:val="22"/>
                <w:szCs w:val="22"/>
                <w:lang w:val="en-US" w:eastAsia="zh-CN"/>
              </w:rPr>
              <w:t>4</w:t>
            </w:r>
            <w:r>
              <w:rPr>
                <w:rFonts w:hint="eastAsia" w:ascii="宋体" w:hAnsi="宋体" w:eastAsia="宋体" w:cs="宋体"/>
                <w:color w:val="auto"/>
                <w:spacing w:val="-5"/>
                <w:sz w:val="22"/>
                <w:szCs w:val="22"/>
              </w:rPr>
              <w:t>分，否则不得分。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390" w:lineRule="auto"/>
              <w:rPr>
                <w:rFonts w:hint="eastAsia" w:ascii="宋体" w:hAnsi="宋体" w:eastAsia="宋体" w:cs="宋体"/>
                <w:color w:val="auto"/>
                <w:sz w:val="21"/>
                <w:highlight w:val="none"/>
              </w:rPr>
            </w:pPr>
          </w:p>
          <w:p>
            <w:pPr>
              <w:pStyle w:val="113"/>
              <w:spacing w:before="49" w:line="221" w:lineRule="auto"/>
              <w:ind w:left="6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设备仪器</w:t>
            </w:r>
          </w:p>
          <w:p>
            <w:pPr>
              <w:pStyle w:val="113"/>
              <w:spacing w:before="49" w:line="221" w:lineRule="auto"/>
              <w:ind w:left="621"/>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w:t>
            </w:r>
            <w:r>
              <w:rPr>
                <w:rFonts w:hint="eastAsia" w:cs="宋体"/>
                <w:color w:val="auto"/>
                <w:spacing w:val="9"/>
                <w:sz w:val="22"/>
                <w:szCs w:val="22"/>
                <w:highlight w:val="none"/>
                <w:lang w:val="en-US" w:eastAsia="zh-CN"/>
              </w:rPr>
              <w:t>5</w:t>
            </w:r>
            <w:r>
              <w:rPr>
                <w:rFonts w:hint="eastAsia" w:ascii="宋体" w:hAnsi="宋体" w:eastAsia="宋体" w:cs="宋体"/>
                <w:color w:val="auto"/>
                <w:spacing w:val="9"/>
                <w:sz w:val="22"/>
                <w:szCs w:val="22"/>
                <w:highlight w:val="none"/>
              </w:rPr>
              <w:t>分）</w:t>
            </w:r>
          </w:p>
        </w:tc>
        <w:tc>
          <w:tcPr>
            <w:tcW w:w="4722" w:type="dxa"/>
            <w:noWrap w:val="0"/>
            <w:vAlign w:val="top"/>
          </w:tcPr>
          <w:p>
            <w:pPr>
              <w:pStyle w:val="113"/>
              <w:spacing w:before="154" w:line="251" w:lineRule="auto"/>
              <w:ind w:left="96" w:right="9"/>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针对招标工程特点，配备的完善的监理设备、仪器满足招标工程要求，台套数大于等于</w:t>
            </w:r>
            <w:r>
              <w:rPr>
                <w:rFonts w:hint="eastAsia" w:ascii="宋体" w:hAnsi="宋体" w:eastAsia="宋体" w:cs="宋体"/>
                <w:color w:val="auto"/>
                <w:spacing w:val="-1"/>
                <w:sz w:val="22"/>
                <w:szCs w:val="22"/>
                <w:highlight w:val="none"/>
                <w:lang w:val="en-US" w:eastAsia="zh-CN"/>
              </w:rPr>
              <w:t>10</w:t>
            </w:r>
            <w:r>
              <w:rPr>
                <w:rFonts w:hint="eastAsia" w:ascii="宋体" w:hAnsi="宋体" w:eastAsia="宋体" w:cs="宋体"/>
                <w:color w:val="auto"/>
                <w:spacing w:val="-1"/>
                <w:sz w:val="22"/>
                <w:szCs w:val="22"/>
                <w:highlight w:val="none"/>
              </w:rPr>
              <w:t>台套(附清单)的得</w:t>
            </w:r>
            <w:r>
              <w:rPr>
                <w:rFonts w:hint="eastAsia"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分，否则不得分</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针对工程监理特点，配备相应造价软件、档案管理、检测仪器满足</w:t>
            </w:r>
            <w:r>
              <w:rPr>
                <w:rFonts w:hint="eastAsia" w:ascii="宋体" w:hAnsi="宋体" w:eastAsia="宋体" w:cs="宋体"/>
                <w:color w:val="auto"/>
                <w:spacing w:val="-1"/>
                <w:sz w:val="22"/>
                <w:szCs w:val="22"/>
                <w:highlight w:val="none"/>
                <w:lang w:val="en-US" w:eastAsia="zh-CN"/>
              </w:rPr>
              <w:t>项目</w:t>
            </w:r>
            <w:r>
              <w:rPr>
                <w:rFonts w:hint="eastAsia" w:ascii="宋体" w:hAnsi="宋体" w:eastAsia="宋体" w:cs="宋体"/>
                <w:color w:val="auto"/>
                <w:spacing w:val="-1"/>
                <w:sz w:val="22"/>
                <w:szCs w:val="22"/>
                <w:highlight w:val="none"/>
              </w:rPr>
              <w:t>要求(附清单)的得</w:t>
            </w:r>
            <w:r>
              <w:rPr>
                <w:rFonts w:hint="eastAsia"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rPr>
              <w:t>分，</w:t>
            </w:r>
            <w:r>
              <w:rPr>
                <w:rFonts w:hint="eastAsia" w:ascii="宋体" w:hAnsi="宋体" w:eastAsia="宋体" w:cs="宋体"/>
                <w:color w:val="auto"/>
                <w:spacing w:val="-1"/>
                <w:sz w:val="22"/>
                <w:szCs w:val="22"/>
                <w:highlight w:val="none"/>
                <w:lang w:val="en-US" w:eastAsia="zh-CN"/>
              </w:rPr>
              <w:t>否则</w:t>
            </w:r>
            <w:r>
              <w:rPr>
                <w:rFonts w:hint="eastAsia" w:ascii="宋体" w:hAnsi="宋体" w:eastAsia="宋体" w:cs="宋体"/>
                <w:color w:val="auto"/>
                <w:spacing w:val="-1"/>
                <w:sz w:val="22"/>
                <w:szCs w:val="22"/>
                <w:highlight w:val="none"/>
              </w:rPr>
              <w:t>不</w:t>
            </w:r>
            <w:r>
              <w:rPr>
                <w:rFonts w:hint="eastAsia" w:ascii="宋体" w:hAnsi="宋体" w:eastAsia="宋体" w:cs="宋体"/>
                <w:color w:val="auto"/>
                <w:spacing w:val="-3"/>
                <w:sz w:val="22"/>
                <w:szCs w:val="22"/>
                <w:highlight w:val="none"/>
              </w:rPr>
              <w:t>得分。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restart"/>
            <w:noWrap w:val="0"/>
            <w:vAlign w:val="top"/>
          </w:tcPr>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8" w:lineRule="auto"/>
              <w:rPr>
                <w:rFonts w:hint="eastAsia" w:ascii="宋体" w:hAnsi="宋体" w:eastAsia="宋体" w:cs="宋体"/>
                <w:color w:val="auto"/>
                <w:sz w:val="21"/>
              </w:rPr>
            </w:pPr>
          </w:p>
          <w:p>
            <w:pPr>
              <w:spacing w:line="259" w:lineRule="auto"/>
              <w:rPr>
                <w:rFonts w:hint="eastAsia" w:ascii="宋体" w:hAnsi="宋体" w:eastAsia="宋体" w:cs="宋体"/>
                <w:color w:val="auto"/>
                <w:sz w:val="21"/>
              </w:rPr>
            </w:pPr>
          </w:p>
          <w:p>
            <w:pPr>
              <w:pStyle w:val="113"/>
              <w:spacing w:before="72" w:line="241" w:lineRule="auto"/>
              <w:ind w:left="417" w:right="69" w:hanging="341"/>
              <w:jc w:val="center"/>
              <w:rPr>
                <w:rFonts w:hint="eastAsia" w:ascii="宋体" w:hAnsi="宋体" w:eastAsia="宋体" w:cs="宋体"/>
                <w:color w:val="auto"/>
                <w:spacing w:val="-3"/>
                <w:sz w:val="22"/>
                <w:szCs w:val="22"/>
              </w:rPr>
            </w:pPr>
            <w:r>
              <w:rPr>
                <w:rFonts w:hint="eastAsia" w:ascii="宋体" w:hAnsi="宋体" w:eastAsia="宋体" w:cs="宋体"/>
                <w:color w:val="auto"/>
                <w:spacing w:val="-3"/>
                <w:sz w:val="22"/>
                <w:szCs w:val="22"/>
              </w:rPr>
              <w:t>技术标</w:t>
            </w:r>
          </w:p>
          <w:p>
            <w:pPr>
              <w:pStyle w:val="113"/>
              <w:spacing w:before="72" w:line="241" w:lineRule="auto"/>
              <w:ind w:left="417" w:right="69" w:hanging="341"/>
              <w:jc w:val="center"/>
              <w:rPr>
                <w:rFonts w:hint="eastAsia" w:ascii="宋体" w:hAnsi="宋体" w:eastAsia="宋体" w:cs="宋体"/>
                <w:color w:val="auto"/>
                <w:sz w:val="22"/>
                <w:szCs w:val="22"/>
              </w:rPr>
            </w:pPr>
            <w:r>
              <w:rPr>
                <w:rFonts w:hint="eastAsia" w:ascii="宋体" w:hAnsi="宋体" w:eastAsia="宋体" w:cs="宋体"/>
                <w:color w:val="auto"/>
                <w:spacing w:val="-3"/>
                <w:sz w:val="22"/>
                <w:szCs w:val="22"/>
              </w:rPr>
              <w:t>评</w:t>
            </w:r>
            <w:r>
              <w:rPr>
                <w:rFonts w:hint="eastAsia" w:ascii="宋体" w:hAnsi="宋体" w:eastAsia="宋体" w:cs="宋体"/>
                <w:color w:val="auto"/>
                <w:sz w:val="22"/>
                <w:szCs w:val="22"/>
              </w:rPr>
              <w:t>审</w:t>
            </w:r>
          </w:p>
        </w:tc>
        <w:tc>
          <w:tcPr>
            <w:tcW w:w="2043" w:type="dxa"/>
            <w:noWrap w:val="0"/>
            <w:vAlign w:val="top"/>
          </w:tcPr>
          <w:p>
            <w:pPr>
              <w:spacing w:line="307" w:lineRule="auto"/>
              <w:rPr>
                <w:rFonts w:hint="eastAsia" w:ascii="宋体" w:hAnsi="宋体" w:eastAsia="宋体" w:cs="宋体"/>
                <w:color w:val="auto"/>
                <w:sz w:val="21"/>
              </w:rPr>
            </w:pPr>
          </w:p>
          <w:p>
            <w:pPr>
              <w:spacing w:line="308" w:lineRule="auto"/>
              <w:rPr>
                <w:rFonts w:hint="eastAsia" w:ascii="宋体" w:hAnsi="宋体" w:eastAsia="宋体" w:cs="宋体"/>
                <w:color w:val="auto"/>
                <w:sz w:val="21"/>
              </w:rPr>
            </w:pPr>
          </w:p>
          <w:p>
            <w:pPr>
              <w:spacing w:line="308" w:lineRule="auto"/>
              <w:rPr>
                <w:rFonts w:hint="eastAsia" w:ascii="宋体" w:hAnsi="宋体" w:eastAsia="宋体" w:cs="宋体"/>
                <w:color w:val="auto"/>
                <w:sz w:val="21"/>
              </w:rPr>
            </w:pPr>
          </w:p>
          <w:p>
            <w:pPr>
              <w:pStyle w:val="113"/>
              <w:spacing w:before="72" w:line="221" w:lineRule="auto"/>
              <w:ind w:left="150"/>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项目质量控制方案</w:t>
            </w:r>
          </w:p>
          <w:p>
            <w:pPr>
              <w:pStyle w:val="113"/>
              <w:spacing w:before="48" w:line="221" w:lineRule="auto"/>
              <w:ind w:left="566"/>
              <w:rPr>
                <w:rFonts w:hint="eastAsia" w:ascii="宋体" w:hAnsi="宋体" w:eastAsia="宋体" w:cs="宋体"/>
                <w:color w:val="auto"/>
                <w:sz w:val="22"/>
                <w:szCs w:val="22"/>
              </w:rPr>
            </w:pPr>
            <w:r>
              <w:rPr>
                <w:rFonts w:hint="eastAsia" w:ascii="宋体" w:hAnsi="宋体" w:eastAsia="宋体" w:cs="宋体"/>
                <w:color w:val="auto"/>
                <w:spacing w:val="-6"/>
                <w:sz w:val="22"/>
                <w:szCs w:val="22"/>
              </w:rPr>
              <w:t>（</w:t>
            </w:r>
            <w:r>
              <w:rPr>
                <w:rFonts w:hint="eastAsia" w:cs="宋体"/>
                <w:color w:val="auto"/>
                <w:spacing w:val="-6"/>
                <w:sz w:val="22"/>
                <w:szCs w:val="22"/>
                <w:lang w:val="en-US" w:eastAsia="zh-CN"/>
              </w:rPr>
              <w:t>20</w:t>
            </w:r>
            <w:r>
              <w:rPr>
                <w:rFonts w:hint="eastAsia" w:ascii="宋体" w:hAnsi="宋体" w:eastAsia="宋体" w:cs="宋体"/>
                <w:color w:val="auto"/>
                <w:spacing w:val="-6"/>
                <w:sz w:val="22"/>
                <w:szCs w:val="22"/>
              </w:rPr>
              <w:t>分）</w:t>
            </w:r>
          </w:p>
        </w:tc>
        <w:tc>
          <w:tcPr>
            <w:tcW w:w="4722" w:type="dxa"/>
            <w:noWrap w:val="0"/>
            <w:vAlign w:val="top"/>
          </w:tcPr>
          <w:p>
            <w:pPr>
              <w:pStyle w:val="113"/>
              <w:spacing w:before="65" w:line="248" w:lineRule="auto"/>
              <w:ind w:left="14" w:firstLine="14"/>
              <w:jc w:val="both"/>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2"/>
                <w:sz w:val="22"/>
                <w:szCs w:val="22"/>
              </w:rPr>
              <w:t>质量控制内容，基本程序（包括质量事故的处</w:t>
            </w:r>
            <w:r>
              <w:rPr>
                <w:rFonts w:hint="eastAsia" w:ascii="宋体" w:hAnsi="宋体" w:eastAsia="宋体" w:cs="宋体"/>
                <w:color w:val="auto"/>
                <w:spacing w:val="-1"/>
                <w:sz w:val="22"/>
                <w:szCs w:val="22"/>
              </w:rPr>
              <w:t>理程序）及预控措施切实可行得</w:t>
            </w:r>
            <w:r>
              <w:rPr>
                <w:rFonts w:hint="eastAsia" w:ascii="宋体" w:hAnsi="宋体" w:eastAsia="宋体" w:cs="宋体"/>
                <w:color w:val="auto"/>
                <w:spacing w:val="-46"/>
                <w:sz w:val="22"/>
                <w:szCs w:val="22"/>
              </w:rPr>
              <w:t xml:space="preserve"> </w:t>
            </w:r>
            <w:r>
              <w:rPr>
                <w:rFonts w:hint="eastAsia" w:cs="宋体"/>
                <w:color w:val="auto"/>
                <w:spacing w:val="-46"/>
                <w:sz w:val="22"/>
                <w:szCs w:val="22"/>
                <w:lang w:val="en-US" w:eastAsia="zh-CN"/>
              </w:rPr>
              <w:t>5</w:t>
            </w:r>
            <w:r>
              <w:rPr>
                <w:rFonts w:hint="eastAsia" w:ascii="宋体" w:hAnsi="宋体" w:eastAsia="宋体" w:cs="宋体"/>
                <w:color w:val="auto"/>
                <w:spacing w:val="-1"/>
                <w:sz w:val="22"/>
                <w:szCs w:val="22"/>
              </w:rPr>
              <w:t>分，否则酌情</w:t>
            </w:r>
            <w:r>
              <w:rPr>
                <w:rFonts w:hint="eastAsia" w:ascii="宋体" w:hAnsi="宋体" w:eastAsia="宋体" w:cs="宋体"/>
                <w:color w:val="auto"/>
                <w:spacing w:val="-4"/>
                <w:sz w:val="22"/>
                <w:szCs w:val="22"/>
              </w:rPr>
              <w:t>扣分。</w:t>
            </w:r>
          </w:p>
          <w:p>
            <w:pPr>
              <w:pStyle w:val="113"/>
              <w:spacing w:before="48" w:line="220" w:lineRule="auto"/>
              <w:ind w:left="8"/>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1"/>
                <w:sz w:val="22"/>
                <w:szCs w:val="22"/>
              </w:rPr>
              <w:t>质量控制方法先进得</w:t>
            </w:r>
            <w:r>
              <w:rPr>
                <w:rFonts w:hint="eastAsia" w:ascii="宋体" w:hAnsi="宋体" w:eastAsia="宋体" w:cs="宋体"/>
                <w:color w:val="auto"/>
                <w:spacing w:val="-38"/>
                <w:sz w:val="22"/>
                <w:szCs w:val="22"/>
              </w:rPr>
              <w:t xml:space="preserve"> </w:t>
            </w:r>
            <w:r>
              <w:rPr>
                <w:rFonts w:hint="eastAsia" w:cs="宋体"/>
                <w:color w:val="auto"/>
                <w:spacing w:val="-1"/>
                <w:sz w:val="22"/>
                <w:szCs w:val="22"/>
                <w:lang w:val="en-US" w:eastAsia="zh-CN"/>
              </w:rPr>
              <w:t>5</w:t>
            </w:r>
            <w:r>
              <w:rPr>
                <w:rFonts w:hint="eastAsia" w:ascii="宋体" w:hAnsi="宋体" w:eastAsia="宋体" w:cs="宋体"/>
                <w:color w:val="auto"/>
                <w:spacing w:val="-1"/>
                <w:sz w:val="22"/>
                <w:szCs w:val="22"/>
              </w:rPr>
              <w:t>分，否则酌情扣分。</w:t>
            </w:r>
          </w:p>
          <w:p>
            <w:pPr>
              <w:pStyle w:val="113"/>
              <w:spacing w:before="50" w:line="241" w:lineRule="auto"/>
              <w:ind w:left="13" w:hanging="1"/>
              <w:rPr>
                <w:rFonts w:hint="eastAsia" w:ascii="宋体" w:hAnsi="宋体" w:eastAsia="宋体" w:cs="宋体"/>
                <w:color w:val="auto"/>
                <w:sz w:val="22"/>
                <w:szCs w:val="22"/>
              </w:rPr>
            </w:pPr>
            <w:r>
              <w:rPr>
                <w:rFonts w:hint="eastAsia" w:ascii="宋体" w:hAnsi="宋体" w:eastAsia="宋体" w:cs="宋体"/>
                <w:color w:val="auto"/>
                <w:spacing w:val="-5"/>
                <w:sz w:val="22"/>
                <w:szCs w:val="22"/>
              </w:rPr>
              <w:t>③</w:t>
            </w:r>
            <w:r>
              <w:rPr>
                <w:rFonts w:hint="eastAsia" w:ascii="宋体" w:hAnsi="宋体" w:eastAsia="宋体" w:cs="宋体"/>
                <w:color w:val="auto"/>
                <w:spacing w:val="-2"/>
                <w:sz w:val="22"/>
                <w:szCs w:val="22"/>
              </w:rPr>
              <w:t>关键部位、关键工序质量控制措施科学合理得</w:t>
            </w:r>
            <w:r>
              <w:rPr>
                <w:rFonts w:hint="eastAsia" w:ascii="宋体" w:hAnsi="宋体" w:eastAsia="宋体" w:cs="宋体"/>
                <w:color w:val="auto"/>
                <w:spacing w:val="-1"/>
                <w:sz w:val="22"/>
                <w:szCs w:val="22"/>
              </w:rPr>
              <w:t>5 分，否则酌情扣分。</w:t>
            </w:r>
          </w:p>
          <w:p>
            <w:pPr>
              <w:pStyle w:val="113"/>
              <w:spacing w:before="49" w:line="230" w:lineRule="auto"/>
              <w:ind w:left="14" w:hanging="7"/>
              <w:rPr>
                <w:rFonts w:hint="eastAsia" w:ascii="宋体" w:hAnsi="宋体" w:eastAsia="宋体" w:cs="宋体"/>
                <w:color w:val="auto"/>
                <w:sz w:val="22"/>
                <w:szCs w:val="22"/>
              </w:rPr>
            </w:pPr>
            <w:r>
              <w:rPr>
                <w:rFonts w:hint="eastAsia" w:ascii="宋体" w:hAnsi="宋体" w:eastAsia="宋体" w:cs="宋体"/>
                <w:color w:val="auto"/>
                <w:spacing w:val="-2"/>
                <w:sz w:val="22"/>
                <w:szCs w:val="22"/>
              </w:rPr>
              <w:t>④技术难点质量控制措施合理可行得</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2"/>
                <w:sz w:val="22"/>
                <w:szCs w:val="22"/>
              </w:rPr>
              <w:t>5分，否则</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酌情扣分。</w:t>
            </w:r>
          </w:p>
        </w:tc>
        <w:tc>
          <w:tcPr>
            <w:tcW w:w="1584" w:type="dxa"/>
            <w:vMerge w:val="restart"/>
            <w:noWrap w:val="0"/>
            <w:vAlign w:val="center"/>
          </w:tcPr>
          <w:p>
            <w:pPr>
              <w:spacing w:before="67" w:line="181" w:lineRule="auto"/>
              <w:jc w:val="center"/>
              <w:rPr>
                <w:rFonts w:hint="eastAsia" w:ascii="宋体" w:hAnsi="宋体" w:eastAsia="宋体" w:cs="宋体"/>
                <w:color w:val="auto"/>
                <w:sz w:val="22"/>
                <w:szCs w:val="22"/>
              </w:rPr>
            </w:pPr>
            <w:r>
              <w:rPr>
                <w:rFonts w:hint="eastAsia" w:ascii="宋体" w:hAnsi="宋体" w:cs="宋体"/>
                <w:color w:val="auto"/>
                <w:spacing w:val="-2"/>
                <w:sz w:val="22"/>
                <w:szCs w:val="22"/>
                <w:lang w:val="en-US" w:eastAsia="zh-CN"/>
              </w:rPr>
              <w:t>6</w:t>
            </w:r>
            <w:r>
              <w:rPr>
                <w:rFonts w:hint="eastAsia" w:ascii="宋体" w:hAnsi="宋体" w:eastAsia="宋体" w:cs="宋体"/>
                <w:color w:val="auto"/>
                <w:spacing w:val="-2"/>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308" w:lineRule="auto"/>
              <w:rPr>
                <w:rFonts w:hint="eastAsia" w:ascii="宋体" w:hAnsi="宋体" w:eastAsia="宋体" w:cs="宋体"/>
                <w:color w:val="auto"/>
                <w:sz w:val="21"/>
              </w:rPr>
            </w:pPr>
          </w:p>
          <w:p>
            <w:pPr>
              <w:pStyle w:val="113"/>
              <w:spacing w:before="71" w:line="221" w:lineRule="auto"/>
              <w:ind w:left="150"/>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项目进度控制方案</w:t>
            </w:r>
          </w:p>
          <w:p>
            <w:pPr>
              <w:pStyle w:val="113"/>
              <w:spacing w:before="48"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（8分）</w:t>
            </w:r>
          </w:p>
        </w:tc>
        <w:tc>
          <w:tcPr>
            <w:tcW w:w="4722" w:type="dxa"/>
            <w:noWrap w:val="0"/>
            <w:vAlign w:val="top"/>
          </w:tcPr>
          <w:p>
            <w:pPr>
              <w:pStyle w:val="113"/>
              <w:spacing w:before="70" w:line="241" w:lineRule="auto"/>
              <w:ind w:left="13" w:firstLine="16"/>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3"/>
                <w:sz w:val="22"/>
                <w:szCs w:val="22"/>
              </w:rPr>
              <w:t>项目总控制进度计划目标合理得</w:t>
            </w:r>
            <w:r>
              <w:rPr>
                <w:rFonts w:hint="eastAsia" w:ascii="宋体" w:hAnsi="宋体" w:eastAsia="宋体" w:cs="宋体"/>
                <w:color w:val="auto"/>
                <w:spacing w:val="-30"/>
                <w:sz w:val="22"/>
                <w:szCs w:val="22"/>
                <w:lang w:val="en-US" w:eastAsia="zh-CN"/>
              </w:rPr>
              <w:t>3</w:t>
            </w:r>
            <w:r>
              <w:rPr>
                <w:rFonts w:hint="eastAsia" w:ascii="宋体" w:hAnsi="宋体" w:eastAsia="宋体" w:cs="宋体"/>
                <w:color w:val="auto"/>
                <w:spacing w:val="-3"/>
                <w:sz w:val="22"/>
                <w:szCs w:val="22"/>
              </w:rPr>
              <w:t>分，否则酌情扣分。</w:t>
            </w:r>
          </w:p>
          <w:p>
            <w:pPr>
              <w:pStyle w:val="113"/>
              <w:spacing w:before="49" w:line="228" w:lineRule="auto"/>
              <w:ind w:left="17" w:hanging="9"/>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1"/>
                <w:sz w:val="22"/>
                <w:szCs w:val="22"/>
              </w:rPr>
              <w:t>进度控制方法、措施和减少工程延期发生的防</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范对策可行得</w:t>
            </w:r>
            <w:r>
              <w:rPr>
                <w:rFonts w:hint="eastAsia" w:ascii="宋体" w:hAnsi="宋体" w:eastAsia="宋体" w:cs="宋体"/>
                <w:color w:val="auto"/>
                <w:spacing w:val="-37"/>
                <w:sz w:val="22"/>
                <w:szCs w:val="22"/>
              </w:rPr>
              <w:t xml:space="preserve"> </w:t>
            </w:r>
            <w:r>
              <w:rPr>
                <w:rFonts w:hint="eastAsia" w:ascii="宋体" w:hAnsi="宋体" w:eastAsia="宋体" w:cs="宋体"/>
                <w:color w:val="auto"/>
                <w:spacing w:val="-2"/>
                <w:sz w:val="22"/>
                <w:szCs w:val="22"/>
              </w:rPr>
              <w:t>5分，否则酌情扣分。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288" w:lineRule="auto"/>
              <w:rPr>
                <w:rFonts w:hint="eastAsia" w:ascii="宋体" w:hAnsi="宋体" w:eastAsia="宋体" w:cs="宋体"/>
                <w:color w:val="auto"/>
                <w:sz w:val="21"/>
              </w:rPr>
            </w:pPr>
          </w:p>
          <w:p>
            <w:pPr>
              <w:pStyle w:val="113"/>
              <w:spacing w:before="72" w:line="219" w:lineRule="auto"/>
              <w:ind w:left="150"/>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项目造价控制方案</w:t>
            </w:r>
          </w:p>
          <w:p>
            <w:pPr>
              <w:pStyle w:val="113"/>
              <w:spacing w:before="51"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w:t>
            </w:r>
            <w:r>
              <w:rPr>
                <w:rFonts w:hint="eastAsia" w:cs="宋体"/>
                <w:color w:val="auto"/>
                <w:spacing w:val="9"/>
                <w:sz w:val="22"/>
                <w:szCs w:val="22"/>
                <w:lang w:val="en-US" w:eastAsia="zh-CN"/>
              </w:rPr>
              <w:t>9</w:t>
            </w:r>
            <w:r>
              <w:rPr>
                <w:rFonts w:hint="eastAsia" w:ascii="宋体" w:hAnsi="宋体" w:eastAsia="宋体" w:cs="宋体"/>
                <w:color w:val="auto"/>
                <w:spacing w:val="9"/>
                <w:sz w:val="22"/>
                <w:szCs w:val="22"/>
              </w:rPr>
              <w:t>分）</w:t>
            </w:r>
          </w:p>
        </w:tc>
        <w:tc>
          <w:tcPr>
            <w:tcW w:w="4722" w:type="dxa"/>
            <w:noWrap w:val="0"/>
            <w:vAlign w:val="top"/>
          </w:tcPr>
          <w:p>
            <w:pPr>
              <w:pStyle w:val="113"/>
              <w:spacing w:before="50"/>
              <w:ind w:left="11" w:right="32" w:firstLine="18"/>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4"/>
                <w:sz w:val="22"/>
                <w:szCs w:val="22"/>
              </w:rPr>
              <w:t>针对工程的实际，造价控制程序合理、可行</w:t>
            </w:r>
            <w:r>
              <w:rPr>
                <w:rFonts w:hint="eastAsia" w:ascii="宋体" w:hAnsi="宋体" w:eastAsia="宋体" w:cs="宋体"/>
                <w:color w:val="auto"/>
                <w:spacing w:val="-4"/>
                <w:sz w:val="22"/>
                <w:szCs w:val="22"/>
                <w:lang w:eastAsia="zh-CN"/>
              </w:rPr>
              <w:t>，</w:t>
            </w:r>
            <w:r>
              <w:rPr>
                <w:rFonts w:hint="eastAsia" w:ascii="宋体" w:hAnsi="宋体" w:eastAsia="宋体" w:cs="宋体"/>
                <w:color w:val="auto"/>
                <w:spacing w:val="-1"/>
                <w:sz w:val="22"/>
                <w:szCs w:val="22"/>
              </w:rPr>
              <w:t>造价控制有具体措施得</w:t>
            </w:r>
            <w:r>
              <w:rPr>
                <w:rFonts w:hint="eastAsia" w:ascii="宋体" w:hAnsi="宋体" w:eastAsia="宋体" w:cs="宋体"/>
                <w:color w:val="auto"/>
                <w:spacing w:val="-42"/>
                <w:sz w:val="22"/>
                <w:szCs w:val="22"/>
              </w:rPr>
              <w:t xml:space="preserve"> </w:t>
            </w:r>
            <w:r>
              <w:rPr>
                <w:rFonts w:hint="eastAsia" w:cs="宋体"/>
                <w:color w:val="auto"/>
                <w:spacing w:val="-42"/>
                <w:sz w:val="22"/>
                <w:szCs w:val="22"/>
                <w:lang w:val="en-US" w:eastAsia="zh-CN"/>
              </w:rPr>
              <w:t>4</w:t>
            </w:r>
            <w:r>
              <w:rPr>
                <w:rFonts w:hint="eastAsia" w:ascii="宋体" w:hAnsi="宋体" w:eastAsia="宋体" w:cs="宋体"/>
                <w:color w:val="auto"/>
                <w:spacing w:val="-1"/>
                <w:sz w:val="22"/>
                <w:szCs w:val="22"/>
              </w:rPr>
              <w:t>分，否则酌情扣分。</w:t>
            </w:r>
          </w:p>
          <w:p>
            <w:pPr>
              <w:pStyle w:val="113"/>
              <w:spacing w:before="52"/>
              <w:ind w:left="11" w:hanging="3"/>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1"/>
                <w:sz w:val="22"/>
                <w:szCs w:val="22"/>
              </w:rPr>
              <w:t>工程造价目标风险分析全面，防范性对策有针</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对性得</w:t>
            </w:r>
            <w:r>
              <w:rPr>
                <w:rFonts w:hint="eastAsia" w:ascii="宋体" w:hAnsi="宋体" w:eastAsia="宋体" w:cs="宋体"/>
                <w:color w:val="auto"/>
                <w:spacing w:val="-36"/>
                <w:sz w:val="22"/>
                <w:szCs w:val="22"/>
              </w:rPr>
              <w:t xml:space="preserve"> </w:t>
            </w:r>
            <w:r>
              <w:rPr>
                <w:rFonts w:hint="eastAsia" w:cs="宋体"/>
                <w:color w:val="auto"/>
                <w:spacing w:val="-36"/>
                <w:sz w:val="22"/>
                <w:szCs w:val="22"/>
                <w:lang w:val="en-US" w:eastAsia="zh-CN"/>
              </w:rPr>
              <w:t>5</w:t>
            </w:r>
            <w:r>
              <w:rPr>
                <w:rFonts w:hint="eastAsia" w:ascii="宋体" w:hAnsi="宋体" w:eastAsia="宋体" w:cs="宋体"/>
                <w:color w:val="auto"/>
                <w:spacing w:val="-2"/>
                <w:sz w:val="22"/>
                <w:szCs w:val="22"/>
              </w:rPr>
              <w:t>分，否则酌情扣分。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center"/>
          </w:tcPr>
          <w:p>
            <w:pPr>
              <w:pStyle w:val="113"/>
              <w:spacing w:before="202" w:line="220" w:lineRule="auto"/>
              <w:ind w:left="40"/>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项目安全文明施工</w:t>
            </w:r>
          </w:p>
          <w:p>
            <w:pPr>
              <w:pStyle w:val="113"/>
              <w:spacing w:before="202" w:line="220" w:lineRule="auto"/>
              <w:ind w:left="40"/>
              <w:jc w:val="center"/>
              <w:rPr>
                <w:rFonts w:hint="eastAsia" w:ascii="宋体" w:hAnsi="宋体" w:eastAsia="宋体" w:cs="宋体"/>
                <w:color w:val="auto"/>
                <w:sz w:val="22"/>
                <w:szCs w:val="22"/>
              </w:rPr>
            </w:pPr>
            <w:r>
              <w:rPr>
                <w:rFonts w:hint="eastAsia" w:ascii="宋体" w:hAnsi="宋体" w:eastAsia="宋体" w:cs="宋体"/>
                <w:color w:val="auto"/>
                <w:spacing w:val="-2"/>
                <w:sz w:val="22"/>
                <w:szCs w:val="22"/>
              </w:rPr>
              <w:t>控</w:t>
            </w:r>
            <w:r>
              <w:rPr>
                <w:rFonts w:hint="eastAsia" w:ascii="宋体" w:hAnsi="宋体" w:eastAsia="宋体" w:cs="宋体"/>
                <w:color w:val="auto"/>
                <w:spacing w:val="-3"/>
                <w:sz w:val="22"/>
                <w:szCs w:val="22"/>
              </w:rPr>
              <w:t>制方案</w:t>
            </w:r>
          </w:p>
          <w:p>
            <w:pPr>
              <w:pStyle w:val="113"/>
              <w:spacing w:before="48" w:line="221" w:lineRule="auto"/>
              <w:ind w:left="621"/>
              <w:jc w:val="both"/>
              <w:rPr>
                <w:rFonts w:hint="eastAsia" w:ascii="宋体" w:hAnsi="宋体" w:eastAsia="宋体" w:cs="宋体"/>
                <w:color w:val="auto"/>
                <w:sz w:val="22"/>
                <w:szCs w:val="22"/>
              </w:rPr>
            </w:pPr>
            <w:r>
              <w:rPr>
                <w:rFonts w:hint="eastAsia" w:ascii="宋体" w:hAnsi="宋体" w:eastAsia="宋体" w:cs="宋体"/>
                <w:color w:val="auto"/>
                <w:spacing w:val="9"/>
                <w:sz w:val="22"/>
                <w:szCs w:val="22"/>
              </w:rPr>
              <w:t>（6分）</w:t>
            </w:r>
          </w:p>
        </w:tc>
        <w:tc>
          <w:tcPr>
            <w:tcW w:w="4722" w:type="dxa"/>
            <w:noWrap w:val="0"/>
            <w:vAlign w:val="top"/>
          </w:tcPr>
          <w:p>
            <w:pPr>
              <w:pStyle w:val="113"/>
              <w:spacing w:before="45" w:line="241" w:lineRule="auto"/>
              <w:ind w:left="13" w:firstLine="16"/>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2"/>
                <w:sz w:val="22"/>
                <w:szCs w:val="22"/>
              </w:rPr>
              <w:t>安全生产管理的监理工作目标明确，工作制度</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合理得</w:t>
            </w:r>
            <w:r>
              <w:rPr>
                <w:rFonts w:hint="eastAsia" w:ascii="宋体" w:hAnsi="宋体" w:eastAsia="宋体" w:cs="宋体"/>
                <w:color w:val="auto"/>
                <w:spacing w:val="-38"/>
                <w:sz w:val="22"/>
                <w:szCs w:val="22"/>
              </w:rPr>
              <w:t xml:space="preserve"> </w:t>
            </w:r>
            <w:r>
              <w:rPr>
                <w:rFonts w:hint="eastAsia" w:ascii="宋体" w:hAnsi="宋体" w:eastAsia="宋体" w:cs="宋体"/>
                <w:color w:val="auto"/>
                <w:spacing w:val="-2"/>
                <w:sz w:val="22"/>
                <w:szCs w:val="22"/>
              </w:rPr>
              <w:t>3分，否则酌情扣分。</w:t>
            </w:r>
          </w:p>
          <w:p>
            <w:pPr>
              <w:pStyle w:val="113"/>
              <w:spacing w:before="49"/>
              <w:ind w:left="12" w:hanging="4"/>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1"/>
                <w:sz w:val="22"/>
                <w:szCs w:val="22"/>
              </w:rPr>
              <w:t>安全生产管理的监理工作责任明确，管理方法</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合理可行得</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1"/>
                <w:sz w:val="22"/>
                <w:szCs w:val="22"/>
              </w:rPr>
              <w:t>3分，否则酌情扣分。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center"/>
          </w:tcPr>
          <w:p>
            <w:pPr>
              <w:spacing w:line="287" w:lineRule="auto"/>
              <w:jc w:val="center"/>
              <w:rPr>
                <w:rFonts w:hint="eastAsia" w:ascii="宋体" w:hAnsi="宋体" w:eastAsia="宋体" w:cs="宋体"/>
                <w:color w:val="auto"/>
                <w:sz w:val="21"/>
              </w:rPr>
            </w:pPr>
          </w:p>
          <w:p>
            <w:pPr>
              <w:pStyle w:val="113"/>
              <w:spacing w:before="72" w:line="220" w:lineRule="auto"/>
              <w:ind w:left="37"/>
              <w:jc w:val="center"/>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合同、信息和资料</w:t>
            </w:r>
          </w:p>
          <w:p>
            <w:pPr>
              <w:pStyle w:val="113"/>
              <w:spacing w:before="72" w:line="220" w:lineRule="auto"/>
              <w:ind w:left="37"/>
              <w:jc w:val="center"/>
              <w:rPr>
                <w:rFonts w:hint="eastAsia" w:ascii="宋体" w:hAnsi="宋体" w:eastAsia="宋体" w:cs="宋体"/>
                <w:color w:val="auto"/>
                <w:sz w:val="22"/>
                <w:szCs w:val="22"/>
              </w:rPr>
            </w:pPr>
            <w:r>
              <w:rPr>
                <w:rFonts w:hint="eastAsia" w:ascii="宋体" w:hAnsi="宋体" w:eastAsia="宋体" w:cs="宋体"/>
                <w:color w:val="auto"/>
                <w:spacing w:val="-1"/>
                <w:sz w:val="22"/>
                <w:szCs w:val="22"/>
              </w:rPr>
              <w:t>管</w:t>
            </w:r>
            <w:r>
              <w:rPr>
                <w:rFonts w:hint="eastAsia" w:ascii="宋体" w:hAnsi="宋体" w:eastAsia="宋体" w:cs="宋体"/>
                <w:color w:val="auto"/>
                <w:spacing w:val="-4"/>
                <w:sz w:val="22"/>
                <w:szCs w:val="22"/>
              </w:rPr>
              <w:t>理方案</w:t>
            </w:r>
          </w:p>
          <w:p>
            <w:pPr>
              <w:pStyle w:val="113"/>
              <w:spacing w:before="48" w:line="221" w:lineRule="auto"/>
              <w:jc w:val="center"/>
              <w:rPr>
                <w:rFonts w:hint="eastAsia" w:ascii="宋体" w:hAnsi="宋体" w:eastAsia="宋体" w:cs="宋体"/>
                <w:color w:val="auto"/>
                <w:sz w:val="22"/>
                <w:szCs w:val="22"/>
              </w:rPr>
            </w:pPr>
            <w:r>
              <w:rPr>
                <w:rFonts w:hint="eastAsia" w:ascii="宋体" w:hAnsi="宋体" w:eastAsia="宋体" w:cs="宋体"/>
                <w:color w:val="auto"/>
                <w:spacing w:val="9"/>
                <w:sz w:val="22"/>
                <w:szCs w:val="22"/>
              </w:rPr>
              <w:t>（6分）</w:t>
            </w:r>
          </w:p>
        </w:tc>
        <w:tc>
          <w:tcPr>
            <w:tcW w:w="4722" w:type="dxa"/>
            <w:noWrap w:val="0"/>
            <w:vAlign w:val="top"/>
          </w:tcPr>
          <w:p>
            <w:pPr>
              <w:pStyle w:val="113"/>
              <w:spacing w:before="49" w:line="241" w:lineRule="auto"/>
              <w:ind w:left="8" w:firstLine="21"/>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2"/>
                <w:sz w:val="22"/>
                <w:szCs w:val="22"/>
              </w:rPr>
              <w:t>根据工程特点，索赔与反索赔措施有针对性得</w:t>
            </w:r>
            <w:r>
              <w:rPr>
                <w:rFonts w:hint="eastAsia" w:ascii="宋体" w:hAnsi="宋体" w:eastAsia="宋体" w:cs="宋体"/>
                <w:color w:val="auto"/>
                <w:spacing w:val="-1"/>
                <w:sz w:val="22"/>
                <w:szCs w:val="22"/>
              </w:rPr>
              <w:t>2 分，否则酌情扣分。</w:t>
            </w:r>
          </w:p>
          <w:p>
            <w:pPr>
              <w:pStyle w:val="113"/>
              <w:spacing w:before="49" w:line="241" w:lineRule="auto"/>
              <w:ind w:left="14" w:right="38" w:hanging="6"/>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1"/>
                <w:sz w:val="22"/>
                <w:szCs w:val="22"/>
              </w:rPr>
              <w:t>合同履行纠纷预防和协调方案合理、可行得</w:t>
            </w:r>
            <w:r>
              <w:rPr>
                <w:rFonts w:hint="eastAsia" w:ascii="宋体" w:hAnsi="宋体" w:eastAsia="宋体" w:cs="宋体"/>
                <w:color w:val="auto"/>
                <w:spacing w:val="-39"/>
                <w:sz w:val="22"/>
                <w:szCs w:val="22"/>
              </w:rPr>
              <w:t xml:space="preserve"> </w:t>
            </w:r>
            <w:r>
              <w:rPr>
                <w:rFonts w:hint="eastAsia" w:ascii="宋体" w:hAnsi="宋体" w:eastAsia="宋体" w:cs="宋体"/>
                <w:color w:val="auto"/>
                <w:spacing w:val="-1"/>
                <w:sz w:val="22"/>
                <w:szCs w:val="22"/>
              </w:rPr>
              <w:t>2</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分，否则酌情扣分。</w:t>
            </w:r>
          </w:p>
          <w:p>
            <w:pPr>
              <w:pStyle w:val="113"/>
              <w:spacing w:before="48" w:line="239" w:lineRule="auto"/>
              <w:ind w:left="12"/>
              <w:rPr>
                <w:rFonts w:hint="eastAsia" w:ascii="宋体" w:hAnsi="宋体" w:eastAsia="宋体" w:cs="宋体"/>
                <w:color w:val="auto"/>
                <w:sz w:val="22"/>
                <w:szCs w:val="22"/>
              </w:rPr>
            </w:pPr>
            <w:r>
              <w:rPr>
                <w:rFonts w:hint="eastAsia" w:ascii="宋体" w:hAnsi="宋体" w:eastAsia="宋体" w:cs="宋体"/>
                <w:color w:val="auto"/>
                <w:spacing w:val="-2"/>
                <w:sz w:val="22"/>
                <w:szCs w:val="22"/>
              </w:rPr>
              <w:t>③工程信息管理的内容全面，监理资料管理制度</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1"/>
                <w:sz w:val="22"/>
                <w:szCs w:val="22"/>
              </w:rPr>
              <w:t>健全得</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分，否则酌情扣分。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spacing w:line="288" w:lineRule="auto"/>
              <w:rPr>
                <w:rFonts w:hint="eastAsia" w:ascii="宋体" w:hAnsi="宋体" w:eastAsia="宋体" w:cs="宋体"/>
                <w:color w:val="auto"/>
                <w:sz w:val="21"/>
              </w:rPr>
            </w:pPr>
          </w:p>
          <w:p>
            <w:pPr>
              <w:pStyle w:val="113"/>
              <w:spacing w:before="71" w:line="221" w:lineRule="auto"/>
              <w:ind w:left="149"/>
              <w:rPr>
                <w:rFonts w:hint="eastAsia" w:ascii="宋体" w:hAnsi="宋体" w:eastAsia="宋体" w:cs="宋体"/>
                <w:color w:val="auto"/>
                <w:sz w:val="22"/>
                <w:szCs w:val="22"/>
              </w:rPr>
            </w:pPr>
            <w:r>
              <w:rPr>
                <w:rFonts w:hint="eastAsia" w:ascii="宋体" w:hAnsi="宋体" w:eastAsia="宋体" w:cs="宋体"/>
                <w:color w:val="auto"/>
                <w:spacing w:val="-2"/>
                <w:sz w:val="22"/>
                <w:szCs w:val="22"/>
              </w:rPr>
              <w:t>组织协调措施方案</w:t>
            </w:r>
          </w:p>
          <w:p>
            <w:pPr>
              <w:pStyle w:val="113"/>
              <w:spacing w:before="48"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（6分）</w:t>
            </w:r>
          </w:p>
        </w:tc>
        <w:tc>
          <w:tcPr>
            <w:tcW w:w="4722" w:type="dxa"/>
            <w:noWrap w:val="0"/>
            <w:vAlign w:val="top"/>
          </w:tcPr>
          <w:p>
            <w:pPr>
              <w:pStyle w:val="113"/>
              <w:spacing w:before="50" w:line="241" w:lineRule="auto"/>
              <w:ind w:left="19" w:right="32" w:firstLine="10"/>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pacing w:val="-4"/>
                <w:sz w:val="22"/>
                <w:szCs w:val="22"/>
              </w:rPr>
              <w:t>结合工程提出的组织协调的内容全面得</w:t>
            </w:r>
            <w:r>
              <w:rPr>
                <w:rFonts w:hint="eastAsia" w:ascii="宋体" w:hAnsi="宋体" w:eastAsia="宋体" w:cs="宋体"/>
                <w:color w:val="auto"/>
                <w:spacing w:val="-40"/>
                <w:sz w:val="22"/>
                <w:szCs w:val="22"/>
                <w:lang w:val="en-US" w:eastAsia="zh-CN"/>
              </w:rPr>
              <w:t>3</w:t>
            </w:r>
            <w:r>
              <w:rPr>
                <w:rFonts w:hint="eastAsia" w:ascii="宋体" w:hAnsi="宋体" w:eastAsia="宋体" w:cs="宋体"/>
                <w:color w:val="auto"/>
                <w:spacing w:val="-4"/>
                <w:sz w:val="22"/>
                <w:szCs w:val="22"/>
              </w:rPr>
              <w:t>分，</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否则酌情扣分。</w:t>
            </w:r>
          </w:p>
          <w:p>
            <w:pPr>
              <w:pStyle w:val="113"/>
              <w:spacing w:before="47" w:line="239" w:lineRule="auto"/>
              <w:ind w:left="16" w:hanging="8"/>
              <w:rPr>
                <w:rFonts w:hint="eastAsia" w:ascii="宋体" w:hAnsi="宋体" w:eastAsia="宋体" w:cs="宋体"/>
                <w:color w:val="auto"/>
                <w:sz w:val="22"/>
                <w:szCs w:val="22"/>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pacing w:val="-2"/>
                <w:sz w:val="22"/>
                <w:szCs w:val="22"/>
              </w:rPr>
              <w:t>协调的方法、程序和协调措施可行得</w:t>
            </w:r>
            <w:r>
              <w:rPr>
                <w:rFonts w:hint="eastAsia" w:ascii="宋体" w:hAnsi="宋体" w:eastAsia="宋体" w:cs="宋体"/>
                <w:color w:val="auto"/>
                <w:spacing w:val="-32"/>
                <w:sz w:val="22"/>
                <w:szCs w:val="22"/>
              </w:rPr>
              <w:t xml:space="preserve"> </w:t>
            </w:r>
            <w:r>
              <w:rPr>
                <w:rFonts w:hint="eastAsia" w:ascii="宋体" w:hAnsi="宋体" w:eastAsia="宋体" w:cs="宋体"/>
                <w:color w:val="auto"/>
                <w:spacing w:val="-2"/>
                <w:sz w:val="22"/>
                <w:szCs w:val="22"/>
              </w:rPr>
              <w:t>3分，否则酌情扣分。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753" w:type="dxa"/>
            <w:vMerge w:val="continue"/>
            <w:noWrap w:val="0"/>
            <w:vAlign w:val="top"/>
          </w:tcPr>
          <w:p>
            <w:pPr>
              <w:rPr>
                <w:rFonts w:hint="eastAsia" w:ascii="宋体" w:hAnsi="宋体" w:eastAsia="宋体" w:cs="宋体"/>
                <w:color w:val="auto"/>
                <w:sz w:val="21"/>
              </w:rPr>
            </w:pPr>
          </w:p>
        </w:tc>
        <w:tc>
          <w:tcPr>
            <w:tcW w:w="1023" w:type="dxa"/>
            <w:vMerge w:val="continue"/>
            <w:noWrap w:val="0"/>
            <w:vAlign w:val="top"/>
          </w:tcPr>
          <w:p>
            <w:pPr>
              <w:rPr>
                <w:rFonts w:hint="eastAsia" w:ascii="宋体" w:hAnsi="宋体" w:eastAsia="宋体" w:cs="宋体"/>
                <w:color w:val="auto"/>
                <w:sz w:val="21"/>
              </w:rPr>
            </w:pPr>
          </w:p>
        </w:tc>
        <w:tc>
          <w:tcPr>
            <w:tcW w:w="2043" w:type="dxa"/>
            <w:noWrap w:val="0"/>
            <w:vAlign w:val="top"/>
          </w:tcPr>
          <w:p>
            <w:pPr>
              <w:pStyle w:val="113"/>
              <w:spacing w:before="122" w:line="221" w:lineRule="auto"/>
              <w:ind w:left="479"/>
              <w:rPr>
                <w:rFonts w:hint="eastAsia" w:ascii="宋体" w:hAnsi="宋体" w:eastAsia="宋体" w:cs="宋体"/>
                <w:color w:val="auto"/>
                <w:sz w:val="22"/>
                <w:szCs w:val="22"/>
              </w:rPr>
            </w:pPr>
            <w:r>
              <w:rPr>
                <w:rFonts w:hint="eastAsia" w:ascii="宋体" w:hAnsi="宋体" w:eastAsia="宋体" w:cs="宋体"/>
                <w:color w:val="auto"/>
                <w:spacing w:val="-2"/>
                <w:sz w:val="22"/>
                <w:szCs w:val="22"/>
              </w:rPr>
              <w:t>合理化建议</w:t>
            </w:r>
          </w:p>
          <w:p>
            <w:pPr>
              <w:pStyle w:val="113"/>
              <w:spacing w:before="48" w:line="221" w:lineRule="auto"/>
              <w:ind w:left="621"/>
              <w:rPr>
                <w:rFonts w:hint="eastAsia" w:ascii="宋体" w:hAnsi="宋体" w:eastAsia="宋体" w:cs="宋体"/>
                <w:color w:val="auto"/>
                <w:sz w:val="22"/>
                <w:szCs w:val="22"/>
              </w:rPr>
            </w:pPr>
            <w:r>
              <w:rPr>
                <w:rFonts w:hint="eastAsia" w:ascii="宋体" w:hAnsi="宋体" w:eastAsia="宋体" w:cs="宋体"/>
                <w:color w:val="auto"/>
                <w:spacing w:val="9"/>
                <w:sz w:val="22"/>
                <w:szCs w:val="22"/>
              </w:rPr>
              <w:t>（</w:t>
            </w:r>
            <w:r>
              <w:rPr>
                <w:rFonts w:hint="eastAsia" w:cs="宋体"/>
                <w:color w:val="auto"/>
                <w:spacing w:val="9"/>
                <w:sz w:val="22"/>
                <w:szCs w:val="22"/>
                <w:lang w:val="en-US" w:eastAsia="zh-CN"/>
              </w:rPr>
              <w:t>5</w:t>
            </w:r>
            <w:r>
              <w:rPr>
                <w:rFonts w:hint="eastAsia" w:ascii="宋体" w:hAnsi="宋体" w:eastAsia="宋体" w:cs="宋体"/>
                <w:color w:val="auto"/>
                <w:spacing w:val="9"/>
                <w:sz w:val="22"/>
                <w:szCs w:val="22"/>
              </w:rPr>
              <w:t>分）</w:t>
            </w:r>
          </w:p>
        </w:tc>
        <w:tc>
          <w:tcPr>
            <w:tcW w:w="4722" w:type="dxa"/>
            <w:noWrap w:val="0"/>
            <w:vAlign w:val="top"/>
          </w:tcPr>
          <w:p>
            <w:pPr>
              <w:pStyle w:val="113"/>
              <w:spacing w:before="123" w:line="241" w:lineRule="auto"/>
              <w:ind w:left="14" w:right="93"/>
              <w:rPr>
                <w:rFonts w:hint="eastAsia" w:ascii="宋体" w:hAnsi="宋体" w:eastAsia="宋体" w:cs="宋体"/>
                <w:color w:val="auto"/>
                <w:sz w:val="22"/>
                <w:szCs w:val="22"/>
              </w:rPr>
            </w:pPr>
            <w:r>
              <w:rPr>
                <w:rFonts w:hint="eastAsia" w:ascii="宋体" w:hAnsi="宋体" w:eastAsia="宋体" w:cs="宋体"/>
                <w:color w:val="auto"/>
                <w:spacing w:val="-1"/>
                <w:sz w:val="22"/>
                <w:szCs w:val="22"/>
              </w:rPr>
              <w:t>建议合理可行，并有具体实施方案得</w:t>
            </w:r>
            <w:r>
              <w:rPr>
                <w:rFonts w:hint="eastAsia" w:ascii="宋体" w:hAnsi="宋体" w:eastAsia="宋体" w:cs="宋体"/>
                <w:color w:val="auto"/>
                <w:spacing w:val="-46"/>
                <w:sz w:val="22"/>
                <w:szCs w:val="22"/>
              </w:rPr>
              <w:t xml:space="preserve"> </w:t>
            </w:r>
            <w:r>
              <w:rPr>
                <w:rFonts w:hint="eastAsia" w:cs="宋体"/>
                <w:color w:val="auto"/>
                <w:spacing w:val="-46"/>
                <w:sz w:val="22"/>
                <w:szCs w:val="22"/>
                <w:lang w:val="en-US" w:eastAsia="zh-CN"/>
              </w:rPr>
              <w:t>5</w:t>
            </w:r>
            <w:r>
              <w:rPr>
                <w:rFonts w:hint="eastAsia" w:ascii="宋体" w:hAnsi="宋体" w:eastAsia="宋体" w:cs="宋体"/>
                <w:color w:val="auto"/>
                <w:spacing w:val="-1"/>
                <w:sz w:val="22"/>
                <w:szCs w:val="22"/>
              </w:rPr>
              <w:t>分，否则</w:t>
            </w:r>
            <w:r>
              <w:rPr>
                <w:rFonts w:hint="eastAsia" w:ascii="宋体" w:hAnsi="宋体" w:eastAsia="宋体" w:cs="宋体"/>
                <w:color w:val="auto"/>
                <w:spacing w:val="-3"/>
                <w:sz w:val="22"/>
                <w:szCs w:val="22"/>
              </w:rPr>
              <w:t>酌情扣分。</w:t>
            </w:r>
          </w:p>
        </w:tc>
        <w:tc>
          <w:tcPr>
            <w:tcW w:w="1584" w:type="dxa"/>
            <w:vMerge w:val="continue"/>
            <w:noWrap w:val="0"/>
            <w:vAlign w:val="top"/>
          </w:tcPr>
          <w:p>
            <w:pP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753" w:type="dxa"/>
            <w:vMerge w:val="restart"/>
            <w:noWrap w:val="0"/>
            <w:vAlign w:val="top"/>
          </w:tcPr>
          <w:p>
            <w:pPr>
              <w:rPr>
                <w:rFonts w:hint="eastAsia" w:ascii="宋体" w:hAnsi="宋体" w:eastAsia="宋体" w:cs="宋体"/>
                <w:color w:val="auto"/>
                <w:sz w:val="21"/>
              </w:rPr>
            </w:pPr>
          </w:p>
        </w:tc>
        <w:tc>
          <w:tcPr>
            <w:tcW w:w="1023" w:type="dxa"/>
            <w:noWrap w:val="0"/>
            <w:vAlign w:val="top"/>
          </w:tcPr>
          <w:p>
            <w:pPr>
              <w:pStyle w:val="113"/>
              <w:spacing w:before="140" w:line="222" w:lineRule="auto"/>
              <w:ind w:left="297"/>
              <w:rPr>
                <w:rFonts w:hint="eastAsia" w:ascii="宋体" w:hAnsi="宋体" w:eastAsia="宋体" w:cs="宋体"/>
                <w:color w:val="auto"/>
                <w:sz w:val="22"/>
                <w:szCs w:val="22"/>
              </w:rPr>
            </w:pPr>
            <w:r>
              <w:rPr>
                <w:rFonts w:hint="eastAsia" w:ascii="宋体" w:hAnsi="宋体" w:eastAsia="宋体" w:cs="宋体"/>
                <w:color w:val="auto"/>
                <w:spacing w:val="-4"/>
                <w:sz w:val="22"/>
                <w:szCs w:val="22"/>
              </w:rPr>
              <w:t>合计</w:t>
            </w:r>
          </w:p>
        </w:tc>
        <w:tc>
          <w:tcPr>
            <w:tcW w:w="2043" w:type="dxa"/>
            <w:noWrap w:val="0"/>
            <w:vAlign w:val="top"/>
          </w:tcPr>
          <w:p>
            <w:pPr>
              <w:rPr>
                <w:rFonts w:hint="eastAsia" w:ascii="宋体" w:hAnsi="宋体" w:eastAsia="宋体" w:cs="宋体"/>
                <w:color w:val="auto"/>
                <w:sz w:val="21"/>
              </w:rPr>
            </w:pPr>
          </w:p>
        </w:tc>
        <w:tc>
          <w:tcPr>
            <w:tcW w:w="4722" w:type="dxa"/>
            <w:noWrap w:val="0"/>
            <w:vAlign w:val="top"/>
          </w:tcPr>
          <w:p>
            <w:pPr>
              <w:rPr>
                <w:rFonts w:hint="eastAsia" w:ascii="宋体" w:hAnsi="宋体" w:eastAsia="宋体" w:cs="宋体"/>
                <w:color w:val="auto"/>
                <w:sz w:val="21"/>
              </w:rPr>
            </w:pPr>
          </w:p>
        </w:tc>
        <w:tc>
          <w:tcPr>
            <w:tcW w:w="1584" w:type="dxa"/>
            <w:noWrap w:val="0"/>
            <w:vAlign w:val="top"/>
          </w:tcPr>
          <w:p>
            <w:pPr>
              <w:spacing w:before="184" w:line="181" w:lineRule="auto"/>
              <w:ind w:left="640"/>
              <w:rPr>
                <w:rFonts w:hint="eastAsia" w:ascii="宋体" w:hAnsi="宋体" w:eastAsia="宋体" w:cs="宋体"/>
                <w:color w:val="auto"/>
                <w:sz w:val="22"/>
                <w:szCs w:val="22"/>
              </w:rPr>
            </w:pPr>
            <w:r>
              <w:rPr>
                <w:rFonts w:hint="eastAsia" w:ascii="宋体" w:hAnsi="宋体" w:eastAsia="宋体" w:cs="宋体"/>
                <w:color w:val="auto"/>
                <w:spacing w:val="-6"/>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753" w:type="dxa"/>
            <w:vMerge w:val="continue"/>
            <w:noWrap w:val="0"/>
            <w:vAlign w:val="top"/>
          </w:tcPr>
          <w:p>
            <w:pPr>
              <w:rPr>
                <w:rFonts w:hint="eastAsia" w:ascii="宋体" w:hAnsi="宋体" w:eastAsia="宋体" w:cs="宋体"/>
                <w:color w:val="auto"/>
                <w:sz w:val="21"/>
              </w:rPr>
            </w:pPr>
          </w:p>
        </w:tc>
        <w:tc>
          <w:tcPr>
            <w:tcW w:w="9372" w:type="dxa"/>
            <w:gridSpan w:val="4"/>
            <w:noWrap w:val="0"/>
            <w:vAlign w:val="top"/>
          </w:tcPr>
          <w:p>
            <w:pPr>
              <w:pStyle w:val="113"/>
              <w:spacing w:before="124" w:line="220" w:lineRule="auto"/>
              <w:ind w:left="1518"/>
              <w:rPr>
                <w:rFonts w:hint="eastAsia" w:ascii="宋体" w:hAnsi="宋体" w:eastAsia="宋体" w:cs="宋体"/>
                <w:color w:val="auto"/>
                <w:sz w:val="22"/>
                <w:szCs w:val="22"/>
              </w:rPr>
            </w:pPr>
            <w:r>
              <w:rPr>
                <w:rFonts w:hint="eastAsia" w:ascii="宋体" w:hAnsi="宋体" w:eastAsia="宋体" w:cs="宋体"/>
                <w:color w:val="auto"/>
                <w:sz w:val="22"/>
                <w:szCs w:val="22"/>
              </w:rPr>
              <w:t>注：评分分值计算保留小数点后两位，小数点后第三位“</w:t>
            </w:r>
            <w:r>
              <w:rPr>
                <w:rFonts w:hint="eastAsia" w:ascii="宋体" w:hAnsi="宋体" w:eastAsia="宋体" w:cs="宋体"/>
                <w:color w:val="auto"/>
                <w:spacing w:val="-14"/>
                <w:sz w:val="22"/>
                <w:szCs w:val="22"/>
              </w:rPr>
              <w:t xml:space="preserve"> </w:t>
            </w:r>
            <w:r>
              <w:rPr>
                <w:rFonts w:hint="eastAsia" w:ascii="宋体" w:hAnsi="宋体" w:eastAsia="宋体" w:cs="宋体"/>
                <w:color w:val="auto"/>
                <w:sz w:val="22"/>
                <w:szCs w:val="22"/>
              </w:rPr>
              <w:t>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1" w:hRule="atLeast"/>
          <w:jc w:val="center"/>
        </w:trPr>
        <w:tc>
          <w:tcPr>
            <w:tcW w:w="1776" w:type="dxa"/>
            <w:gridSpan w:val="2"/>
            <w:noWrap w:val="0"/>
            <w:vAlign w:val="top"/>
          </w:tcPr>
          <w:p>
            <w:pPr>
              <w:spacing w:line="251" w:lineRule="auto"/>
              <w:rPr>
                <w:rFonts w:hint="eastAsia" w:ascii="宋体" w:hAnsi="宋体" w:eastAsia="宋体" w:cs="宋体"/>
                <w:color w:val="auto"/>
                <w:sz w:val="21"/>
              </w:rPr>
            </w:pPr>
          </w:p>
          <w:p>
            <w:pPr>
              <w:spacing w:line="252" w:lineRule="auto"/>
              <w:rPr>
                <w:rFonts w:hint="eastAsia" w:ascii="宋体" w:hAnsi="宋体" w:eastAsia="宋体" w:cs="宋体"/>
                <w:color w:val="auto"/>
                <w:sz w:val="21"/>
              </w:rPr>
            </w:pPr>
          </w:p>
          <w:p>
            <w:pPr>
              <w:spacing w:line="252" w:lineRule="auto"/>
              <w:rPr>
                <w:rFonts w:hint="eastAsia" w:ascii="宋体" w:hAnsi="宋体" w:eastAsia="宋体" w:cs="宋体"/>
                <w:color w:val="auto"/>
                <w:sz w:val="21"/>
              </w:rPr>
            </w:pPr>
          </w:p>
          <w:p>
            <w:pPr>
              <w:pStyle w:val="113"/>
              <w:spacing w:before="72" w:line="220" w:lineRule="auto"/>
              <w:ind w:left="453"/>
              <w:rPr>
                <w:rFonts w:hint="eastAsia" w:ascii="宋体" w:hAnsi="宋体" w:eastAsia="宋体" w:cs="宋体"/>
                <w:color w:val="auto"/>
                <w:sz w:val="22"/>
                <w:szCs w:val="22"/>
              </w:rPr>
            </w:pPr>
            <w:r>
              <w:rPr>
                <w:rFonts w:hint="eastAsia" w:ascii="宋体" w:hAnsi="宋体" w:eastAsia="宋体" w:cs="宋体"/>
                <w:color w:val="auto"/>
                <w:spacing w:val="-2"/>
                <w:sz w:val="22"/>
                <w:szCs w:val="22"/>
              </w:rPr>
              <w:t>废标条款</w:t>
            </w:r>
          </w:p>
        </w:tc>
        <w:tc>
          <w:tcPr>
            <w:tcW w:w="8349" w:type="dxa"/>
            <w:gridSpan w:val="3"/>
            <w:noWrap w:val="0"/>
            <w:vAlign w:val="top"/>
          </w:tcPr>
          <w:p>
            <w:pPr>
              <w:pStyle w:val="113"/>
              <w:spacing w:before="51" w:line="312" w:lineRule="exact"/>
              <w:ind w:left="16"/>
              <w:rPr>
                <w:rFonts w:hint="eastAsia" w:ascii="宋体" w:hAnsi="宋体" w:eastAsia="宋体" w:cs="宋体"/>
                <w:color w:val="auto"/>
                <w:sz w:val="22"/>
                <w:szCs w:val="22"/>
              </w:rPr>
            </w:pPr>
            <w:r>
              <w:rPr>
                <w:rFonts w:hint="eastAsia" w:ascii="宋体" w:hAnsi="宋体" w:eastAsia="宋体" w:cs="宋体"/>
                <w:color w:val="auto"/>
                <w:spacing w:val="-1"/>
                <w:position w:val="6"/>
                <w:sz w:val="22"/>
                <w:szCs w:val="22"/>
              </w:rPr>
              <w:t>(1)  未按照招标文件的规定提交投标保证金的</w:t>
            </w:r>
          </w:p>
          <w:p>
            <w:pPr>
              <w:pStyle w:val="113"/>
              <w:spacing w:line="212" w:lineRule="auto"/>
              <w:ind w:left="16"/>
              <w:rPr>
                <w:rFonts w:hint="eastAsia" w:ascii="宋体" w:hAnsi="宋体" w:eastAsia="宋体" w:cs="宋体"/>
                <w:color w:val="auto"/>
                <w:sz w:val="22"/>
                <w:szCs w:val="22"/>
              </w:rPr>
            </w:pPr>
            <w:r>
              <w:rPr>
                <w:rFonts w:hint="eastAsia" w:ascii="宋体" w:hAnsi="宋体" w:eastAsia="宋体" w:cs="宋体"/>
                <w:color w:val="auto"/>
                <w:spacing w:val="-1"/>
                <w:sz w:val="22"/>
                <w:szCs w:val="22"/>
              </w:rPr>
              <w:t>(2)  投标文件未按招标文件要求签署、盖章的</w:t>
            </w:r>
          </w:p>
          <w:p>
            <w:pPr>
              <w:pStyle w:val="113"/>
              <w:spacing w:before="58" w:line="213" w:lineRule="auto"/>
              <w:ind w:left="16"/>
              <w:rPr>
                <w:rFonts w:hint="eastAsia" w:ascii="宋体" w:hAnsi="宋体" w:eastAsia="宋体" w:cs="宋体"/>
                <w:color w:val="auto"/>
                <w:sz w:val="22"/>
                <w:szCs w:val="22"/>
              </w:rPr>
            </w:pPr>
            <w:r>
              <w:rPr>
                <w:rFonts w:hint="eastAsia" w:ascii="宋体" w:hAnsi="宋体" w:eastAsia="宋体" w:cs="宋体"/>
                <w:color w:val="auto"/>
                <w:spacing w:val="-1"/>
                <w:sz w:val="22"/>
                <w:szCs w:val="22"/>
              </w:rPr>
              <w:t>(3)  不具备招标文件中规定的资格要求</w:t>
            </w:r>
          </w:p>
          <w:p>
            <w:pPr>
              <w:pStyle w:val="113"/>
              <w:spacing w:before="58" w:line="312" w:lineRule="exact"/>
              <w:ind w:left="16"/>
              <w:rPr>
                <w:rFonts w:hint="eastAsia" w:ascii="宋体" w:hAnsi="宋体" w:eastAsia="宋体" w:cs="宋体"/>
                <w:color w:val="auto"/>
                <w:sz w:val="22"/>
                <w:szCs w:val="22"/>
              </w:rPr>
            </w:pPr>
            <w:r>
              <w:rPr>
                <w:rFonts w:hint="eastAsia" w:ascii="宋体" w:hAnsi="宋体" w:eastAsia="宋体" w:cs="宋体"/>
                <w:color w:val="auto"/>
                <w:position w:val="6"/>
                <w:sz w:val="22"/>
                <w:szCs w:val="22"/>
              </w:rPr>
              <w:t>(4)  报价超过招标文件中规定的预算金额或</w:t>
            </w:r>
            <w:r>
              <w:rPr>
                <w:rFonts w:hint="eastAsia" w:ascii="宋体" w:hAnsi="宋体" w:eastAsia="宋体" w:cs="宋体"/>
                <w:color w:val="auto"/>
                <w:spacing w:val="-1"/>
                <w:position w:val="6"/>
                <w:sz w:val="22"/>
                <w:szCs w:val="22"/>
              </w:rPr>
              <w:t>者最高限价的</w:t>
            </w:r>
          </w:p>
          <w:p>
            <w:pPr>
              <w:pStyle w:val="113"/>
              <w:spacing w:before="1" w:line="212" w:lineRule="auto"/>
              <w:ind w:left="16"/>
              <w:rPr>
                <w:rFonts w:hint="eastAsia" w:ascii="宋体" w:hAnsi="宋体" w:eastAsia="宋体" w:cs="宋体"/>
                <w:color w:val="auto"/>
                <w:sz w:val="22"/>
                <w:szCs w:val="22"/>
              </w:rPr>
            </w:pPr>
            <w:r>
              <w:rPr>
                <w:rFonts w:hint="eastAsia" w:ascii="宋体" w:hAnsi="宋体" w:eastAsia="宋体" w:cs="宋体"/>
                <w:color w:val="auto"/>
                <w:spacing w:val="-1"/>
                <w:sz w:val="22"/>
                <w:szCs w:val="22"/>
              </w:rPr>
              <w:t>(5)  投标文件含有采购人不能接受的附加条件的</w:t>
            </w:r>
          </w:p>
          <w:p>
            <w:pPr>
              <w:pStyle w:val="113"/>
              <w:spacing w:before="58" w:line="213" w:lineRule="auto"/>
              <w:ind w:left="16"/>
              <w:rPr>
                <w:rFonts w:hint="eastAsia" w:ascii="宋体" w:hAnsi="宋体" w:eastAsia="宋体" w:cs="宋体"/>
                <w:color w:val="auto"/>
                <w:sz w:val="22"/>
                <w:szCs w:val="22"/>
              </w:rPr>
            </w:pPr>
            <w:r>
              <w:rPr>
                <w:rFonts w:hint="eastAsia" w:ascii="宋体" w:hAnsi="宋体" w:eastAsia="宋体" w:cs="宋体"/>
                <w:color w:val="auto"/>
                <w:spacing w:val="-1"/>
                <w:sz w:val="22"/>
                <w:szCs w:val="22"/>
              </w:rPr>
              <w:t>(6)  法律、法规和招标文件规定的其他无效情形</w:t>
            </w:r>
          </w:p>
        </w:tc>
      </w:tr>
    </w:tbl>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、在任何评标环节中，需评标委员会就某项评审结论做出表决的，由评标委员会全体成员按照少数服从多数的原则，以记名投票方式表决。</w:t>
      </w:r>
    </w:p>
    <w:p>
      <w:pPr>
        <w:spacing w:line="218" w:lineRule="auto"/>
        <w:ind w:left="448"/>
        <w:rPr>
          <w:rFonts w:ascii="宋体" w:hAnsi="宋体" w:eastAsia="宋体" w:cs="宋体"/>
          <w:sz w:val="24"/>
          <w:szCs w:val="24"/>
        </w:rPr>
      </w:pPr>
    </w:p>
    <w:p>
      <w:pPr>
        <w:pStyle w:val="14"/>
        <w:spacing w:line="242" w:lineRule="auto"/>
      </w:pPr>
    </w:p>
    <w:p>
      <w:pPr>
        <w:shd w:val="clear" w:color="auto" w:fill="auto"/>
        <w:spacing w:line="360" w:lineRule="exact"/>
        <w:ind w:firstLine="560" w:firstLineChars="200"/>
        <w:rPr>
          <w:rFonts w:hint="eastAsia" w:ascii="宋体" w:hAnsi="宋体" w:eastAsia="宋体" w:cs="宋体"/>
          <w:color w:val="auto"/>
          <w:sz w:val="28"/>
          <w:szCs w:val="24"/>
          <w:highlight w:val="none"/>
        </w:rPr>
      </w:pP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72" w:name="EB2384fbc2f1234e9abdb101be34da8f0a"/>
    </w:p>
    <w:p>
      <w:pPr>
        <w:rPr>
          <w:rFonts w:hint="eastAsia" w:ascii="宋体" w:hAnsi="宋体" w:eastAsia="宋体" w:cs="宋体"/>
        </w:rPr>
      </w:pPr>
    </w:p>
    <w:p>
      <w:pPr>
        <w:rPr>
          <w:rFonts w:hint="eastAsia" w:ascii="宋体" w:hAnsi="宋体" w:eastAsia="宋体" w:cs="宋体"/>
        </w:rPr>
      </w:pPr>
    </w:p>
    <w:bookmarkEnd w:id="168"/>
    <w:bookmarkEnd w:id="169"/>
    <w:bookmarkEnd w:id="170"/>
    <w:bookmarkEnd w:id="171"/>
    <w:bookmarkEnd w:id="172"/>
    <w:p>
      <w:pPr>
        <w:pStyle w:val="3"/>
        <w:shd w:val="clear" w:color="auto" w:fill="auto"/>
        <w:spacing w:before="0" w:after="0" w:line="240" w:lineRule="auto"/>
        <w:jc w:val="center"/>
        <w:rPr>
          <w:rFonts w:hint="eastAsia" w:ascii="宋体" w:hAnsi="宋体" w:eastAsia="宋体" w:cs="宋体"/>
          <w:b/>
          <w:bCs w:val="0"/>
          <w:color w:val="auto"/>
          <w:szCs w:val="20"/>
          <w:highlight w:val="none"/>
          <w:lang w:val="en-US" w:eastAsia="zh-CN"/>
        </w:rPr>
      </w:pPr>
      <w:r>
        <w:rPr>
          <w:rFonts w:hint="eastAsia" w:ascii="宋体" w:hAnsi="宋体" w:eastAsia="宋体" w:cs="宋体"/>
          <w:b/>
          <w:bCs w:val="0"/>
          <w:color w:val="auto"/>
          <w:szCs w:val="20"/>
          <w:highlight w:val="none"/>
          <w:lang w:val="en-US" w:eastAsia="zh-CN"/>
        </w:rPr>
        <w:t xml:space="preserve">第五章 </w:t>
      </w:r>
      <w:r>
        <w:rPr>
          <w:rFonts w:hint="eastAsia" w:ascii="宋体" w:hAnsi="宋体" w:eastAsia="宋体" w:cs="宋体"/>
          <w:b/>
          <w:bCs w:val="0"/>
          <w:color w:val="auto"/>
          <w:szCs w:val="20"/>
          <w:highlight w:val="none"/>
        </w:rPr>
        <w:t>合同格式及合同条款</w:t>
      </w:r>
    </w:p>
    <w:p>
      <w:pPr>
        <w:pStyle w:val="3"/>
        <w:shd w:val="clear" w:color="auto" w:fill="auto"/>
        <w:spacing w:before="0" w:after="0" w:line="240" w:lineRule="auto"/>
        <w:jc w:val="center"/>
        <w:rPr>
          <w:rFonts w:hint="eastAsia" w:ascii="宋体" w:hAnsi="宋体" w:eastAsia="宋体" w:cs="宋体"/>
          <w:b/>
          <w:bCs w:val="0"/>
          <w:color w:val="auto"/>
          <w:szCs w:val="20"/>
          <w:highlight w:val="none"/>
          <w:lang w:val="en-US" w:eastAsia="zh-CN"/>
        </w:rPr>
      </w:pPr>
    </w:p>
    <w:p>
      <w:pPr>
        <w:pStyle w:val="44"/>
        <w:shd w:val="clear" w:color="auto" w:fill="auto"/>
        <w:snapToGrid w:val="0"/>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44"/>
        <w:shd w:val="clear" w:color="auto" w:fill="auto"/>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房屋建筑和市政工程等工程监理项目招标可以使用《建设工程监理合同（示范文本）》（GF-2012-0202）。</w:t>
      </w:r>
    </w:p>
    <w:p>
      <w:pPr>
        <w:pStyle w:val="28"/>
        <w:shd w:val="clear" w:color="auto" w:fill="auto"/>
        <w:spacing w:line="360" w:lineRule="auto"/>
        <w:rPr>
          <w:rFonts w:hint="eastAsia" w:ascii="宋体" w:hAnsi="宋体" w:eastAsia="宋体" w:cs="宋体"/>
          <w:color w:val="auto"/>
          <w:highlight w:val="none"/>
        </w:rPr>
      </w:pPr>
    </w:p>
    <w:p>
      <w:pPr>
        <w:pStyle w:val="52"/>
        <w:shd w:val="clear" w:color="auto" w:fill="auto"/>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3" w:name="_Toc44606392"/>
      <w:bookmarkStart w:id="174" w:name="_Toc44606672"/>
      <w:bookmarkStart w:id="175" w:name="_Toc27586"/>
      <w:bookmarkStart w:id="176" w:name="_Toc77444698"/>
      <w:bookmarkStart w:id="177" w:name="_Toc44606407"/>
      <w:bookmarkStart w:id="178" w:name="_Toc44606371"/>
      <w:r>
        <w:rPr>
          <w:rFonts w:hint="eastAsia" w:ascii="宋体" w:hAnsi="宋体" w:eastAsia="宋体" w:cs="宋体"/>
          <w:color w:val="auto"/>
          <w:highlight w:val="none"/>
        </w:rPr>
        <w:t>第一部分  协议书</w:t>
      </w:r>
      <w:bookmarkEnd w:id="173"/>
      <w:bookmarkEnd w:id="174"/>
      <w:bookmarkEnd w:id="175"/>
      <w:bookmarkEnd w:id="176"/>
      <w:bookmarkEnd w:id="177"/>
      <w:bookmarkEnd w:id="178"/>
    </w:p>
    <w:p>
      <w:pPr>
        <w:shd w:val="clear" w:color="auto" w:fill="auto"/>
        <w:adjustRightInd w:val="0"/>
        <w:snapToGrid w:val="0"/>
        <w:spacing w:line="360" w:lineRule="auto"/>
        <w:ind w:firstLine="326" w:firstLineChars="250"/>
        <w:rPr>
          <w:rFonts w:hint="eastAsia" w:ascii="宋体" w:hAnsi="宋体" w:eastAsia="宋体" w:cs="宋体"/>
          <w:b/>
          <w:color w:val="auto"/>
          <w:sz w:val="13"/>
          <w:szCs w:val="13"/>
          <w:highlight w:val="none"/>
        </w:rPr>
      </w:pPr>
    </w:p>
    <w:p>
      <w:pPr>
        <w:shd w:val="clear" w:color="auto" w:fill="auto"/>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委托人（全称）：</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监理人（全称）：</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根据《中华人民共和国民法典》、《中华人民共和国建筑法》及其他有关法律、法规，遵循平等、自愿、公平和诚信的原则，双方就下述工程委托监理与相关服务事项协商一致，订立本合同。</w:t>
      </w:r>
    </w:p>
    <w:p>
      <w:pPr>
        <w:pStyle w:val="5"/>
        <w:shd w:val="clear" w:color="auto" w:fill="auto"/>
        <w:rPr>
          <w:rFonts w:hint="eastAsia" w:ascii="宋体" w:hAnsi="宋体" w:eastAsia="宋体" w:cs="宋体"/>
          <w:color w:val="auto"/>
          <w:highlight w:val="none"/>
        </w:rPr>
      </w:pPr>
      <w:bookmarkStart w:id="179" w:name="_Toc476739740"/>
      <w:bookmarkStart w:id="180" w:name="_Toc44606673"/>
      <w:r>
        <w:rPr>
          <w:rFonts w:hint="eastAsia" w:ascii="宋体" w:hAnsi="宋体" w:eastAsia="宋体" w:cs="宋体"/>
          <w:color w:val="auto"/>
          <w:highlight w:val="none"/>
        </w:rPr>
        <w:t>一、工程概况</w:t>
      </w:r>
      <w:bookmarkEnd w:id="179"/>
      <w:bookmarkEnd w:id="180"/>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2. 工程地点：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3. 工程规模：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75" w:firstLineChars="19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 工程</w:t>
      </w:r>
      <w:r>
        <w:rPr>
          <w:rFonts w:hint="eastAsia" w:ascii="宋体" w:hAnsi="宋体" w:eastAsia="宋体" w:cs="宋体"/>
          <w:color w:val="auto"/>
          <w:kern w:val="0"/>
          <w:sz w:val="24"/>
          <w:highlight w:val="none"/>
        </w:rPr>
        <w:t>概算投资额或建筑安装工程费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5"/>
        <w:shd w:val="clear" w:color="auto" w:fill="auto"/>
        <w:rPr>
          <w:rFonts w:hint="eastAsia" w:ascii="宋体" w:hAnsi="宋体" w:eastAsia="宋体" w:cs="宋体"/>
          <w:color w:val="auto"/>
          <w:highlight w:val="none"/>
        </w:rPr>
      </w:pPr>
      <w:bookmarkStart w:id="181" w:name="_Toc44606674"/>
      <w:r>
        <w:rPr>
          <w:rFonts w:hint="eastAsia" w:ascii="宋体" w:hAnsi="宋体" w:eastAsia="宋体" w:cs="宋体"/>
          <w:color w:val="auto"/>
          <w:highlight w:val="none"/>
        </w:rPr>
        <w:t>二、词语限定</w:t>
      </w:r>
      <w:bookmarkEnd w:id="181"/>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协议书中相关词语的含义与通用条件中的定义与解释相同。</w:t>
      </w:r>
    </w:p>
    <w:p>
      <w:pPr>
        <w:pStyle w:val="5"/>
        <w:shd w:val="clear" w:color="auto" w:fill="auto"/>
        <w:rPr>
          <w:rFonts w:hint="eastAsia" w:ascii="宋体" w:hAnsi="宋体" w:eastAsia="宋体" w:cs="宋体"/>
          <w:color w:val="auto"/>
          <w:highlight w:val="none"/>
        </w:rPr>
      </w:pPr>
      <w:bookmarkStart w:id="182" w:name="_Toc476739741"/>
      <w:bookmarkStart w:id="183" w:name="_Toc44606675"/>
      <w:r>
        <w:rPr>
          <w:rFonts w:hint="eastAsia" w:ascii="宋体" w:hAnsi="宋体" w:eastAsia="宋体" w:cs="宋体"/>
          <w:color w:val="auto"/>
          <w:highlight w:val="none"/>
        </w:rPr>
        <w:t>三、组成本合同的文件</w:t>
      </w:r>
      <w:bookmarkEnd w:id="182"/>
      <w:bookmarkEnd w:id="183"/>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1. 协议书；</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2. 中标（成交）通知书（适用于招标工程）或委托书（适用于非招标工程）；</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投标文件（适用于招标工程）或监理与相关服务建议书（适用于非招标工程）；</w:t>
      </w:r>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专用条件；</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5. 通用条件；</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 附录，即：</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附录A  相关服务的范围和内容</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附录B  委托人派遣的人员和提供的</w:t>
      </w:r>
      <w:r>
        <w:rPr>
          <w:rFonts w:hint="eastAsia" w:ascii="宋体" w:hAnsi="宋体" w:eastAsia="宋体" w:cs="宋体"/>
          <w:bCs/>
          <w:color w:val="auto"/>
          <w:sz w:val="24"/>
          <w:highlight w:val="none"/>
        </w:rPr>
        <w:t>房屋、资料</w:t>
      </w:r>
      <w:r>
        <w:rPr>
          <w:rFonts w:hint="eastAsia" w:ascii="宋体" w:hAnsi="宋体" w:eastAsia="宋体" w:cs="宋体"/>
          <w:color w:val="auto"/>
          <w:sz w:val="24"/>
          <w:highlight w:val="none"/>
        </w:rPr>
        <w:t>、设备</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本合同签订后，双方依法签订的补充协议也是本合同文件的组成部分。</w:t>
      </w:r>
    </w:p>
    <w:p>
      <w:pPr>
        <w:pStyle w:val="5"/>
        <w:shd w:val="clear" w:color="auto" w:fill="auto"/>
        <w:rPr>
          <w:rFonts w:hint="eastAsia" w:ascii="宋体" w:hAnsi="宋体" w:eastAsia="宋体" w:cs="宋体"/>
          <w:color w:val="auto"/>
          <w:highlight w:val="none"/>
        </w:rPr>
      </w:pPr>
      <w:bookmarkStart w:id="184" w:name="_Toc476739742"/>
      <w:bookmarkStart w:id="185" w:name="_Toc44606676"/>
      <w:r>
        <w:rPr>
          <w:rFonts w:hint="eastAsia" w:ascii="宋体" w:hAnsi="宋体" w:eastAsia="宋体" w:cs="宋体"/>
          <w:color w:val="auto"/>
          <w:highlight w:val="none"/>
        </w:rPr>
        <w:t>四、总监理工程师</w:t>
      </w:r>
      <w:bookmarkEnd w:id="184"/>
      <w:bookmarkEnd w:id="185"/>
    </w:p>
    <w:p>
      <w:pPr>
        <w:shd w:val="clear" w:color="auto" w:fill="auto"/>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，注册号：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pStyle w:val="5"/>
        <w:shd w:val="clear" w:color="auto" w:fill="auto"/>
        <w:rPr>
          <w:rFonts w:hint="eastAsia" w:ascii="宋体" w:hAnsi="宋体" w:eastAsia="宋体" w:cs="宋体"/>
          <w:color w:val="auto"/>
          <w:highlight w:val="none"/>
        </w:rPr>
      </w:pPr>
      <w:bookmarkStart w:id="186" w:name="_Toc44606677"/>
      <w:bookmarkStart w:id="187" w:name="_Toc476739743"/>
      <w:r>
        <w:rPr>
          <w:rFonts w:hint="eastAsia" w:ascii="宋体" w:hAnsi="宋体" w:eastAsia="宋体" w:cs="宋体"/>
          <w:color w:val="auto"/>
          <w:highlight w:val="none"/>
        </w:rPr>
        <w:t>五、签约酬金</w:t>
      </w:r>
      <w:bookmarkEnd w:id="186"/>
      <w:bookmarkEnd w:id="187"/>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签约酬金（大写）：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包括：</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 监理酬金：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 相关服务酬金：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pPr>
        <w:shd w:val="clear" w:color="auto" w:fill="auto"/>
        <w:adjustRightInd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（1）勘察阶段服务</w:t>
      </w:r>
      <w:r>
        <w:rPr>
          <w:rFonts w:hint="eastAsia" w:ascii="宋体" w:hAnsi="宋体" w:eastAsia="宋体" w:cs="宋体"/>
          <w:color w:val="auto"/>
          <w:sz w:val="24"/>
          <w:highlight w:val="none"/>
        </w:rPr>
        <w:t>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（2）设计阶段服务</w:t>
      </w:r>
      <w:r>
        <w:rPr>
          <w:rFonts w:hint="eastAsia" w:ascii="宋体" w:hAnsi="宋体" w:eastAsia="宋体" w:cs="宋体"/>
          <w:color w:val="auto"/>
          <w:sz w:val="24"/>
          <w:highlight w:val="none"/>
        </w:rPr>
        <w:t>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（3）保修阶段服务</w:t>
      </w:r>
      <w:r>
        <w:rPr>
          <w:rFonts w:hint="eastAsia" w:ascii="宋体" w:hAnsi="宋体" w:eastAsia="宋体" w:cs="宋体"/>
          <w:color w:val="auto"/>
          <w:sz w:val="24"/>
          <w:highlight w:val="none"/>
        </w:rPr>
        <w:t>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sz w:val="24"/>
          <w:highlight w:val="none"/>
        </w:rPr>
        <w:t>其他相关服务酬金：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5"/>
        <w:shd w:val="clear" w:color="auto" w:fill="auto"/>
        <w:rPr>
          <w:rFonts w:hint="eastAsia" w:ascii="宋体" w:hAnsi="宋体" w:eastAsia="宋体" w:cs="宋体"/>
          <w:color w:val="auto"/>
          <w:highlight w:val="none"/>
        </w:rPr>
      </w:pPr>
      <w:bookmarkStart w:id="188" w:name="_Toc44606678"/>
      <w:bookmarkStart w:id="189" w:name="_Toc476739744"/>
      <w:r>
        <w:rPr>
          <w:rFonts w:hint="eastAsia" w:ascii="宋体" w:hAnsi="宋体" w:eastAsia="宋体" w:cs="宋体"/>
          <w:color w:val="auto"/>
          <w:highlight w:val="none"/>
        </w:rPr>
        <w:t>六、期限</w:t>
      </w:r>
      <w:bookmarkEnd w:id="188"/>
      <w:bookmarkEnd w:id="189"/>
    </w:p>
    <w:p>
      <w:pPr>
        <w:shd w:val="clear" w:color="auto" w:fill="auto"/>
        <w:adjustRightInd w:val="0"/>
        <w:snapToGri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sz w:val="24"/>
          <w:highlight w:val="none"/>
        </w:rPr>
        <w:t>监理期限：自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日止（施工全过程监理及缺陷责任期监理）。</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2. </w:t>
      </w:r>
      <w:r>
        <w:rPr>
          <w:rFonts w:hint="eastAsia" w:ascii="宋体" w:hAnsi="宋体" w:eastAsia="宋体" w:cs="宋体"/>
          <w:color w:val="auto"/>
          <w:sz w:val="24"/>
          <w:highlight w:val="none"/>
        </w:rPr>
        <w:t>相关服务期限：</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（1）勘察阶段</w:t>
      </w:r>
      <w:r>
        <w:rPr>
          <w:rFonts w:hint="eastAsia" w:ascii="宋体" w:hAnsi="宋体" w:eastAsia="宋体" w:cs="宋体"/>
          <w:color w:val="auto"/>
          <w:sz w:val="24"/>
          <w:highlight w:val="none"/>
        </w:rPr>
        <w:t>服务期限自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（2）设计阶段</w:t>
      </w:r>
      <w:r>
        <w:rPr>
          <w:rFonts w:hint="eastAsia" w:ascii="宋体" w:hAnsi="宋体" w:eastAsia="宋体" w:cs="宋体"/>
          <w:color w:val="auto"/>
          <w:sz w:val="24"/>
          <w:highlight w:val="none"/>
        </w:rPr>
        <w:t>服务期限自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（3）保修阶段</w:t>
      </w:r>
      <w:r>
        <w:rPr>
          <w:rFonts w:hint="eastAsia" w:ascii="宋体" w:hAnsi="宋体" w:eastAsia="宋体" w:cs="宋体"/>
          <w:color w:val="auto"/>
          <w:sz w:val="24"/>
          <w:highlight w:val="none"/>
        </w:rPr>
        <w:t>服务期限自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pPr>
        <w:shd w:val="clear" w:color="auto" w:fill="auto"/>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sz w:val="24"/>
          <w:highlight w:val="none"/>
        </w:rPr>
        <w:t>其他相关服务期限自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pPr>
        <w:pStyle w:val="5"/>
        <w:shd w:val="clear" w:color="auto" w:fill="auto"/>
        <w:rPr>
          <w:rFonts w:hint="eastAsia" w:ascii="宋体" w:hAnsi="宋体" w:eastAsia="宋体" w:cs="宋体"/>
          <w:color w:val="auto"/>
          <w:highlight w:val="none"/>
        </w:rPr>
      </w:pPr>
      <w:bookmarkStart w:id="190" w:name="_Toc44606679"/>
      <w:bookmarkStart w:id="191" w:name="_Toc476739745"/>
      <w:r>
        <w:rPr>
          <w:rFonts w:hint="eastAsia" w:ascii="宋体" w:hAnsi="宋体" w:eastAsia="宋体" w:cs="宋体"/>
          <w:color w:val="auto"/>
          <w:highlight w:val="none"/>
        </w:rPr>
        <w:t>七、双方承诺</w:t>
      </w:r>
      <w:bookmarkEnd w:id="190"/>
      <w:bookmarkEnd w:id="191"/>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bookmarkStart w:id="192" w:name="_Toc44605524"/>
      <w:bookmarkStart w:id="193" w:name="_Toc476739746"/>
      <w:bookmarkStart w:id="194" w:name="_Toc44605045"/>
      <w:bookmarkStart w:id="195" w:name="_Toc44605360"/>
      <w:r>
        <w:rPr>
          <w:rFonts w:hint="eastAsia" w:ascii="宋体" w:hAnsi="宋体" w:eastAsia="宋体" w:cs="宋体"/>
          <w:color w:val="auto"/>
          <w:sz w:val="24"/>
          <w:highlight w:val="none"/>
        </w:rPr>
        <w:t>1. 监理人向委托人承诺，按照本合同约定提供监理与相关服务。</w:t>
      </w:r>
      <w:bookmarkEnd w:id="192"/>
      <w:bookmarkEnd w:id="193"/>
      <w:bookmarkEnd w:id="194"/>
      <w:bookmarkEnd w:id="195"/>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bookmarkStart w:id="196" w:name="_Toc44605525"/>
      <w:bookmarkStart w:id="197" w:name="_Toc44605046"/>
      <w:bookmarkStart w:id="198" w:name="_Toc476739747"/>
      <w:bookmarkStart w:id="199" w:name="_Toc44605361"/>
      <w:r>
        <w:rPr>
          <w:rFonts w:hint="eastAsia" w:ascii="宋体" w:hAnsi="宋体" w:eastAsia="宋体" w:cs="宋体"/>
          <w:color w:val="auto"/>
          <w:sz w:val="24"/>
          <w:highlight w:val="none"/>
        </w:rPr>
        <w:t>2. 委托人向监理人承诺，按照本合同约定派遣相应的人员，提供协助（房屋、资料、设备监理人自备），并按本合同约定支付酬金。</w:t>
      </w:r>
      <w:bookmarkEnd w:id="196"/>
      <w:bookmarkEnd w:id="197"/>
      <w:bookmarkEnd w:id="198"/>
      <w:bookmarkEnd w:id="199"/>
    </w:p>
    <w:p>
      <w:pPr>
        <w:pStyle w:val="5"/>
        <w:shd w:val="clear" w:color="auto" w:fill="auto"/>
        <w:rPr>
          <w:rFonts w:hint="eastAsia" w:ascii="宋体" w:hAnsi="宋体" w:eastAsia="宋体" w:cs="宋体"/>
          <w:color w:val="auto"/>
          <w:highlight w:val="none"/>
        </w:rPr>
      </w:pPr>
      <w:bookmarkStart w:id="200" w:name="_Toc44606680"/>
      <w:bookmarkStart w:id="201" w:name="_Toc476739748"/>
      <w:r>
        <w:rPr>
          <w:rFonts w:hint="eastAsia" w:ascii="宋体" w:hAnsi="宋体" w:eastAsia="宋体" w:cs="宋体"/>
          <w:color w:val="auto"/>
          <w:highlight w:val="none"/>
        </w:rPr>
        <w:t>八、合同订立</w:t>
      </w:r>
      <w:bookmarkEnd w:id="200"/>
      <w:bookmarkEnd w:id="201"/>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1. 订立时间：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2. 订立地点：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3. 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份，具有同等法律效力，双方各执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pStyle w:val="14"/>
        <w:shd w:val="clear" w:color="auto" w:fill="auto"/>
        <w:rPr>
          <w:rFonts w:hint="eastAsia" w:ascii="宋体" w:hAnsi="宋体" w:eastAsia="宋体" w:cs="宋体"/>
          <w:color w:val="auto"/>
          <w:highlight w:val="none"/>
        </w:rPr>
      </w:pP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r>
        <w:rPr>
          <w:rFonts w:hint="eastAsia" w:ascii="宋体" w:hAnsi="宋体" w:eastAsia="宋体" w:cs="宋体"/>
          <w:color w:val="auto"/>
          <w:sz w:val="24"/>
          <w:highlight w:val="none"/>
          <w:u w:val="single"/>
        </w:rPr>
        <w:t xml:space="preserve">    （盖章）     </w:t>
      </w:r>
      <w:r>
        <w:rPr>
          <w:rFonts w:hint="eastAsia" w:ascii="宋体" w:hAnsi="宋体" w:eastAsia="宋体" w:cs="宋体"/>
          <w:color w:val="auto"/>
          <w:sz w:val="24"/>
          <w:highlight w:val="none"/>
        </w:rPr>
        <w:t xml:space="preserve">         监理人：</w:t>
      </w:r>
      <w:r>
        <w:rPr>
          <w:rFonts w:hint="eastAsia" w:ascii="宋体" w:hAnsi="宋体" w:eastAsia="宋体" w:cs="宋体"/>
          <w:color w:val="auto"/>
          <w:sz w:val="24"/>
          <w:highlight w:val="none"/>
          <w:u w:val="single"/>
        </w:rPr>
        <w:t xml:space="preserve">    （盖章）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住所：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住所： </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（签字）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授权的代理人：</w:t>
      </w:r>
      <w:r>
        <w:rPr>
          <w:rFonts w:hint="eastAsia" w:ascii="宋体" w:hAnsi="宋体" w:eastAsia="宋体" w:cs="宋体"/>
          <w:color w:val="auto"/>
          <w:sz w:val="24"/>
          <w:highlight w:val="none"/>
          <w:u w:val="single"/>
        </w:rPr>
        <w:t xml:space="preserve">  （签字）    </w:t>
      </w:r>
      <w:r>
        <w:rPr>
          <w:rFonts w:hint="eastAsia" w:ascii="宋体" w:hAnsi="宋体" w:eastAsia="宋体" w:cs="宋体"/>
          <w:color w:val="auto"/>
          <w:sz w:val="24"/>
          <w:highlight w:val="none"/>
        </w:rPr>
        <w:t xml:space="preserve">      授权的代理人：</w:t>
      </w:r>
      <w:r>
        <w:rPr>
          <w:rFonts w:hint="eastAsia" w:ascii="宋体" w:hAnsi="宋体" w:eastAsia="宋体" w:cs="宋体"/>
          <w:color w:val="auto"/>
          <w:sz w:val="24"/>
          <w:highlight w:val="none"/>
          <w:u w:val="single"/>
        </w:rPr>
        <w:t xml:space="preserve">  （签字）         </w:t>
      </w:r>
    </w:p>
    <w:p>
      <w:pPr>
        <w:shd w:val="clear" w:color="auto" w:fill="auto"/>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经办人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（签字）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经办人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（签字）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账号：</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auto"/>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hd w:val="clear" w:color="auto" w:fill="auto"/>
        <w:adjustRightInd w:val="0"/>
        <w:snapToGrid w:val="0"/>
        <w:spacing w:line="360" w:lineRule="auto"/>
        <w:ind w:firstLine="475" w:firstLineChars="198"/>
        <w:rPr>
          <w:rFonts w:hint="eastAsia" w:ascii="宋体" w:hAnsi="宋体" w:eastAsia="宋体" w:cs="宋体"/>
          <w:color w:val="auto"/>
          <w:sz w:val="30"/>
          <w:szCs w:val="30"/>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pStyle w:val="14"/>
        <w:shd w:val="clear" w:color="auto" w:fill="auto"/>
        <w:rPr>
          <w:rFonts w:hint="eastAsia" w:ascii="宋体" w:hAnsi="宋体" w:eastAsia="宋体" w:cs="宋体"/>
          <w:color w:val="auto"/>
          <w:sz w:val="30"/>
          <w:szCs w:val="30"/>
          <w:highlight w:val="none"/>
        </w:rPr>
      </w:pPr>
    </w:p>
    <w:p>
      <w:pPr>
        <w:pStyle w:val="14"/>
        <w:shd w:val="clear" w:color="auto" w:fill="auto"/>
        <w:rPr>
          <w:rFonts w:hint="eastAsia" w:ascii="宋体" w:hAnsi="宋体" w:eastAsia="宋体" w:cs="宋体"/>
          <w:color w:val="auto"/>
          <w:sz w:val="30"/>
          <w:szCs w:val="30"/>
          <w:highlight w:val="none"/>
        </w:rPr>
      </w:pPr>
    </w:p>
    <w:p>
      <w:pPr>
        <w:pStyle w:val="14"/>
        <w:shd w:val="clear" w:color="auto" w:fill="auto"/>
        <w:rPr>
          <w:rFonts w:hint="eastAsia" w:ascii="宋体" w:hAnsi="宋体" w:eastAsia="宋体" w:cs="宋体"/>
          <w:color w:val="auto"/>
          <w:sz w:val="30"/>
          <w:szCs w:val="30"/>
          <w:highlight w:val="none"/>
        </w:rPr>
      </w:pPr>
    </w:p>
    <w:p>
      <w:pPr>
        <w:pStyle w:val="14"/>
        <w:shd w:val="clear" w:color="auto" w:fill="auto"/>
        <w:rPr>
          <w:rFonts w:hint="eastAsia" w:ascii="宋体" w:hAnsi="宋体" w:eastAsia="宋体" w:cs="宋体"/>
          <w:color w:val="auto"/>
          <w:sz w:val="30"/>
          <w:szCs w:val="30"/>
          <w:highlight w:val="none"/>
        </w:rPr>
      </w:pP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shd w:val="clear" w:color="auto" w:fill="auto"/>
        <w:autoSpaceDE w:val="0"/>
        <w:autoSpaceDN w:val="0"/>
        <w:adjustRightInd w:val="0"/>
        <w:spacing w:line="360" w:lineRule="auto"/>
        <w:jc w:val="center"/>
        <w:rPr>
          <w:rFonts w:hint="eastAsia" w:ascii="宋体" w:hAnsi="宋体" w:eastAsia="宋体" w:cs="宋体"/>
          <w:color w:val="auto"/>
          <w:sz w:val="30"/>
          <w:szCs w:val="30"/>
          <w:highlight w:val="none"/>
        </w:rPr>
      </w:pPr>
    </w:p>
    <w:p>
      <w:pPr>
        <w:pStyle w:val="52"/>
        <w:shd w:val="clear" w:color="auto" w:fill="auto"/>
        <w:spacing w:before="0" w:after="0" w:line="360" w:lineRule="auto"/>
        <w:jc w:val="center"/>
        <w:rPr>
          <w:rFonts w:hint="eastAsia" w:ascii="宋体" w:hAnsi="宋体" w:eastAsia="宋体" w:cs="宋体"/>
          <w:color w:val="auto"/>
          <w:highlight w:val="none"/>
        </w:rPr>
      </w:pPr>
      <w:bookmarkStart w:id="202" w:name="_Toc44606393"/>
      <w:bookmarkStart w:id="203" w:name="_Toc44606408"/>
      <w:bookmarkStart w:id="204" w:name="_Toc77444699"/>
      <w:bookmarkStart w:id="205" w:name="_Toc44606681"/>
      <w:bookmarkStart w:id="206" w:name="_Toc44606372"/>
      <w:bookmarkStart w:id="207" w:name="_Toc26385"/>
      <w:r>
        <w:rPr>
          <w:rFonts w:hint="eastAsia" w:ascii="宋体" w:hAnsi="宋体" w:eastAsia="宋体" w:cs="宋体"/>
          <w:color w:val="auto"/>
          <w:highlight w:val="none"/>
        </w:rPr>
        <w:t>第二部分  通用条件</w:t>
      </w:r>
      <w:bookmarkEnd w:id="202"/>
      <w:bookmarkEnd w:id="203"/>
      <w:bookmarkEnd w:id="204"/>
      <w:bookmarkEnd w:id="205"/>
      <w:bookmarkEnd w:id="206"/>
      <w:bookmarkEnd w:id="207"/>
    </w:p>
    <w:p>
      <w:pPr>
        <w:pStyle w:val="5"/>
        <w:shd w:val="clear" w:color="auto" w:fill="auto"/>
        <w:spacing w:line="360" w:lineRule="auto"/>
        <w:rPr>
          <w:rFonts w:hint="eastAsia" w:ascii="宋体" w:hAnsi="宋体" w:eastAsia="宋体" w:cs="宋体"/>
          <w:color w:val="auto"/>
          <w:sz w:val="24"/>
          <w:szCs w:val="24"/>
          <w:highlight w:val="none"/>
        </w:rPr>
      </w:pPr>
      <w:bookmarkStart w:id="208" w:name="_Toc44606682"/>
      <w:r>
        <w:rPr>
          <w:rFonts w:hint="eastAsia" w:ascii="宋体" w:hAnsi="宋体" w:eastAsia="宋体" w:cs="宋体"/>
          <w:color w:val="auto"/>
          <w:sz w:val="24"/>
          <w:szCs w:val="24"/>
          <w:highlight w:val="none"/>
        </w:rPr>
        <w:t>1. 定义与解释</w:t>
      </w:r>
      <w:bookmarkEnd w:id="208"/>
    </w:p>
    <w:p>
      <w:pPr>
        <w:shd w:val="clear" w:color="auto" w:fill="auto"/>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bCs/>
          <w:color w:val="auto"/>
          <w:sz w:val="24"/>
          <w:szCs w:val="24"/>
          <w:highlight w:val="none"/>
        </w:rPr>
        <w:t>定义</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“监理人”是指本合同中提供监理与相关服务的一方，及其合法的继承人。</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pPr>
        <w:pStyle w:val="17"/>
        <w:shd w:val="clear" w:color="auto" w:fill="auto"/>
        <w:spacing w:line="360" w:lineRule="auto"/>
        <w:ind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“正常工作”指本合同订立时通用条件和专用条件中约定的监理人的工作。</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pPr>
        <w:shd w:val="clear" w:color="auto" w:fill="auto"/>
        <w:adjustRightInd w:val="0"/>
        <w:snapToGrid w:val="0"/>
        <w:spacing w:line="360" w:lineRule="auto"/>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pPr>
        <w:shd w:val="clear" w:color="auto" w:fill="auto"/>
        <w:adjustRightInd w:val="0"/>
        <w:snapToGrid w:val="0"/>
        <w:spacing w:line="360" w:lineRule="auto"/>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w:t>
      </w:r>
      <w:r>
        <w:rPr>
          <w:rFonts w:hint="eastAsia" w:ascii="宋体" w:hAnsi="宋体" w:eastAsia="宋体" w:cs="宋体"/>
          <w:color w:val="auto"/>
          <w:kern w:val="0"/>
          <w:sz w:val="24"/>
          <w:szCs w:val="24"/>
          <w:highlight w:val="none"/>
        </w:rPr>
        <w:t>酬金”</w:t>
      </w:r>
      <w:r>
        <w:rPr>
          <w:rFonts w:hint="eastAsia" w:ascii="宋体" w:hAnsi="宋体" w:eastAsia="宋体" w:cs="宋体"/>
          <w:color w:val="auto"/>
          <w:sz w:val="24"/>
          <w:szCs w:val="24"/>
          <w:highlight w:val="none"/>
        </w:rPr>
        <w:t>是指监理人完成正常工作，委托人应给付监理人并在协议书中载明的签约</w:t>
      </w:r>
      <w:r>
        <w:rPr>
          <w:rFonts w:hint="eastAsia" w:ascii="宋体" w:hAnsi="宋体" w:eastAsia="宋体" w:cs="宋体"/>
          <w:color w:val="auto"/>
          <w:kern w:val="0"/>
          <w:sz w:val="24"/>
          <w:szCs w:val="24"/>
          <w:highlight w:val="none"/>
        </w:rPr>
        <w:t>酬金额</w:t>
      </w:r>
      <w:r>
        <w:rPr>
          <w:rFonts w:hint="eastAsia" w:ascii="宋体" w:hAnsi="宋体" w:eastAsia="宋体" w:cs="宋体"/>
          <w:color w:val="auto"/>
          <w:sz w:val="24"/>
          <w:szCs w:val="24"/>
          <w:highlight w:val="none"/>
        </w:rPr>
        <w:t>。</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“一方”是指委托人或监理人；“双方”是指委托人和监理人；“第三方”是指除委托人和监理人以外的有关方。</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“书面形式”是指合同书、信件和数据电文（包括电报、电传、传真、电子数据交换和电子邮件）等可以有形地表现所载内容的形式。</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“天”是指第一天零时至第二天零时的时间。</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“月”是指按公历从一个月中任何一天开始的一个公历月时间。</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不可抗力”是指委托人和监理人在订立本合同时不可预见，在工程施工过程中不可避免发生并不能克服的自然灾害和社会性突发事件，如地震、海啸、瘟疫、水灾、骚乱、暴动、战争和专用条件约定的其他情形。</w:t>
      </w:r>
    </w:p>
    <w:p>
      <w:pPr>
        <w:shd w:val="clear" w:color="auto" w:fill="auto"/>
        <w:adjustRightInd w:val="0"/>
        <w:snapToGri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color w:val="auto"/>
          <w:sz w:val="24"/>
          <w:szCs w:val="24"/>
          <w:highlight w:val="none"/>
        </w:rPr>
        <w:t>解释</w:t>
      </w:r>
    </w:p>
    <w:p>
      <w:pPr>
        <w:shd w:val="clear" w:color="auto" w:fill="auto"/>
        <w:tabs>
          <w:tab w:val="left" w:pos="6140"/>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本合同使用中文书写、解释和说明。如专用条件约定使用两种及以上语言文字时，应以中文为准。</w:t>
      </w:r>
    </w:p>
    <w:p>
      <w:pPr>
        <w:shd w:val="clear" w:color="auto" w:fill="auto"/>
        <w:tabs>
          <w:tab w:val="left" w:pos="6140"/>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组成本合同的下列文件彼此应能相互解释、互为说明。除专用条件另有约定外，本合同文件的解释顺序如下：</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（2）中标（成交）通知书（适用于招标工程）或委托书（适用于非招标工程）；</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（3）专用条件及附录A、附录B；</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（4）通用条件；</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（5）投标文件（适用于招标工程）或监理与相关服务建议书（适用于非招标工程）。</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双方签订的补充协议与其他文件发生矛盾或歧义时，属于同一类内容的文件，应以最新签署的为准。</w:t>
      </w:r>
    </w:p>
    <w:p>
      <w:pPr>
        <w:pStyle w:val="5"/>
        <w:shd w:val="clear" w:color="auto" w:fill="auto"/>
        <w:spacing w:line="360" w:lineRule="auto"/>
        <w:rPr>
          <w:rFonts w:hint="eastAsia" w:ascii="宋体" w:hAnsi="宋体" w:eastAsia="宋体" w:cs="宋体"/>
          <w:color w:val="auto"/>
          <w:sz w:val="24"/>
          <w:szCs w:val="24"/>
          <w:highlight w:val="none"/>
        </w:rPr>
      </w:pPr>
      <w:bookmarkStart w:id="209" w:name="_Toc44606683"/>
      <w:r>
        <w:rPr>
          <w:rFonts w:hint="eastAsia" w:ascii="宋体" w:hAnsi="宋体" w:eastAsia="宋体" w:cs="宋体"/>
          <w:color w:val="auto"/>
          <w:sz w:val="24"/>
          <w:szCs w:val="24"/>
          <w:highlight w:val="none"/>
        </w:rPr>
        <w:t>2. 监理人的义务</w:t>
      </w:r>
      <w:bookmarkEnd w:id="209"/>
    </w:p>
    <w:p>
      <w:pPr>
        <w:shd w:val="clear" w:color="auto" w:fill="auto"/>
        <w:adjustRightInd w:val="0"/>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2.1 监理的范围和工作内容</w:t>
      </w:r>
    </w:p>
    <w:p>
      <w:pPr>
        <w:shd w:val="clear" w:color="auto" w:fill="auto"/>
        <w:adjustRightInd w:val="0"/>
        <w:snapToGrid w:val="0"/>
        <w:spacing w:line="360" w:lineRule="auto"/>
        <w:ind w:left="42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监理范围在专用条件中约定。</w:t>
      </w:r>
    </w:p>
    <w:p>
      <w:pPr>
        <w:shd w:val="clear" w:color="auto" w:fill="auto"/>
        <w:adjustRightInd w:val="0"/>
        <w:snapToGrid w:val="0"/>
        <w:spacing w:line="360" w:lineRule="auto"/>
        <w:ind w:left="42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除专用条件另有约定外，监理工作内容包括：</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（3）参加由委托人主持的第一次工地会议；主持监理例会并根据工程需要主持或参加专题会议；</w:t>
      </w:r>
    </w:p>
    <w:p>
      <w:pPr>
        <w:shd w:val="clear" w:color="auto" w:fill="auto"/>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（4）审查施工承包人提交的施工组织设计，重点审查其中的质量安全技术措施、专项施工方案与工程建设强制性标准的符合性；</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（5）检查施工承包人工程质量、安全生产管理制度及组织机构和人员资格； </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（6）检查施工承包人专职安全生产管理人员的配备情况；</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（7）审查施工承包人提交的施工进度计划，核查承包人对施工进度计划的调整；</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（9）审核施工分包人资质条件；</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（10）查验施工承包人的施工测量放线成果；</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pPr>
        <w:shd w:val="clear" w:color="auto" w:fill="auto"/>
        <w:adjustRightInd w:val="0"/>
        <w:snapToGrid w:val="0"/>
        <w:spacing w:line="360" w:lineRule="auto"/>
        <w:ind w:left="-97" w:leftChars="-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（13）审核施工承包人提交的工程款支付申请，签发或出具工程款支付证书，并报委托人审核、批准；</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（14）在巡视、旁站和检验过程中，发现工程质量、施工安全存在事故隐患的，要求施工承包人整改并报委托人；</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（15）经委托人同意，签发工程暂停令和复工令；</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（16）审查施工承包人提交的采用新材料、新工艺、新技术、新设备的论证材料及相关验收标准；</w:t>
      </w:r>
    </w:p>
    <w:p>
      <w:pPr>
        <w:shd w:val="clear" w:color="auto" w:fill="auto"/>
        <w:adjustRightInd w:val="0"/>
        <w:snapToGrid w:val="0"/>
        <w:spacing w:line="360" w:lineRule="auto"/>
        <w:ind w:firstLine="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（17）验收隐蔽工程、分部分项工程；</w:t>
      </w:r>
    </w:p>
    <w:p>
      <w:pPr>
        <w:shd w:val="clear" w:color="auto" w:fill="auto"/>
        <w:adjustRightInd w:val="0"/>
        <w:snapToGrid w:val="0"/>
        <w:spacing w:line="360" w:lineRule="auto"/>
        <w:ind w:firstLine="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（18）审查施工承包人提交的工程变更申请，协调处理施工进度调整、费用索赔、合同争议等事项；</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（19）审查施工承包人提交的竣工验收申请，编写工程质量评估报告；</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（20）参加工程竣工验收，签署竣工验收意见；</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（21）审查施工承包人提交的竣工结算申请并报委托人；</w:t>
      </w:r>
    </w:p>
    <w:p>
      <w:pPr>
        <w:shd w:val="clear" w:color="auto" w:fill="auto"/>
        <w:adjustRightInd w:val="0"/>
        <w:snapToGrid w:val="0"/>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（22）编制、整理工程监理归档文件并报委托人。</w:t>
      </w:r>
    </w:p>
    <w:p>
      <w:pPr>
        <w:shd w:val="clear" w:color="auto" w:fill="auto"/>
        <w:spacing w:line="360" w:lineRule="auto"/>
        <w:ind w:left="420" w:leftChars="200"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pPr>
        <w:shd w:val="clear" w:color="auto" w:fill="auto"/>
        <w:spacing w:line="360" w:lineRule="auto"/>
        <w:ind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2.2 </w:t>
      </w:r>
      <w:r>
        <w:rPr>
          <w:rFonts w:hint="eastAsia" w:ascii="宋体" w:hAnsi="宋体" w:eastAsia="宋体" w:cs="宋体"/>
          <w:bCs/>
          <w:color w:val="auto"/>
          <w:sz w:val="24"/>
          <w:szCs w:val="24"/>
          <w:highlight w:val="none"/>
        </w:rPr>
        <w:t>监理与相关服务依据</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pPr>
        <w:shd w:val="clear" w:color="auto" w:fill="auto"/>
        <w:adjustRightInd w:val="0"/>
        <w:snapToGri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pPr>
        <w:shd w:val="clear" w:color="auto" w:fill="auto"/>
        <w:adjustRightInd w:val="0"/>
        <w:snapToGri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pPr>
        <w:shd w:val="clear" w:color="auto" w:fill="auto"/>
        <w:adjustRightInd w:val="0"/>
        <w:snapToGri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pPr>
        <w:shd w:val="clear" w:color="auto" w:fill="auto"/>
        <w:adjustRightInd w:val="0"/>
        <w:snapToGri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pPr>
        <w:shd w:val="clear" w:color="auto" w:fill="auto"/>
        <w:spacing w:line="360" w:lineRule="auto"/>
        <w:ind w:left="210" w:leftChars="10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双方根据工程的行业和地域特点，在专用条件中具体约定监理依据。</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pPr>
        <w:shd w:val="clear" w:color="auto" w:fill="auto"/>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项目监理机构和人员</w:t>
      </w:r>
    </w:p>
    <w:p>
      <w:pPr>
        <w:shd w:val="clear" w:color="auto" w:fill="auto"/>
        <w:adjustRightInd w:val="0"/>
        <w:snapToGrid w:val="0"/>
        <w:spacing w:line="360" w:lineRule="auto"/>
        <w:ind w:firstLine="64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监理人应组建满足工作需要的项目监理机构，配备必要的检测设备。项目监理机构的主要人员应具有相应的资格条件。</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本合同履行过程中，总监理工程师及重要岗位监理人员应保持相对稳定，以保证监理工作正常进行。</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 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 监理人应及时更换有下列情形之一的监理人员：</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（1）严重过失行为的；</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（2）有违法行为不能履行职责的；</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（3）涉嫌犯罪的；</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（4）不能胜任岗位职责的；</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（5）严重违反职业道德的；</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（6）专用条件约定的其他情形。</w:t>
      </w:r>
    </w:p>
    <w:p>
      <w:pPr>
        <w:shd w:val="clear" w:color="auto" w:fill="auto"/>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2.3.5 委托人可要求监理人更换不能胜任本职工作的项目监理机构人员。</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履行职责</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监理人应遵循职业道德准则和行为规范，严格按照法律法规、工程建设有关标准及本合同履行职责。</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当委托人与承包人之间的合同争议提交仲裁机构仲裁或人民法院审理时，监理人应提供必要的证明资料。</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监理人应在专用条件约定的授权范围内，处理委托人与承包人所签订合同的变更事宜。如果变更超过授权范围，应以书面形式报委托人批准。</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在紧急情况下，为了保护财产和人身安全，监理人所发出的指令未能事先报委托人批准时，应在发出指令后的24小时内以书面形式报委托人。</w:t>
      </w:r>
    </w:p>
    <w:p>
      <w:pPr>
        <w:shd w:val="clear" w:color="auto" w:fill="auto"/>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除专用条件另有约定外，监理人发现承包人的人员不能胜任本职工作的，有权要求承包人予以调换。</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提交报告</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监理人应按专用条件约定的种类、时间和份数向委托人提交监理与相关服务的报告。</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文件资料</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在本合同履行期内，监理人应在现场保留工作所用的图纸、报告及记录监理工</w:t>
      </w:r>
      <w:r>
        <w:rPr>
          <w:rFonts w:hint="eastAsia" w:ascii="宋体" w:hAnsi="宋体" w:eastAsia="宋体" w:cs="宋体"/>
          <w:color w:val="auto"/>
          <w:sz w:val="24"/>
          <w:szCs w:val="24"/>
          <w:highlight w:val="none"/>
        </w:rPr>
        <w:t>作的相关文件。工程竣工后，应当按照档案管理规定将监理有关文件归档。</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使用委托人的财产</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5"/>
        <w:shd w:val="clear" w:color="auto" w:fill="auto"/>
        <w:spacing w:line="360" w:lineRule="auto"/>
        <w:rPr>
          <w:rFonts w:hint="eastAsia" w:ascii="宋体" w:hAnsi="宋体" w:eastAsia="宋体" w:cs="宋体"/>
          <w:color w:val="auto"/>
          <w:sz w:val="24"/>
          <w:szCs w:val="24"/>
          <w:highlight w:val="none"/>
        </w:rPr>
      </w:pPr>
      <w:bookmarkStart w:id="210" w:name="_Toc44606684"/>
      <w:r>
        <w:rPr>
          <w:rFonts w:hint="eastAsia" w:ascii="宋体" w:hAnsi="宋体" w:eastAsia="宋体" w:cs="宋体"/>
          <w:color w:val="auto"/>
          <w:sz w:val="24"/>
          <w:szCs w:val="24"/>
          <w:highlight w:val="none"/>
        </w:rPr>
        <w:t>3．委托人的义务</w:t>
      </w:r>
      <w:bookmarkEnd w:id="210"/>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告知</w:t>
      </w:r>
    </w:p>
    <w:p>
      <w:pPr>
        <w:shd w:val="clear" w:color="auto" w:fill="auto"/>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委托人应在委托人与承包人签订的合同中明确监理人、总监理工程师和授予项目监理机构的权限。如有变更，应及时通知承包人。</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提供资料</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委托人应按照附录B约定，无偿向监理人提供工程有关的资料。</w:t>
      </w:r>
      <w:r>
        <w:rPr>
          <w:rFonts w:hint="eastAsia" w:ascii="宋体" w:hAnsi="宋体" w:eastAsia="宋体" w:cs="宋体"/>
          <w:color w:val="auto"/>
          <w:sz w:val="24"/>
          <w:szCs w:val="24"/>
          <w:highlight w:val="none"/>
        </w:rPr>
        <w:t>在本合同履行过程中，委托人应及时向监理人提供最新的与工程有关的资料。</w:t>
      </w:r>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提供工作条件</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3.3.1 </w:t>
      </w:r>
      <w:r>
        <w:rPr>
          <w:rFonts w:hint="eastAsia" w:ascii="宋体" w:hAnsi="宋体" w:eastAsia="宋体" w:cs="宋体"/>
          <w:color w:val="auto"/>
          <w:sz w:val="24"/>
          <w:szCs w:val="24"/>
          <w:highlight w:val="none"/>
        </w:rPr>
        <w:t>委托人应按照附录B约定，派遣相应的人员，提供房屋、设备，供监理人</w:t>
      </w:r>
      <w:r>
        <w:rPr>
          <w:rFonts w:hint="eastAsia" w:ascii="宋体" w:hAnsi="宋体" w:eastAsia="宋体" w:cs="宋体"/>
          <w:color w:val="auto"/>
          <w:kern w:val="0"/>
          <w:sz w:val="24"/>
          <w:szCs w:val="24"/>
          <w:highlight w:val="none"/>
        </w:rPr>
        <w:t>无偿</w:t>
      </w:r>
      <w:r>
        <w:rPr>
          <w:rFonts w:hint="eastAsia" w:ascii="宋体" w:hAnsi="宋体" w:eastAsia="宋体" w:cs="宋体"/>
          <w:color w:val="auto"/>
          <w:sz w:val="24"/>
          <w:szCs w:val="24"/>
          <w:highlight w:val="none"/>
        </w:rPr>
        <w:t>使用。</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3.3.2 </w:t>
      </w:r>
      <w:r>
        <w:rPr>
          <w:rFonts w:hint="eastAsia" w:ascii="宋体" w:hAnsi="宋体" w:eastAsia="宋体" w:cs="宋体"/>
          <w:color w:val="auto"/>
          <w:sz w:val="24"/>
          <w:szCs w:val="24"/>
          <w:highlight w:val="none"/>
        </w:rPr>
        <w:t>委托人应负责协调工程建设中所有外部关系，为监理人履行本合同提供必要的外部条件。</w:t>
      </w:r>
    </w:p>
    <w:p>
      <w:pPr>
        <w:shd w:val="clear" w:color="auto" w:fill="auto"/>
        <w:snapToGrid w:val="0"/>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委托人代表</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hd w:val="clear" w:color="auto" w:fill="auto"/>
        <w:snapToGrid w:val="0"/>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委托人意见或要求</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pPr>
        <w:shd w:val="clear" w:color="auto" w:fill="auto"/>
        <w:snapToGrid w:val="0"/>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答复</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pPr>
        <w:shd w:val="clear" w:color="auto" w:fill="auto"/>
        <w:snapToGrid w:val="0"/>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支付</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pPr>
        <w:pStyle w:val="5"/>
        <w:shd w:val="clear" w:color="auto" w:fill="auto"/>
        <w:spacing w:line="360" w:lineRule="auto"/>
        <w:rPr>
          <w:rFonts w:hint="eastAsia" w:ascii="宋体" w:hAnsi="宋体" w:eastAsia="宋体" w:cs="宋体"/>
          <w:color w:val="auto"/>
          <w:sz w:val="24"/>
          <w:szCs w:val="24"/>
          <w:highlight w:val="none"/>
        </w:rPr>
      </w:pPr>
      <w:bookmarkStart w:id="211" w:name="_Toc44606685"/>
      <w:r>
        <w:rPr>
          <w:rFonts w:hint="eastAsia" w:ascii="宋体" w:hAnsi="宋体" w:eastAsia="宋体" w:cs="宋体"/>
          <w:color w:val="auto"/>
          <w:sz w:val="24"/>
          <w:szCs w:val="24"/>
          <w:highlight w:val="none"/>
        </w:rPr>
        <w:t>4. 违约责任</w:t>
      </w:r>
      <w:bookmarkEnd w:id="211"/>
    </w:p>
    <w:p>
      <w:pPr>
        <w:shd w:val="clear" w:color="auto" w:fill="auto"/>
        <w:spacing w:line="360" w:lineRule="auto"/>
        <w:ind w:left="210" w:left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监理人的违约责任</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监理人未履行本合同义务的，应承担相应的责任。</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因监理人违反本合同约定</w:t>
      </w:r>
      <w:r>
        <w:rPr>
          <w:rFonts w:hint="eastAsia" w:ascii="宋体" w:hAnsi="宋体" w:eastAsia="宋体" w:cs="宋体"/>
          <w:color w:val="auto"/>
          <w:sz w:val="24"/>
          <w:szCs w:val="24"/>
          <w:highlight w:val="none"/>
        </w:rPr>
        <w:t>给委托人造成损失的，监理人应当赔偿委托人损失</w:t>
      </w:r>
      <w:r>
        <w:rPr>
          <w:rFonts w:hint="eastAsia" w:ascii="宋体" w:hAnsi="宋体" w:eastAsia="宋体" w:cs="宋体"/>
          <w:color w:val="auto"/>
          <w:kern w:val="0"/>
          <w:sz w:val="24"/>
          <w:szCs w:val="24"/>
          <w:highlight w:val="none"/>
        </w:rPr>
        <w:t>。赔偿金额的确定方法在专用条件中约定。监理人承担部分赔偿责任的，其承担赔偿金额由双方协商确定。</w:t>
      </w:r>
    </w:p>
    <w:p>
      <w:pPr>
        <w:shd w:val="clear" w:color="auto" w:fill="auto"/>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监理人向委托人的索赔不成立时，监理人应赔偿委托人由此发生的费用。</w:t>
      </w:r>
    </w:p>
    <w:p>
      <w:pPr>
        <w:shd w:val="clear" w:color="auto" w:fill="auto"/>
        <w:snapToGrid w:val="0"/>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委托人的违约责任</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委托人未履行本合同义务的，应承担相应的责任。</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 委托人违反本合同约定造成监理人损失的，委托人应予以赔偿。</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 委托人向监理人的索赔不成立时，应赔偿监理人由此引起的费用。</w:t>
      </w:r>
    </w:p>
    <w:p>
      <w:pPr>
        <w:shd w:val="clear" w:color="auto" w:fill="auto"/>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4.2.3 </w:t>
      </w:r>
      <w:r>
        <w:rPr>
          <w:rFonts w:hint="eastAsia" w:ascii="宋体" w:hAnsi="宋体" w:eastAsia="宋体" w:cs="宋体"/>
          <w:color w:val="auto"/>
          <w:kern w:val="0"/>
          <w:sz w:val="24"/>
          <w:szCs w:val="24"/>
          <w:highlight w:val="none"/>
        </w:rPr>
        <w:t>委托人未能按期支付</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超过28天，应按专用条件约定支付逾期付款利息。</w:t>
      </w:r>
    </w:p>
    <w:p>
      <w:pPr>
        <w:shd w:val="clear" w:color="auto" w:fill="auto"/>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除外责任</w:t>
      </w:r>
    </w:p>
    <w:p>
      <w:pPr>
        <w:shd w:val="clear" w:color="auto" w:fill="auto"/>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因非监理人的原因，且监理人无过错，发生工程质量事故、安全事故、工期延误等造成的损失，监理人不承担赔偿责任。</w:t>
      </w:r>
    </w:p>
    <w:p>
      <w:pPr>
        <w:shd w:val="clear" w:color="auto" w:fill="auto"/>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因不可抗力导致本合同全部或部分不能履行时，双方各自承担其因此而造成的损失、损害。</w:t>
      </w:r>
    </w:p>
    <w:p>
      <w:pPr>
        <w:pStyle w:val="5"/>
        <w:shd w:val="clear" w:color="auto" w:fill="auto"/>
        <w:spacing w:line="360" w:lineRule="auto"/>
        <w:rPr>
          <w:rFonts w:hint="eastAsia" w:ascii="宋体" w:hAnsi="宋体" w:eastAsia="宋体" w:cs="宋体"/>
          <w:color w:val="auto"/>
          <w:sz w:val="24"/>
          <w:szCs w:val="24"/>
          <w:highlight w:val="none"/>
        </w:rPr>
      </w:pPr>
      <w:bookmarkStart w:id="212" w:name="_Toc44606686"/>
      <w:r>
        <w:rPr>
          <w:rFonts w:hint="eastAsia" w:ascii="宋体" w:hAnsi="宋体" w:eastAsia="宋体" w:cs="宋体"/>
          <w:color w:val="auto"/>
          <w:sz w:val="24"/>
          <w:szCs w:val="24"/>
          <w:highlight w:val="none"/>
        </w:rPr>
        <w:t>5. 支付</w:t>
      </w:r>
      <w:bookmarkEnd w:id="212"/>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5.1 </w:t>
      </w:r>
      <w:r>
        <w:rPr>
          <w:rFonts w:hint="eastAsia" w:ascii="宋体" w:hAnsi="宋体" w:eastAsia="宋体" w:cs="宋体"/>
          <w:bCs/>
          <w:color w:val="auto"/>
          <w:sz w:val="24"/>
          <w:szCs w:val="24"/>
          <w:highlight w:val="none"/>
        </w:rPr>
        <w:t>支付货币</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5.2 支付申请</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pPr>
        <w:shd w:val="clear" w:color="auto" w:fill="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支付酬金</w:t>
      </w:r>
    </w:p>
    <w:p>
      <w:pPr>
        <w:shd w:val="clear" w:color="auto" w:fill="auto"/>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支付的酬金包括正常工作酬金、附加工作酬金、合理化建议奖励金额及费用。</w:t>
      </w:r>
    </w:p>
    <w:p>
      <w:pPr>
        <w:shd w:val="clear" w:color="auto" w:fill="auto"/>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5.4 </w:t>
      </w:r>
      <w:r>
        <w:rPr>
          <w:rFonts w:hint="eastAsia" w:ascii="宋体" w:hAnsi="宋体" w:eastAsia="宋体" w:cs="宋体"/>
          <w:bCs/>
          <w:color w:val="auto"/>
          <w:sz w:val="24"/>
          <w:szCs w:val="24"/>
          <w:highlight w:val="none"/>
        </w:rPr>
        <w:t>有争议部分的付款</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pStyle w:val="5"/>
        <w:shd w:val="clear" w:color="auto" w:fill="auto"/>
        <w:spacing w:line="360" w:lineRule="auto"/>
        <w:rPr>
          <w:rFonts w:hint="eastAsia" w:ascii="宋体" w:hAnsi="宋体" w:eastAsia="宋体" w:cs="宋体"/>
          <w:color w:val="auto"/>
          <w:sz w:val="24"/>
          <w:szCs w:val="24"/>
          <w:highlight w:val="none"/>
        </w:rPr>
      </w:pPr>
      <w:bookmarkStart w:id="213" w:name="_Toc44606687"/>
      <w:r>
        <w:rPr>
          <w:rFonts w:hint="eastAsia" w:ascii="宋体" w:hAnsi="宋体" w:eastAsia="宋体" w:cs="宋体"/>
          <w:color w:val="auto"/>
          <w:sz w:val="24"/>
          <w:szCs w:val="24"/>
          <w:highlight w:val="none"/>
        </w:rPr>
        <w:t>6. 合同生效、变更、暂停、解除与终止</w:t>
      </w:r>
      <w:bookmarkEnd w:id="213"/>
    </w:p>
    <w:p>
      <w:pPr>
        <w:shd w:val="clear" w:color="auto" w:fill="auto"/>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生效</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bCs/>
          <w:color w:val="auto"/>
          <w:sz w:val="24"/>
          <w:szCs w:val="24"/>
          <w:highlight w:val="none"/>
        </w:rPr>
        <w:t>变更</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合同签订后，遇有与工程相关的法律法规、标准颁布或修订的，双方应遵照执行。由此引起监理与相关服务的范围、时间、酬金变化的，双方应通过协商进行相应调整。</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pPr>
        <w:shd w:val="clear" w:color="auto" w:fill="auto"/>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6.3 暂停与</w:t>
      </w:r>
      <w:r>
        <w:rPr>
          <w:rFonts w:hint="eastAsia" w:ascii="宋体" w:hAnsi="宋体" w:eastAsia="宋体" w:cs="宋体"/>
          <w:bCs/>
          <w:color w:val="auto"/>
          <w:sz w:val="24"/>
          <w:szCs w:val="24"/>
          <w:highlight w:val="none"/>
        </w:rPr>
        <w:t>解除</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因解除本合同或解除监理人的部分义务导致监理人遭受的损失，除依法可以免除责任的情况外，应由委托人予以补偿，补偿金额由双方协商确定。</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解除本合同的协议必须采取书面形式，协议未达成之前，本合同仍然有效。</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酬金支付至本合同解除日，且应承担第4.2款约定的责任。</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w:t>
      </w:r>
      <w:r>
        <w:rPr>
          <w:rFonts w:hint="eastAsia" w:ascii="宋体" w:hAnsi="宋体" w:eastAsia="宋体" w:cs="宋体"/>
          <w:color w:val="auto"/>
          <w:kern w:val="0"/>
          <w:sz w:val="24"/>
          <w:szCs w:val="24"/>
          <w:highlight w:val="none"/>
        </w:rPr>
        <w:t>限期改正通知到达监理人之日</w:t>
      </w:r>
      <w:r>
        <w:rPr>
          <w:rFonts w:hint="eastAsia" w:ascii="宋体" w:hAnsi="宋体" w:eastAsia="宋体" w:cs="宋体"/>
          <w:color w:val="auto"/>
          <w:sz w:val="24"/>
          <w:szCs w:val="24"/>
          <w:highlight w:val="none"/>
        </w:rPr>
        <w:t>，但监理人应承担第4.1款约定的责任。</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hd w:val="clear" w:color="auto" w:fill="auto"/>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6.4 </w:t>
      </w:r>
      <w:r>
        <w:rPr>
          <w:rFonts w:hint="eastAsia" w:ascii="宋体" w:hAnsi="宋体" w:eastAsia="宋体" w:cs="宋体"/>
          <w:bCs/>
          <w:color w:val="auto"/>
          <w:sz w:val="24"/>
          <w:szCs w:val="24"/>
          <w:highlight w:val="none"/>
        </w:rPr>
        <w:t>终止</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以下条件全部满足时，本合同即告终止：</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pPr>
        <w:pStyle w:val="5"/>
        <w:shd w:val="clear" w:color="auto" w:fill="auto"/>
        <w:spacing w:line="360" w:lineRule="auto"/>
        <w:rPr>
          <w:rFonts w:hint="eastAsia" w:ascii="宋体" w:hAnsi="宋体" w:eastAsia="宋体" w:cs="宋体"/>
          <w:color w:val="auto"/>
          <w:sz w:val="24"/>
          <w:szCs w:val="24"/>
          <w:highlight w:val="none"/>
        </w:rPr>
      </w:pPr>
      <w:bookmarkStart w:id="214" w:name="_Toc44606688"/>
      <w:r>
        <w:rPr>
          <w:rFonts w:hint="eastAsia" w:ascii="宋体" w:hAnsi="宋体" w:eastAsia="宋体" w:cs="宋体"/>
          <w:color w:val="auto"/>
          <w:sz w:val="24"/>
          <w:szCs w:val="24"/>
          <w:highlight w:val="none"/>
        </w:rPr>
        <w:t>7. 争议解决</w:t>
      </w:r>
      <w:bookmarkEnd w:id="214"/>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eastAsia="宋体" w:cs="宋体"/>
          <w:bCs/>
          <w:color w:val="auto"/>
          <w:sz w:val="24"/>
          <w:szCs w:val="24"/>
          <w:highlight w:val="none"/>
        </w:rPr>
        <w:t>协商</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7.2 </w:t>
      </w:r>
      <w:r>
        <w:rPr>
          <w:rFonts w:hint="eastAsia" w:ascii="宋体" w:hAnsi="宋体" w:eastAsia="宋体" w:cs="宋体"/>
          <w:bCs/>
          <w:color w:val="auto"/>
          <w:sz w:val="24"/>
          <w:szCs w:val="24"/>
          <w:highlight w:val="none"/>
        </w:rPr>
        <w:t>调解</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7.3 </w:t>
      </w:r>
      <w:r>
        <w:rPr>
          <w:rFonts w:hint="eastAsia" w:ascii="宋体" w:hAnsi="宋体" w:eastAsia="宋体" w:cs="宋体"/>
          <w:bCs/>
          <w:color w:val="auto"/>
          <w:sz w:val="24"/>
          <w:szCs w:val="24"/>
          <w:highlight w:val="none"/>
        </w:rPr>
        <w:t>仲裁或诉讼</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双方均有权不经调解直接向专用条件约定的仲裁机构申请仲裁或向有管辖权的人民法院提起诉讼。</w:t>
      </w:r>
    </w:p>
    <w:p>
      <w:pPr>
        <w:pStyle w:val="5"/>
        <w:shd w:val="clear" w:color="auto" w:fill="auto"/>
        <w:spacing w:line="360" w:lineRule="auto"/>
        <w:rPr>
          <w:rFonts w:hint="eastAsia" w:ascii="宋体" w:hAnsi="宋体" w:eastAsia="宋体" w:cs="宋体"/>
          <w:color w:val="auto"/>
          <w:sz w:val="24"/>
          <w:szCs w:val="24"/>
          <w:highlight w:val="none"/>
        </w:rPr>
      </w:pPr>
      <w:bookmarkStart w:id="215" w:name="_Toc44606689"/>
      <w:r>
        <w:rPr>
          <w:rFonts w:hint="eastAsia" w:ascii="宋体" w:hAnsi="宋体" w:eastAsia="宋体" w:cs="宋体"/>
          <w:color w:val="auto"/>
          <w:sz w:val="24"/>
          <w:szCs w:val="24"/>
          <w:highlight w:val="none"/>
        </w:rPr>
        <w:t>8. 其他</w:t>
      </w:r>
      <w:bookmarkEnd w:id="215"/>
    </w:p>
    <w:p>
      <w:pPr>
        <w:shd w:val="clear" w:color="auto" w:fill="auto"/>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bCs/>
          <w:color w:val="auto"/>
          <w:sz w:val="24"/>
          <w:szCs w:val="24"/>
          <w:highlight w:val="none"/>
        </w:rPr>
        <w:t>外出考察费用</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经委托人同意，监理人员外出考察发生的费用由委托人审核后支付。</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bCs/>
          <w:color w:val="auto"/>
          <w:sz w:val="24"/>
          <w:szCs w:val="24"/>
          <w:highlight w:val="none"/>
        </w:rPr>
        <w:t>检测费用</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委托人要求监理人进行的材料和设备检测所发生的费用，由委托人支付，支付时间在专用条件中约定。</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bCs/>
          <w:color w:val="auto"/>
          <w:sz w:val="24"/>
          <w:szCs w:val="24"/>
          <w:highlight w:val="none"/>
        </w:rPr>
        <w:t>咨询费用</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8.4 </w:t>
      </w:r>
      <w:r>
        <w:rPr>
          <w:rFonts w:hint="eastAsia" w:ascii="宋体" w:hAnsi="宋体" w:eastAsia="宋体" w:cs="宋体"/>
          <w:bCs/>
          <w:color w:val="auto"/>
          <w:sz w:val="24"/>
          <w:szCs w:val="24"/>
          <w:highlight w:val="none"/>
        </w:rPr>
        <w:t>奖励</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8.5 </w:t>
      </w:r>
      <w:r>
        <w:rPr>
          <w:rFonts w:hint="eastAsia" w:ascii="宋体" w:hAnsi="宋体" w:eastAsia="宋体" w:cs="宋体"/>
          <w:bCs/>
          <w:color w:val="auto"/>
          <w:sz w:val="24"/>
          <w:szCs w:val="24"/>
          <w:highlight w:val="none"/>
        </w:rPr>
        <w:t>守法诚信</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监理人及其工作人员不得从与实施工程有关的第三方处获得任何经济利益。</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8.6 </w:t>
      </w:r>
      <w:r>
        <w:rPr>
          <w:rFonts w:hint="eastAsia" w:ascii="宋体" w:hAnsi="宋体" w:eastAsia="宋体" w:cs="宋体"/>
          <w:bCs/>
          <w:color w:val="auto"/>
          <w:sz w:val="24"/>
          <w:szCs w:val="24"/>
          <w:highlight w:val="none"/>
        </w:rPr>
        <w:t>保密</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8.7 </w:t>
      </w:r>
      <w:r>
        <w:rPr>
          <w:rFonts w:hint="eastAsia" w:ascii="宋体" w:hAnsi="宋体" w:eastAsia="宋体" w:cs="宋体"/>
          <w:bCs/>
          <w:color w:val="auto"/>
          <w:sz w:val="24"/>
          <w:szCs w:val="24"/>
          <w:highlight w:val="none"/>
        </w:rPr>
        <w:t>通知</w:t>
      </w:r>
    </w:p>
    <w:p>
      <w:pPr>
        <w:shd w:val="clear" w:color="auto" w:fill="auto"/>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pPr>
        <w:shd w:val="clear" w:color="auto" w:fill="auto"/>
        <w:snapToGrid w:val="0"/>
        <w:spacing w:line="360" w:lineRule="auto"/>
        <w:ind w:left="210" w:leftChars="1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8.8 </w:t>
      </w:r>
      <w:r>
        <w:rPr>
          <w:rFonts w:hint="eastAsia" w:ascii="宋体" w:hAnsi="宋体" w:eastAsia="宋体" w:cs="宋体"/>
          <w:bCs/>
          <w:color w:val="auto"/>
          <w:sz w:val="24"/>
          <w:szCs w:val="24"/>
          <w:highlight w:val="none"/>
        </w:rPr>
        <w:t>著作权</w:t>
      </w:r>
    </w:p>
    <w:p>
      <w:pPr>
        <w:shd w:val="clear" w:color="auto" w:fill="auto"/>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 </w:t>
      </w:r>
    </w:p>
    <w:p>
      <w:pPr>
        <w:pStyle w:val="52"/>
        <w:shd w:val="clear" w:color="auto" w:fill="auto"/>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216" w:name="_Toc44606409"/>
      <w:bookmarkStart w:id="217" w:name="_Toc15010"/>
      <w:bookmarkStart w:id="218" w:name="_Toc77444700"/>
      <w:bookmarkStart w:id="219" w:name="_Toc44606373"/>
      <w:bookmarkStart w:id="220" w:name="_Toc44606690"/>
      <w:bookmarkStart w:id="221" w:name="_Toc44606394"/>
      <w:r>
        <w:rPr>
          <w:rFonts w:hint="eastAsia" w:ascii="宋体" w:hAnsi="宋体" w:eastAsia="宋体" w:cs="宋体"/>
          <w:color w:val="auto"/>
          <w:highlight w:val="none"/>
        </w:rPr>
        <w:t>第三部分  专用条件</w:t>
      </w:r>
      <w:bookmarkEnd w:id="216"/>
      <w:bookmarkEnd w:id="217"/>
      <w:bookmarkEnd w:id="218"/>
      <w:bookmarkEnd w:id="219"/>
      <w:bookmarkEnd w:id="220"/>
      <w:bookmarkEnd w:id="221"/>
    </w:p>
    <w:p>
      <w:pPr>
        <w:pStyle w:val="5"/>
        <w:shd w:val="clear" w:color="auto" w:fill="auto"/>
        <w:rPr>
          <w:rFonts w:hint="eastAsia" w:ascii="宋体" w:hAnsi="宋体" w:eastAsia="宋体" w:cs="宋体"/>
          <w:color w:val="auto"/>
          <w:highlight w:val="none"/>
        </w:rPr>
      </w:pPr>
      <w:bookmarkStart w:id="222" w:name="_Toc44606691"/>
      <w:r>
        <w:rPr>
          <w:rFonts w:hint="eastAsia" w:ascii="宋体" w:hAnsi="宋体" w:eastAsia="宋体" w:cs="宋体"/>
          <w:color w:val="auto"/>
          <w:highlight w:val="none"/>
        </w:rPr>
        <w:t>1. 定义与解释</w:t>
      </w:r>
      <w:bookmarkEnd w:id="222"/>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1.2  解释</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本合同文件除使用中文外，还可用</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约定本合同文件的解释顺序为：</w:t>
      </w:r>
      <w:r>
        <w:rPr>
          <w:rFonts w:hint="eastAsia" w:ascii="宋体" w:hAnsi="宋体" w:eastAsia="宋体" w:cs="宋体"/>
          <w:color w:val="auto"/>
          <w:sz w:val="24"/>
          <w:highlight w:val="none"/>
          <w:u w:val="single"/>
        </w:rPr>
        <w:t>执行通用条件</w:t>
      </w:r>
      <w:r>
        <w:rPr>
          <w:rFonts w:hint="eastAsia" w:ascii="宋体" w:hAnsi="宋体" w:eastAsia="宋体" w:cs="宋体"/>
          <w:color w:val="auto"/>
          <w:sz w:val="24"/>
          <w:highlight w:val="none"/>
        </w:rPr>
        <w:t>。</w:t>
      </w:r>
    </w:p>
    <w:p>
      <w:pPr>
        <w:pStyle w:val="5"/>
        <w:shd w:val="clear" w:color="auto" w:fill="auto"/>
        <w:rPr>
          <w:rFonts w:hint="eastAsia" w:ascii="宋体" w:hAnsi="宋体" w:eastAsia="宋体" w:cs="宋体"/>
          <w:color w:val="auto"/>
          <w:highlight w:val="none"/>
        </w:rPr>
      </w:pPr>
      <w:bookmarkStart w:id="223" w:name="_Toc44606692"/>
      <w:r>
        <w:rPr>
          <w:rFonts w:hint="eastAsia" w:ascii="宋体" w:hAnsi="宋体" w:eastAsia="宋体" w:cs="宋体"/>
          <w:color w:val="auto"/>
          <w:highlight w:val="none"/>
        </w:rPr>
        <w:t>2. 监理人义务</w:t>
      </w:r>
      <w:bookmarkEnd w:id="223"/>
    </w:p>
    <w:p>
      <w:pPr>
        <w:shd w:val="clear" w:color="auto" w:fill="auto"/>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监理的范围和内容</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2.1.1 监理范围包括：</w:t>
      </w:r>
      <w:r>
        <w:rPr>
          <w:rFonts w:hint="eastAsia" w:ascii="宋体" w:hAnsi="宋体" w:eastAsia="宋体" w:cs="宋体"/>
          <w:color w:val="auto"/>
          <w:sz w:val="24"/>
          <w:highlight w:val="none"/>
          <w:u w:val="single"/>
        </w:rPr>
        <w:t>对</w:t>
      </w:r>
      <w:r>
        <w:rPr>
          <w:rFonts w:hint="eastAsia" w:ascii="宋体" w:hAnsi="宋体" w:eastAsia="宋体" w:cs="宋体"/>
          <w:color w:val="auto"/>
          <w:sz w:val="24"/>
          <w:szCs w:val="24"/>
          <w:highlight w:val="none"/>
          <w:u w:val="single"/>
          <w:lang w:eastAsia="zh-CN"/>
        </w:rPr>
        <w:t>昌吉州玛纳斯县图书馆建设项目监理服务</w:t>
      </w:r>
      <w:r>
        <w:rPr>
          <w:rFonts w:hint="eastAsia" w:ascii="宋体" w:hAnsi="宋体" w:eastAsia="宋体" w:cs="宋体"/>
          <w:color w:val="auto"/>
          <w:sz w:val="24"/>
          <w:highlight w:val="none"/>
          <w:u w:val="single"/>
          <w:lang w:eastAsia="zh-CN"/>
        </w:rPr>
        <w:t>。</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监理工作内容还包括：</w:t>
      </w:r>
      <w:r>
        <w:rPr>
          <w:rFonts w:hint="eastAsia" w:ascii="宋体" w:hAnsi="宋体" w:eastAsia="宋体" w:cs="宋体"/>
          <w:color w:val="auto"/>
          <w:sz w:val="24"/>
          <w:highlight w:val="none"/>
          <w:u w:val="single"/>
        </w:rPr>
        <w:t>1、工程质量控制，工程安全控制；2、工程进度控制；3、工程投资控制；4、合同、文档资料及信息管理工作；5、工程安全管理；6、协调现场施工单位与业主间的工作关系；7、参与本工程的竣工验收，签署建设监理意见。</w:t>
      </w:r>
    </w:p>
    <w:p>
      <w:pPr>
        <w:shd w:val="clear" w:color="auto" w:fill="auto"/>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监理与相关服务依据</w:t>
      </w:r>
    </w:p>
    <w:p>
      <w:pPr>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 监理依据包括：</w:t>
      </w:r>
      <w:r>
        <w:rPr>
          <w:rFonts w:hint="eastAsia" w:ascii="宋体" w:hAnsi="宋体" w:eastAsia="宋体" w:cs="宋体"/>
          <w:color w:val="auto"/>
          <w:sz w:val="24"/>
          <w:highlight w:val="none"/>
          <w:u w:val="single"/>
        </w:rPr>
        <w:t>1本工程设计施工图纸及设计文件；</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、本工程建设单位与施工签订的施工合同及监理单位签订的监理合同；</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、现行的规范和技术标准及监理规范</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2.2.2 相关服务依据包括：</w:t>
      </w:r>
      <w:r>
        <w:rPr>
          <w:rFonts w:hint="eastAsia" w:ascii="宋体" w:hAnsi="宋体" w:eastAsia="宋体" w:cs="宋体"/>
          <w:color w:val="auto"/>
          <w:sz w:val="24"/>
          <w:highlight w:val="none"/>
          <w:u w:val="single"/>
        </w:rPr>
        <w:t>建设工程监理规范（GB50319-2013）、建设工程相关计价规范等执行的规定，以及其他各专业施工规范、技术标准、法规文件等，当以上标准不一致时，按标准高的执行</w:t>
      </w:r>
      <w:r>
        <w:rPr>
          <w:rFonts w:hint="eastAsia" w:ascii="宋体" w:hAnsi="宋体" w:eastAsia="宋体" w:cs="宋体"/>
          <w:color w:val="auto"/>
          <w:sz w:val="24"/>
          <w:highlight w:val="none"/>
        </w:rPr>
        <w:t>。</w:t>
      </w:r>
    </w:p>
    <w:p>
      <w:pPr>
        <w:shd w:val="clear" w:color="auto" w:fill="auto"/>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kern w:val="0"/>
          <w:sz w:val="24"/>
          <w:highlight w:val="none"/>
        </w:rPr>
        <w:t>项目监理机构和人员</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w:t>
      </w:r>
      <w:r>
        <w:rPr>
          <w:rFonts w:hint="eastAsia" w:ascii="宋体" w:hAnsi="宋体" w:eastAsia="宋体" w:cs="宋体"/>
          <w:color w:val="auto"/>
          <w:kern w:val="0"/>
          <w:sz w:val="24"/>
          <w:highlight w:val="none"/>
        </w:rPr>
        <w:t>更换监理人员的其他情形：</w:t>
      </w:r>
      <w:r>
        <w:rPr>
          <w:rFonts w:hint="eastAsia" w:ascii="宋体" w:hAnsi="宋体" w:eastAsia="宋体" w:cs="宋体"/>
          <w:color w:val="auto"/>
          <w:kern w:val="0"/>
          <w:sz w:val="24"/>
          <w:highlight w:val="none"/>
          <w:u w:val="single"/>
        </w:rPr>
        <w:t>在其监理工作中出现重大错误的、不能正常参加各种工地例会或委托人组织的各项需要监理人员参加的会议的、不能服从委托人管理或要求的、其他委托人认为有必要需要更换的情形的</w:t>
      </w:r>
      <w:r>
        <w:rPr>
          <w:rFonts w:hint="eastAsia" w:ascii="宋体" w:hAnsi="宋体" w:eastAsia="宋体" w:cs="宋体"/>
          <w:color w:val="auto"/>
          <w:kern w:val="0"/>
          <w:sz w:val="24"/>
          <w:highlight w:val="none"/>
        </w:rPr>
        <w:t>。</w:t>
      </w:r>
    </w:p>
    <w:p>
      <w:pPr>
        <w:shd w:val="clear" w:color="auto" w:fill="auto"/>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 </w:t>
      </w:r>
      <w:r>
        <w:rPr>
          <w:rFonts w:hint="eastAsia" w:ascii="宋体" w:hAnsi="宋体" w:eastAsia="宋体" w:cs="宋体"/>
          <w:color w:val="auto"/>
          <w:kern w:val="0"/>
          <w:sz w:val="24"/>
          <w:highlight w:val="none"/>
        </w:rPr>
        <w:t>履行职责</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 对监理人的授权范围：</w:t>
      </w:r>
      <w:r>
        <w:rPr>
          <w:rFonts w:hint="eastAsia" w:ascii="宋体" w:hAnsi="宋体" w:eastAsia="宋体" w:cs="宋体"/>
          <w:color w:val="auto"/>
          <w:sz w:val="24"/>
          <w:highlight w:val="none"/>
          <w:u w:val="single"/>
        </w:rPr>
        <w:t xml:space="preserve"> 执行通用条件2.4款，授权监理人对施工现场日常管理、开工/暂停施工指令发布、施工日志记录、现场协调、工地各项会议组织记录、监督承包人按照要求进行施工、进场材料确认、工程进度认可、进度款支付确认等其他委托人授权范围（三控、三管、一协调）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80" w:firstLineChars="200"/>
        <w:outlineLvl w:val="0"/>
        <w:rPr>
          <w:rFonts w:hint="eastAsia" w:ascii="宋体" w:hAnsi="宋体" w:eastAsia="宋体" w:cs="宋体"/>
          <w:color w:val="auto"/>
          <w:sz w:val="24"/>
          <w:highlight w:val="none"/>
        </w:rPr>
      </w:pPr>
      <w:bookmarkStart w:id="224" w:name="_Toc44606693"/>
      <w:bookmarkStart w:id="225" w:name="_Toc44605050"/>
      <w:bookmarkStart w:id="226" w:name="_Toc44606374"/>
      <w:bookmarkStart w:id="227" w:name="_Toc44606410"/>
      <w:bookmarkStart w:id="228" w:name="_Toc77444701"/>
      <w:bookmarkStart w:id="229" w:name="_Toc23140"/>
      <w:bookmarkStart w:id="230" w:name="_Toc44606395"/>
      <w:bookmarkStart w:id="231" w:name="_Toc476739751"/>
      <w:bookmarkStart w:id="232" w:name="_Toc77338722"/>
      <w:bookmarkStart w:id="233" w:name="_Toc44605375"/>
      <w:r>
        <w:rPr>
          <w:rFonts w:hint="eastAsia" w:ascii="宋体" w:hAnsi="宋体" w:eastAsia="宋体" w:cs="宋体"/>
          <w:color w:val="auto"/>
          <w:sz w:val="24"/>
          <w:highlight w:val="none"/>
        </w:rPr>
        <w:t>在涉及工程延期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天内和（或）金额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万元内的变更，监理人不需请示委托人即可向承包人发布变更通知。</w:t>
      </w:r>
      <w:bookmarkEnd w:id="224"/>
      <w:bookmarkEnd w:id="225"/>
      <w:bookmarkEnd w:id="226"/>
      <w:bookmarkEnd w:id="227"/>
      <w:bookmarkEnd w:id="228"/>
      <w:bookmarkEnd w:id="229"/>
      <w:bookmarkEnd w:id="230"/>
      <w:bookmarkEnd w:id="231"/>
      <w:bookmarkEnd w:id="232"/>
      <w:bookmarkEnd w:id="233"/>
    </w:p>
    <w:p>
      <w:pPr>
        <w:shd w:val="clear" w:color="auto" w:fill="auto"/>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2.4.4 监理人有权要求承包人调换其人员</w:t>
      </w:r>
      <w:r>
        <w:rPr>
          <w:rFonts w:hint="eastAsia" w:ascii="宋体" w:hAnsi="宋体" w:eastAsia="宋体" w:cs="宋体"/>
          <w:color w:val="auto"/>
          <w:sz w:val="24"/>
          <w:highlight w:val="none"/>
        </w:rPr>
        <w:t>的限制条件：</w:t>
      </w:r>
      <w:r>
        <w:rPr>
          <w:rFonts w:hint="eastAsia" w:ascii="宋体" w:hAnsi="宋体" w:eastAsia="宋体" w:cs="宋体"/>
          <w:color w:val="auto"/>
          <w:sz w:val="24"/>
          <w:highlight w:val="none"/>
          <w:u w:val="single"/>
        </w:rPr>
        <w:t>在监理过程中，如发现施工单位项目经理、项目技术负责人工作不利，征得委托人同意后，监理人有权要求承包人调换有关人员。</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2.5 </w:t>
      </w:r>
      <w:r>
        <w:rPr>
          <w:rFonts w:hint="eastAsia" w:ascii="宋体" w:hAnsi="宋体" w:eastAsia="宋体" w:cs="宋体"/>
          <w:color w:val="auto"/>
          <w:sz w:val="24"/>
          <w:highlight w:val="none"/>
        </w:rPr>
        <w:t>提交</w:t>
      </w:r>
      <w:r>
        <w:rPr>
          <w:rFonts w:hint="eastAsia" w:ascii="宋体" w:hAnsi="宋体" w:eastAsia="宋体" w:cs="宋体"/>
          <w:color w:val="auto"/>
          <w:kern w:val="0"/>
          <w:sz w:val="24"/>
          <w:highlight w:val="none"/>
        </w:rPr>
        <w:t>报告</w:t>
      </w:r>
    </w:p>
    <w:p>
      <w:pPr>
        <w:shd w:val="clear" w:color="auto" w:fill="auto"/>
        <w:adjustRightInd w:val="0"/>
        <w:snapToGrid w:val="0"/>
        <w:spacing w:line="360" w:lineRule="auto"/>
        <w:ind w:firstLine="52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监理人应提交报告的种类(</w:t>
      </w:r>
      <w:r>
        <w:rPr>
          <w:rFonts w:hint="eastAsia" w:ascii="宋体" w:hAnsi="宋体" w:eastAsia="宋体" w:cs="宋体"/>
          <w:color w:val="auto"/>
          <w:kern w:val="0"/>
          <w:sz w:val="24"/>
          <w:highlight w:val="none"/>
        </w:rPr>
        <w:t>包括监理规划、监理月报及约定的专项报告)</w:t>
      </w:r>
      <w:r>
        <w:rPr>
          <w:rFonts w:hint="eastAsia" w:ascii="宋体" w:hAnsi="宋体" w:eastAsia="宋体" w:cs="宋体"/>
          <w:color w:val="auto"/>
          <w:sz w:val="24"/>
          <w:highlight w:val="none"/>
        </w:rPr>
        <w:t>、时间和份数</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u w:val="single"/>
        </w:rPr>
        <w:t>监理规划在第一次工地例会前七日，月报在每月底前七日内，专项报告在事件研究确定后七日内，提供份数均为壹份</w:t>
      </w:r>
      <w:r>
        <w:rPr>
          <w:rFonts w:hint="eastAsia" w:ascii="宋体" w:hAnsi="宋体" w:eastAsia="宋体" w:cs="宋体"/>
          <w:color w:val="auto"/>
          <w:sz w:val="24"/>
          <w:highlight w:val="none"/>
        </w:rPr>
        <w:t>。</w:t>
      </w:r>
    </w:p>
    <w:p>
      <w:pPr>
        <w:shd w:val="clear" w:color="auto" w:fill="auto"/>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 使用委托人的财产</w:t>
      </w:r>
    </w:p>
    <w:p>
      <w:pPr>
        <w:shd w:val="clear" w:color="auto" w:fill="auto"/>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附录B中由委托人无偿提供的房屋、设备的所有权属于：</w:t>
      </w:r>
      <w:r>
        <w:rPr>
          <w:rFonts w:hint="eastAsia" w:ascii="宋体" w:hAnsi="宋体" w:eastAsia="宋体" w:cs="宋体"/>
          <w:color w:val="auto"/>
          <w:sz w:val="24"/>
          <w:highlight w:val="none"/>
          <w:u w:val="single"/>
        </w:rPr>
        <w:t>归委托方所有</w:t>
      </w:r>
      <w:r>
        <w:rPr>
          <w:rFonts w:hint="eastAsia" w:ascii="宋体" w:hAnsi="宋体" w:eastAsia="宋体" w:cs="宋体"/>
          <w:color w:val="auto"/>
          <w:sz w:val="24"/>
          <w:highlight w:val="none"/>
        </w:rPr>
        <w:t>。</w:t>
      </w:r>
    </w:p>
    <w:p>
      <w:pPr>
        <w:shd w:val="clear" w:color="auto" w:fill="auto"/>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监理人应在本合同终止后</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天内移交委托人无偿提供的房屋、设备，移交的时间和方式为：</w:t>
      </w:r>
      <w:r>
        <w:rPr>
          <w:rFonts w:hint="eastAsia" w:ascii="宋体" w:hAnsi="宋体" w:eastAsia="宋体" w:cs="宋体"/>
          <w:color w:val="auto"/>
          <w:sz w:val="24"/>
          <w:highlight w:val="none"/>
          <w:u w:val="single"/>
        </w:rPr>
        <w:t>一次性全部移交，已交前须恢复原样</w:t>
      </w:r>
      <w:r>
        <w:rPr>
          <w:rFonts w:hint="eastAsia" w:ascii="宋体" w:hAnsi="宋体" w:eastAsia="宋体" w:cs="宋体"/>
          <w:color w:val="auto"/>
          <w:sz w:val="24"/>
          <w:highlight w:val="none"/>
        </w:rPr>
        <w:t>。</w:t>
      </w:r>
    </w:p>
    <w:p>
      <w:pPr>
        <w:pStyle w:val="5"/>
        <w:shd w:val="clear" w:color="auto" w:fill="auto"/>
        <w:rPr>
          <w:rFonts w:hint="eastAsia" w:ascii="宋体" w:hAnsi="宋体" w:eastAsia="宋体" w:cs="宋体"/>
          <w:color w:val="auto"/>
          <w:highlight w:val="none"/>
        </w:rPr>
      </w:pPr>
      <w:bookmarkStart w:id="234" w:name="_Toc44606694"/>
      <w:r>
        <w:rPr>
          <w:rFonts w:hint="eastAsia" w:ascii="宋体" w:hAnsi="宋体" w:eastAsia="宋体" w:cs="宋体"/>
          <w:color w:val="auto"/>
          <w:highlight w:val="none"/>
        </w:rPr>
        <w:t>3. 委托人义务</w:t>
      </w:r>
      <w:bookmarkEnd w:id="234"/>
      <w:r>
        <w:rPr>
          <w:rFonts w:hint="eastAsia" w:ascii="宋体" w:hAnsi="宋体" w:eastAsia="宋体" w:cs="宋体"/>
          <w:color w:val="auto"/>
          <w:highlight w:val="none"/>
        </w:rPr>
        <w:t xml:space="preserve">  </w:t>
      </w:r>
    </w:p>
    <w:p>
      <w:pPr>
        <w:shd w:val="clear" w:color="auto" w:fill="auto"/>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3.4 委托人代表</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委托人代表为：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 答复</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委托人同意在</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天内，对监理人书面提交并要求做出决定的事宜给予书面答复。</w:t>
      </w:r>
    </w:p>
    <w:p>
      <w:pPr>
        <w:pStyle w:val="5"/>
        <w:shd w:val="clear" w:color="auto" w:fill="auto"/>
        <w:rPr>
          <w:rFonts w:hint="eastAsia" w:ascii="宋体" w:hAnsi="宋体" w:eastAsia="宋体" w:cs="宋体"/>
          <w:color w:val="auto"/>
          <w:highlight w:val="none"/>
        </w:rPr>
      </w:pPr>
      <w:bookmarkStart w:id="235" w:name="_Toc44606695"/>
      <w:r>
        <w:rPr>
          <w:rFonts w:hint="eastAsia" w:ascii="宋体" w:hAnsi="宋体" w:eastAsia="宋体" w:cs="宋体"/>
          <w:color w:val="auto"/>
          <w:highlight w:val="none"/>
        </w:rPr>
        <w:t>4. 违约责任</w:t>
      </w:r>
      <w:bookmarkEnd w:id="235"/>
    </w:p>
    <w:p>
      <w:pPr>
        <w:shd w:val="clear" w:color="auto" w:fill="auto"/>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监理人的违约责任</w:t>
      </w:r>
    </w:p>
    <w:p>
      <w:pPr>
        <w:shd w:val="clear" w:color="auto" w:fill="auto"/>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4.1.1监理人赔偿金额按下列方法确定：</w:t>
      </w:r>
    </w:p>
    <w:p>
      <w:pPr>
        <w:shd w:val="clear" w:color="auto" w:fill="auto"/>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（1）因监理人违反合同约定给委托人造成损失的，监理人应当按照过错程度赔偿委托人损失，损失赔偿金等于或小于（整个工程过程中累加）监理人报酬时，计算如下：</w:t>
      </w:r>
    </w:p>
    <w:p>
      <w:pPr>
        <w:shd w:val="clear" w:color="auto" w:fill="auto"/>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赔偿金＝直接经济损失×正常工作酬金÷工程概算</w:t>
      </w:r>
      <w:r>
        <w:rPr>
          <w:rFonts w:hint="eastAsia" w:ascii="宋体" w:hAnsi="宋体" w:eastAsia="宋体" w:cs="宋体"/>
          <w:color w:val="auto"/>
          <w:kern w:val="0"/>
          <w:sz w:val="24"/>
          <w:highlight w:val="none"/>
        </w:rPr>
        <w:t>投资额（或建筑安装工程费）</w:t>
      </w:r>
    </w:p>
    <w:p>
      <w:pPr>
        <w:shd w:val="clear" w:color="auto" w:fill="auto"/>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（2）因监理人违反合同约定给委托人造成损失的，损失赔偿金大于（整个工程过程中累加）监理人报酬时，由委托人提出具体赔偿标准。</w:t>
      </w:r>
    </w:p>
    <w:p>
      <w:pPr>
        <w:pStyle w:val="5"/>
        <w:shd w:val="clear" w:color="auto" w:fill="auto"/>
        <w:rPr>
          <w:rFonts w:hint="eastAsia" w:ascii="宋体" w:hAnsi="宋体" w:eastAsia="宋体" w:cs="宋体"/>
          <w:color w:val="auto"/>
          <w:highlight w:val="none"/>
        </w:rPr>
      </w:pPr>
      <w:bookmarkStart w:id="236" w:name="_Toc44606696"/>
      <w:r>
        <w:rPr>
          <w:rFonts w:hint="eastAsia" w:ascii="宋体" w:hAnsi="宋体" w:eastAsia="宋体" w:cs="宋体"/>
          <w:color w:val="auto"/>
          <w:highlight w:val="none"/>
        </w:rPr>
        <w:t>5. 支付</w:t>
      </w:r>
      <w:bookmarkEnd w:id="236"/>
    </w:p>
    <w:p>
      <w:pPr>
        <w:shd w:val="clear" w:color="auto" w:fill="auto"/>
        <w:snapToGrid w:val="0"/>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5.1 </w:t>
      </w:r>
      <w:r>
        <w:rPr>
          <w:rFonts w:hint="eastAsia" w:ascii="宋体" w:hAnsi="宋体" w:eastAsia="宋体" w:cs="宋体"/>
          <w:bCs/>
          <w:color w:val="auto"/>
          <w:sz w:val="24"/>
          <w:highlight w:val="none"/>
        </w:rPr>
        <w:t>支付货币</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人民币  </w:t>
      </w:r>
      <w:r>
        <w:rPr>
          <w:rFonts w:hint="eastAsia" w:ascii="宋体" w:hAnsi="宋体" w:eastAsia="宋体" w:cs="宋体"/>
          <w:color w:val="auto"/>
          <w:sz w:val="24"/>
          <w:highlight w:val="none"/>
        </w:rPr>
        <w:t>，比例为：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，汇率为：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pPr>
        <w:shd w:val="clear" w:color="auto" w:fill="auto"/>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 支付酬金</w:t>
      </w:r>
    </w:p>
    <w:p>
      <w:pPr>
        <w:shd w:val="clear" w:color="auto" w:fill="auto"/>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正常工作</w:t>
      </w:r>
      <w:r>
        <w:rPr>
          <w:rFonts w:hint="eastAsia" w:ascii="宋体" w:hAnsi="宋体" w:eastAsia="宋体" w:cs="宋体"/>
          <w:color w:val="auto"/>
          <w:sz w:val="24"/>
          <w:highlight w:val="none"/>
        </w:rPr>
        <w:t>酬金的</w:t>
      </w:r>
      <w:r>
        <w:rPr>
          <w:rFonts w:hint="eastAsia" w:ascii="宋体" w:hAnsi="宋体" w:eastAsia="宋体" w:cs="宋体"/>
          <w:color w:val="auto"/>
          <w:kern w:val="0"/>
          <w:sz w:val="24"/>
          <w:highlight w:val="none"/>
        </w:rPr>
        <w:t>支付</w:t>
      </w:r>
      <w:r>
        <w:rPr>
          <w:rFonts w:hint="eastAsia" w:ascii="宋体" w:hAnsi="宋体" w:eastAsia="宋体" w:cs="宋体"/>
          <w:color w:val="auto"/>
          <w:sz w:val="24"/>
          <w:highlight w:val="none"/>
        </w:rPr>
        <w:t>：</w:t>
      </w:r>
    </w:p>
    <w:tbl>
      <w:tblPr>
        <w:tblStyle w:val="3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371"/>
        <w:gridCol w:w="1429"/>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支付次数</w:t>
            </w:r>
          </w:p>
        </w:tc>
        <w:tc>
          <w:tcPr>
            <w:tcW w:w="2371"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支付时间</w:t>
            </w:r>
          </w:p>
        </w:tc>
        <w:tc>
          <w:tcPr>
            <w:tcW w:w="1429" w:type="dxa"/>
            <w:noWrap w:val="0"/>
            <w:vAlign w:val="top"/>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支付比例</w:t>
            </w:r>
          </w:p>
        </w:tc>
        <w:tc>
          <w:tcPr>
            <w:tcW w:w="2721"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首付款</w:t>
            </w:r>
          </w:p>
        </w:tc>
        <w:tc>
          <w:tcPr>
            <w:tcW w:w="2371" w:type="dxa"/>
            <w:noWrap w:val="0"/>
            <w:vAlign w:val="top"/>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本合同签订后7天内</w:t>
            </w:r>
          </w:p>
        </w:tc>
        <w:tc>
          <w:tcPr>
            <w:tcW w:w="1429" w:type="dxa"/>
            <w:noWrap w:val="0"/>
            <w:vAlign w:val="top"/>
          </w:tcPr>
          <w:p>
            <w:pPr>
              <w:spacing w:line="360" w:lineRule="auto"/>
              <w:rPr>
                <w:rFonts w:hint="eastAsia" w:ascii="宋体" w:hAnsi="宋体" w:eastAsia="宋体" w:cs="宋体"/>
                <w:color w:val="000000"/>
                <w:sz w:val="24"/>
                <w:szCs w:val="24"/>
                <w:highlight w:val="none"/>
              </w:rPr>
            </w:pPr>
          </w:p>
        </w:tc>
        <w:tc>
          <w:tcPr>
            <w:tcW w:w="2721" w:type="dxa"/>
            <w:noWrap w:val="0"/>
            <w:vAlign w:val="top"/>
          </w:tcPr>
          <w:p>
            <w:pPr>
              <w:spacing w:line="360" w:lineRule="auto"/>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第二次付款</w:t>
            </w:r>
          </w:p>
        </w:tc>
        <w:tc>
          <w:tcPr>
            <w:tcW w:w="2371" w:type="dxa"/>
            <w:noWrap w:val="0"/>
            <w:vAlign w:val="top"/>
          </w:tcPr>
          <w:p>
            <w:pPr>
              <w:spacing w:line="360" w:lineRule="auto"/>
              <w:ind w:firstLine="360" w:firstLineChars="150"/>
              <w:rPr>
                <w:rFonts w:hint="eastAsia" w:ascii="宋体" w:hAnsi="宋体" w:eastAsia="宋体" w:cs="宋体"/>
                <w:color w:val="000000"/>
                <w:sz w:val="24"/>
                <w:szCs w:val="24"/>
                <w:highlight w:val="none"/>
              </w:rPr>
            </w:pPr>
          </w:p>
        </w:tc>
        <w:tc>
          <w:tcPr>
            <w:tcW w:w="1429" w:type="dxa"/>
            <w:noWrap w:val="0"/>
            <w:vAlign w:val="top"/>
          </w:tcPr>
          <w:p>
            <w:pPr>
              <w:spacing w:line="360" w:lineRule="auto"/>
              <w:rPr>
                <w:rFonts w:hint="eastAsia" w:ascii="宋体" w:hAnsi="宋体" w:eastAsia="宋体" w:cs="宋体"/>
                <w:color w:val="000000"/>
                <w:sz w:val="24"/>
                <w:szCs w:val="24"/>
                <w:highlight w:val="none"/>
              </w:rPr>
            </w:pPr>
          </w:p>
        </w:tc>
        <w:tc>
          <w:tcPr>
            <w:tcW w:w="2721" w:type="dxa"/>
            <w:noWrap w:val="0"/>
            <w:vAlign w:val="top"/>
          </w:tcPr>
          <w:p>
            <w:pPr>
              <w:spacing w:line="360" w:lineRule="auto"/>
              <w:ind w:firstLine="840" w:firstLineChars="35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第三次付款</w:t>
            </w:r>
          </w:p>
        </w:tc>
        <w:tc>
          <w:tcPr>
            <w:tcW w:w="2371" w:type="dxa"/>
            <w:noWrap w:val="0"/>
            <w:vAlign w:val="top"/>
          </w:tcPr>
          <w:p>
            <w:pPr>
              <w:spacing w:line="360" w:lineRule="auto"/>
              <w:ind w:firstLine="360" w:firstLineChars="150"/>
              <w:rPr>
                <w:rFonts w:hint="eastAsia" w:ascii="宋体" w:hAnsi="宋体" w:eastAsia="宋体" w:cs="宋体"/>
                <w:color w:val="000000"/>
                <w:sz w:val="24"/>
                <w:szCs w:val="24"/>
                <w:highlight w:val="none"/>
              </w:rPr>
            </w:pPr>
          </w:p>
        </w:tc>
        <w:tc>
          <w:tcPr>
            <w:tcW w:w="1429" w:type="dxa"/>
            <w:noWrap w:val="0"/>
            <w:vAlign w:val="top"/>
          </w:tcPr>
          <w:p>
            <w:pPr>
              <w:spacing w:line="360" w:lineRule="auto"/>
              <w:rPr>
                <w:rFonts w:hint="eastAsia" w:ascii="宋体" w:hAnsi="宋体" w:eastAsia="宋体" w:cs="宋体"/>
                <w:color w:val="000000"/>
                <w:sz w:val="24"/>
                <w:szCs w:val="24"/>
                <w:highlight w:val="none"/>
              </w:rPr>
            </w:pPr>
          </w:p>
        </w:tc>
        <w:tc>
          <w:tcPr>
            <w:tcW w:w="2721" w:type="dxa"/>
            <w:noWrap w:val="0"/>
            <w:vAlign w:val="top"/>
          </w:tcPr>
          <w:p>
            <w:pPr>
              <w:spacing w:line="360" w:lineRule="auto"/>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top"/>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371" w:type="dxa"/>
            <w:noWrap w:val="0"/>
            <w:vAlign w:val="top"/>
          </w:tcPr>
          <w:p>
            <w:pPr>
              <w:spacing w:line="360" w:lineRule="auto"/>
              <w:rPr>
                <w:rFonts w:hint="eastAsia" w:ascii="宋体" w:hAnsi="宋体" w:eastAsia="宋体" w:cs="宋体"/>
                <w:color w:val="000000"/>
                <w:sz w:val="24"/>
                <w:szCs w:val="24"/>
                <w:highlight w:val="none"/>
              </w:rPr>
            </w:pPr>
          </w:p>
        </w:tc>
        <w:tc>
          <w:tcPr>
            <w:tcW w:w="1429" w:type="dxa"/>
            <w:noWrap w:val="0"/>
            <w:vAlign w:val="top"/>
          </w:tcPr>
          <w:p>
            <w:pPr>
              <w:spacing w:line="360" w:lineRule="auto"/>
              <w:rPr>
                <w:rFonts w:hint="eastAsia" w:ascii="宋体" w:hAnsi="宋体" w:eastAsia="宋体" w:cs="宋体"/>
                <w:color w:val="000000"/>
                <w:sz w:val="24"/>
                <w:szCs w:val="24"/>
                <w:highlight w:val="none"/>
              </w:rPr>
            </w:pPr>
          </w:p>
        </w:tc>
        <w:tc>
          <w:tcPr>
            <w:tcW w:w="2721" w:type="dxa"/>
            <w:noWrap w:val="0"/>
            <w:vAlign w:val="top"/>
          </w:tcPr>
          <w:p>
            <w:pPr>
              <w:spacing w:line="360" w:lineRule="auto"/>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最后付款</w:t>
            </w:r>
          </w:p>
        </w:tc>
        <w:tc>
          <w:tcPr>
            <w:tcW w:w="2371" w:type="dxa"/>
            <w:noWrap w:val="0"/>
            <w:vAlign w:val="top"/>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监理与相关服务期届满14天内</w:t>
            </w:r>
          </w:p>
        </w:tc>
        <w:tc>
          <w:tcPr>
            <w:tcW w:w="1429" w:type="dxa"/>
            <w:noWrap w:val="0"/>
            <w:vAlign w:val="top"/>
          </w:tcPr>
          <w:p>
            <w:pPr>
              <w:spacing w:line="360" w:lineRule="auto"/>
              <w:jc w:val="center"/>
              <w:rPr>
                <w:rFonts w:hint="eastAsia" w:ascii="宋体" w:hAnsi="宋体" w:eastAsia="宋体" w:cs="宋体"/>
                <w:color w:val="000000"/>
                <w:sz w:val="24"/>
                <w:szCs w:val="24"/>
                <w:highlight w:val="none"/>
              </w:rPr>
            </w:pPr>
          </w:p>
        </w:tc>
        <w:tc>
          <w:tcPr>
            <w:tcW w:w="2721" w:type="dxa"/>
            <w:noWrap w:val="0"/>
            <w:vAlign w:val="top"/>
          </w:tcPr>
          <w:p>
            <w:pPr>
              <w:spacing w:line="360" w:lineRule="auto"/>
              <w:jc w:val="center"/>
              <w:rPr>
                <w:rFonts w:hint="eastAsia" w:ascii="宋体" w:hAnsi="宋体" w:eastAsia="宋体" w:cs="宋体"/>
                <w:color w:val="000000"/>
                <w:sz w:val="24"/>
                <w:szCs w:val="24"/>
                <w:highlight w:val="none"/>
              </w:rPr>
            </w:pPr>
          </w:p>
        </w:tc>
      </w:tr>
    </w:tbl>
    <w:p>
      <w:pPr>
        <w:pStyle w:val="5"/>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37" w:name="_Toc44606697"/>
      <w:r>
        <w:rPr>
          <w:rFonts w:hint="eastAsia" w:ascii="宋体" w:hAnsi="宋体" w:eastAsia="宋体" w:cs="宋体"/>
          <w:color w:val="auto"/>
          <w:highlight w:val="none"/>
        </w:rPr>
        <w:t>6. 合同生效、变更、暂停、解除与终止</w:t>
      </w:r>
      <w:bookmarkEnd w:id="237"/>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生效</w:t>
      </w:r>
    </w:p>
    <w:p>
      <w:pPr>
        <w:shd w:val="clear" w:color="auto" w:fill="auto"/>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本合同生效条件：</w:t>
      </w:r>
      <w:r>
        <w:rPr>
          <w:rFonts w:hint="eastAsia" w:ascii="宋体" w:hAnsi="宋体" w:eastAsia="宋体" w:cs="宋体"/>
          <w:color w:val="auto"/>
          <w:sz w:val="24"/>
          <w:highlight w:val="none"/>
          <w:u w:val="single"/>
        </w:rPr>
        <w:t>双方签字盖章且监理人递交符合要求的履约担保之日起生效</w:t>
      </w:r>
      <w:r>
        <w:rPr>
          <w:rFonts w:hint="eastAsia" w:ascii="宋体" w:hAnsi="宋体" w:eastAsia="宋体" w:cs="宋体"/>
          <w:color w:val="auto"/>
          <w:sz w:val="24"/>
          <w:highlight w:val="none"/>
        </w:rPr>
        <w:t>。</w:t>
      </w:r>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变更</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6.2.2 除不可抗力外，因非监理人原因导致本合同期限延长时，附加工作酬金按下列方法确定：</w:t>
      </w:r>
    </w:p>
    <w:p>
      <w:pPr>
        <w:shd w:val="clear" w:color="auto" w:fill="auto"/>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附加工作</w:t>
      </w:r>
      <w:r>
        <w:rPr>
          <w:rFonts w:hint="eastAsia" w:ascii="宋体" w:hAnsi="宋体" w:eastAsia="宋体" w:cs="宋体"/>
          <w:color w:val="auto"/>
          <w:sz w:val="24"/>
          <w:highlight w:val="none"/>
        </w:rPr>
        <w:t>酬金</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本合同期限延长</w:t>
      </w:r>
      <w:r>
        <w:rPr>
          <w:rFonts w:hint="eastAsia" w:ascii="宋体" w:hAnsi="宋体" w:eastAsia="宋体" w:cs="宋体"/>
          <w:color w:val="auto"/>
          <w:kern w:val="0"/>
          <w:sz w:val="24"/>
          <w:highlight w:val="none"/>
        </w:rPr>
        <w:t>时间（天）×正常工作酬金÷</w:t>
      </w:r>
      <w:r>
        <w:rPr>
          <w:rFonts w:hint="eastAsia" w:ascii="宋体" w:hAnsi="宋体" w:eastAsia="宋体" w:cs="宋体"/>
          <w:color w:val="auto"/>
          <w:sz w:val="24"/>
          <w:highlight w:val="none"/>
        </w:rPr>
        <w:t>协议书约定的监理与相关服务期限</w:t>
      </w:r>
      <w:r>
        <w:rPr>
          <w:rFonts w:hint="eastAsia" w:ascii="宋体" w:hAnsi="宋体" w:eastAsia="宋体" w:cs="宋体"/>
          <w:color w:val="auto"/>
          <w:kern w:val="0"/>
          <w:sz w:val="24"/>
          <w:highlight w:val="none"/>
        </w:rPr>
        <w:t>（天）</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6.2.3附加工作酬金按下列方法确定：</w:t>
      </w:r>
    </w:p>
    <w:p>
      <w:pPr>
        <w:shd w:val="clear" w:color="auto" w:fill="auto"/>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附加工作</w:t>
      </w:r>
      <w:r>
        <w:rPr>
          <w:rFonts w:hint="eastAsia" w:ascii="宋体" w:hAnsi="宋体" w:eastAsia="宋体" w:cs="宋体"/>
          <w:color w:val="auto"/>
          <w:sz w:val="24"/>
          <w:highlight w:val="none"/>
        </w:rPr>
        <w:t>酬金</w:t>
      </w:r>
      <w:r>
        <w:rPr>
          <w:rFonts w:hint="eastAsia" w:ascii="宋体" w:hAnsi="宋体" w:eastAsia="宋体" w:cs="宋体"/>
          <w:color w:val="auto"/>
          <w:kern w:val="0"/>
          <w:sz w:val="24"/>
          <w:highlight w:val="none"/>
        </w:rPr>
        <w:t>=善后工作及恢复服务的准备工作时间（天）×正常工作酬金÷</w:t>
      </w:r>
      <w:r>
        <w:rPr>
          <w:rFonts w:hint="eastAsia" w:ascii="宋体" w:hAnsi="宋体" w:eastAsia="宋体" w:cs="宋体"/>
          <w:color w:val="auto"/>
          <w:sz w:val="24"/>
          <w:highlight w:val="none"/>
        </w:rPr>
        <w:t>协议书约定的监理与相关服务期限</w:t>
      </w:r>
      <w:r>
        <w:rPr>
          <w:rFonts w:hint="eastAsia" w:ascii="宋体" w:hAnsi="宋体" w:eastAsia="宋体" w:cs="宋体"/>
          <w:color w:val="auto"/>
          <w:kern w:val="0"/>
          <w:sz w:val="24"/>
          <w:highlight w:val="none"/>
        </w:rPr>
        <w:t>（天）</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6.2.5 正常工作酬金增加额按下列方法确定： </w:t>
      </w:r>
    </w:p>
    <w:p>
      <w:pPr>
        <w:shd w:val="clear" w:color="auto" w:fill="auto"/>
        <w:adjustRightInd w:val="0"/>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正常工作酬金增加额</w:t>
      </w:r>
      <w:r>
        <w:rPr>
          <w:rFonts w:hint="eastAsia" w:ascii="宋体" w:hAnsi="宋体" w:eastAsia="宋体" w:cs="宋体"/>
          <w:color w:val="auto"/>
          <w:kern w:val="0"/>
          <w:sz w:val="24"/>
          <w:highlight w:val="none"/>
        </w:rPr>
        <w:t>=工程投资额</w:t>
      </w:r>
      <w:r>
        <w:rPr>
          <w:rFonts w:hint="eastAsia" w:ascii="宋体" w:hAnsi="宋体" w:eastAsia="宋体" w:cs="宋体"/>
          <w:color w:val="auto"/>
          <w:sz w:val="24"/>
          <w:highlight w:val="none"/>
        </w:rPr>
        <w:t>或建筑安装工程费</w:t>
      </w:r>
      <w:r>
        <w:rPr>
          <w:rFonts w:hint="eastAsia" w:ascii="宋体" w:hAnsi="宋体" w:eastAsia="宋体" w:cs="宋体"/>
          <w:color w:val="auto"/>
          <w:kern w:val="0"/>
          <w:sz w:val="24"/>
          <w:highlight w:val="none"/>
        </w:rPr>
        <w:t>增加额×正常工作酬金÷工程概算投资额（或建筑安装工程费）</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6.2.6 因工程规模、监理范围的变化导致监理人的正常工作量减少时，按减少工作量的比例从协议书约定的正常工作酬金中扣减相同比例的酬金。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6.5补充内容</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6.5.1在本项目执行过程中，因委托人自身原因或委托人上级部门原因或项目所在地政府原因或政策性原因等非可预见性原因造成本合同无法正常履行时，委托人有权利单方面解除合同，且不对监理人提供任何赔偿或补偿。</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6.5.2因监理人原因致使合同无法履行或者解除的，监理人应向委托人承担相应违约责任并按委托人要求提供赔偿。</w:t>
      </w:r>
    </w:p>
    <w:p>
      <w:pPr>
        <w:pStyle w:val="5"/>
        <w:shd w:val="clear" w:color="auto" w:fill="auto"/>
        <w:rPr>
          <w:rFonts w:hint="eastAsia" w:ascii="宋体" w:hAnsi="宋体" w:eastAsia="宋体" w:cs="宋体"/>
          <w:color w:val="auto"/>
          <w:highlight w:val="none"/>
        </w:rPr>
      </w:pPr>
      <w:bookmarkStart w:id="238" w:name="_Toc44606698"/>
      <w:r>
        <w:rPr>
          <w:rFonts w:hint="eastAsia" w:ascii="宋体" w:hAnsi="宋体" w:eastAsia="宋体" w:cs="宋体"/>
          <w:color w:val="auto"/>
          <w:highlight w:val="none"/>
        </w:rPr>
        <w:t>7. 争议解决</w:t>
      </w:r>
      <w:bookmarkEnd w:id="238"/>
    </w:p>
    <w:p>
      <w:pPr>
        <w:shd w:val="clear" w:color="auto" w:fill="auto"/>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 </w:t>
      </w:r>
      <w:r>
        <w:rPr>
          <w:rFonts w:hint="eastAsia" w:ascii="宋体" w:hAnsi="宋体" w:eastAsia="宋体" w:cs="宋体"/>
          <w:bCs/>
          <w:color w:val="auto"/>
          <w:sz w:val="24"/>
          <w:highlight w:val="none"/>
        </w:rPr>
        <w:t>调解</w:t>
      </w:r>
    </w:p>
    <w:p>
      <w:pPr>
        <w:shd w:val="clear" w:color="auto" w:fill="auto"/>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本合同争议进行调解时，可提交</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进行调解。</w:t>
      </w:r>
    </w:p>
    <w:p>
      <w:pPr>
        <w:shd w:val="clear" w:color="auto" w:fill="auto"/>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 </w:t>
      </w:r>
      <w:r>
        <w:rPr>
          <w:rFonts w:hint="eastAsia" w:ascii="宋体" w:hAnsi="宋体" w:eastAsia="宋体" w:cs="宋体"/>
          <w:bCs/>
          <w:color w:val="auto"/>
          <w:sz w:val="24"/>
          <w:highlight w:val="none"/>
        </w:rPr>
        <w:t>仲裁或诉讼</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合同争议的最终解决方式为下列第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仲裁委员会进行仲裁。</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项目所在地  </w:t>
      </w:r>
      <w:r>
        <w:rPr>
          <w:rFonts w:hint="eastAsia" w:ascii="宋体" w:hAnsi="宋体" w:eastAsia="宋体" w:cs="宋体"/>
          <w:color w:val="auto"/>
          <w:sz w:val="24"/>
          <w:highlight w:val="none"/>
        </w:rPr>
        <w:t>人民法院提起诉讼。</w:t>
      </w:r>
    </w:p>
    <w:p>
      <w:pPr>
        <w:pStyle w:val="5"/>
        <w:shd w:val="clear" w:color="auto" w:fill="auto"/>
        <w:rPr>
          <w:rFonts w:hint="eastAsia" w:ascii="宋体" w:hAnsi="宋体" w:eastAsia="宋体" w:cs="宋体"/>
          <w:color w:val="auto"/>
          <w:highlight w:val="none"/>
        </w:rPr>
      </w:pPr>
      <w:bookmarkStart w:id="239" w:name="_Toc44606699"/>
      <w:r>
        <w:rPr>
          <w:rFonts w:hint="eastAsia" w:ascii="宋体" w:hAnsi="宋体" w:eastAsia="宋体" w:cs="宋体"/>
          <w:color w:val="auto"/>
          <w:highlight w:val="none"/>
        </w:rPr>
        <w:t>8. 其他</w:t>
      </w:r>
      <w:bookmarkEnd w:id="239"/>
    </w:p>
    <w:p>
      <w:pPr>
        <w:shd w:val="clear" w:color="auto" w:fill="auto"/>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8.2 检测费用</w:t>
      </w:r>
    </w:p>
    <w:p>
      <w:pPr>
        <w:shd w:val="clear" w:color="auto" w:fill="auto"/>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委托人应在检测工作完成后</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天内支付检测费用。</w:t>
      </w:r>
    </w:p>
    <w:p>
      <w:pPr>
        <w:shd w:val="clear" w:color="auto" w:fill="auto"/>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8.3 咨询费用</w:t>
      </w:r>
    </w:p>
    <w:p>
      <w:pPr>
        <w:shd w:val="clear" w:color="auto" w:fill="auto"/>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委托人应在咨询工作完成后</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天内支付咨询费用。</w:t>
      </w:r>
    </w:p>
    <w:p>
      <w:pPr>
        <w:shd w:val="clear" w:color="auto" w:fill="auto"/>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奖励</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合理化建议的奖励金额按下列方法确定为：</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奖励金额＝工程投资节省额×奖励金额的比率；</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奖励金额的比率为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shd w:val="clear" w:color="auto" w:fill="auto"/>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8.6 保密</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第三方申明的保密事项和期限：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snapToGrid w:val="0"/>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8.8</w:t>
      </w:r>
      <w:r>
        <w:rPr>
          <w:rFonts w:hint="eastAsia" w:ascii="宋体" w:hAnsi="宋体" w:eastAsia="宋体" w:cs="宋体"/>
          <w:bCs/>
          <w:color w:val="auto"/>
          <w:sz w:val="24"/>
          <w:highlight w:val="none"/>
        </w:rPr>
        <w:t>著作权</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监理人在本合同履行期间及本合同终止后两年内出版涉及本工程的有关监理与相关服务的资料的限制条件：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hd w:val="clear" w:color="auto" w:fill="auto"/>
        <w:adjustRightInd w:val="0"/>
        <w:snapToGrid w:val="0"/>
        <w:spacing w:before="120" w:beforeLines="50" w:after="120" w:afterLines="5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9. 补充条款</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9.1监理投标响应文件的承诺必须做到，本项目全程驻场的专业监理工程师不得少于1人、专业监理员不得少于1人。</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在施工过程中每个阶段都必须有相关专业监理责任到人。监理必须按工程施工规范及设计要求严格把关，如遇施工变更，监理必须在第一时间拿出相关数据和书面资料进行三方认证，或接到业主通知后，监理需依据设计变更，进行施工监理工作，不得拖延和推诿。</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9.3监理在施工现场必须要带好安全帽及监理胸牌，明确身份，持证上岗接受监督，并要求施工单位安全文明施工，发现安全隐患要及时提出予以整改，要充分行使监理的权利。</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监理人必须严格按照设计方案、设计说明和国家颁发的现行技术规范、规程和标准、合同约定及发包人的有关要求进行监理，并接受上级部门、发包人及发包人派驻代表的质量检验和监督。如检查中发现未按合同约定监理、质量未达到规范标准的，监理人应承担违约责任，监理人在收到发包人发出的《违约赔付通知》书后10个工作日内，按照2000元/次的标准支付发包人违约金。 </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监理人派遣的工程管理人员、工程监理人员必须具有国家和行业颁布的资质证书，并随时接受发包人或发包人授权代表的检查，如发现无证人员上岗情况，监理人应承担违约责任，监理人应在收到发包人出具的《违约赔付通知》书后10个工作日内，按2000元/次支付发包人违约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9.6监理人在收到中标（成交）的通知后后，按照发包人管理标准和工程需要安排，配备足够的监理人员进行监理，并递交监理人员信息至发包人档案库中。监理人监理人员不得随意调整，如确需调整，应以书面形式报送发包人及发包人代表，经发包人代表同意，并更新人员档案信息后，方可进行人员的调整工作。监理人未按照发包人管理标准和工程需要安排足够监理人员，或未经发包人代表同意后随意调整监理人员，导致场监理人员不足、或与人员档案库信息不符，监理人应承担违约责任，监理人应在收到发包人出具的《违约赔付通知》书后10个工作日内，按2000元/人次支付发包人违约金；监理人累计三次以上随意调整监理人员造成人员不足、或与档案库信息不符，发包人有权立即单方解除本协议中的工程监理内容。</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9.7在工程实施期间，监理单位必须于每周一上报工程周报，工程周报须反应本周的工程情况、遇到的问题、工程中各方面的情况及下周的工作计划，如果预期未提交或周报内容不符合以上要求，监理人承担违约责任，监理人应在收到发包人出具的《违约赔付通知》书后10个工作日内，按2000元/次支付发包人违约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9.8监理人应保证其所提供的监理资料真实有效。</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9.9在监理期间发生重大安全生产责任事故的，监理人除承担全部责任外，发包人立即解除服务协议，并扣除全部工程价款。</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9.10要求监理人恪守职业道德，公平、公正的行使监理职责，严禁 “吃、拿、卡、要”，对违反职业道德的行为，一经发现，将按5000元/次支付发包人违约金。 </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9.11现场检查中，发生设计不符或工艺不符合要求，且监理日志中无相关纠正及整改记录的，每起事件按2000元/次支付发包人违约金。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9.12在监理过程中，对于监理生产安全的要求，监理人必须按照发包人安全生产的管理制度及工作要求执行。如发现监理人未能执行，监理人将按2000元/次支付发包人违约金。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9.13如因监理人原因导致工程延期竣工的，每延期一天，监理人须承担本协议价金额0.03％的违约金；逾期超过30天的，监理人须承担本协议价金额10％的违约金，同时委托人有权单方解除本协议。如上述违约金不足以弥补委托人损失的，监理人还应依据委托人的实际损失予以赔偿。</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9.14监理单位负责收集设计资料、标准规范、监理资料和竣工资料，并依据发包人资料归档要求，做成档案资料上交发包人归档。如因监理人原因造成资料缺失或移交不及时的，将对监理人处于2000元/次的违约金。</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9.15监理单位应当按下列程序实施建设监理：</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①按照监理合同，选派满足监理工作要求的总监理工程师、监理工程师和监理员组建项目监理机构，进驻现场；</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②编制监理规划，明确监理机构的工作范围、内容、目标和依据，确定监理工作制度、程序、方法和措施，并报项目法人备案；</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③按照工程建设进度计划，分专业编制监理实施细则；</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④按照监理规划和监理实施细则开展监理工作，编制并提交监理报告；</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⑤监理业务完成后，按照监理合同向发包人提交监理工作报告、移交档案资料。</w:t>
      </w:r>
    </w:p>
    <w:p>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9.16监理机构：（附投标承诺书监理机构）</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总    监：                 电话：             </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专业监理工程师：           电话：              </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专业监理工程师：           电话：</w:t>
      </w:r>
    </w:p>
    <w:p>
      <w:pPr>
        <w:shd w:val="clear" w:color="auto" w:fill="auto"/>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hd w:val="clear" w:color="auto" w:fill="auto"/>
        <w:adjustRightInd w:val="0"/>
        <w:snapToGrid w:val="0"/>
        <w:spacing w:line="360" w:lineRule="auto"/>
        <w:ind w:firstLine="480" w:firstLineChars="200"/>
        <w:rPr>
          <w:rFonts w:hint="eastAsia" w:ascii="宋体" w:hAnsi="宋体" w:eastAsia="宋体" w:cs="宋体"/>
          <w:b/>
          <w:color w:val="auto"/>
          <w:sz w:val="28"/>
          <w:szCs w:val="28"/>
          <w:highlight w:val="none"/>
          <w:lang w:val="zh-CN"/>
        </w:rPr>
      </w:pPr>
      <w:r>
        <w:rPr>
          <w:rFonts w:hint="eastAsia" w:ascii="宋体" w:hAnsi="宋体" w:eastAsia="宋体" w:cs="宋体"/>
          <w:color w:val="auto"/>
          <w:sz w:val="24"/>
          <w:highlight w:val="none"/>
        </w:rPr>
        <w:t xml:space="preserve">监理员 ：                  电话：              </w:t>
      </w:r>
    </w:p>
    <w:p>
      <w:pPr>
        <w:shd w:val="clear" w:color="auto" w:fill="auto"/>
        <w:autoSpaceDE w:val="0"/>
        <w:autoSpaceDN w:val="0"/>
        <w:adjustRightInd w:val="0"/>
        <w:spacing w:line="360" w:lineRule="auto"/>
        <w:ind w:firstLine="555"/>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具体要求以实际签订合同为准。</w:t>
      </w:r>
    </w:p>
    <w:p>
      <w:pPr>
        <w:shd w:val="clear" w:color="auto" w:fill="auto"/>
        <w:autoSpaceDE w:val="0"/>
        <w:autoSpaceDN w:val="0"/>
        <w:adjustRightInd w:val="0"/>
        <w:spacing w:line="360" w:lineRule="auto"/>
        <w:ind w:firstLine="555"/>
        <w:rPr>
          <w:rFonts w:hint="eastAsia" w:ascii="宋体" w:hAnsi="宋体" w:eastAsia="宋体" w:cs="宋体"/>
          <w:b/>
          <w:color w:val="auto"/>
          <w:sz w:val="28"/>
          <w:szCs w:val="28"/>
          <w:highlight w:val="none"/>
          <w:lang w:val="zh-CN"/>
        </w:rPr>
      </w:pPr>
    </w:p>
    <w:p>
      <w:pPr>
        <w:rPr>
          <w:rFonts w:hint="eastAsia" w:ascii="宋体" w:hAnsi="宋体" w:eastAsia="宋体" w:cs="宋体"/>
          <w:lang w:val="zh-CN"/>
        </w:rPr>
      </w:pPr>
    </w:p>
    <w:p>
      <w:pPr>
        <w:shd w:val="clear" w:color="auto" w:fill="auto"/>
        <w:spacing w:line="360" w:lineRule="auto"/>
        <w:jc w:val="both"/>
        <w:outlineLvl w:val="0"/>
        <w:rPr>
          <w:rFonts w:hint="eastAsia" w:ascii="宋体" w:hAnsi="宋体" w:eastAsia="宋体" w:cs="宋体"/>
          <w:b/>
          <w:color w:val="auto"/>
          <w:sz w:val="24"/>
          <w:highlight w:val="none"/>
        </w:rPr>
      </w:pPr>
      <w:bookmarkStart w:id="240" w:name="_Toc44606700"/>
      <w:bookmarkStart w:id="241" w:name="_Toc44606396"/>
      <w:bookmarkStart w:id="242" w:name="_Toc44606411"/>
      <w:bookmarkStart w:id="243" w:name="_Toc77444702"/>
      <w:bookmarkStart w:id="244" w:name="_Toc10987"/>
      <w:bookmarkStart w:id="245" w:name="_Toc44606375"/>
    </w:p>
    <w:p>
      <w:pPr>
        <w:shd w:val="clear" w:color="auto" w:fill="auto"/>
        <w:spacing w:line="360" w:lineRule="auto"/>
        <w:jc w:val="both"/>
        <w:outlineLvl w:val="0"/>
        <w:rPr>
          <w:rFonts w:hint="eastAsia" w:ascii="宋体" w:hAnsi="宋体" w:eastAsia="宋体" w:cs="宋体"/>
          <w:b/>
          <w:color w:val="auto"/>
          <w:sz w:val="24"/>
          <w:highlight w:val="none"/>
        </w:rPr>
      </w:pPr>
    </w:p>
    <w:p>
      <w:pPr>
        <w:shd w:val="clear" w:color="auto" w:fill="auto"/>
        <w:spacing w:line="360" w:lineRule="auto"/>
        <w:jc w:val="both"/>
        <w:outlineLvl w:val="0"/>
        <w:rPr>
          <w:rFonts w:hint="eastAsia" w:ascii="宋体" w:hAnsi="宋体" w:eastAsia="宋体" w:cs="宋体"/>
          <w:b/>
          <w:bCs/>
          <w:color w:val="auto"/>
          <w:kern w:val="0"/>
          <w:sz w:val="30"/>
          <w:szCs w:val="30"/>
          <w:highlight w:val="none"/>
        </w:rPr>
      </w:pPr>
      <w:r>
        <w:rPr>
          <w:rFonts w:hint="eastAsia" w:ascii="宋体" w:hAnsi="宋体" w:eastAsia="宋体" w:cs="宋体"/>
          <w:b/>
          <w:color w:val="auto"/>
          <w:sz w:val="24"/>
          <w:highlight w:val="none"/>
        </w:rPr>
        <w:t>附录A  相关服务的范围和内容</w:t>
      </w:r>
      <w:bookmarkEnd w:id="240"/>
      <w:bookmarkEnd w:id="241"/>
      <w:bookmarkEnd w:id="242"/>
      <w:bookmarkEnd w:id="243"/>
      <w:bookmarkEnd w:id="244"/>
      <w:bookmarkEnd w:id="245"/>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A-1 勘察阶段：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shd w:val="clear" w:color="auto" w:fill="auto"/>
        <w:adjustRightInd w:val="0"/>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A-2 设计阶段：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shd w:val="clear" w:color="auto" w:fill="auto"/>
        <w:adjustRightInd w:val="0"/>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A-3 保修阶段：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shd w:val="clear" w:color="auto" w:fill="auto"/>
        <w:adjustRightInd w:val="0"/>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A-4 其他（专业技术咨询、外部协调工作等）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color w:val="auto"/>
          <w:kern w:val="0"/>
          <w:sz w:val="30"/>
          <w:szCs w:val="30"/>
          <w:highlight w:val="none"/>
        </w:rPr>
      </w:pPr>
    </w:p>
    <w:p>
      <w:pPr>
        <w:shd w:val="clear" w:color="auto" w:fill="auto"/>
        <w:spacing w:line="360" w:lineRule="auto"/>
        <w:jc w:val="both"/>
        <w:outlineLvl w:val="0"/>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bookmarkStart w:id="246" w:name="_Toc77444703"/>
      <w:bookmarkStart w:id="247" w:name="_Toc44606397"/>
      <w:bookmarkStart w:id="248" w:name="_Toc44606701"/>
      <w:bookmarkStart w:id="249" w:name="_Toc44606376"/>
      <w:bookmarkStart w:id="250" w:name="_Toc44606412"/>
      <w:bookmarkStart w:id="251" w:name="_Toc27742"/>
      <w:r>
        <w:rPr>
          <w:rFonts w:hint="eastAsia" w:ascii="宋体" w:hAnsi="宋体" w:eastAsia="宋体" w:cs="宋体"/>
          <w:b/>
          <w:color w:val="auto"/>
          <w:sz w:val="24"/>
          <w:highlight w:val="none"/>
        </w:rPr>
        <w:t>附录B  委托人派遣的人员和提供的房屋、资料、设备</w:t>
      </w:r>
      <w:bookmarkEnd w:id="246"/>
      <w:bookmarkEnd w:id="247"/>
      <w:bookmarkEnd w:id="248"/>
      <w:bookmarkEnd w:id="249"/>
      <w:bookmarkEnd w:id="250"/>
      <w:bookmarkEnd w:id="251"/>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B-1  委托人派遣的人员</w:t>
      </w:r>
    </w:p>
    <w:tbl>
      <w:tblPr>
        <w:tblStyle w:val="3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工作要求</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1.工程技术人员</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2.辅助工作人员</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3.其他人员</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bl>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B-2  委托人提供的房屋</w:t>
      </w:r>
    </w:p>
    <w:tbl>
      <w:tblPr>
        <w:tblStyle w:val="3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面积</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1.办公用房</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2.生活用房</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3.试验用房</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4.样品用房</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用餐及其他生活条件</w:t>
            </w:r>
          </w:p>
        </w:tc>
        <w:tc>
          <w:tcPr>
            <w:tcW w:w="6341"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bl>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shd w:val="clear" w:color="auto" w:fill="auto"/>
        <w:adjustRightInd w:val="0"/>
        <w:snapToGrid w:val="0"/>
        <w:spacing w:line="360" w:lineRule="auto"/>
        <w:ind w:firstLine="480"/>
        <w:rPr>
          <w:rFonts w:hint="eastAsia" w:ascii="宋体" w:hAnsi="宋体" w:eastAsia="宋体" w:cs="宋体"/>
          <w:color w:val="auto"/>
          <w:kern w:val="0"/>
          <w:sz w:val="30"/>
          <w:szCs w:val="30"/>
          <w:highlight w:val="none"/>
        </w:rPr>
      </w:pPr>
    </w:p>
    <w:p>
      <w:pPr>
        <w:pStyle w:val="6"/>
        <w:shd w:val="clear" w:color="auto" w:fill="auto"/>
        <w:rPr>
          <w:rFonts w:hint="eastAsia" w:ascii="宋体" w:hAnsi="宋体" w:eastAsia="宋体" w:cs="宋体"/>
          <w:color w:val="auto"/>
          <w:kern w:val="0"/>
          <w:sz w:val="30"/>
          <w:szCs w:val="30"/>
          <w:highlight w:val="none"/>
        </w:rPr>
      </w:pPr>
    </w:p>
    <w:p>
      <w:pPr>
        <w:shd w:val="clear" w:color="auto" w:fill="auto"/>
        <w:rPr>
          <w:rFonts w:hint="eastAsia" w:ascii="宋体" w:hAnsi="宋体" w:eastAsia="宋体" w:cs="宋体"/>
          <w:color w:val="auto"/>
          <w:kern w:val="0"/>
          <w:sz w:val="30"/>
          <w:szCs w:val="30"/>
          <w:highlight w:val="none"/>
        </w:rPr>
      </w:pPr>
    </w:p>
    <w:p>
      <w:pPr>
        <w:shd w:val="clear" w:color="auto" w:fill="auto"/>
        <w:rPr>
          <w:rFonts w:hint="eastAsia" w:ascii="宋体" w:hAnsi="宋体" w:eastAsia="宋体" w:cs="宋体"/>
          <w:color w:val="auto"/>
          <w:kern w:val="0"/>
          <w:sz w:val="30"/>
          <w:szCs w:val="30"/>
          <w:highlight w:val="none"/>
        </w:rPr>
      </w:pPr>
    </w:p>
    <w:p>
      <w:pPr>
        <w:shd w:val="clear" w:color="auto" w:fill="auto"/>
        <w:rPr>
          <w:rFonts w:hint="eastAsia" w:ascii="宋体" w:hAnsi="宋体" w:eastAsia="宋体" w:cs="宋体"/>
          <w:color w:val="auto"/>
          <w:kern w:val="0"/>
          <w:sz w:val="30"/>
          <w:szCs w:val="30"/>
          <w:highlight w:val="none"/>
        </w:rPr>
      </w:pPr>
    </w:p>
    <w:p>
      <w:pPr>
        <w:pStyle w:val="6"/>
        <w:shd w:val="clear" w:color="auto" w:fill="auto"/>
        <w:rPr>
          <w:rFonts w:hint="eastAsia" w:ascii="宋体" w:hAnsi="宋体" w:eastAsia="宋体" w:cs="宋体"/>
          <w:color w:val="auto"/>
          <w:highlight w:val="none"/>
        </w:rPr>
      </w:pPr>
    </w:p>
    <w:p>
      <w:pPr>
        <w:shd w:val="clear" w:color="auto" w:fill="auto"/>
        <w:adjustRightInd w:val="0"/>
        <w:snapToGrid w:val="0"/>
        <w:spacing w:line="360" w:lineRule="auto"/>
        <w:rPr>
          <w:rFonts w:hint="eastAsia"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B-3  委托人提供的资料</w:t>
      </w:r>
    </w:p>
    <w:tbl>
      <w:tblPr>
        <w:tblStyle w:val="32"/>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1155"/>
        <w:gridCol w:w="176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份数</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提供时间</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1.工程立项文件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2.工程勘察文件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3.工程设计及施工图纸</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4.工程承包合同及其他相关合同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5.施工许可文件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6.其他文件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bl>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p>
    <w:p>
      <w:pPr>
        <w:shd w:val="clear" w:color="auto" w:fill="auto"/>
        <w:adjustRightInd w:val="0"/>
        <w:snapToGrid w:val="0"/>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B-4 委托人提供的设备</w:t>
      </w:r>
    </w:p>
    <w:tbl>
      <w:tblPr>
        <w:tblStyle w:val="32"/>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1365"/>
        <w:gridCol w:w="173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型号与规格</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1.通讯设备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2.办公设备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3.交通工具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4.检测和试验设备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ind w:firstLine="480"/>
              <w:jc w:val="center"/>
              <w:rPr>
                <w:rFonts w:hint="eastAsia" w:ascii="宋体" w:hAnsi="宋体" w:eastAsia="宋体" w:cs="宋体"/>
                <w:color w:val="auto"/>
                <w:kern w:val="0"/>
                <w:sz w:val="24"/>
                <w:highlight w:val="none"/>
              </w:rPr>
            </w:pPr>
          </w:p>
        </w:tc>
      </w:tr>
    </w:tbl>
    <w:p>
      <w:pPr>
        <w:shd w:val="clear" w:color="auto" w:fill="auto"/>
        <w:autoSpaceDE w:val="0"/>
        <w:autoSpaceDN w:val="0"/>
        <w:adjustRightInd w:val="0"/>
        <w:spacing w:line="360" w:lineRule="auto"/>
        <w:rPr>
          <w:rFonts w:hint="eastAsia" w:ascii="宋体" w:hAnsi="宋体" w:eastAsia="宋体" w:cs="宋体"/>
          <w:b/>
          <w:color w:val="auto"/>
          <w:sz w:val="28"/>
          <w:szCs w:val="28"/>
          <w:highlight w:val="none"/>
          <w:lang w:val="zh-CN"/>
        </w:rPr>
      </w:pPr>
    </w:p>
    <w:p>
      <w:pPr>
        <w:shd w:val="clear" w:color="auto" w:fill="auto"/>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附加协议条款</w:t>
      </w:r>
      <w:r>
        <w:rPr>
          <w:rFonts w:hint="eastAsia" w:ascii="宋体" w:hAnsi="宋体" w:eastAsia="宋体" w:cs="宋体"/>
          <w:color w:val="auto"/>
          <w:sz w:val="24"/>
          <w:highlight w:val="none"/>
          <w:lang w:val="zh-CN"/>
        </w:rPr>
        <w:t>：</w:t>
      </w:r>
    </w:p>
    <w:p>
      <w:pPr>
        <w:shd w:val="clear" w:color="auto" w:fill="auto"/>
        <w:autoSpaceDE w:val="0"/>
        <w:autoSpaceDN w:val="0"/>
        <w:adjustRightInd w:val="0"/>
        <w:spacing w:line="360" w:lineRule="auto"/>
        <w:ind w:left="2" w:firstLine="477" w:firstLineChars="198"/>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说明</w:t>
      </w:r>
      <w:r>
        <w:rPr>
          <w:rFonts w:hint="eastAsia" w:ascii="宋体" w:hAnsi="宋体" w:eastAsia="宋体" w:cs="宋体"/>
          <w:color w:val="auto"/>
          <w:sz w:val="24"/>
          <w:highlight w:val="none"/>
          <w:lang w:val="zh-CN"/>
        </w:rPr>
        <w:t>：除招标文件中已经约定的内容，专用条件中的其他条款有中标（成交）人与业主另行协商确定。</w:t>
      </w:r>
    </w:p>
    <w:p>
      <w:pPr>
        <w:pStyle w:val="6"/>
        <w:shd w:val="clear" w:color="auto" w:fill="auto"/>
        <w:ind w:left="2940" w:firstLine="416"/>
        <w:rPr>
          <w:rFonts w:hint="eastAsia" w:ascii="宋体" w:hAnsi="宋体" w:eastAsia="宋体" w:cs="宋体"/>
          <w:color w:val="auto"/>
          <w:highlight w:val="none"/>
          <w:lang w:val="zh-CN"/>
        </w:rPr>
      </w:pPr>
    </w:p>
    <w:p>
      <w:pPr>
        <w:shd w:val="clear" w:color="auto" w:fill="auto"/>
        <w:autoSpaceDE/>
        <w:autoSpaceDN/>
        <w:adjustRightInd/>
        <w:spacing w:line="240" w:lineRule="auto"/>
        <w:ind w:left="0" w:firstLine="416" w:firstLineChars="0"/>
        <w:rPr>
          <w:rFonts w:hint="eastAsia" w:ascii="宋体" w:hAnsi="宋体" w:eastAsia="宋体" w:cs="宋体"/>
          <w:color w:val="auto"/>
          <w:highlight w:val="none"/>
          <w:lang w:val="zh-CN"/>
        </w:rPr>
      </w:pPr>
    </w:p>
    <w:p>
      <w:pPr>
        <w:pStyle w:val="6"/>
        <w:shd w:val="clear" w:color="auto" w:fill="auto"/>
        <w:ind w:left="2940" w:firstLine="416"/>
        <w:rPr>
          <w:rFonts w:hint="eastAsia" w:ascii="宋体" w:hAnsi="宋体" w:eastAsia="宋体" w:cs="宋体"/>
          <w:color w:val="auto"/>
          <w:highlight w:val="none"/>
          <w:lang w:val="zh-CN"/>
        </w:rPr>
      </w:pPr>
    </w:p>
    <w:p>
      <w:pPr>
        <w:shd w:val="clear" w:color="auto" w:fill="auto"/>
        <w:autoSpaceDE/>
        <w:autoSpaceDN/>
        <w:adjustRightInd/>
        <w:spacing w:line="240" w:lineRule="auto"/>
        <w:ind w:left="0" w:firstLine="416" w:firstLineChars="0"/>
        <w:rPr>
          <w:rFonts w:hint="eastAsia" w:ascii="宋体" w:hAnsi="宋体" w:eastAsia="宋体" w:cs="宋体"/>
          <w:color w:val="auto"/>
          <w:highlight w:val="none"/>
          <w:lang w:val="zh-CN"/>
        </w:rPr>
      </w:pPr>
    </w:p>
    <w:p>
      <w:pPr>
        <w:pStyle w:val="6"/>
        <w:shd w:val="clear" w:color="auto" w:fill="auto"/>
        <w:ind w:left="2940" w:firstLine="416"/>
        <w:rPr>
          <w:rFonts w:hint="eastAsia" w:ascii="宋体" w:hAnsi="宋体" w:eastAsia="宋体" w:cs="宋体"/>
          <w:color w:val="auto"/>
          <w:highlight w:val="none"/>
          <w:lang w:val="zh-CN"/>
        </w:rPr>
      </w:pPr>
    </w:p>
    <w:p>
      <w:pPr>
        <w:shd w:val="clear" w:color="auto" w:fill="auto"/>
        <w:autoSpaceDE/>
        <w:autoSpaceDN/>
        <w:adjustRightInd/>
        <w:spacing w:line="240" w:lineRule="auto"/>
        <w:ind w:left="0" w:firstLine="416" w:firstLineChars="0"/>
        <w:rPr>
          <w:rFonts w:hint="eastAsia" w:ascii="宋体" w:hAnsi="宋体" w:eastAsia="宋体" w:cs="宋体"/>
          <w:color w:val="auto"/>
          <w:highlight w:val="none"/>
          <w:lang w:val="zh-CN"/>
        </w:rPr>
      </w:pPr>
    </w:p>
    <w:p>
      <w:pPr>
        <w:pStyle w:val="6"/>
        <w:shd w:val="clear" w:color="auto" w:fill="auto"/>
        <w:ind w:left="2940" w:firstLine="416"/>
        <w:rPr>
          <w:rFonts w:hint="eastAsia" w:ascii="宋体" w:hAnsi="宋体" w:eastAsia="宋体" w:cs="宋体"/>
          <w:color w:val="auto"/>
          <w:highlight w:val="none"/>
          <w:lang w:val="zh-CN"/>
        </w:rPr>
      </w:pPr>
    </w:p>
    <w:p>
      <w:pPr>
        <w:shd w:val="clear" w:color="auto" w:fill="auto"/>
        <w:autoSpaceDE/>
        <w:autoSpaceDN/>
        <w:adjustRightInd/>
        <w:spacing w:line="240" w:lineRule="auto"/>
        <w:ind w:left="0" w:firstLine="416" w:firstLineChars="0"/>
        <w:rPr>
          <w:rFonts w:hint="eastAsia" w:ascii="宋体" w:hAnsi="宋体" w:eastAsia="宋体" w:cs="宋体"/>
          <w:color w:val="auto"/>
          <w:highlight w:val="none"/>
          <w:lang w:val="zh-CN"/>
        </w:rPr>
      </w:pPr>
    </w:p>
    <w:p>
      <w:pPr>
        <w:pStyle w:val="6"/>
        <w:shd w:val="clear" w:color="auto" w:fill="auto"/>
        <w:ind w:left="2940" w:firstLine="416"/>
        <w:rPr>
          <w:rFonts w:hint="eastAsia" w:ascii="宋体" w:hAnsi="宋体" w:eastAsia="宋体" w:cs="宋体"/>
          <w:color w:val="auto"/>
          <w:highlight w:val="none"/>
          <w:lang w:val="zh-CN"/>
        </w:rPr>
      </w:pPr>
    </w:p>
    <w:p>
      <w:pPr>
        <w:shd w:val="clear" w:color="auto" w:fill="auto"/>
        <w:rPr>
          <w:rFonts w:hint="eastAsia" w:ascii="宋体" w:hAnsi="宋体" w:eastAsia="宋体" w:cs="宋体"/>
          <w:color w:val="auto"/>
          <w:highlight w:val="none"/>
          <w:lang w:val="zh-CN"/>
        </w:rPr>
      </w:pPr>
    </w:p>
    <w:p>
      <w:pPr>
        <w:pStyle w:val="6"/>
        <w:shd w:val="clear" w:color="auto" w:fill="auto"/>
        <w:rPr>
          <w:rFonts w:hint="eastAsia" w:ascii="宋体" w:hAnsi="宋体" w:eastAsia="宋体" w:cs="宋体"/>
          <w:color w:val="auto"/>
          <w:highlight w:val="none"/>
          <w:lang w:val="zh-CN"/>
        </w:rPr>
      </w:pPr>
    </w:p>
    <w:p>
      <w:pPr>
        <w:shd w:val="clear" w:color="auto" w:fill="auto"/>
        <w:rPr>
          <w:rFonts w:hint="eastAsia" w:ascii="宋体" w:hAnsi="宋体" w:eastAsia="宋体" w:cs="宋体"/>
          <w:color w:val="auto"/>
          <w:highlight w:val="none"/>
          <w:lang w:val="zh-CN"/>
        </w:rPr>
      </w:pPr>
    </w:p>
    <w:p>
      <w:pPr>
        <w:pStyle w:val="6"/>
        <w:shd w:val="clear" w:color="auto" w:fill="auto"/>
        <w:rPr>
          <w:rFonts w:hint="eastAsia" w:ascii="宋体" w:hAnsi="宋体" w:eastAsia="宋体" w:cs="宋体"/>
          <w:color w:val="auto"/>
          <w:highlight w:val="none"/>
          <w:lang w:val="zh-CN"/>
        </w:rPr>
      </w:pPr>
    </w:p>
    <w:p>
      <w:pPr>
        <w:shd w:val="clear" w:color="auto" w:fill="auto"/>
        <w:rPr>
          <w:rFonts w:hint="eastAsia" w:ascii="宋体" w:hAnsi="宋体" w:eastAsia="宋体" w:cs="宋体"/>
          <w:color w:val="auto"/>
          <w:highlight w:val="none"/>
          <w:lang w:val="zh-CN"/>
        </w:rPr>
      </w:pPr>
    </w:p>
    <w:p>
      <w:pPr>
        <w:shd w:val="clear" w:color="auto" w:fill="auto"/>
        <w:rPr>
          <w:rFonts w:hint="eastAsia" w:ascii="宋体" w:hAnsi="宋体" w:eastAsia="宋体" w:cs="宋体"/>
          <w:color w:val="auto"/>
          <w:highlight w:val="none"/>
          <w:lang w:val="zh-CN"/>
        </w:rPr>
      </w:pPr>
    </w:p>
    <w:p>
      <w:pPr>
        <w:shd w:val="clear" w:color="auto" w:fill="auto"/>
        <w:autoSpaceDE/>
        <w:autoSpaceDN/>
        <w:adjustRightInd/>
        <w:spacing w:line="240" w:lineRule="auto"/>
        <w:ind w:left="0" w:firstLine="475" w:firstLineChars="0"/>
        <w:rPr>
          <w:rFonts w:hint="eastAsia" w:ascii="宋体" w:hAnsi="宋体" w:eastAsia="宋体" w:cs="宋体"/>
          <w:color w:val="auto"/>
          <w:sz w:val="21"/>
          <w:highlight w:val="none"/>
          <w:lang w:val="zh-CN"/>
        </w:rPr>
      </w:pPr>
    </w:p>
    <w:p>
      <w:pPr>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sz w:val="20"/>
          <w:highlight w:val="none"/>
        </w:rPr>
      </w:pPr>
    </w:p>
    <w:p>
      <w:pPr>
        <w:pStyle w:val="3"/>
        <w:shd w:val="clear" w:color="auto" w:fill="auto"/>
        <w:spacing w:before="0" w:after="0" w:line="240" w:lineRule="auto"/>
        <w:rPr>
          <w:rFonts w:hint="eastAsia" w:ascii="宋体" w:hAnsi="宋体" w:eastAsia="宋体" w:cs="宋体"/>
          <w:b/>
          <w:bCs w:val="0"/>
          <w:color w:val="auto"/>
          <w:highlight w:val="none"/>
        </w:rPr>
      </w:pPr>
      <w:bookmarkStart w:id="252" w:name="_Toc257633148"/>
      <w:bookmarkStart w:id="253" w:name="_Toc256000020"/>
      <w:bookmarkStart w:id="254" w:name="_Toc26951"/>
      <w:bookmarkStart w:id="255" w:name="_Toc18901"/>
      <w:bookmarkStart w:id="256" w:name="_Toc531075012"/>
      <w:bookmarkStart w:id="257" w:name="_Toc1953"/>
      <w:bookmarkStart w:id="258" w:name="_Toc532543568"/>
      <w:r>
        <w:rPr>
          <w:rFonts w:hint="eastAsia" w:ascii="宋体" w:hAnsi="宋体" w:eastAsia="宋体" w:cs="宋体"/>
          <w:b/>
          <w:bCs w:val="0"/>
          <w:color w:val="auto"/>
          <w:szCs w:val="20"/>
          <w:highlight w:val="none"/>
        </w:rPr>
        <w:t>第</w:t>
      </w:r>
      <w:r>
        <w:rPr>
          <w:rFonts w:hint="eastAsia" w:ascii="宋体" w:hAnsi="宋体" w:cs="宋体"/>
          <w:b/>
          <w:bCs w:val="0"/>
          <w:color w:val="auto"/>
          <w:szCs w:val="20"/>
          <w:highlight w:val="none"/>
          <w:lang w:val="en-US" w:eastAsia="zh-CN"/>
        </w:rPr>
        <w:t>六</w:t>
      </w:r>
      <w:r>
        <w:rPr>
          <w:rFonts w:hint="eastAsia" w:ascii="宋体" w:hAnsi="宋体" w:eastAsia="宋体" w:cs="宋体"/>
          <w:b/>
          <w:bCs w:val="0"/>
          <w:color w:val="auto"/>
          <w:szCs w:val="20"/>
          <w:highlight w:val="none"/>
        </w:rPr>
        <w:t xml:space="preserve">章 </w:t>
      </w:r>
      <w:r>
        <w:rPr>
          <w:rFonts w:hint="eastAsia" w:ascii="宋体" w:hAnsi="宋体" w:eastAsia="宋体" w:cs="宋体"/>
          <w:b/>
          <w:bCs w:val="0"/>
          <w:color w:val="auto"/>
          <w:highlight w:val="none"/>
        </w:rPr>
        <w:t>响应文件格式</w:t>
      </w:r>
      <w:bookmarkEnd w:id="252"/>
      <w:bookmarkEnd w:id="253"/>
      <w:bookmarkEnd w:id="254"/>
      <w:bookmarkEnd w:id="255"/>
      <w:bookmarkEnd w:id="256"/>
      <w:bookmarkEnd w:id="257"/>
      <w:bookmarkEnd w:id="258"/>
    </w:p>
    <w:p>
      <w:pPr>
        <w:shd w:val="clear" w:color="auto" w:fill="auto"/>
        <w:rPr>
          <w:rFonts w:hint="eastAsia" w:ascii="宋体" w:hAnsi="宋体" w:eastAsia="宋体" w:cs="宋体"/>
          <w:color w:val="auto"/>
          <w:highlight w:val="none"/>
        </w:rPr>
      </w:pPr>
      <w:bookmarkStart w:id="259" w:name="EBb5dd68fd2a304dbeb6aeee6f34002852"/>
    </w:p>
    <w:p>
      <w:pPr>
        <w:spacing w:before="78" w:line="221" w:lineRule="auto"/>
        <w:ind w:left="4451"/>
        <w:rPr>
          <w:rFonts w:ascii="宋体" w:hAnsi="宋体" w:eastAsia="宋体" w:cs="宋体"/>
          <w:b/>
          <w:bCs/>
          <w:sz w:val="24"/>
          <w:szCs w:val="24"/>
        </w:rPr>
      </w:pPr>
      <w:bookmarkStart w:id="260" w:name="bookmark176"/>
      <w:bookmarkEnd w:id="260"/>
      <w:bookmarkStart w:id="261" w:name="bookmark175"/>
      <w:bookmarkEnd w:id="261"/>
      <w:bookmarkStart w:id="262" w:name="_Toc256000041"/>
      <w:bookmarkStart w:id="263" w:name="_Toc8406"/>
      <w:r>
        <w:rPr>
          <w:rFonts w:ascii="宋体" w:hAnsi="宋体" w:eastAsia="宋体" w:cs="宋体"/>
          <w:b/>
          <w:bCs/>
          <w:spacing w:val="-28"/>
          <w:sz w:val="24"/>
          <w:szCs w:val="24"/>
        </w:rPr>
        <w:t>目</w:t>
      </w:r>
      <w:r>
        <w:rPr>
          <w:rFonts w:ascii="宋体" w:hAnsi="宋体" w:eastAsia="宋体" w:cs="宋体"/>
          <w:b/>
          <w:bCs/>
          <w:spacing w:val="3"/>
          <w:sz w:val="24"/>
          <w:szCs w:val="24"/>
        </w:rPr>
        <w:t xml:space="preserve">    </w:t>
      </w:r>
      <w:r>
        <w:rPr>
          <w:rFonts w:ascii="宋体" w:hAnsi="宋体" w:eastAsia="宋体" w:cs="宋体"/>
          <w:b/>
          <w:bCs/>
          <w:spacing w:val="-28"/>
          <w:sz w:val="24"/>
          <w:szCs w:val="24"/>
        </w:rPr>
        <w:t>录</w:t>
      </w:r>
    </w:p>
    <w:p>
      <w:pPr>
        <w:pStyle w:val="14"/>
        <w:spacing w:line="308" w:lineRule="auto"/>
      </w:pPr>
    </w:p>
    <w:p>
      <w:pPr>
        <w:spacing w:before="78" w:line="221" w:lineRule="auto"/>
        <w:ind w:left="440"/>
        <w:rPr>
          <w:rFonts w:ascii="宋体" w:hAnsi="宋体" w:eastAsia="宋体" w:cs="宋体"/>
          <w:sz w:val="24"/>
          <w:szCs w:val="24"/>
        </w:rPr>
      </w:pPr>
      <w:r>
        <w:rPr>
          <w:rFonts w:ascii="宋体" w:hAnsi="宋体" w:eastAsia="宋体" w:cs="宋体"/>
          <w:spacing w:val="-4"/>
          <w:sz w:val="24"/>
          <w:szCs w:val="24"/>
        </w:rPr>
        <w:t>一、封面</w:t>
      </w:r>
    </w:p>
    <w:p>
      <w:pPr>
        <w:spacing w:before="188" w:line="219" w:lineRule="auto"/>
        <w:ind w:left="440"/>
        <w:rPr>
          <w:rFonts w:ascii="宋体" w:hAnsi="宋体" w:eastAsia="宋体" w:cs="宋体"/>
          <w:sz w:val="24"/>
          <w:szCs w:val="24"/>
        </w:rPr>
      </w:pPr>
      <w:r>
        <w:rPr>
          <w:rFonts w:ascii="宋体" w:hAnsi="宋体" w:eastAsia="宋体" w:cs="宋体"/>
          <w:spacing w:val="-2"/>
          <w:sz w:val="24"/>
          <w:szCs w:val="24"/>
        </w:rPr>
        <w:t>二、资格响应文件</w:t>
      </w:r>
    </w:p>
    <w:p>
      <w:pPr>
        <w:spacing w:before="191" w:line="219" w:lineRule="auto"/>
        <w:ind w:left="92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一</w:t>
      </w:r>
      <w:r>
        <w:rPr>
          <w:rFonts w:hint="eastAsia" w:ascii="宋体" w:hAnsi="宋体" w:eastAsia="宋体" w:cs="宋体"/>
          <w:spacing w:val="-2"/>
          <w:sz w:val="24"/>
          <w:szCs w:val="24"/>
          <w:lang w:eastAsia="zh-CN"/>
        </w:rPr>
        <w:t>）</w:t>
      </w:r>
      <w:r>
        <w:rPr>
          <w:rFonts w:ascii="宋体" w:hAnsi="宋体" w:eastAsia="宋体" w:cs="宋体"/>
          <w:spacing w:val="-2"/>
          <w:sz w:val="24"/>
          <w:szCs w:val="24"/>
        </w:rPr>
        <w:t>★</w:t>
      </w:r>
      <w:r>
        <w:rPr>
          <w:rFonts w:hint="eastAsia" w:ascii="宋体" w:hAnsi="宋体" w:eastAsia="宋体" w:cs="宋体"/>
          <w:spacing w:val="-2"/>
          <w:sz w:val="24"/>
          <w:szCs w:val="24"/>
          <w:lang w:eastAsia="zh-CN"/>
        </w:rPr>
        <w:t>《中华人民共和国政府采购法》第二十二条应当具备的条件</w:t>
      </w:r>
    </w:p>
    <w:p>
      <w:pPr>
        <w:spacing w:before="191" w:line="219" w:lineRule="auto"/>
        <w:ind w:left="928"/>
        <w:rPr>
          <w:rFonts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lang w:eastAsia="zh-CN"/>
        </w:rPr>
        <w:t>）</w:t>
      </w:r>
      <w:r>
        <w:rPr>
          <w:rFonts w:ascii="宋体" w:hAnsi="宋体" w:eastAsia="宋体" w:cs="宋体"/>
          <w:spacing w:val="-2"/>
          <w:sz w:val="24"/>
          <w:szCs w:val="24"/>
        </w:rPr>
        <w:t>★法定代表人身份证明及授权委托书</w:t>
      </w:r>
    </w:p>
    <w:p>
      <w:pPr>
        <w:spacing w:before="191" w:line="219" w:lineRule="auto"/>
        <w:ind w:left="928"/>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三</w:t>
      </w:r>
      <w:r>
        <w:rPr>
          <w:rFonts w:ascii="宋体" w:hAnsi="宋体" w:eastAsia="宋体" w:cs="宋体"/>
          <w:spacing w:val="-2"/>
          <w:sz w:val="24"/>
          <w:szCs w:val="24"/>
        </w:rPr>
        <w:t>）★投标保证金</w:t>
      </w:r>
    </w:p>
    <w:p>
      <w:pPr>
        <w:spacing w:before="191" w:line="219" w:lineRule="auto"/>
        <w:ind w:left="928"/>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四</w:t>
      </w:r>
      <w:r>
        <w:rPr>
          <w:rFonts w:ascii="宋体" w:hAnsi="宋体" w:eastAsia="宋体" w:cs="宋体"/>
          <w:spacing w:val="-2"/>
          <w:sz w:val="24"/>
          <w:szCs w:val="24"/>
        </w:rPr>
        <w:t>）★不参与围标串标承诺书</w:t>
      </w:r>
    </w:p>
    <w:p>
      <w:pPr>
        <w:spacing w:before="191" w:line="219" w:lineRule="auto"/>
        <w:ind w:left="928"/>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五</w:t>
      </w:r>
      <w:r>
        <w:rPr>
          <w:rFonts w:ascii="宋体" w:hAnsi="宋体" w:eastAsia="宋体" w:cs="宋体"/>
          <w:spacing w:val="-2"/>
          <w:sz w:val="24"/>
          <w:szCs w:val="24"/>
        </w:rPr>
        <w:t>）其他声明及文件资料</w:t>
      </w:r>
    </w:p>
    <w:p>
      <w:pPr>
        <w:spacing w:before="1" w:line="217" w:lineRule="auto"/>
        <w:ind w:left="436"/>
        <w:rPr>
          <w:rFonts w:ascii="宋体" w:hAnsi="宋体" w:eastAsia="宋体" w:cs="宋体"/>
          <w:sz w:val="24"/>
          <w:szCs w:val="24"/>
        </w:rPr>
      </w:pPr>
      <w:r>
        <w:rPr>
          <w:rFonts w:ascii="宋体" w:hAnsi="宋体" w:eastAsia="宋体" w:cs="宋体"/>
          <w:spacing w:val="-2"/>
          <w:sz w:val="24"/>
          <w:szCs w:val="24"/>
        </w:rPr>
        <w:t>三、价格响应文件</w:t>
      </w:r>
    </w:p>
    <w:p>
      <w:pPr>
        <w:spacing w:before="192" w:line="475" w:lineRule="exact"/>
        <w:ind w:left="928"/>
        <w:rPr>
          <w:rFonts w:ascii="宋体" w:hAnsi="宋体" w:eastAsia="宋体" w:cs="宋体"/>
          <w:sz w:val="24"/>
          <w:szCs w:val="24"/>
        </w:rPr>
      </w:pPr>
      <w:r>
        <w:rPr>
          <w:rFonts w:ascii="宋体" w:hAnsi="宋体" w:eastAsia="宋体" w:cs="宋体"/>
          <w:spacing w:val="-3"/>
          <w:position w:val="17"/>
          <w:sz w:val="24"/>
          <w:szCs w:val="24"/>
        </w:rPr>
        <w:t>（一）★开标一览表</w:t>
      </w:r>
    </w:p>
    <w:p>
      <w:pPr>
        <w:spacing w:before="1" w:line="217" w:lineRule="auto"/>
        <w:ind w:left="928"/>
        <w:rPr>
          <w:rFonts w:ascii="宋体" w:hAnsi="宋体" w:eastAsia="宋体" w:cs="宋体"/>
          <w:sz w:val="24"/>
          <w:szCs w:val="24"/>
        </w:rPr>
      </w:pPr>
      <w:r>
        <w:rPr>
          <w:rFonts w:ascii="宋体" w:hAnsi="宋体" w:eastAsia="宋体" w:cs="宋体"/>
          <w:spacing w:val="-3"/>
          <w:sz w:val="24"/>
          <w:szCs w:val="24"/>
        </w:rPr>
        <w:t>（二）★报价明细表</w:t>
      </w:r>
    </w:p>
    <w:p>
      <w:pPr>
        <w:spacing w:before="192" w:line="475" w:lineRule="exact"/>
        <w:ind w:left="459"/>
        <w:rPr>
          <w:rFonts w:ascii="宋体" w:hAnsi="宋体" w:eastAsia="宋体" w:cs="宋体"/>
          <w:sz w:val="24"/>
          <w:szCs w:val="24"/>
        </w:rPr>
      </w:pPr>
      <w:r>
        <w:rPr>
          <w:rFonts w:ascii="宋体" w:hAnsi="宋体" w:eastAsia="宋体" w:cs="宋体"/>
          <w:spacing w:val="-4"/>
          <w:position w:val="17"/>
          <w:sz w:val="24"/>
          <w:szCs w:val="24"/>
        </w:rPr>
        <w:t>四、商务技术响应文件</w:t>
      </w:r>
    </w:p>
    <w:p>
      <w:pPr>
        <w:spacing w:line="220" w:lineRule="auto"/>
        <w:ind w:left="928"/>
        <w:rPr>
          <w:rFonts w:ascii="宋体" w:hAnsi="宋体" w:eastAsia="宋体" w:cs="宋体"/>
          <w:sz w:val="24"/>
          <w:szCs w:val="24"/>
        </w:rPr>
      </w:pPr>
      <w:r>
        <w:rPr>
          <w:rFonts w:ascii="宋体" w:hAnsi="宋体" w:eastAsia="宋体" w:cs="宋体"/>
          <w:spacing w:val="-3"/>
          <w:sz w:val="24"/>
          <w:szCs w:val="24"/>
        </w:rPr>
        <w:t>（一）★投标函</w:t>
      </w:r>
    </w:p>
    <w:p>
      <w:pPr>
        <w:spacing w:before="189" w:line="219" w:lineRule="auto"/>
        <w:ind w:left="928"/>
        <w:rPr>
          <w:rFonts w:ascii="宋体" w:hAnsi="宋体" w:eastAsia="宋体" w:cs="宋体"/>
          <w:sz w:val="24"/>
          <w:szCs w:val="24"/>
        </w:rPr>
      </w:pPr>
      <w:r>
        <w:rPr>
          <w:rFonts w:ascii="宋体" w:hAnsi="宋体" w:eastAsia="宋体" w:cs="宋体"/>
          <w:spacing w:val="-2"/>
          <w:sz w:val="24"/>
          <w:szCs w:val="24"/>
        </w:rPr>
        <w:t>（二）投标供应商声明函</w:t>
      </w:r>
    </w:p>
    <w:p>
      <w:pPr>
        <w:spacing w:before="193" w:line="476" w:lineRule="exact"/>
        <w:ind w:left="928"/>
        <w:rPr>
          <w:rFonts w:ascii="宋体" w:hAnsi="宋体" w:eastAsia="宋体" w:cs="宋体"/>
          <w:sz w:val="24"/>
          <w:szCs w:val="24"/>
        </w:rPr>
      </w:pPr>
      <w:r>
        <w:rPr>
          <w:rFonts w:ascii="宋体" w:hAnsi="宋体" w:eastAsia="宋体" w:cs="宋体"/>
          <w:spacing w:val="-1"/>
          <w:position w:val="17"/>
          <w:sz w:val="24"/>
          <w:szCs w:val="24"/>
        </w:rPr>
        <w:t>（三）供应商自觉抵制政府采购领域商业贿赂行为承诺书</w:t>
      </w:r>
    </w:p>
    <w:p>
      <w:pPr>
        <w:spacing w:line="219" w:lineRule="auto"/>
        <w:ind w:left="928"/>
        <w:rPr>
          <w:rFonts w:ascii="宋体" w:hAnsi="宋体" w:eastAsia="宋体" w:cs="宋体"/>
          <w:sz w:val="24"/>
          <w:szCs w:val="24"/>
        </w:rPr>
      </w:pPr>
      <w:r>
        <w:rPr>
          <w:rFonts w:ascii="宋体" w:hAnsi="宋体" w:eastAsia="宋体" w:cs="宋体"/>
          <w:spacing w:val="-3"/>
          <w:sz w:val="24"/>
          <w:szCs w:val="24"/>
        </w:rPr>
        <w:t>（四）中小企业声明函</w:t>
      </w:r>
    </w:p>
    <w:p>
      <w:pPr>
        <w:spacing w:before="191" w:line="219" w:lineRule="auto"/>
        <w:ind w:left="928"/>
        <w:rPr>
          <w:rFonts w:ascii="宋体" w:hAnsi="宋体" w:eastAsia="宋体" w:cs="宋体"/>
          <w:sz w:val="24"/>
          <w:szCs w:val="24"/>
        </w:rPr>
      </w:pPr>
      <w:r>
        <w:rPr>
          <w:rFonts w:ascii="宋体" w:hAnsi="宋体" w:eastAsia="宋体" w:cs="宋体"/>
          <w:spacing w:val="-3"/>
          <w:sz w:val="24"/>
          <w:szCs w:val="24"/>
        </w:rPr>
        <w:t>（五）类似项目业绩表</w:t>
      </w:r>
    </w:p>
    <w:p>
      <w:pPr>
        <w:spacing w:before="190" w:line="475" w:lineRule="exact"/>
        <w:ind w:left="928"/>
        <w:rPr>
          <w:rFonts w:ascii="宋体" w:hAnsi="宋体" w:eastAsia="宋体" w:cs="宋体"/>
          <w:sz w:val="24"/>
          <w:szCs w:val="24"/>
        </w:rPr>
      </w:pPr>
      <w:r>
        <w:rPr>
          <w:rFonts w:ascii="宋体" w:hAnsi="宋体" w:eastAsia="宋体" w:cs="宋体"/>
          <w:spacing w:val="-2"/>
          <w:position w:val="17"/>
          <w:sz w:val="24"/>
          <w:szCs w:val="24"/>
        </w:rPr>
        <w:t>（六）★实质性响应一览表</w:t>
      </w:r>
    </w:p>
    <w:p>
      <w:pPr>
        <w:spacing w:line="219" w:lineRule="auto"/>
        <w:ind w:left="928"/>
        <w:rPr>
          <w:rFonts w:ascii="宋体" w:hAnsi="宋体" w:eastAsia="宋体" w:cs="宋体"/>
          <w:sz w:val="24"/>
          <w:szCs w:val="24"/>
        </w:rPr>
      </w:pPr>
      <w:r>
        <w:rPr>
          <w:rFonts w:ascii="宋体" w:hAnsi="宋体" w:eastAsia="宋体" w:cs="宋体"/>
          <w:spacing w:val="-2"/>
          <w:sz w:val="24"/>
          <w:szCs w:val="24"/>
        </w:rPr>
        <w:t>（七）商务条款偏离说明表</w:t>
      </w:r>
    </w:p>
    <w:p>
      <w:pPr>
        <w:spacing w:before="191" w:line="219" w:lineRule="auto"/>
        <w:ind w:left="928"/>
        <w:rPr>
          <w:rFonts w:ascii="宋体" w:hAnsi="宋体" w:eastAsia="宋体" w:cs="宋体"/>
          <w:sz w:val="24"/>
          <w:szCs w:val="24"/>
        </w:rPr>
      </w:pPr>
      <w:r>
        <w:rPr>
          <w:rFonts w:ascii="宋体" w:hAnsi="宋体" w:eastAsia="宋体" w:cs="宋体"/>
          <w:spacing w:val="-2"/>
          <w:sz w:val="24"/>
          <w:szCs w:val="24"/>
        </w:rPr>
        <w:t>（八）技术条款偏离说明表</w:t>
      </w:r>
    </w:p>
    <w:p>
      <w:pPr>
        <w:spacing w:before="190" w:line="219" w:lineRule="auto"/>
        <w:ind w:left="928"/>
        <w:rPr>
          <w:rFonts w:ascii="宋体" w:hAnsi="宋体" w:eastAsia="宋体" w:cs="宋体"/>
          <w:sz w:val="24"/>
          <w:szCs w:val="24"/>
        </w:rPr>
      </w:pPr>
      <w:r>
        <w:rPr>
          <w:rFonts w:ascii="宋体" w:hAnsi="宋体" w:eastAsia="宋体" w:cs="宋体"/>
          <w:spacing w:val="-2"/>
          <w:sz w:val="24"/>
          <w:szCs w:val="24"/>
        </w:rPr>
        <w:t>（九）项目管理人员情况</w:t>
      </w:r>
    </w:p>
    <w:p>
      <w:pPr>
        <w:spacing w:before="190" w:line="220" w:lineRule="auto"/>
        <w:ind w:left="928"/>
        <w:outlineLvl w:val="1"/>
        <w:rPr>
          <w:rFonts w:ascii="宋体" w:hAnsi="宋体" w:eastAsia="宋体" w:cs="宋体"/>
          <w:sz w:val="24"/>
          <w:szCs w:val="24"/>
        </w:rPr>
      </w:pPr>
      <w:r>
        <w:rPr>
          <w:rFonts w:ascii="宋体" w:hAnsi="宋体" w:eastAsia="宋体" w:cs="宋体"/>
          <w:spacing w:val="-3"/>
          <w:sz w:val="24"/>
          <w:szCs w:val="24"/>
        </w:rPr>
        <w:t>（十）监理大纲</w:t>
      </w: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rPr>
          <w:rFonts w:hint="eastAsia" w:ascii="宋体" w:hAnsi="宋体" w:eastAsia="宋体" w:cs="宋体"/>
          <w:color w:val="auto"/>
          <w:spacing w:val="2"/>
          <w:sz w:val="44"/>
          <w:szCs w:val="44"/>
          <w:highlight w:val="none"/>
        </w:rPr>
      </w:pPr>
    </w:p>
    <w:p>
      <w:pPr>
        <w:rPr>
          <w:rFonts w:hint="eastAsia" w:ascii="宋体" w:hAnsi="宋体" w:eastAsia="宋体" w:cs="宋体"/>
          <w:color w:val="auto"/>
          <w:spacing w:val="2"/>
          <w:sz w:val="44"/>
          <w:szCs w:val="44"/>
          <w:highlight w:val="none"/>
        </w:rPr>
      </w:pPr>
    </w:p>
    <w:p>
      <w:pPr>
        <w:spacing w:before="100" w:line="225" w:lineRule="auto"/>
        <w:rPr>
          <w:rFonts w:ascii="宋体" w:hAnsi="宋体" w:eastAsia="宋体" w:cs="宋体"/>
          <w:b/>
          <w:bCs/>
          <w:spacing w:val="8"/>
          <w:sz w:val="31"/>
          <w:szCs w:val="31"/>
        </w:rPr>
      </w:pPr>
    </w:p>
    <w:p>
      <w:pPr>
        <w:spacing w:before="100" w:line="225" w:lineRule="auto"/>
        <w:rPr>
          <w:rFonts w:ascii="宋体" w:hAnsi="宋体" w:eastAsia="宋体" w:cs="宋体"/>
          <w:b/>
          <w:bCs/>
          <w:sz w:val="31"/>
          <w:szCs w:val="31"/>
        </w:rPr>
      </w:pPr>
      <w:r>
        <w:rPr>
          <w:rFonts w:ascii="宋体" w:hAnsi="宋体" w:eastAsia="宋体" w:cs="宋体"/>
          <w:b/>
          <w:bCs/>
          <w:spacing w:val="8"/>
          <w:sz w:val="31"/>
          <w:szCs w:val="31"/>
        </w:rPr>
        <w:t>一、投标文件封面</w:t>
      </w:r>
    </w:p>
    <w:p>
      <w:pPr>
        <w:pStyle w:val="14"/>
        <w:spacing w:line="281" w:lineRule="auto"/>
      </w:pPr>
    </w:p>
    <w:p>
      <w:pPr>
        <w:pStyle w:val="14"/>
        <w:spacing w:line="281" w:lineRule="auto"/>
      </w:pPr>
    </w:p>
    <w:p>
      <w:pPr>
        <w:pStyle w:val="14"/>
        <w:spacing w:line="282" w:lineRule="auto"/>
      </w:pPr>
    </w:p>
    <w:p>
      <w:pPr>
        <w:pStyle w:val="14"/>
        <w:spacing w:line="282" w:lineRule="auto"/>
      </w:pPr>
    </w:p>
    <w:p>
      <w:pPr>
        <w:tabs>
          <w:tab w:val="left" w:pos="6027"/>
        </w:tabs>
        <w:spacing w:before="91" w:line="221" w:lineRule="auto"/>
        <w:ind w:left="266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（项目名称）</w:t>
      </w:r>
    </w:p>
    <w:p>
      <w:pPr>
        <w:pStyle w:val="14"/>
        <w:spacing w:line="278" w:lineRule="auto"/>
      </w:pPr>
    </w:p>
    <w:p>
      <w:pPr>
        <w:pStyle w:val="14"/>
        <w:spacing w:line="279" w:lineRule="auto"/>
      </w:pPr>
    </w:p>
    <w:p>
      <w:pPr>
        <w:pStyle w:val="14"/>
        <w:spacing w:line="279" w:lineRule="auto"/>
      </w:pPr>
    </w:p>
    <w:p>
      <w:pPr>
        <w:tabs>
          <w:tab w:val="left" w:pos="6027"/>
        </w:tabs>
        <w:spacing w:before="91" w:line="220" w:lineRule="auto"/>
        <w:ind w:left="280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（项目编号）</w:t>
      </w:r>
    </w:p>
    <w:p>
      <w:pPr>
        <w:pStyle w:val="14"/>
        <w:spacing w:line="318" w:lineRule="auto"/>
      </w:pPr>
    </w:p>
    <w:p>
      <w:pPr>
        <w:pStyle w:val="14"/>
        <w:spacing w:line="318" w:lineRule="auto"/>
      </w:pPr>
    </w:p>
    <w:p>
      <w:pPr>
        <w:pStyle w:val="14"/>
        <w:spacing w:line="319" w:lineRule="auto"/>
      </w:pPr>
    </w:p>
    <w:p>
      <w:pPr>
        <w:spacing w:before="231" w:line="222" w:lineRule="auto"/>
        <w:ind w:left="3468"/>
        <w:outlineLvl w:val="1"/>
        <w:rPr>
          <w:rFonts w:ascii="宋体" w:hAnsi="宋体" w:eastAsia="宋体" w:cs="宋体"/>
          <w:sz w:val="71"/>
          <w:szCs w:val="71"/>
        </w:rPr>
      </w:pPr>
      <w:bookmarkStart w:id="264" w:name="bookmark24"/>
      <w:bookmarkEnd w:id="264"/>
      <w:r>
        <w:rPr>
          <w:rFonts w:ascii="宋体" w:hAnsi="宋体" w:eastAsia="宋体" w:cs="宋体"/>
          <w:spacing w:val="3"/>
          <w:sz w:val="71"/>
          <w:szCs w:val="71"/>
        </w:rPr>
        <w:t>投标文件</w:t>
      </w:r>
    </w:p>
    <w:p>
      <w:pPr>
        <w:pStyle w:val="14"/>
      </w:pPr>
    </w:p>
    <w:p>
      <w:pPr>
        <w:pStyle w:val="14"/>
      </w:pPr>
    </w:p>
    <w:p>
      <w:pPr>
        <w:pStyle w:val="14"/>
      </w:pPr>
    </w:p>
    <w:p>
      <w:pPr>
        <w:pStyle w:val="14"/>
      </w:pPr>
    </w:p>
    <w:p>
      <w:pPr>
        <w:pStyle w:val="14"/>
      </w:pPr>
    </w:p>
    <w:p>
      <w:pPr>
        <w:pStyle w:val="14"/>
        <w:spacing w:line="241" w:lineRule="auto"/>
      </w:pPr>
    </w:p>
    <w:p>
      <w:pPr>
        <w:pStyle w:val="14"/>
        <w:spacing w:line="241" w:lineRule="auto"/>
      </w:pPr>
    </w:p>
    <w:p>
      <w:pPr>
        <w:pStyle w:val="14"/>
        <w:spacing w:line="241" w:lineRule="auto"/>
      </w:pPr>
    </w:p>
    <w:p>
      <w:pPr>
        <w:pStyle w:val="14"/>
        <w:spacing w:line="241" w:lineRule="auto"/>
      </w:pPr>
    </w:p>
    <w:p>
      <w:pPr>
        <w:pStyle w:val="14"/>
        <w:spacing w:line="241" w:lineRule="auto"/>
      </w:pPr>
    </w:p>
    <w:p>
      <w:pPr>
        <w:spacing w:before="91" w:line="219" w:lineRule="auto"/>
        <w:ind w:firstLine="2002" w:firstLineChars="700"/>
        <w:rPr>
          <w:rFonts w:ascii="宋体" w:hAnsi="宋体" w:eastAsia="宋体" w:cs="宋体"/>
          <w:sz w:val="28"/>
          <w:szCs w:val="28"/>
        </w:rPr>
      </w:pPr>
      <w:r>
        <w:rPr>
          <w:rFonts w:ascii="宋体" w:hAnsi="宋体" w:eastAsia="宋体" w:cs="宋体"/>
          <w:spacing w:val="3"/>
          <w:sz w:val="28"/>
          <w:szCs w:val="28"/>
        </w:rPr>
        <w:t>投标人</w:t>
      </w:r>
      <w:r>
        <w:rPr>
          <w:rFonts w:ascii="宋体" w:hAnsi="宋体" w:eastAsia="宋体" w:cs="宋体"/>
          <w:spacing w:val="-19"/>
          <w:sz w:val="28"/>
          <w:szCs w:val="28"/>
        </w:rPr>
        <w:t>：</w:t>
      </w:r>
      <w:r>
        <w:rPr>
          <w:rFonts w:ascii="宋体" w:hAnsi="宋体" w:eastAsia="宋体" w:cs="宋体"/>
          <w:spacing w:val="6"/>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3"/>
          <w:sz w:val="28"/>
          <w:szCs w:val="28"/>
        </w:rPr>
        <w:t>电子签章）</w:t>
      </w:r>
    </w:p>
    <w:p>
      <w:pPr>
        <w:spacing w:before="301" w:line="220" w:lineRule="auto"/>
        <w:ind w:firstLine="2002" w:firstLineChars="700"/>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1"/>
          <w:sz w:val="28"/>
          <w:szCs w:val="28"/>
        </w:rPr>
        <w:t>：</w:t>
      </w:r>
      <w:r>
        <w:rPr>
          <w:rFonts w:ascii="宋体" w:hAnsi="宋体" w:eastAsia="宋体" w:cs="宋体"/>
          <w:sz w:val="28"/>
          <w:szCs w:val="28"/>
          <w:u w:val="single" w:color="auto"/>
        </w:rPr>
        <w:t xml:space="preserve">                    </w:t>
      </w:r>
      <w:r>
        <w:rPr>
          <w:rFonts w:ascii="宋体" w:hAnsi="宋体" w:eastAsia="宋体" w:cs="宋体"/>
          <w:spacing w:val="-21"/>
          <w:sz w:val="28"/>
          <w:szCs w:val="28"/>
        </w:rPr>
        <w:t>（</w:t>
      </w:r>
      <w:r>
        <w:rPr>
          <w:rFonts w:ascii="宋体" w:hAnsi="宋体" w:eastAsia="宋体" w:cs="宋体"/>
          <w:spacing w:val="3"/>
          <w:sz w:val="28"/>
          <w:szCs w:val="28"/>
        </w:rPr>
        <w:t>电子签名）</w:t>
      </w:r>
    </w:p>
    <w:p>
      <w:pPr>
        <w:spacing w:before="300" w:line="221" w:lineRule="auto"/>
        <w:ind w:firstLine="1918" w:firstLineChars="700"/>
        <w:rPr>
          <w:rFonts w:ascii="宋体" w:hAnsi="宋体" w:eastAsia="宋体" w:cs="宋体"/>
          <w:sz w:val="28"/>
          <w:szCs w:val="28"/>
        </w:rPr>
      </w:pPr>
      <w:r>
        <w:rPr>
          <w:rFonts w:ascii="宋体" w:hAnsi="宋体" w:eastAsia="宋体" w:cs="宋体"/>
          <w:spacing w:val="-3"/>
          <w:sz w:val="28"/>
          <w:szCs w:val="28"/>
        </w:rPr>
        <w:t>单位地址：</w:t>
      </w:r>
      <w:r>
        <w:rPr>
          <w:rFonts w:ascii="宋体" w:hAnsi="宋体" w:eastAsia="宋体" w:cs="宋体"/>
          <w:sz w:val="28"/>
          <w:szCs w:val="28"/>
          <w:u w:val="single" w:color="auto"/>
        </w:rPr>
        <w:t xml:space="preserve">                         </w:t>
      </w:r>
    </w:p>
    <w:p>
      <w:pPr>
        <w:spacing w:before="301" w:line="222" w:lineRule="auto"/>
        <w:ind w:firstLine="1918" w:firstLineChars="700"/>
        <w:rPr>
          <w:rFonts w:ascii="宋体" w:hAnsi="宋体" w:eastAsia="宋体" w:cs="宋体"/>
          <w:sz w:val="28"/>
          <w:szCs w:val="28"/>
        </w:rPr>
      </w:pPr>
      <w:r>
        <w:rPr>
          <w:rFonts w:ascii="宋体" w:hAnsi="宋体" w:eastAsia="宋体" w:cs="宋体"/>
          <w:spacing w:val="-3"/>
          <w:sz w:val="28"/>
          <w:szCs w:val="28"/>
        </w:rPr>
        <w:t>联系人：</w:t>
      </w:r>
      <w:r>
        <w:rPr>
          <w:rFonts w:ascii="宋体" w:hAnsi="宋体" w:eastAsia="宋体" w:cs="宋体"/>
          <w:sz w:val="28"/>
          <w:szCs w:val="28"/>
          <w:u w:val="single" w:color="auto"/>
        </w:rPr>
        <w:t xml:space="preserve">                         </w:t>
      </w:r>
    </w:p>
    <w:p>
      <w:pPr>
        <w:spacing w:before="297" w:line="222" w:lineRule="auto"/>
        <w:ind w:firstLine="1918" w:firstLineChars="700"/>
        <w:rPr>
          <w:rFonts w:ascii="宋体" w:hAnsi="宋体" w:eastAsia="宋体" w:cs="宋体"/>
          <w:sz w:val="28"/>
          <w:szCs w:val="28"/>
        </w:rPr>
      </w:pPr>
      <w:r>
        <w:rPr>
          <w:rFonts w:ascii="宋体" w:hAnsi="宋体" w:eastAsia="宋体" w:cs="宋体"/>
          <w:spacing w:val="-3"/>
          <w:sz w:val="28"/>
          <w:szCs w:val="28"/>
        </w:rPr>
        <w:t>联系电话：</w:t>
      </w:r>
      <w:r>
        <w:rPr>
          <w:rFonts w:ascii="宋体" w:hAnsi="宋体" w:eastAsia="宋体" w:cs="宋体"/>
          <w:sz w:val="28"/>
          <w:szCs w:val="28"/>
          <w:u w:val="single" w:color="auto"/>
        </w:rPr>
        <w:t xml:space="preserve">                        </w:t>
      </w:r>
    </w:p>
    <w:p>
      <w:pPr>
        <w:spacing w:before="297" w:line="220" w:lineRule="auto"/>
        <w:ind w:firstLine="1918" w:firstLineChars="700"/>
        <w:rPr>
          <w:rFonts w:ascii="宋体" w:hAnsi="宋体" w:eastAsia="宋体" w:cs="宋体"/>
          <w:sz w:val="28"/>
          <w:szCs w:val="28"/>
        </w:rPr>
      </w:pPr>
      <w:r>
        <w:rPr>
          <w:rFonts w:ascii="宋体" w:hAnsi="宋体" w:eastAsia="宋体" w:cs="宋体"/>
          <w:spacing w:val="-3"/>
          <w:sz w:val="28"/>
          <w:szCs w:val="28"/>
        </w:rPr>
        <w:t>日期</w:t>
      </w:r>
      <w:r>
        <w:rPr>
          <w:rFonts w:ascii="宋体" w:hAnsi="宋体" w:eastAsia="宋体" w:cs="宋体"/>
          <w:spacing w:val="-19"/>
          <w:sz w:val="28"/>
          <w:szCs w:val="28"/>
        </w:rPr>
        <w:t>：</w:t>
      </w:r>
      <w:r>
        <w:rPr>
          <w:rFonts w:ascii="宋体" w:hAnsi="宋体" w:eastAsia="宋体" w:cs="宋体"/>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3"/>
          <w:sz w:val="28"/>
          <w:szCs w:val="28"/>
        </w:rPr>
        <w:t>年</w:t>
      </w:r>
      <w:r>
        <w:rPr>
          <w:rFonts w:ascii="Times New Roman" w:hAnsi="Times New Roman" w:eastAsia="Times New Roman" w:cs="Times New Roman"/>
          <w:spacing w:val="-3"/>
          <w:sz w:val="28"/>
          <w:szCs w:val="28"/>
        </w:rPr>
        <w:t>/</w:t>
      </w:r>
      <w:r>
        <w:rPr>
          <w:rFonts w:ascii="宋体" w:hAnsi="宋体" w:eastAsia="宋体" w:cs="宋体"/>
          <w:spacing w:val="-3"/>
          <w:sz w:val="28"/>
          <w:szCs w:val="28"/>
        </w:rPr>
        <w:t>月</w:t>
      </w:r>
      <w:r>
        <w:rPr>
          <w:rFonts w:ascii="Times New Roman" w:hAnsi="Times New Roman" w:eastAsia="Times New Roman" w:cs="Times New Roman"/>
          <w:spacing w:val="-3"/>
          <w:sz w:val="28"/>
          <w:szCs w:val="28"/>
        </w:rPr>
        <w:t>/</w:t>
      </w:r>
      <w:r>
        <w:rPr>
          <w:rFonts w:ascii="宋体" w:hAnsi="宋体" w:eastAsia="宋体" w:cs="宋体"/>
          <w:spacing w:val="-3"/>
          <w:sz w:val="28"/>
          <w:szCs w:val="28"/>
        </w:rPr>
        <w:t>日）</w:t>
      </w:r>
    </w:p>
    <w:p>
      <w:pPr>
        <w:spacing w:before="100" w:line="225" w:lineRule="auto"/>
        <w:ind w:left="444"/>
        <w:outlineLvl w:val="2"/>
        <w:rPr>
          <w:rFonts w:ascii="宋体" w:hAnsi="宋体" w:eastAsia="宋体" w:cs="宋体"/>
          <w:spacing w:val="8"/>
          <w:sz w:val="31"/>
          <w:szCs w:val="31"/>
        </w:rPr>
      </w:pPr>
    </w:p>
    <w:p>
      <w:pPr>
        <w:spacing w:before="100" w:line="225" w:lineRule="auto"/>
        <w:outlineLvl w:val="2"/>
        <w:rPr>
          <w:rFonts w:ascii="宋体" w:hAnsi="宋体" w:eastAsia="宋体" w:cs="宋体"/>
          <w:spacing w:val="8"/>
          <w:sz w:val="31"/>
          <w:szCs w:val="31"/>
        </w:rPr>
      </w:pPr>
    </w:p>
    <w:p>
      <w:pPr>
        <w:spacing w:before="100" w:line="225" w:lineRule="auto"/>
        <w:outlineLvl w:val="2"/>
        <w:rPr>
          <w:rFonts w:ascii="宋体" w:hAnsi="宋体" w:eastAsia="宋体" w:cs="宋体"/>
          <w:b/>
          <w:bCs/>
          <w:spacing w:val="8"/>
          <w:sz w:val="31"/>
          <w:szCs w:val="31"/>
        </w:rPr>
      </w:pPr>
    </w:p>
    <w:p>
      <w:pPr>
        <w:spacing w:before="100" w:line="225" w:lineRule="auto"/>
        <w:outlineLvl w:val="2"/>
        <w:rPr>
          <w:rFonts w:ascii="宋体" w:hAnsi="宋体" w:eastAsia="宋体" w:cs="宋体"/>
          <w:b/>
          <w:bCs/>
          <w:sz w:val="31"/>
          <w:szCs w:val="31"/>
        </w:rPr>
      </w:pPr>
      <w:r>
        <w:rPr>
          <w:rFonts w:ascii="宋体" w:hAnsi="宋体" w:eastAsia="宋体" w:cs="宋体"/>
          <w:b/>
          <w:bCs/>
          <w:spacing w:val="8"/>
          <w:sz w:val="31"/>
          <w:szCs w:val="31"/>
        </w:rPr>
        <w:t>二、资格响应文件</w:t>
      </w: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spacing w:before="91" w:line="222" w:lineRule="auto"/>
        <w:rPr>
          <w:rFonts w:ascii="宋体" w:hAnsi="宋体" w:eastAsia="宋体" w:cs="宋体"/>
          <w:b/>
          <w:bCs/>
          <w:sz w:val="28"/>
          <w:szCs w:val="28"/>
        </w:rPr>
      </w:pPr>
    </w:p>
    <w:p>
      <w:pPr>
        <w:spacing w:before="91" w:line="219" w:lineRule="auto"/>
        <w:rPr>
          <w:rFonts w:hint="eastAsia" w:ascii="宋体" w:hAnsi="宋体" w:eastAsia="宋体" w:cs="宋体"/>
          <w:b/>
          <w:bCs/>
          <w:sz w:val="28"/>
          <w:szCs w:val="28"/>
          <w:lang w:eastAsia="zh-CN"/>
        </w:rPr>
      </w:pPr>
      <w:r>
        <w:rPr>
          <w:rFonts w:hint="eastAsia" w:ascii="宋体" w:hAnsi="宋体" w:eastAsia="宋体" w:cs="宋体"/>
          <w:b/>
          <w:bCs/>
          <w:sz w:val="28"/>
          <w:szCs w:val="28"/>
        </w:rPr>
        <w:t>（</w:t>
      </w:r>
      <w:r>
        <w:rPr>
          <w:rFonts w:hint="eastAsia" w:ascii="宋体" w:hAnsi="宋体" w:cs="宋体"/>
          <w:b/>
          <w:bCs/>
          <w:sz w:val="28"/>
          <w:szCs w:val="28"/>
          <w:lang w:val="en-US" w:eastAsia="zh-CN"/>
        </w:rPr>
        <w:t>一</w:t>
      </w:r>
      <w:r>
        <w:rPr>
          <w:rFonts w:hint="eastAsia" w:ascii="宋体" w:hAnsi="宋体" w:eastAsia="宋体" w:cs="宋体"/>
          <w:b/>
          <w:bCs/>
          <w:sz w:val="28"/>
          <w:szCs w:val="28"/>
        </w:rPr>
        <w:t>）★</w:t>
      </w:r>
      <w:r>
        <w:rPr>
          <w:rFonts w:hint="eastAsia" w:ascii="宋体" w:hAnsi="宋体" w:eastAsia="宋体" w:cs="宋体"/>
          <w:b/>
          <w:bCs/>
          <w:sz w:val="28"/>
          <w:szCs w:val="28"/>
          <w:lang w:eastAsia="zh-CN"/>
        </w:rPr>
        <w:t>《中华人民共和国政府采购法》第二十二条应当具备的条件</w:t>
      </w:r>
    </w:p>
    <w:p>
      <w:pPr>
        <w:pStyle w:val="121"/>
        <w:spacing w:line="360" w:lineRule="auto"/>
        <w:outlineLvl w:val="1"/>
        <w:rPr>
          <w:rFonts w:hint="eastAsia" w:ascii="宋体" w:hAnsi="宋体" w:eastAsia="宋体" w:cs="宋体"/>
          <w:b/>
          <w:color w:val="auto"/>
          <w:sz w:val="28"/>
          <w:szCs w:val="28"/>
          <w:highlight w:val="none"/>
          <w:lang w:val="zh-CN"/>
        </w:rPr>
      </w:pPr>
      <w:bookmarkStart w:id="265" w:name="_Toc1432"/>
    </w:p>
    <w:p>
      <w:pPr>
        <w:pStyle w:val="121"/>
        <w:spacing w:line="360" w:lineRule="auto"/>
        <w:outlineLvl w:val="1"/>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（1）具有独立承担民事责任的能力证明材料</w:t>
      </w:r>
      <w:bookmarkEnd w:id="265"/>
    </w:p>
    <w:p>
      <w:pPr>
        <w:pStyle w:val="121"/>
        <w:spacing w:line="360" w:lineRule="auto"/>
        <w:ind w:firstLine="480" w:firstLineChars="200"/>
        <w:rPr>
          <w:rFonts w:hint="eastAsia" w:ascii="宋体" w:hAnsi="宋体" w:eastAsia="宋体" w:cs="宋体"/>
          <w:bCs/>
          <w:color w:val="auto"/>
          <w:sz w:val="24"/>
          <w:highlight w:val="none"/>
          <w:lang w:val="zh-CN" w:eastAsia="zh-CN"/>
        </w:rPr>
      </w:pPr>
      <w:r>
        <w:rPr>
          <w:rFonts w:hint="eastAsia" w:ascii="宋体" w:hAnsi="宋体" w:eastAsia="宋体" w:cs="宋体"/>
          <w:color w:val="auto"/>
          <w:kern w:val="0"/>
          <w:sz w:val="24"/>
          <w:szCs w:val="24"/>
          <w:highlight w:val="none"/>
        </w:rPr>
        <w:t>提供法人或者其他组织的营业执照等证明文件，自然人的身份证明</w:t>
      </w:r>
      <w:r>
        <w:rPr>
          <w:rFonts w:hint="eastAsia" w:ascii="宋体" w:hAnsi="宋体" w:eastAsia="宋体" w:cs="宋体"/>
          <w:color w:val="auto"/>
          <w:kern w:val="0"/>
          <w:sz w:val="24"/>
          <w:szCs w:val="24"/>
          <w:highlight w:val="none"/>
          <w:lang w:eastAsia="zh-CN"/>
        </w:rPr>
        <w:t>。</w:t>
      </w:r>
    </w:p>
    <w:p>
      <w:pPr>
        <w:pStyle w:val="121"/>
        <w:spacing w:line="360" w:lineRule="auto"/>
        <w:rPr>
          <w:rFonts w:hint="eastAsia" w:ascii="宋体" w:hAnsi="宋体" w:eastAsia="宋体" w:cs="宋体"/>
          <w:bCs/>
          <w:color w:val="auto"/>
          <w:sz w:val="28"/>
          <w:szCs w:val="28"/>
          <w:highlight w:val="none"/>
          <w:lang w:val="zh-CN"/>
        </w:rPr>
      </w:pPr>
    </w:p>
    <w:p>
      <w:pPr>
        <w:pStyle w:val="121"/>
        <w:spacing w:line="360" w:lineRule="auto"/>
        <w:outlineLvl w:val="1"/>
        <w:rPr>
          <w:rFonts w:hint="eastAsia" w:ascii="宋体" w:hAnsi="宋体" w:eastAsia="宋体" w:cs="宋体"/>
          <w:b/>
          <w:color w:val="auto"/>
          <w:sz w:val="28"/>
          <w:szCs w:val="28"/>
          <w:highlight w:val="none"/>
          <w:lang w:val="zh-CN"/>
        </w:rPr>
      </w:pPr>
      <w:bookmarkStart w:id="266" w:name="_Toc24528"/>
      <w:r>
        <w:rPr>
          <w:rFonts w:hint="eastAsia" w:ascii="宋体" w:hAnsi="宋体" w:eastAsia="宋体" w:cs="宋体"/>
          <w:b/>
          <w:color w:val="auto"/>
          <w:sz w:val="28"/>
          <w:szCs w:val="28"/>
          <w:highlight w:val="none"/>
          <w:lang w:val="zh-CN"/>
        </w:rPr>
        <w:t>（2）具有良好的商业信誉和健全的财务会计制度证明材料</w:t>
      </w:r>
      <w:bookmarkEnd w:id="266"/>
    </w:p>
    <w:p>
      <w:pPr>
        <w:pStyle w:val="121"/>
        <w:spacing w:line="360" w:lineRule="auto"/>
        <w:ind w:firstLine="480" w:firstLineChars="200"/>
        <w:rPr>
          <w:rFonts w:hint="eastAsia" w:ascii="宋体" w:hAnsi="宋体" w:eastAsia="宋体" w:cs="宋体"/>
          <w:color w:val="auto"/>
          <w:kern w:val="0"/>
          <w:sz w:val="24"/>
          <w:highlight w:val="none"/>
        </w:rPr>
      </w:pPr>
      <w:bookmarkStart w:id="267" w:name="_Toc4124"/>
      <w:r>
        <w:rPr>
          <w:rFonts w:hint="eastAsia" w:ascii="宋体" w:hAnsi="宋体" w:eastAsia="宋体" w:cs="宋体"/>
          <w:color w:val="auto"/>
          <w:kern w:val="0"/>
          <w:sz w:val="24"/>
          <w:highlight w:val="none"/>
        </w:rPr>
        <w:t>①投标人是法人组织的应提供经第三方审计的上一年度（20</w:t>
      </w:r>
      <w:r>
        <w:rPr>
          <w:rFonts w:hint="eastAsia" w:ascii="宋体" w:hAnsi="宋体" w:eastAsia="宋体" w:cs="宋体"/>
          <w:color w:val="auto"/>
          <w:kern w:val="0"/>
          <w:sz w:val="24"/>
          <w:highlight w:val="none"/>
          <w:lang w:val="en-US" w:eastAsia="zh-CN"/>
        </w:rPr>
        <w:t>22</w:t>
      </w:r>
      <w:r>
        <w:rPr>
          <w:rFonts w:hint="eastAsia" w:ascii="宋体" w:hAnsi="宋体" w:eastAsia="宋体" w:cs="宋体"/>
          <w:color w:val="auto"/>
          <w:kern w:val="0"/>
          <w:sz w:val="24"/>
          <w:highlight w:val="none"/>
        </w:rPr>
        <w:t>年）的财务审计报告；20</w:t>
      </w:r>
      <w:r>
        <w:rPr>
          <w:rFonts w:hint="eastAsia" w:ascii="宋体" w:hAnsi="宋体" w:eastAsia="宋体" w:cs="宋体"/>
          <w:color w:val="auto"/>
          <w:kern w:val="0"/>
          <w:sz w:val="24"/>
          <w:highlight w:val="none"/>
          <w:lang w:val="en-US" w:eastAsia="zh-CN"/>
        </w:rPr>
        <w:t>22</w:t>
      </w:r>
      <w:r>
        <w:rPr>
          <w:rFonts w:hint="eastAsia" w:ascii="宋体" w:hAnsi="宋体" w:eastAsia="宋体" w:cs="宋体"/>
          <w:color w:val="auto"/>
          <w:kern w:val="0"/>
          <w:sz w:val="24"/>
          <w:highlight w:val="none"/>
        </w:rPr>
        <w:t>年度财务审计报告未完成的须提供20</w:t>
      </w:r>
      <w:r>
        <w:rPr>
          <w:rFonts w:hint="eastAsia" w:ascii="宋体" w:hAnsi="宋体" w:eastAsia="宋体" w:cs="宋体"/>
          <w:color w:val="auto"/>
          <w:kern w:val="0"/>
          <w:sz w:val="24"/>
          <w:highlight w:val="none"/>
          <w:lang w:val="en-US" w:eastAsia="zh-CN"/>
        </w:rPr>
        <w:t>21</w:t>
      </w:r>
      <w:r>
        <w:rPr>
          <w:rFonts w:hint="eastAsia" w:ascii="宋体" w:hAnsi="宋体" w:eastAsia="宋体" w:cs="宋体"/>
          <w:color w:val="auto"/>
          <w:kern w:val="0"/>
          <w:sz w:val="24"/>
          <w:highlight w:val="none"/>
        </w:rPr>
        <w:t>年度财务审计报告或近一个季度的财务报表或开标前三个月内基本开户银行出具的资信证明。</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②自成立到投标截止时间，未跨一个自然年度的须提供近一个季度的财务报表或开标前三个月内基本开户银行出具的资信证明。</w:t>
      </w:r>
    </w:p>
    <w:p>
      <w:pPr>
        <w:pStyle w:val="122"/>
        <w:rPr>
          <w:rFonts w:hint="eastAsia" w:ascii="宋体" w:hAnsi="宋体" w:eastAsia="宋体" w:cs="宋体"/>
          <w:color w:val="auto"/>
          <w:highlight w:val="none"/>
        </w:rPr>
      </w:pPr>
    </w:p>
    <w:p>
      <w:pPr>
        <w:pStyle w:val="121"/>
        <w:spacing w:line="360" w:lineRule="auto"/>
        <w:outlineLvl w:val="1"/>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（3）具有履行合同所必需的设备和专业技术能力证明或承诺书</w:t>
      </w:r>
      <w:bookmarkEnd w:id="267"/>
    </w:p>
    <w:p>
      <w:pPr>
        <w:pStyle w:val="121"/>
        <w:spacing w:line="360" w:lineRule="auto"/>
        <w:rPr>
          <w:rFonts w:hint="eastAsia" w:ascii="宋体" w:hAnsi="宋体" w:eastAsia="宋体" w:cs="宋体"/>
          <w:bCs/>
          <w:color w:val="auto"/>
          <w:sz w:val="24"/>
          <w:highlight w:val="none"/>
          <w:lang w:val="zh-CN"/>
        </w:rPr>
      </w:pPr>
    </w:p>
    <w:p>
      <w:pPr>
        <w:pStyle w:val="121"/>
        <w:spacing w:line="360" w:lineRule="auto"/>
        <w:jc w:val="center"/>
        <w:outlineLvl w:val="0"/>
        <w:rPr>
          <w:rFonts w:hint="eastAsia" w:ascii="宋体" w:hAnsi="宋体" w:eastAsia="宋体" w:cs="宋体"/>
          <w:bCs/>
          <w:color w:val="auto"/>
          <w:sz w:val="24"/>
          <w:highlight w:val="none"/>
          <w:lang w:val="zh-CN"/>
        </w:rPr>
      </w:pPr>
      <w:bookmarkStart w:id="268" w:name="_Toc24775"/>
      <w:bookmarkStart w:id="269" w:name="_Toc5137"/>
      <w:bookmarkStart w:id="270" w:name="_Toc25422"/>
      <w:r>
        <w:rPr>
          <w:rFonts w:hint="eastAsia" w:ascii="宋体" w:hAnsi="宋体" w:eastAsia="宋体" w:cs="宋体"/>
          <w:bCs/>
          <w:color w:val="auto"/>
          <w:sz w:val="24"/>
          <w:highlight w:val="none"/>
          <w:lang w:val="zh-CN"/>
        </w:rPr>
        <w:t>具备履行合同所必需的设备和专业技术能力的承诺</w:t>
      </w:r>
      <w:bookmarkEnd w:id="268"/>
      <w:bookmarkEnd w:id="269"/>
      <w:bookmarkEnd w:id="270"/>
    </w:p>
    <w:p>
      <w:pPr>
        <w:pStyle w:val="121"/>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 xml:space="preserve">本供应商郑重声明： </w:t>
      </w:r>
    </w:p>
    <w:p>
      <w:pPr>
        <w:pStyle w:val="121"/>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本公司（或单位）具备本项目履行合同所必需的设备和专业技术能力，并承诺在项目实施过程中，为保证项目顺利实际及质量，可根据实际需要追加（必要时可进行外购租、外协）设备及专业技术能力，此部分费用已包含在报价中。</w:t>
      </w:r>
    </w:p>
    <w:p>
      <w:pPr>
        <w:pStyle w:val="121"/>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特此承诺。</w:t>
      </w:r>
    </w:p>
    <w:p>
      <w:pPr>
        <w:pStyle w:val="121"/>
        <w:spacing w:line="360" w:lineRule="auto"/>
        <w:jc w:val="center"/>
        <w:outlineLvl w:val="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rPr>
        <w:t xml:space="preserve">                </w:t>
      </w:r>
      <w:bookmarkStart w:id="271" w:name="_Toc6825"/>
      <w:bookmarkStart w:id="272" w:name="_Toc23223"/>
      <w:bookmarkStart w:id="273" w:name="_Toc14825"/>
      <w:r>
        <w:rPr>
          <w:rFonts w:hint="eastAsia" w:ascii="宋体" w:hAnsi="宋体" w:eastAsia="宋体" w:cs="宋体"/>
          <w:bCs/>
          <w:color w:val="auto"/>
          <w:sz w:val="24"/>
          <w:highlight w:val="none"/>
          <w:lang w:val="zh-CN"/>
        </w:rPr>
        <w:t>投标人：          （电子签章）</w:t>
      </w:r>
      <w:bookmarkEnd w:id="271"/>
      <w:bookmarkEnd w:id="272"/>
      <w:bookmarkEnd w:id="273"/>
    </w:p>
    <w:p>
      <w:pPr>
        <w:pStyle w:val="121"/>
        <w:spacing w:line="360" w:lineRule="auto"/>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bookmarkStart w:id="274" w:name="_Toc31770"/>
    </w:p>
    <w:p>
      <w:pPr>
        <w:pStyle w:val="121"/>
        <w:spacing w:line="360" w:lineRule="auto"/>
        <w:jc w:val="center"/>
        <w:outlineLvl w:val="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 xml:space="preserve">                    </w:t>
      </w:r>
      <w:bookmarkStart w:id="275" w:name="_Toc2617"/>
      <w:bookmarkStart w:id="276" w:name="_Toc31573"/>
      <w:r>
        <w:rPr>
          <w:rFonts w:hint="eastAsia" w:ascii="宋体" w:hAnsi="宋体" w:eastAsia="宋体" w:cs="宋体"/>
          <w:bCs/>
          <w:color w:val="auto"/>
          <w:sz w:val="24"/>
          <w:highlight w:val="none"/>
          <w:lang w:val="zh-CN"/>
        </w:rPr>
        <w:t>法定代表人或授权代表（电子签章）：</w:t>
      </w:r>
      <w:bookmarkEnd w:id="274"/>
      <w:bookmarkEnd w:id="275"/>
      <w:bookmarkEnd w:id="276"/>
      <w:r>
        <w:rPr>
          <w:rFonts w:hint="eastAsia" w:ascii="宋体" w:hAnsi="宋体" w:eastAsia="宋体" w:cs="宋体"/>
          <w:bCs/>
          <w:color w:val="auto"/>
          <w:sz w:val="24"/>
          <w:highlight w:val="none"/>
          <w:lang w:val="zh-CN"/>
        </w:rPr>
        <w:t xml:space="preserve">     </w:t>
      </w:r>
    </w:p>
    <w:p>
      <w:pPr>
        <w:pStyle w:val="121"/>
        <w:spacing w:line="360" w:lineRule="auto"/>
        <w:jc w:val="righ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日期：  年  月  日</w:t>
      </w:r>
    </w:p>
    <w:p>
      <w:pPr>
        <w:pStyle w:val="31"/>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277" w:name="_Toc16723"/>
      <w:bookmarkStart w:id="278" w:name="_Toc6751"/>
      <w:bookmarkStart w:id="279" w:name="_Toc19114"/>
      <w:r>
        <w:rPr>
          <w:rFonts w:hint="eastAsia" w:ascii="宋体" w:hAnsi="宋体" w:eastAsia="宋体" w:cs="宋体"/>
          <w:b/>
          <w:color w:val="auto"/>
          <w:kern w:val="2"/>
          <w:sz w:val="28"/>
          <w:szCs w:val="28"/>
          <w:highlight w:val="none"/>
          <w:lang w:val="zh-CN" w:eastAsia="zh-CN" w:bidi="ar-SA"/>
        </w:rPr>
        <w:t>（4）有依法缴纳税收和社会保障资金的良好记录证明材料</w:t>
      </w:r>
      <w:bookmarkEnd w:id="277"/>
      <w:bookmarkEnd w:id="278"/>
      <w:bookmarkEnd w:id="279"/>
    </w:p>
    <w:p>
      <w:pPr>
        <w:pStyle w:val="124"/>
        <w:tabs>
          <w:tab w:val="left" w:pos="3060"/>
          <w:tab w:val="left" w:pos="5580"/>
        </w:tabs>
        <w:spacing w:line="360" w:lineRule="auto"/>
        <w:ind w:firstLine="236" w:firstLineChars="98"/>
        <w:outlineLvl w:val="9"/>
        <w:rPr>
          <w:rFonts w:hint="eastAsia" w:ascii="宋体" w:hAnsi="宋体" w:eastAsia="宋体" w:cs="宋体"/>
          <w:b/>
          <w:color w:val="auto"/>
          <w:sz w:val="24"/>
          <w:szCs w:val="24"/>
          <w:highlight w:val="none"/>
        </w:rPr>
      </w:pPr>
    </w:p>
    <w:p>
      <w:pPr>
        <w:pStyle w:val="124"/>
        <w:tabs>
          <w:tab w:val="left" w:pos="3060"/>
          <w:tab w:val="left" w:pos="5580"/>
        </w:tabs>
        <w:spacing w:line="360" w:lineRule="auto"/>
        <w:ind w:firstLine="236" w:firstLineChars="98"/>
        <w:outlineLvl w:val="2"/>
        <w:rPr>
          <w:rFonts w:hint="eastAsia" w:ascii="宋体" w:hAnsi="宋体" w:eastAsia="宋体" w:cs="宋体"/>
          <w:b/>
          <w:color w:val="auto"/>
          <w:sz w:val="24"/>
          <w:szCs w:val="24"/>
          <w:highlight w:val="none"/>
        </w:rPr>
      </w:pPr>
      <w:bookmarkStart w:id="280" w:name="_Toc2550"/>
      <w:bookmarkStart w:id="281" w:name="_Toc20724"/>
      <w:r>
        <w:rPr>
          <w:rFonts w:hint="eastAsia" w:ascii="宋体" w:hAnsi="宋体" w:eastAsia="宋体" w:cs="宋体"/>
          <w:b/>
          <w:color w:val="auto"/>
          <w:sz w:val="24"/>
          <w:szCs w:val="24"/>
          <w:highlight w:val="none"/>
        </w:rPr>
        <w:t>1）有依法缴纳税收</w:t>
      </w:r>
      <w:bookmarkEnd w:id="280"/>
      <w:bookmarkEnd w:id="281"/>
    </w:p>
    <w:p>
      <w:pPr>
        <w:pStyle w:val="124"/>
        <w:tabs>
          <w:tab w:val="left" w:pos="3060"/>
          <w:tab w:val="left" w:pos="5580"/>
        </w:tabs>
        <w:spacing w:line="360" w:lineRule="auto"/>
        <w:ind w:firstLine="475" w:firstLineChars="198"/>
        <w:outlineLvl w:val="1"/>
        <w:rPr>
          <w:rFonts w:hint="eastAsia" w:ascii="宋体" w:hAnsi="宋体" w:eastAsia="宋体" w:cs="宋体"/>
          <w:color w:val="auto"/>
          <w:sz w:val="24"/>
          <w:szCs w:val="24"/>
          <w:highlight w:val="none"/>
        </w:rPr>
      </w:pPr>
      <w:bookmarkStart w:id="282" w:name="_Toc28407"/>
      <w:bookmarkStart w:id="283" w:name="_Toc17224"/>
      <w:bookmarkStart w:id="284" w:name="_Toc13534"/>
      <w:r>
        <w:rPr>
          <w:rFonts w:hint="eastAsia" w:ascii="宋体" w:hAnsi="宋体" w:eastAsia="宋体" w:cs="宋体"/>
          <w:color w:val="auto"/>
          <w:sz w:val="24"/>
          <w:szCs w:val="24"/>
          <w:highlight w:val="none"/>
        </w:rPr>
        <w:t>提供税务机构出具的</w:t>
      </w:r>
      <w:r>
        <w:rPr>
          <w:rFonts w:hint="eastAsia" w:ascii="宋体" w:hAnsi="宋体" w:eastAsia="宋体" w:cs="宋体"/>
          <w:color w:val="auto"/>
          <w:sz w:val="24"/>
          <w:szCs w:val="24"/>
          <w:highlight w:val="none"/>
          <w:lang w:eastAsia="zh-CN"/>
        </w:rPr>
        <w:t>近一年内任两个月</w:t>
      </w:r>
      <w:r>
        <w:rPr>
          <w:rFonts w:hint="eastAsia" w:ascii="宋体" w:hAnsi="宋体" w:eastAsia="宋体" w:cs="宋体"/>
          <w:color w:val="auto"/>
          <w:sz w:val="24"/>
          <w:szCs w:val="24"/>
          <w:highlight w:val="none"/>
        </w:rPr>
        <w:t>的依法缴纳税收等证明材料（刚成立不满三个月的企业，应提供依法缴纳税收承诺书；如依法免税的企业，应提供相应文件证明其依法免税）。</w:t>
      </w:r>
    </w:p>
    <w:p>
      <w:pPr>
        <w:pStyle w:val="124"/>
        <w:tabs>
          <w:tab w:val="left" w:pos="3060"/>
          <w:tab w:val="left" w:pos="5580"/>
        </w:tabs>
        <w:spacing w:line="360" w:lineRule="auto"/>
        <w:ind w:firstLine="236" w:firstLineChars="98"/>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2）有依法缴纳社会保障资金</w:t>
      </w:r>
      <w:bookmarkEnd w:id="282"/>
      <w:bookmarkEnd w:id="283"/>
      <w:bookmarkEnd w:id="284"/>
    </w:p>
    <w:p>
      <w:pPr>
        <w:pStyle w:val="124"/>
        <w:tabs>
          <w:tab w:val="left" w:pos="3060"/>
          <w:tab w:val="left" w:pos="5580"/>
        </w:tabs>
        <w:spacing w:line="360" w:lineRule="auto"/>
        <w:ind w:firstLine="475" w:firstLineChars="19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近一年内任意两个月</w:t>
      </w:r>
      <w:r>
        <w:rPr>
          <w:rFonts w:hint="eastAsia" w:ascii="宋体" w:hAnsi="宋体" w:eastAsia="宋体" w:cs="宋体"/>
          <w:color w:val="auto"/>
          <w:sz w:val="24"/>
          <w:szCs w:val="24"/>
          <w:highlight w:val="none"/>
        </w:rPr>
        <w:t>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p>
      <w:pPr>
        <w:pStyle w:val="124"/>
        <w:tabs>
          <w:tab w:val="left" w:pos="3060"/>
          <w:tab w:val="left" w:pos="5580"/>
        </w:tabs>
        <w:spacing w:line="360" w:lineRule="auto"/>
        <w:ind w:firstLine="475" w:firstLineChars="198"/>
        <w:outlineLvl w:val="9"/>
        <w:rPr>
          <w:rFonts w:hint="eastAsia" w:ascii="宋体" w:hAnsi="宋体" w:eastAsia="宋体" w:cs="宋体"/>
          <w:color w:val="auto"/>
          <w:sz w:val="24"/>
          <w:szCs w:val="24"/>
          <w:highlight w:val="none"/>
        </w:rPr>
      </w:pPr>
    </w:p>
    <w:p>
      <w:pPr>
        <w:pStyle w:val="31"/>
        <w:spacing w:line="360" w:lineRule="auto"/>
        <w:ind w:firstLine="482" w:firstLineChars="200"/>
        <w:rPr>
          <w:rFonts w:hint="eastAsia" w:ascii="宋体" w:hAnsi="宋体" w:eastAsia="宋体" w:cs="宋体"/>
          <w:b/>
          <w:color w:val="auto"/>
          <w:sz w:val="24"/>
          <w:highlight w:val="none"/>
        </w:rPr>
      </w:pPr>
    </w:p>
    <w:p>
      <w:pPr>
        <w:pStyle w:val="31"/>
        <w:spacing w:line="360" w:lineRule="auto"/>
        <w:jc w:val="both"/>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285" w:name="_Toc25390"/>
      <w:r>
        <w:rPr>
          <w:rFonts w:hint="eastAsia" w:ascii="宋体" w:hAnsi="宋体" w:eastAsia="宋体" w:cs="宋体"/>
          <w:b/>
          <w:color w:val="auto"/>
          <w:kern w:val="2"/>
          <w:sz w:val="28"/>
          <w:szCs w:val="28"/>
          <w:highlight w:val="none"/>
          <w:lang w:val="zh-CN" w:eastAsia="zh-CN" w:bidi="ar-SA"/>
        </w:rPr>
        <w:t>（5）参加政府采购活动前三年内，在经营活动中没有重大违法记录声明书</w:t>
      </w:r>
      <w:bookmarkEnd w:id="285"/>
    </w:p>
    <w:p>
      <w:pPr>
        <w:pStyle w:val="125"/>
        <w:adjustRightInd w:val="0"/>
        <w:snapToGrid w:val="0"/>
        <w:spacing w:line="360" w:lineRule="auto"/>
        <w:jc w:val="center"/>
        <w:rPr>
          <w:rFonts w:hint="eastAsia" w:ascii="宋体" w:hAnsi="宋体" w:eastAsia="宋体" w:cs="宋体"/>
          <w:color w:val="auto"/>
          <w:sz w:val="24"/>
          <w:highlight w:val="none"/>
        </w:rPr>
      </w:pPr>
    </w:p>
    <w:p>
      <w:pPr>
        <w:pStyle w:val="125"/>
        <w:adjustRightInd w:val="0"/>
        <w:snapToGrid w:val="0"/>
        <w:spacing w:line="360" w:lineRule="auto"/>
        <w:jc w:val="center"/>
        <w:outlineLvl w:val="0"/>
        <w:rPr>
          <w:rFonts w:hint="eastAsia" w:ascii="宋体" w:hAnsi="宋体" w:eastAsia="宋体" w:cs="宋体"/>
          <w:color w:val="auto"/>
          <w:sz w:val="24"/>
          <w:highlight w:val="none"/>
        </w:rPr>
      </w:pPr>
      <w:bookmarkStart w:id="286" w:name="_Toc20282"/>
      <w:bookmarkStart w:id="287" w:name="_Toc11737"/>
      <w:bookmarkStart w:id="288" w:name="_Toc28642"/>
      <w:r>
        <w:rPr>
          <w:rFonts w:hint="eastAsia" w:ascii="宋体" w:hAnsi="宋体" w:eastAsia="宋体" w:cs="宋体"/>
          <w:color w:val="auto"/>
          <w:sz w:val="24"/>
          <w:highlight w:val="none"/>
        </w:rPr>
        <w:t>无重大违法记录声明书</w:t>
      </w:r>
      <w:bookmarkEnd w:id="286"/>
      <w:bookmarkEnd w:id="287"/>
      <w:bookmarkEnd w:id="288"/>
    </w:p>
    <w:p>
      <w:pPr>
        <w:pStyle w:val="125"/>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w:t>
      </w:r>
    </w:p>
    <w:p>
      <w:pPr>
        <w:pStyle w:val="125"/>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编号）采购活动，本公司郑重声明，我方参加本项目政府采购活动前三年内无重大违法记录，符合《政府采购法》规定的供应商条件。若贵方在本项目采购过程中发现我方政府采购活动前三年内有重大违法记录，我公司将无条件退出本项目的采购，并承担因此引起的一切后果。我方对此声明负全部法律责任。</w:t>
      </w:r>
    </w:p>
    <w:p>
      <w:pPr>
        <w:pStyle w:val="125"/>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我单位及人员未因经营活动中的违法行为受到刑事处罚或者责令停产停业、吊销许可证或者执照、较大数额罚款等行政处罚。</w:t>
      </w:r>
    </w:p>
    <w:p>
      <w:pPr>
        <w:pStyle w:val="125"/>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我单位在“信用中国”网站(www.creditchina.gov.cn)、中国政府采购网(www.ccgp.gov.cn)等渠道没有被列入失信被执行人、重大税收违法案件当事人名单、政府采购严重违法失信行为记录名单等重大违法记录。</w:t>
      </w:r>
    </w:p>
    <w:p>
      <w:pPr>
        <w:pStyle w:val="125"/>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Style w:val="126"/>
        <w:adjustRightInd w:val="0"/>
        <w:snapToGrid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pPr>
        <w:pStyle w:val="126"/>
        <w:adjustRightInd w:val="0"/>
        <w:snapToGrid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w:t>
      </w:r>
      <w:r>
        <w:rPr>
          <w:rFonts w:hint="eastAsia" w:ascii="宋体" w:hAnsi="宋体" w:eastAsia="宋体" w:cs="宋体"/>
          <w:color w:val="auto"/>
          <w:sz w:val="24"/>
          <w:highlight w:val="none"/>
          <w:u w:val="single"/>
        </w:rPr>
        <w:t xml:space="preserve">     </w:t>
      </w:r>
    </w:p>
    <w:p>
      <w:pPr>
        <w:pStyle w:val="126"/>
        <w:adjustRightInd w:val="0"/>
        <w:snapToGrid w:val="0"/>
        <w:spacing w:line="360" w:lineRule="auto"/>
        <w:ind w:firstLine="3840" w:firstLineChars="1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bCs/>
          <w:color w:val="auto"/>
          <w:sz w:val="24"/>
          <w:highlight w:val="none"/>
        </w:rPr>
        <w:t>日</w:t>
      </w:r>
    </w:p>
    <w:p>
      <w:pPr>
        <w:pStyle w:val="127"/>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注：近三年：成立三年以上的，为提交响应文件截止时间前三年内；成立不足三年的，为实际时间。</w:t>
      </w:r>
    </w:p>
    <w:p>
      <w:pPr>
        <w:pStyle w:val="121"/>
        <w:spacing w:line="360" w:lineRule="auto"/>
        <w:ind w:left="420" w:leftChars="200" w:right="-506" w:rightChars="-241"/>
        <w:jc w:val="left"/>
        <w:outlineLvl w:val="9"/>
        <w:rPr>
          <w:rFonts w:hint="eastAsia" w:ascii="宋体" w:hAnsi="宋体" w:eastAsia="宋体" w:cs="宋体"/>
          <w:b/>
          <w:color w:val="auto"/>
          <w:sz w:val="24"/>
          <w:highlight w:val="none"/>
          <w:lang w:val="zh-CN"/>
        </w:rPr>
      </w:pPr>
    </w:p>
    <w:p>
      <w:pPr>
        <w:pStyle w:val="31"/>
        <w:spacing w:line="360" w:lineRule="auto"/>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zh-CN" w:eastAsia="zh-CN" w:bidi="ar-SA"/>
        </w:rPr>
        <w:t>（</w:t>
      </w:r>
      <w:r>
        <w:rPr>
          <w:rFonts w:hint="eastAsia" w:ascii="宋体" w:hAnsi="宋体" w:eastAsia="宋体" w:cs="宋体"/>
          <w:b/>
          <w:color w:val="auto"/>
          <w:kern w:val="2"/>
          <w:sz w:val="28"/>
          <w:szCs w:val="28"/>
          <w:highlight w:val="none"/>
          <w:lang w:val="en-US" w:eastAsia="zh-CN" w:bidi="ar-SA"/>
        </w:rPr>
        <w:t>6</w:t>
      </w:r>
      <w:r>
        <w:rPr>
          <w:rFonts w:hint="eastAsia" w:ascii="宋体" w:hAnsi="宋体" w:eastAsia="宋体" w:cs="宋体"/>
          <w:b/>
          <w:color w:val="auto"/>
          <w:kern w:val="2"/>
          <w:sz w:val="28"/>
          <w:szCs w:val="28"/>
          <w:highlight w:val="none"/>
          <w:lang w:val="zh-CN" w:eastAsia="zh-CN" w:bidi="ar-SA"/>
        </w:rPr>
        <w:t>）法律、行政法规规定的其他条件。</w:t>
      </w:r>
    </w:p>
    <w:p>
      <w:pPr>
        <w:pStyle w:val="31"/>
        <w:spacing w:line="360" w:lineRule="auto"/>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（7）投标人认为有必要提供的材料。</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（1）供应商应具备国家建设行政主管部门颁发的综合监理资质或建筑工程专业监理乙级及以上（含乙级）资质。</w:t>
      </w:r>
    </w:p>
    <w:p>
      <w:pPr>
        <w:shd w:val="clear" w:color="auto" w:fill="auto"/>
        <w:tabs>
          <w:tab w:val="left" w:pos="3544"/>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（2）项目总监需具备注册监理工程师执业资格，并在本单位注册。</w:t>
      </w:r>
    </w:p>
    <w:p>
      <w:pPr>
        <w:pStyle w:val="88"/>
        <w:numPr>
          <w:ilvl w:val="0"/>
          <w:numId w:val="0"/>
        </w:numPr>
        <w:spacing w:line="360" w:lineRule="auto"/>
        <w:ind w:right="-307" w:rightChars="-146" w:firstLine="643" w:firstLineChars="200"/>
        <w:jc w:val="left"/>
        <w:outlineLvl w:val="9"/>
        <w:rPr>
          <w:rFonts w:hint="eastAsia" w:ascii="仿宋" w:hAnsi="仿宋" w:eastAsia="仿宋" w:cs="仿宋"/>
          <w:color w:val="auto"/>
          <w:highlight w:val="none"/>
          <w:lang w:eastAsia="zh-CN"/>
        </w:rPr>
      </w:pPr>
    </w:p>
    <w:p>
      <w:pPr>
        <w:pStyle w:val="88"/>
        <w:numPr>
          <w:ilvl w:val="0"/>
          <w:numId w:val="0"/>
        </w:numPr>
        <w:spacing w:line="360" w:lineRule="auto"/>
        <w:ind w:right="-307" w:rightChars="-146" w:firstLine="643" w:firstLineChars="200"/>
        <w:jc w:val="left"/>
        <w:outlineLvl w:val="9"/>
        <w:rPr>
          <w:rFonts w:hint="eastAsia" w:ascii="仿宋" w:hAnsi="仿宋" w:eastAsia="仿宋" w:cs="仿宋"/>
          <w:color w:val="auto"/>
          <w:highlight w:val="none"/>
          <w:lang w:eastAsia="zh-CN"/>
        </w:rPr>
      </w:pPr>
    </w:p>
    <w:p>
      <w:pPr>
        <w:rPr>
          <w:rFonts w:ascii="楷体" w:hAnsi="楷体" w:eastAsia="楷体" w:cs="楷体"/>
          <w:sz w:val="18"/>
          <w:szCs w:val="18"/>
        </w:rPr>
        <w:sectPr>
          <w:footerReference r:id="rId8" w:type="default"/>
          <w:pgSz w:w="11906" w:h="16839"/>
          <w:pgMar w:top="1020" w:right="1418" w:bottom="1020" w:left="1159" w:header="510" w:footer="510" w:gutter="0"/>
          <w:pgBorders>
            <w:top w:val="none" w:sz="0" w:space="0"/>
            <w:left w:val="none" w:sz="0" w:space="0"/>
            <w:bottom w:val="none" w:sz="0" w:space="0"/>
            <w:right w:val="none" w:sz="0" w:space="0"/>
          </w:pgBorders>
          <w:pgNumType w:fmt="decimal"/>
          <w:cols w:space="720" w:num="1"/>
        </w:sectPr>
      </w:pPr>
    </w:p>
    <w:p>
      <w:pPr>
        <w:spacing w:before="91" w:line="222" w:lineRule="auto"/>
        <w:rPr>
          <w:rFonts w:ascii="宋体" w:hAnsi="宋体" w:eastAsia="宋体" w:cs="宋体"/>
          <w:b/>
          <w:bCs/>
          <w:sz w:val="28"/>
          <w:szCs w:val="28"/>
        </w:rPr>
      </w:pPr>
      <w:r>
        <w:rPr>
          <w:rFonts w:ascii="宋体" w:hAnsi="宋体" w:eastAsia="宋体" w:cs="宋体"/>
          <w:b/>
          <w:bCs/>
          <w:sz w:val="28"/>
          <w:szCs w:val="28"/>
        </w:rPr>
        <w:t>（二）</w:t>
      </w:r>
      <w:r>
        <w:rPr>
          <w:rFonts w:ascii="黑体" w:hAnsi="黑体" w:eastAsia="黑体" w:cs="黑体"/>
          <w:b/>
          <w:bCs/>
          <w:sz w:val="28"/>
          <w:szCs w:val="28"/>
        </w:rPr>
        <w:t>★</w:t>
      </w:r>
      <w:r>
        <w:rPr>
          <w:rFonts w:ascii="宋体" w:hAnsi="宋体" w:eastAsia="宋体" w:cs="宋体"/>
          <w:b/>
          <w:bCs/>
          <w:sz w:val="28"/>
          <w:szCs w:val="28"/>
        </w:rPr>
        <w:t>法定代表人身份证明及授权委托书</w:t>
      </w:r>
    </w:p>
    <w:p>
      <w:pPr>
        <w:pStyle w:val="119"/>
        <w:jc w:val="center"/>
        <w:outlineLvl w:val="9"/>
        <w:rPr>
          <w:rFonts w:hint="eastAsia" w:ascii="宋体" w:hAnsi="宋体" w:eastAsia="宋体" w:cs="宋体"/>
          <w:b w:val="0"/>
          <w:color w:val="auto"/>
          <w:sz w:val="24"/>
          <w:szCs w:val="24"/>
          <w:highlight w:val="none"/>
          <w:lang w:eastAsia="zh-CN"/>
        </w:rPr>
      </w:pPr>
      <w:bookmarkStart w:id="289" w:name="_Toc480368653"/>
      <w:bookmarkStart w:id="290" w:name="_Toc480368595"/>
      <w:bookmarkStart w:id="291" w:name="_Toc2526"/>
      <w:bookmarkStart w:id="292" w:name="_Toc480371721"/>
      <w:bookmarkStart w:id="293" w:name="_Toc27592"/>
      <w:bookmarkStart w:id="294" w:name="_Toc468535482"/>
      <w:bookmarkStart w:id="295" w:name="_Toc26952"/>
      <w:bookmarkStart w:id="296" w:name="_Toc29193"/>
      <w:bookmarkStart w:id="297" w:name="_Toc256000061"/>
      <w:bookmarkStart w:id="298" w:name="_Toc5014"/>
      <w:bookmarkStart w:id="299" w:name="_Toc480368424"/>
      <w:r>
        <w:rPr>
          <w:rFonts w:hint="eastAsia" w:ascii="宋体" w:hAnsi="宋体" w:eastAsia="宋体" w:cs="宋体"/>
          <w:b w:val="0"/>
          <w:color w:val="auto"/>
          <w:sz w:val="24"/>
          <w:szCs w:val="24"/>
          <w:highlight w:val="none"/>
        </w:rPr>
        <w:t>法定代表人资格证明文件</w:t>
      </w:r>
      <w:bookmarkEnd w:id="289"/>
      <w:bookmarkEnd w:id="290"/>
      <w:bookmarkEnd w:id="291"/>
      <w:bookmarkEnd w:id="292"/>
      <w:bookmarkEnd w:id="293"/>
      <w:bookmarkEnd w:id="294"/>
      <w:bookmarkEnd w:id="295"/>
      <w:bookmarkEnd w:id="296"/>
      <w:bookmarkEnd w:id="297"/>
      <w:bookmarkEnd w:id="298"/>
      <w:bookmarkEnd w:id="299"/>
    </w:p>
    <w:p>
      <w:pPr>
        <w:pStyle w:val="12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3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120"/>
              <w:adjustRightInd w:val="0"/>
              <w:snapToGrid w:val="0"/>
              <w:spacing w:line="500" w:lineRule="exact"/>
              <w:jc w:val="center"/>
              <w:rPr>
                <w:rFonts w:hint="eastAsia" w:ascii="宋体" w:hAnsi="宋体" w:eastAsia="宋体" w:cs="宋体"/>
                <w:color w:val="auto"/>
                <w:sz w:val="24"/>
                <w:szCs w:val="24"/>
                <w:highlight w:val="none"/>
              </w:rPr>
            </w:pPr>
          </w:p>
          <w:p>
            <w:pPr>
              <w:pStyle w:val="120"/>
              <w:adjustRightInd w:val="0"/>
              <w:snapToGrid w:val="0"/>
              <w:spacing w:line="500" w:lineRule="exact"/>
              <w:jc w:val="center"/>
              <w:rPr>
                <w:rFonts w:hint="eastAsia" w:ascii="宋体" w:hAnsi="宋体" w:eastAsia="宋体" w:cs="宋体"/>
                <w:color w:val="auto"/>
                <w:sz w:val="24"/>
                <w:szCs w:val="24"/>
                <w:highlight w:val="none"/>
              </w:rPr>
            </w:pPr>
          </w:p>
          <w:p>
            <w:pPr>
              <w:pStyle w:val="120"/>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法定代表人《居民身份证》扫描件</w:t>
            </w:r>
          </w:p>
        </w:tc>
      </w:tr>
    </w:tbl>
    <w:p>
      <w:pPr>
        <w:pStyle w:val="120"/>
        <w:adjustRightInd w:val="0"/>
        <w:snapToGrid w:val="0"/>
        <w:spacing w:line="500" w:lineRule="exact"/>
        <w:rPr>
          <w:rFonts w:hint="eastAsia" w:ascii="宋体" w:hAnsi="宋体" w:eastAsia="宋体" w:cs="宋体"/>
          <w:color w:val="auto"/>
          <w:sz w:val="24"/>
          <w:szCs w:val="24"/>
          <w:highlight w:val="none"/>
        </w:rPr>
      </w:pPr>
    </w:p>
    <w:p>
      <w:pPr>
        <w:pStyle w:val="120"/>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p>
    <w:p>
      <w:pPr>
        <w:pStyle w:val="120"/>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120"/>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p>
    <w:p>
      <w:pPr>
        <w:pStyle w:val="120"/>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120"/>
        <w:tabs>
          <w:tab w:val="left" w:pos="750"/>
        </w:tabs>
        <w:adjustRightInd w:val="0"/>
        <w:snapToGrid w:val="0"/>
        <w:spacing w:line="500" w:lineRule="exact"/>
        <w:ind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spacing w:line="256" w:lineRule="auto"/>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rPr>
          <w:rFonts w:hint="eastAsia" w:ascii="宋体" w:hAnsi="宋体" w:eastAsia="宋体" w:cs="宋体"/>
          <w:color w:val="auto"/>
          <w:spacing w:val="2"/>
          <w:sz w:val="44"/>
          <w:szCs w:val="44"/>
          <w:highlight w:val="none"/>
        </w:rPr>
      </w:pPr>
    </w:p>
    <w:p>
      <w:pPr>
        <w:pStyle w:val="119"/>
        <w:outlineLvl w:val="0"/>
        <w:rPr>
          <w:rFonts w:hint="eastAsia" w:ascii="宋体" w:hAnsi="宋体" w:eastAsia="宋体" w:cs="宋体"/>
          <w:b w:val="0"/>
          <w:color w:val="auto"/>
          <w:sz w:val="24"/>
          <w:szCs w:val="24"/>
          <w:highlight w:val="none"/>
        </w:rPr>
      </w:pPr>
      <w:bookmarkStart w:id="300" w:name="_Toc6374"/>
      <w:bookmarkStart w:id="301" w:name="_Toc256000063"/>
      <w:bookmarkStart w:id="302" w:name="_Toc22401"/>
      <w:bookmarkStart w:id="303" w:name="_Toc16905"/>
      <w:bookmarkStart w:id="304" w:name="_Toc22223"/>
      <w:bookmarkStart w:id="305" w:name="_Toc16557"/>
      <w:r>
        <w:rPr>
          <w:rFonts w:hint="eastAsia" w:ascii="宋体" w:hAnsi="宋体" w:eastAsia="宋体" w:cs="宋体"/>
          <w:b w:val="0"/>
          <w:color w:val="auto"/>
          <w:sz w:val="24"/>
          <w:szCs w:val="24"/>
          <w:highlight w:val="none"/>
        </w:rPr>
        <w:t>法定代表人授权书</w:t>
      </w:r>
      <w:bookmarkEnd w:id="300"/>
      <w:bookmarkEnd w:id="301"/>
      <w:bookmarkEnd w:id="302"/>
      <w:bookmarkEnd w:id="303"/>
      <w:bookmarkEnd w:id="304"/>
      <w:bookmarkEnd w:id="305"/>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1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pPr>
        <w:pStyle w:val="120"/>
        <w:spacing w:line="500" w:lineRule="exact"/>
        <w:rPr>
          <w:rFonts w:hint="eastAsia" w:ascii="宋体" w:hAnsi="宋体" w:eastAsia="宋体" w:cs="宋体"/>
          <w:color w:val="auto"/>
          <w:sz w:val="24"/>
          <w:szCs w:val="24"/>
          <w:highlight w:val="none"/>
        </w:rPr>
      </w:pP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20"/>
        <w:spacing w:line="500" w:lineRule="exact"/>
        <w:rPr>
          <w:rFonts w:hint="eastAsia" w:ascii="宋体" w:hAnsi="宋体" w:eastAsia="宋体" w:cs="宋体"/>
          <w:color w:val="auto"/>
          <w:sz w:val="24"/>
          <w:szCs w:val="24"/>
          <w:highlight w:val="none"/>
        </w:rPr>
      </w:pP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120"/>
        <w:adjustRightInd w:val="0"/>
        <w:snapToGrid w:val="0"/>
        <w:spacing w:line="500" w:lineRule="exact"/>
        <w:ind w:left="-88" w:leftChars="-42" w:firstLine="600" w:firstLineChars="250"/>
        <w:rPr>
          <w:rFonts w:hint="eastAsia" w:ascii="宋体" w:hAnsi="宋体" w:eastAsia="宋体" w:cs="宋体"/>
          <w:color w:val="auto"/>
          <w:sz w:val="24"/>
          <w:szCs w:val="24"/>
          <w:highlight w:val="none"/>
          <w:u w:val="single"/>
        </w:rPr>
      </w:pPr>
    </w:p>
    <w:tbl>
      <w:tblPr>
        <w:tblStyle w:val="32"/>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12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粘贴被授权人身份证（扫描件）</w:t>
            </w:r>
          </w:p>
        </w:tc>
      </w:tr>
    </w:tbl>
    <w:p>
      <w:pPr>
        <w:pStyle w:val="14"/>
        <w:spacing w:line="254" w:lineRule="auto"/>
        <w:rPr>
          <w:rFonts w:hint="eastAsia" w:ascii="宋体" w:hAnsi="宋体" w:eastAsia="宋体" w:cs="宋体"/>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rPr>
          <w:rFonts w:hint="eastAsia" w:ascii="宋体" w:hAnsi="宋体" w:eastAsia="宋体" w:cs="宋体"/>
          <w:color w:val="auto"/>
          <w:spacing w:val="2"/>
          <w:sz w:val="44"/>
          <w:szCs w:val="44"/>
          <w:highlight w:val="none"/>
        </w:rPr>
      </w:pPr>
    </w:p>
    <w:p>
      <w:pPr>
        <w:rPr>
          <w:rFonts w:hint="eastAsia" w:ascii="宋体" w:hAnsi="宋体" w:eastAsia="宋体" w:cs="宋体"/>
          <w:color w:val="auto"/>
          <w:spacing w:val="2"/>
          <w:sz w:val="44"/>
          <w:szCs w:val="44"/>
          <w:highlight w:val="none"/>
        </w:rPr>
      </w:pPr>
    </w:p>
    <w:p>
      <w:pPr>
        <w:spacing w:before="91" w:line="221" w:lineRule="auto"/>
        <w:outlineLvl w:val="2"/>
        <w:rPr>
          <w:rFonts w:ascii="宋体" w:hAnsi="宋体" w:eastAsia="宋体" w:cs="宋体"/>
          <w:b/>
          <w:bCs/>
          <w:spacing w:val="-2"/>
          <w:sz w:val="28"/>
          <w:szCs w:val="28"/>
        </w:rPr>
      </w:pPr>
    </w:p>
    <w:p>
      <w:pPr>
        <w:spacing w:before="91" w:line="221" w:lineRule="auto"/>
        <w:outlineLvl w:val="2"/>
        <w:rPr>
          <w:rFonts w:ascii="宋体" w:hAnsi="宋体" w:eastAsia="宋体" w:cs="宋体"/>
          <w:b/>
          <w:bCs/>
          <w:sz w:val="28"/>
          <w:szCs w:val="28"/>
        </w:rPr>
      </w:pPr>
      <w:r>
        <w:rPr>
          <w:rFonts w:ascii="宋体" w:hAnsi="宋体" w:eastAsia="宋体" w:cs="宋体"/>
          <w:b/>
          <w:bCs/>
          <w:spacing w:val="-2"/>
          <w:sz w:val="28"/>
          <w:szCs w:val="28"/>
        </w:rPr>
        <w:t>（</w:t>
      </w:r>
      <w:r>
        <w:rPr>
          <w:rFonts w:hint="eastAsia" w:ascii="宋体" w:hAnsi="宋体" w:cs="宋体"/>
          <w:b/>
          <w:bCs/>
          <w:spacing w:val="-2"/>
          <w:sz w:val="28"/>
          <w:szCs w:val="28"/>
          <w:lang w:val="en-US" w:eastAsia="zh-CN"/>
        </w:rPr>
        <w:t>三</w:t>
      </w:r>
      <w:r>
        <w:rPr>
          <w:rFonts w:ascii="宋体" w:hAnsi="宋体" w:eastAsia="宋体" w:cs="宋体"/>
          <w:b/>
          <w:bCs/>
          <w:spacing w:val="-2"/>
          <w:sz w:val="28"/>
          <w:szCs w:val="28"/>
        </w:rPr>
        <w:t>）</w:t>
      </w:r>
      <w:bookmarkStart w:id="314" w:name="_GoBack"/>
      <w:bookmarkEnd w:id="314"/>
      <w:r>
        <w:rPr>
          <w:rFonts w:ascii="宋体" w:hAnsi="宋体" w:eastAsia="宋体" w:cs="宋体"/>
          <w:b/>
          <w:bCs/>
          <w:spacing w:val="-2"/>
          <w:sz w:val="28"/>
          <w:szCs w:val="28"/>
        </w:rPr>
        <w:t>★投标保证金</w:t>
      </w:r>
    </w:p>
    <w:p>
      <w:pPr>
        <w:spacing w:before="232" w:line="219" w:lineRule="auto"/>
        <w:ind w:left="441"/>
        <w:rPr>
          <w:rFonts w:ascii="宋体" w:hAnsi="宋体" w:eastAsia="宋体" w:cs="宋体"/>
          <w:sz w:val="24"/>
          <w:szCs w:val="24"/>
        </w:rPr>
      </w:pPr>
      <w:r>
        <w:rPr>
          <w:rFonts w:ascii="宋体" w:hAnsi="宋体" w:eastAsia="宋体" w:cs="宋体"/>
          <w:spacing w:val="-1"/>
          <w:sz w:val="24"/>
          <w:szCs w:val="24"/>
        </w:rPr>
        <w:t>说明：此处附投标保证金缴纳证明文件或电子保函保单。</w:t>
      </w: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spacing w:before="91" w:line="219" w:lineRule="auto"/>
        <w:rPr>
          <w:rFonts w:ascii="宋体" w:hAnsi="宋体" w:eastAsia="宋体" w:cs="宋体"/>
          <w:b/>
          <w:bCs/>
          <w:sz w:val="28"/>
          <w:szCs w:val="28"/>
        </w:rPr>
      </w:pPr>
      <w:r>
        <w:rPr>
          <w:rFonts w:ascii="宋体" w:hAnsi="宋体" w:eastAsia="宋体" w:cs="宋体"/>
          <w:b/>
          <w:bCs/>
          <w:spacing w:val="-1"/>
          <w:sz w:val="28"/>
          <w:szCs w:val="28"/>
        </w:rPr>
        <w:t>（</w:t>
      </w:r>
      <w:r>
        <w:rPr>
          <w:rFonts w:hint="eastAsia" w:ascii="宋体" w:hAnsi="宋体" w:cs="宋体"/>
          <w:b/>
          <w:bCs/>
          <w:spacing w:val="-1"/>
          <w:sz w:val="28"/>
          <w:szCs w:val="28"/>
          <w:lang w:val="en-US" w:eastAsia="zh-CN"/>
        </w:rPr>
        <w:t>四</w:t>
      </w:r>
      <w:r>
        <w:rPr>
          <w:rFonts w:ascii="宋体" w:hAnsi="宋体" w:eastAsia="宋体" w:cs="宋体"/>
          <w:b/>
          <w:bCs/>
          <w:spacing w:val="-1"/>
          <w:sz w:val="28"/>
          <w:szCs w:val="28"/>
        </w:rPr>
        <w:t>）★不参与围标串标承诺书</w:t>
      </w:r>
    </w:p>
    <w:p>
      <w:pPr>
        <w:pStyle w:val="14"/>
        <w:spacing w:line="347" w:lineRule="auto"/>
      </w:pPr>
    </w:p>
    <w:p>
      <w:pPr>
        <w:pStyle w:val="127"/>
        <w:spacing w:line="640" w:lineRule="exact"/>
        <w:ind w:firstLine="424" w:firstLineChars="177"/>
        <w:jc w:val="center"/>
        <w:outlineLvl w:val="0"/>
        <w:rPr>
          <w:rFonts w:hint="eastAsia" w:ascii="宋体" w:hAnsi="宋体" w:eastAsia="宋体" w:cs="宋体"/>
          <w:color w:val="auto"/>
          <w:sz w:val="24"/>
          <w:highlight w:val="none"/>
        </w:rPr>
      </w:pPr>
      <w:bookmarkStart w:id="306" w:name="_Toc26573"/>
      <w:bookmarkStart w:id="307" w:name="_Toc9057"/>
      <w:bookmarkStart w:id="308" w:name="_Toc3637"/>
      <w:bookmarkStart w:id="309" w:name="_Toc11083"/>
      <w:bookmarkStart w:id="310" w:name="_Toc9885"/>
      <w:r>
        <w:rPr>
          <w:rFonts w:hint="eastAsia" w:ascii="宋体" w:hAnsi="宋体" w:eastAsia="宋体" w:cs="宋体"/>
          <w:bCs/>
          <w:color w:val="auto"/>
          <w:sz w:val="24"/>
          <w:highlight w:val="none"/>
        </w:rPr>
        <w:t>不参与围标串标承诺书</w:t>
      </w:r>
      <w:bookmarkEnd w:id="306"/>
      <w:bookmarkEnd w:id="307"/>
      <w:bookmarkEnd w:id="308"/>
      <w:bookmarkEnd w:id="309"/>
      <w:bookmarkEnd w:id="310"/>
    </w:p>
    <w:p>
      <w:pPr>
        <w:pStyle w:val="127"/>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本人作为</w:t>
      </w:r>
      <w:r>
        <w:rPr>
          <w:rFonts w:hint="eastAsia" w:ascii="宋体" w:hAnsi="宋体" w:eastAsia="宋体" w:cs="宋体"/>
          <w:color w:val="auto"/>
          <w:sz w:val="24"/>
          <w:highlight w:val="none"/>
          <w:u w:val="single"/>
        </w:rPr>
        <w:t xml:space="preserve">（单位名称）                    </w:t>
      </w:r>
      <w:r>
        <w:rPr>
          <w:rFonts w:hint="eastAsia" w:ascii="宋体" w:hAnsi="宋体" w:eastAsia="宋体" w:cs="宋体"/>
          <w:color w:val="auto"/>
          <w:sz w:val="24"/>
          <w:highlight w:val="none"/>
        </w:rPr>
        <w:t>的法人，清楚知晓我公司本项目投标活动，对以下事项作出承诺：</w:t>
      </w:r>
    </w:p>
    <w:p>
      <w:pPr>
        <w:pStyle w:val="127"/>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一、我单位遵循公开、公平、公正、诚实守信的原则，依法依规参与本项目竞标。</w:t>
      </w:r>
    </w:p>
    <w:p>
      <w:pPr>
        <w:pStyle w:val="127"/>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二、我单位在本项目招标投标活动中，未参与围标串标。</w:t>
      </w:r>
    </w:p>
    <w:p>
      <w:pPr>
        <w:pStyle w:val="127"/>
        <w:spacing w:line="6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127"/>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pPr>
        <w:pStyle w:val="127"/>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标段号：    </w:t>
      </w:r>
    </w:p>
    <w:p>
      <w:pPr>
        <w:pStyle w:val="127"/>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供应商单位名称：</w:t>
      </w:r>
    </w:p>
    <w:p>
      <w:pPr>
        <w:pStyle w:val="127"/>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供应商法人签</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w:t>
      </w:r>
    </w:p>
    <w:p>
      <w:pPr>
        <w:pStyle w:val="127"/>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27"/>
        <w:spacing w:line="640" w:lineRule="exact"/>
        <w:jc w:val="left"/>
        <w:rPr>
          <w:rFonts w:hint="eastAsia" w:ascii="宋体" w:hAnsi="宋体" w:eastAsia="宋体" w:cs="宋体"/>
          <w:color w:val="auto"/>
          <w:sz w:val="24"/>
          <w:highlight w:val="none"/>
        </w:rPr>
      </w:pPr>
    </w:p>
    <w:p>
      <w:pPr>
        <w:pStyle w:val="127"/>
        <w:spacing w:line="640" w:lineRule="exact"/>
        <w:ind w:firstLine="4080" w:firstLineChars="17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电子签章</w:t>
      </w:r>
    </w:p>
    <w:p>
      <w:pPr>
        <w:pStyle w:val="127"/>
        <w:spacing w:line="640" w:lineRule="exact"/>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Style w:val="14"/>
        <w:spacing w:line="386" w:lineRule="auto"/>
      </w:pPr>
    </w:p>
    <w:p>
      <w:pPr>
        <w:pStyle w:val="14"/>
        <w:spacing w:line="386" w:lineRule="auto"/>
      </w:pPr>
    </w:p>
    <w:p>
      <w:pPr>
        <w:pStyle w:val="14"/>
        <w:spacing w:line="386" w:lineRule="auto"/>
      </w:pPr>
    </w:p>
    <w:p/>
    <w:p/>
    <w:p>
      <w:pPr>
        <w:pStyle w:val="14"/>
        <w:spacing w:line="386" w:lineRule="auto"/>
      </w:pPr>
    </w:p>
    <w:p>
      <w:pPr>
        <w:spacing w:before="91" w:line="220" w:lineRule="auto"/>
        <w:outlineLvl w:val="2"/>
        <w:rPr>
          <w:rFonts w:ascii="宋体" w:hAnsi="宋体" w:eastAsia="宋体" w:cs="宋体"/>
          <w:b/>
          <w:bCs/>
          <w:sz w:val="28"/>
          <w:szCs w:val="28"/>
        </w:rPr>
      </w:pPr>
      <w:r>
        <w:rPr>
          <w:rFonts w:ascii="宋体" w:hAnsi="宋体" w:eastAsia="宋体" w:cs="宋体"/>
          <w:b/>
          <w:bCs/>
          <w:spacing w:val="-1"/>
          <w:sz w:val="28"/>
          <w:szCs w:val="28"/>
        </w:rPr>
        <w:t>（</w:t>
      </w:r>
      <w:r>
        <w:rPr>
          <w:rFonts w:hint="eastAsia" w:ascii="宋体" w:hAnsi="宋体" w:cs="宋体"/>
          <w:b/>
          <w:bCs/>
          <w:spacing w:val="-1"/>
          <w:sz w:val="28"/>
          <w:szCs w:val="28"/>
          <w:lang w:val="en-US" w:eastAsia="zh-CN"/>
        </w:rPr>
        <w:t>五</w:t>
      </w:r>
      <w:r>
        <w:rPr>
          <w:rFonts w:ascii="宋体" w:hAnsi="宋体" w:eastAsia="宋体" w:cs="宋体"/>
          <w:b/>
          <w:bCs/>
          <w:spacing w:val="-1"/>
          <w:sz w:val="28"/>
          <w:szCs w:val="28"/>
        </w:rPr>
        <w:t>）其他声明及文件资料</w:t>
      </w:r>
    </w:p>
    <w:p>
      <w:pPr>
        <w:pStyle w:val="14"/>
        <w:spacing w:line="310" w:lineRule="auto"/>
      </w:pPr>
    </w:p>
    <w:p>
      <w:pPr>
        <w:pStyle w:val="14"/>
        <w:spacing w:line="310" w:lineRule="auto"/>
      </w:pPr>
    </w:p>
    <w:p>
      <w:pPr>
        <w:spacing w:before="78" w:line="219" w:lineRule="auto"/>
        <w:ind w:left="919"/>
        <w:rPr>
          <w:rFonts w:ascii="宋体" w:hAnsi="宋体" w:eastAsia="宋体" w:cs="宋体"/>
          <w:sz w:val="24"/>
          <w:szCs w:val="24"/>
        </w:rPr>
      </w:pPr>
      <w:r>
        <w:rPr>
          <w:rFonts w:ascii="宋体" w:hAnsi="宋体" w:eastAsia="宋体" w:cs="宋体"/>
          <w:spacing w:val="-1"/>
          <w:sz w:val="24"/>
          <w:szCs w:val="24"/>
        </w:rPr>
        <w:t>投标人认为需要提供的其他声明及文件资料。</w:t>
      </w: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spacing w:before="101" w:line="223" w:lineRule="auto"/>
        <w:outlineLvl w:val="2"/>
        <w:rPr>
          <w:rFonts w:ascii="宋体" w:hAnsi="宋体" w:eastAsia="宋体" w:cs="宋体"/>
          <w:b/>
          <w:bCs/>
          <w:sz w:val="31"/>
          <w:szCs w:val="31"/>
        </w:rPr>
      </w:pPr>
      <w:r>
        <w:rPr>
          <w:rFonts w:ascii="宋体" w:hAnsi="宋体" w:eastAsia="宋体" w:cs="宋体"/>
          <w:b/>
          <w:bCs/>
          <w:spacing w:val="9"/>
          <w:sz w:val="31"/>
          <w:szCs w:val="31"/>
        </w:rPr>
        <w:t>三、价格响应文件</w:t>
      </w: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Pr>
        <w:spacing w:before="91" w:line="219" w:lineRule="auto"/>
        <w:outlineLvl w:val="2"/>
        <w:rPr>
          <w:rFonts w:ascii="宋体" w:hAnsi="宋体" w:eastAsia="宋体" w:cs="宋体"/>
          <w:b/>
          <w:bCs/>
          <w:spacing w:val="-2"/>
          <w:sz w:val="28"/>
          <w:szCs w:val="28"/>
        </w:rPr>
      </w:pPr>
      <w:r>
        <w:rPr>
          <w:rFonts w:ascii="宋体" w:hAnsi="宋体" w:eastAsia="宋体" w:cs="宋体"/>
          <w:b/>
          <w:bCs/>
          <w:spacing w:val="-2"/>
          <w:sz w:val="28"/>
          <w:szCs w:val="28"/>
        </w:rPr>
        <w:t>（一）★开标一览表</w:t>
      </w:r>
    </w:p>
    <w:p>
      <w:pPr>
        <w:spacing w:before="233" w:line="219" w:lineRule="auto"/>
        <w:ind w:left="44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pPr>
        <w:spacing w:before="182" w:line="220" w:lineRule="auto"/>
        <w:ind w:left="44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pPr>
        <w:spacing w:line="66" w:lineRule="exact"/>
      </w:pPr>
    </w:p>
    <w:tbl>
      <w:tblPr>
        <w:tblStyle w:val="114"/>
        <w:tblW w:w="9184"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413" w:type="dxa"/>
            <w:noWrap w:val="0"/>
            <w:vAlign w:val="top"/>
          </w:tcPr>
          <w:p>
            <w:pPr>
              <w:pStyle w:val="113"/>
              <w:spacing w:before="220" w:line="220" w:lineRule="auto"/>
              <w:ind w:left="736"/>
            </w:pPr>
            <w:r>
              <w:rPr>
                <w:spacing w:val="-4"/>
              </w:rPr>
              <w:t>项目名称</w:t>
            </w:r>
          </w:p>
        </w:tc>
        <w:tc>
          <w:tcPr>
            <w:tcW w:w="67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2413" w:type="dxa"/>
            <w:noWrap w:val="0"/>
            <w:vAlign w:val="center"/>
          </w:tcPr>
          <w:p>
            <w:pPr>
              <w:pStyle w:val="121"/>
              <w:tabs>
                <w:tab w:val="left" w:pos="1337"/>
              </w:tabs>
              <w:spacing w:line="360" w:lineRule="auto"/>
              <w:jc w:val="center"/>
              <w:rPr>
                <w:rFonts w:hint="eastAsia" w:ascii="宋体" w:hAnsi="宋体" w:eastAsia="宋体" w:cs="宋体"/>
                <w:bCs/>
                <w:color w:val="auto"/>
                <w:sz w:val="24"/>
                <w:highlight w:val="none"/>
              </w:rPr>
            </w:pPr>
          </w:p>
          <w:p>
            <w:pPr>
              <w:pStyle w:val="121"/>
              <w:tabs>
                <w:tab w:val="left" w:pos="1337"/>
              </w:tabs>
              <w:spacing w:line="360" w:lineRule="auto"/>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投标总价</w:t>
            </w:r>
            <w:r>
              <w:rPr>
                <w:rFonts w:hint="eastAsia" w:ascii="宋体" w:hAnsi="宋体" w:eastAsia="宋体" w:cs="宋体"/>
                <w:bCs/>
                <w:color w:val="auto"/>
                <w:sz w:val="24"/>
                <w:highlight w:val="none"/>
                <w:lang w:eastAsia="zh-CN"/>
              </w:rPr>
              <w:t>（元）</w:t>
            </w:r>
          </w:p>
          <w:p>
            <w:pPr>
              <w:pStyle w:val="121"/>
              <w:tabs>
                <w:tab w:val="left" w:pos="1337"/>
              </w:tabs>
              <w:spacing w:line="360" w:lineRule="auto"/>
              <w:jc w:val="center"/>
              <w:rPr>
                <w:rFonts w:hint="eastAsia" w:ascii="宋体" w:hAnsi="宋体" w:eastAsia="宋体" w:cs="宋体"/>
              </w:rPr>
            </w:pPr>
          </w:p>
        </w:tc>
        <w:tc>
          <w:tcPr>
            <w:tcW w:w="6771" w:type="dxa"/>
            <w:noWrap w:val="0"/>
            <w:vAlign w:val="top"/>
          </w:tcPr>
          <w:p>
            <w:pPr>
              <w:pStyle w:val="121"/>
              <w:tabs>
                <w:tab w:val="left" w:pos="1337"/>
              </w:tabs>
              <w:spacing w:line="360" w:lineRule="auto"/>
              <w:rPr>
                <w:rFonts w:hint="eastAsia" w:ascii="宋体" w:hAnsi="宋体" w:eastAsia="宋体" w:cs="宋体"/>
                <w:bCs/>
                <w:color w:val="auto"/>
                <w:sz w:val="24"/>
                <w:highlight w:val="none"/>
              </w:rPr>
            </w:pPr>
          </w:p>
          <w:p>
            <w:pPr>
              <w:pStyle w:val="121"/>
              <w:tabs>
                <w:tab w:val="left" w:pos="1337"/>
              </w:tabs>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eastAsia="zh-CN"/>
              </w:rPr>
              <w:t>小写：</w:t>
            </w:r>
            <w:r>
              <w:rPr>
                <w:rFonts w:hint="eastAsia" w:ascii="宋体" w:hAnsi="宋体" w:eastAsia="宋体" w:cs="宋体"/>
                <w:color w:val="auto"/>
                <w:sz w:val="24"/>
                <w:highlight w:val="none"/>
                <w:u w:val="single"/>
                <w:lang w:val="en-US" w:eastAsia="zh-CN"/>
              </w:rPr>
              <w:t xml:space="preserve">               </w:t>
            </w:r>
          </w:p>
          <w:p>
            <w:pPr>
              <w:pStyle w:val="121"/>
              <w:tabs>
                <w:tab w:val="left" w:pos="1337"/>
              </w:tabs>
              <w:spacing w:line="360" w:lineRule="auto"/>
              <w:rPr>
                <w:rFonts w:hint="eastAsia" w:ascii="宋体" w:hAnsi="宋体" w:eastAsia="宋体" w:cs="宋体"/>
                <w:sz w:val="21"/>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413" w:type="dxa"/>
            <w:noWrap w:val="0"/>
            <w:vAlign w:val="top"/>
          </w:tcPr>
          <w:p>
            <w:pPr>
              <w:pStyle w:val="113"/>
              <w:spacing w:before="273" w:line="219" w:lineRule="auto"/>
              <w:ind w:left="616"/>
            </w:pPr>
            <w:r>
              <w:rPr>
                <w:spacing w:val="-3"/>
              </w:rPr>
              <w:t>项目负责人</w:t>
            </w:r>
          </w:p>
        </w:tc>
        <w:tc>
          <w:tcPr>
            <w:tcW w:w="67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413" w:type="dxa"/>
            <w:noWrap w:val="0"/>
            <w:vAlign w:val="top"/>
          </w:tcPr>
          <w:p>
            <w:pPr>
              <w:pStyle w:val="113"/>
              <w:spacing w:before="274" w:line="219" w:lineRule="auto"/>
              <w:ind w:left="732"/>
            </w:pPr>
            <w:r>
              <w:rPr>
                <w:spacing w:val="-3"/>
              </w:rPr>
              <w:t>服务地点</w:t>
            </w:r>
          </w:p>
        </w:tc>
        <w:tc>
          <w:tcPr>
            <w:tcW w:w="67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413" w:type="dxa"/>
            <w:noWrap w:val="0"/>
            <w:vAlign w:val="top"/>
          </w:tcPr>
          <w:p>
            <w:pPr>
              <w:pStyle w:val="113"/>
              <w:spacing w:before="255" w:line="219" w:lineRule="auto"/>
              <w:ind w:left="732"/>
            </w:pPr>
            <w:r>
              <w:rPr>
                <w:spacing w:val="-3"/>
              </w:rPr>
              <w:t>服务期限</w:t>
            </w:r>
          </w:p>
        </w:tc>
        <w:tc>
          <w:tcPr>
            <w:tcW w:w="67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184" w:type="dxa"/>
            <w:gridSpan w:val="2"/>
            <w:noWrap w:val="0"/>
            <w:vAlign w:val="top"/>
          </w:tcPr>
          <w:p>
            <w:pPr>
              <w:pStyle w:val="113"/>
              <w:spacing w:before="288" w:line="221" w:lineRule="auto"/>
              <w:ind w:left="119" w:firstLine="920" w:firstLineChars="400"/>
            </w:pPr>
            <w:r>
              <w:rPr>
                <w:spacing w:val="-5"/>
              </w:rPr>
              <w:t>备注</w:t>
            </w:r>
          </w:p>
        </w:tc>
      </w:tr>
    </w:tbl>
    <w:p>
      <w:pPr>
        <w:pStyle w:val="99"/>
        <w:spacing w:line="360" w:lineRule="auto"/>
        <w:rPr>
          <w:rFonts w:hint="eastAsia" w:ascii="仿宋" w:hAnsi="仿宋" w:eastAsia="仿宋" w:cs="仿宋"/>
          <w:b/>
          <w:bCs/>
          <w:color w:val="auto"/>
          <w:sz w:val="24"/>
          <w:highlight w:val="none"/>
        </w:rPr>
      </w:pPr>
    </w:p>
    <w:p>
      <w:pPr>
        <w:pStyle w:val="9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1、投标人严格按照规定的格式填写。投标报价为优惠后报价，并作为评审及定标的依据。</w:t>
      </w:r>
    </w:p>
    <w:p>
      <w:pPr>
        <w:pStyle w:val="99"/>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2、任何有选择或有条件的投标报价或表中某一包填写多个报价，均将导致投标被拒绝。</w:t>
      </w:r>
    </w:p>
    <w:p>
      <w:pPr>
        <w:pStyle w:val="121"/>
        <w:spacing w:line="360" w:lineRule="auto"/>
        <w:rPr>
          <w:rFonts w:hint="eastAsia" w:ascii="宋体" w:hAnsi="宋体" w:eastAsia="宋体" w:cs="宋体"/>
          <w:b/>
          <w:bCs/>
          <w:color w:val="auto"/>
          <w:sz w:val="24"/>
          <w:highlight w:val="none"/>
        </w:rPr>
      </w:pPr>
    </w:p>
    <w:p>
      <w:pPr>
        <w:pStyle w:val="99"/>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投标人电子签章</w:t>
      </w:r>
      <w:r>
        <w:rPr>
          <w:rFonts w:hint="eastAsia" w:ascii="宋体" w:hAnsi="宋体" w:eastAsia="宋体" w:cs="宋体"/>
          <w:color w:val="auto"/>
          <w:sz w:val="24"/>
          <w:highlight w:val="none"/>
        </w:rPr>
        <w:t>：</w:t>
      </w:r>
    </w:p>
    <w:p>
      <w:pPr>
        <w:pStyle w:val="99"/>
        <w:spacing w:line="360" w:lineRule="auto"/>
        <w:ind w:firstLine="480" w:firstLineChars="200"/>
        <w:rPr>
          <w:rFonts w:hint="eastAsia" w:ascii="宋体" w:hAnsi="宋体" w:eastAsia="宋体" w:cs="宋体"/>
          <w:color w:val="auto"/>
          <w:sz w:val="24"/>
          <w:highlight w:val="none"/>
        </w:rPr>
      </w:pPr>
    </w:p>
    <w:p>
      <w:pPr>
        <w:pStyle w:val="9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4"/>
        <w:spacing w:line="245" w:lineRule="auto"/>
      </w:pPr>
    </w:p>
    <w:p>
      <w:pPr>
        <w:pStyle w:val="14"/>
        <w:spacing w:line="386" w:lineRule="auto"/>
      </w:pPr>
    </w:p>
    <w:p>
      <w:pPr>
        <w:pStyle w:val="14"/>
        <w:spacing w:line="386" w:lineRule="auto"/>
      </w:pPr>
    </w:p>
    <w:p>
      <w:pPr>
        <w:pStyle w:val="14"/>
        <w:spacing w:line="386" w:lineRule="auto"/>
      </w:pPr>
    </w:p>
    <w:p>
      <w:pPr>
        <w:pStyle w:val="14"/>
        <w:spacing w:line="386" w:lineRule="auto"/>
      </w:pPr>
    </w:p>
    <w:p/>
    <w:p>
      <w:pPr>
        <w:spacing w:before="91" w:line="219" w:lineRule="auto"/>
        <w:outlineLvl w:val="2"/>
        <w:rPr>
          <w:rFonts w:ascii="宋体" w:hAnsi="宋体" w:eastAsia="宋体" w:cs="宋体"/>
          <w:b/>
          <w:bCs/>
          <w:sz w:val="28"/>
          <w:szCs w:val="28"/>
        </w:rPr>
      </w:pPr>
      <w:r>
        <w:rPr>
          <w:rFonts w:ascii="宋体" w:hAnsi="宋体" w:eastAsia="宋体" w:cs="宋体"/>
          <w:b/>
          <w:bCs/>
          <w:spacing w:val="-2"/>
          <w:sz w:val="28"/>
          <w:szCs w:val="28"/>
        </w:rPr>
        <w:t>（二）★报价明细表</w:t>
      </w:r>
    </w:p>
    <w:p>
      <w:pPr>
        <w:spacing w:before="157" w:line="219" w:lineRule="auto"/>
        <w:ind w:left="440"/>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pPr>
        <w:spacing w:before="147" w:line="220" w:lineRule="auto"/>
        <w:ind w:left="440"/>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pPr>
        <w:spacing w:line="109" w:lineRule="exact"/>
      </w:pPr>
    </w:p>
    <w:tbl>
      <w:tblPr>
        <w:tblStyle w:val="114"/>
        <w:tblW w:w="8655" w:type="dxa"/>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
        <w:gridCol w:w="1812"/>
        <w:gridCol w:w="4562"/>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486" w:type="dxa"/>
            <w:tcBorders>
              <w:top w:val="single" w:color="000000" w:sz="2" w:space="0"/>
              <w:left w:val="single" w:color="000000" w:sz="2" w:space="0"/>
            </w:tcBorders>
            <w:noWrap w:val="0"/>
            <w:textDirection w:val="tbRlV"/>
            <w:vAlign w:val="top"/>
          </w:tcPr>
          <w:p>
            <w:pPr>
              <w:pStyle w:val="113"/>
              <w:spacing w:before="162" w:line="210" w:lineRule="auto"/>
              <w:ind w:left="200"/>
            </w:pPr>
            <w:r>
              <w:rPr>
                <w:spacing w:val="-1"/>
              </w:rPr>
              <w:t>序</w:t>
            </w:r>
            <w:r>
              <w:rPr>
                <w:spacing w:val="10"/>
              </w:rPr>
              <w:t xml:space="preserve">  </w:t>
            </w:r>
            <w:r>
              <w:rPr>
                <w:spacing w:val="-1"/>
              </w:rPr>
              <w:t>号</w:t>
            </w:r>
          </w:p>
        </w:tc>
        <w:tc>
          <w:tcPr>
            <w:tcW w:w="1812" w:type="dxa"/>
            <w:tcBorders>
              <w:top w:val="single" w:color="000000" w:sz="2" w:space="0"/>
            </w:tcBorders>
            <w:noWrap w:val="0"/>
            <w:vAlign w:val="top"/>
          </w:tcPr>
          <w:p>
            <w:pPr>
              <w:spacing w:line="369" w:lineRule="auto"/>
              <w:rPr>
                <w:rFonts w:ascii="Arial"/>
                <w:sz w:val="21"/>
              </w:rPr>
            </w:pPr>
          </w:p>
          <w:p>
            <w:pPr>
              <w:pStyle w:val="113"/>
              <w:spacing w:before="78" w:line="219" w:lineRule="auto"/>
              <w:ind w:left="406"/>
            </w:pPr>
            <w:r>
              <w:rPr>
                <w:spacing w:val="-8"/>
              </w:rPr>
              <w:t>明细名称</w:t>
            </w:r>
          </w:p>
        </w:tc>
        <w:tc>
          <w:tcPr>
            <w:tcW w:w="6357" w:type="dxa"/>
            <w:gridSpan w:val="2"/>
            <w:tcBorders>
              <w:top w:val="single" w:color="000000" w:sz="2" w:space="0"/>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86" w:type="dxa"/>
            <w:tcBorders>
              <w:left w:val="single" w:color="000000" w:sz="2" w:space="0"/>
            </w:tcBorders>
            <w:noWrap w:val="0"/>
            <w:vAlign w:val="top"/>
          </w:tcPr>
          <w:p>
            <w:pPr>
              <w:spacing w:before="233" w:line="188" w:lineRule="auto"/>
              <w:ind w:left="16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12" w:type="dxa"/>
            <w:noWrap w:val="0"/>
            <w:vAlign w:val="top"/>
          </w:tcPr>
          <w:p>
            <w:pPr>
              <w:pStyle w:val="113"/>
              <w:spacing w:before="194" w:line="219" w:lineRule="auto"/>
              <w:ind w:left="535"/>
              <w:rPr>
                <w:rFonts w:ascii="Times New Roman" w:hAnsi="Times New Roman" w:eastAsia="Times New Roman" w:cs="Times New Roman"/>
              </w:rPr>
            </w:pPr>
            <w:r>
              <w:rPr>
                <w:spacing w:val="-4"/>
              </w:rPr>
              <w:t>服务</w:t>
            </w:r>
            <w:r>
              <w:rPr>
                <w:spacing w:val="-31"/>
              </w:rPr>
              <w:t xml:space="preserve"> </w:t>
            </w:r>
            <w:r>
              <w:rPr>
                <w:rFonts w:ascii="Times New Roman" w:hAnsi="Times New Roman" w:eastAsia="Times New Roman" w:cs="Times New Roman"/>
                <w:spacing w:val="-4"/>
              </w:rPr>
              <w:t>1</w:t>
            </w:r>
          </w:p>
        </w:tc>
        <w:tc>
          <w:tcPr>
            <w:tcW w:w="6357" w:type="dxa"/>
            <w:gridSpan w:val="2"/>
            <w:tcBorders>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86" w:type="dxa"/>
            <w:tcBorders>
              <w:left w:val="single" w:color="000000" w:sz="2" w:space="0"/>
            </w:tcBorders>
            <w:noWrap w:val="0"/>
            <w:vAlign w:val="top"/>
          </w:tcPr>
          <w:p>
            <w:pPr>
              <w:spacing w:before="235" w:line="188" w:lineRule="auto"/>
              <w:ind w:left="14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12" w:type="dxa"/>
            <w:noWrap w:val="0"/>
            <w:vAlign w:val="top"/>
          </w:tcPr>
          <w:p>
            <w:pPr>
              <w:pStyle w:val="113"/>
              <w:spacing w:before="194" w:line="219" w:lineRule="auto"/>
              <w:ind w:left="535"/>
              <w:rPr>
                <w:rFonts w:ascii="Times New Roman" w:hAnsi="Times New Roman" w:eastAsia="Times New Roman" w:cs="Times New Roman"/>
              </w:rPr>
            </w:pPr>
            <w:r>
              <w:rPr>
                <w:spacing w:val="-4"/>
              </w:rPr>
              <w:t>服务</w:t>
            </w:r>
            <w:r>
              <w:rPr>
                <w:spacing w:val="-31"/>
              </w:rPr>
              <w:t xml:space="preserve"> </w:t>
            </w:r>
            <w:r>
              <w:rPr>
                <w:rFonts w:ascii="Times New Roman" w:hAnsi="Times New Roman" w:eastAsia="Times New Roman" w:cs="Times New Roman"/>
                <w:spacing w:val="-4"/>
              </w:rPr>
              <w:t>1</w:t>
            </w:r>
          </w:p>
        </w:tc>
        <w:tc>
          <w:tcPr>
            <w:tcW w:w="6357" w:type="dxa"/>
            <w:gridSpan w:val="2"/>
            <w:tcBorders>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86" w:type="dxa"/>
            <w:tcBorders>
              <w:left w:val="single" w:color="000000" w:sz="2" w:space="0"/>
            </w:tcBorders>
            <w:noWrap w:val="0"/>
            <w:vAlign w:val="top"/>
          </w:tcPr>
          <w:p>
            <w:pPr>
              <w:spacing w:before="235" w:line="188" w:lineRule="auto"/>
              <w:ind w:left="14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12" w:type="dxa"/>
            <w:noWrap w:val="0"/>
            <w:vAlign w:val="top"/>
          </w:tcPr>
          <w:p>
            <w:pPr>
              <w:pStyle w:val="113"/>
              <w:spacing w:before="196" w:line="219" w:lineRule="auto"/>
              <w:ind w:left="535"/>
              <w:rPr>
                <w:rFonts w:ascii="Times New Roman" w:hAnsi="Times New Roman" w:eastAsia="Times New Roman" w:cs="Times New Roman"/>
              </w:rPr>
            </w:pPr>
            <w:r>
              <w:rPr>
                <w:spacing w:val="-4"/>
              </w:rPr>
              <w:t>服务</w:t>
            </w:r>
            <w:r>
              <w:rPr>
                <w:spacing w:val="-31"/>
              </w:rPr>
              <w:t xml:space="preserve"> </w:t>
            </w:r>
            <w:r>
              <w:rPr>
                <w:rFonts w:ascii="Times New Roman" w:hAnsi="Times New Roman" w:eastAsia="Times New Roman" w:cs="Times New Roman"/>
                <w:spacing w:val="-4"/>
              </w:rPr>
              <w:t>1</w:t>
            </w:r>
          </w:p>
        </w:tc>
        <w:tc>
          <w:tcPr>
            <w:tcW w:w="6357" w:type="dxa"/>
            <w:gridSpan w:val="2"/>
            <w:tcBorders>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86" w:type="dxa"/>
            <w:tcBorders>
              <w:left w:val="single" w:color="000000" w:sz="2" w:space="0"/>
            </w:tcBorders>
            <w:noWrap w:val="0"/>
            <w:vAlign w:val="top"/>
          </w:tcPr>
          <w:p>
            <w:pPr>
              <w:spacing w:line="307" w:lineRule="auto"/>
              <w:rPr>
                <w:rFonts w:ascii="Arial"/>
                <w:sz w:val="21"/>
              </w:rPr>
            </w:pPr>
          </w:p>
          <w:p>
            <w:pPr>
              <w:spacing w:before="69" w:line="75" w:lineRule="exact"/>
              <w:ind w:left="102"/>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812" w:type="dxa"/>
            <w:noWrap w:val="0"/>
            <w:vAlign w:val="top"/>
          </w:tcPr>
          <w:p>
            <w:pPr>
              <w:spacing w:line="307" w:lineRule="auto"/>
              <w:rPr>
                <w:rFonts w:ascii="Arial"/>
                <w:sz w:val="21"/>
              </w:rPr>
            </w:pPr>
          </w:p>
          <w:p>
            <w:pPr>
              <w:spacing w:before="69" w:line="75" w:lineRule="exact"/>
              <w:ind w:left="63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6357" w:type="dxa"/>
            <w:gridSpan w:val="2"/>
            <w:tcBorders>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86" w:type="dxa"/>
            <w:tcBorders>
              <w:left w:val="single" w:color="000000" w:sz="2" w:space="0"/>
            </w:tcBorders>
            <w:noWrap w:val="0"/>
            <w:vAlign w:val="top"/>
          </w:tcPr>
          <w:p>
            <w:pPr>
              <w:rPr>
                <w:rFonts w:ascii="Arial"/>
                <w:sz w:val="21"/>
              </w:rPr>
            </w:pPr>
          </w:p>
        </w:tc>
        <w:tc>
          <w:tcPr>
            <w:tcW w:w="1812" w:type="dxa"/>
            <w:noWrap w:val="0"/>
            <w:vAlign w:val="top"/>
          </w:tcPr>
          <w:p>
            <w:pPr>
              <w:pStyle w:val="113"/>
              <w:spacing w:before="197" w:line="220" w:lineRule="auto"/>
              <w:ind w:left="670"/>
            </w:pPr>
            <w:r>
              <w:rPr>
                <w:spacing w:val="-6"/>
              </w:rPr>
              <w:t>其他</w:t>
            </w:r>
          </w:p>
        </w:tc>
        <w:tc>
          <w:tcPr>
            <w:tcW w:w="6357" w:type="dxa"/>
            <w:gridSpan w:val="2"/>
            <w:tcBorders>
              <w:right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60" w:type="dxa"/>
            <w:gridSpan w:val="3"/>
            <w:tcBorders>
              <w:left w:val="single" w:color="000000" w:sz="2" w:space="0"/>
              <w:bottom w:val="single" w:color="000000" w:sz="2" w:space="0"/>
            </w:tcBorders>
            <w:noWrap w:val="0"/>
            <w:vAlign w:val="top"/>
          </w:tcPr>
          <w:p>
            <w:pPr>
              <w:pStyle w:val="113"/>
              <w:spacing w:before="308" w:line="221" w:lineRule="auto"/>
              <w:ind w:left="122"/>
            </w:pPr>
            <w:r>
              <w:rPr>
                <w:spacing w:val="-9"/>
              </w:rPr>
              <w:t>总</w:t>
            </w:r>
            <w:r>
              <w:rPr>
                <w:spacing w:val="10"/>
              </w:rPr>
              <w:t xml:space="preserve"> </w:t>
            </w:r>
            <w:r>
              <w:rPr>
                <w:spacing w:val="-9"/>
              </w:rPr>
              <w:t>计：</w:t>
            </w:r>
          </w:p>
        </w:tc>
        <w:tc>
          <w:tcPr>
            <w:tcW w:w="1795" w:type="dxa"/>
            <w:tcBorders>
              <w:bottom w:val="single" w:color="000000" w:sz="2" w:space="0"/>
              <w:right w:val="single" w:color="000000" w:sz="2" w:space="0"/>
            </w:tcBorders>
            <w:noWrap w:val="0"/>
            <w:vAlign w:val="top"/>
          </w:tcPr>
          <w:p>
            <w:pPr>
              <w:rPr>
                <w:rFonts w:ascii="Arial"/>
                <w:sz w:val="21"/>
              </w:rPr>
            </w:pPr>
          </w:p>
        </w:tc>
      </w:tr>
    </w:tbl>
    <w:p>
      <w:pPr>
        <w:pStyle w:val="128"/>
        <w:adjustRightInd w:val="0"/>
        <w:snapToGrid w:val="0"/>
        <w:spacing w:line="500" w:lineRule="exact"/>
        <w:ind w:left="-88" w:leftChars="-42"/>
        <w:rPr>
          <w:rFonts w:hint="eastAsia" w:ascii="宋体" w:hAnsi="宋体" w:eastAsia="宋体" w:cs="宋体"/>
          <w:color w:val="auto"/>
          <w:sz w:val="24"/>
          <w:szCs w:val="24"/>
          <w:highlight w:val="none"/>
        </w:rPr>
      </w:pPr>
    </w:p>
    <w:p>
      <w:pPr>
        <w:pStyle w:val="128"/>
        <w:adjustRightInd w:val="0"/>
        <w:snapToGrid w:val="0"/>
        <w:spacing w:line="50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所有价格均用人民币表示，单位为元。</w:t>
      </w:r>
    </w:p>
    <w:p>
      <w:pPr>
        <w:pStyle w:val="128"/>
        <w:adjustRightInd w:val="0"/>
        <w:snapToGrid w:val="0"/>
        <w:spacing w:line="500" w:lineRule="exact"/>
        <w:ind w:left="-88" w:leftChars="-42"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2.分项报价总计价格必须与《开标一览表》报价一致。</w:t>
      </w:r>
    </w:p>
    <w:p>
      <w:pPr>
        <w:pStyle w:val="128"/>
        <w:adjustRightInd w:val="0"/>
        <w:snapToGrid w:val="0"/>
        <w:spacing w:line="500" w:lineRule="exact"/>
        <w:ind w:left="19" w:leftChars="9" w:firstLine="626" w:firstLineChars="2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3.供应商自行填报分项报价表，如果不提供详细的投标分项报价表将被视为没有实质性响应磋商文件。</w:t>
      </w:r>
    </w:p>
    <w:p>
      <w:pPr>
        <w:pStyle w:val="128"/>
        <w:adjustRightInd w:val="0"/>
        <w:snapToGrid w:val="0"/>
        <w:spacing w:line="500" w:lineRule="exact"/>
        <w:ind w:left="19" w:leftChars="9" w:firstLine="626" w:firstLineChars="2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供应商必须按此表格式中的对应栏目内容填写，若需增加栏目，请在栏目“其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”中填写，并作详细说明。</w:t>
      </w:r>
    </w:p>
    <w:p>
      <w:pPr>
        <w:pStyle w:val="14"/>
        <w:spacing w:line="302" w:lineRule="auto"/>
        <w:rPr>
          <w:rFonts w:hint="eastAsia" w:ascii="宋体" w:hAnsi="宋体" w:eastAsia="宋体" w:cs="宋体"/>
        </w:rPr>
      </w:pPr>
    </w:p>
    <w:p>
      <w:pPr>
        <w:pStyle w:val="14"/>
        <w:spacing w:line="303" w:lineRule="auto"/>
        <w:rPr>
          <w:rFonts w:hint="eastAsia" w:ascii="宋体" w:hAnsi="宋体" w:eastAsia="宋体" w:cs="宋体"/>
        </w:rPr>
      </w:pPr>
    </w:p>
    <w:p>
      <w:pPr>
        <w:pStyle w:val="14"/>
        <w:spacing w:line="303" w:lineRule="auto"/>
        <w:rPr>
          <w:rFonts w:hint="eastAsia" w:ascii="宋体" w:hAnsi="宋体" w:eastAsia="宋体" w:cs="宋体"/>
        </w:rPr>
      </w:pPr>
    </w:p>
    <w:p>
      <w:pPr>
        <w:pStyle w:val="12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u w:val="single"/>
        </w:rPr>
        <w:t xml:space="preserve">                       </w:t>
      </w:r>
    </w:p>
    <w:p>
      <w:pPr>
        <w:pStyle w:val="12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u w:val="single"/>
        </w:rPr>
        <w:t xml:space="preserve">                 </w:t>
      </w:r>
    </w:p>
    <w:p>
      <w:pPr>
        <w:pStyle w:val="12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14"/>
        <w:spacing w:line="386" w:lineRule="auto"/>
      </w:pPr>
    </w:p>
    <w:p>
      <w:pPr>
        <w:pStyle w:val="14"/>
        <w:spacing w:line="386" w:lineRule="auto"/>
        <w:rPr>
          <w:rFonts w:hint="eastAsia"/>
          <w:lang w:val="en-US" w:eastAsia="zh-CN"/>
        </w:rPr>
      </w:pPr>
    </w:p>
    <w:p>
      <w:pPr>
        <w:pStyle w:val="14"/>
        <w:spacing w:line="386" w:lineRule="auto"/>
        <w:rPr>
          <w:rFonts w:hint="eastAsia"/>
          <w:lang w:val="en-US" w:eastAsia="zh-CN"/>
        </w:rPr>
      </w:pPr>
    </w:p>
    <w:p>
      <w:pPr>
        <w:spacing w:before="101" w:line="225" w:lineRule="auto"/>
        <w:outlineLvl w:val="2"/>
        <w:rPr>
          <w:rFonts w:ascii="宋体" w:hAnsi="宋体" w:eastAsia="宋体" w:cs="宋体"/>
          <w:b/>
          <w:bCs/>
          <w:sz w:val="31"/>
          <w:szCs w:val="31"/>
        </w:rPr>
      </w:pPr>
      <w:r>
        <w:rPr>
          <w:rFonts w:ascii="宋体" w:hAnsi="宋体" w:eastAsia="宋体" w:cs="宋体"/>
          <w:b/>
          <w:bCs/>
          <w:spacing w:val="6"/>
          <w:sz w:val="31"/>
          <w:szCs w:val="31"/>
        </w:rPr>
        <w:t>四、商务技术响应文件</w:t>
      </w: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16"/>
        <w:jc w:val="both"/>
        <w:outlineLvl w:val="0"/>
        <w:rPr>
          <w:rFonts w:hint="eastAsia" w:ascii="宋体" w:hAnsi="宋体" w:eastAsia="宋体" w:cs="宋体"/>
          <w:color w:val="auto"/>
          <w:highlight w:val="none"/>
        </w:rPr>
      </w:pPr>
      <w:bookmarkStart w:id="311" w:name="_Toc21420"/>
      <w:bookmarkStart w:id="312" w:name="_Toc10904"/>
      <w:r>
        <w:rPr>
          <w:rFonts w:hint="eastAsia" w:ascii="宋体" w:hAnsi="宋体" w:eastAsia="宋体" w:cs="宋体"/>
          <w:b/>
          <w:bCs/>
          <w:color w:val="auto"/>
          <w:sz w:val="32"/>
          <w:szCs w:val="36"/>
          <w:highlight w:val="none"/>
          <w:lang w:eastAsia="zh-CN"/>
        </w:rPr>
        <w:t>（</w:t>
      </w:r>
      <w:r>
        <w:rPr>
          <w:rFonts w:hint="eastAsia" w:ascii="宋体" w:hAnsi="宋体" w:eastAsia="宋体" w:cs="宋体"/>
          <w:b/>
          <w:bCs/>
          <w:color w:val="auto"/>
          <w:sz w:val="32"/>
          <w:szCs w:val="36"/>
          <w:highlight w:val="none"/>
          <w:lang w:val="en-US" w:eastAsia="zh-CN"/>
        </w:rPr>
        <w:t>一）</w:t>
      </w:r>
      <w:r>
        <w:rPr>
          <w:rFonts w:hint="eastAsia" w:ascii="宋体" w:hAnsi="宋体" w:eastAsia="宋体" w:cs="宋体"/>
          <w:b/>
          <w:bCs/>
          <w:color w:val="auto"/>
          <w:sz w:val="32"/>
          <w:szCs w:val="36"/>
          <w:highlight w:val="none"/>
          <w:lang w:eastAsia="zh-CN"/>
        </w:rPr>
        <w:t>★</w:t>
      </w:r>
      <w:r>
        <w:rPr>
          <w:rFonts w:hint="eastAsia" w:ascii="宋体" w:hAnsi="宋体" w:eastAsia="宋体" w:cs="宋体"/>
          <w:color w:val="auto"/>
          <w:highlight w:val="none"/>
        </w:rPr>
        <w:t>投标函</w:t>
      </w:r>
      <w:bookmarkEnd w:id="311"/>
      <w:bookmarkEnd w:id="312"/>
    </w:p>
    <w:p>
      <w:pPr>
        <w:pStyle w:val="117"/>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17"/>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采购人）</w:t>
      </w:r>
      <w:r>
        <w:rPr>
          <w:rFonts w:hint="eastAsia" w:ascii="宋体" w:hAnsi="宋体" w:eastAsia="宋体" w:cs="宋体"/>
          <w:color w:val="auto"/>
          <w:sz w:val="24"/>
          <w:highlight w:val="none"/>
        </w:rPr>
        <w:t>：</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(投标人授权代理人姓名)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(职务、职称)为我方代表，参加贵方组织的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(项目名称、项目编号)招标的有关活动，并对此项目进行投标。为此：</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文件中规定的投标有效期内遵守本投标文件中的承诺且在此期限期满之前均具有约束力。</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2、我方承诺已经具备《中华人民共和国政府采购法》中规定的参加政府采购活动的供应商应当具备的条件：</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5）参加此项采购活动前三年内，在经营活动中没有重大违法记录；</w:t>
      </w:r>
    </w:p>
    <w:p>
      <w:pPr>
        <w:pStyle w:val="1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3、提供投标人须知规定的全部投标文件。</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right="-307" w:rightChars="-146"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要求提供和交付的货物及相关服务的投标报价详见开标一览表。</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5、保证忠实地执行双方所签订的合同，并承担合同规定的责任和义务。</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6、我方承诺完全满足和响应</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中的各项技术和服务要求，若有偏差，已在投标文件偏离表中予以明确特别说明。</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7、我方承诺：完全理解投标报价若超过</w:t>
      </w:r>
      <w:r>
        <w:rPr>
          <w:rFonts w:hint="eastAsia" w:ascii="宋体" w:hAnsi="宋体" w:eastAsia="宋体" w:cs="宋体"/>
          <w:color w:val="auto"/>
          <w:sz w:val="24"/>
          <w:highlight w:val="none"/>
          <w:lang w:eastAsia="zh-CN"/>
        </w:rPr>
        <w:t>最高限价</w:t>
      </w:r>
      <w:r>
        <w:rPr>
          <w:rFonts w:hint="eastAsia" w:ascii="宋体" w:hAnsi="宋体" w:eastAsia="宋体" w:cs="宋体"/>
          <w:color w:val="auto"/>
          <w:sz w:val="24"/>
          <w:highlight w:val="none"/>
        </w:rPr>
        <w:t>时，投标将被拒绝。</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8、我方承诺：与在本项目中设计编制技术规格的机构及其附属机构无任何直接隶属关系和利益关联。</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9、如果在开标后规定的投标有效期内撤回投标，我方的投标保证金可被贵方没收。</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10、我方完全理解贵方不一定接受最低价的投标或收到的任何投标。</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12、我方已详细审核全部投标文件，包括投标文件修改书（如有的话）、参考资料及有关附件，确认无误。</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13、我方承诺：采购人若需追加采购本项目</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所列货物及相关服务的，在不改变合同其他实质性条款的前提下，按相同或更优惠的折扣率保证供货。</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14、我方承诺：如所报货物属国家强制认证产品的，均已通过认证且在有效期内，否则，由此产生的一切法律责任由我方承担。</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15、我方承诺：接受</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中的全部条款且无任何异议，保证遵守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的规定。</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2）采取不正当手段诋毁、排挤其他供应商的；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3）与采购人、其他供应商或者采购代理机构工作人员恶意串通的；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4）向采购人、采购代理机构工作人员行贿或者提供其他不正当利益的；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5）在采购过程中与采购人进行协商谈判的；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6）拒绝有关部门监督检查或提供虚假情况的。</w:t>
      </w:r>
    </w:p>
    <w:p>
      <w:pPr>
        <w:pStyle w:val="118"/>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17、</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与本投标有关的一切往来通讯请寄：</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u w:val="single"/>
          <w:lang w:val="en-US" w:eastAsia="zh-CN"/>
        </w:rPr>
        <w:t xml:space="preserve">                                 </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投标人法定代表人或授权代理人联系电话，e-mail：</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电子签</w:t>
      </w:r>
      <w:r>
        <w:rPr>
          <w:rFonts w:hint="eastAsia" w:ascii="宋体" w:hAnsi="宋体" w:eastAsia="宋体" w:cs="宋体"/>
          <w:color w:val="auto"/>
          <w:sz w:val="24"/>
          <w:highlight w:val="none"/>
          <w:lang w:eastAsia="zh-CN"/>
        </w:rPr>
        <w:t>章）</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eastAsia="zh-CN"/>
        </w:rPr>
        <w:t>：（电子签章）</w:t>
      </w:r>
    </w:p>
    <w:p>
      <w:pPr>
        <w:pStyle w:val="117"/>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pStyle w:val="117"/>
        <w:widowControl/>
        <w:spacing w:line="360" w:lineRule="auto"/>
        <w:ind w:left="0" w:leftChars="0"/>
        <w:rPr>
          <w:rFonts w:hint="eastAsia" w:ascii="宋体" w:hAnsi="宋体" w:eastAsia="宋体" w:cs="宋体"/>
          <w:color w:val="auto"/>
          <w:sz w:val="24"/>
          <w:highlight w:val="none"/>
        </w:rPr>
      </w:pPr>
    </w:p>
    <w:p>
      <w:pPr>
        <w:pStyle w:val="14"/>
        <w:spacing w:line="386" w:lineRule="auto"/>
        <w:rPr>
          <w:rFonts w:hint="eastAsia" w:ascii="宋体" w:hAnsi="宋体" w:eastAsia="宋体" w:cs="宋体"/>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spacing w:before="91" w:line="219" w:lineRule="auto"/>
        <w:rPr>
          <w:rFonts w:ascii="宋体" w:hAnsi="宋体" w:eastAsia="宋体" w:cs="宋体"/>
          <w:b/>
          <w:bCs/>
          <w:sz w:val="28"/>
          <w:szCs w:val="28"/>
        </w:rPr>
      </w:pPr>
      <w:r>
        <w:rPr>
          <w:rFonts w:hint="eastAsia" w:ascii="宋体" w:hAnsi="宋体" w:cs="宋体"/>
          <w:b/>
          <w:bCs/>
          <w:spacing w:val="-1"/>
          <w:sz w:val="28"/>
          <w:szCs w:val="28"/>
          <w:lang w:eastAsia="zh-CN"/>
        </w:rPr>
        <w:t>（</w:t>
      </w:r>
      <w:r>
        <w:rPr>
          <w:rFonts w:ascii="宋体" w:hAnsi="宋体" w:eastAsia="宋体" w:cs="宋体"/>
          <w:b/>
          <w:bCs/>
          <w:spacing w:val="-1"/>
          <w:sz w:val="28"/>
          <w:szCs w:val="28"/>
        </w:rPr>
        <w:t>二）投标供应商声明函</w:t>
      </w:r>
    </w:p>
    <w:p>
      <w:pPr>
        <w:pStyle w:val="14"/>
        <w:spacing w:line="309" w:lineRule="auto"/>
      </w:pPr>
    </w:p>
    <w:p>
      <w:pPr>
        <w:spacing w:before="78" w:line="219" w:lineRule="auto"/>
        <w:ind w:left="436"/>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3"/>
          <w:sz w:val="24"/>
          <w:szCs w:val="24"/>
          <w:u w:val="single" w:color="auto"/>
        </w:rPr>
        <w:t>采购人名称）</w:t>
      </w:r>
      <w:r>
        <w:rPr>
          <w:rFonts w:ascii="宋体" w:hAnsi="宋体" w:eastAsia="宋体" w:cs="宋体"/>
          <w:sz w:val="24"/>
          <w:szCs w:val="24"/>
          <w:u w:val="single" w:color="auto"/>
        </w:rPr>
        <w:t xml:space="preserve">  </w:t>
      </w:r>
    </w:p>
    <w:p>
      <w:pPr>
        <w:pStyle w:val="14"/>
        <w:spacing w:line="285" w:lineRule="auto"/>
      </w:pPr>
    </w:p>
    <w:p>
      <w:pPr>
        <w:keepNext w:val="0"/>
        <w:keepLines w:val="0"/>
        <w:pageBreakBefore w:val="0"/>
        <w:widowControl w:val="0"/>
        <w:kinsoku/>
        <w:wordWrap/>
        <w:overflowPunct/>
        <w:topLinePunct w:val="0"/>
        <w:autoSpaceDE/>
        <w:autoSpaceDN/>
        <w:bidi w:val="0"/>
        <w:adjustRightInd/>
        <w:snapToGrid/>
        <w:spacing w:before="78" w:line="240" w:lineRule="auto"/>
        <w:ind w:firstLine="476" w:firstLineChars="200"/>
        <w:textAlignment w:val="auto"/>
        <w:rPr>
          <w:rFonts w:ascii="宋体" w:hAnsi="宋体" w:eastAsia="宋体" w:cs="宋体"/>
          <w:sz w:val="24"/>
          <w:szCs w:val="24"/>
        </w:rPr>
      </w:pPr>
      <w:r>
        <w:rPr>
          <w:rFonts w:ascii="宋体" w:hAnsi="宋体" w:eastAsia="宋体" w:cs="宋体"/>
          <w:spacing w:val="-1"/>
          <w:sz w:val="24"/>
          <w:szCs w:val="24"/>
        </w:rPr>
        <w:t>在参与本次项目投标中，我单位郑重承诺：</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8" w:firstLineChars="200"/>
        <w:textAlignment w:val="auto"/>
        <w:rPr>
          <w:rFonts w:ascii="宋体" w:hAnsi="宋体" w:eastAsia="宋体" w:cs="宋体"/>
          <w:sz w:val="24"/>
          <w:szCs w:val="24"/>
        </w:rPr>
      </w:pPr>
      <w:r>
        <w:rPr>
          <w:rFonts w:ascii="宋体" w:hAnsi="宋体" w:eastAsia="宋体" w:cs="宋体"/>
          <w:spacing w:val="-3"/>
          <w:sz w:val="24"/>
          <w:szCs w:val="24"/>
        </w:rPr>
        <w:t>我单位参与采购活动前三年内在经营活</w:t>
      </w:r>
      <w:r>
        <w:rPr>
          <w:rFonts w:ascii="宋体" w:hAnsi="宋体" w:eastAsia="宋体" w:cs="宋体"/>
          <w:spacing w:val="-4"/>
          <w:sz w:val="24"/>
          <w:szCs w:val="24"/>
        </w:rPr>
        <w:t>动中没有因违法经营受到刑事处罚或者</w:t>
      </w:r>
      <w:r>
        <w:rPr>
          <w:rFonts w:ascii="宋体" w:hAnsi="宋体" w:eastAsia="宋体" w:cs="宋体"/>
          <w:spacing w:val="-12"/>
          <w:sz w:val="24"/>
          <w:szCs w:val="24"/>
        </w:rPr>
        <w:t>责令停产停业、吊销许可证或者执照、较大数额罚款等行政处罚（</w:t>
      </w:r>
      <w:r>
        <w:rPr>
          <w:rFonts w:ascii="宋体" w:hAnsi="宋体" w:eastAsia="宋体" w:cs="宋体"/>
          <w:spacing w:val="-13"/>
          <w:sz w:val="24"/>
          <w:szCs w:val="24"/>
        </w:rPr>
        <w:t>如果因违法经营被禁止</w:t>
      </w:r>
      <w:r>
        <w:rPr>
          <w:rFonts w:ascii="宋体" w:hAnsi="宋体" w:eastAsia="宋体" w:cs="宋体"/>
          <w:spacing w:val="-7"/>
          <w:sz w:val="24"/>
          <w:szCs w:val="24"/>
        </w:rPr>
        <w:t>在一定期限内参加政府采购活动，期限已经</w:t>
      </w:r>
      <w:r>
        <w:rPr>
          <w:rFonts w:ascii="宋体" w:hAnsi="宋体" w:eastAsia="宋体" w:cs="宋体"/>
          <w:spacing w:val="-8"/>
          <w:sz w:val="24"/>
          <w:szCs w:val="24"/>
        </w:rPr>
        <w:t>届满。）</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我单位具有履行合同所必需的专业技术能力，并在规定工作时间内有能力调配较强工作力量，按时保质完成相关工作任务。</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我单位不存在单位负责人为同一人同时参加本项目投标的情况。</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我单位不存在直接控股、管理关系的不同供应商同时参与本项目投标的情况。</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我单位不存在为采购项目提供整体设计、规范编制或者项目管理、监理、检测等服务后，再参加该采购项目的其他采购活动的情形。</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我单位未被列入“全国企业信用信息公示系统 ”的经营异常名录或者严重违法企业名单。</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我单位在投标过程中，不存在向采购人提供、给予任何有价值的物品，试图影响其正常决策的行为。</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我单位严格遵守国家及行业相关用工标准，做到合理合法用工。</w:t>
      </w:r>
    </w:p>
    <w:p>
      <w:pPr>
        <w:keepNext w:val="0"/>
        <w:keepLines w:val="0"/>
        <w:pageBreakBefore w:val="0"/>
        <w:widowControl w:val="0"/>
        <w:numPr>
          <w:ilvl w:val="0"/>
          <w:numId w:val="5"/>
        </w:numPr>
        <w:kinsoku/>
        <w:wordWrap/>
        <w:overflowPunct/>
        <w:topLinePunct w:val="0"/>
        <w:autoSpaceDE/>
        <w:autoSpaceDN/>
        <w:bidi w:val="0"/>
        <w:adjustRightInd/>
        <w:snapToGrid/>
        <w:spacing w:before="184" w:line="240" w:lineRule="auto"/>
        <w:ind w:right="56"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本项目所有岗位涉及工作人员在提供服务过程中，经采购人评价不具备工作能力的，我单位将无条件调换。</w:t>
      </w:r>
    </w:p>
    <w:p>
      <w:pPr>
        <w:keepNext w:val="0"/>
        <w:keepLines w:val="0"/>
        <w:pageBreakBefore w:val="0"/>
        <w:widowControl w:val="0"/>
        <w:kinsoku/>
        <w:wordWrap/>
        <w:overflowPunct/>
        <w:topLinePunct w:val="0"/>
        <w:autoSpaceDE/>
        <w:autoSpaceDN/>
        <w:bidi w:val="0"/>
        <w:adjustRightInd/>
        <w:snapToGrid/>
        <w:spacing w:before="183" w:line="240" w:lineRule="auto"/>
        <w:ind w:right="58" w:firstLine="480" w:firstLineChars="200"/>
        <w:textAlignment w:val="auto"/>
        <w:rPr>
          <w:rFonts w:ascii="宋体" w:hAnsi="宋体" w:eastAsia="宋体" w:cs="宋体"/>
          <w:sz w:val="24"/>
          <w:szCs w:val="24"/>
        </w:rPr>
      </w:pPr>
      <w:r>
        <w:rPr>
          <w:rFonts w:ascii="宋体" w:hAnsi="宋体" w:eastAsia="宋体" w:cs="宋体"/>
          <w:sz w:val="24"/>
          <w:szCs w:val="24"/>
        </w:rPr>
        <w:t>若采购人、采购代理机构在本项目采购过程中发现我单位存在违反上述承诺的事项，我单位将自动失去在本项目的成交资格，并承担因此引起的一切后果及虚假投标</w:t>
      </w:r>
      <w:r>
        <w:rPr>
          <w:rFonts w:ascii="宋体" w:hAnsi="宋体" w:eastAsia="宋体" w:cs="宋体"/>
          <w:spacing w:val="-6"/>
          <w:sz w:val="24"/>
          <w:szCs w:val="24"/>
        </w:rPr>
        <w:t>责任。</w:t>
      </w:r>
    </w:p>
    <w:p>
      <w:pPr>
        <w:pStyle w:val="1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p>
    <w:p>
      <w:pPr>
        <w:pStyle w:val="1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before="183" w:line="240" w:lineRule="auto"/>
        <w:ind w:right="58"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投标人电子签章</w:t>
      </w:r>
      <w:r>
        <w:rPr>
          <w:rFonts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183" w:line="240" w:lineRule="auto"/>
        <w:ind w:right="58" w:firstLine="480" w:firstLineChars="200"/>
        <w:textAlignment w:val="auto"/>
        <w:rPr>
          <w:rFonts w:ascii="宋体" w:hAnsi="宋体" w:eastAsia="宋体" w:cs="宋体"/>
          <w:sz w:val="24"/>
          <w:szCs w:val="24"/>
        </w:rPr>
      </w:pPr>
      <w:r>
        <w:rPr>
          <w:rFonts w:ascii="宋体" w:hAnsi="宋体" w:eastAsia="宋体" w:cs="宋体"/>
          <w:sz w:val="24"/>
          <w:szCs w:val="24"/>
        </w:rPr>
        <w:t>投标人法定代表人电子签章：</w:t>
      </w:r>
    </w:p>
    <w:p>
      <w:pPr>
        <w:keepNext w:val="0"/>
        <w:keepLines w:val="0"/>
        <w:pageBreakBefore w:val="0"/>
        <w:widowControl w:val="0"/>
        <w:kinsoku/>
        <w:wordWrap/>
        <w:overflowPunct/>
        <w:topLinePunct w:val="0"/>
        <w:autoSpaceDE/>
        <w:autoSpaceDN/>
        <w:bidi w:val="0"/>
        <w:adjustRightInd/>
        <w:snapToGrid/>
        <w:spacing w:before="183" w:line="240" w:lineRule="auto"/>
        <w:ind w:right="58" w:firstLine="480" w:firstLineChars="200"/>
        <w:textAlignment w:val="auto"/>
        <w:rPr>
          <w:rFonts w:ascii="宋体" w:hAnsi="宋体" w:eastAsia="宋体" w:cs="宋体"/>
          <w:sz w:val="24"/>
          <w:szCs w:val="24"/>
        </w:rPr>
      </w:pPr>
      <w:r>
        <w:rPr>
          <w:rFonts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before="183" w:line="240" w:lineRule="auto"/>
        <w:textAlignment w:val="auto"/>
        <w:rPr>
          <w:rFonts w:ascii="宋体" w:hAnsi="宋体" w:eastAsia="宋体" w:cs="宋体"/>
          <w:sz w:val="24"/>
          <w:szCs w:val="24"/>
        </w:rPr>
      </w:pPr>
      <w:r>
        <w:rPr>
          <w:rFonts w:ascii="宋体" w:hAnsi="宋体" w:eastAsia="宋体" w:cs="宋体"/>
          <w:b/>
          <w:bCs/>
          <w:sz w:val="24"/>
          <w:szCs w:val="24"/>
        </w:rPr>
        <w:t>（注：供应商实际情况如与上述承诺内容不符的，请如实说明，不得虚假承诺</w:t>
      </w:r>
      <w:r>
        <w:rPr>
          <w:rFonts w:hint="eastAsia" w:ascii="宋体" w:hAnsi="宋体" w:cs="宋体"/>
          <w:b/>
          <w:bCs/>
          <w:sz w:val="24"/>
          <w:szCs w:val="24"/>
          <w:lang w:eastAsia="zh-CN"/>
        </w:rPr>
        <w:t>。</w:t>
      </w:r>
      <w:r>
        <w:rPr>
          <w:rFonts w:ascii="宋体" w:hAnsi="宋体" w:eastAsia="宋体" w:cs="宋体"/>
          <w:b/>
          <w:bCs/>
          <w:sz w:val="24"/>
          <w:szCs w:val="24"/>
        </w:rPr>
        <w:t>）</w:t>
      </w:r>
    </w:p>
    <w:p>
      <w:pPr>
        <w:pStyle w:val="14"/>
        <w:spacing w:line="386" w:lineRule="auto"/>
        <w:rPr>
          <w:rFonts w:hint="eastAsia"/>
          <w:lang w:val="en-US" w:eastAsia="zh-CN"/>
        </w:rPr>
      </w:pPr>
    </w:p>
    <w:p>
      <w:pPr>
        <w:pStyle w:val="14"/>
        <w:spacing w:line="386" w:lineRule="auto"/>
        <w:rPr>
          <w:rFonts w:hint="eastAsia"/>
          <w:lang w:val="en-US" w:eastAsia="zh-CN"/>
        </w:rPr>
      </w:pPr>
    </w:p>
    <w:p>
      <w:pPr>
        <w:pStyle w:val="14"/>
        <w:spacing w:line="386" w:lineRule="auto"/>
        <w:rPr>
          <w:rFonts w:hint="eastAsia"/>
          <w:lang w:val="en-US" w:eastAsia="zh-CN"/>
        </w:rPr>
      </w:pPr>
    </w:p>
    <w:p>
      <w:pPr>
        <w:spacing w:before="91" w:line="219" w:lineRule="auto"/>
        <w:outlineLvl w:val="2"/>
        <w:rPr>
          <w:rFonts w:ascii="宋体" w:hAnsi="宋体" w:eastAsia="宋体" w:cs="宋体"/>
          <w:b/>
          <w:bCs/>
          <w:sz w:val="28"/>
          <w:szCs w:val="28"/>
        </w:rPr>
      </w:pPr>
      <w:r>
        <w:rPr>
          <w:rFonts w:ascii="宋体" w:hAnsi="宋体" w:eastAsia="宋体" w:cs="宋体"/>
          <w:b/>
          <w:bCs/>
          <w:sz w:val="28"/>
          <w:szCs w:val="28"/>
        </w:rPr>
        <w:t>（三）供应商自觉抵制政府采购领域商业贿赂行为承诺书</w:t>
      </w:r>
    </w:p>
    <w:p>
      <w:pPr>
        <w:pStyle w:val="14"/>
        <w:spacing w:line="256" w:lineRule="auto"/>
      </w:pPr>
    </w:p>
    <w:p>
      <w:pPr>
        <w:pStyle w:val="14"/>
        <w:spacing w:line="256" w:lineRule="auto"/>
      </w:pP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w:t>
      </w:r>
      <w:r>
        <w:rPr>
          <w:rFonts w:ascii="宋体" w:hAnsi="宋体" w:eastAsia="宋体" w:cs="宋体"/>
          <w:spacing w:val="-1"/>
          <w:sz w:val="24"/>
          <w:szCs w:val="24"/>
        </w:rPr>
        <w:t>护政府采购制度良好声誉，在参与政府采购活动中，我们庄重承诺：</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一、依法参与政府采购活动，遵纪守法，诚信经营，公平竞争。</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二、不向采购单位、采购代理机构和政府采购评审专家提供任何形式的商业贿赂；对索取或接受商业贿赂的单位和个人，及时向财政部门和纪检监察机关举报。</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三、不以提供虚假资质文件等形式参与政府采购活动，不以虚假材料谋取中标或成交。</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四、不采取不正当手段诋毁、排挤其他供应商，与其他参与政府采购活动供应商保持良性的竞争关系。</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五、不与采购单位、采购代理机构和政府采购评审专家恶意串通，自觉维护政府采购公平竞争的市场秩序。</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六、不与其他供应商串通采取围标、陪标等商业欺诈手段谋取中标或成交，积极维护国家利益、社会公共利益和采购单位的合法权益。</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七、严格履行政府采购合同约定义务，不在政府采购合同执行过程中采取降低质量或标准、减少数量、拖延交付时间等方式损害采购单位的利益，并自觉承担违约责任。</w:t>
      </w:r>
    </w:p>
    <w:p>
      <w:pPr>
        <w:spacing w:before="78" w:line="359" w:lineRule="auto"/>
        <w:ind w:right="58" w:firstLine="480" w:firstLineChars="200"/>
        <w:rPr>
          <w:rFonts w:ascii="宋体" w:hAnsi="宋体" w:eastAsia="宋体" w:cs="宋体"/>
          <w:sz w:val="24"/>
          <w:szCs w:val="24"/>
        </w:rPr>
      </w:pPr>
      <w:r>
        <w:rPr>
          <w:rFonts w:ascii="宋体" w:hAnsi="宋体" w:eastAsia="宋体" w:cs="宋体"/>
          <w:sz w:val="24"/>
          <w:szCs w:val="24"/>
        </w:rPr>
        <w:t>八、自觉接受并积极配合财政部门和纪检监察机关依法实施的监督检查，如实反映情况，及时提供有关证明材料。</w:t>
      </w:r>
    </w:p>
    <w:p>
      <w:pPr>
        <w:pStyle w:val="14"/>
        <w:spacing w:line="270" w:lineRule="auto"/>
      </w:pPr>
    </w:p>
    <w:p>
      <w:pPr>
        <w:pStyle w:val="14"/>
        <w:spacing w:line="271" w:lineRule="auto"/>
      </w:pPr>
    </w:p>
    <w:p>
      <w:pPr>
        <w:spacing w:before="78" w:line="219" w:lineRule="auto"/>
        <w:ind w:left="919"/>
        <w:rPr>
          <w:rFonts w:ascii="宋体" w:hAnsi="宋体" w:eastAsia="宋体" w:cs="宋体"/>
          <w:sz w:val="24"/>
          <w:szCs w:val="24"/>
        </w:rPr>
      </w:pPr>
      <w:r>
        <w:rPr>
          <w:rFonts w:hint="eastAsia" w:ascii="宋体" w:hAnsi="宋体" w:cs="宋体"/>
          <w:spacing w:val="-2"/>
          <w:sz w:val="24"/>
          <w:szCs w:val="24"/>
          <w:lang w:eastAsia="zh-CN"/>
        </w:rPr>
        <w:t>投标人电子签章</w:t>
      </w:r>
      <w:r>
        <w:rPr>
          <w:rFonts w:ascii="宋体" w:hAnsi="宋体" w:eastAsia="宋体" w:cs="宋体"/>
          <w:spacing w:val="-2"/>
          <w:sz w:val="24"/>
          <w:szCs w:val="24"/>
        </w:rPr>
        <w:t>：</w:t>
      </w:r>
    </w:p>
    <w:p>
      <w:pPr>
        <w:spacing w:before="181" w:line="468" w:lineRule="exact"/>
        <w:ind w:left="919"/>
        <w:rPr>
          <w:rFonts w:ascii="宋体" w:hAnsi="宋体" w:eastAsia="宋体" w:cs="宋体"/>
          <w:sz w:val="24"/>
          <w:szCs w:val="24"/>
        </w:rPr>
      </w:pPr>
      <w:r>
        <w:rPr>
          <w:rFonts w:ascii="宋体" w:hAnsi="宋体" w:eastAsia="宋体" w:cs="宋体"/>
          <w:spacing w:val="-1"/>
          <w:position w:val="17"/>
          <w:sz w:val="24"/>
          <w:szCs w:val="24"/>
        </w:rPr>
        <w:t>投标人法定代表人电子签章：</w:t>
      </w:r>
    </w:p>
    <w:p>
      <w:pPr>
        <w:spacing w:before="1" w:line="219" w:lineRule="auto"/>
        <w:ind w:left="95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spacing w:before="91" w:line="220" w:lineRule="auto"/>
        <w:outlineLvl w:val="2"/>
      </w:pPr>
      <w:r>
        <w:rPr>
          <w:rFonts w:ascii="宋体" w:hAnsi="宋体" w:eastAsia="宋体" w:cs="宋体"/>
          <w:b/>
          <w:bCs/>
          <w:spacing w:val="-1"/>
          <w:sz w:val="28"/>
          <w:szCs w:val="28"/>
        </w:rPr>
        <w:t>（四）中小企业声明函</w:t>
      </w:r>
    </w:p>
    <w:p>
      <w:pPr>
        <w:spacing w:before="101" w:line="225" w:lineRule="auto"/>
        <w:ind w:left="3155"/>
        <w:outlineLvl w:val="0"/>
        <w:rPr>
          <w:rFonts w:ascii="宋体" w:hAnsi="宋体" w:eastAsia="宋体" w:cs="宋体"/>
          <w:sz w:val="31"/>
          <w:szCs w:val="31"/>
        </w:rPr>
      </w:pPr>
      <w:r>
        <w:rPr>
          <w:rFonts w:ascii="宋体" w:hAnsi="宋体" w:eastAsia="宋体" w:cs="宋体"/>
          <w:spacing w:val="6"/>
          <w:sz w:val="31"/>
          <w:szCs w:val="31"/>
        </w:rPr>
        <w:t>中小企业声明函（服务）</w:t>
      </w:r>
    </w:p>
    <w:p>
      <w:pPr>
        <w:pStyle w:val="14"/>
        <w:spacing w:line="255" w:lineRule="auto"/>
      </w:pPr>
    </w:p>
    <w:p>
      <w:pPr>
        <w:keepNext w:val="0"/>
        <w:keepLines w:val="0"/>
        <w:pageBreakBefore w:val="0"/>
        <w:widowControl w:val="0"/>
        <w:kinsoku/>
        <w:wordWrap/>
        <w:overflowPunct/>
        <w:topLinePunct w:val="0"/>
        <w:autoSpaceDE/>
        <w:autoSpaceDN/>
        <w:bidi w:val="0"/>
        <w:adjustRightInd/>
        <w:snapToGrid/>
        <w:spacing w:before="78" w:line="360" w:lineRule="auto"/>
        <w:ind w:right="77" w:firstLine="456" w:firstLineChars="200"/>
        <w:textAlignment w:val="auto"/>
        <w:rPr>
          <w:rFonts w:ascii="宋体" w:hAnsi="宋体" w:eastAsia="宋体" w:cs="宋体"/>
          <w:sz w:val="24"/>
          <w:szCs w:val="24"/>
        </w:rPr>
      </w:pPr>
      <w:r>
        <w:rPr>
          <w:rFonts w:ascii="宋体" w:hAnsi="宋体" w:eastAsia="宋体" w:cs="宋体"/>
          <w:spacing w:val="-6"/>
          <w:sz w:val="24"/>
          <w:szCs w:val="24"/>
        </w:rPr>
        <w:t>本公司（联合体）郑重声明，根据《政府采购促进中小企业发展管理办法》（</w:t>
      </w:r>
      <w:r>
        <w:rPr>
          <w:rFonts w:ascii="宋体" w:hAnsi="宋体" w:eastAsia="宋体" w:cs="宋体"/>
          <w:spacing w:val="-7"/>
          <w:sz w:val="24"/>
          <w:szCs w:val="24"/>
        </w:rPr>
        <w:t>财库</w:t>
      </w:r>
      <w:r>
        <w:rPr>
          <w:rFonts w:ascii="宋体" w:hAnsi="宋体" w:eastAsia="宋体" w:cs="宋体"/>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2020</w:t>
      </w:r>
      <w:r>
        <w:rPr>
          <w:rFonts w:ascii="宋体" w:hAnsi="宋体" w:eastAsia="宋体" w:cs="宋体"/>
          <w:spacing w:val="-4"/>
          <w:sz w:val="24"/>
          <w:szCs w:val="24"/>
        </w:rPr>
        <w:t>﹞</w:t>
      </w:r>
      <w:r>
        <w:rPr>
          <w:rFonts w:ascii="Times New Roman" w:hAnsi="Times New Roman" w:eastAsia="Times New Roman" w:cs="Times New Roman"/>
          <w:spacing w:val="-4"/>
          <w:sz w:val="24"/>
          <w:szCs w:val="24"/>
        </w:rPr>
        <w:t>46</w:t>
      </w:r>
      <w:r>
        <w:rPr>
          <w:rFonts w:ascii="宋体" w:hAnsi="宋体" w:eastAsia="宋体" w:cs="宋体"/>
          <w:spacing w:val="-4"/>
          <w:sz w:val="24"/>
          <w:szCs w:val="24"/>
        </w:rPr>
        <w:t>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（项目名称）</w:t>
      </w:r>
      <w:r>
        <w:rPr>
          <w:rFonts w:ascii="宋体" w:hAnsi="宋体" w:eastAsia="宋体" w:cs="宋体"/>
          <w:spacing w:val="-4"/>
          <w:sz w:val="24"/>
          <w:szCs w:val="24"/>
        </w:rPr>
        <w:t>采购活</w:t>
      </w:r>
      <w:r>
        <w:rPr>
          <w:rFonts w:ascii="宋体" w:hAnsi="宋体" w:eastAsia="宋体" w:cs="宋体"/>
          <w:spacing w:val="-3"/>
          <w:sz w:val="24"/>
          <w:szCs w:val="24"/>
        </w:rPr>
        <w:t>动，服务全部由符合政策要求的中小企业承接。相关企业（含联合体中的中小企业、</w:t>
      </w:r>
      <w:r>
        <w:rPr>
          <w:rFonts w:ascii="宋体" w:hAnsi="宋体" w:eastAsia="宋体" w:cs="宋体"/>
          <w:spacing w:val="-4"/>
          <w:sz w:val="24"/>
          <w:szCs w:val="24"/>
        </w:rPr>
        <w:t>签订分包意向协议的中小企业）的具体情况如</w:t>
      </w:r>
      <w:r>
        <w:rPr>
          <w:rFonts w:ascii="宋体" w:hAnsi="宋体" w:eastAsia="宋体" w:cs="宋体"/>
          <w:spacing w:val="-5"/>
          <w:sz w:val="24"/>
          <w:szCs w:val="24"/>
        </w:rPr>
        <w:t>下：</w:t>
      </w:r>
    </w:p>
    <w:p>
      <w:pPr>
        <w:keepNext w:val="0"/>
        <w:keepLines w:val="0"/>
        <w:pageBreakBefore w:val="0"/>
        <w:widowControl w:val="0"/>
        <w:kinsoku/>
        <w:wordWrap/>
        <w:overflowPunct/>
        <w:topLinePunct w:val="0"/>
        <w:autoSpaceDE/>
        <w:autoSpaceDN/>
        <w:bidi w:val="0"/>
        <w:adjustRightInd/>
        <w:snapToGrid/>
        <w:spacing w:before="275" w:line="360" w:lineRule="auto"/>
        <w:ind w:right="82" w:firstLine="460" w:firstLineChars="200"/>
        <w:textAlignment w:val="auto"/>
        <w:rPr>
          <w:rFonts w:ascii="宋体" w:hAnsi="宋体" w:eastAsia="宋体" w:cs="宋体"/>
          <w:sz w:val="24"/>
          <w:szCs w:val="24"/>
        </w:rPr>
      </w:pPr>
      <w:r>
        <w:rPr>
          <w:rFonts w:ascii="Times New Roman" w:hAnsi="Times New Roman" w:eastAsia="Times New Roman" w:cs="Times New Roman"/>
          <w:spacing w:val="-5"/>
          <w:sz w:val="24"/>
          <w:szCs w:val="24"/>
        </w:rPr>
        <w:t>1.</w:t>
      </w:r>
      <w:r>
        <w:rPr>
          <w:rFonts w:ascii="宋体" w:hAnsi="宋体" w:eastAsia="宋体" w:cs="宋体"/>
          <w:spacing w:val="-5"/>
          <w:sz w:val="24"/>
          <w:szCs w:val="24"/>
          <w:u w:val="single" w:color="auto"/>
        </w:rPr>
        <w:t>（标的名称</w:t>
      </w:r>
      <w:r>
        <w:rPr>
          <w:rFonts w:ascii="宋体" w:hAnsi="宋体" w:eastAsia="宋体" w:cs="宋体"/>
          <w:spacing w:val="-4"/>
          <w:sz w:val="24"/>
          <w:szCs w:val="24"/>
          <w:u w:val="single" w:color="auto"/>
        </w:rPr>
        <w:t>）</w:t>
      </w:r>
      <w:r>
        <w:rPr>
          <w:rFonts w:ascii="宋体" w:hAnsi="宋体" w:eastAsia="宋体" w:cs="宋体"/>
          <w:spacing w:val="-4"/>
          <w:sz w:val="24"/>
          <w:szCs w:val="24"/>
        </w:rPr>
        <w:t>，</w:t>
      </w:r>
      <w:r>
        <w:rPr>
          <w:rFonts w:ascii="宋体" w:hAnsi="宋体" w:eastAsia="宋体" w:cs="宋体"/>
          <w:spacing w:val="-5"/>
          <w:sz w:val="24"/>
          <w:szCs w:val="24"/>
        </w:rPr>
        <w:t>属于</w:t>
      </w:r>
      <w:r>
        <w:rPr>
          <w:rFonts w:ascii="宋体" w:hAnsi="宋体" w:eastAsia="宋体" w:cs="宋体"/>
          <w:spacing w:val="-5"/>
          <w:sz w:val="24"/>
          <w:szCs w:val="24"/>
          <w:u w:val="single" w:color="auto"/>
        </w:rPr>
        <w:t>（采购文件中明确的所属行业</w:t>
      </w:r>
      <w:r>
        <w:rPr>
          <w:rFonts w:ascii="宋体" w:hAnsi="宋体" w:eastAsia="宋体" w:cs="宋体"/>
          <w:spacing w:val="-4"/>
          <w:sz w:val="24"/>
          <w:szCs w:val="24"/>
          <w:u w:val="single" w:color="auto"/>
        </w:rPr>
        <w:t>）</w:t>
      </w:r>
      <w:r>
        <w:rPr>
          <w:rFonts w:ascii="宋体" w:hAnsi="宋体" w:eastAsia="宋体" w:cs="宋体"/>
          <w:spacing w:val="-4"/>
          <w:sz w:val="24"/>
          <w:szCs w:val="24"/>
        </w:rPr>
        <w:t>；</w:t>
      </w:r>
      <w:r>
        <w:rPr>
          <w:rFonts w:ascii="宋体" w:hAnsi="宋体" w:eastAsia="宋体" w:cs="宋体"/>
          <w:spacing w:val="-5"/>
          <w:sz w:val="24"/>
          <w:szCs w:val="24"/>
        </w:rPr>
        <w:t>制造商为</w:t>
      </w:r>
      <w:r>
        <w:rPr>
          <w:rFonts w:ascii="宋体" w:hAnsi="宋体" w:eastAsia="宋体" w:cs="宋体"/>
          <w:spacing w:val="-5"/>
          <w:sz w:val="24"/>
          <w:szCs w:val="24"/>
          <w:u w:val="single" w:color="auto"/>
        </w:rPr>
        <w:t>（</w:t>
      </w:r>
      <w:r>
        <w:rPr>
          <w:rFonts w:ascii="宋体" w:hAnsi="宋体" w:eastAsia="宋体" w:cs="宋体"/>
          <w:spacing w:val="-6"/>
          <w:sz w:val="24"/>
          <w:szCs w:val="24"/>
          <w:u w:val="single" w:color="auto"/>
        </w:rPr>
        <w:t>企业名称</w:t>
      </w:r>
      <w:r>
        <w:rPr>
          <w:rFonts w:ascii="宋体" w:hAnsi="宋体" w:eastAsia="宋体" w:cs="宋体"/>
          <w:spacing w:val="-4"/>
          <w:sz w:val="24"/>
          <w:szCs w:val="24"/>
          <w:u w:val="single" w:color="auto"/>
        </w:rPr>
        <w:t>）</w:t>
      </w:r>
      <w:r>
        <w:rPr>
          <w:rFonts w:ascii="宋体" w:hAnsi="宋体" w:eastAsia="宋体" w:cs="宋体"/>
          <w:spacing w:val="-4"/>
          <w:sz w:val="24"/>
          <w:szCs w:val="24"/>
        </w:rPr>
        <w:t>，</w:t>
      </w:r>
      <w:r>
        <w:rPr>
          <w:rFonts w:ascii="宋体" w:hAnsi="宋体" w:eastAsia="宋体" w:cs="宋体"/>
          <w:spacing w:val="2"/>
          <w:sz w:val="24"/>
          <w:szCs w:val="24"/>
        </w:rPr>
        <w:t xml:space="preserve"> </w:t>
      </w:r>
      <w:r>
        <w:rPr>
          <w:rFonts w:ascii="宋体" w:hAnsi="宋体" w:eastAsia="宋体" w:cs="宋体"/>
          <w:spacing w:val="-7"/>
          <w:sz w:val="24"/>
          <w:szCs w:val="24"/>
        </w:rPr>
        <w:t>从业人员</w:t>
      </w:r>
      <w:r>
        <w:rPr>
          <w:rFonts w:ascii="宋体" w:hAnsi="宋体" w:eastAsia="宋体" w:cs="宋体"/>
          <w:spacing w:val="26"/>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7"/>
          <w:sz w:val="24"/>
          <w:szCs w:val="24"/>
        </w:rPr>
        <w:t>人，营业收入为</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万元，资产总额为</w:t>
      </w:r>
      <w:r>
        <w:rPr>
          <w:rFonts w:ascii="宋体" w:hAnsi="宋体" w:eastAsia="宋体" w:cs="宋体"/>
          <w:spacing w:val="18"/>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7"/>
          <w:sz w:val="24"/>
          <w:szCs w:val="24"/>
        </w:rPr>
        <w:t>万元，属于</w:t>
      </w:r>
      <w:r>
        <w:rPr>
          <w:rFonts w:ascii="宋体" w:hAnsi="宋体" w:eastAsia="宋体" w:cs="宋体"/>
          <w:spacing w:val="-7"/>
          <w:sz w:val="24"/>
          <w:szCs w:val="24"/>
          <w:u w:val="single" w:color="auto"/>
        </w:rPr>
        <w:t>（中型企业、</w:t>
      </w:r>
      <w:r>
        <w:rPr>
          <w:rFonts w:ascii="宋体" w:hAnsi="宋体" w:eastAsia="宋体" w:cs="宋体"/>
          <w:spacing w:val="-6"/>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277" w:line="360" w:lineRule="auto"/>
        <w:ind w:firstLine="464" w:firstLineChars="200"/>
        <w:textAlignment w:val="auto"/>
        <w:rPr>
          <w:rFonts w:ascii="宋体" w:hAnsi="宋体" w:eastAsia="宋体" w:cs="宋体"/>
          <w:sz w:val="24"/>
          <w:szCs w:val="24"/>
        </w:rPr>
      </w:pPr>
      <w:r>
        <w:rPr>
          <w:rFonts w:ascii="Times New Roman" w:hAnsi="Times New Roman" w:eastAsia="Times New Roman" w:cs="Times New Roman"/>
          <w:spacing w:val="-4"/>
          <w:sz w:val="24"/>
          <w:szCs w:val="24"/>
        </w:rPr>
        <w:t>2.</w:t>
      </w:r>
      <w:r>
        <w:rPr>
          <w:rFonts w:ascii="宋体" w:hAnsi="宋体" w:eastAsia="宋体" w:cs="宋体"/>
          <w:spacing w:val="-4"/>
          <w:sz w:val="24"/>
          <w:szCs w:val="24"/>
          <w:u w:val="single" w:color="auto"/>
        </w:rPr>
        <w:t>（标的名称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w:t>
      </w:r>
      <w:r>
        <w:rPr>
          <w:rFonts w:ascii="宋体" w:hAnsi="宋体" w:eastAsia="宋体" w:cs="宋体"/>
          <w:spacing w:val="-5"/>
          <w:sz w:val="24"/>
          <w:szCs w:val="24"/>
          <w:u w:val="single" w:color="auto"/>
        </w:rPr>
        <w:t>属行业</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5"/>
          <w:sz w:val="24"/>
          <w:szCs w:val="24"/>
        </w:rPr>
        <w:t>制造商为</w:t>
      </w:r>
      <w:r>
        <w:rPr>
          <w:rFonts w:ascii="宋体" w:hAnsi="宋体" w:eastAsia="宋体" w:cs="宋体"/>
          <w:spacing w:val="-5"/>
          <w:sz w:val="24"/>
          <w:szCs w:val="24"/>
          <w:u w:val="single" w:color="auto"/>
        </w:rPr>
        <w:t>（企业名称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pacing w:val="-7"/>
          <w:sz w:val="24"/>
          <w:szCs w:val="24"/>
        </w:rPr>
        <w:t>从业人员</w:t>
      </w:r>
      <w:r>
        <w:rPr>
          <w:rFonts w:ascii="宋体" w:hAnsi="宋体" w:eastAsia="宋体" w:cs="宋体"/>
          <w:spacing w:val="-7"/>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7"/>
          <w:sz w:val="24"/>
          <w:szCs w:val="24"/>
        </w:rPr>
        <w:t>万元，资产总额为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万元，属于</w:t>
      </w:r>
      <w:r>
        <w:rPr>
          <w:rFonts w:ascii="宋体" w:hAnsi="宋体" w:eastAsia="宋体" w:cs="宋体"/>
          <w:spacing w:val="-7"/>
          <w:sz w:val="24"/>
          <w:szCs w:val="24"/>
          <w:u w:val="single" w:color="auto"/>
        </w:rPr>
        <w:t>（中型企业、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spacing w:val="-6"/>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before="70" w:line="360" w:lineRule="auto"/>
        <w:ind w:left="1044"/>
        <w:textAlignment w:val="auto"/>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before="78" w:line="360" w:lineRule="auto"/>
        <w:ind w:firstLine="480" w:firstLineChars="200"/>
        <w:textAlignment w:val="auto"/>
        <w:rPr>
          <w:sz w:val="20"/>
          <w:szCs w:val="20"/>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pPr>
        <w:keepNext w:val="0"/>
        <w:keepLines w:val="0"/>
        <w:pageBreakBefore w:val="0"/>
        <w:widowControl w:val="0"/>
        <w:kinsoku/>
        <w:wordWrap/>
        <w:overflowPunct/>
        <w:topLinePunct w:val="0"/>
        <w:autoSpaceDE/>
        <w:autoSpaceDN/>
        <w:bidi w:val="0"/>
        <w:adjustRightInd/>
        <w:snapToGrid/>
        <w:spacing w:before="78" w:line="360" w:lineRule="auto"/>
        <w:ind w:firstLine="460" w:firstLineChars="200"/>
        <w:textAlignment w:val="auto"/>
        <w:rPr>
          <w:rFonts w:ascii="宋体" w:hAnsi="宋体" w:eastAsia="宋体" w:cs="宋体"/>
          <w:spacing w:val="-5"/>
          <w:sz w:val="24"/>
          <w:szCs w:val="24"/>
        </w:rPr>
      </w:pPr>
      <w:r>
        <w:rPr>
          <w:rFonts w:ascii="宋体" w:hAnsi="宋体" w:eastAsia="宋体" w:cs="宋体"/>
          <w:spacing w:val="-5"/>
          <w:sz w:val="24"/>
          <w:szCs w:val="24"/>
        </w:rPr>
        <w:t>注：</w:t>
      </w:r>
    </w:p>
    <w:p>
      <w:pPr>
        <w:keepNext w:val="0"/>
        <w:keepLines w:val="0"/>
        <w:pageBreakBefore w:val="0"/>
        <w:widowControl w:val="0"/>
        <w:numPr>
          <w:ilvl w:val="0"/>
          <w:numId w:val="6"/>
        </w:numPr>
        <w:kinsoku/>
        <w:wordWrap/>
        <w:overflowPunct/>
        <w:topLinePunct w:val="0"/>
        <w:autoSpaceDE/>
        <w:autoSpaceDN/>
        <w:bidi w:val="0"/>
        <w:adjustRightInd/>
        <w:snapToGrid/>
        <w:spacing w:before="78" w:line="360" w:lineRule="auto"/>
        <w:ind w:firstLine="464" w:firstLineChars="200"/>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以上提及的企业，不属于大企业的分支机构，不存在控股股东为大企业的情形，也不存在与大企业的负责人为同一人的情形。</w:t>
      </w:r>
    </w:p>
    <w:p>
      <w:pPr>
        <w:keepNext w:val="0"/>
        <w:keepLines w:val="0"/>
        <w:pageBreakBefore w:val="0"/>
        <w:widowControl w:val="0"/>
        <w:numPr>
          <w:ilvl w:val="0"/>
          <w:numId w:val="6"/>
        </w:numPr>
        <w:kinsoku/>
        <w:wordWrap/>
        <w:overflowPunct/>
        <w:topLinePunct w:val="0"/>
        <w:autoSpaceDE/>
        <w:autoSpaceDN/>
        <w:bidi w:val="0"/>
        <w:adjustRightInd/>
        <w:snapToGrid/>
        <w:spacing w:before="78" w:line="360" w:lineRule="auto"/>
        <w:ind w:firstLine="464" w:firstLineChars="200"/>
        <w:textAlignment w:val="auto"/>
        <w:rPr>
          <w:rFonts w:ascii="宋体" w:hAnsi="宋体" w:eastAsia="宋体" w:cs="宋体"/>
          <w:sz w:val="24"/>
          <w:szCs w:val="24"/>
        </w:rPr>
      </w:pPr>
      <w:r>
        <w:rPr>
          <w:rFonts w:ascii="宋体" w:hAnsi="宋体" w:eastAsia="宋体" w:cs="宋体"/>
          <w:spacing w:val="-4"/>
          <w:sz w:val="24"/>
          <w:szCs w:val="24"/>
        </w:rPr>
        <w:t>标的名称指所投货物、产品、服务的名称。</w:t>
      </w:r>
    </w:p>
    <w:p>
      <w:pPr>
        <w:pStyle w:val="14"/>
        <w:spacing w:line="301" w:lineRule="auto"/>
      </w:pPr>
    </w:p>
    <w:p>
      <w:pPr>
        <w:pStyle w:val="14"/>
        <w:spacing w:line="302" w:lineRule="auto"/>
      </w:pPr>
    </w:p>
    <w:p>
      <w:pPr>
        <w:spacing w:before="79" w:line="531" w:lineRule="exact"/>
        <w:ind w:left="440"/>
        <w:rPr>
          <w:rFonts w:ascii="宋体" w:hAnsi="宋体" w:eastAsia="宋体" w:cs="宋体"/>
          <w:sz w:val="24"/>
          <w:szCs w:val="24"/>
        </w:rPr>
      </w:pPr>
      <w:r>
        <w:rPr>
          <w:rFonts w:ascii="宋体" w:hAnsi="宋体" w:eastAsia="宋体" w:cs="宋体"/>
          <w:spacing w:val="-4"/>
          <w:position w:val="22"/>
          <w:sz w:val="24"/>
          <w:szCs w:val="24"/>
        </w:rPr>
        <w:t>企业名称（电子签章</w:t>
      </w:r>
      <w:r>
        <w:rPr>
          <w:rFonts w:ascii="宋体" w:hAnsi="宋体" w:eastAsia="宋体" w:cs="宋体"/>
          <w:spacing w:val="1"/>
          <w:position w:val="22"/>
          <w:sz w:val="24"/>
          <w:szCs w:val="24"/>
        </w:rPr>
        <w:t>）：</w:t>
      </w:r>
    </w:p>
    <w:p>
      <w:pPr>
        <w:spacing w:line="219" w:lineRule="auto"/>
        <w:ind w:left="477"/>
        <w:rPr>
          <w:rFonts w:ascii="宋体" w:hAnsi="宋体" w:eastAsia="宋体" w:cs="宋体"/>
          <w:sz w:val="24"/>
          <w:szCs w:val="24"/>
        </w:rPr>
      </w:pPr>
      <w:r>
        <w:rPr>
          <w:rFonts w:ascii="宋体" w:hAnsi="宋体" w:eastAsia="宋体" w:cs="宋体"/>
          <w:spacing w:val="-10"/>
          <w:sz w:val="24"/>
          <w:szCs w:val="24"/>
        </w:rPr>
        <w:t>日期：   年</w:t>
      </w:r>
      <w:r>
        <w:rPr>
          <w:rFonts w:ascii="宋体" w:hAnsi="宋体" w:eastAsia="宋体" w:cs="宋体"/>
          <w:sz w:val="24"/>
          <w:szCs w:val="24"/>
        </w:rPr>
        <w:t xml:space="preserve">   </w:t>
      </w:r>
      <w:r>
        <w:rPr>
          <w:rFonts w:ascii="宋体" w:hAnsi="宋体" w:eastAsia="宋体" w:cs="宋体"/>
          <w:spacing w:val="-10"/>
          <w:sz w:val="24"/>
          <w:szCs w:val="24"/>
        </w:rPr>
        <w:t>月</w:t>
      </w:r>
      <w:r>
        <w:rPr>
          <w:rFonts w:ascii="宋体" w:hAnsi="宋体" w:eastAsia="宋体" w:cs="宋体"/>
          <w:spacing w:val="11"/>
          <w:sz w:val="24"/>
          <w:szCs w:val="24"/>
        </w:rPr>
        <w:t xml:space="preserve">   </w:t>
      </w:r>
      <w:r>
        <w:rPr>
          <w:rFonts w:ascii="宋体" w:hAnsi="宋体" w:eastAsia="宋体" w:cs="宋体"/>
          <w:spacing w:val="-10"/>
          <w:sz w:val="24"/>
          <w:szCs w:val="24"/>
        </w:rPr>
        <w:t>日</w:t>
      </w:r>
    </w:p>
    <w:p>
      <w:pPr>
        <w:pStyle w:val="14"/>
        <w:spacing w:line="281" w:lineRule="auto"/>
      </w:pPr>
    </w:p>
    <w:p>
      <w:pPr>
        <w:pStyle w:val="14"/>
        <w:spacing w:line="281" w:lineRule="auto"/>
      </w:pPr>
    </w:p>
    <w:p>
      <w:pPr>
        <w:spacing w:before="65" w:line="228" w:lineRule="auto"/>
        <w:jc w:val="both"/>
        <w:rPr>
          <w:rFonts w:ascii="宋体" w:hAnsi="宋体" w:eastAsia="宋体" w:cs="宋体"/>
          <w:sz w:val="20"/>
          <w:szCs w:val="20"/>
        </w:rPr>
      </w:pPr>
      <w:r>
        <w:rPr>
          <w:rFonts w:ascii="宋体" w:hAnsi="宋体" w:eastAsia="宋体" w:cs="宋体"/>
          <w:spacing w:val="8"/>
          <w:sz w:val="20"/>
          <w:szCs w:val="20"/>
        </w:rPr>
        <w:t>从业人员、营业收入、资产总额填报上一年度数据，无上一年度数据的新成立企业可不填报。</w:t>
      </w:r>
    </w:p>
    <w:p>
      <w:pPr>
        <w:pStyle w:val="14"/>
        <w:shd w:val="clear" w:color="auto" w:fill="auto"/>
        <w:kinsoku w:val="0"/>
        <w:overflowPunct w:val="0"/>
        <w:spacing w:line="480" w:lineRule="auto"/>
        <w:jc w:val="both"/>
        <w:outlineLvl w:val="0"/>
        <w:rPr>
          <w:rFonts w:hint="eastAsia" w:ascii="宋体" w:hAnsi="宋体" w:eastAsia="宋体" w:cs="宋体"/>
          <w:color w:val="auto"/>
          <w:spacing w:val="2"/>
          <w:sz w:val="44"/>
          <w:szCs w:val="44"/>
          <w:highlight w:val="none"/>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outlineLvl w:val="0"/>
        <w:rPr>
          <w:rFonts w:hint="eastAsia" w:ascii="宋体" w:hAnsi="宋体" w:eastAsia="宋体" w:cs="宋体"/>
          <w:b w:val="0"/>
          <w:bCs w:val="0"/>
          <w:color w:val="auto"/>
          <w:sz w:val="28"/>
          <w:szCs w:val="28"/>
          <w:highlight w:val="none"/>
        </w:rPr>
      </w:pPr>
      <w:bookmarkStart w:id="313" w:name="_Toc14723"/>
      <w:r>
        <w:rPr>
          <w:rStyle w:val="35"/>
          <w:rFonts w:hint="eastAsia" w:ascii="宋体" w:hAnsi="宋体" w:eastAsia="宋体" w:cs="宋体"/>
          <w:b w:val="0"/>
          <w:bCs w:val="0"/>
          <w:i w:val="0"/>
          <w:iCs w:val="0"/>
          <w:caps w:val="0"/>
          <w:color w:val="auto"/>
          <w:spacing w:val="0"/>
          <w:sz w:val="28"/>
          <w:szCs w:val="28"/>
          <w:highlight w:val="none"/>
          <w:u w:val="none"/>
          <w:shd w:val="clear" w:color="auto" w:fill="FFFFFF"/>
          <w:vertAlign w:val="baseline"/>
        </w:rPr>
        <w:t>中小企业划型标准规定</w:t>
      </w:r>
      <w:bookmarkEnd w:id="313"/>
    </w:p>
    <w:p>
      <w:pPr>
        <w:pStyle w:val="115"/>
        <w:keepNext w:val="0"/>
        <w:keepLines w:val="0"/>
        <w:pageBreakBefore w:val="0"/>
        <w:widowControl w:val="0"/>
        <w:numPr>
          <w:ilvl w:val="0"/>
          <w:numId w:val="7"/>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根据《中华人民共和国中小企业促进法》和《国务院关于进一步促进中小企业发展的若干意见》(国发〔2009〕36号)，制定本规定。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二、中小企业划分为中型、小型、微型三种类型，具体标准根据企业从业人员、营业收入、资产总额等指标，结合行业特点制定。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四、各行业划型标准为：</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（一）农、林、牧、渔业。营业收入20000万元以下的为中小微型企业。其中，营业收入500万元及以上的为中型企业，营业收入50万元及以上的为小型企业，营业收入50万元以下的为微型企业。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i w:val="0"/>
          <w:iCs w:val="0"/>
          <w:caps w:val="0"/>
          <w:color w:val="auto"/>
          <w:spacing w:val="0"/>
          <w:sz w:val="24"/>
          <w:szCs w:val="24"/>
          <w:highlight w:val="none"/>
          <w:u w:val="none"/>
          <w:shd w:val="clear" w:color="auto" w:fill="FFFFFF"/>
          <w:vertAlign w:val="baseline"/>
        </w:rPr>
        <w:t>（十六）其他未列明行业。从业人员300人以下的为中小微型企业。其中，从业人员100人及以上的为中型企业；从业人员10人及以上的为小型企业；从业人员10人以下的为微型企业。</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四</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、企业类型的划分以统计部门的统计数据为依据。</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五</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、本规定适用于在中华人民共和国境内依法设立的各类所有制和各种组织形式的企业。个体工商户和本规定以外的行业，参照本规定进行划型。</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color w:val="auto"/>
          <w:sz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六</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、本规定的中型企业标准上限即为大型企业标准的下限，国家统计部门据此制定大中小微型企业的统计分类。国务院有关部门据此进行相关数据分析，不得制定与本规定不一致的企业划型标准。</w:t>
      </w: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pStyle w:val="14"/>
        <w:shd w:val="clear" w:color="auto" w:fill="auto"/>
        <w:kinsoku w:val="0"/>
        <w:overflowPunct w:val="0"/>
        <w:spacing w:line="480" w:lineRule="auto"/>
        <w:jc w:val="both"/>
        <w:outlineLvl w:val="0"/>
        <w:rPr>
          <w:rFonts w:hint="eastAsia" w:ascii="宋体" w:hAnsi="宋体" w:eastAsia="宋体" w:cs="宋体"/>
          <w:color w:val="auto"/>
          <w:spacing w:val="2"/>
          <w:sz w:val="44"/>
          <w:szCs w:val="44"/>
          <w:highlight w:val="none"/>
        </w:rPr>
      </w:pPr>
    </w:p>
    <w:p>
      <w:pPr>
        <w:spacing w:before="91" w:line="220" w:lineRule="auto"/>
        <w:outlineLvl w:val="1"/>
        <w:rPr>
          <w:rFonts w:ascii="宋体" w:hAnsi="宋体" w:eastAsia="宋体" w:cs="宋体"/>
          <w:b/>
          <w:bCs/>
          <w:sz w:val="28"/>
          <w:szCs w:val="28"/>
        </w:rPr>
      </w:pPr>
      <w:r>
        <w:rPr>
          <w:rFonts w:ascii="宋体" w:hAnsi="宋体" w:eastAsia="宋体" w:cs="宋体"/>
          <w:b/>
          <w:bCs/>
          <w:spacing w:val="-2"/>
          <w:sz w:val="28"/>
          <w:szCs w:val="28"/>
        </w:rPr>
        <w:t>（五）类似项目业绩表</w:t>
      </w:r>
    </w:p>
    <w:p>
      <w:pPr>
        <w:spacing w:before="313" w:line="219" w:lineRule="auto"/>
        <w:ind w:left="438"/>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pPr>
        <w:spacing w:before="214" w:line="219" w:lineRule="auto"/>
        <w:ind w:left="438"/>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pPr>
        <w:spacing w:line="22" w:lineRule="exact"/>
      </w:pPr>
    </w:p>
    <w:tbl>
      <w:tblPr>
        <w:tblStyle w:val="114"/>
        <w:tblW w:w="9112" w:type="dxa"/>
        <w:tblInd w:w="1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7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911" w:type="dxa"/>
            <w:noWrap w:val="0"/>
            <w:vAlign w:val="top"/>
          </w:tcPr>
          <w:p>
            <w:pPr>
              <w:pStyle w:val="113"/>
              <w:spacing w:before="130" w:line="220" w:lineRule="auto"/>
              <w:ind w:left="487"/>
            </w:pPr>
            <w:r>
              <w:rPr>
                <w:spacing w:val="-4"/>
              </w:rPr>
              <w:t>项目名称</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11" w:type="dxa"/>
            <w:noWrap w:val="0"/>
            <w:vAlign w:val="top"/>
          </w:tcPr>
          <w:p>
            <w:pPr>
              <w:pStyle w:val="113"/>
              <w:spacing w:before="114" w:line="220" w:lineRule="auto"/>
              <w:ind w:left="247"/>
            </w:pPr>
            <w:r>
              <w:rPr>
                <w:spacing w:val="-3"/>
              </w:rPr>
              <w:t>项目单位名称</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1" w:type="dxa"/>
            <w:noWrap w:val="0"/>
            <w:vAlign w:val="top"/>
          </w:tcPr>
          <w:p>
            <w:pPr>
              <w:pStyle w:val="113"/>
              <w:spacing w:before="38" w:line="223" w:lineRule="auto"/>
              <w:ind w:left="123" w:right="112" w:firstLine="3"/>
            </w:pPr>
            <w:r>
              <w:rPr>
                <w:spacing w:val="-2"/>
              </w:rPr>
              <w:t>项目单位联系人</w:t>
            </w:r>
            <w:r>
              <w:t xml:space="preserve"> </w:t>
            </w:r>
            <w:r>
              <w:rPr>
                <w:spacing w:val="-2"/>
              </w:rPr>
              <w:t>姓名及联系方式</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11" w:type="dxa"/>
            <w:noWrap w:val="0"/>
            <w:vAlign w:val="top"/>
          </w:tcPr>
          <w:p>
            <w:pPr>
              <w:pStyle w:val="113"/>
              <w:spacing w:before="193" w:line="219" w:lineRule="auto"/>
              <w:ind w:left="484"/>
            </w:pPr>
            <w:r>
              <w:rPr>
                <w:spacing w:val="-3"/>
              </w:rPr>
              <w:t>合同金额</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1" w:type="dxa"/>
            <w:noWrap w:val="0"/>
            <w:vAlign w:val="top"/>
          </w:tcPr>
          <w:p>
            <w:pPr>
              <w:pStyle w:val="113"/>
              <w:spacing w:before="40" w:line="222" w:lineRule="auto"/>
              <w:ind w:left="723" w:right="352" w:hanging="356"/>
            </w:pPr>
            <w:r>
              <w:rPr>
                <w:spacing w:val="-3"/>
              </w:rPr>
              <w:t>项目负责人</w:t>
            </w:r>
            <w:r>
              <w:t xml:space="preserve"> </w:t>
            </w:r>
            <w:r>
              <w:rPr>
                <w:spacing w:val="-5"/>
              </w:rPr>
              <w:t>姓名</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11" w:type="dxa"/>
            <w:noWrap w:val="0"/>
            <w:vAlign w:val="top"/>
          </w:tcPr>
          <w:p>
            <w:pPr>
              <w:pStyle w:val="113"/>
              <w:spacing w:before="118" w:line="220" w:lineRule="auto"/>
              <w:ind w:left="247"/>
            </w:pPr>
            <w:r>
              <w:rPr>
                <w:spacing w:val="-3"/>
              </w:rPr>
              <w:t>项目实施时间</w:t>
            </w:r>
          </w:p>
        </w:tc>
        <w:tc>
          <w:tcPr>
            <w:tcW w:w="720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911" w:type="dxa"/>
            <w:noWrap w:val="0"/>
            <w:vAlign w:val="top"/>
          </w:tcPr>
          <w:p>
            <w:pPr>
              <w:spacing w:line="271" w:lineRule="auto"/>
              <w:rPr>
                <w:rFonts w:ascii="Arial"/>
                <w:sz w:val="21"/>
              </w:rPr>
            </w:pPr>
          </w:p>
          <w:p>
            <w:pPr>
              <w:spacing w:line="271" w:lineRule="auto"/>
              <w:rPr>
                <w:rFonts w:ascii="Arial"/>
                <w:sz w:val="21"/>
              </w:rPr>
            </w:pPr>
          </w:p>
          <w:p>
            <w:pPr>
              <w:pStyle w:val="113"/>
              <w:spacing w:before="78" w:line="219" w:lineRule="auto"/>
              <w:ind w:left="247"/>
            </w:pPr>
            <w:r>
              <w:rPr>
                <w:spacing w:val="-3"/>
              </w:rPr>
              <w:t>项目内容说明</w:t>
            </w:r>
          </w:p>
        </w:tc>
        <w:tc>
          <w:tcPr>
            <w:tcW w:w="7201" w:type="dxa"/>
            <w:noWrap w:val="0"/>
            <w:vAlign w:val="top"/>
          </w:tcPr>
          <w:p>
            <w:pPr>
              <w:rPr>
                <w:rFonts w:ascii="Arial"/>
                <w:sz w:val="21"/>
              </w:rPr>
            </w:pPr>
          </w:p>
        </w:tc>
      </w:tr>
    </w:tbl>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说明：</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1</w:t>
      </w:r>
      <w:r>
        <w:rPr>
          <w:rFonts w:hint="eastAsia" w:ascii="宋体" w:hAnsi="宋体" w:cs="宋体"/>
          <w:b w:val="0"/>
          <w:bCs w:val="0"/>
          <w:i w:val="0"/>
          <w:iCs w:val="0"/>
          <w:caps w:val="0"/>
          <w:color w:val="auto"/>
          <w:spacing w:val="0"/>
          <w:sz w:val="24"/>
          <w:szCs w:val="24"/>
          <w:highlight w:val="none"/>
          <w:u w:val="none"/>
          <w:shd w:val="clear" w:color="auto" w:fill="FFFFFF"/>
          <w:vertAlign w:val="baseline"/>
          <w:lang w:val="en-US" w:eastAsia="zh-CN"/>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每个合同须单独附表，并附上相关证明材料，否则专家在评审时将不予采信；</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2</w:t>
      </w:r>
      <w:r>
        <w:rPr>
          <w:rFonts w:hint="eastAsia" w:ascii="宋体" w:hAnsi="宋体" w:cs="宋体"/>
          <w:b w:val="0"/>
          <w:bCs w:val="0"/>
          <w:i w:val="0"/>
          <w:iCs w:val="0"/>
          <w:caps w:val="0"/>
          <w:color w:val="auto"/>
          <w:spacing w:val="0"/>
          <w:sz w:val="24"/>
          <w:szCs w:val="24"/>
          <w:highlight w:val="none"/>
          <w:u w:val="none"/>
          <w:shd w:val="clear" w:color="auto" w:fill="FFFFFF"/>
          <w:vertAlign w:val="baseline"/>
          <w:lang w:val="en-US" w:eastAsia="zh-CN"/>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项目内容请详细说明所承担的具体工作内容等；</w:t>
      </w:r>
    </w:p>
    <w:p>
      <w:pPr>
        <w:pStyle w:val="11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3</w:t>
      </w:r>
      <w:r>
        <w:rPr>
          <w:rFonts w:hint="eastAsia" w:ascii="宋体" w:hAnsi="宋体" w:cs="宋体"/>
          <w:b w:val="0"/>
          <w:bCs w:val="0"/>
          <w:i w:val="0"/>
          <w:iCs w:val="0"/>
          <w:caps w:val="0"/>
          <w:color w:val="auto"/>
          <w:spacing w:val="0"/>
          <w:sz w:val="24"/>
          <w:szCs w:val="24"/>
          <w:highlight w:val="none"/>
          <w:u w:val="none"/>
          <w:shd w:val="clear" w:color="auto" w:fill="FFFFFF"/>
          <w:vertAlign w:val="baseline"/>
          <w:lang w:val="en-US" w:eastAsia="zh-CN"/>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业绩为近三年业绩。（近三年指 2020年</w:t>
      </w:r>
      <w:r>
        <w:rPr>
          <w:rFonts w:hint="eastAsia" w:ascii="宋体" w:hAnsi="宋体" w:cs="宋体"/>
          <w:b w:val="0"/>
          <w:bCs w:val="0"/>
          <w:i w:val="0"/>
          <w:iCs w:val="0"/>
          <w:caps w:val="0"/>
          <w:color w:val="auto"/>
          <w:spacing w:val="0"/>
          <w:sz w:val="24"/>
          <w:szCs w:val="24"/>
          <w:highlight w:val="none"/>
          <w:u w:val="none"/>
          <w:shd w:val="clear" w:color="auto" w:fill="FFFFFF"/>
          <w:vertAlign w:val="baseline"/>
          <w:lang w:val="en-US" w:eastAsia="zh-CN"/>
        </w:rPr>
        <w:t>1</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月</w:t>
      </w:r>
      <w:r>
        <w:rPr>
          <w:rFonts w:hint="eastAsia" w:ascii="宋体" w:hAnsi="宋体" w:cs="宋体"/>
          <w:b w:val="0"/>
          <w:bCs w:val="0"/>
          <w:i w:val="0"/>
          <w:iCs w:val="0"/>
          <w:caps w:val="0"/>
          <w:color w:val="auto"/>
          <w:spacing w:val="0"/>
          <w:sz w:val="24"/>
          <w:szCs w:val="24"/>
          <w:highlight w:val="none"/>
          <w:u w:val="none"/>
          <w:shd w:val="clear" w:color="auto" w:fill="FFFFFF"/>
          <w:vertAlign w:val="baseline"/>
          <w:lang w:val="en-US" w:eastAsia="zh-CN"/>
        </w:rPr>
        <w:t>1</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日起至今）</w:t>
      </w:r>
    </w:p>
    <w:p>
      <w:pPr>
        <w:pStyle w:val="14"/>
        <w:spacing w:line="258" w:lineRule="auto"/>
      </w:pPr>
    </w:p>
    <w:p>
      <w:pPr>
        <w:pStyle w:val="14"/>
        <w:spacing w:line="258" w:lineRule="auto"/>
      </w:pPr>
    </w:p>
    <w:p>
      <w:pPr>
        <w:pStyle w:val="14"/>
        <w:spacing w:line="258" w:lineRule="auto"/>
      </w:pPr>
    </w:p>
    <w:p>
      <w:pPr>
        <w:pStyle w:val="14"/>
        <w:spacing w:line="259" w:lineRule="auto"/>
      </w:pPr>
    </w:p>
    <w:p>
      <w:pPr>
        <w:spacing w:before="79" w:line="219" w:lineRule="auto"/>
        <w:ind w:left="441"/>
        <w:rPr>
          <w:rFonts w:ascii="宋体" w:hAnsi="宋体" w:eastAsia="宋体" w:cs="宋体"/>
          <w:sz w:val="24"/>
          <w:szCs w:val="24"/>
        </w:rPr>
      </w:pPr>
      <w:r>
        <w:rPr>
          <w:rFonts w:hint="eastAsia" w:ascii="宋体" w:hAnsi="宋体" w:cs="宋体"/>
          <w:spacing w:val="-2"/>
          <w:sz w:val="24"/>
          <w:szCs w:val="24"/>
          <w:lang w:eastAsia="zh-CN"/>
        </w:rPr>
        <w:t>投标人电子签章</w:t>
      </w:r>
      <w:r>
        <w:rPr>
          <w:rFonts w:ascii="宋体" w:hAnsi="宋体" w:eastAsia="宋体" w:cs="宋体"/>
          <w:spacing w:val="-2"/>
          <w:sz w:val="24"/>
          <w:szCs w:val="24"/>
        </w:rPr>
        <w:t>：</w:t>
      </w:r>
    </w:p>
    <w:p>
      <w:pPr>
        <w:pStyle w:val="14"/>
        <w:spacing w:line="285" w:lineRule="auto"/>
      </w:pPr>
    </w:p>
    <w:p>
      <w:pPr>
        <w:pStyle w:val="14"/>
        <w:spacing w:line="285" w:lineRule="auto"/>
      </w:pPr>
    </w:p>
    <w:p>
      <w:pPr>
        <w:spacing w:before="79" w:line="219" w:lineRule="auto"/>
        <w:ind w:left="441"/>
        <w:rPr>
          <w:rFonts w:ascii="宋体" w:hAnsi="宋体" w:eastAsia="宋体" w:cs="宋体"/>
          <w:sz w:val="24"/>
          <w:szCs w:val="24"/>
        </w:rPr>
      </w:pPr>
      <w:r>
        <w:rPr>
          <w:rFonts w:ascii="宋体" w:hAnsi="宋体" w:eastAsia="宋体" w:cs="宋体"/>
          <w:spacing w:val="-1"/>
          <w:sz w:val="24"/>
          <w:szCs w:val="24"/>
        </w:rPr>
        <w:t>投标人法定代表人电子签名：</w:t>
      </w:r>
    </w:p>
    <w:p>
      <w:pPr>
        <w:pStyle w:val="14"/>
        <w:spacing w:line="284" w:lineRule="auto"/>
      </w:pPr>
    </w:p>
    <w:p>
      <w:pPr>
        <w:pStyle w:val="14"/>
        <w:spacing w:line="285" w:lineRule="auto"/>
      </w:pPr>
    </w:p>
    <w:p>
      <w:pPr>
        <w:spacing w:before="78" w:line="219" w:lineRule="auto"/>
        <w:ind w:left="480"/>
        <w:outlineLvl w:val="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3"/>
          <w:sz w:val="24"/>
          <w:szCs w:val="24"/>
        </w:rPr>
        <w:t>日</w:t>
      </w:r>
    </w:p>
    <w:p>
      <w:pPr>
        <w:pStyle w:val="14"/>
        <w:spacing w:line="266" w:lineRule="auto"/>
      </w:pPr>
    </w:p>
    <w:p>
      <w:pPr>
        <w:pStyle w:val="14"/>
        <w:shd w:val="clear" w:color="auto" w:fill="auto"/>
        <w:kinsoku w:val="0"/>
        <w:overflowPunct w:val="0"/>
        <w:spacing w:line="480" w:lineRule="auto"/>
        <w:jc w:val="center"/>
        <w:outlineLvl w:val="0"/>
        <w:rPr>
          <w:rFonts w:hint="eastAsia" w:ascii="宋体" w:hAnsi="宋体" w:eastAsia="宋体" w:cs="宋体"/>
          <w:color w:val="auto"/>
          <w:spacing w:val="2"/>
          <w:sz w:val="44"/>
          <w:szCs w:val="44"/>
          <w:highlight w:val="none"/>
        </w:rPr>
      </w:pPr>
    </w:p>
    <w:p>
      <w:pPr>
        <w:spacing w:before="91" w:line="221" w:lineRule="auto"/>
        <w:rPr>
          <w:rFonts w:ascii="宋体" w:hAnsi="宋体" w:eastAsia="宋体" w:cs="宋体"/>
          <w:b/>
          <w:bCs/>
          <w:sz w:val="28"/>
          <w:szCs w:val="28"/>
        </w:rPr>
      </w:pPr>
      <w:r>
        <w:rPr>
          <w:rFonts w:ascii="宋体" w:hAnsi="宋体" w:eastAsia="宋体" w:cs="宋体"/>
          <w:b/>
          <w:bCs/>
          <w:spacing w:val="-1"/>
          <w:sz w:val="28"/>
          <w:szCs w:val="28"/>
        </w:rPr>
        <w:t>（六）★实质性响应一览表</w:t>
      </w:r>
    </w:p>
    <w:p>
      <w:pPr>
        <w:pStyle w:val="14"/>
        <w:spacing w:line="351" w:lineRule="auto"/>
      </w:pPr>
    </w:p>
    <w:p>
      <w:pPr>
        <w:spacing w:before="78" w:line="219" w:lineRule="auto"/>
        <w:ind w:left="438"/>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pPr>
        <w:pStyle w:val="14"/>
        <w:spacing w:line="254" w:lineRule="auto"/>
      </w:pPr>
    </w:p>
    <w:p>
      <w:pPr>
        <w:spacing w:before="79" w:line="219" w:lineRule="auto"/>
        <w:ind w:left="438"/>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pPr>
        <w:spacing w:line="142" w:lineRule="exact"/>
      </w:pPr>
    </w:p>
    <w:tbl>
      <w:tblPr>
        <w:tblStyle w:val="114"/>
        <w:tblW w:w="8828"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657"/>
        <w:gridCol w:w="2326"/>
        <w:gridCol w:w="1543"/>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54" w:type="dxa"/>
            <w:noWrap w:val="0"/>
            <w:vAlign w:val="top"/>
          </w:tcPr>
          <w:p>
            <w:pPr>
              <w:spacing w:line="285" w:lineRule="auto"/>
              <w:rPr>
                <w:rFonts w:ascii="Arial"/>
                <w:sz w:val="21"/>
              </w:rPr>
            </w:pPr>
          </w:p>
          <w:p>
            <w:pPr>
              <w:pStyle w:val="113"/>
              <w:spacing w:before="78" w:line="221" w:lineRule="auto"/>
              <w:ind w:left="143"/>
            </w:pPr>
            <w:r>
              <w:rPr>
                <w:spacing w:val="-5"/>
              </w:rPr>
              <w:t>序号</w:t>
            </w:r>
          </w:p>
        </w:tc>
        <w:tc>
          <w:tcPr>
            <w:tcW w:w="2657" w:type="dxa"/>
            <w:noWrap w:val="0"/>
            <w:vAlign w:val="top"/>
          </w:tcPr>
          <w:p>
            <w:pPr>
              <w:spacing w:line="286" w:lineRule="auto"/>
              <w:rPr>
                <w:rFonts w:ascii="Arial"/>
                <w:sz w:val="21"/>
              </w:rPr>
            </w:pPr>
          </w:p>
          <w:p>
            <w:pPr>
              <w:pStyle w:val="113"/>
              <w:spacing w:before="78" w:line="219" w:lineRule="auto"/>
              <w:ind w:left="259"/>
            </w:pPr>
            <w:r>
              <w:rPr>
                <w:spacing w:val="-2"/>
              </w:rPr>
              <w:t>实质性响应条款要求</w:t>
            </w:r>
          </w:p>
        </w:tc>
        <w:tc>
          <w:tcPr>
            <w:tcW w:w="2326" w:type="dxa"/>
            <w:noWrap w:val="0"/>
            <w:vAlign w:val="top"/>
          </w:tcPr>
          <w:p>
            <w:pPr>
              <w:spacing w:line="286" w:lineRule="auto"/>
              <w:rPr>
                <w:rFonts w:ascii="Arial"/>
                <w:sz w:val="21"/>
              </w:rPr>
            </w:pPr>
          </w:p>
          <w:p>
            <w:pPr>
              <w:pStyle w:val="113"/>
              <w:spacing w:before="78" w:line="219" w:lineRule="auto"/>
              <w:ind w:left="213"/>
            </w:pPr>
            <w:r>
              <w:rPr>
                <w:spacing w:val="-2"/>
              </w:rPr>
              <w:t>投标文件对应内容</w:t>
            </w:r>
          </w:p>
        </w:tc>
        <w:tc>
          <w:tcPr>
            <w:tcW w:w="1543" w:type="dxa"/>
            <w:noWrap w:val="0"/>
            <w:vAlign w:val="top"/>
          </w:tcPr>
          <w:p>
            <w:pPr>
              <w:spacing w:line="285" w:lineRule="auto"/>
              <w:rPr>
                <w:rFonts w:ascii="Arial"/>
                <w:sz w:val="21"/>
              </w:rPr>
            </w:pPr>
          </w:p>
          <w:p>
            <w:pPr>
              <w:pStyle w:val="113"/>
              <w:spacing w:before="78" w:line="220" w:lineRule="auto"/>
              <w:ind w:left="302"/>
            </w:pPr>
            <w:r>
              <w:rPr>
                <w:spacing w:val="-4"/>
              </w:rPr>
              <w:t>是否响应</w:t>
            </w:r>
          </w:p>
        </w:tc>
        <w:tc>
          <w:tcPr>
            <w:tcW w:w="1548" w:type="dxa"/>
            <w:noWrap w:val="0"/>
            <w:vAlign w:val="top"/>
          </w:tcPr>
          <w:p>
            <w:pPr>
              <w:spacing w:line="286" w:lineRule="auto"/>
              <w:rPr>
                <w:rFonts w:ascii="Arial"/>
                <w:sz w:val="21"/>
              </w:rPr>
            </w:pPr>
          </w:p>
          <w:p>
            <w:pPr>
              <w:pStyle w:val="113"/>
              <w:spacing w:before="78" w:line="219" w:lineRule="auto"/>
              <w:ind w:left="301"/>
            </w:pPr>
            <w:r>
              <w:rPr>
                <w:spacing w:val="-3"/>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54" w:type="dxa"/>
            <w:noWrap w:val="0"/>
            <w:vAlign w:val="top"/>
          </w:tcPr>
          <w:p>
            <w:pPr>
              <w:spacing w:line="291" w:lineRule="auto"/>
              <w:rPr>
                <w:rFonts w:ascii="Arial"/>
                <w:sz w:val="21"/>
              </w:rPr>
            </w:pPr>
          </w:p>
          <w:p>
            <w:pPr>
              <w:spacing w:before="69" w:line="188" w:lineRule="auto"/>
              <w:ind w:left="34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54" w:type="dxa"/>
            <w:noWrap w:val="0"/>
            <w:vAlign w:val="top"/>
          </w:tcPr>
          <w:p>
            <w:pPr>
              <w:spacing w:line="291" w:lineRule="auto"/>
              <w:rPr>
                <w:rFonts w:ascii="Arial"/>
                <w:sz w:val="21"/>
              </w:rPr>
            </w:pPr>
          </w:p>
          <w:p>
            <w:pPr>
              <w:spacing w:before="69" w:line="188" w:lineRule="auto"/>
              <w:ind w:left="31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54" w:type="dxa"/>
            <w:noWrap w:val="0"/>
            <w:vAlign w:val="top"/>
          </w:tcPr>
          <w:p>
            <w:pPr>
              <w:spacing w:line="293" w:lineRule="auto"/>
              <w:rPr>
                <w:rFonts w:ascii="Arial"/>
                <w:sz w:val="21"/>
              </w:rPr>
            </w:pPr>
          </w:p>
          <w:p>
            <w:pPr>
              <w:spacing w:before="69" w:line="188" w:lineRule="auto"/>
              <w:ind w:left="32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54" w:type="dxa"/>
            <w:noWrap w:val="0"/>
            <w:vAlign w:val="top"/>
          </w:tcPr>
          <w:p>
            <w:pPr>
              <w:spacing w:line="293" w:lineRule="auto"/>
              <w:rPr>
                <w:rFonts w:ascii="Arial"/>
                <w:sz w:val="21"/>
              </w:rPr>
            </w:pPr>
          </w:p>
          <w:p>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54" w:type="dxa"/>
            <w:noWrap w:val="0"/>
            <w:vAlign w:val="top"/>
          </w:tcPr>
          <w:p>
            <w:pPr>
              <w:spacing w:line="298" w:lineRule="auto"/>
              <w:rPr>
                <w:rFonts w:ascii="Arial"/>
                <w:sz w:val="21"/>
              </w:rPr>
            </w:pPr>
          </w:p>
          <w:p>
            <w:pPr>
              <w:spacing w:before="69" w:line="185" w:lineRule="auto"/>
              <w:ind w:left="32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54" w:type="dxa"/>
            <w:noWrap w:val="0"/>
            <w:vAlign w:val="top"/>
          </w:tcPr>
          <w:p>
            <w:pPr>
              <w:spacing w:line="293" w:lineRule="auto"/>
              <w:rPr>
                <w:rFonts w:ascii="Arial"/>
                <w:sz w:val="21"/>
              </w:rPr>
            </w:pPr>
          </w:p>
          <w:p>
            <w:pPr>
              <w:spacing w:before="69" w:line="188" w:lineRule="auto"/>
              <w:ind w:left="32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54" w:type="dxa"/>
            <w:noWrap w:val="0"/>
            <w:vAlign w:val="top"/>
          </w:tcPr>
          <w:p>
            <w:pPr>
              <w:spacing w:line="436" w:lineRule="auto"/>
              <w:rPr>
                <w:rFonts w:ascii="Arial"/>
                <w:sz w:val="21"/>
              </w:rPr>
            </w:pPr>
          </w:p>
          <w:p>
            <w:pPr>
              <w:spacing w:before="69" w:line="75" w:lineRule="exact"/>
              <w:ind w:left="28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657" w:type="dxa"/>
            <w:noWrap w:val="0"/>
            <w:vAlign w:val="top"/>
          </w:tcPr>
          <w:p>
            <w:pPr>
              <w:rPr>
                <w:rFonts w:ascii="Arial"/>
                <w:sz w:val="21"/>
              </w:rPr>
            </w:pPr>
          </w:p>
        </w:tc>
        <w:tc>
          <w:tcPr>
            <w:tcW w:w="2326" w:type="dxa"/>
            <w:noWrap w:val="0"/>
            <w:vAlign w:val="top"/>
          </w:tcPr>
          <w:p>
            <w:pPr>
              <w:rPr>
                <w:rFonts w:ascii="Arial"/>
                <w:sz w:val="21"/>
              </w:rPr>
            </w:pPr>
          </w:p>
        </w:tc>
        <w:tc>
          <w:tcPr>
            <w:tcW w:w="1543" w:type="dxa"/>
            <w:noWrap w:val="0"/>
            <w:vAlign w:val="top"/>
          </w:tcPr>
          <w:p>
            <w:pPr>
              <w:rPr>
                <w:rFonts w:ascii="Arial"/>
                <w:sz w:val="21"/>
              </w:rPr>
            </w:pPr>
          </w:p>
        </w:tc>
        <w:tc>
          <w:tcPr>
            <w:tcW w:w="1548" w:type="dxa"/>
            <w:noWrap w:val="0"/>
            <w:vAlign w:val="top"/>
          </w:tcPr>
          <w:p>
            <w:pPr>
              <w:rPr>
                <w:rFonts w:ascii="Arial"/>
                <w:sz w:val="21"/>
              </w:rPr>
            </w:pPr>
          </w:p>
        </w:tc>
      </w:tr>
    </w:tbl>
    <w:p>
      <w:pPr>
        <w:spacing w:before="115" w:line="360" w:lineRule="auto"/>
        <w:ind w:left="438" w:right="109" w:firstLine="3"/>
        <w:jc w:val="both"/>
        <w:rPr>
          <w:rFonts w:ascii="宋体" w:hAnsi="宋体" w:eastAsia="宋体" w:cs="宋体"/>
          <w:spacing w:val="2"/>
          <w:sz w:val="24"/>
          <w:szCs w:val="24"/>
        </w:rPr>
      </w:pPr>
      <w:r>
        <w:rPr>
          <w:rFonts w:ascii="宋体" w:hAnsi="宋体" w:eastAsia="宋体" w:cs="宋体"/>
          <w:spacing w:val="2"/>
          <w:sz w:val="24"/>
          <w:szCs w:val="24"/>
        </w:rPr>
        <w:t>说明：</w:t>
      </w:r>
    </w:p>
    <w:p>
      <w:pPr>
        <w:keepNext w:val="0"/>
        <w:keepLines w:val="0"/>
        <w:pageBreakBefore w:val="0"/>
        <w:widowControl w:val="0"/>
        <w:kinsoku/>
        <w:wordWrap/>
        <w:overflowPunct/>
        <w:topLinePunct w:val="0"/>
        <w:autoSpaceDE/>
        <w:autoSpaceDN/>
        <w:bidi w:val="0"/>
        <w:adjustRightInd/>
        <w:snapToGrid/>
        <w:spacing w:before="183" w:line="240" w:lineRule="auto"/>
        <w:ind w:right="113" w:firstLine="488" w:firstLineChars="200"/>
        <w:jc w:val="both"/>
        <w:textAlignment w:val="auto"/>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w:t>
      </w:r>
      <w:r>
        <w:rPr>
          <w:rFonts w:hint="eastAsia" w:ascii="Times New Roman" w:hAnsi="Times New Roman" w:eastAsia="宋体" w:cs="Times New Roman"/>
          <w:spacing w:val="2"/>
          <w:sz w:val="24"/>
          <w:szCs w:val="24"/>
          <w:lang w:eastAsia="zh-CN"/>
        </w:rPr>
        <w:t>.</w:t>
      </w:r>
      <w:r>
        <w:rPr>
          <w:rFonts w:ascii="Times New Roman" w:hAnsi="Times New Roman" w:eastAsia="Times New Roman" w:cs="Times New Roman"/>
          <w:spacing w:val="2"/>
          <w:sz w:val="24"/>
          <w:szCs w:val="24"/>
        </w:rPr>
        <w:t>投标人必须对应招标文件带“★”号的内容逐条响应。如有缺漏，缺漏项视同不符合采购要求。供应商如响应所有的“★”条款，也可在表格中以“招标文件采购需求中的所有实质性条款( “★”项）均完全响应，无任何偏离” 的表述方式表述。</w:t>
      </w:r>
    </w:p>
    <w:p>
      <w:pPr>
        <w:keepNext w:val="0"/>
        <w:keepLines w:val="0"/>
        <w:pageBreakBefore w:val="0"/>
        <w:widowControl w:val="0"/>
        <w:kinsoku/>
        <w:wordWrap/>
        <w:overflowPunct/>
        <w:topLinePunct w:val="0"/>
        <w:autoSpaceDE/>
        <w:autoSpaceDN/>
        <w:bidi w:val="0"/>
        <w:adjustRightInd/>
        <w:snapToGrid/>
        <w:spacing w:before="183" w:line="240" w:lineRule="auto"/>
        <w:ind w:right="113" w:firstLine="488" w:firstLineChars="200"/>
        <w:jc w:val="both"/>
        <w:textAlignment w:val="auto"/>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w:t>
      </w:r>
      <w:r>
        <w:rPr>
          <w:rFonts w:hint="eastAsia" w:ascii="Times New Roman" w:hAnsi="Times New Roman" w:eastAsia="宋体" w:cs="Times New Roman"/>
          <w:spacing w:val="2"/>
          <w:sz w:val="24"/>
          <w:szCs w:val="24"/>
          <w:lang w:eastAsia="zh-CN"/>
        </w:rPr>
        <w:t>.</w:t>
      </w:r>
      <w:r>
        <w:rPr>
          <w:rFonts w:ascii="Times New Roman" w:hAnsi="Times New Roman" w:eastAsia="Times New Roman" w:cs="Times New Roman"/>
          <w:spacing w:val="2"/>
          <w:sz w:val="24"/>
          <w:szCs w:val="24"/>
        </w:rPr>
        <w:t>投标人响应采购需求应具体、明确，含糊不清、不确切或伪造、变造证明材料的，按照不完全响应或者完全不响应处理。构成提供虚假材料的，移送监管部门查处。</w:t>
      </w:r>
    </w:p>
    <w:p>
      <w:pPr>
        <w:keepNext w:val="0"/>
        <w:keepLines w:val="0"/>
        <w:pageBreakBefore w:val="0"/>
        <w:widowControl w:val="0"/>
        <w:kinsoku/>
        <w:wordWrap/>
        <w:overflowPunct/>
        <w:topLinePunct w:val="0"/>
        <w:autoSpaceDE/>
        <w:autoSpaceDN/>
        <w:bidi w:val="0"/>
        <w:adjustRightInd/>
        <w:snapToGrid/>
        <w:spacing w:before="183" w:line="240" w:lineRule="auto"/>
        <w:ind w:right="113" w:firstLine="488" w:firstLineChars="200"/>
        <w:jc w:val="both"/>
        <w:textAlignment w:val="auto"/>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w:t>
      </w:r>
      <w:r>
        <w:rPr>
          <w:rFonts w:hint="eastAsia" w:ascii="Times New Roman" w:hAnsi="Times New Roman" w:eastAsia="宋体" w:cs="Times New Roman"/>
          <w:spacing w:val="2"/>
          <w:sz w:val="24"/>
          <w:szCs w:val="24"/>
          <w:lang w:eastAsia="zh-CN"/>
        </w:rPr>
        <w:t>.</w:t>
      </w:r>
      <w:r>
        <w:rPr>
          <w:rFonts w:ascii="Times New Roman" w:hAnsi="Times New Roman" w:eastAsia="Times New Roman" w:cs="Times New Roman"/>
          <w:spacing w:val="2"/>
          <w:sz w:val="24"/>
          <w:szCs w:val="24"/>
        </w:rPr>
        <w:t>本表内容不得擅自修改。</w:t>
      </w:r>
    </w:p>
    <w:p>
      <w:pPr>
        <w:pStyle w:val="14"/>
        <w:spacing w:line="257" w:lineRule="auto"/>
      </w:pPr>
    </w:p>
    <w:p>
      <w:pPr>
        <w:pStyle w:val="14"/>
        <w:spacing w:line="258" w:lineRule="auto"/>
      </w:pPr>
    </w:p>
    <w:p>
      <w:pPr>
        <w:spacing w:before="79" w:line="478" w:lineRule="auto"/>
        <w:ind w:left="441"/>
        <w:rPr>
          <w:rFonts w:ascii="宋体" w:hAnsi="宋体" w:eastAsia="宋体" w:cs="宋体"/>
          <w:sz w:val="24"/>
          <w:szCs w:val="24"/>
        </w:rPr>
      </w:pPr>
      <w:r>
        <w:rPr>
          <w:rFonts w:ascii="宋体" w:hAnsi="宋体" w:eastAsia="宋体" w:cs="宋体"/>
          <w:spacing w:val="-1"/>
          <w:sz w:val="24"/>
          <w:szCs w:val="24"/>
        </w:rPr>
        <w:t>投标人法定代表人（电子签名）：</w:t>
      </w:r>
      <w:r>
        <w:rPr>
          <w:rFonts w:ascii="宋体" w:hAnsi="宋体" w:eastAsia="宋体" w:cs="宋体"/>
          <w:sz w:val="24"/>
          <w:szCs w:val="24"/>
          <w:u w:val="single" w:color="auto"/>
        </w:rPr>
        <w:t xml:space="preserve">                  </w:t>
      </w:r>
    </w:p>
    <w:p>
      <w:pPr>
        <w:spacing w:before="1" w:line="218" w:lineRule="auto"/>
        <w:ind w:left="441"/>
        <w:rPr>
          <w:rFonts w:ascii="宋体" w:hAnsi="宋体" w:eastAsia="宋体" w:cs="宋体"/>
          <w:sz w:val="24"/>
          <w:szCs w:val="24"/>
        </w:rPr>
      </w:pPr>
      <w:r>
        <w:rPr>
          <w:rFonts w:ascii="宋体" w:hAnsi="宋体" w:eastAsia="宋体" w:cs="宋体"/>
          <w:spacing w:val="-2"/>
          <w:sz w:val="24"/>
          <w:szCs w:val="24"/>
        </w:rPr>
        <w:t>投标人名称（电子签章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pStyle w:val="14"/>
        <w:spacing w:line="260" w:lineRule="auto"/>
      </w:pPr>
    </w:p>
    <w:p>
      <w:pPr>
        <w:spacing w:before="78" w:line="219" w:lineRule="auto"/>
        <w:ind w:left="480"/>
        <w:rPr>
          <w:rFonts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13"/>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53"/>
          <w:sz w:val="24"/>
          <w:szCs w:val="24"/>
        </w:rPr>
        <w:t xml:space="preserve"> </w:t>
      </w:r>
      <w:r>
        <w:rPr>
          <w:rFonts w:ascii="宋体" w:hAnsi="宋体" w:eastAsia="宋体" w:cs="宋体"/>
          <w:spacing w:val="-13"/>
          <w:sz w:val="24"/>
          <w:szCs w:val="24"/>
        </w:rPr>
        <w:t>日</w:t>
      </w:r>
    </w:p>
    <w:p>
      <w:pPr>
        <w:spacing w:before="78" w:line="219" w:lineRule="auto"/>
        <w:rPr>
          <w:rFonts w:ascii="宋体" w:hAnsi="宋体" w:eastAsia="宋体" w:cs="宋体"/>
          <w:b/>
          <w:bCs/>
          <w:sz w:val="28"/>
          <w:szCs w:val="28"/>
        </w:rPr>
      </w:pPr>
      <w:r>
        <w:rPr>
          <w:rFonts w:ascii="宋体" w:hAnsi="宋体" w:eastAsia="宋体" w:cs="宋体"/>
          <w:b/>
          <w:bCs/>
          <w:spacing w:val="-1"/>
          <w:sz w:val="28"/>
          <w:szCs w:val="28"/>
        </w:rPr>
        <w:t>（七）商务条款偏离说明表</w:t>
      </w:r>
    </w:p>
    <w:p>
      <w:pPr>
        <w:spacing w:before="183" w:line="219" w:lineRule="auto"/>
        <w:ind w:left="435"/>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pPr>
        <w:spacing w:before="215" w:line="219" w:lineRule="auto"/>
        <w:ind w:left="435"/>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pPr>
        <w:spacing w:line="21" w:lineRule="exact"/>
      </w:pPr>
    </w:p>
    <w:tbl>
      <w:tblPr>
        <w:tblStyle w:val="114"/>
        <w:tblW w:w="9122"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2626"/>
        <w:gridCol w:w="3291"/>
        <w:gridCol w:w="2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4" w:type="dxa"/>
            <w:noWrap w:val="0"/>
            <w:vAlign w:val="top"/>
          </w:tcPr>
          <w:p>
            <w:pPr>
              <w:pStyle w:val="113"/>
              <w:spacing w:before="226" w:line="221" w:lineRule="auto"/>
              <w:ind w:left="115"/>
            </w:pPr>
            <w:r>
              <w:rPr>
                <w:spacing w:val="-5"/>
              </w:rPr>
              <w:t>序号</w:t>
            </w:r>
          </w:p>
        </w:tc>
        <w:tc>
          <w:tcPr>
            <w:tcW w:w="2626" w:type="dxa"/>
            <w:noWrap w:val="0"/>
            <w:vAlign w:val="top"/>
          </w:tcPr>
          <w:p>
            <w:pPr>
              <w:pStyle w:val="113"/>
              <w:spacing w:before="227" w:line="219" w:lineRule="auto"/>
              <w:ind w:left="358"/>
            </w:pPr>
            <w:r>
              <w:rPr>
                <w:spacing w:val="-2"/>
              </w:rPr>
              <w:t>招标文件要求部分</w:t>
            </w:r>
          </w:p>
        </w:tc>
        <w:tc>
          <w:tcPr>
            <w:tcW w:w="3291" w:type="dxa"/>
            <w:noWrap w:val="0"/>
            <w:vAlign w:val="top"/>
          </w:tcPr>
          <w:p>
            <w:pPr>
              <w:pStyle w:val="113"/>
              <w:spacing w:before="227" w:line="219" w:lineRule="auto"/>
              <w:ind w:left="693"/>
            </w:pPr>
            <w:r>
              <w:rPr>
                <w:spacing w:val="-2"/>
              </w:rPr>
              <w:t>投标服务响应部分</w:t>
            </w:r>
          </w:p>
        </w:tc>
        <w:tc>
          <w:tcPr>
            <w:tcW w:w="2371" w:type="dxa"/>
            <w:noWrap w:val="0"/>
            <w:vAlign w:val="top"/>
          </w:tcPr>
          <w:p>
            <w:pPr>
              <w:pStyle w:val="113"/>
              <w:spacing w:before="227" w:line="219" w:lineRule="auto"/>
              <w:ind w:left="711"/>
            </w:pPr>
            <w:r>
              <w:rPr>
                <w:spacing w:val="-3"/>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noWrap w:val="0"/>
            <w:vAlign w:val="top"/>
          </w:tcPr>
          <w:p>
            <w:pPr>
              <w:pStyle w:val="113"/>
              <w:spacing w:before="261" w:line="184" w:lineRule="auto"/>
              <w:ind w:left="381"/>
            </w:pPr>
            <w:r>
              <w:t>1</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noWrap w:val="0"/>
            <w:vAlign w:val="top"/>
          </w:tcPr>
          <w:p>
            <w:pPr>
              <w:pStyle w:val="113"/>
              <w:spacing w:before="262" w:line="183" w:lineRule="auto"/>
              <w:ind w:left="366"/>
            </w:pPr>
            <w:r>
              <w:t>2</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noWrap w:val="0"/>
            <w:vAlign w:val="top"/>
          </w:tcPr>
          <w:p>
            <w:pPr>
              <w:pStyle w:val="113"/>
              <w:spacing w:before="263" w:line="183" w:lineRule="auto"/>
              <w:ind w:left="368"/>
            </w:pPr>
            <w:r>
              <w:t>3</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noWrap w:val="0"/>
            <w:vAlign w:val="top"/>
          </w:tcPr>
          <w:p>
            <w:pPr>
              <w:pStyle w:val="113"/>
              <w:spacing w:before="262" w:line="183" w:lineRule="auto"/>
              <w:ind w:left="362"/>
            </w:pPr>
            <w:r>
              <w:t>4</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noWrap w:val="0"/>
            <w:vAlign w:val="top"/>
          </w:tcPr>
          <w:p>
            <w:pPr>
              <w:pStyle w:val="113"/>
              <w:spacing w:before="266" w:line="182" w:lineRule="auto"/>
              <w:ind w:left="368"/>
            </w:pPr>
            <w:r>
              <w:t>5</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noWrap w:val="0"/>
            <w:vAlign w:val="top"/>
          </w:tcPr>
          <w:p>
            <w:pPr>
              <w:pStyle w:val="113"/>
              <w:spacing w:before="265" w:line="183" w:lineRule="auto"/>
              <w:ind w:left="365"/>
            </w:pPr>
            <w:r>
              <w:t>6</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noWrap w:val="0"/>
            <w:vAlign w:val="top"/>
          </w:tcPr>
          <w:p>
            <w:pPr>
              <w:pStyle w:val="113"/>
              <w:spacing w:before="266" w:line="182" w:lineRule="auto"/>
              <w:ind w:left="369"/>
            </w:pPr>
            <w:r>
              <w:t>7</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noWrap w:val="0"/>
            <w:vAlign w:val="top"/>
          </w:tcPr>
          <w:p>
            <w:pPr>
              <w:pStyle w:val="113"/>
              <w:spacing w:before="264" w:line="183" w:lineRule="auto"/>
              <w:ind w:left="364"/>
            </w:pPr>
            <w:r>
              <w:t>8</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4" w:type="dxa"/>
            <w:noWrap w:val="0"/>
            <w:vAlign w:val="top"/>
          </w:tcPr>
          <w:p>
            <w:pPr>
              <w:spacing w:line="325" w:lineRule="auto"/>
              <w:rPr>
                <w:rFonts w:ascii="Arial"/>
                <w:sz w:val="21"/>
              </w:rPr>
            </w:pPr>
          </w:p>
          <w:p>
            <w:pPr>
              <w:pStyle w:val="113"/>
              <w:spacing w:before="78" w:line="99" w:lineRule="exact"/>
              <w:ind w:left="250"/>
            </w:pPr>
            <w:r>
              <w:rPr>
                <w:position w:val="1"/>
              </w:rPr>
              <w:t>...</w:t>
            </w:r>
          </w:p>
        </w:tc>
        <w:tc>
          <w:tcPr>
            <w:tcW w:w="2626" w:type="dxa"/>
            <w:noWrap w:val="0"/>
            <w:vAlign w:val="top"/>
          </w:tcPr>
          <w:p>
            <w:pPr>
              <w:rPr>
                <w:rFonts w:ascii="Arial"/>
                <w:sz w:val="21"/>
              </w:rPr>
            </w:pPr>
          </w:p>
        </w:tc>
        <w:tc>
          <w:tcPr>
            <w:tcW w:w="3291" w:type="dxa"/>
            <w:noWrap w:val="0"/>
            <w:vAlign w:val="top"/>
          </w:tcPr>
          <w:p>
            <w:pPr>
              <w:rPr>
                <w:rFonts w:ascii="Arial"/>
                <w:sz w:val="21"/>
              </w:rPr>
            </w:pPr>
          </w:p>
        </w:tc>
        <w:tc>
          <w:tcPr>
            <w:tcW w:w="2371" w:type="dxa"/>
            <w:noWrap w:val="0"/>
            <w:vAlign w:val="top"/>
          </w:tcPr>
          <w:p>
            <w:pPr>
              <w:rPr>
                <w:rFonts w:ascii="Arial"/>
                <w:sz w:val="21"/>
              </w:rPr>
            </w:pPr>
          </w:p>
        </w:tc>
      </w:tr>
    </w:tbl>
    <w:p>
      <w:pPr>
        <w:spacing w:before="37" w:line="359" w:lineRule="auto"/>
        <w:ind w:left="436" w:right="111"/>
        <w:jc w:val="both"/>
        <w:rPr>
          <w:rFonts w:ascii="宋体" w:hAnsi="宋体" w:eastAsia="宋体" w:cs="宋体"/>
          <w:spacing w:val="-4"/>
          <w:sz w:val="24"/>
          <w:szCs w:val="24"/>
        </w:rPr>
      </w:pPr>
      <w:r>
        <w:rPr>
          <w:rFonts w:ascii="宋体" w:hAnsi="宋体" w:eastAsia="宋体" w:cs="宋体"/>
          <w:spacing w:val="-4"/>
          <w:sz w:val="24"/>
          <w:szCs w:val="24"/>
        </w:rPr>
        <w:t>注：</w:t>
      </w:r>
    </w:p>
    <w:p>
      <w:pPr>
        <w:spacing w:before="37" w:line="359" w:lineRule="auto"/>
        <w:ind w:right="111" w:firstLine="464" w:firstLineChars="200"/>
        <w:jc w:val="both"/>
        <w:rPr>
          <w:rFonts w:ascii="宋体" w:hAnsi="宋体" w:eastAsia="宋体" w:cs="宋体"/>
          <w:spacing w:val="-4"/>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4"/>
          <w:sz w:val="24"/>
          <w:szCs w:val="24"/>
        </w:rPr>
        <w:t xml:space="preserve"> </w:t>
      </w:r>
      <w:r>
        <w:rPr>
          <w:rFonts w:hint="eastAsia" w:ascii="Times New Roman" w:hAnsi="Times New Roman" w:eastAsia="宋体" w:cs="Times New Roman"/>
          <w:spacing w:val="-34"/>
          <w:sz w:val="24"/>
          <w:szCs w:val="24"/>
          <w:lang w:val="en-US" w:eastAsia="zh-CN"/>
        </w:rPr>
        <w:t>.</w:t>
      </w:r>
      <w:r>
        <w:rPr>
          <w:rFonts w:ascii="宋体" w:hAnsi="宋体" w:eastAsia="宋体" w:cs="宋体"/>
          <w:spacing w:val="-4"/>
          <w:sz w:val="24"/>
          <w:szCs w:val="24"/>
        </w:rPr>
        <w:t>有偏离的商务条款须在该表中逐一列明，并</w:t>
      </w:r>
      <w:r>
        <w:rPr>
          <w:rFonts w:ascii="宋体" w:hAnsi="宋体" w:eastAsia="宋体" w:cs="宋体"/>
          <w:spacing w:val="-5"/>
          <w:sz w:val="24"/>
          <w:szCs w:val="24"/>
        </w:rPr>
        <w:t>在“投标服务响应部分</w:t>
      </w:r>
      <w:r>
        <w:rPr>
          <w:rFonts w:ascii="宋体" w:hAnsi="宋体" w:eastAsia="宋体" w:cs="宋体"/>
          <w:spacing w:val="-88"/>
          <w:sz w:val="24"/>
          <w:szCs w:val="24"/>
        </w:rPr>
        <w:t xml:space="preserve"> </w:t>
      </w:r>
      <w:r>
        <w:rPr>
          <w:rFonts w:ascii="宋体" w:hAnsi="宋体" w:eastAsia="宋体" w:cs="宋体"/>
          <w:spacing w:val="-5"/>
          <w:sz w:val="24"/>
          <w:szCs w:val="24"/>
        </w:rPr>
        <w:t>”栏填写具</w:t>
      </w:r>
      <w:r>
        <w:rPr>
          <w:rFonts w:ascii="宋体" w:hAnsi="宋体" w:eastAsia="宋体" w:cs="宋体"/>
          <w:spacing w:val="-1"/>
          <w:sz w:val="24"/>
          <w:szCs w:val="24"/>
        </w:rPr>
        <w:t>体应答内容，在“偏离说明</w:t>
      </w:r>
      <w:r>
        <w:rPr>
          <w:rFonts w:ascii="宋体" w:hAnsi="宋体" w:eastAsia="宋体" w:cs="宋体"/>
          <w:spacing w:val="-70"/>
          <w:sz w:val="24"/>
          <w:szCs w:val="24"/>
        </w:rPr>
        <w:t xml:space="preserve"> </w:t>
      </w:r>
      <w:r>
        <w:rPr>
          <w:rFonts w:ascii="宋体" w:hAnsi="宋体" w:eastAsia="宋体" w:cs="宋体"/>
          <w:spacing w:val="-1"/>
          <w:sz w:val="24"/>
          <w:szCs w:val="24"/>
        </w:rPr>
        <w:t>”中说明偏离具体情形。若无偏离请在“投标服务响应部</w:t>
      </w:r>
      <w:r>
        <w:rPr>
          <w:rFonts w:ascii="宋体" w:hAnsi="宋体" w:eastAsia="宋体" w:cs="宋体"/>
          <w:spacing w:val="-4"/>
          <w:sz w:val="24"/>
          <w:szCs w:val="24"/>
        </w:rPr>
        <w:t>分</w:t>
      </w:r>
      <w:r>
        <w:rPr>
          <w:rFonts w:ascii="宋体" w:hAnsi="宋体" w:eastAsia="宋体" w:cs="宋体"/>
          <w:spacing w:val="-89"/>
          <w:sz w:val="24"/>
          <w:szCs w:val="24"/>
        </w:rPr>
        <w:t xml:space="preserve"> </w:t>
      </w:r>
      <w:r>
        <w:rPr>
          <w:rFonts w:ascii="宋体" w:hAnsi="宋体" w:eastAsia="宋体" w:cs="宋体"/>
          <w:spacing w:val="-4"/>
          <w:sz w:val="24"/>
          <w:szCs w:val="24"/>
        </w:rPr>
        <w:t>”中填写“无偏离</w:t>
      </w:r>
      <w:r>
        <w:rPr>
          <w:rFonts w:ascii="宋体" w:hAnsi="宋体" w:eastAsia="宋体" w:cs="宋体"/>
          <w:spacing w:val="-88"/>
          <w:sz w:val="24"/>
          <w:szCs w:val="24"/>
        </w:rPr>
        <w:t xml:space="preserve"> </w:t>
      </w:r>
      <w:r>
        <w:rPr>
          <w:rFonts w:ascii="宋体" w:hAnsi="宋体" w:eastAsia="宋体" w:cs="宋体"/>
          <w:spacing w:val="-4"/>
          <w:sz w:val="24"/>
          <w:szCs w:val="24"/>
        </w:rPr>
        <w:t>”。</w:t>
      </w:r>
    </w:p>
    <w:p>
      <w:pPr>
        <w:spacing w:before="37" w:line="359" w:lineRule="auto"/>
        <w:ind w:right="111" w:firstLine="464" w:firstLineChars="200"/>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w:t>
      </w:r>
      <w:r>
        <w:rPr>
          <w:rFonts w:hint="eastAsia" w:ascii="Times New Roman" w:hAnsi="Times New Roman" w:eastAsia="宋体" w:cs="Times New Roman"/>
          <w:spacing w:val="-4"/>
          <w:sz w:val="24"/>
          <w:szCs w:val="24"/>
          <w:lang w:val="en-US" w:eastAsia="zh-CN"/>
        </w:rPr>
        <w:t>.</w:t>
      </w:r>
      <w:r>
        <w:rPr>
          <w:rFonts w:ascii="Times New Roman" w:hAnsi="Times New Roman" w:eastAsia="Times New Roman" w:cs="Times New Roman"/>
          <w:spacing w:val="-4"/>
          <w:sz w:val="24"/>
          <w:szCs w:val="24"/>
        </w:rPr>
        <w:t>未声明部分将被视为已接受磋商文件要求，签约时未经招标方同意不得改变。</w:t>
      </w:r>
    </w:p>
    <w:p>
      <w:pPr>
        <w:spacing w:before="37" w:line="359" w:lineRule="auto"/>
        <w:ind w:right="111" w:firstLine="464" w:firstLineChars="200"/>
        <w:jc w:val="both"/>
        <w:rPr>
          <w:rFonts w:ascii="Times New Roman" w:hAnsi="Times New Roman" w:eastAsia="Times New Roman" w:cs="Times New Roman"/>
          <w:spacing w:val="-4"/>
          <w:sz w:val="24"/>
          <w:szCs w:val="24"/>
        </w:rPr>
      </w:pPr>
      <w:r>
        <w:rPr>
          <w:rFonts w:hint="eastAsia" w:ascii="Times New Roman" w:hAnsi="Times New Roman" w:eastAsia="宋体" w:cs="Times New Roman"/>
          <w:spacing w:val="-4"/>
          <w:sz w:val="24"/>
          <w:szCs w:val="24"/>
          <w:lang w:val="en-US" w:eastAsia="zh-CN"/>
        </w:rPr>
        <w:t>3.</w:t>
      </w:r>
      <w:r>
        <w:rPr>
          <w:rFonts w:ascii="Times New Roman" w:hAnsi="Times New Roman" w:eastAsia="Times New Roman" w:cs="Times New Roman"/>
          <w:spacing w:val="-4"/>
          <w:sz w:val="24"/>
          <w:szCs w:val="24"/>
        </w:rPr>
        <w:t>供应商可根据其响应内容进一步细化上述表格，并可增添其它表格或说明以便进一步明确响应内容。</w:t>
      </w:r>
    </w:p>
    <w:p>
      <w:pPr>
        <w:pStyle w:val="14"/>
        <w:spacing w:line="243" w:lineRule="auto"/>
      </w:pPr>
    </w:p>
    <w:p>
      <w:pPr>
        <w:pStyle w:val="14"/>
        <w:spacing w:line="243" w:lineRule="auto"/>
      </w:pPr>
    </w:p>
    <w:p>
      <w:pPr>
        <w:pStyle w:val="14"/>
        <w:spacing w:line="243" w:lineRule="auto"/>
      </w:pPr>
    </w:p>
    <w:p>
      <w:pPr>
        <w:spacing w:before="79" w:line="480" w:lineRule="auto"/>
        <w:ind w:left="439"/>
        <w:rPr>
          <w:rFonts w:ascii="宋体" w:hAnsi="宋体" w:eastAsia="宋体" w:cs="宋体"/>
          <w:sz w:val="24"/>
          <w:szCs w:val="24"/>
        </w:rPr>
      </w:pPr>
      <w:r>
        <w:rPr>
          <w:rFonts w:ascii="宋体" w:hAnsi="宋体" w:eastAsia="宋体" w:cs="宋体"/>
          <w:spacing w:val="-1"/>
          <w:sz w:val="24"/>
          <w:szCs w:val="24"/>
        </w:rPr>
        <w:t>投标人法定代表人（电子签名）：</w:t>
      </w:r>
      <w:r>
        <w:rPr>
          <w:rFonts w:ascii="宋体" w:hAnsi="宋体" w:eastAsia="宋体" w:cs="宋体"/>
          <w:sz w:val="24"/>
          <w:szCs w:val="24"/>
          <w:u w:val="single" w:color="auto"/>
        </w:rPr>
        <w:t xml:space="preserve">                  </w:t>
      </w:r>
    </w:p>
    <w:p>
      <w:pPr>
        <w:spacing w:before="1" w:line="218" w:lineRule="auto"/>
        <w:ind w:left="439"/>
        <w:rPr>
          <w:rFonts w:ascii="宋体" w:hAnsi="宋体" w:eastAsia="宋体" w:cs="宋体"/>
          <w:sz w:val="24"/>
          <w:szCs w:val="24"/>
        </w:rPr>
      </w:pPr>
      <w:r>
        <w:rPr>
          <w:rFonts w:ascii="宋体" w:hAnsi="宋体" w:eastAsia="宋体" w:cs="宋体"/>
          <w:spacing w:val="-2"/>
          <w:sz w:val="24"/>
          <w:szCs w:val="24"/>
        </w:rPr>
        <w:t>投标人名称（电子签章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pStyle w:val="14"/>
        <w:spacing w:line="258" w:lineRule="auto"/>
      </w:pPr>
    </w:p>
    <w:p>
      <w:pPr>
        <w:spacing w:before="78" w:line="219" w:lineRule="auto"/>
        <w:ind w:left="47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13"/>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53"/>
          <w:sz w:val="24"/>
          <w:szCs w:val="24"/>
        </w:rPr>
        <w:t xml:space="preserve"> </w:t>
      </w:r>
      <w:r>
        <w:rPr>
          <w:rFonts w:ascii="宋体" w:hAnsi="宋体" w:eastAsia="宋体" w:cs="宋体"/>
          <w:spacing w:val="-13"/>
          <w:sz w:val="24"/>
          <w:szCs w:val="24"/>
        </w:rPr>
        <w:t>日</w:t>
      </w:r>
    </w:p>
    <w:p>
      <w:pPr>
        <w:pStyle w:val="14"/>
        <w:shd w:val="clear" w:color="auto" w:fill="auto"/>
        <w:kinsoku w:val="0"/>
        <w:overflowPunct w:val="0"/>
        <w:spacing w:line="480" w:lineRule="auto"/>
        <w:jc w:val="both"/>
        <w:outlineLvl w:val="0"/>
        <w:rPr>
          <w:rFonts w:hint="eastAsia" w:ascii="宋体" w:hAnsi="宋体" w:eastAsia="宋体" w:cs="宋体"/>
          <w:color w:val="auto"/>
          <w:spacing w:val="2"/>
          <w:sz w:val="44"/>
          <w:szCs w:val="44"/>
          <w:highlight w:val="none"/>
        </w:rPr>
      </w:pPr>
    </w:p>
    <w:p>
      <w:pPr>
        <w:spacing w:before="299" w:line="220" w:lineRule="auto"/>
        <w:outlineLvl w:val="1"/>
        <w:rPr>
          <w:rFonts w:ascii="宋体" w:hAnsi="宋体" w:eastAsia="宋体" w:cs="宋体"/>
          <w:b/>
          <w:bCs/>
          <w:sz w:val="28"/>
          <w:szCs w:val="28"/>
        </w:rPr>
      </w:pPr>
      <w:r>
        <w:rPr>
          <w:rFonts w:ascii="宋体" w:hAnsi="宋体" w:eastAsia="宋体" w:cs="宋体"/>
          <w:b/>
          <w:bCs/>
          <w:spacing w:val="-1"/>
          <w:sz w:val="28"/>
          <w:szCs w:val="28"/>
        </w:rPr>
        <w:t>（八）技术条款偏离说明表</w:t>
      </w:r>
    </w:p>
    <w:p>
      <w:pPr>
        <w:pStyle w:val="14"/>
        <w:spacing w:line="379" w:lineRule="auto"/>
      </w:pPr>
    </w:p>
    <w:p>
      <w:pPr>
        <w:spacing w:before="183" w:line="219" w:lineRule="auto"/>
        <w:ind w:left="435"/>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pPr>
        <w:spacing w:before="215" w:line="219" w:lineRule="auto"/>
        <w:ind w:left="435"/>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pPr>
        <w:spacing w:line="22" w:lineRule="exact"/>
      </w:pPr>
    </w:p>
    <w:tbl>
      <w:tblPr>
        <w:tblStyle w:val="114"/>
        <w:tblW w:w="8711"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556"/>
        <w:gridCol w:w="2587"/>
        <w:gridCol w:w="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3" w:type="dxa"/>
            <w:noWrap w:val="0"/>
            <w:vAlign w:val="top"/>
          </w:tcPr>
          <w:p>
            <w:pPr>
              <w:pStyle w:val="113"/>
              <w:spacing w:before="298" w:line="221" w:lineRule="auto"/>
              <w:ind w:left="197"/>
            </w:pPr>
            <w:r>
              <w:rPr>
                <w:spacing w:val="-5"/>
              </w:rPr>
              <w:t>序号</w:t>
            </w:r>
          </w:p>
        </w:tc>
        <w:tc>
          <w:tcPr>
            <w:tcW w:w="2556" w:type="dxa"/>
            <w:noWrap w:val="0"/>
            <w:vAlign w:val="top"/>
          </w:tcPr>
          <w:p>
            <w:pPr>
              <w:pStyle w:val="113"/>
              <w:spacing w:before="299" w:line="219" w:lineRule="auto"/>
              <w:ind w:left="203"/>
            </w:pPr>
            <w:r>
              <w:rPr>
                <w:spacing w:val="-1"/>
              </w:rPr>
              <w:t>磋商文件的技术条款</w:t>
            </w:r>
          </w:p>
        </w:tc>
        <w:tc>
          <w:tcPr>
            <w:tcW w:w="2587" w:type="dxa"/>
            <w:noWrap w:val="0"/>
            <w:vAlign w:val="top"/>
          </w:tcPr>
          <w:p>
            <w:pPr>
              <w:pStyle w:val="113"/>
              <w:spacing w:before="299" w:line="219" w:lineRule="auto"/>
              <w:ind w:left="233"/>
            </w:pPr>
            <w:r>
              <w:rPr>
                <w:spacing w:val="-3"/>
              </w:rPr>
              <w:t>响应文件的技术条款</w:t>
            </w:r>
          </w:p>
        </w:tc>
        <w:tc>
          <w:tcPr>
            <w:tcW w:w="2705" w:type="dxa"/>
            <w:noWrap w:val="0"/>
            <w:vAlign w:val="top"/>
          </w:tcPr>
          <w:p>
            <w:pPr>
              <w:pStyle w:val="113"/>
              <w:spacing w:before="299" w:line="219" w:lineRule="auto"/>
              <w:ind w:left="878"/>
            </w:pPr>
            <w:r>
              <w:rPr>
                <w:spacing w:val="-3"/>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63" w:type="dxa"/>
            <w:noWrap w:val="0"/>
            <w:vAlign w:val="top"/>
          </w:tcPr>
          <w:p>
            <w:pPr>
              <w:spacing w:line="291" w:lineRule="auto"/>
              <w:rPr>
                <w:rFonts w:ascii="Arial"/>
                <w:sz w:val="21"/>
              </w:rPr>
            </w:pPr>
          </w:p>
          <w:p>
            <w:pPr>
              <w:spacing w:before="69" w:line="188" w:lineRule="auto"/>
              <w:ind w:left="397"/>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63" w:type="dxa"/>
            <w:noWrap w:val="0"/>
            <w:vAlign w:val="top"/>
          </w:tcPr>
          <w:p>
            <w:pPr>
              <w:spacing w:line="293" w:lineRule="auto"/>
              <w:rPr>
                <w:rFonts w:ascii="Arial"/>
                <w:sz w:val="21"/>
              </w:rPr>
            </w:pPr>
          </w:p>
          <w:p>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63" w:type="dxa"/>
            <w:noWrap w:val="0"/>
            <w:vAlign w:val="top"/>
          </w:tcPr>
          <w:p>
            <w:pPr>
              <w:spacing w:line="292"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63" w:type="dxa"/>
            <w:noWrap w:val="0"/>
            <w:vAlign w:val="top"/>
          </w:tcPr>
          <w:p>
            <w:pPr>
              <w:spacing w:line="293" w:lineRule="auto"/>
              <w:rPr>
                <w:rFonts w:ascii="Arial"/>
                <w:sz w:val="21"/>
              </w:rPr>
            </w:pPr>
          </w:p>
          <w:p>
            <w:pPr>
              <w:spacing w:before="69" w:line="188" w:lineRule="auto"/>
              <w:ind w:left="37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63" w:type="dxa"/>
            <w:noWrap w:val="0"/>
            <w:vAlign w:val="top"/>
          </w:tcPr>
          <w:p>
            <w:pPr>
              <w:spacing w:line="296" w:lineRule="auto"/>
              <w:rPr>
                <w:rFonts w:ascii="Arial"/>
                <w:sz w:val="21"/>
              </w:rPr>
            </w:pPr>
          </w:p>
          <w:p>
            <w:pPr>
              <w:spacing w:before="69" w:line="185"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63" w:type="dxa"/>
            <w:noWrap w:val="0"/>
            <w:vAlign w:val="top"/>
          </w:tcPr>
          <w:p>
            <w:pPr>
              <w:spacing w:line="295" w:lineRule="auto"/>
              <w:rPr>
                <w:rFonts w:ascii="Arial"/>
                <w:sz w:val="21"/>
              </w:rPr>
            </w:pPr>
          </w:p>
          <w:p>
            <w:pPr>
              <w:spacing w:before="69" w:line="188" w:lineRule="auto"/>
              <w:ind w:left="37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63" w:type="dxa"/>
            <w:noWrap w:val="0"/>
            <w:vAlign w:val="top"/>
          </w:tcPr>
          <w:p>
            <w:pPr>
              <w:spacing w:line="436" w:lineRule="auto"/>
              <w:rPr>
                <w:rFonts w:ascii="Arial"/>
                <w:sz w:val="21"/>
              </w:rPr>
            </w:pPr>
          </w:p>
          <w:p>
            <w:pPr>
              <w:spacing w:before="69" w:line="74" w:lineRule="exact"/>
              <w:ind w:left="33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556" w:type="dxa"/>
            <w:noWrap w:val="0"/>
            <w:vAlign w:val="top"/>
          </w:tcPr>
          <w:p>
            <w:pPr>
              <w:rPr>
                <w:rFonts w:ascii="Arial"/>
                <w:sz w:val="21"/>
              </w:rPr>
            </w:pPr>
          </w:p>
        </w:tc>
        <w:tc>
          <w:tcPr>
            <w:tcW w:w="2587" w:type="dxa"/>
            <w:noWrap w:val="0"/>
            <w:vAlign w:val="top"/>
          </w:tcPr>
          <w:p>
            <w:pPr>
              <w:rPr>
                <w:rFonts w:ascii="Arial"/>
                <w:sz w:val="21"/>
              </w:rPr>
            </w:pPr>
          </w:p>
        </w:tc>
        <w:tc>
          <w:tcPr>
            <w:tcW w:w="2705" w:type="dxa"/>
            <w:noWrap w:val="0"/>
            <w:vAlign w:val="top"/>
          </w:tcPr>
          <w:p>
            <w:pPr>
              <w:rPr>
                <w:rFonts w:ascii="Arial"/>
                <w:sz w:val="21"/>
              </w:rPr>
            </w:pPr>
          </w:p>
        </w:tc>
      </w:tr>
    </w:tbl>
    <w:p>
      <w:pPr>
        <w:spacing w:before="36" w:line="359" w:lineRule="auto"/>
        <w:ind w:left="438"/>
        <w:jc w:val="both"/>
        <w:rPr>
          <w:rFonts w:ascii="宋体" w:hAnsi="宋体" w:eastAsia="宋体" w:cs="宋体"/>
          <w:spacing w:val="2"/>
          <w:sz w:val="24"/>
          <w:szCs w:val="24"/>
        </w:rPr>
      </w:pPr>
      <w:r>
        <w:rPr>
          <w:rFonts w:ascii="宋体" w:hAnsi="宋体" w:eastAsia="宋体" w:cs="宋体"/>
          <w:spacing w:val="2"/>
          <w:sz w:val="24"/>
          <w:szCs w:val="24"/>
        </w:rPr>
        <w:t>注：</w:t>
      </w:r>
    </w:p>
    <w:p>
      <w:pPr>
        <w:spacing w:before="37" w:line="359" w:lineRule="auto"/>
        <w:ind w:right="111" w:firstLine="464" w:firstLineChars="200"/>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w:t>
      </w:r>
      <w:r>
        <w:rPr>
          <w:rFonts w:hint="eastAsia" w:ascii="Times New Roman" w:hAnsi="Times New Roman" w:eastAsia="宋体" w:cs="Times New Roman"/>
          <w:spacing w:val="-4"/>
          <w:sz w:val="24"/>
          <w:szCs w:val="24"/>
          <w:lang w:val="en-US" w:eastAsia="zh-CN"/>
        </w:rPr>
        <w:t>.</w:t>
      </w:r>
      <w:r>
        <w:rPr>
          <w:rFonts w:ascii="Times New Roman" w:hAnsi="Times New Roman" w:eastAsia="Times New Roman" w:cs="Times New Roman"/>
          <w:spacing w:val="-4"/>
          <w:sz w:val="24"/>
          <w:szCs w:val="24"/>
        </w:rPr>
        <w:t>有偏离的技术条款须在该表中逐一列明，并在“响应文件的技术条款 ” 栏填写具体应答内容，在“偏离说明 ”中说明偏离具体情形。若无偏离请在“响应文件的技术条款 ”中填写“无偏离 ”。</w:t>
      </w:r>
    </w:p>
    <w:p>
      <w:pPr>
        <w:spacing w:before="37" w:line="359" w:lineRule="auto"/>
        <w:ind w:right="111" w:firstLine="464" w:firstLineChars="200"/>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w:t>
      </w:r>
      <w:r>
        <w:rPr>
          <w:rFonts w:hint="eastAsia" w:ascii="Times New Roman" w:hAnsi="Times New Roman" w:eastAsia="宋体" w:cs="Times New Roman"/>
          <w:spacing w:val="-4"/>
          <w:sz w:val="24"/>
          <w:szCs w:val="24"/>
          <w:lang w:val="en-US" w:eastAsia="zh-CN"/>
        </w:rPr>
        <w:t>.</w:t>
      </w:r>
      <w:r>
        <w:rPr>
          <w:rFonts w:ascii="Times New Roman" w:hAnsi="Times New Roman" w:eastAsia="Times New Roman" w:cs="Times New Roman"/>
          <w:spacing w:val="-4"/>
          <w:sz w:val="24"/>
          <w:szCs w:val="24"/>
        </w:rPr>
        <w:t>未声明部分将被视为已接受磋商文件要求，签约时未经采购方同意不得改变。</w:t>
      </w:r>
    </w:p>
    <w:p>
      <w:pPr>
        <w:spacing w:before="37" w:line="359" w:lineRule="auto"/>
        <w:ind w:right="111" w:firstLine="464" w:firstLineChars="200"/>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3</w:t>
      </w:r>
      <w:r>
        <w:rPr>
          <w:rFonts w:hint="eastAsia" w:ascii="Times New Roman" w:hAnsi="Times New Roman" w:eastAsia="宋体" w:cs="Times New Roman"/>
          <w:spacing w:val="-4"/>
          <w:sz w:val="24"/>
          <w:szCs w:val="24"/>
          <w:lang w:val="en-US" w:eastAsia="zh-CN"/>
        </w:rPr>
        <w:t>.</w:t>
      </w:r>
      <w:r>
        <w:rPr>
          <w:rFonts w:ascii="Times New Roman" w:hAnsi="Times New Roman" w:eastAsia="Times New Roman" w:cs="Times New Roman"/>
          <w:spacing w:val="-4"/>
          <w:sz w:val="24"/>
          <w:szCs w:val="24"/>
        </w:rPr>
        <w:t>供应商可根据其响应内容进一步细化上述表格，并可增添其它表格或说明以便进一步明确响应内容。</w:t>
      </w:r>
    </w:p>
    <w:p>
      <w:pPr>
        <w:pStyle w:val="14"/>
        <w:spacing w:line="309" w:lineRule="auto"/>
      </w:pPr>
    </w:p>
    <w:p>
      <w:pPr>
        <w:spacing w:before="78" w:line="622" w:lineRule="exact"/>
        <w:ind w:left="441"/>
        <w:rPr>
          <w:rFonts w:ascii="宋体" w:hAnsi="宋体" w:eastAsia="宋体" w:cs="宋体"/>
          <w:spacing w:val="-2"/>
          <w:position w:val="29"/>
          <w:sz w:val="24"/>
          <w:szCs w:val="24"/>
        </w:rPr>
      </w:pPr>
      <w:r>
        <w:rPr>
          <w:rFonts w:ascii="宋体" w:hAnsi="宋体" w:eastAsia="宋体" w:cs="宋体"/>
          <w:spacing w:val="-2"/>
          <w:position w:val="29"/>
          <w:sz w:val="24"/>
          <w:szCs w:val="24"/>
        </w:rPr>
        <w:t>投标人名称（电子签章）：</w:t>
      </w:r>
    </w:p>
    <w:p>
      <w:pPr>
        <w:spacing w:before="78" w:line="622" w:lineRule="exact"/>
        <w:ind w:left="441"/>
        <w:rPr>
          <w:rFonts w:ascii="宋体" w:hAnsi="宋体" w:eastAsia="宋体" w:cs="宋体"/>
          <w:spacing w:val="-2"/>
          <w:position w:val="29"/>
          <w:sz w:val="24"/>
          <w:szCs w:val="24"/>
        </w:rPr>
      </w:pPr>
      <w:r>
        <w:rPr>
          <w:rFonts w:ascii="宋体" w:hAnsi="宋体" w:eastAsia="宋体" w:cs="宋体"/>
          <w:spacing w:val="-2"/>
          <w:position w:val="29"/>
          <w:sz w:val="24"/>
          <w:szCs w:val="24"/>
        </w:rPr>
        <w:t>法定代表人（电子签名）：</w:t>
      </w:r>
    </w:p>
    <w:p>
      <w:pPr>
        <w:spacing w:before="78" w:line="622" w:lineRule="exact"/>
        <w:ind w:firstLine="472" w:firstLineChars="200"/>
      </w:pPr>
      <w:r>
        <w:rPr>
          <w:rFonts w:ascii="宋体" w:hAnsi="宋体" w:eastAsia="宋体" w:cs="宋体"/>
          <w:spacing w:val="-2"/>
          <w:position w:val="29"/>
          <w:sz w:val="24"/>
          <w:szCs w:val="24"/>
        </w:rPr>
        <w:t xml:space="preserve">日   期 </w:t>
      </w:r>
      <w:r>
        <w:rPr>
          <w:rFonts w:hint="eastAsia" w:ascii="宋体" w:hAnsi="宋体" w:eastAsia="宋体" w:cs="宋体"/>
          <w:spacing w:val="-2"/>
          <w:position w:val="29"/>
          <w:sz w:val="24"/>
          <w:szCs w:val="24"/>
          <w:lang w:eastAsia="zh-CN"/>
        </w:rPr>
        <w:t>：</w:t>
      </w:r>
      <w:r>
        <w:rPr>
          <w:rFonts w:hint="eastAsia" w:ascii="宋体" w:hAnsi="宋体" w:eastAsia="宋体" w:cs="宋体"/>
          <w:spacing w:val="-2"/>
          <w:position w:val="29"/>
          <w:sz w:val="24"/>
          <w:szCs w:val="24"/>
          <w:lang w:val="en-US" w:eastAsia="zh-CN"/>
        </w:rPr>
        <w:t xml:space="preserve">    </w:t>
      </w:r>
      <w:r>
        <w:rPr>
          <w:rFonts w:ascii="宋体" w:hAnsi="宋体" w:eastAsia="宋体" w:cs="宋体"/>
          <w:spacing w:val="-2"/>
          <w:position w:val="29"/>
          <w:sz w:val="24"/>
          <w:szCs w:val="24"/>
        </w:rPr>
        <w:t>年   月    日</w:t>
      </w:r>
    </w:p>
    <w:p>
      <w:pPr>
        <w:spacing w:before="299" w:line="220" w:lineRule="auto"/>
        <w:outlineLvl w:val="1"/>
        <w:rPr>
          <w:rFonts w:ascii="宋体" w:hAnsi="宋体" w:eastAsia="宋体" w:cs="宋体"/>
          <w:b/>
          <w:bCs/>
          <w:spacing w:val="-1"/>
          <w:sz w:val="28"/>
          <w:szCs w:val="28"/>
        </w:rPr>
      </w:pPr>
      <w:r>
        <w:rPr>
          <w:rFonts w:ascii="宋体" w:hAnsi="宋体" w:eastAsia="宋体" w:cs="宋体"/>
          <w:b/>
          <w:bCs/>
          <w:spacing w:val="-1"/>
          <w:sz w:val="28"/>
          <w:szCs w:val="28"/>
        </w:rPr>
        <w:t>（九）项目管理人员情况</w:t>
      </w:r>
    </w:p>
    <w:p>
      <w:pPr>
        <w:pStyle w:val="14"/>
        <w:spacing w:line="305" w:lineRule="auto"/>
      </w:pPr>
    </w:p>
    <w:p>
      <w:pPr>
        <w:spacing w:before="91" w:line="212" w:lineRule="auto"/>
        <w:ind w:left="3049"/>
        <w:rPr>
          <w:rFonts w:ascii="宋体" w:hAnsi="宋体" w:eastAsia="宋体" w:cs="宋体"/>
          <w:b/>
          <w:bCs/>
          <w:sz w:val="28"/>
          <w:szCs w:val="28"/>
        </w:rPr>
      </w:pPr>
      <w:r>
        <w:rPr>
          <w:rFonts w:ascii="宋体" w:hAnsi="宋体" w:eastAsia="宋体" w:cs="宋体"/>
          <w:b/>
          <w:bCs/>
          <w:sz w:val="28"/>
          <w:szCs w:val="28"/>
        </w:rPr>
        <w:t>拟委任的主要人员汇总表</w:t>
      </w:r>
    </w:p>
    <w:tbl>
      <w:tblPr>
        <w:tblStyle w:val="114"/>
        <w:tblW w:w="8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91"/>
        <w:gridCol w:w="691"/>
        <w:gridCol w:w="728"/>
        <w:gridCol w:w="1283"/>
        <w:gridCol w:w="765"/>
        <w:gridCol w:w="795"/>
        <w:gridCol w:w="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20" w:type="dxa"/>
            <w:vMerge w:val="restart"/>
            <w:tcBorders>
              <w:bottom w:val="nil"/>
            </w:tcBorders>
            <w:noWrap w:val="0"/>
            <w:vAlign w:val="center"/>
          </w:tcPr>
          <w:p>
            <w:pPr>
              <w:pStyle w:val="113"/>
              <w:spacing w:before="153" w:line="219" w:lineRule="auto"/>
              <w:jc w:val="center"/>
              <w:rPr>
                <w:spacing w:val="-2"/>
              </w:rPr>
            </w:pPr>
            <w:r>
              <w:rPr>
                <w:spacing w:val="-2"/>
              </w:rPr>
              <w:t>序号</w:t>
            </w:r>
          </w:p>
        </w:tc>
        <w:tc>
          <w:tcPr>
            <w:tcW w:w="1274" w:type="dxa"/>
            <w:vMerge w:val="restart"/>
            <w:tcBorders>
              <w:bottom w:val="nil"/>
            </w:tcBorders>
            <w:noWrap w:val="0"/>
            <w:vAlign w:val="center"/>
          </w:tcPr>
          <w:p>
            <w:pPr>
              <w:pStyle w:val="113"/>
              <w:spacing w:before="153" w:line="219" w:lineRule="auto"/>
              <w:jc w:val="center"/>
              <w:rPr>
                <w:spacing w:val="-2"/>
              </w:rPr>
            </w:pPr>
            <w:r>
              <w:rPr>
                <w:spacing w:val="-2"/>
              </w:rPr>
              <w:t>本项目任职</w:t>
            </w:r>
          </w:p>
        </w:tc>
        <w:tc>
          <w:tcPr>
            <w:tcW w:w="991" w:type="dxa"/>
            <w:vMerge w:val="restart"/>
            <w:tcBorders>
              <w:bottom w:val="nil"/>
            </w:tcBorders>
            <w:noWrap w:val="0"/>
            <w:vAlign w:val="center"/>
          </w:tcPr>
          <w:p>
            <w:pPr>
              <w:pStyle w:val="113"/>
              <w:spacing w:before="153" w:line="219" w:lineRule="auto"/>
              <w:jc w:val="center"/>
              <w:rPr>
                <w:spacing w:val="-2"/>
              </w:rPr>
            </w:pPr>
            <w:r>
              <w:rPr>
                <w:spacing w:val="-2"/>
              </w:rPr>
              <w:t>姓名</w:t>
            </w:r>
          </w:p>
        </w:tc>
        <w:tc>
          <w:tcPr>
            <w:tcW w:w="691" w:type="dxa"/>
            <w:vMerge w:val="restart"/>
            <w:tcBorders>
              <w:bottom w:val="nil"/>
            </w:tcBorders>
            <w:noWrap w:val="0"/>
            <w:vAlign w:val="center"/>
          </w:tcPr>
          <w:p>
            <w:pPr>
              <w:pStyle w:val="113"/>
              <w:spacing w:before="153" w:line="219" w:lineRule="auto"/>
              <w:jc w:val="center"/>
              <w:rPr>
                <w:rFonts w:hint="default"/>
                <w:spacing w:val="-2"/>
                <w:lang w:val="en-US" w:eastAsia="zh-CN"/>
              </w:rPr>
            </w:pPr>
            <w:r>
              <w:rPr>
                <w:rFonts w:hint="eastAsia"/>
                <w:spacing w:val="-2"/>
                <w:lang w:val="en-US" w:eastAsia="zh-CN"/>
              </w:rPr>
              <w:t>职称</w:t>
            </w:r>
          </w:p>
        </w:tc>
        <w:tc>
          <w:tcPr>
            <w:tcW w:w="728" w:type="dxa"/>
            <w:vMerge w:val="restart"/>
            <w:tcBorders>
              <w:bottom w:val="nil"/>
            </w:tcBorders>
            <w:noWrap w:val="0"/>
            <w:vAlign w:val="center"/>
          </w:tcPr>
          <w:p>
            <w:pPr>
              <w:pStyle w:val="113"/>
              <w:spacing w:before="153" w:line="219" w:lineRule="auto"/>
              <w:jc w:val="center"/>
              <w:rPr>
                <w:rFonts w:hint="eastAsia"/>
                <w:spacing w:val="-2"/>
                <w:lang w:val="en-US" w:eastAsia="zh-CN"/>
              </w:rPr>
            </w:pPr>
            <w:r>
              <w:rPr>
                <w:rFonts w:hint="eastAsia"/>
                <w:spacing w:val="-2"/>
                <w:lang w:val="en-US" w:eastAsia="zh-CN"/>
              </w:rPr>
              <w:t>专业</w:t>
            </w:r>
          </w:p>
        </w:tc>
        <w:tc>
          <w:tcPr>
            <w:tcW w:w="2843" w:type="dxa"/>
            <w:gridSpan w:val="3"/>
            <w:noWrap w:val="0"/>
            <w:vAlign w:val="center"/>
          </w:tcPr>
          <w:p>
            <w:pPr>
              <w:pStyle w:val="113"/>
              <w:spacing w:before="153" w:line="219" w:lineRule="auto"/>
              <w:ind w:left="404"/>
              <w:jc w:val="center"/>
            </w:pPr>
            <w:r>
              <w:rPr>
                <w:spacing w:val="-2"/>
              </w:rPr>
              <w:t>执业或职业资格证明</w:t>
            </w:r>
          </w:p>
        </w:tc>
        <w:tc>
          <w:tcPr>
            <w:tcW w:w="900" w:type="dxa"/>
            <w:noWrap w:val="0"/>
            <w:vAlign w:val="center"/>
          </w:tcPr>
          <w:p>
            <w:pPr>
              <w:pStyle w:val="113"/>
              <w:spacing w:before="153" w:line="220" w:lineRule="auto"/>
              <w:ind w:left="218"/>
              <w:jc w:val="both"/>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0" w:type="dxa"/>
            <w:vMerge w:val="continue"/>
            <w:tcBorders>
              <w:top w:val="nil"/>
            </w:tcBorders>
            <w:noWrap w:val="0"/>
            <w:vAlign w:val="center"/>
          </w:tcPr>
          <w:p>
            <w:pPr>
              <w:jc w:val="center"/>
              <w:rPr>
                <w:rFonts w:ascii="Arial"/>
                <w:sz w:val="21"/>
              </w:rPr>
            </w:pPr>
          </w:p>
        </w:tc>
        <w:tc>
          <w:tcPr>
            <w:tcW w:w="1274" w:type="dxa"/>
            <w:vMerge w:val="continue"/>
            <w:tcBorders>
              <w:top w:val="nil"/>
            </w:tcBorders>
            <w:noWrap w:val="0"/>
            <w:vAlign w:val="center"/>
          </w:tcPr>
          <w:p>
            <w:pPr>
              <w:jc w:val="center"/>
              <w:rPr>
                <w:rFonts w:ascii="Arial"/>
                <w:sz w:val="21"/>
              </w:rPr>
            </w:pPr>
          </w:p>
        </w:tc>
        <w:tc>
          <w:tcPr>
            <w:tcW w:w="991" w:type="dxa"/>
            <w:vMerge w:val="continue"/>
            <w:tcBorders>
              <w:top w:val="nil"/>
            </w:tcBorders>
            <w:noWrap w:val="0"/>
            <w:vAlign w:val="center"/>
          </w:tcPr>
          <w:p>
            <w:pPr>
              <w:jc w:val="center"/>
              <w:rPr>
                <w:rFonts w:ascii="Arial"/>
                <w:sz w:val="21"/>
              </w:rPr>
            </w:pPr>
          </w:p>
        </w:tc>
        <w:tc>
          <w:tcPr>
            <w:tcW w:w="691" w:type="dxa"/>
            <w:vMerge w:val="continue"/>
            <w:tcBorders>
              <w:top w:val="nil"/>
            </w:tcBorders>
            <w:noWrap w:val="0"/>
            <w:textDirection w:val="tbRlV"/>
            <w:vAlign w:val="center"/>
          </w:tcPr>
          <w:p>
            <w:pPr>
              <w:jc w:val="center"/>
              <w:rPr>
                <w:rFonts w:ascii="Arial"/>
                <w:sz w:val="21"/>
              </w:rPr>
            </w:pPr>
          </w:p>
        </w:tc>
        <w:tc>
          <w:tcPr>
            <w:tcW w:w="728" w:type="dxa"/>
            <w:vMerge w:val="continue"/>
            <w:tcBorders>
              <w:top w:val="nil"/>
            </w:tcBorders>
            <w:noWrap w:val="0"/>
            <w:textDirection w:val="tbRlV"/>
            <w:vAlign w:val="center"/>
          </w:tcPr>
          <w:p>
            <w:pPr>
              <w:jc w:val="center"/>
              <w:rPr>
                <w:rFonts w:ascii="Arial"/>
                <w:sz w:val="21"/>
              </w:rPr>
            </w:pPr>
          </w:p>
        </w:tc>
        <w:tc>
          <w:tcPr>
            <w:tcW w:w="1283" w:type="dxa"/>
            <w:noWrap w:val="0"/>
            <w:vAlign w:val="center"/>
          </w:tcPr>
          <w:p>
            <w:pPr>
              <w:pStyle w:val="113"/>
              <w:spacing w:before="146" w:line="219" w:lineRule="auto"/>
              <w:ind w:left="191"/>
              <w:jc w:val="both"/>
            </w:pPr>
            <w:r>
              <w:rPr>
                <w:spacing w:val="-3"/>
              </w:rPr>
              <w:t>证书名称</w:t>
            </w:r>
          </w:p>
        </w:tc>
        <w:tc>
          <w:tcPr>
            <w:tcW w:w="765" w:type="dxa"/>
            <w:noWrap w:val="0"/>
            <w:vAlign w:val="center"/>
          </w:tcPr>
          <w:p>
            <w:pPr>
              <w:pStyle w:val="113"/>
              <w:spacing w:before="147" w:line="220" w:lineRule="auto"/>
              <w:ind w:left="165"/>
              <w:jc w:val="both"/>
            </w:pPr>
            <w:r>
              <w:rPr>
                <w:spacing w:val="-7"/>
              </w:rPr>
              <w:t>级别</w:t>
            </w:r>
          </w:p>
        </w:tc>
        <w:tc>
          <w:tcPr>
            <w:tcW w:w="795" w:type="dxa"/>
            <w:noWrap w:val="0"/>
            <w:vAlign w:val="center"/>
          </w:tcPr>
          <w:p>
            <w:pPr>
              <w:pStyle w:val="113"/>
              <w:spacing w:before="148" w:line="220" w:lineRule="auto"/>
              <w:ind w:left="184"/>
              <w:jc w:val="both"/>
            </w:pPr>
            <w:r>
              <w:rPr>
                <w:spacing w:val="-5"/>
              </w:rPr>
              <w:t>证号</w:t>
            </w:r>
          </w:p>
        </w:tc>
        <w:tc>
          <w:tcPr>
            <w:tcW w:w="900" w:type="dxa"/>
            <w:noWrap w:val="0"/>
            <w:vAlign w:val="center"/>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20" w:type="dxa"/>
            <w:noWrap w:val="0"/>
            <w:vAlign w:val="center"/>
          </w:tcPr>
          <w:p>
            <w:pPr>
              <w:jc w:val="center"/>
              <w:rPr>
                <w:rFonts w:ascii="Arial"/>
                <w:sz w:val="21"/>
              </w:rPr>
            </w:pPr>
          </w:p>
        </w:tc>
        <w:tc>
          <w:tcPr>
            <w:tcW w:w="1274" w:type="dxa"/>
            <w:noWrap w:val="0"/>
            <w:vAlign w:val="center"/>
          </w:tcPr>
          <w:p>
            <w:pPr>
              <w:jc w:val="center"/>
              <w:rPr>
                <w:rFonts w:ascii="Arial"/>
                <w:sz w:val="21"/>
              </w:rPr>
            </w:pPr>
          </w:p>
        </w:tc>
        <w:tc>
          <w:tcPr>
            <w:tcW w:w="991" w:type="dxa"/>
            <w:noWrap w:val="0"/>
            <w:vAlign w:val="center"/>
          </w:tcPr>
          <w:p>
            <w:pPr>
              <w:jc w:val="center"/>
              <w:rPr>
                <w:rFonts w:ascii="Arial"/>
                <w:sz w:val="21"/>
              </w:rPr>
            </w:pPr>
          </w:p>
        </w:tc>
        <w:tc>
          <w:tcPr>
            <w:tcW w:w="691" w:type="dxa"/>
            <w:noWrap w:val="0"/>
            <w:vAlign w:val="center"/>
          </w:tcPr>
          <w:p>
            <w:pPr>
              <w:jc w:val="center"/>
              <w:rPr>
                <w:rFonts w:ascii="Arial"/>
                <w:sz w:val="21"/>
              </w:rPr>
            </w:pPr>
          </w:p>
        </w:tc>
        <w:tc>
          <w:tcPr>
            <w:tcW w:w="728" w:type="dxa"/>
            <w:noWrap w:val="0"/>
            <w:vAlign w:val="center"/>
          </w:tcPr>
          <w:p>
            <w:pPr>
              <w:jc w:val="center"/>
              <w:rPr>
                <w:rFonts w:ascii="Arial"/>
                <w:sz w:val="21"/>
              </w:rPr>
            </w:pPr>
          </w:p>
        </w:tc>
        <w:tc>
          <w:tcPr>
            <w:tcW w:w="1283" w:type="dxa"/>
            <w:noWrap w:val="0"/>
            <w:vAlign w:val="center"/>
          </w:tcPr>
          <w:p>
            <w:pPr>
              <w:jc w:val="center"/>
              <w:rPr>
                <w:rFonts w:ascii="Arial"/>
                <w:sz w:val="21"/>
              </w:rPr>
            </w:pPr>
          </w:p>
        </w:tc>
        <w:tc>
          <w:tcPr>
            <w:tcW w:w="765" w:type="dxa"/>
            <w:noWrap w:val="0"/>
            <w:vAlign w:val="center"/>
          </w:tcPr>
          <w:p>
            <w:pPr>
              <w:jc w:val="center"/>
              <w:rPr>
                <w:rFonts w:ascii="Arial"/>
                <w:sz w:val="21"/>
              </w:rPr>
            </w:pPr>
          </w:p>
        </w:tc>
        <w:tc>
          <w:tcPr>
            <w:tcW w:w="795" w:type="dxa"/>
            <w:noWrap w:val="0"/>
            <w:vAlign w:val="center"/>
          </w:tcPr>
          <w:p>
            <w:pPr>
              <w:jc w:val="center"/>
              <w:rPr>
                <w:rFonts w:ascii="Arial"/>
                <w:sz w:val="21"/>
              </w:rPr>
            </w:pPr>
          </w:p>
        </w:tc>
        <w:tc>
          <w:tcPr>
            <w:tcW w:w="900" w:type="dxa"/>
            <w:noWrap w:val="0"/>
            <w:vAlign w:val="center"/>
          </w:tcPr>
          <w:p>
            <w:pPr>
              <w:jc w:val="center"/>
              <w:rPr>
                <w:rFonts w:ascii="Arial"/>
                <w:sz w:val="21"/>
              </w:rPr>
            </w:pPr>
          </w:p>
        </w:tc>
      </w:tr>
    </w:tbl>
    <w:p>
      <w:pPr>
        <w:spacing w:before="300" w:line="219" w:lineRule="auto"/>
        <w:ind w:left="3613"/>
        <w:rPr>
          <w:rFonts w:ascii="宋体" w:hAnsi="宋体" w:eastAsia="宋体" w:cs="宋体"/>
          <w:spacing w:val="-1"/>
          <w:sz w:val="28"/>
          <w:szCs w:val="28"/>
        </w:rPr>
      </w:pPr>
    </w:p>
    <w:p>
      <w:pPr>
        <w:spacing w:before="300" w:line="219" w:lineRule="auto"/>
        <w:ind w:left="3613"/>
        <w:rPr>
          <w:rFonts w:ascii="宋体" w:hAnsi="宋体" w:eastAsia="宋体" w:cs="宋体"/>
          <w:spacing w:val="-1"/>
          <w:sz w:val="28"/>
          <w:szCs w:val="28"/>
        </w:rPr>
      </w:pPr>
    </w:p>
    <w:p>
      <w:pPr>
        <w:spacing w:before="300" w:line="219" w:lineRule="auto"/>
        <w:ind w:left="3613"/>
        <w:rPr>
          <w:rFonts w:ascii="宋体" w:hAnsi="宋体" w:eastAsia="宋体" w:cs="宋体"/>
          <w:spacing w:val="-1"/>
          <w:sz w:val="28"/>
          <w:szCs w:val="28"/>
        </w:rPr>
      </w:pPr>
    </w:p>
    <w:p>
      <w:pPr>
        <w:spacing w:before="300" w:line="219" w:lineRule="auto"/>
        <w:ind w:left="3613"/>
        <w:rPr>
          <w:rFonts w:ascii="宋体" w:hAnsi="宋体" w:eastAsia="宋体" w:cs="宋体"/>
          <w:b/>
          <w:bCs/>
          <w:sz w:val="28"/>
          <w:szCs w:val="28"/>
        </w:rPr>
      </w:pPr>
      <w:r>
        <w:rPr>
          <w:rFonts w:ascii="宋体" w:hAnsi="宋体" w:eastAsia="宋体" w:cs="宋体"/>
          <w:b/>
          <w:bCs/>
          <w:spacing w:val="-1"/>
          <w:sz w:val="28"/>
          <w:szCs w:val="28"/>
        </w:rPr>
        <w:t>主要人员简历表</w:t>
      </w:r>
    </w:p>
    <w:p>
      <w:pPr>
        <w:spacing w:before="188"/>
      </w:pPr>
    </w:p>
    <w:tbl>
      <w:tblPr>
        <w:tblStyle w:val="114"/>
        <w:tblW w:w="8526" w:type="dxa"/>
        <w:tblInd w:w="3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357"/>
        <w:gridCol w:w="691"/>
        <w:gridCol w:w="957"/>
        <w:gridCol w:w="1064"/>
        <w:gridCol w:w="705"/>
        <w:gridCol w:w="1260"/>
        <w:gridCol w:w="401"/>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91" w:type="dxa"/>
            <w:noWrap w:val="0"/>
            <w:vAlign w:val="top"/>
          </w:tcPr>
          <w:p>
            <w:pPr>
              <w:spacing w:line="292" w:lineRule="auto"/>
              <w:rPr>
                <w:rFonts w:ascii="Arial"/>
                <w:sz w:val="21"/>
              </w:rPr>
            </w:pPr>
          </w:p>
          <w:p>
            <w:pPr>
              <w:pStyle w:val="113"/>
              <w:spacing w:before="78" w:line="219" w:lineRule="auto"/>
              <w:ind w:left="241"/>
            </w:pPr>
            <w:r>
              <w:rPr>
                <w:spacing w:val="-5"/>
              </w:rPr>
              <w:t>姓</w:t>
            </w:r>
            <w:r>
              <w:rPr>
                <w:spacing w:val="6"/>
              </w:rPr>
              <w:t xml:space="preserve">  </w:t>
            </w:r>
            <w:r>
              <w:rPr>
                <w:spacing w:val="-5"/>
              </w:rPr>
              <w:t>名</w:t>
            </w:r>
          </w:p>
        </w:tc>
        <w:tc>
          <w:tcPr>
            <w:tcW w:w="1048" w:type="dxa"/>
            <w:gridSpan w:val="2"/>
            <w:noWrap w:val="0"/>
            <w:vAlign w:val="top"/>
          </w:tcPr>
          <w:p>
            <w:pPr>
              <w:rPr>
                <w:rFonts w:ascii="Arial"/>
                <w:sz w:val="21"/>
              </w:rPr>
            </w:pPr>
          </w:p>
        </w:tc>
        <w:tc>
          <w:tcPr>
            <w:tcW w:w="957" w:type="dxa"/>
            <w:noWrap w:val="0"/>
            <w:vAlign w:val="top"/>
          </w:tcPr>
          <w:p>
            <w:pPr>
              <w:spacing w:line="292" w:lineRule="auto"/>
              <w:rPr>
                <w:rFonts w:ascii="Arial"/>
                <w:sz w:val="21"/>
              </w:rPr>
            </w:pPr>
          </w:p>
          <w:p>
            <w:pPr>
              <w:pStyle w:val="113"/>
              <w:spacing w:before="78" w:line="219" w:lineRule="auto"/>
              <w:ind w:left="245"/>
            </w:pPr>
            <w:r>
              <w:rPr>
                <w:spacing w:val="-6"/>
              </w:rPr>
              <w:t>年龄</w:t>
            </w:r>
          </w:p>
        </w:tc>
        <w:tc>
          <w:tcPr>
            <w:tcW w:w="1064" w:type="dxa"/>
            <w:noWrap w:val="0"/>
            <w:vAlign w:val="top"/>
          </w:tcPr>
          <w:p>
            <w:pPr>
              <w:rPr>
                <w:rFonts w:ascii="Arial"/>
                <w:sz w:val="21"/>
              </w:rPr>
            </w:pPr>
          </w:p>
        </w:tc>
        <w:tc>
          <w:tcPr>
            <w:tcW w:w="2366" w:type="dxa"/>
            <w:gridSpan w:val="3"/>
            <w:noWrap w:val="0"/>
            <w:vAlign w:val="top"/>
          </w:tcPr>
          <w:p>
            <w:pPr>
              <w:pStyle w:val="113"/>
              <w:spacing w:before="271" w:line="219" w:lineRule="auto"/>
              <w:jc w:val="center"/>
              <w:rPr>
                <w:spacing w:val="-2"/>
              </w:rPr>
            </w:pPr>
            <w:r>
              <w:rPr>
                <w:spacing w:val="-2"/>
              </w:rPr>
              <w:t>执业资格证书</w:t>
            </w:r>
          </w:p>
          <w:p>
            <w:pPr>
              <w:pStyle w:val="113"/>
              <w:spacing w:before="271" w:line="219" w:lineRule="auto"/>
              <w:jc w:val="center"/>
            </w:pPr>
            <w:r>
              <w:rPr>
                <w:rFonts w:hint="eastAsia"/>
                <w:spacing w:val="-2"/>
                <w:lang w:eastAsia="zh-CN"/>
              </w:rPr>
              <w:t>（</w:t>
            </w:r>
            <w:r>
              <w:rPr>
                <w:spacing w:val="-2"/>
              </w:rPr>
              <w:t>或上岗证书）名称</w:t>
            </w:r>
          </w:p>
        </w:tc>
        <w:tc>
          <w:tcPr>
            <w:tcW w:w="190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1" w:type="dxa"/>
            <w:noWrap w:val="0"/>
            <w:vAlign w:val="top"/>
          </w:tcPr>
          <w:p>
            <w:pPr>
              <w:pStyle w:val="113"/>
              <w:spacing w:before="272" w:line="221" w:lineRule="auto"/>
              <w:ind w:left="242"/>
            </w:pPr>
            <w:r>
              <w:rPr>
                <w:spacing w:val="-6"/>
              </w:rPr>
              <w:t>职</w:t>
            </w:r>
            <w:r>
              <w:rPr>
                <w:spacing w:val="4"/>
              </w:rPr>
              <w:t xml:space="preserve">  </w:t>
            </w:r>
            <w:r>
              <w:rPr>
                <w:spacing w:val="-6"/>
              </w:rPr>
              <w:t>称</w:t>
            </w:r>
          </w:p>
        </w:tc>
        <w:tc>
          <w:tcPr>
            <w:tcW w:w="1048" w:type="dxa"/>
            <w:gridSpan w:val="2"/>
            <w:noWrap w:val="0"/>
            <w:vAlign w:val="top"/>
          </w:tcPr>
          <w:p>
            <w:pPr>
              <w:rPr>
                <w:rFonts w:ascii="Arial"/>
                <w:sz w:val="21"/>
              </w:rPr>
            </w:pPr>
          </w:p>
        </w:tc>
        <w:tc>
          <w:tcPr>
            <w:tcW w:w="957" w:type="dxa"/>
            <w:noWrap w:val="0"/>
            <w:vAlign w:val="top"/>
          </w:tcPr>
          <w:p>
            <w:pPr>
              <w:pStyle w:val="113"/>
              <w:spacing w:before="271" w:line="221" w:lineRule="auto"/>
              <w:ind w:left="249"/>
            </w:pPr>
            <w:r>
              <w:rPr>
                <w:spacing w:val="-8"/>
              </w:rPr>
              <w:t>学历</w:t>
            </w:r>
          </w:p>
        </w:tc>
        <w:tc>
          <w:tcPr>
            <w:tcW w:w="1064" w:type="dxa"/>
            <w:noWrap w:val="0"/>
            <w:vAlign w:val="top"/>
          </w:tcPr>
          <w:p>
            <w:pPr>
              <w:rPr>
                <w:rFonts w:ascii="Arial"/>
                <w:sz w:val="21"/>
              </w:rPr>
            </w:pPr>
          </w:p>
        </w:tc>
        <w:tc>
          <w:tcPr>
            <w:tcW w:w="2366" w:type="dxa"/>
            <w:gridSpan w:val="3"/>
            <w:noWrap w:val="0"/>
            <w:vAlign w:val="top"/>
          </w:tcPr>
          <w:p>
            <w:pPr>
              <w:pStyle w:val="113"/>
              <w:spacing w:before="271" w:line="219" w:lineRule="auto"/>
              <w:ind w:left="349"/>
            </w:pPr>
            <w:r>
              <w:rPr>
                <w:spacing w:val="-2"/>
              </w:rPr>
              <w:t>拟在本项目任职</w:t>
            </w:r>
          </w:p>
        </w:tc>
        <w:tc>
          <w:tcPr>
            <w:tcW w:w="190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1" w:type="dxa"/>
            <w:noWrap w:val="0"/>
            <w:vAlign w:val="top"/>
          </w:tcPr>
          <w:p>
            <w:pPr>
              <w:pStyle w:val="113"/>
              <w:spacing w:before="272" w:line="219" w:lineRule="auto"/>
              <w:ind w:left="124"/>
            </w:pPr>
            <w:r>
              <w:rPr>
                <w:spacing w:val="-4"/>
              </w:rPr>
              <w:t>工作年限</w:t>
            </w:r>
          </w:p>
        </w:tc>
        <w:tc>
          <w:tcPr>
            <w:tcW w:w="3069" w:type="dxa"/>
            <w:gridSpan w:val="4"/>
            <w:noWrap w:val="0"/>
            <w:vAlign w:val="top"/>
          </w:tcPr>
          <w:p>
            <w:pPr>
              <w:rPr>
                <w:rFonts w:ascii="Arial"/>
                <w:sz w:val="21"/>
              </w:rPr>
            </w:pPr>
          </w:p>
        </w:tc>
        <w:tc>
          <w:tcPr>
            <w:tcW w:w="2366" w:type="dxa"/>
            <w:gridSpan w:val="3"/>
            <w:noWrap w:val="0"/>
            <w:vAlign w:val="top"/>
          </w:tcPr>
          <w:p>
            <w:pPr>
              <w:pStyle w:val="113"/>
              <w:spacing w:before="272" w:line="219" w:lineRule="auto"/>
              <w:ind w:left="232"/>
            </w:pPr>
            <w:r>
              <w:rPr>
                <w:spacing w:val="-2"/>
              </w:rPr>
              <w:t>从事监理工作年限</w:t>
            </w:r>
          </w:p>
        </w:tc>
        <w:tc>
          <w:tcPr>
            <w:tcW w:w="190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1" w:type="dxa"/>
            <w:noWrap w:val="0"/>
            <w:vAlign w:val="top"/>
          </w:tcPr>
          <w:p>
            <w:pPr>
              <w:pStyle w:val="113"/>
              <w:spacing w:before="279" w:line="219" w:lineRule="auto"/>
              <w:ind w:left="126"/>
            </w:pPr>
            <w:r>
              <w:rPr>
                <w:spacing w:val="-4"/>
              </w:rPr>
              <w:t>毕业学校</w:t>
            </w:r>
          </w:p>
        </w:tc>
        <w:tc>
          <w:tcPr>
            <w:tcW w:w="7335" w:type="dxa"/>
            <w:gridSpan w:val="8"/>
            <w:noWrap w:val="0"/>
            <w:vAlign w:val="top"/>
          </w:tcPr>
          <w:p>
            <w:pPr>
              <w:pStyle w:val="113"/>
              <w:spacing w:before="279" w:line="219" w:lineRule="auto"/>
              <w:ind w:left="1435"/>
            </w:pPr>
            <w:r>
              <w:rPr>
                <w:spacing w:val="-5"/>
              </w:rPr>
              <w:t>年毕业于</w:t>
            </w:r>
            <w:r>
              <w:rPr>
                <w:spacing w:val="1"/>
              </w:rPr>
              <w:t xml:space="preserve">            </w:t>
            </w:r>
            <w:r>
              <w:rPr>
                <w:spacing w:val="-5"/>
              </w:rPr>
              <w:t>学校</w:t>
            </w:r>
            <w:r>
              <w:rPr>
                <w:spacing w:val="2"/>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526" w:type="dxa"/>
            <w:gridSpan w:val="9"/>
            <w:noWrap w:val="0"/>
            <w:vAlign w:val="top"/>
          </w:tcPr>
          <w:p>
            <w:pPr>
              <w:pStyle w:val="113"/>
              <w:spacing w:before="272" w:line="220" w:lineRule="auto"/>
              <w:ind w:left="119"/>
            </w:pPr>
            <w:r>
              <w:rPr>
                <w:spacing w:val="-2"/>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548" w:type="dxa"/>
            <w:gridSpan w:val="2"/>
            <w:noWrap w:val="0"/>
            <w:vAlign w:val="top"/>
          </w:tcPr>
          <w:p>
            <w:pPr>
              <w:pStyle w:val="113"/>
              <w:spacing w:before="284" w:line="221" w:lineRule="auto"/>
              <w:ind w:left="433"/>
            </w:pPr>
            <w:r>
              <w:rPr>
                <w:spacing w:val="-11"/>
              </w:rPr>
              <w:t>时</w:t>
            </w:r>
            <w:r>
              <w:rPr>
                <w:spacing w:val="14"/>
              </w:rPr>
              <w:t xml:space="preserve">  </w:t>
            </w:r>
            <w:r>
              <w:rPr>
                <w:spacing w:val="-11"/>
              </w:rPr>
              <w:t>间</w:t>
            </w:r>
          </w:p>
        </w:tc>
        <w:tc>
          <w:tcPr>
            <w:tcW w:w="3417" w:type="dxa"/>
            <w:gridSpan w:val="4"/>
            <w:noWrap w:val="0"/>
            <w:vAlign w:val="top"/>
          </w:tcPr>
          <w:p>
            <w:pPr>
              <w:pStyle w:val="113"/>
              <w:spacing w:before="284" w:line="219" w:lineRule="auto"/>
              <w:ind w:left="757"/>
            </w:pPr>
            <w:r>
              <w:rPr>
                <w:spacing w:val="-2"/>
              </w:rPr>
              <w:t>参加过的类似项目</w:t>
            </w:r>
          </w:p>
        </w:tc>
        <w:tc>
          <w:tcPr>
            <w:tcW w:w="1260" w:type="dxa"/>
            <w:noWrap w:val="0"/>
            <w:vAlign w:val="top"/>
          </w:tcPr>
          <w:p>
            <w:pPr>
              <w:pStyle w:val="113"/>
              <w:spacing w:before="284" w:line="219" w:lineRule="auto"/>
              <w:ind w:left="159"/>
            </w:pPr>
            <w:r>
              <w:rPr>
                <w:spacing w:val="-3"/>
              </w:rPr>
              <w:t>担任职务</w:t>
            </w:r>
          </w:p>
        </w:tc>
        <w:tc>
          <w:tcPr>
            <w:tcW w:w="2301" w:type="dxa"/>
            <w:gridSpan w:val="2"/>
            <w:noWrap w:val="0"/>
            <w:vAlign w:val="top"/>
          </w:tcPr>
          <w:p>
            <w:pPr>
              <w:pStyle w:val="113"/>
              <w:spacing w:before="283" w:line="221" w:lineRule="auto"/>
              <w:ind w:left="196"/>
            </w:pPr>
            <w:r>
              <w:rPr>
                <w:spacing w:val="-2"/>
              </w:rPr>
              <w:t>委托人及联系电话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8" w:type="dxa"/>
            <w:gridSpan w:val="2"/>
            <w:noWrap w:val="0"/>
            <w:vAlign w:val="top"/>
          </w:tcPr>
          <w:p>
            <w:pPr>
              <w:rPr>
                <w:rFonts w:ascii="Arial"/>
                <w:sz w:val="21"/>
              </w:rPr>
            </w:pPr>
          </w:p>
        </w:tc>
        <w:tc>
          <w:tcPr>
            <w:tcW w:w="3417" w:type="dxa"/>
            <w:gridSpan w:val="4"/>
            <w:noWrap w:val="0"/>
            <w:vAlign w:val="top"/>
          </w:tcPr>
          <w:p>
            <w:pPr>
              <w:rPr>
                <w:rFonts w:ascii="Arial"/>
                <w:sz w:val="21"/>
              </w:rPr>
            </w:pPr>
          </w:p>
        </w:tc>
        <w:tc>
          <w:tcPr>
            <w:tcW w:w="1260" w:type="dxa"/>
            <w:noWrap w:val="0"/>
            <w:vAlign w:val="top"/>
          </w:tcPr>
          <w:p>
            <w:pPr>
              <w:rPr>
                <w:rFonts w:ascii="Arial"/>
                <w:sz w:val="21"/>
              </w:rPr>
            </w:pPr>
          </w:p>
        </w:tc>
        <w:tc>
          <w:tcPr>
            <w:tcW w:w="2301" w:type="dxa"/>
            <w:gridSpan w:val="2"/>
            <w:noWrap w:val="0"/>
            <w:vAlign w:val="top"/>
          </w:tcPr>
          <w:p>
            <w:pPr>
              <w:rPr>
                <w:rFonts w:ascii="Arial"/>
                <w:sz w:val="21"/>
              </w:rPr>
            </w:pPr>
          </w:p>
        </w:tc>
      </w:tr>
    </w:tbl>
    <w:p>
      <w:pPr>
        <w:spacing w:before="36" w:line="359" w:lineRule="auto"/>
        <w:ind w:left="438" w:right="110"/>
        <w:jc w:val="both"/>
        <w:rPr>
          <w:rFonts w:ascii="宋体" w:hAnsi="宋体" w:eastAsia="宋体" w:cs="宋体"/>
          <w:spacing w:val="-4"/>
          <w:sz w:val="24"/>
          <w:szCs w:val="24"/>
        </w:rPr>
      </w:pPr>
      <w:r>
        <w:rPr>
          <w:rFonts w:ascii="宋体" w:hAnsi="宋体" w:eastAsia="宋体" w:cs="宋体"/>
          <w:spacing w:val="-4"/>
          <w:sz w:val="24"/>
          <w:szCs w:val="24"/>
        </w:rPr>
        <w:t>注：</w:t>
      </w:r>
    </w:p>
    <w:p>
      <w:pPr>
        <w:spacing w:before="36" w:line="359" w:lineRule="auto"/>
        <w:ind w:left="438" w:right="110" w:firstLine="464" w:firstLineChars="200"/>
        <w:jc w:val="both"/>
        <w:rPr>
          <w:rFonts w:ascii="宋体" w:hAnsi="宋体" w:eastAsia="宋体" w:cs="宋体"/>
          <w:sz w:val="24"/>
          <w:szCs w:val="24"/>
        </w:rPr>
      </w:pPr>
      <w:r>
        <w:rPr>
          <w:rFonts w:ascii="宋体" w:hAnsi="宋体" w:eastAsia="宋体" w:cs="宋体"/>
          <w:spacing w:val="-4"/>
          <w:sz w:val="24"/>
          <w:szCs w:val="24"/>
        </w:rPr>
        <w:t>应附项目负责人和其他主要人员的相关信息。“主要人员简历表</w:t>
      </w:r>
      <w:r>
        <w:rPr>
          <w:rFonts w:ascii="宋体" w:hAnsi="宋体" w:eastAsia="宋体" w:cs="宋体"/>
          <w:spacing w:val="-80"/>
          <w:sz w:val="24"/>
          <w:szCs w:val="24"/>
        </w:rPr>
        <w:t xml:space="preserve"> </w:t>
      </w:r>
      <w:r>
        <w:rPr>
          <w:rFonts w:ascii="宋体" w:hAnsi="宋体" w:eastAsia="宋体" w:cs="宋体"/>
          <w:spacing w:val="-4"/>
          <w:sz w:val="24"/>
          <w:szCs w:val="24"/>
        </w:rPr>
        <w:t>”中项目负</w:t>
      </w:r>
      <w:r>
        <w:rPr>
          <w:rFonts w:ascii="宋体" w:hAnsi="宋体" w:eastAsia="宋体" w:cs="宋体"/>
          <w:sz w:val="24"/>
          <w:szCs w:val="24"/>
        </w:rPr>
        <w:t xml:space="preserve"> </w:t>
      </w:r>
      <w:r>
        <w:rPr>
          <w:rFonts w:ascii="宋体" w:hAnsi="宋体" w:eastAsia="宋体" w:cs="宋体"/>
          <w:spacing w:val="-3"/>
          <w:sz w:val="24"/>
          <w:szCs w:val="24"/>
        </w:rPr>
        <w:t>责人应附身份证、学历证、职称证、执业资格证书和社保缴费证明（近一年任意</w:t>
      </w:r>
      <w:r>
        <w:rPr>
          <w:rFonts w:ascii="宋体" w:hAnsi="宋体" w:eastAsia="宋体" w:cs="宋体"/>
          <w:spacing w:val="-1"/>
          <w:sz w:val="24"/>
          <w:szCs w:val="24"/>
        </w:rPr>
        <w:t>三个月的单位职工养老保险缴纳证明文件</w:t>
      </w:r>
      <w:r>
        <w:rPr>
          <w:rFonts w:ascii="宋体" w:hAnsi="宋体" w:eastAsia="宋体" w:cs="宋体"/>
          <w:spacing w:val="-34"/>
          <w:sz w:val="24"/>
          <w:szCs w:val="24"/>
        </w:rPr>
        <w:t>），</w:t>
      </w:r>
      <w:r>
        <w:rPr>
          <w:rFonts w:ascii="宋体" w:hAnsi="宋体" w:eastAsia="宋体" w:cs="宋体"/>
          <w:spacing w:val="-1"/>
          <w:sz w:val="24"/>
          <w:szCs w:val="24"/>
        </w:rPr>
        <w:t>管理过的项目业绩须附合同扫描件</w:t>
      </w:r>
      <w:r>
        <w:rPr>
          <w:rFonts w:ascii="宋体" w:hAnsi="宋体" w:eastAsia="宋体" w:cs="宋体"/>
          <w:spacing w:val="1"/>
          <w:sz w:val="24"/>
          <w:szCs w:val="24"/>
        </w:rPr>
        <w:t xml:space="preserve"> </w:t>
      </w:r>
      <w:r>
        <w:rPr>
          <w:rFonts w:ascii="宋体" w:hAnsi="宋体" w:eastAsia="宋体" w:cs="宋体"/>
          <w:spacing w:val="-3"/>
          <w:sz w:val="24"/>
          <w:szCs w:val="24"/>
        </w:rPr>
        <w:t>或中标通知书扫描件；其他主要人员应附身份证、学历证、有关证书和社保缴费</w:t>
      </w:r>
    </w:p>
    <w:p>
      <w:pPr>
        <w:spacing w:line="219" w:lineRule="auto"/>
        <w:ind w:left="438"/>
        <w:rPr>
          <w:rFonts w:ascii="宋体" w:hAnsi="宋体" w:eastAsia="宋体" w:cs="宋体"/>
          <w:sz w:val="24"/>
          <w:szCs w:val="24"/>
        </w:rPr>
      </w:pPr>
      <w:r>
        <w:rPr>
          <w:rFonts w:ascii="宋体" w:hAnsi="宋体" w:eastAsia="宋体" w:cs="宋体"/>
          <w:spacing w:val="-4"/>
          <w:sz w:val="24"/>
          <w:szCs w:val="24"/>
        </w:rPr>
        <w:t>证明。</w:t>
      </w:r>
    </w:p>
    <w:p>
      <w:pPr>
        <w:pStyle w:val="14"/>
        <w:spacing w:line="270" w:lineRule="auto"/>
      </w:pPr>
    </w:p>
    <w:p>
      <w:pPr>
        <w:pStyle w:val="14"/>
        <w:spacing w:line="271" w:lineRule="auto"/>
      </w:pPr>
    </w:p>
    <w:p>
      <w:pPr>
        <w:spacing w:before="91" w:line="219" w:lineRule="auto"/>
        <w:rPr>
          <w:rFonts w:ascii="宋体" w:hAnsi="宋体" w:eastAsia="宋体" w:cs="宋体"/>
          <w:sz w:val="28"/>
          <w:szCs w:val="28"/>
        </w:rPr>
      </w:pPr>
    </w:p>
    <w:p>
      <w:pPr>
        <w:spacing w:before="91" w:line="219" w:lineRule="auto"/>
        <w:ind w:left="2214"/>
        <w:rPr>
          <w:rFonts w:ascii="宋体" w:hAnsi="宋体" w:eastAsia="宋体" w:cs="宋体"/>
          <w:b/>
          <w:bCs/>
          <w:sz w:val="28"/>
          <w:szCs w:val="28"/>
        </w:rPr>
      </w:pPr>
      <w:r>
        <w:rPr>
          <w:rFonts w:ascii="宋体" w:hAnsi="宋体" w:eastAsia="宋体" w:cs="宋体"/>
          <w:b/>
          <w:bCs/>
          <w:sz w:val="28"/>
          <w:szCs w:val="28"/>
        </w:rPr>
        <w:t>拟投入本项目的主要试验检测仪器设备表</w:t>
      </w:r>
    </w:p>
    <w:p>
      <w:pPr>
        <w:spacing w:line="120" w:lineRule="exact"/>
      </w:pPr>
    </w:p>
    <w:tbl>
      <w:tblPr>
        <w:tblStyle w:val="114"/>
        <w:tblW w:w="8113" w:type="dxa"/>
        <w:tblInd w:w="6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274"/>
        <w:gridCol w:w="935"/>
        <w:gridCol w:w="747"/>
        <w:gridCol w:w="850"/>
        <w:gridCol w:w="991"/>
        <w:gridCol w:w="1418"/>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2" w:type="dxa"/>
            <w:noWrap w:val="0"/>
            <w:vAlign w:val="top"/>
          </w:tcPr>
          <w:p>
            <w:pPr>
              <w:spacing w:line="315" w:lineRule="auto"/>
              <w:rPr>
                <w:rFonts w:ascii="Arial"/>
                <w:sz w:val="21"/>
              </w:rPr>
            </w:pPr>
          </w:p>
          <w:p>
            <w:pPr>
              <w:pStyle w:val="113"/>
              <w:spacing w:before="78" w:line="221" w:lineRule="auto"/>
              <w:ind w:left="115"/>
            </w:pPr>
            <w:r>
              <w:rPr>
                <w:spacing w:val="-5"/>
              </w:rPr>
              <w:t>序号</w:t>
            </w:r>
          </w:p>
        </w:tc>
        <w:tc>
          <w:tcPr>
            <w:tcW w:w="1274" w:type="dxa"/>
            <w:noWrap w:val="0"/>
            <w:vAlign w:val="top"/>
          </w:tcPr>
          <w:p>
            <w:pPr>
              <w:pStyle w:val="113"/>
              <w:spacing w:before="177" w:line="439" w:lineRule="exact"/>
              <w:ind w:left="162"/>
            </w:pPr>
            <w:r>
              <w:rPr>
                <w:spacing w:val="-3"/>
                <w:position w:val="15"/>
              </w:rPr>
              <w:t>仪器设备</w:t>
            </w:r>
          </w:p>
          <w:p>
            <w:pPr>
              <w:pStyle w:val="113"/>
              <w:spacing w:line="221" w:lineRule="auto"/>
              <w:ind w:left="404"/>
            </w:pPr>
            <w:r>
              <w:rPr>
                <w:spacing w:val="-7"/>
              </w:rPr>
              <w:t>名称</w:t>
            </w:r>
          </w:p>
        </w:tc>
        <w:tc>
          <w:tcPr>
            <w:tcW w:w="935" w:type="dxa"/>
            <w:noWrap w:val="0"/>
            <w:vAlign w:val="top"/>
          </w:tcPr>
          <w:p>
            <w:pPr>
              <w:pStyle w:val="113"/>
              <w:spacing w:before="177" w:line="439" w:lineRule="exact"/>
              <w:ind w:left="241"/>
            </w:pPr>
            <w:r>
              <w:rPr>
                <w:spacing w:val="-9"/>
                <w:position w:val="14"/>
              </w:rPr>
              <w:t>型号</w:t>
            </w:r>
          </w:p>
          <w:p>
            <w:pPr>
              <w:pStyle w:val="113"/>
              <w:spacing w:line="219" w:lineRule="auto"/>
              <w:ind w:left="235"/>
            </w:pPr>
            <w:r>
              <w:rPr>
                <w:spacing w:val="-6"/>
              </w:rPr>
              <w:t>规格</w:t>
            </w:r>
          </w:p>
        </w:tc>
        <w:tc>
          <w:tcPr>
            <w:tcW w:w="747" w:type="dxa"/>
            <w:noWrap w:val="0"/>
            <w:vAlign w:val="top"/>
          </w:tcPr>
          <w:p>
            <w:pPr>
              <w:spacing w:line="316" w:lineRule="auto"/>
              <w:rPr>
                <w:rFonts w:ascii="Arial"/>
                <w:sz w:val="21"/>
              </w:rPr>
            </w:pPr>
          </w:p>
          <w:p>
            <w:pPr>
              <w:pStyle w:val="113"/>
              <w:spacing w:before="78" w:line="219" w:lineRule="auto"/>
              <w:ind w:left="141"/>
            </w:pPr>
            <w:r>
              <w:rPr>
                <w:spacing w:val="-6"/>
              </w:rPr>
              <w:t>数量</w:t>
            </w:r>
          </w:p>
        </w:tc>
        <w:tc>
          <w:tcPr>
            <w:tcW w:w="850" w:type="dxa"/>
            <w:noWrap w:val="0"/>
            <w:vAlign w:val="top"/>
          </w:tcPr>
          <w:p>
            <w:pPr>
              <w:pStyle w:val="113"/>
              <w:spacing w:before="177" w:line="439" w:lineRule="exact"/>
              <w:ind w:left="215"/>
            </w:pPr>
            <w:r>
              <w:rPr>
                <w:spacing w:val="-17"/>
                <w:position w:val="15"/>
              </w:rPr>
              <w:t>国别</w:t>
            </w:r>
          </w:p>
          <w:p>
            <w:pPr>
              <w:pStyle w:val="113"/>
              <w:spacing w:line="219" w:lineRule="auto"/>
              <w:ind w:left="191"/>
            </w:pPr>
            <w:r>
              <w:rPr>
                <w:spacing w:val="-5"/>
              </w:rPr>
              <w:t>产地</w:t>
            </w:r>
          </w:p>
        </w:tc>
        <w:tc>
          <w:tcPr>
            <w:tcW w:w="991" w:type="dxa"/>
            <w:noWrap w:val="0"/>
            <w:vAlign w:val="top"/>
          </w:tcPr>
          <w:p>
            <w:pPr>
              <w:pStyle w:val="113"/>
              <w:spacing w:before="177" w:line="439" w:lineRule="exact"/>
              <w:ind w:left="264"/>
            </w:pPr>
            <w:r>
              <w:rPr>
                <w:spacing w:val="-6"/>
                <w:position w:val="15"/>
              </w:rPr>
              <w:t>制造</w:t>
            </w:r>
          </w:p>
          <w:p>
            <w:pPr>
              <w:pStyle w:val="113"/>
              <w:spacing w:line="219" w:lineRule="auto"/>
              <w:ind w:left="264"/>
            </w:pPr>
            <w:r>
              <w:rPr>
                <w:spacing w:val="-6"/>
              </w:rPr>
              <w:t>年份</w:t>
            </w:r>
          </w:p>
        </w:tc>
        <w:tc>
          <w:tcPr>
            <w:tcW w:w="1418" w:type="dxa"/>
            <w:noWrap w:val="0"/>
            <w:vAlign w:val="top"/>
          </w:tcPr>
          <w:p>
            <w:pPr>
              <w:spacing w:line="315" w:lineRule="auto"/>
              <w:rPr>
                <w:rFonts w:ascii="Arial"/>
                <w:sz w:val="21"/>
              </w:rPr>
            </w:pPr>
          </w:p>
          <w:p>
            <w:pPr>
              <w:pStyle w:val="113"/>
              <w:spacing w:before="78" w:line="221" w:lineRule="auto"/>
              <w:ind w:left="478"/>
            </w:pPr>
            <w:r>
              <w:rPr>
                <w:spacing w:val="-6"/>
              </w:rPr>
              <w:t>用途</w:t>
            </w:r>
          </w:p>
        </w:tc>
        <w:tc>
          <w:tcPr>
            <w:tcW w:w="1166" w:type="dxa"/>
            <w:noWrap w:val="0"/>
            <w:vAlign w:val="top"/>
          </w:tcPr>
          <w:p>
            <w:pPr>
              <w:spacing w:line="315" w:lineRule="auto"/>
              <w:rPr>
                <w:rFonts w:ascii="Arial"/>
                <w:sz w:val="21"/>
              </w:rPr>
            </w:pPr>
          </w:p>
          <w:p>
            <w:pPr>
              <w:pStyle w:val="113"/>
              <w:spacing w:before="78" w:line="221" w:lineRule="auto"/>
              <w:ind w:left="353"/>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32" w:type="dxa"/>
            <w:noWrap w:val="0"/>
            <w:vAlign w:val="top"/>
          </w:tcPr>
          <w:p>
            <w:pPr>
              <w:rPr>
                <w:rFonts w:ascii="Arial"/>
                <w:sz w:val="21"/>
              </w:rPr>
            </w:pPr>
          </w:p>
        </w:tc>
        <w:tc>
          <w:tcPr>
            <w:tcW w:w="1274" w:type="dxa"/>
            <w:noWrap w:val="0"/>
            <w:vAlign w:val="top"/>
          </w:tcPr>
          <w:p>
            <w:pPr>
              <w:rPr>
                <w:rFonts w:ascii="Arial"/>
                <w:sz w:val="21"/>
              </w:rPr>
            </w:pPr>
          </w:p>
        </w:tc>
        <w:tc>
          <w:tcPr>
            <w:tcW w:w="935" w:type="dxa"/>
            <w:noWrap w:val="0"/>
            <w:vAlign w:val="top"/>
          </w:tcPr>
          <w:p>
            <w:pPr>
              <w:rPr>
                <w:rFonts w:ascii="Arial"/>
                <w:sz w:val="21"/>
              </w:rPr>
            </w:pPr>
          </w:p>
        </w:tc>
        <w:tc>
          <w:tcPr>
            <w:tcW w:w="747" w:type="dxa"/>
            <w:noWrap w:val="0"/>
            <w:vAlign w:val="top"/>
          </w:tcPr>
          <w:p>
            <w:pPr>
              <w:rPr>
                <w:rFonts w:ascii="Arial"/>
                <w:sz w:val="21"/>
              </w:rPr>
            </w:pPr>
          </w:p>
        </w:tc>
        <w:tc>
          <w:tcPr>
            <w:tcW w:w="850" w:type="dxa"/>
            <w:noWrap w:val="0"/>
            <w:vAlign w:val="top"/>
          </w:tcPr>
          <w:p>
            <w:pPr>
              <w:rPr>
                <w:rFonts w:ascii="Arial"/>
                <w:sz w:val="21"/>
              </w:rPr>
            </w:pPr>
          </w:p>
        </w:tc>
        <w:tc>
          <w:tcPr>
            <w:tcW w:w="991" w:type="dxa"/>
            <w:noWrap w:val="0"/>
            <w:vAlign w:val="top"/>
          </w:tcPr>
          <w:p>
            <w:pPr>
              <w:rPr>
                <w:rFonts w:ascii="Arial"/>
                <w:sz w:val="21"/>
              </w:rPr>
            </w:pPr>
          </w:p>
        </w:tc>
        <w:tc>
          <w:tcPr>
            <w:tcW w:w="1418" w:type="dxa"/>
            <w:noWrap w:val="0"/>
            <w:vAlign w:val="top"/>
          </w:tcPr>
          <w:p>
            <w:pPr>
              <w:rPr>
                <w:rFonts w:ascii="Arial"/>
                <w:sz w:val="21"/>
              </w:rPr>
            </w:pPr>
          </w:p>
        </w:tc>
        <w:tc>
          <w:tcPr>
            <w:tcW w:w="1166" w:type="dxa"/>
            <w:noWrap w:val="0"/>
            <w:vAlign w:val="top"/>
          </w:tcPr>
          <w:p>
            <w:pPr>
              <w:rPr>
                <w:rFonts w:ascii="Arial"/>
                <w:sz w:val="21"/>
              </w:rPr>
            </w:pPr>
          </w:p>
        </w:tc>
      </w:tr>
    </w:tbl>
    <w:p>
      <w:pPr>
        <w:pStyle w:val="14"/>
        <w:spacing w:line="241" w:lineRule="auto"/>
      </w:pPr>
    </w:p>
    <w:p>
      <w:pPr>
        <w:pStyle w:val="14"/>
        <w:spacing w:line="271" w:lineRule="auto"/>
      </w:pPr>
    </w:p>
    <w:p>
      <w:pPr>
        <w:spacing w:before="277" w:line="221" w:lineRule="auto"/>
        <w:ind w:left="448"/>
        <w:rPr>
          <w:rFonts w:ascii="宋体" w:hAnsi="宋体" w:eastAsia="宋体" w:cs="宋体"/>
          <w:spacing w:val="-2"/>
          <w:sz w:val="28"/>
          <w:szCs w:val="28"/>
        </w:rPr>
      </w:pPr>
    </w:p>
    <w:p>
      <w:pPr>
        <w:spacing w:before="277" w:line="221" w:lineRule="auto"/>
        <w:ind w:left="448"/>
        <w:rPr>
          <w:rFonts w:ascii="宋体" w:hAnsi="宋体" w:eastAsia="宋体" w:cs="宋体"/>
          <w:spacing w:val="-2"/>
          <w:sz w:val="28"/>
          <w:szCs w:val="28"/>
        </w:rPr>
      </w:pPr>
    </w:p>
    <w:p>
      <w:pPr>
        <w:spacing w:before="277" w:line="221" w:lineRule="auto"/>
        <w:ind w:left="448"/>
        <w:rPr>
          <w:rFonts w:ascii="宋体" w:hAnsi="宋体" w:eastAsia="宋体" w:cs="宋体"/>
          <w:spacing w:val="-2"/>
          <w:sz w:val="28"/>
          <w:szCs w:val="28"/>
        </w:rPr>
      </w:pPr>
    </w:p>
    <w:p>
      <w:pPr>
        <w:spacing w:before="277" w:line="221" w:lineRule="auto"/>
        <w:rPr>
          <w:rFonts w:ascii="宋体" w:hAnsi="宋体" w:eastAsia="宋体" w:cs="宋体"/>
          <w:b/>
          <w:bCs/>
          <w:sz w:val="28"/>
          <w:szCs w:val="28"/>
        </w:rPr>
      </w:pPr>
      <w:r>
        <w:rPr>
          <w:rFonts w:ascii="宋体" w:hAnsi="宋体" w:eastAsia="宋体" w:cs="宋体"/>
          <w:b/>
          <w:bCs/>
          <w:spacing w:val="-2"/>
          <w:sz w:val="28"/>
          <w:szCs w:val="28"/>
        </w:rPr>
        <w:t>（十）监理大纲</w:t>
      </w:r>
    </w:p>
    <w:p>
      <w:pPr>
        <w:spacing w:before="281" w:line="468" w:lineRule="exact"/>
        <w:ind w:left="982"/>
        <w:rPr>
          <w:rFonts w:ascii="宋体" w:hAnsi="宋体" w:eastAsia="宋体" w:cs="宋体"/>
          <w:sz w:val="24"/>
          <w:szCs w:val="24"/>
        </w:rPr>
      </w:pPr>
      <w:r>
        <w:rPr>
          <w:rFonts w:ascii="宋体" w:hAnsi="宋体" w:eastAsia="宋体" w:cs="宋体"/>
          <w:spacing w:val="-1"/>
          <w:position w:val="17"/>
          <w:sz w:val="24"/>
          <w:szCs w:val="24"/>
        </w:rPr>
        <w:t>监理大纲应包括（但不限于）下列内容：</w:t>
      </w:r>
    </w:p>
    <w:p>
      <w:pPr>
        <w:spacing w:before="1" w:line="219" w:lineRule="auto"/>
        <w:ind w:left="985"/>
        <w:rPr>
          <w:rFonts w:ascii="宋体" w:hAnsi="宋体" w:eastAsia="宋体" w:cs="宋体"/>
          <w:sz w:val="24"/>
          <w:szCs w:val="24"/>
        </w:rPr>
      </w:pPr>
      <w:r>
        <w:rPr>
          <w:rFonts w:ascii="宋体" w:hAnsi="宋体" w:eastAsia="宋体" w:cs="宋体"/>
          <w:spacing w:val="-2"/>
          <w:sz w:val="24"/>
          <w:szCs w:val="24"/>
        </w:rPr>
        <w:t>一、监理工程概况；</w:t>
      </w:r>
    </w:p>
    <w:p>
      <w:pPr>
        <w:spacing w:before="183" w:line="219" w:lineRule="auto"/>
        <w:ind w:left="985"/>
        <w:rPr>
          <w:rFonts w:ascii="宋体" w:hAnsi="宋体" w:eastAsia="宋体" w:cs="宋体"/>
          <w:sz w:val="24"/>
          <w:szCs w:val="24"/>
        </w:rPr>
      </w:pPr>
      <w:r>
        <w:rPr>
          <w:rFonts w:ascii="宋体" w:hAnsi="宋体" w:eastAsia="宋体" w:cs="宋体"/>
          <w:spacing w:val="-2"/>
          <w:sz w:val="24"/>
          <w:szCs w:val="24"/>
        </w:rPr>
        <w:t>二、监理范围、监理内容；</w:t>
      </w:r>
    </w:p>
    <w:p>
      <w:pPr>
        <w:spacing w:before="182" w:line="219" w:lineRule="auto"/>
        <w:ind w:left="981"/>
        <w:rPr>
          <w:rFonts w:ascii="宋体" w:hAnsi="宋体" w:eastAsia="宋体" w:cs="宋体"/>
          <w:sz w:val="24"/>
          <w:szCs w:val="24"/>
        </w:rPr>
      </w:pPr>
      <w:r>
        <w:rPr>
          <w:rFonts w:ascii="宋体" w:hAnsi="宋体" w:eastAsia="宋体" w:cs="宋体"/>
          <w:spacing w:val="-1"/>
          <w:sz w:val="24"/>
          <w:szCs w:val="24"/>
        </w:rPr>
        <w:t>三、监理依据、监理工作目标；</w:t>
      </w:r>
    </w:p>
    <w:p>
      <w:pPr>
        <w:spacing w:before="184" w:line="468" w:lineRule="exact"/>
        <w:ind w:left="1003"/>
        <w:rPr>
          <w:rFonts w:ascii="宋体" w:hAnsi="宋体" w:eastAsia="宋体" w:cs="宋体"/>
          <w:sz w:val="24"/>
          <w:szCs w:val="24"/>
        </w:rPr>
      </w:pPr>
      <w:r>
        <w:rPr>
          <w:rFonts w:ascii="宋体" w:hAnsi="宋体" w:eastAsia="宋体" w:cs="宋体"/>
          <w:spacing w:val="-2"/>
          <w:position w:val="17"/>
          <w:sz w:val="24"/>
          <w:szCs w:val="24"/>
        </w:rPr>
        <w:t>四、监理机构设置（框图）、岗位职责；</w:t>
      </w:r>
    </w:p>
    <w:p>
      <w:pPr>
        <w:spacing w:line="220" w:lineRule="auto"/>
        <w:ind w:left="985"/>
        <w:rPr>
          <w:rFonts w:ascii="宋体" w:hAnsi="宋体" w:eastAsia="宋体" w:cs="宋体"/>
          <w:sz w:val="24"/>
          <w:szCs w:val="24"/>
        </w:rPr>
      </w:pPr>
      <w:r>
        <w:rPr>
          <w:rFonts w:ascii="宋体" w:hAnsi="宋体" w:eastAsia="宋体" w:cs="宋体"/>
          <w:spacing w:val="-1"/>
          <w:sz w:val="24"/>
          <w:szCs w:val="24"/>
        </w:rPr>
        <w:t>五、监理工作程序、方法和制度；</w:t>
      </w:r>
    </w:p>
    <w:p>
      <w:pPr>
        <w:spacing w:before="182" w:line="219" w:lineRule="auto"/>
        <w:ind w:left="983"/>
        <w:rPr>
          <w:rFonts w:ascii="宋体" w:hAnsi="宋体" w:eastAsia="宋体" w:cs="宋体"/>
          <w:sz w:val="24"/>
          <w:szCs w:val="24"/>
        </w:rPr>
      </w:pPr>
      <w:r>
        <w:rPr>
          <w:rFonts w:ascii="宋体" w:hAnsi="宋体" w:eastAsia="宋体" w:cs="宋体"/>
          <w:spacing w:val="-1"/>
          <w:sz w:val="24"/>
          <w:szCs w:val="24"/>
        </w:rPr>
        <w:t>六、拟投入的监理人员、试验检测仪器设备；</w:t>
      </w:r>
    </w:p>
    <w:p>
      <w:pPr>
        <w:spacing w:before="183" w:line="218" w:lineRule="auto"/>
        <w:ind w:left="980"/>
        <w:rPr>
          <w:rFonts w:ascii="宋体" w:hAnsi="宋体" w:eastAsia="宋体" w:cs="宋体"/>
          <w:sz w:val="24"/>
          <w:szCs w:val="24"/>
        </w:rPr>
      </w:pPr>
      <w:r>
        <w:rPr>
          <w:rFonts w:ascii="宋体" w:hAnsi="宋体" w:eastAsia="宋体" w:cs="宋体"/>
          <w:spacing w:val="-1"/>
          <w:sz w:val="24"/>
          <w:szCs w:val="24"/>
        </w:rPr>
        <w:t>七、质量、进度、造价、安全、环保监理措施；</w:t>
      </w:r>
    </w:p>
    <w:p>
      <w:pPr>
        <w:spacing w:before="185" w:line="468" w:lineRule="exact"/>
        <w:ind w:left="985"/>
        <w:rPr>
          <w:rFonts w:ascii="宋体" w:hAnsi="宋体" w:eastAsia="宋体" w:cs="宋体"/>
          <w:sz w:val="24"/>
          <w:szCs w:val="24"/>
        </w:rPr>
      </w:pPr>
      <w:r>
        <w:rPr>
          <w:rFonts w:ascii="宋体" w:hAnsi="宋体" w:eastAsia="宋体" w:cs="宋体"/>
          <w:spacing w:val="-2"/>
          <w:position w:val="17"/>
          <w:sz w:val="24"/>
          <w:szCs w:val="24"/>
        </w:rPr>
        <w:t>八、合同、信息管理方案；</w:t>
      </w:r>
    </w:p>
    <w:p>
      <w:pPr>
        <w:spacing w:line="219" w:lineRule="auto"/>
        <w:ind w:left="987"/>
        <w:rPr>
          <w:rFonts w:ascii="宋体" w:hAnsi="宋体" w:eastAsia="宋体" w:cs="宋体"/>
          <w:sz w:val="24"/>
          <w:szCs w:val="24"/>
        </w:rPr>
      </w:pPr>
      <w:r>
        <w:rPr>
          <w:rFonts w:ascii="宋体" w:hAnsi="宋体" w:eastAsia="宋体" w:cs="宋体"/>
          <w:spacing w:val="-2"/>
          <w:sz w:val="24"/>
          <w:szCs w:val="24"/>
        </w:rPr>
        <w:t>九、组织协调内容及措施；</w:t>
      </w:r>
    </w:p>
    <w:p>
      <w:pPr>
        <w:spacing w:before="183" w:line="220" w:lineRule="auto"/>
        <w:ind w:left="982"/>
        <w:rPr>
          <w:rFonts w:ascii="宋体" w:hAnsi="宋体" w:eastAsia="宋体" w:cs="宋体"/>
          <w:sz w:val="24"/>
          <w:szCs w:val="24"/>
        </w:rPr>
      </w:pPr>
      <w:r>
        <w:rPr>
          <w:rFonts w:ascii="宋体" w:hAnsi="宋体" w:eastAsia="宋体" w:cs="宋体"/>
          <w:spacing w:val="-1"/>
          <w:sz w:val="24"/>
          <w:szCs w:val="24"/>
        </w:rPr>
        <w:t>十、监理工作重点、难点分析；</w:t>
      </w:r>
    </w:p>
    <w:p>
      <w:pPr>
        <w:spacing w:before="182" w:line="219" w:lineRule="auto"/>
        <w:ind w:left="982"/>
        <w:rPr>
          <w:rFonts w:ascii="宋体" w:hAnsi="宋体" w:eastAsia="宋体" w:cs="宋体"/>
          <w:sz w:val="24"/>
          <w:szCs w:val="24"/>
        </w:rPr>
      </w:pPr>
      <w:r>
        <w:rPr>
          <w:rFonts w:ascii="宋体" w:hAnsi="宋体" w:eastAsia="宋体" w:cs="宋体"/>
          <w:spacing w:val="-1"/>
          <w:sz w:val="24"/>
          <w:szCs w:val="24"/>
        </w:rPr>
        <w:t>十一、对本工程监理的合理化建议。</w:t>
      </w:r>
    </w:p>
    <w:p>
      <w:pPr>
        <w:pStyle w:val="14"/>
        <w:shd w:val="clear" w:color="auto" w:fill="auto"/>
        <w:kinsoku w:val="0"/>
        <w:overflowPunct w:val="0"/>
        <w:spacing w:line="480" w:lineRule="auto"/>
        <w:jc w:val="both"/>
        <w:outlineLvl w:val="0"/>
        <w:rPr>
          <w:rFonts w:hint="eastAsia" w:ascii="宋体" w:hAnsi="宋体" w:eastAsia="宋体" w:cs="宋体"/>
          <w:color w:val="auto"/>
          <w:spacing w:val="2"/>
          <w:sz w:val="44"/>
          <w:szCs w:val="44"/>
          <w:highlight w:val="none"/>
        </w:rPr>
      </w:pPr>
    </w:p>
    <w:bookmarkEnd w:id="259"/>
    <w:bookmarkEnd w:id="262"/>
    <w:bookmarkEnd w:id="263"/>
    <w:p>
      <w:pPr>
        <w:shd w:val="clear" w:color="auto" w:fill="auto"/>
        <w:rPr>
          <w:rFonts w:hint="eastAsia" w:ascii="宋体" w:hAnsi="宋体" w:eastAsia="宋体" w:cs="宋体"/>
          <w:color w:val="auto"/>
          <w:highlight w:val="none"/>
        </w:rPr>
      </w:pPr>
    </w:p>
    <w:sectPr>
      <w:headerReference r:id="rId9" w:type="default"/>
      <w:footerReference r:id="rId10" w:type="default"/>
      <w:pgSz w:w="11850" w:h="16783"/>
      <w:pgMar w:top="1440" w:right="1489" w:bottom="1440" w:left="15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401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401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401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right"/>
      <w:rPr>
        <w:rFonts w:hint="default"/>
        <w:sz w:val="18"/>
        <w:szCs w:val="18"/>
        <w:lang w:val="en-US"/>
      </w:rPr>
    </w:pPr>
    <w:r>
      <w:rPr>
        <w:rFonts w:hint="eastAsia" w:ascii="宋体" w:hAnsi="宋体" w:eastAsia="宋体" w:cs="宋体"/>
        <w:color w:val="auto"/>
        <w:sz w:val="18"/>
        <w:szCs w:val="18"/>
        <w:highlight w:val="none"/>
        <w:lang w:eastAsia="zh-CN"/>
      </w:rPr>
      <w:t>昌吉州玛纳斯县图书馆建设项目监理服务</w:t>
    </w:r>
    <w:r>
      <w:rPr>
        <w:rFonts w:hint="eastAsia" w:ascii="宋体" w:hAnsi="宋体" w:cs="宋体"/>
        <w:color w:val="auto"/>
        <w:sz w:val="18"/>
        <w:szCs w:val="18"/>
        <w:highlight w:val="none"/>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1DA98"/>
    <w:multiLevelType w:val="singleLevel"/>
    <w:tmpl w:val="0B81DA98"/>
    <w:lvl w:ilvl="0" w:tentative="0">
      <w:start w:val="1"/>
      <w:numFmt w:val="chineseCounting"/>
      <w:suff w:val="nothing"/>
      <w:lvlText w:val="%1、"/>
      <w:lvlJc w:val="left"/>
      <w:pPr>
        <w:ind w:left="564" w:firstLine="0"/>
      </w:pPr>
      <w:rPr>
        <w:rFonts w:hint="eastAsia"/>
      </w:rPr>
    </w:lvl>
  </w:abstractNum>
  <w:abstractNum w:abstractNumId="1">
    <w:nsid w:val="0C76C9C2"/>
    <w:multiLevelType w:val="singleLevel"/>
    <w:tmpl w:val="0C76C9C2"/>
    <w:lvl w:ilvl="0" w:tentative="0">
      <w:start w:val="1"/>
      <w:numFmt w:val="decimal"/>
      <w:suff w:val="nothing"/>
      <w:lvlText w:val="%1、"/>
      <w:lvlJc w:val="left"/>
    </w:lvl>
  </w:abstractNum>
  <w:abstractNum w:abstractNumId="2">
    <w:nsid w:val="266B1ED8"/>
    <w:multiLevelType w:val="singleLevel"/>
    <w:tmpl w:val="266B1ED8"/>
    <w:lvl w:ilvl="0" w:tentative="0">
      <w:start w:val="1"/>
      <w:numFmt w:val="decimal"/>
      <w:suff w:val="nothing"/>
      <w:lvlText w:val="%1、"/>
      <w:lvlJc w:val="left"/>
    </w:lvl>
  </w:abstractNum>
  <w:abstractNum w:abstractNumId="3">
    <w:nsid w:val="4400B460"/>
    <w:multiLevelType w:val="singleLevel"/>
    <w:tmpl w:val="4400B460"/>
    <w:lvl w:ilvl="0" w:tentative="0">
      <w:start w:val="1"/>
      <w:numFmt w:val="decimal"/>
      <w:lvlText w:val="%1."/>
      <w:lvlJc w:val="left"/>
      <w:pPr>
        <w:tabs>
          <w:tab w:val="left" w:pos="312"/>
        </w:tabs>
      </w:pPr>
    </w:lvl>
  </w:abstractNum>
  <w:abstractNum w:abstractNumId="4">
    <w:nsid w:val="6296CB06"/>
    <w:multiLevelType w:val="singleLevel"/>
    <w:tmpl w:val="6296CB06"/>
    <w:lvl w:ilvl="0" w:tentative="0">
      <w:start w:val="6"/>
      <w:numFmt w:val="chineseCounting"/>
      <w:suff w:val="nothing"/>
      <w:lvlText w:val="%1、"/>
      <w:lvlJc w:val="left"/>
      <w:rPr>
        <w:rFonts w:hint="eastAsia"/>
      </w:rPr>
    </w:lvl>
  </w:abstractNum>
  <w:abstractNum w:abstractNumId="5">
    <w:nsid w:val="791743A1"/>
    <w:multiLevelType w:val="singleLevel"/>
    <w:tmpl w:val="791743A1"/>
    <w:lvl w:ilvl="0" w:tentative="0">
      <w:start w:val="2"/>
      <w:numFmt w:val="chineseCounting"/>
      <w:suff w:val="nothing"/>
      <w:lvlText w:val="（%1）"/>
      <w:lvlJc w:val="left"/>
      <w:rPr>
        <w:rFonts w:hint="eastAsia"/>
      </w:rPr>
    </w:lvl>
  </w:abstractNum>
  <w:abstractNum w:abstractNumId="6">
    <w:nsid w:val="7B671032"/>
    <w:multiLevelType w:val="singleLevel"/>
    <w:tmpl w:val="7B671032"/>
    <w:lvl w:ilvl="0" w:tentative="0">
      <w:start w:val="3"/>
      <w:numFmt w:val="chineseCounting"/>
      <w:suff w:val="nothing"/>
      <w:lvlText w:val="%1、"/>
      <w:lvlJc w:val="left"/>
      <w:rPr>
        <w:rFonts w:hint="eastAsia"/>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zk4ODg3NzNlZTAxNmY2YmJjNWY0NTQxNGI4MDQifQ=="/>
  </w:docVars>
  <w:rsids>
    <w:rsidRoot w:val="003B4EC8"/>
    <w:rsid w:val="000C1FF9"/>
    <w:rsid w:val="003B4EC8"/>
    <w:rsid w:val="004133DD"/>
    <w:rsid w:val="00522102"/>
    <w:rsid w:val="005E0570"/>
    <w:rsid w:val="00642C03"/>
    <w:rsid w:val="006F2BA6"/>
    <w:rsid w:val="00755DF0"/>
    <w:rsid w:val="00807DC6"/>
    <w:rsid w:val="00885B23"/>
    <w:rsid w:val="00B3499C"/>
    <w:rsid w:val="00BD69CF"/>
    <w:rsid w:val="00BF5367"/>
    <w:rsid w:val="00BF6687"/>
    <w:rsid w:val="00C51C9C"/>
    <w:rsid w:val="00FA1FA4"/>
    <w:rsid w:val="010A62C5"/>
    <w:rsid w:val="01430C8E"/>
    <w:rsid w:val="01C6681D"/>
    <w:rsid w:val="028A0ABD"/>
    <w:rsid w:val="0290210D"/>
    <w:rsid w:val="02AC6586"/>
    <w:rsid w:val="02D45116"/>
    <w:rsid w:val="02E132C9"/>
    <w:rsid w:val="032205CB"/>
    <w:rsid w:val="0341645D"/>
    <w:rsid w:val="03514303"/>
    <w:rsid w:val="03766107"/>
    <w:rsid w:val="03782851"/>
    <w:rsid w:val="03AF4A06"/>
    <w:rsid w:val="03D01DE5"/>
    <w:rsid w:val="03F729A5"/>
    <w:rsid w:val="04247911"/>
    <w:rsid w:val="048B3E34"/>
    <w:rsid w:val="04AC71A3"/>
    <w:rsid w:val="04B05649"/>
    <w:rsid w:val="050D65F7"/>
    <w:rsid w:val="051A6F66"/>
    <w:rsid w:val="05433A5E"/>
    <w:rsid w:val="05882122"/>
    <w:rsid w:val="05C313AC"/>
    <w:rsid w:val="05D0411B"/>
    <w:rsid w:val="06A35DD3"/>
    <w:rsid w:val="07662005"/>
    <w:rsid w:val="0768431A"/>
    <w:rsid w:val="07C93073"/>
    <w:rsid w:val="08193505"/>
    <w:rsid w:val="086664C9"/>
    <w:rsid w:val="087E0716"/>
    <w:rsid w:val="087F0833"/>
    <w:rsid w:val="089D715E"/>
    <w:rsid w:val="08A02198"/>
    <w:rsid w:val="08A74FB5"/>
    <w:rsid w:val="093E0206"/>
    <w:rsid w:val="094809DB"/>
    <w:rsid w:val="09CA7F3F"/>
    <w:rsid w:val="09D36D88"/>
    <w:rsid w:val="09EF09C1"/>
    <w:rsid w:val="0A0C3321"/>
    <w:rsid w:val="0A0F2E11"/>
    <w:rsid w:val="0A2E2B51"/>
    <w:rsid w:val="0A301780"/>
    <w:rsid w:val="0A9B46A5"/>
    <w:rsid w:val="0AC000BE"/>
    <w:rsid w:val="0B1F52D6"/>
    <w:rsid w:val="0C3E79DE"/>
    <w:rsid w:val="0C520ADD"/>
    <w:rsid w:val="0C774B1A"/>
    <w:rsid w:val="0C842D7E"/>
    <w:rsid w:val="0C8C24F7"/>
    <w:rsid w:val="0CAB76D7"/>
    <w:rsid w:val="0CD45C4C"/>
    <w:rsid w:val="0D1301F7"/>
    <w:rsid w:val="0D140333"/>
    <w:rsid w:val="0D2D73CA"/>
    <w:rsid w:val="0D6D1B90"/>
    <w:rsid w:val="0D7D77D0"/>
    <w:rsid w:val="0DA41AC3"/>
    <w:rsid w:val="0DEF71E2"/>
    <w:rsid w:val="0E0644E3"/>
    <w:rsid w:val="0E366A74"/>
    <w:rsid w:val="0E377D9A"/>
    <w:rsid w:val="0E3C1CFB"/>
    <w:rsid w:val="0E3E7FA7"/>
    <w:rsid w:val="0F185155"/>
    <w:rsid w:val="0F2A7468"/>
    <w:rsid w:val="0F2E3D3A"/>
    <w:rsid w:val="0F916E99"/>
    <w:rsid w:val="0FC226D4"/>
    <w:rsid w:val="0FC53B06"/>
    <w:rsid w:val="0FF07241"/>
    <w:rsid w:val="0FFB2F04"/>
    <w:rsid w:val="10452CF3"/>
    <w:rsid w:val="106D29B2"/>
    <w:rsid w:val="107514F4"/>
    <w:rsid w:val="10A77CEF"/>
    <w:rsid w:val="10CC380A"/>
    <w:rsid w:val="10D97CD5"/>
    <w:rsid w:val="10E30B54"/>
    <w:rsid w:val="110D797F"/>
    <w:rsid w:val="112278CE"/>
    <w:rsid w:val="11456321"/>
    <w:rsid w:val="1158509E"/>
    <w:rsid w:val="116F23E8"/>
    <w:rsid w:val="11791613"/>
    <w:rsid w:val="1193257A"/>
    <w:rsid w:val="11B31999"/>
    <w:rsid w:val="11EE1904"/>
    <w:rsid w:val="121D63DE"/>
    <w:rsid w:val="124845DB"/>
    <w:rsid w:val="12647A72"/>
    <w:rsid w:val="1277778B"/>
    <w:rsid w:val="12B10F0A"/>
    <w:rsid w:val="12CC763E"/>
    <w:rsid w:val="12DB2103"/>
    <w:rsid w:val="13716F0C"/>
    <w:rsid w:val="13734957"/>
    <w:rsid w:val="145F2868"/>
    <w:rsid w:val="14D94748"/>
    <w:rsid w:val="14DA0E44"/>
    <w:rsid w:val="14E37374"/>
    <w:rsid w:val="1534372C"/>
    <w:rsid w:val="157E7E3D"/>
    <w:rsid w:val="15B30AF5"/>
    <w:rsid w:val="15C076B6"/>
    <w:rsid w:val="15E72315"/>
    <w:rsid w:val="16556050"/>
    <w:rsid w:val="16BF796D"/>
    <w:rsid w:val="16DB58B9"/>
    <w:rsid w:val="16FC64CC"/>
    <w:rsid w:val="16FE299C"/>
    <w:rsid w:val="172D48D7"/>
    <w:rsid w:val="17720839"/>
    <w:rsid w:val="17A80401"/>
    <w:rsid w:val="17EE0291"/>
    <w:rsid w:val="180C247A"/>
    <w:rsid w:val="18556503"/>
    <w:rsid w:val="18866995"/>
    <w:rsid w:val="18B21538"/>
    <w:rsid w:val="18DF42F7"/>
    <w:rsid w:val="193948C5"/>
    <w:rsid w:val="1964271F"/>
    <w:rsid w:val="199155F1"/>
    <w:rsid w:val="19C05851"/>
    <w:rsid w:val="1A7C6EA4"/>
    <w:rsid w:val="1AD05CA5"/>
    <w:rsid w:val="1AF06347"/>
    <w:rsid w:val="1B2D21D8"/>
    <w:rsid w:val="1B324E09"/>
    <w:rsid w:val="1B486183"/>
    <w:rsid w:val="1B6358C8"/>
    <w:rsid w:val="1B8151F1"/>
    <w:rsid w:val="1B9E5DA3"/>
    <w:rsid w:val="1BBE01F3"/>
    <w:rsid w:val="1BD7759D"/>
    <w:rsid w:val="1C0C71B1"/>
    <w:rsid w:val="1C395ACC"/>
    <w:rsid w:val="1C4818BD"/>
    <w:rsid w:val="1C4C3A51"/>
    <w:rsid w:val="1C885F88"/>
    <w:rsid w:val="1D293453"/>
    <w:rsid w:val="1D311F99"/>
    <w:rsid w:val="1D8316F5"/>
    <w:rsid w:val="1D8671AD"/>
    <w:rsid w:val="1DAA5508"/>
    <w:rsid w:val="1DE6561B"/>
    <w:rsid w:val="1E0565AE"/>
    <w:rsid w:val="1E53602C"/>
    <w:rsid w:val="1E6213AA"/>
    <w:rsid w:val="1E661794"/>
    <w:rsid w:val="1E732A66"/>
    <w:rsid w:val="1EB37DB8"/>
    <w:rsid w:val="1EB9090B"/>
    <w:rsid w:val="1F434CAD"/>
    <w:rsid w:val="1F794590"/>
    <w:rsid w:val="1F882FF2"/>
    <w:rsid w:val="1F9034E2"/>
    <w:rsid w:val="1FBD629C"/>
    <w:rsid w:val="1FC6467C"/>
    <w:rsid w:val="1FDB3BF2"/>
    <w:rsid w:val="201605FE"/>
    <w:rsid w:val="203C5B8B"/>
    <w:rsid w:val="20C31E08"/>
    <w:rsid w:val="20D52267"/>
    <w:rsid w:val="20D87192"/>
    <w:rsid w:val="20FE6D01"/>
    <w:rsid w:val="21154D5A"/>
    <w:rsid w:val="216E6AB4"/>
    <w:rsid w:val="21920158"/>
    <w:rsid w:val="21D71577"/>
    <w:rsid w:val="22162B37"/>
    <w:rsid w:val="221B3D69"/>
    <w:rsid w:val="22CD6F6E"/>
    <w:rsid w:val="231D7EF5"/>
    <w:rsid w:val="233D6A37"/>
    <w:rsid w:val="23D51FE3"/>
    <w:rsid w:val="23F46EA8"/>
    <w:rsid w:val="23F603CF"/>
    <w:rsid w:val="240D5A92"/>
    <w:rsid w:val="242157C3"/>
    <w:rsid w:val="24604A2C"/>
    <w:rsid w:val="24723CD4"/>
    <w:rsid w:val="24782D8A"/>
    <w:rsid w:val="2528762F"/>
    <w:rsid w:val="25377290"/>
    <w:rsid w:val="255B2F57"/>
    <w:rsid w:val="258B7398"/>
    <w:rsid w:val="25AA4C4C"/>
    <w:rsid w:val="25FE6622"/>
    <w:rsid w:val="260B672B"/>
    <w:rsid w:val="260E3D26"/>
    <w:rsid w:val="267A740D"/>
    <w:rsid w:val="269B185D"/>
    <w:rsid w:val="2752258E"/>
    <w:rsid w:val="276A14E2"/>
    <w:rsid w:val="27B801ED"/>
    <w:rsid w:val="28164F13"/>
    <w:rsid w:val="28665E9B"/>
    <w:rsid w:val="28904128"/>
    <w:rsid w:val="289C18BC"/>
    <w:rsid w:val="28FE60D3"/>
    <w:rsid w:val="2925747D"/>
    <w:rsid w:val="293A7983"/>
    <w:rsid w:val="29AE3013"/>
    <w:rsid w:val="29B82129"/>
    <w:rsid w:val="29B844D4"/>
    <w:rsid w:val="29C10A3B"/>
    <w:rsid w:val="29CF012C"/>
    <w:rsid w:val="29FB7F90"/>
    <w:rsid w:val="2A050A91"/>
    <w:rsid w:val="2A213997"/>
    <w:rsid w:val="2A3F40D8"/>
    <w:rsid w:val="2AC734DD"/>
    <w:rsid w:val="2AD20343"/>
    <w:rsid w:val="2B333F1F"/>
    <w:rsid w:val="2B5D3585"/>
    <w:rsid w:val="2BAC0068"/>
    <w:rsid w:val="2BB62C95"/>
    <w:rsid w:val="2BBB02AC"/>
    <w:rsid w:val="2C4D2FD9"/>
    <w:rsid w:val="2C526E62"/>
    <w:rsid w:val="2C540183"/>
    <w:rsid w:val="2D04169A"/>
    <w:rsid w:val="2D72482B"/>
    <w:rsid w:val="2D8B04EB"/>
    <w:rsid w:val="2D940DB4"/>
    <w:rsid w:val="2DA9169A"/>
    <w:rsid w:val="2DCF6290"/>
    <w:rsid w:val="2DE56517"/>
    <w:rsid w:val="2DFF0EB6"/>
    <w:rsid w:val="2E166456"/>
    <w:rsid w:val="2E333FF5"/>
    <w:rsid w:val="2E3D144C"/>
    <w:rsid w:val="2E755089"/>
    <w:rsid w:val="2EA74B17"/>
    <w:rsid w:val="2EBB2548"/>
    <w:rsid w:val="2EF73CF0"/>
    <w:rsid w:val="2F1C0570"/>
    <w:rsid w:val="2F2E3EB5"/>
    <w:rsid w:val="2F3C1703"/>
    <w:rsid w:val="2F794705"/>
    <w:rsid w:val="2FB219C5"/>
    <w:rsid w:val="2FD91648"/>
    <w:rsid w:val="2FFD21D1"/>
    <w:rsid w:val="301937F3"/>
    <w:rsid w:val="302723B3"/>
    <w:rsid w:val="304940D8"/>
    <w:rsid w:val="307355F9"/>
    <w:rsid w:val="30977539"/>
    <w:rsid w:val="30E25563"/>
    <w:rsid w:val="315A3D49"/>
    <w:rsid w:val="317715A9"/>
    <w:rsid w:val="319C292D"/>
    <w:rsid w:val="31AE5E8C"/>
    <w:rsid w:val="31E0281A"/>
    <w:rsid w:val="31FB3AF8"/>
    <w:rsid w:val="3240775C"/>
    <w:rsid w:val="32700042"/>
    <w:rsid w:val="32A54C32"/>
    <w:rsid w:val="32AE46C6"/>
    <w:rsid w:val="33182749"/>
    <w:rsid w:val="332C1A8F"/>
    <w:rsid w:val="33A41C6C"/>
    <w:rsid w:val="33AE3711"/>
    <w:rsid w:val="33AF4B9A"/>
    <w:rsid w:val="33B61641"/>
    <w:rsid w:val="33B95A18"/>
    <w:rsid w:val="33F1646F"/>
    <w:rsid w:val="340A0022"/>
    <w:rsid w:val="34120C85"/>
    <w:rsid w:val="344C36BA"/>
    <w:rsid w:val="34574811"/>
    <w:rsid w:val="348D69B4"/>
    <w:rsid w:val="3491429F"/>
    <w:rsid w:val="34CC7D73"/>
    <w:rsid w:val="34F85173"/>
    <w:rsid w:val="35027867"/>
    <w:rsid w:val="35691B58"/>
    <w:rsid w:val="358D2CB9"/>
    <w:rsid w:val="35FE5964"/>
    <w:rsid w:val="36006645"/>
    <w:rsid w:val="3602502C"/>
    <w:rsid w:val="360F5DC1"/>
    <w:rsid w:val="36145188"/>
    <w:rsid w:val="36201D7F"/>
    <w:rsid w:val="36273244"/>
    <w:rsid w:val="36417887"/>
    <w:rsid w:val="36681030"/>
    <w:rsid w:val="36B421AF"/>
    <w:rsid w:val="36E750FE"/>
    <w:rsid w:val="36E763F9"/>
    <w:rsid w:val="371A67CE"/>
    <w:rsid w:val="376D1270"/>
    <w:rsid w:val="37A53F3C"/>
    <w:rsid w:val="380C5B35"/>
    <w:rsid w:val="38185BC0"/>
    <w:rsid w:val="381E409C"/>
    <w:rsid w:val="382E4CC9"/>
    <w:rsid w:val="383F6226"/>
    <w:rsid w:val="3857135C"/>
    <w:rsid w:val="385B52F0"/>
    <w:rsid w:val="388D1222"/>
    <w:rsid w:val="38AC78FA"/>
    <w:rsid w:val="38F93929"/>
    <w:rsid w:val="39193D41"/>
    <w:rsid w:val="39200CEF"/>
    <w:rsid w:val="394B7113"/>
    <w:rsid w:val="399450C4"/>
    <w:rsid w:val="39AE1450"/>
    <w:rsid w:val="39FD12E0"/>
    <w:rsid w:val="3A2A5552"/>
    <w:rsid w:val="3A59760D"/>
    <w:rsid w:val="3A6D092D"/>
    <w:rsid w:val="3A87359B"/>
    <w:rsid w:val="3A8D16C2"/>
    <w:rsid w:val="3AD273C0"/>
    <w:rsid w:val="3ADE5D64"/>
    <w:rsid w:val="3AED5FA8"/>
    <w:rsid w:val="3B03540F"/>
    <w:rsid w:val="3B36680D"/>
    <w:rsid w:val="3B73621A"/>
    <w:rsid w:val="3B7C3572"/>
    <w:rsid w:val="3BC14022"/>
    <w:rsid w:val="3C2A2C9F"/>
    <w:rsid w:val="3C81292C"/>
    <w:rsid w:val="3C95467F"/>
    <w:rsid w:val="3CF016E6"/>
    <w:rsid w:val="3CF11169"/>
    <w:rsid w:val="3D0A7919"/>
    <w:rsid w:val="3D3679ED"/>
    <w:rsid w:val="3D4520CB"/>
    <w:rsid w:val="3D4F4CF8"/>
    <w:rsid w:val="3D71444A"/>
    <w:rsid w:val="3DB871B8"/>
    <w:rsid w:val="3E2D7AF3"/>
    <w:rsid w:val="3E2F043D"/>
    <w:rsid w:val="3E3D2DA2"/>
    <w:rsid w:val="3E643EC2"/>
    <w:rsid w:val="3E720C9E"/>
    <w:rsid w:val="3E774506"/>
    <w:rsid w:val="3EC77C2C"/>
    <w:rsid w:val="3EED0A99"/>
    <w:rsid w:val="3F102269"/>
    <w:rsid w:val="3F2A77CA"/>
    <w:rsid w:val="3F7A4CCF"/>
    <w:rsid w:val="3F9904AC"/>
    <w:rsid w:val="3F99301D"/>
    <w:rsid w:val="3FC165CC"/>
    <w:rsid w:val="3FF027C2"/>
    <w:rsid w:val="40095632"/>
    <w:rsid w:val="404F3454"/>
    <w:rsid w:val="40561DDE"/>
    <w:rsid w:val="405A4829"/>
    <w:rsid w:val="408A0C49"/>
    <w:rsid w:val="408D4A3A"/>
    <w:rsid w:val="41EA1493"/>
    <w:rsid w:val="42146381"/>
    <w:rsid w:val="423A41C8"/>
    <w:rsid w:val="425613C9"/>
    <w:rsid w:val="429F7A4A"/>
    <w:rsid w:val="43104F29"/>
    <w:rsid w:val="43195B8C"/>
    <w:rsid w:val="439E71C4"/>
    <w:rsid w:val="43BB4E95"/>
    <w:rsid w:val="43DB5537"/>
    <w:rsid w:val="445C09D8"/>
    <w:rsid w:val="44D6085B"/>
    <w:rsid w:val="44E455DE"/>
    <w:rsid w:val="44FF1D7C"/>
    <w:rsid w:val="45012D7B"/>
    <w:rsid w:val="45067A1F"/>
    <w:rsid w:val="451C77B8"/>
    <w:rsid w:val="456357E4"/>
    <w:rsid w:val="45AD56DD"/>
    <w:rsid w:val="45C57155"/>
    <w:rsid w:val="45D61B06"/>
    <w:rsid w:val="4688463A"/>
    <w:rsid w:val="46C62E44"/>
    <w:rsid w:val="46D5626E"/>
    <w:rsid w:val="476D64A6"/>
    <w:rsid w:val="479633F6"/>
    <w:rsid w:val="481C06DF"/>
    <w:rsid w:val="48425B85"/>
    <w:rsid w:val="48763A80"/>
    <w:rsid w:val="488610A3"/>
    <w:rsid w:val="48955123"/>
    <w:rsid w:val="48A91760"/>
    <w:rsid w:val="48AF414A"/>
    <w:rsid w:val="48B42C80"/>
    <w:rsid w:val="492A4ACF"/>
    <w:rsid w:val="49496A9F"/>
    <w:rsid w:val="494E0559"/>
    <w:rsid w:val="495808CE"/>
    <w:rsid w:val="49706B84"/>
    <w:rsid w:val="498521CD"/>
    <w:rsid w:val="49C55CBA"/>
    <w:rsid w:val="49D46CB0"/>
    <w:rsid w:val="4A1001A8"/>
    <w:rsid w:val="4A976E75"/>
    <w:rsid w:val="4B09298A"/>
    <w:rsid w:val="4B15132F"/>
    <w:rsid w:val="4B35552D"/>
    <w:rsid w:val="4B9B51C9"/>
    <w:rsid w:val="4BAD1567"/>
    <w:rsid w:val="4BD905AE"/>
    <w:rsid w:val="4BF24EAD"/>
    <w:rsid w:val="4C373527"/>
    <w:rsid w:val="4CCA7EF7"/>
    <w:rsid w:val="4CCF290A"/>
    <w:rsid w:val="4D225F85"/>
    <w:rsid w:val="4D5C07C6"/>
    <w:rsid w:val="4D8C0196"/>
    <w:rsid w:val="4D9344E9"/>
    <w:rsid w:val="4DBA1A95"/>
    <w:rsid w:val="4DCB3F26"/>
    <w:rsid w:val="4DCE1C69"/>
    <w:rsid w:val="4DEC35E2"/>
    <w:rsid w:val="4E375A60"/>
    <w:rsid w:val="4E9D1D67"/>
    <w:rsid w:val="4EAB4733"/>
    <w:rsid w:val="4EB62E28"/>
    <w:rsid w:val="4EB8094F"/>
    <w:rsid w:val="4ED66E86"/>
    <w:rsid w:val="4EDE5EDB"/>
    <w:rsid w:val="4F05790C"/>
    <w:rsid w:val="4F29184C"/>
    <w:rsid w:val="4F2C4E99"/>
    <w:rsid w:val="4F366ED3"/>
    <w:rsid w:val="4F401E91"/>
    <w:rsid w:val="4F425369"/>
    <w:rsid w:val="4F9071D6"/>
    <w:rsid w:val="4F9848CC"/>
    <w:rsid w:val="4F9A44F8"/>
    <w:rsid w:val="4FE615B5"/>
    <w:rsid w:val="4FEC0C61"/>
    <w:rsid w:val="4FF94855"/>
    <w:rsid w:val="500F0A42"/>
    <w:rsid w:val="50A5204D"/>
    <w:rsid w:val="50D136D9"/>
    <w:rsid w:val="512B0CCC"/>
    <w:rsid w:val="514E4193"/>
    <w:rsid w:val="516C3C72"/>
    <w:rsid w:val="51786173"/>
    <w:rsid w:val="519A07DF"/>
    <w:rsid w:val="51A17D4F"/>
    <w:rsid w:val="51AA70F6"/>
    <w:rsid w:val="51AE0E60"/>
    <w:rsid w:val="51D84E64"/>
    <w:rsid w:val="52036385"/>
    <w:rsid w:val="52140592"/>
    <w:rsid w:val="52344790"/>
    <w:rsid w:val="523956D4"/>
    <w:rsid w:val="525E7A5F"/>
    <w:rsid w:val="526932F5"/>
    <w:rsid w:val="52AB1EE5"/>
    <w:rsid w:val="52B441C9"/>
    <w:rsid w:val="53007047"/>
    <w:rsid w:val="53142835"/>
    <w:rsid w:val="535B7CD7"/>
    <w:rsid w:val="539B083F"/>
    <w:rsid w:val="53C102A5"/>
    <w:rsid w:val="5407710D"/>
    <w:rsid w:val="54183C3E"/>
    <w:rsid w:val="54EF499E"/>
    <w:rsid w:val="54FA3343"/>
    <w:rsid w:val="557B60A7"/>
    <w:rsid w:val="559154D6"/>
    <w:rsid w:val="55FA3B9F"/>
    <w:rsid w:val="563A60ED"/>
    <w:rsid w:val="565C42B5"/>
    <w:rsid w:val="574F5BC8"/>
    <w:rsid w:val="575D2790"/>
    <w:rsid w:val="57680A38"/>
    <w:rsid w:val="576B22D6"/>
    <w:rsid w:val="579955AC"/>
    <w:rsid w:val="57C30E2B"/>
    <w:rsid w:val="581806B0"/>
    <w:rsid w:val="582B2191"/>
    <w:rsid w:val="582B49AD"/>
    <w:rsid w:val="587753D7"/>
    <w:rsid w:val="58782EFD"/>
    <w:rsid w:val="58D166B4"/>
    <w:rsid w:val="59764935"/>
    <w:rsid w:val="5A47719A"/>
    <w:rsid w:val="5A6000EC"/>
    <w:rsid w:val="5A6C4CE3"/>
    <w:rsid w:val="5AB32912"/>
    <w:rsid w:val="5AC02935"/>
    <w:rsid w:val="5ACE076F"/>
    <w:rsid w:val="5B01367D"/>
    <w:rsid w:val="5B300318"/>
    <w:rsid w:val="5B4F263B"/>
    <w:rsid w:val="5B77687E"/>
    <w:rsid w:val="5B98227D"/>
    <w:rsid w:val="5BE2525D"/>
    <w:rsid w:val="5BF84C99"/>
    <w:rsid w:val="5C426EEA"/>
    <w:rsid w:val="5C677510"/>
    <w:rsid w:val="5C7A78E0"/>
    <w:rsid w:val="5CA65ADF"/>
    <w:rsid w:val="5CBE5745"/>
    <w:rsid w:val="5D537A94"/>
    <w:rsid w:val="5D8D11F8"/>
    <w:rsid w:val="5D8E56D7"/>
    <w:rsid w:val="5DA708BC"/>
    <w:rsid w:val="5DFA57A4"/>
    <w:rsid w:val="5DFB56FF"/>
    <w:rsid w:val="5E1E62F4"/>
    <w:rsid w:val="5E53117C"/>
    <w:rsid w:val="5E99597B"/>
    <w:rsid w:val="5F074FDA"/>
    <w:rsid w:val="5F076D88"/>
    <w:rsid w:val="5F0D10F3"/>
    <w:rsid w:val="5F322057"/>
    <w:rsid w:val="5F370C1F"/>
    <w:rsid w:val="5F4678B1"/>
    <w:rsid w:val="5FE377F5"/>
    <w:rsid w:val="5FEE0A04"/>
    <w:rsid w:val="5FFB68ED"/>
    <w:rsid w:val="60201069"/>
    <w:rsid w:val="606972A7"/>
    <w:rsid w:val="60941186"/>
    <w:rsid w:val="60E27AAD"/>
    <w:rsid w:val="60EF78BD"/>
    <w:rsid w:val="61096DE8"/>
    <w:rsid w:val="61406582"/>
    <w:rsid w:val="61693D2A"/>
    <w:rsid w:val="61756A9A"/>
    <w:rsid w:val="61834DEC"/>
    <w:rsid w:val="61984414"/>
    <w:rsid w:val="61A466ED"/>
    <w:rsid w:val="61A95B4E"/>
    <w:rsid w:val="621B2D01"/>
    <w:rsid w:val="6222501C"/>
    <w:rsid w:val="62620EA5"/>
    <w:rsid w:val="62792512"/>
    <w:rsid w:val="62A4661E"/>
    <w:rsid w:val="62B54F63"/>
    <w:rsid w:val="630216B0"/>
    <w:rsid w:val="633D1D79"/>
    <w:rsid w:val="639561AB"/>
    <w:rsid w:val="63985913"/>
    <w:rsid w:val="63A93274"/>
    <w:rsid w:val="63D336DD"/>
    <w:rsid w:val="64047FAF"/>
    <w:rsid w:val="648D4C9B"/>
    <w:rsid w:val="65085009"/>
    <w:rsid w:val="65D1598F"/>
    <w:rsid w:val="660B69CC"/>
    <w:rsid w:val="661D46E2"/>
    <w:rsid w:val="66377F53"/>
    <w:rsid w:val="664416A8"/>
    <w:rsid w:val="665A1E94"/>
    <w:rsid w:val="668157BD"/>
    <w:rsid w:val="6683763C"/>
    <w:rsid w:val="66904A8D"/>
    <w:rsid w:val="66AA4BC9"/>
    <w:rsid w:val="66DE4873"/>
    <w:rsid w:val="67031933"/>
    <w:rsid w:val="6727446C"/>
    <w:rsid w:val="673F3C51"/>
    <w:rsid w:val="676E5BF7"/>
    <w:rsid w:val="678F1A16"/>
    <w:rsid w:val="67932321"/>
    <w:rsid w:val="6796514D"/>
    <w:rsid w:val="68007DD9"/>
    <w:rsid w:val="6821710D"/>
    <w:rsid w:val="68460921"/>
    <w:rsid w:val="689E0B09"/>
    <w:rsid w:val="68CD1043"/>
    <w:rsid w:val="68EA39A3"/>
    <w:rsid w:val="692470A5"/>
    <w:rsid w:val="6961247F"/>
    <w:rsid w:val="698906D4"/>
    <w:rsid w:val="69A278C3"/>
    <w:rsid w:val="69AA5B1B"/>
    <w:rsid w:val="6A0B0528"/>
    <w:rsid w:val="6A396135"/>
    <w:rsid w:val="6A3D194B"/>
    <w:rsid w:val="6AA626F8"/>
    <w:rsid w:val="6AAF0A00"/>
    <w:rsid w:val="6B013226"/>
    <w:rsid w:val="6B0548C4"/>
    <w:rsid w:val="6B12367E"/>
    <w:rsid w:val="6B5B2936"/>
    <w:rsid w:val="6B95409A"/>
    <w:rsid w:val="6BD526E8"/>
    <w:rsid w:val="6C094140"/>
    <w:rsid w:val="6C3C747F"/>
    <w:rsid w:val="6C546BC7"/>
    <w:rsid w:val="6C622B16"/>
    <w:rsid w:val="6C8B2DA7"/>
    <w:rsid w:val="6D82784E"/>
    <w:rsid w:val="6DB3179F"/>
    <w:rsid w:val="6DBD1686"/>
    <w:rsid w:val="6DE4262A"/>
    <w:rsid w:val="6DF64B98"/>
    <w:rsid w:val="6E001573"/>
    <w:rsid w:val="6E160D96"/>
    <w:rsid w:val="6E486EFA"/>
    <w:rsid w:val="6E6003A9"/>
    <w:rsid w:val="6E6164B5"/>
    <w:rsid w:val="6E705CD6"/>
    <w:rsid w:val="6E7C32EF"/>
    <w:rsid w:val="6E9A3775"/>
    <w:rsid w:val="6ECB7DD2"/>
    <w:rsid w:val="6EEC3FFA"/>
    <w:rsid w:val="6F4A3DBB"/>
    <w:rsid w:val="6F600AEA"/>
    <w:rsid w:val="6F906926"/>
    <w:rsid w:val="6FA50623"/>
    <w:rsid w:val="6FA7283F"/>
    <w:rsid w:val="6FAF14A2"/>
    <w:rsid w:val="6FC33B9F"/>
    <w:rsid w:val="6FE56C72"/>
    <w:rsid w:val="70294DB1"/>
    <w:rsid w:val="70333E81"/>
    <w:rsid w:val="704B579F"/>
    <w:rsid w:val="705B6F34"/>
    <w:rsid w:val="706047D9"/>
    <w:rsid w:val="7082716D"/>
    <w:rsid w:val="70967F6C"/>
    <w:rsid w:val="70B4099A"/>
    <w:rsid w:val="70F33611"/>
    <w:rsid w:val="70F52EE5"/>
    <w:rsid w:val="71706DFB"/>
    <w:rsid w:val="71864485"/>
    <w:rsid w:val="718C09A0"/>
    <w:rsid w:val="71926986"/>
    <w:rsid w:val="71A2162C"/>
    <w:rsid w:val="724950AF"/>
    <w:rsid w:val="72B3796C"/>
    <w:rsid w:val="72C2503C"/>
    <w:rsid w:val="731A4E85"/>
    <w:rsid w:val="73315210"/>
    <w:rsid w:val="733561DD"/>
    <w:rsid w:val="73541D13"/>
    <w:rsid w:val="73612AB3"/>
    <w:rsid w:val="736F033D"/>
    <w:rsid w:val="73877399"/>
    <w:rsid w:val="738F5872"/>
    <w:rsid w:val="73B250BD"/>
    <w:rsid w:val="73C55D3F"/>
    <w:rsid w:val="73E72215"/>
    <w:rsid w:val="740873D3"/>
    <w:rsid w:val="7416748E"/>
    <w:rsid w:val="744F1932"/>
    <w:rsid w:val="74732A9E"/>
    <w:rsid w:val="748A428C"/>
    <w:rsid w:val="74B17A6A"/>
    <w:rsid w:val="74B866F8"/>
    <w:rsid w:val="74C75037"/>
    <w:rsid w:val="757462E0"/>
    <w:rsid w:val="75A65F75"/>
    <w:rsid w:val="75CC3887"/>
    <w:rsid w:val="75EC5C91"/>
    <w:rsid w:val="75F51B94"/>
    <w:rsid w:val="7629473E"/>
    <w:rsid w:val="76A258BD"/>
    <w:rsid w:val="76CA0970"/>
    <w:rsid w:val="76D96E05"/>
    <w:rsid w:val="76E41A31"/>
    <w:rsid w:val="76EE465E"/>
    <w:rsid w:val="76FA0C7B"/>
    <w:rsid w:val="77007C11"/>
    <w:rsid w:val="77027F2F"/>
    <w:rsid w:val="77170059"/>
    <w:rsid w:val="772C33D8"/>
    <w:rsid w:val="77583CB5"/>
    <w:rsid w:val="776E1CAE"/>
    <w:rsid w:val="776E49BD"/>
    <w:rsid w:val="777C0C35"/>
    <w:rsid w:val="777F4DB5"/>
    <w:rsid w:val="778D20C9"/>
    <w:rsid w:val="77996D99"/>
    <w:rsid w:val="77D50B85"/>
    <w:rsid w:val="77D84510"/>
    <w:rsid w:val="78085A7D"/>
    <w:rsid w:val="7883527A"/>
    <w:rsid w:val="78B25CC4"/>
    <w:rsid w:val="78D63858"/>
    <w:rsid w:val="78E47886"/>
    <w:rsid w:val="78F11B56"/>
    <w:rsid w:val="7924080B"/>
    <w:rsid w:val="79446FC6"/>
    <w:rsid w:val="799137E4"/>
    <w:rsid w:val="79926C33"/>
    <w:rsid w:val="79A25BD4"/>
    <w:rsid w:val="79A8657B"/>
    <w:rsid w:val="79D660CB"/>
    <w:rsid w:val="79E75E67"/>
    <w:rsid w:val="7A86524E"/>
    <w:rsid w:val="7A8A213E"/>
    <w:rsid w:val="7AE171BB"/>
    <w:rsid w:val="7AEE5170"/>
    <w:rsid w:val="7AF72A28"/>
    <w:rsid w:val="7AF97A75"/>
    <w:rsid w:val="7B05641A"/>
    <w:rsid w:val="7B3269C5"/>
    <w:rsid w:val="7B5E73DD"/>
    <w:rsid w:val="7B9B0B2D"/>
    <w:rsid w:val="7BDC361F"/>
    <w:rsid w:val="7BDF24E8"/>
    <w:rsid w:val="7C1D7A7F"/>
    <w:rsid w:val="7C8C67E9"/>
    <w:rsid w:val="7CB805AB"/>
    <w:rsid w:val="7D1C4774"/>
    <w:rsid w:val="7D383682"/>
    <w:rsid w:val="7D5662F5"/>
    <w:rsid w:val="7D6242BE"/>
    <w:rsid w:val="7DBF6210"/>
    <w:rsid w:val="7DCB56F9"/>
    <w:rsid w:val="7E117A00"/>
    <w:rsid w:val="7E24305B"/>
    <w:rsid w:val="7E6E42D6"/>
    <w:rsid w:val="7E793E5B"/>
    <w:rsid w:val="7EED0716"/>
    <w:rsid w:val="7F233313"/>
    <w:rsid w:val="7F2C2B69"/>
    <w:rsid w:val="7F36478D"/>
    <w:rsid w:val="7FBB43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7"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ascii="Calibri" w:hAnsi="Calibri"/>
      <w:bCs/>
      <w:kern w:val="44"/>
      <w:sz w:val="44"/>
      <w:szCs w:val="44"/>
    </w:rPr>
  </w:style>
  <w:style w:type="paragraph" w:styleId="2">
    <w:name w:val="heading 2"/>
    <w:basedOn w:val="1"/>
    <w:next w:val="1"/>
    <w:qFormat/>
    <w:uiPriority w:val="9"/>
    <w:pPr>
      <w:keepNext/>
      <w:keepLines/>
      <w:spacing w:before="260" w:after="260" w:line="500" w:lineRule="exact"/>
      <w:contextualSpacing/>
      <w:jc w:val="center"/>
      <w:outlineLvl w:val="1"/>
    </w:pPr>
    <w:rPr>
      <w:rFonts w:ascii="宋体"/>
      <w:szCs w:val="28"/>
    </w:rPr>
  </w:style>
  <w:style w:type="paragraph" w:styleId="4">
    <w:name w:val="heading 3"/>
    <w:basedOn w:val="1"/>
    <w:next w:val="1"/>
    <w:qFormat/>
    <w:uiPriority w:val="9"/>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3920" w:leftChars="1400"/>
    </w:pPr>
  </w:style>
  <w:style w:type="paragraph" w:styleId="7">
    <w:name w:val="Normal Indent"/>
    <w:basedOn w:val="1"/>
    <w:next w:val="8"/>
    <w:qFormat/>
    <w:uiPriority w:val="7"/>
    <w:pPr>
      <w:widowControl w:val="0"/>
      <w:spacing w:line="240" w:lineRule="auto"/>
      <w:ind w:firstLine="420"/>
    </w:pPr>
    <w:rPr>
      <w:kern w:val="1"/>
      <w:szCs w:val="24"/>
    </w:r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rPr>
  </w:style>
  <w:style w:type="paragraph" w:styleId="9">
    <w:name w:val="index 5"/>
    <w:basedOn w:val="10"/>
    <w:next w:val="10"/>
    <w:qFormat/>
    <w:uiPriority w:val="0"/>
    <w:pPr>
      <w:ind w:left="1680"/>
    </w:pPr>
  </w:style>
  <w:style w:type="paragraph" w:customStyle="1" w:styleId="10">
    <w:name w:val="正文_5"/>
    <w:basedOn w:val="11"/>
    <w:qFormat/>
    <w:uiPriority w:val="0"/>
    <w:pPr>
      <w:widowControl w:val="0"/>
      <w:jc w:val="both"/>
    </w:pPr>
    <w:rPr>
      <w:kern w:val="2"/>
      <w:sz w:val="21"/>
      <w:szCs w:val="22"/>
      <w:lang w:val="en-US" w:eastAsia="zh-CN" w:bidi="ar-SA"/>
    </w:rPr>
  </w:style>
  <w:style w:type="paragraph" w:customStyle="1" w:styleId="11">
    <w:name w:val="正文_6"/>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页脚_3"/>
    <w:basedOn w:val="11"/>
    <w:qFormat/>
    <w:uiPriority w:val="0"/>
    <w:pPr>
      <w:tabs>
        <w:tab w:val="center" w:pos="4153"/>
        <w:tab w:val="right" w:pos="8306"/>
      </w:tabs>
      <w:snapToGrid w:val="0"/>
      <w:jc w:val="left"/>
    </w:pPr>
    <w:rPr>
      <w:sz w:val="18"/>
      <w:szCs w:val="18"/>
    </w:rPr>
  </w:style>
  <w:style w:type="paragraph" w:styleId="13">
    <w:name w:val="Body Text 3"/>
    <w:basedOn w:val="1"/>
    <w:next w:val="1"/>
    <w:qFormat/>
    <w:uiPriority w:val="0"/>
    <w:pPr>
      <w:spacing w:line="440" w:lineRule="exact"/>
    </w:pPr>
    <w:rPr>
      <w:color w:val="000000"/>
      <w:kern w:val="2"/>
      <w:sz w:val="21"/>
      <w:szCs w:val="20"/>
    </w:rPr>
  </w:style>
  <w:style w:type="paragraph" w:styleId="14">
    <w:name w:val="Body Text"/>
    <w:basedOn w:val="1"/>
    <w:next w:val="1"/>
    <w:unhideWhenUsed/>
    <w:qFormat/>
    <w:uiPriority w:val="1"/>
    <w:pPr>
      <w:spacing w:after="120"/>
    </w:pPr>
  </w:style>
  <w:style w:type="paragraph" w:styleId="15">
    <w:name w:val="Body Text Indent"/>
    <w:basedOn w:val="1"/>
    <w:qFormat/>
    <w:uiPriority w:val="99"/>
    <w:pPr>
      <w:ind w:firstLine="830" w:firstLineChars="352"/>
    </w:pPr>
    <w:rPr>
      <w:rFonts w:ascii="仿宋_GB2312" w:eastAsia="仿宋_GB2312"/>
      <w:sz w:val="32"/>
      <w:szCs w:val="20"/>
    </w:rPr>
  </w:style>
  <w:style w:type="paragraph" w:styleId="16">
    <w:name w:val="toc 3"/>
    <w:basedOn w:val="1"/>
    <w:next w:val="1"/>
    <w:unhideWhenUsed/>
    <w:qFormat/>
    <w:uiPriority w:val="39"/>
    <w:pPr>
      <w:ind w:left="840" w:leftChars="400"/>
    </w:pPr>
  </w:style>
  <w:style w:type="paragraph" w:styleId="17">
    <w:name w:val="Plain Text"/>
    <w:basedOn w:val="1"/>
    <w:link w:val="38"/>
    <w:qFormat/>
    <w:uiPriority w:val="0"/>
    <w:rPr>
      <w:rFonts w:ascii="宋体" w:hAnsi="Courier New"/>
      <w:szCs w:val="21"/>
    </w:rPr>
  </w:style>
  <w:style w:type="paragraph" w:styleId="18">
    <w:name w:val="Balloon Text"/>
    <w:basedOn w:val="1"/>
    <w:link w:val="39"/>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222"/>
      </w:tabs>
      <w:spacing w:line="440" w:lineRule="exact"/>
      <w:ind w:right="231" w:rightChars="110"/>
    </w:pPr>
    <w:rPr>
      <w:sz w:val="28"/>
    </w:rPr>
  </w:style>
  <w:style w:type="paragraph" w:styleId="22">
    <w:name w:val="List"/>
    <w:basedOn w:val="1"/>
    <w:qFormat/>
    <w:uiPriority w:val="0"/>
    <w:pPr>
      <w:widowControl w:val="0"/>
      <w:adjustRightInd w:val="0"/>
      <w:spacing w:line="360" w:lineRule="atLeast"/>
      <w:ind w:left="420" w:hanging="420"/>
      <w:jc w:val="left"/>
    </w:pPr>
    <w:rPr>
      <w:rFonts w:ascii="宋体"/>
      <w:color w:val="auto"/>
      <w:sz w:val="24"/>
    </w:rPr>
  </w:style>
  <w:style w:type="paragraph" w:styleId="23">
    <w:name w:val="toc 2"/>
    <w:basedOn w:val="1"/>
    <w:next w:val="1"/>
    <w:qFormat/>
    <w:uiPriority w:val="39"/>
    <w:pPr>
      <w:tabs>
        <w:tab w:val="right" w:leader="dot" w:pos="8222"/>
      </w:tabs>
      <w:ind w:left="420" w:leftChars="200"/>
      <w:jc w:val="left"/>
    </w:pPr>
    <w:rPr>
      <w:sz w:val="28"/>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6">
    <w:name w:val="Body Text First Indent"/>
    <w:basedOn w:val="27"/>
    <w:qFormat/>
    <w:uiPriority w:val="0"/>
    <w:pPr>
      <w:spacing w:line="540" w:lineRule="exact"/>
      <w:ind w:firstLine="420" w:firstLineChars="100"/>
    </w:pPr>
    <w:rPr>
      <w:rFonts w:eastAsia="仿宋_GB2312"/>
      <w:sz w:val="28"/>
      <w:szCs w:val="24"/>
    </w:rPr>
  </w:style>
  <w:style w:type="paragraph" w:customStyle="1" w:styleId="27">
    <w:name w:val="正文文本_0"/>
    <w:basedOn w:val="28"/>
    <w:qFormat/>
    <w:locked/>
    <w:uiPriority w:val="0"/>
    <w:pPr>
      <w:spacing w:after="120"/>
    </w:pPr>
    <w:rPr>
      <w:rFonts w:ascii="Calibri" w:hAnsi="Calibri" w:cs="Times New Roman"/>
      <w:szCs w:val="24"/>
    </w:rPr>
  </w:style>
  <w:style w:type="paragraph" w:customStyle="1" w:styleId="28">
    <w:name w:val="正文_2"/>
    <w:basedOn w:val="29"/>
    <w:next w:val="30"/>
    <w:qFormat/>
    <w:uiPriority w:val="0"/>
    <w:pPr>
      <w:widowControl w:val="0"/>
      <w:jc w:val="both"/>
    </w:pPr>
    <w:rPr>
      <w:rFonts w:ascii="Calibri" w:hAnsi="Calibri"/>
      <w:kern w:val="2"/>
      <w:sz w:val="21"/>
      <w:szCs w:val="22"/>
      <w:lang w:val="en-US" w:eastAsia="zh-CN" w:bidi="ar-SA"/>
    </w:rPr>
  </w:style>
  <w:style w:type="paragraph" w:customStyle="1" w:styleId="29">
    <w:name w:val="正文_3"/>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文本_1"/>
    <w:basedOn w:val="31"/>
    <w:qFormat/>
    <w:uiPriority w:val="99"/>
    <w:pPr>
      <w:autoSpaceDE w:val="0"/>
      <w:autoSpaceDN w:val="0"/>
      <w:adjustRightInd w:val="0"/>
      <w:ind w:left="520"/>
      <w:jc w:val="left"/>
    </w:pPr>
    <w:rPr>
      <w:rFonts w:ascii="Microsoft JhengHei" w:hAnsi="Times New Roman" w:eastAsia="Microsoft JhengHei"/>
      <w:kern w:val="0"/>
      <w:szCs w:val="21"/>
    </w:rPr>
  </w:style>
  <w:style w:type="paragraph" w:customStyle="1" w:styleId="31">
    <w:name w:val="正文_0_3"/>
    <w:qFormat/>
    <w:locked/>
    <w:uiPriority w:val="0"/>
    <w:pPr>
      <w:widowControl w:val="0"/>
      <w:jc w:val="both"/>
    </w:pPr>
    <w:rPr>
      <w:rFonts w:ascii="Times New Roman" w:hAnsi="Times New Roman" w:eastAsia="宋体" w:cs="Times New Roman"/>
      <w:kern w:val="2"/>
      <w:sz w:val="21"/>
      <w:szCs w:val="24"/>
      <w:lang w:val="en-US" w:eastAsia="zh-CN" w:bidi="ar-SA"/>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HTML Sample"/>
    <w:basedOn w:val="34"/>
    <w:qFormat/>
    <w:uiPriority w:val="0"/>
    <w:rPr>
      <w:rFonts w:ascii="Courier New" w:hAnsi="Courier New"/>
    </w:rPr>
  </w:style>
  <w:style w:type="character" w:customStyle="1" w:styleId="37">
    <w:name w:val="标题 4 Char1"/>
    <w:link w:val="5"/>
    <w:qFormat/>
    <w:uiPriority w:val="0"/>
    <w:rPr>
      <w:rFonts w:ascii="Cambria" w:hAnsi="Cambria"/>
      <w:b/>
      <w:bCs/>
      <w:kern w:val="2"/>
      <w:sz w:val="28"/>
      <w:szCs w:val="28"/>
    </w:rPr>
  </w:style>
  <w:style w:type="character" w:customStyle="1" w:styleId="38">
    <w:name w:val="纯文本 Char"/>
    <w:basedOn w:val="34"/>
    <w:link w:val="17"/>
    <w:qFormat/>
    <w:uiPriority w:val="0"/>
    <w:rPr>
      <w:rFonts w:ascii="宋体" w:hAnsi="Courier New"/>
      <w:kern w:val="2"/>
      <w:sz w:val="21"/>
      <w:szCs w:val="21"/>
    </w:rPr>
  </w:style>
  <w:style w:type="character" w:customStyle="1" w:styleId="39">
    <w:name w:val="批注框文本 Char"/>
    <w:basedOn w:val="34"/>
    <w:link w:val="18"/>
    <w:qFormat/>
    <w:uiPriority w:val="0"/>
    <w:rPr>
      <w:rFonts w:ascii="Calibri" w:hAnsi="Calibri"/>
      <w:kern w:val="2"/>
      <w:sz w:val="18"/>
      <w:szCs w:val="18"/>
    </w:rPr>
  </w:style>
  <w:style w:type="character" w:customStyle="1" w:styleId="40">
    <w:name w:val="页眉 Char"/>
    <w:basedOn w:val="34"/>
    <w:link w:val="20"/>
    <w:qFormat/>
    <w:uiPriority w:val="0"/>
    <w:rPr>
      <w:rFonts w:ascii="Calibri" w:hAnsi="Calibri"/>
      <w:kern w:val="2"/>
      <w:sz w:val="18"/>
      <w:szCs w:val="18"/>
    </w:rPr>
  </w:style>
  <w:style w:type="character" w:customStyle="1" w:styleId="41">
    <w:name w:val="标题 4 Char"/>
    <w:basedOn w:val="34"/>
    <w:link w:val="5"/>
    <w:semiHidden/>
    <w:qFormat/>
    <w:uiPriority w:val="9"/>
    <w:rPr>
      <w:rFonts w:ascii="Cambria" w:hAnsi="Cambria" w:eastAsia="宋体" w:cs="Times New Roman"/>
      <w:b/>
      <w:bCs/>
      <w:kern w:val="2"/>
      <w:sz w:val="28"/>
      <w:szCs w:val="28"/>
    </w:rPr>
  </w:style>
  <w:style w:type="paragraph" w:customStyle="1" w:styleId="42">
    <w:name w:val="列表_1"/>
    <w:basedOn w:val="11"/>
    <w:semiHidden/>
    <w:qFormat/>
    <w:locked/>
    <w:uiPriority w:val="0"/>
    <w:pPr>
      <w:ind w:left="200" w:hanging="200" w:hangingChars="200"/>
    </w:pPr>
  </w:style>
  <w:style w:type="character" w:customStyle="1" w:styleId="43">
    <w:name w:val="正文文本缩进 Char_0"/>
    <w:link w:val="44"/>
    <w:qFormat/>
    <w:uiPriority w:val="0"/>
  </w:style>
  <w:style w:type="paragraph" w:customStyle="1" w:styleId="44">
    <w:name w:val="正文文本缩进_0"/>
    <w:basedOn w:val="28"/>
    <w:link w:val="43"/>
    <w:qFormat/>
    <w:uiPriority w:val="0"/>
    <w:pPr>
      <w:spacing w:after="120"/>
      <w:ind w:left="420" w:leftChars="200"/>
    </w:pPr>
    <w:rPr>
      <w:rFonts w:ascii="Times New Roman" w:hAnsi="Times New Roman"/>
      <w:kern w:val="0"/>
      <w:sz w:val="20"/>
      <w:szCs w:val="20"/>
    </w:rPr>
  </w:style>
  <w:style w:type="paragraph" w:customStyle="1" w:styleId="45">
    <w:name w:val="正文_1"/>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脚注文本_0"/>
    <w:basedOn w:val="47"/>
    <w:next w:val="50"/>
    <w:qFormat/>
    <w:uiPriority w:val="0"/>
    <w:pPr>
      <w:snapToGrid w:val="0"/>
      <w:jc w:val="left"/>
    </w:pPr>
    <w:rPr>
      <w:rFonts w:ascii="Times New Roman" w:hAnsi="Times New Roman" w:eastAsia="宋体" w:cs="Times New Roman"/>
      <w:kern w:val="0"/>
      <w:sz w:val="18"/>
      <w:szCs w:val="18"/>
    </w:rPr>
  </w:style>
  <w:style w:type="paragraph" w:customStyle="1" w:styleId="47">
    <w:name w:val="正文_3_0"/>
    <w:basedOn w:val="48"/>
    <w:next w:val="49"/>
    <w:qFormat/>
    <w:locked/>
    <w:uiPriority w:val="0"/>
    <w:pPr>
      <w:widowControl w:val="0"/>
      <w:jc w:val="both"/>
    </w:pPr>
    <w:rPr>
      <w:rFonts w:ascii="Calibri" w:hAnsi="Calibri"/>
      <w:kern w:val="2"/>
      <w:sz w:val="21"/>
      <w:szCs w:val="22"/>
      <w:lang w:val="en-US" w:eastAsia="zh-CN" w:bidi="ar-SA"/>
    </w:rPr>
  </w:style>
  <w:style w:type="paragraph" w:customStyle="1" w:styleId="48">
    <w:name w:val="正文_3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_2_0"/>
    <w:basedOn w:val="47"/>
    <w:qFormat/>
    <w:uiPriority w:val="0"/>
    <w:pPr>
      <w:spacing w:after="120"/>
    </w:pPr>
    <w:rPr>
      <w:rFonts w:ascii="Times New Roman" w:hAnsi="Times New Roman" w:eastAsia="宋体" w:cs="Times New Roman"/>
      <w:szCs w:val="24"/>
    </w:rPr>
  </w:style>
  <w:style w:type="paragraph" w:customStyle="1" w:styleId="50">
    <w:name w:val="索引 5_0"/>
    <w:basedOn w:val="45"/>
    <w:next w:val="45"/>
    <w:unhideWhenUsed/>
    <w:qFormat/>
    <w:uiPriority w:val="99"/>
    <w:pPr>
      <w:ind w:left="1680"/>
    </w:pPr>
  </w:style>
  <w:style w:type="character" w:customStyle="1" w:styleId="51">
    <w:name w:val="标题 1 Char_2"/>
    <w:link w:val="52"/>
    <w:qFormat/>
    <w:uiPriority w:val="0"/>
    <w:rPr>
      <w:b/>
      <w:kern w:val="44"/>
      <w:sz w:val="44"/>
    </w:rPr>
  </w:style>
  <w:style w:type="paragraph" w:customStyle="1" w:styleId="52">
    <w:name w:val="标题 1_2"/>
    <w:basedOn w:val="28"/>
    <w:next w:val="28"/>
    <w:link w:val="51"/>
    <w:qFormat/>
    <w:uiPriority w:val="0"/>
    <w:pPr>
      <w:keepNext/>
      <w:keepLines/>
      <w:spacing w:before="340" w:after="330" w:line="576" w:lineRule="auto"/>
      <w:outlineLvl w:val="0"/>
    </w:pPr>
    <w:rPr>
      <w:rFonts w:ascii="Times New Roman" w:hAnsi="Times New Roman"/>
      <w:b/>
      <w:kern w:val="44"/>
      <w:sz w:val="44"/>
      <w:szCs w:val="20"/>
    </w:rPr>
  </w:style>
  <w:style w:type="paragraph" w:customStyle="1" w:styleId="53">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4">
    <w:name w:val="纯文本_0"/>
    <w:basedOn w:val="55"/>
    <w:qFormat/>
    <w:uiPriority w:val="0"/>
    <w:rPr>
      <w:rFonts w:ascii="宋体" w:hAnsi="Courier New"/>
      <w:szCs w:val="21"/>
    </w:rPr>
  </w:style>
  <w:style w:type="paragraph" w:customStyle="1" w:styleId="55">
    <w:name w:val="正文_2_0"/>
    <w:basedOn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1_0"/>
    <w:basedOn w:val="28"/>
    <w:next w:val="57"/>
    <w:qFormat/>
    <w:uiPriority w:val="0"/>
    <w:pPr>
      <w:widowControl w:val="0"/>
      <w:jc w:val="both"/>
    </w:pPr>
    <w:rPr>
      <w:kern w:val="2"/>
      <w:sz w:val="21"/>
      <w:szCs w:val="22"/>
      <w:lang w:val="en-US" w:eastAsia="zh-CN" w:bidi="ar-SA"/>
    </w:rPr>
  </w:style>
  <w:style w:type="paragraph" w:customStyle="1" w:styleId="57">
    <w:name w:val="正文首行缩进1"/>
    <w:basedOn w:val="58"/>
    <w:unhideWhenUsed/>
    <w:qFormat/>
    <w:uiPriority w:val="99"/>
    <w:pPr>
      <w:ind w:firstLine="420" w:firstLineChars="100"/>
    </w:pPr>
    <w:rPr>
      <w:szCs w:val="22"/>
    </w:rPr>
  </w:style>
  <w:style w:type="paragraph" w:customStyle="1" w:styleId="58">
    <w:name w:val="正文文本_0_0"/>
    <w:basedOn w:val="59"/>
    <w:qFormat/>
    <w:uiPriority w:val="0"/>
    <w:pPr>
      <w:spacing w:after="120"/>
    </w:pPr>
    <w:rPr>
      <w:rFonts w:ascii="Calibri" w:hAnsi="Calibri"/>
      <w:kern w:val="0"/>
      <w:sz w:val="20"/>
    </w:rPr>
  </w:style>
  <w:style w:type="paragraph" w:customStyle="1" w:styleId="59">
    <w:name w:val="正文_12_0"/>
    <w:basedOn w:val="60"/>
    <w:qFormat/>
    <w:locked/>
    <w:uiPriority w:val="0"/>
    <w:rPr>
      <w:rFonts w:ascii="Calibri" w:hAnsi="Calibri" w:eastAsia="宋体" w:cs="Calibri"/>
      <w:szCs w:val="21"/>
    </w:rPr>
  </w:style>
  <w:style w:type="paragraph" w:customStyle="1" w:styleId="60">
    <w:name w:val="正文_13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标题 31"/>
    <w:basedOn w:val="1"/>
    <w:qFormat/>
    <w:uiPriority w:val="1"/>
    <w:pPr>
      <w:autoSpaceDE w:val="0"/>
      <w:autoSpaceDN w:val="0"/>
      <w:adjustRightInd w:val="0"/>
      <w:ind w:left="237"/>
      <w:jc w:val="left"/>
      <w:outlineLvl w:val="2"/>
    </w:pPr>
    <w:rPr>
      <w:rFonts w:ascii="Microsoft JhengHei" w:hAnsi="Times New Roman" w:eastAsia="Microsoft JhengHei" w:cs="Microsoft JhengHei"/>
      <w:kern w:val="0"/>
      <w:sz w:val="28"/>
      <w:szCs w:val="28"/>
    </w:rPr>
  </w:style>
  <w:style w:type="paragraph" w:customStyle="1" w:styleId="63">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4"/>
    <w:basedOn w:val="68"/>
    <w:qFormat/>
    <w:uiPriority w:val="0"/>
    <w:rPr>
      <w:rFonts w:ascii="Calibri" w:hAnsi="Calibri" w:cs="宋体"/>
      <w:szCs w:val="21"/>
    </w:rPr>
  </w:style>
  <w:style w:type="paragraph" w:customStyle="1" w:styleId="68">
    <w:name w:val="正文_0_1"/>
    <w:basedOn w:val="69"/>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1_1"/>
    <w:basedOn w:val="56"/>
    <w:next w:val="70"/>
    <w:qFormat/>
    <w:uiPriority w:val="0"/>
    <w:pPr>
      <w:widowControl w:val="0"/>
      <w:jc w:val="both"/>
    </w:pPr>
    <w:rPr>
      <w:rFonts w:ascii="Calibri" w:hAnsi="Calibri"/>
      <w:kern w:val="2"/>
      <w:sz w:val="21"/>
      <w:szCs w:val="24"/>
      <w:lang w:val="en-US" w:eastAsia="zh-CN" w:bidi="ar-SA"/>
    </w:rPr>
  </w:style>
  <w:style w:type="paragraph" w:customStyle="1" w:styleId="70">
    <w:name w:val="正文首行缩进_0"/>
    <w:basedOn w:val="71"/>
    <w:unhideWhenUsed/>
    <w:qFormat/>
    <w:uiPriority w:val="99"/>
    <w:pPr>
      <w:ind w:firstLine="420" w:firstLineChars="100"/>
    </w:pPr>
    <w:rPr>
      <w:szCs w:val="22"/>
    </w:rPr>
  </w:style>
  <w:style w:type="paragraph" w:customStyle="1" w:styleId="71">
    <w:name w:val="正文文本_0_1"/>
    <w:basedOn w:val="72"/>
    <w:qFormat/>
    <w:uiPriority w:val="0"/>
    <w:pPr>
      <w:spacing w:after="120"/>
    </w:pPr>
    <w:rPr>
      <w:rFonts w:ascii="Calibri" w:hAnsi="Calibri" w:eastAsia="宋体"/>
    </w:rPr>
  </w:style>
  <w:style w:type="paragraph" w:customStyle="1" w:styleId="72">
    <w:name w:val="正文_1_0_2"/>
    <w:next w:val="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Body Text First Indent_1"/>
    <w:basedOn w:val="74"/>
    <w:unhideWhenUsed/>
    <w:qFormat/>
    <w:uiPriority w:val="99"/>
    <w:pPr>
      <w:ind w:firstLine="420" w:firstLineChars="100"/>
    </w:pPr>
    <w:rPr>
      <w:szCs w:val="22"/>
    </w:rPr>
  </w:style>
  <w:style w:type="paragraph" w:customStyle="1" w:styleId="74">
    <w:name w:val="正文文本_0_0_1"/>
    <w:basedOn w:val="75"/>
    <w:qFormat/>
    <w:uiPriority w:val="0"/>
    <w:pPr>
      <w:spacing w:after="120"/>
    </w:pPr>
  </w:style>
  <w:style w:type="paragraph" w:customStyle="1" w:styleId="75">
    <w:name w:val="正文_12_0_1"/>
    <w:basedOn w:val="76"/>
    <w:qFormat/>
    <w:uiPriority w:val="0"/>
    <w:rPr>
      <w:rFonts w:cs="Calibri"/>
      <w:szCs w:val="21"/>
    </w:rPr>
  </w:style>
  <w:style w:type="paragraph" w:customStyle="1" w:styleId="76">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列出段落_0"/>
    <w:basedOn w:val="45"/>
    <w:qFormat/>
    <w:uiPriority w:val="34"/>
    <w:pPr>
      <w:ind w:firstLine="420" w:firstLineChars="200"/>
    </w:pPr>
    <w:rPr>
      <w:rFonts w:ascii="Calibri" w:hAnsi="Calibri"/>
      <w:szCs w:val="22"/>
    </w:rPr>
  </w:style>
  <w:style w:type="paragraph" w:customStyle="1" w:styleId="78">
    <w:name w:val="Table Paragraph"/>
    <w:basedOn w:val="79"/>
    <w:next w:val="1"/>
    <w:qFormat/>
    <w:uiPriority w:val="1"/>
    <w:pPr>
      <w:jc w:val="left"/>
    </w:pPr>
    <w:rPr>
      <w:rFonts w:ascii="Calibri" w:hAnsi="Calibri" w:eastAsia="宋体"/>
      <w:kern w:val="0"/>
      <w:sz w:val="22"/>
      <w:lang w:eastAsia="en-US"/>
    </w:rPr>
  </w:style>
  <w:style w:type="paragraph" w:customStyle="1" w:styleId="79">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2"/>
    <w:qFormat/>
    <w:uiPriority w:val="0"/>
    <w:rPr>
      <w:rFonts w:ascii="Times New Roman" w:hAnsi="Times New Roman" w:eastAsia="Times New Roman" w:cs="Times New Roman"/>
      <w:sz w:val="24"/>
      <w:szCs w:val="24"/>
      <w:lang w:val="en-US" w:eastAsia="zh-CN" w:bidi="ar-SA"/>
    </w:rPr>
  </w:style>
  <w:style w:type="paragraph" w:customStyle="1" w:styleId="8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_1_0_0"/>
    <w:basedOn w:val="64"/>
    <w:qFormat/>
    <w:uiPriority w:val="0"/>
    <w:pPr>
      <w:spacing w:after="120"/>
    </w:pPr>
    <w:rPr>
      <w:rFonts w:ascii="Times New Roman" w:hAnsi="Times New Roman"/>
      <w:szCs w:val="24"/>
    </w:rPr>
  </w:style>
  <w:style w:type="paragraph" w:customStyle="1" w:styleId="83">
    <w:name w:val="Normal_19"/>
    <w:qFormat/>
    <w:uiPriority w:val="0"/>
    <w:rPr>
      <w:rFonts w:ascii="黑体" w:hAnsi="黑体" w:eastAsia="黑体" w:cs="Times New Roman"/>
      <w:b/>
      <w:sz w:val="32"/>
      <w:szCs w:val="24"/>
      <w:lang w:val="en-US" w:eastAsia="zh-CN" w:bidi="ar-SA"/>
    </w:rPr>
  </w:style>
  <w:style w:type="paragraph" w:customStyle="1" w:styleId="84">
    <w:name w:val="Normal"/>
    <w:basedOn w:val="85"/>
    <w:qFormat/>
    <w:uiPriority w:val="0"/>
    <w:pPr>
      <w:widowControl w:val="0"/>
      <w:jc w:val="both"/>
    </w:pPr>
    <w:rPr>
      <w:rFonts w:ascii="Calibri" w:hAnsi="Calibri" w:eastAsia="Times New Roman"/>
      <w:lang w:val="en-US" w:eastAsia="zh-CN" w:bidi="ar-SA"/>
    </w:rPr>
  </w:style>
  <w:style w:type="paragraph" w:customStyle="1" w:styleId="85">
    <w:name w:val="正文_0"/>
    <w:basedOn w:val="45"/>
    <w:next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Heading 7"/>
    <w:basedOn w:val="87"/>
    <w:qFormat/>
    <w:uiPriority w:val="1"/>
    <w:pPr>
      <w:spacing w:before="35"/>
      <w:ind w:left="157"/>
      <w:jc w:val="left"/>
      <w:outlineLvl w:val="7"/>
    </w:pPr>
    <w:rPr>
      <w:rFonts w:ascii="宋体" w:hAnsi="宋体" w:eastAsia="宋体"/>
      <w:b/>
      <w:bCs/>
      <w:kern w:val="0"/>
      <w:szCs w:val="21"/>
      <w:lang w:eastAsia="en-US"/>
    </w:rPr>
  </w:style>
  <w:style w:type="paragraph" w:customStyle="1" w:styleId="87">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Normal_4"/>
    <w:qFormat/>
    <w:uiPriority w:val="0"/>
    <w:rPr>
      <w:rFonts w:ascii="黑体" w:hAnsi="黑体" w:eastAsia="黑体" w:cs="Times New Roman"/>
      <w:b/>
      <w:sz w:val="32"/>
      <w:szCs w:val="24"/>
      <w:lang w:val="en-US" w:eastAsia="zh-CN" w:bidi="ar-SA"/>
    </w:rPr>
  </w:style>
  <w:style w:type="paragraph" w:customStyle="1" w:styleId="89">
    <w:name w:val="标题 2_0"/>
    <w:basedOn w:val="90"/>
    <w:next w:val="55"/>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90">
    <w:name w:val="标题 3_0"/>
    <w:basedOn w:val="55"/>
    <w:next w:val="55"/>
    <w:unhideWhenUsed/>
    <w:qFormat/>
    <w:uiPriority w:val="9"/>
    <w:pPr>
      <w:keepNext/>
      <w:keepLines/>
      <w:spacing w:before="260" w:after="260" w:line="416" w:lineRule="auto"/>
      <w:outlineLvl w:val="2"/>
    </w:pPr>
    <w:rPr>
      <w:b/>
      <w:bCs/>
      <w:sz w:val="32"/>
      <w:szCs w:val="32"/>
    </w:rPr>
  </w:style>
  <w:style w:type="paragraph" w:customStyle="1" w:styleId="91">
    <w:name w:val="正文缩进_0"/>
    <w:basedOn w:val="28"/>
    <w:unhideWhenUsed/>
    <w:qFormat/>
    <w:uiPriority w:val="0"/>
    <w:pPr>
      <w:ind w:firstLine="420" w:firstLineChars="200"/>
    </w:pPr>
    <w:rPr>
      <w:rFonts w:ascii="Calibri" w:hAnsi="Calibri"/>
    </w:rPr>
  </w:style>
  <w:style w:type="paragraph" w:customStyle="1" w:styleId="92">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Heading 2"/>
    <w:basedOn w:val="1"/>
    <w:qFormat/>
    <w:uiPriority w:val="1"/>
    <w:pPr>
      <w:autoSpaceDE w:val="0"/>
      <w:autoSpaceDN w:val="0"/>
      <w:adjustRightInd w:val="0"/>
      <w:jc w:val="left"/>
      <w:outlineLvl w:val="1"/>
    </w:pPr>
    <w:rPr>
      <w:rFonts w:ascii="Microsoft JhengHei" w:hAnsi="Times New Roman" w:eastAsia="Microsoft JhengHei" w:cs="Microsoft JhengHei"/>
      <w:kern w:val="0"/>
      <w:sz w:val="32"/>
      <w:szCs w:val="32"/>
    </w:rPr>
  </w:style>
  <w:style w:type="paragraph" w:customStyle="1" w:styleId="94">
    <w:name w:val="正文文本缩进1"/>
    <w:basedOn w:val="95"/>
    <w:qFormat/>
    <w:uiPriority w:val="0"/>
    <w:pPr>
      <w:spacing w:line="500" w:lineRule="exact"/>
      <w:ind w:left="1588" w:leftChars="832" w:firstLine="433" w:firstLineChars="196"/>
    </w:pPr>
    <w:rPr>
      <w:rFonts w:ascii="Times New Roman" w:hAnsi="Times New Roman"/>
      <w:sz w:val="24"/>
      <w:szCs w:val="24"/>
    </w:rPr>
  </w:style>
  <w:style w:type="paragraph" w:customStyle="1" w:styleId="95">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无间隔1"/>
    <w:basedOn w:val="1"/>
    <w:qFormat/>
    <w:uiPriority w:val="1"/>
  </w:style>
  <w:style w:type="paragraph" w:customStyle="1" w:styleId="97">
    <w:name w:val="Normal_6_0"/>
    <w:qFormat/>
    <w:uiPriority w:val="0"/>
    <w:rPr>
      <w:rFonts w:ascii="黑体" w:hAnsi="黑体" w:eastAsia="黑体" w:cs="Times New Roman"/>
      <w:b/>
      <w:sz w:val="32"/>
      <w:szCs w:val="24"/>
      <w:lang w:val="en-US" w:eastAsia="zh-CN" w:bidi="ar-SA"/>
    </w:rPr>
  </w:style>
  <w:style w:type="paragraph" w:customStyle="1" w:styleId="98">
    <w:name w:val="正文_2_0_0"/>
    <w:basedOn w:val="99"/>
    <w:next w:val="30"/>
    <w:qFormat/>
    <w:uiPriority w:val="0"/>
    <w:pPr>
      <w:widowControl w:val="0"/>
      <w:jc w:val="both"/>
    </w:pPr>
    <w:rPr>
      <w:rFonts w:ascii="Calibri" w:hAnsi="Calibri"/>
      <w:kern w:val="2"/>
      <w:sz w:val="21"/>
      <w:szCs w:val="22"/>
      <w:lang w:val="en-US" w:eastAsia="zh-CN" w:bidi="ar-SA"/>
    </w:rPr>
  </w:style>
  <w:style w:type="paragraph" w:customStyle="1" w:styleId="99">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Heading 5"/>
    <w:basedOn w:val="87"/>
    <w:qFormat/>
    <w:uiPriority w:val="1"/>
    <w:pPr>
      <w:spacing w:before="26"/>
      <w:ind w:left="157"/>
      <w:jc w:val="left"/>
      <w:outlineLvl w:val="5"/>
    </w:pPr>
    <w:rPr>
      <w:rFonts w:ascii="宋体" w:hAnsi="宋体" w:eastAsia="宋体"/>
      <w:b/>
      <w:bCs/>
      <w:kern w:val="0"/>
      <w:sz w:val="24"/>
      <w:szCs w:val="24"/>
      <w:lang w:eastAsia="en-US"/>
    </w:rPr>
  </w:style>
  <w:style w:type="paragraph" w:customStyle="1" w:styleId="102">
    <w:name w:val="Heading 3"/>
    <w:basedOn w:val="1"/>
    <w:qFormat/>
    <w:uiPriority w:val="1"/>
    <w:pPr>
      <w:autoSpaceDE w:val="0"/>
      <w:autoSpaceDN w:val="0"/>
      <w:adjustRightInd w:val="0"/>
      <w:ind w:left="237"/>
      <w:jc w:val="left"/>
      <w:outlineLvl w:val="2"/>
    </w:pPr>
    <w:rPr>
      <w:rFonts w:ascii="Microsoft JhengHei" w:hAnsi="Times New Roman" w:eastAsia="Microsoft JhengHei" w:cs="Microsoft JhengHei"/>
      <w:kern w:val="0"/>
      <w:sz w:val="28"/>
      <w:szCs w:val="28"/>
    </w:rPr>
  </w:style>
  <w:style w:type="paragraph" w:customStyle="1" w:styleId="103">
    <w:name w:val="Heading 1"/>
    <w:basedOn w:val="1"/>
    <w:qFormat/>
    <w:uiPriority w:val="1"/>
    <w:pPr>
      <w:autoSpaceDE w:val="0"/>
      <w:autoSpaceDN w:val="0"/>
      <w:adjustRightInd w:val="0"/>
      <w:ind w:left="2"/>
      <w:jc w:val="left"/>
      <w:outlineLvl w:val="0"/>
    </w:pPr>
    <w:rPr>
      <w:rFonts w:ascii="Microsoft JhengHei" w:hAnsi="Times New Roman" w:eastAsia="Microsoft JhengHei" w:cs="Microsoft JhengHei"/>
      <w:kern w:val="0"/>
      <w:sz w:val="44"/>
      <w:szCs w:val="44"/>
    </w:rPr>
  </w:style>
  <w:style w:type="paragraph" w:customStyle="1" w:styleId="104">
    <w:name w:val="正文_1_0_0"/>
    <w:basedOn w:val="10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5">
    <w:name w:val="正文_2_1_0"/>
    <w:basedOn w:val="55"/>
    <w:qFormat/>
    <w:locked/>
    <w:uiPriority w:val="0"/>
    <w:rPr>
      <w:rFonts w:ascii="Calibri" w:hAnsi="Calibri" w:cs="Calibri"/>
      <w:szCs w:val="21"/>
    </w:rPr>
  </w:style>
  <w:style w:type="paragraph" w:customStyle="1" w:styleId="106">
    <w:name w:val="Table Paragraph_0"/>
    <w:basedOn w:val="45"/>
    <w:qFormat/>
    <w:uiPriority w:val="0"/>
    <w:pPr>
      <w:jc w:val="left"/>
    </w:pPr>
    <w:rPr>
      <w:rFonts w:ascii="等线" w:hAnsi="等线" w:cs="宋体"/>
      <w:kern w:val="0"/>
      <w:sz w:val="22"/>
      <w:szCs w:val="22"/>
    </w:rPr>
  </w:style>
  <w:style w:type="paragraph" w:customStyle="1" w:styleId="107">
    <w:name w:val="WPSOffice手动目录 1"/>
    <w:qFormat/>
    <w:uiPriority w:val="0"/>
    <w:pPr>
      <w:ind w:leftChars="0"/>
    </w:pPr>
    <w:rPr>
      <w:rFonts w:ascii="Times New Roman" w:hAnsi="Times New Roman" w:eastAsia="宋体" w:cs="Times New Roman"/>
      <w:sz w:val="20"/>
      <w:szCs w:val="20"/>
    </w:rPr>
  </w:style>
  <w:style w:type="paragraph" w:customStyle="1" w:styleId="108">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1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11">
    <w:name w:val="Body Text First Indent"/>
    <w:basedOn w:val="58"/>
    <w:unhideWhenUsed/>
    <w:qFormat/>
    <w:locked/>
    <w:uiPriority w:val="99"/>
    <w:pPr>
      <w:ind w:firstLine="420" w:firstLineChars="100"/>
    </w:pPr>
    <w:rPr>
      <w:rFonts w:ascii="Calibri" w:hAnsi="Calibri"/>
      <w:szCs w:val="22"/>
    </w:rPr>
  </w:style>
  <w:style w:type="paragraph" w:customStyle="1" w:styleId="112">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13">
    <w:name w:val="Table Text"/>
    <w:basedOn w:val="1"/>
    <w:semiHidden/>
    <w:qFormat/>
    <w:uiPriority w:val="0"/>
    <w:rPr>
      <w:rFonts w:ascii="宋体" w:hAnsi="宋体" w:eastAsia="宋体" w:cs="宋体"/>
      <w:sz w:val="24"/>
      <w:szCs w:val="24"/>
      <w:lang w:val="en-US" w:eastAsia="en-US" w:bidi="ar-SA"/>
    </w:rPr>
  </w:style>
  <w:style w:type="table" w:customStyle="1" w:styleId="114">
    <w:name w:val="Table Normal"/>
    <w:unhideWhenUsed/>
    <w:qFormat/>
    <w:uiPriority w:val="0"/>
    <w:tblPr>
      <w:tblCellMar>
        <w:top w:w="0" w:type="dxa"/>
        <w:left w:w="0" w:type="dxa"/>
        <w:bottom w:w="0" w:type="dxa"/>
        <w:right w:w="0" w:type="dxa"/>
      </w:tblCellMar>
    </w:tblPr>
  </w:style>
  <w:style w:type="paragraph" w:customStyle="1" w:styleId="115">
    <w:name w:val="正文_13"/>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Normal_11"/>
    <w:qFormat/>
    <w:locked/>
    <w:uiPriority w:val="0"/>
    <w:rPr>
      <w:rFonts w:ascii="黑体" w:hAnsi="黑体" w:eastAsia="黑体" w:cs="Times New Roman"/>
      <w:b/>
      <w:sz w:val="32"/>
      <w:szCs w:val="24"/>
      <w:lang w:bidi="ar-SA"/>
    </w:rPr>
  </w:style>
  <w:style w:type="paragraph" w:customStyle="1" w:styleId="117">
    <w:name w:val="日期_0"/>
    <w:basedOn w:val="118"/>
    <w:next w:val="118"/>
    <w:qFormat/>
    <w:locked/>
    <w:uiPriority w:val="0"/>
    <w:pPr>
      <w:ind w:left="100" w:leftChars="2500"/>
    </w:pPr>
    <w:rPr>
      <w:rFonts w:ascii="Times New Roman" w:hAnsi="Times New Roman"/>
      <w:kern w:val="0"/>
      <w:sz w:val="20"/>
    </w:rPr>
  </w:style>
  <w:style w:type="paragraph" w:customStyle="1" w:styleId="118">
    <w:name w:val="正文_7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标题 3_0_0"/>
    <w:basedOn w:val="120"/>
    <w:next w:val="120"/>
    <w:qFormat/>
    <w:locked/>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0">
    <w:name w:val="正文_0_0_0"/>
    <w:qFormat/>
    <w:locked/>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1">
    <w:name w:val="正文_8"/>
    <w:next w:val="122"/>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首行缩进_1"/>
    <w:basedOn w:val="123"/>
    <w:unhideWhenUsed/>
    <w:qFormat/>
    <w:locked/>
    <w:uiPriority w:val="99"/>
    <w:pPr>
      <w:ind w:firstLine="420" w:firstLineChars="100"/>
    </w:pPr>
    <w:rPr>
      <w:rFonts w:ascii="Calibri" w:hAnsi="Calibri"/>
      <w:szCs w:val="22"/>
    </w:rPr>
  </w:style>
  <w:style w:type="paragraph" w:customStyle="1" w:styleId="123">
    <w:name w:val="正文文本_3"/>
    <w:basedOn w:val="118"/>
    <w:qFormat/>
    <w:locked/>
    <w:uiPriority w:val="0"/>
    <w:pPr>
      <w:spacing w:after="120"/>
    </w:pPr>
    <w:rPr>
      <w:rFonts w:ascii="Times New Roman" w:hAnsi="Times New Roman"/>
      <w:kern w:val="0"/>
      <w:sz w:val="20"/>
    </w:rPr>
  </w:style>
  <w:style w:type="paragraph" w:customStyle="1" w:styleId="124">
    <w:name w:val="正文_2_1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_2_0_0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0_1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6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4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_0_0_3"/>
    <w:basedOn w:val="130"/>
    <w:qFormat/>
    <w:locked/>
    <w:uiPriority w:val="0"/>
    <w:pPr>
      <w:widowControl/>
      <w:spacing w:before="120" w:after="120" w:line="360" w:lineRule="auto"/>
      <w:ind w:left="1072" w:hanging="1072"/>
    </w:pPr>
    <w:rPr>
      <w:rFonts w:ascii="Calibri" w:hAnsi="Calibri" w:eastAsia="宋体" w:cs="Calibri"/>
      <w:sz w:val="28"/>
      <w:szCs w:val="28"/>
    </w:rPr>
  </w:style>
  <w:style w:type="paragraph" w:customStyle="1" w:styleId="130">
    <w:name w:val="正文_6_0_0"/>
    <w:basedOn w:val="13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_5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77</Pages>
  <Words>31842</Words>
  <Characters>33806</Characters>
  <Lines>424</Lines>
  <Paragraphs>119</Paragraphs>
  <TotalTime>4</TotalTime>
  <ScaleCrop>false</ScaleCrop>
  <LinksUpToDate>false</LinksUpToDate>
  <CharactersWithSpaces>36835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2012-12-31T17:05:00Z</dcterms:created>
  <dc:creator>Administrator</dc:creator>
  <cp:lastModifiedBy>Wan</cp:lastModifiedBy>
  <cp:lastPrinted>2023-10-27T05:12:00Z</cp:lastPrinted>
  <dcterms:modified xsi:type="dcterms:W3CDTF">2023-10-27T09:38:02Z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B5ED3EE5F6FA4A3EA987187E0B51F92D_13</vt:lpwstr>
  </property>
</Properties>
</file>