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textAlignment w:val="baseline"/>
        <w:rPr>
          <w:rFonts w:ascii="微软雅黑" w:hAnsi="微软雅黑" w:eastAsia="微软雅黑" w:cs="微软雅黑"/>
          <w:b/>
          <w:sz w:val="44"/>
          <w:szCs w:val="44"/>
        </w:rPr>
      </w:pPr>
    </w:p>
    <w:p>
      <w:pPr>
        <w:pStyle w:val="13"/>
        <w:ind w:firstLine="480"/>
        <w:rPr>
          <w:rFonts w:ascii="微软雅黑" w:hAnsi="微软雅黑" w:eastAsia="微软雅黑" w:cs="微软雅黑"/>
        </w:rPr>
      </w:pPr>
    </w:p>
    <w:p/>
    <w:p>
      <w:pPr>
        <w:snapToGrid w:val="0"/>
        <w:spacing w:line="240" w:lineRule="atLeast"/>
        <w:jc w:val="center"/>
        <w:textAlignment w:val="baseline"/>
        <w:rPr>
          <w:rFonts w:hint="eastAsia" w:ascii="微软雅黑" w:hAnsi="微软雅黑" w:eastAsia="微软雅黑" w:cs="微软雅黑"/>
          <w:b/>
          <w:sz w:val="44"/>
          <w:szCs w:val="44"/>
        </w:rPr>
      </w:pPr>
      <w:r>
        <w:rPr>
          <w:rFonts w:hint="eastAsia" w:ascii="微软雅黑" w:hAnsi="微软雅黑" w:eastAsia="微软雅黑" w:cs="微软雅黑"/>
          <w:b/>
          <w:sz w:val="44"/>
          <w:szCs w:val="44"/>
        </w:rPr>
        <w:t>疏勒县罕南力克镇喀拉普拉特（7）村人居环境综合整治项目</w:t>
      </w:r>
    </w:p>
    <w:p>
      <w:pPr>
        <w:pStyle w:val="36"/>
        <w:rPr>
          <w:rFonts w:hint="eastAsia"/>
        </w:rPr>
      </w:pPr>
    </w:p>
    <w:p>
      <w:pPr>
        <w:snapToGrid w:val="0"/>
        <w:spacing w:line="240" w:lineRule="atLeast"/>
        <w:jc w:val="center"/>
        <w:textAlignment w:val="baseline"/>
        <w:rPr>
          <w:rFonts w:ascii="微软雅黑" w:hAnsi="微软雅黑" w:eastAsia="微软雅黑" w:cs="微软雅黑"/>
          <w:b/>
          <w:sz w:val="52"/>
          <w:szCs w:val="52"/>
        </w:rPr>
      </w:pPr>
      <w:r>
        <w:rPr>
          <w:rFonts w:hint="eastAsia" w:ascii="微软雅黑" w:hAnsi="微软雅黑" w:eastAsia="微软雅黑" w:cs="微软雅黑"/>
          <w:b/>
          <w:sz w:val="52"/>
          <w:szCs w:val="52"/>
        </w:rPr>
        <w:t>磋 商 文 件</w:t>
      </w:r>
    </w:p>
    <w:p>
      <w:pPr>
        <w:pStyle w:val="27"/>
        <w:textAlignment w:val="baseline"/>
        <w:rPr>
          <w:rFonts w:ascii="微软雅黑" w:hAnsi="微软雅黑" w:eastAsia="微软雅黑" w:cs="微软雅黑"/>
        </w:rPr>
      </w:pPr>
    </w:p>
    <w:p>
      <w:pPr>
        <w:snapToGrid w:val="0"/>
        <w:spacing w:line="240" w:lineRule="atLeast"/>
        <w:jc w:val="center"/>
        <w:textAlignment w:val="baseline"/>
        <w:rPr>
          <w:rFonts w:ascii="微软雅黑" w:hAnsi="微软雅黑" w:eastAsia="微软雅黑" w:cs="微软雅黑"/>
          <w:sz w:val="16"/>
          <w:szCs w:val="20"/>
        </w:rPr>
      </w:pPr>
      <w:r>
        <w:rPr>
          <w:rFonts w:hint="eastAsia" w:ascii="微软雅黑" w:hAnsi="微软雅黑" w:eastAsia="微软雅黑" w:cs="微软雅黑"/>
          <w:b/>
          <w:sz w:val="24"/>
          <w:szCs w:val="24"/>
        </w:rPr>
        <w:t>项目编号：</w:t>
      </w:r>
      <w:r>
        <w:rPr>
          <w:rFonts w:hint="eastAsia" w:ascii="微软雅黑" w:hAnsi="微软雅黑" w:eastAsia="微软雅黑" w:cs="微软雅黑"/>
          <w:b/>
          <w:sz w:val="24"/>
          <w:szCs w:val="24"/>
          <w:lang w:eastAsia="zh-CN"/>
        </w:rPr>
        <w:t>YYXD（</w:t>
      </w:r>
      <w:r>
        <w:rPr>
          <w:rFonts w:hint="eastAsia" w:ascii="微软雅黑" w:hAnsi="微软雅黑" w:eastAsia="微软雅黑" w:cs="微软雅黑"/>
          <w:b/>
          <w:sz w:val="24"/>
          <w:szCs w:val="24"/>
          <w:lang w:val="en-US" w:eastAsia="zh-CN"/>
        </w:rPr>
        <w:t>CS</w:t>
      </w:r>
      <w:r>
        <w:rPr>
          <w:rFonts w:hint="eastAsia" w:ascii="微软雅黑" w:hAnsi="微软雅黑" w:eastAsia="微软雅黑" w:cs="微软雅黑"/>
          <w:b/>
          <w:sz w:val="24"/>
          <w:szCs w:val="24"/>
          <w:lang w:eastAsia="zh-CN"/>
        </w:rPr>
        <w:t>）202</w:t>
      </w:r>
      <w:r>
        <w:rPr>
          <w:rFonts w:hint="eastAsia" w:ascii="微软雅黑" w:hAnsi="微软雅黑" w:eastAsia="微软雅黑" w:cs="微软雅黑"/>
          <w:b/>
          <w:sz w:val="24"/>
          <w:szCs w:val="24"/>
          <w:lang w:val="en-US" w:eastAsia="zh-CN"/>
        </w:rPr>
        <w:t>3</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lang w:val="en-US" w:eastAsia="zh-CN"/>
        </w:rPr>
        <w:t>05</w:t>
      </w:r>
      <w:r>
        <w:rPr>
          <w:rFonts w:hint="eastAsia" w:ascii="微软雅黑" w:hAnsi="微软雅黑" w:eastAsia="微软雅黑" w:cs="微软雅黑"/>
          <w:b/>
          <w:sz w:val="24"/>
          <w:szCs w:val="24"/>
          <w:lang w:eastAsia="zh-CN"/>
        </w:rPr>
        <w:t>号</w:t>
      </w:r>
    </w:p>
    <w:p>
      <w:pPr>
        <w:pStyle w:val="27"/>
        <w:textAlignment w:val="baseline"/>
        <w:rPr>
          <w:rFonts w:ascii="微软雅黑" w:hAnsi="微软雅黑" w:eastAsia="微软雅黑" w:cs="微软雅黑"/>
        </w:rPr>
      </w:pPr>
    </w:p>
    <w:p>
      <w:pPr>
        <w:snapToGrid w:val="0"/>
        <w:spacing w:line="500" w:lineRule="exact"/>
        <w:textAlignment w:val="baseline"/>
        <w:rPr>
          <w:rFonts w:ascii="微软雅黑" w:hAnsi="微软雅黑" w:eastAsia="微软雅黑" w:cs="微软雅黑"/>
          <w:b/>
          <w:sz w:val="28"/>
          <w:szCs w:val="28"/>
        </w:rPr>
      </w:pPr>
    </w:p>
    <w:p>
      <w:pPr>
        <w:pStyle w:val="36"/>
        <w:rPr>
          <w:rFonts w:ascii="微软雅黑" w:hAnsi="微软雅黑" w:eastAsia="微软雅黑" w:cs="微软雅黑"/>
          <w:b/>
          <w:sz w:val="28"/>
          <w:szCs w:val="28"/>
        </w:rPr>
      </w:pPr>
    </w:p>
    <w:p/>
    <w:p>
      <w:pPr>
        <w:snapToGrid w:val="0"/>
        <w:spacing w:line="500" w:lineRule="exact"/>
        <w:ind w:firstLine="840" w:firstLineChars="300"/>
        <w:textAlignment w:val="baseline"/>
        <w:rPr>
          <w:rFonts w:ascii="微软雅黑" w:hAnsi="微软雅黑" w:eastAsia="微软雅黑" w:cs="微软雅黑"/>
          <w:b/>
          <w:sz w:val="28"/>
          <w:szCs w:val="28"/>
          <w:u w:val="single" w:color="000000"/>
        </w:rPr>
      </w:pPr>
      <w:r>
        <w:rPr>
          <w:rFonts w:hint="eastAsia" w:ascii="微软雅黑" w:hAnsi="微软雅黑" w:eastAsia="微软雅黑" w:cs="微软雅黑"/>
          <w:b/>
          <w:sz w:val="28"/>
          <w:szCs w:val="28"/>
        </w:rPr>
        <w:t>采购单位名称：</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lang w:eastAsia="zh-CN"/>
        </w:rPr>
        <w:t>疏勒县罕南力克镇人民政府</w:t>
      </w:r>
      <w:r>
        <w:rPr>
          <w:rFonts w:hint="eastAsia" w:ascii="微软雅黑" w:hAnsi="微软雅黑" w:eastAsia="微软雅黑" w:cs="微软雅黑"/>
          <w:b/>
          <w:sz w:val="28"/>
          <w:szCs w:val="28"/>
          <w:u w:val="single"/>
        </w:rPr>
        <w:t xml:space="preserve">     </w:t>
      </w:r>
    </w:p>
    <w:p>
      <w:pPr>
        <w:snapToGrid w:val="0"/>
        <w:spacing w:line="500" w:lineRule="exact"/>
        <w:ind w:firstLine="840" w:firstLineChars="300"/>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联   系   人：</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u w:val="single" w:color="000000"/>
          <w:lang w:eastAsia="zh-CN"/>
        </w:rPr>
        <w:t xml:space="preserve">徐爱娣 </w:t>
      </w:r>
      <w:r>
        <w:rPr>
          <w:rFonts w:hint="eastAsia" w:ascii="微软雅黑" w:hAnsi="微软雅黑" w:eastAsia="微软雅黑" w:cs="微软雅黑"/>
          <w:b/>
          <w:sz w:val="28"/>
          <w:szCs w:val="28"/>
          <w:u w:val="single" w:color="000000"/>
        </w:rPr>
        <w:t xml:space="preserve">             </w:t>
      </w:r>
    </w:p>
    <w:p>
      <w:pPr>
        <w:snapToGrid w:val="0"/>
        <w:spacing w:line="500" w:lineRule="exact"/>
        <w:ind w:firstLine="840" w:firstLineChars="300"/>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联 系  电 话：</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u w:val="single" w:color="000000"/>
          <w:lang w:eastAsia="zh-CN"/>
        </w:rPr>
        <w:t xml:space="preserve">17690145535 </w:t>
      </w:r>
      <w:r>
        <w:rPr>
          <w:rFonts w:hint="eastAsia" w:ascii="微软雅黑" w:hAnsi="微软雅黑" w:eastAsia="微软雅黑" w:cs="微软雅黑"/>
          <w:b/>
          <w:sz w:val="28"/>
          <w:szCs w:val="28"/>
          <w:u w:val="single" w:color="000000"/>
        </w:rPr>
        <w:t xml:space="preserve">          </w:t>
      </w:r>
    </w:p>
    <w:p>
      <w:pPr>
        <w:snapToGrid w:val="0"/>
        <w:spacing w:line="500" w:lineRule="exact"/>
        <w:ind w:firstLine="560" w:firstLineChars="200"/>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 xml:space="preserve">  </w:t>
      </w:r>
    </w:p>
    <w:p>
      <w:pPr>
        <w:snapToGrid w:val="0"/>
        <w:spacing w:line="500" w:lineRule="exact"/>
        <w:textAlignment w:val="baseline"/>
        <w:rPr>
          <w:rFonts w:hint="eastAsia" w:ascii="微软雅黑" w:hAnsi="微软雅黑" w:eastAsia="微软雅黑" w:cs="微软雅黑"/>
          <w:b/>
          <w:sz w:val="28"/>
          <w:szCs w:val="28"/>
          <w:lang w:eastAsia="zh-CN"/>
        </w:rPr>
      </w:pPr>
    </w:p>
    <w:p>
      <w:pPr>
        <w:pStyle w:val="36"/>
        <w:rPr>
          <w:rFonts w:hint="eastAsia"/>
          <w:lang w:eastAsia="zh-CN"/>
        </w:rPr>
      </w:pPr>
    </w:p>
    <w:p>
      <w:pPr>
        <w:snapToGrid w:val="0"/>
        <w:spacing w:line="500" w:lineRule="exact"/>
        <w:ind w:firstLine="840" w:firstLineChars="300"/>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代理机构名称：</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color="000000"/>
          <w:lang w:eastAsia="zh-CN"/>
        </w:rPr>
        <w:t xml:space="preserve">新疆永业鑫达招标有限公司 </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rPr>
        <w:t xml:space="preserve">  </w:t>
      </w:r>
    </w:p>
    <w:p>
      <w:pPr>
        <w:snapToGrid w:val="0"/>
        <w:spacing w:line="500" w:lineRule="exact"/>
        <w:ind w:firstLine="840" w:firstLineChars="300"/>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联   系   人：</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u w:val="single" w:color="000000"/>
          <w:lang w:eastAsia="zh-CN"/>
        </w:rPr>
        <w:t>赵艳芳</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rPr>
        <w:t xml:space="preserve">  </w:t>
      </w:r>
    </w:p>
    <w:p>
      <w:pPr>
        <w:snapToGrid w:val="0"/>
        <w:spacing w:line="500" w:lineRule="exact"/>
        <w:ind w:firstLine="840" w:firstLineChars="300"/>
        <w:textAlignment w:val="baseline"/>
        <w:rPr>
          <w:rFonts w:ascii="微软雅黑" w:hAnsi="微软雅黑" w:eastAsia="微软雅黑" w:cs="微软雅黑"/>
          <w:sz w:val="20"/>
        </w:rPr>
      </w:pPr>
      <w:r>
        <w:rPr>
          <w:rFonts w:hint="eastAsia" w:ascii="微软雅黑" w:hAnsi="微软雅黑" w:eastAsia="微软雅黑" w:cs="微软雅黑"/>
          <w:b/>
          <w:sz w:val="28"/>
          <w:szCs w:val="28"/>
        </w:rPr>
        <w:t>联 系  电 话：</w:t>
      </w:r>
      <w:r>
        <w:rPr>
          <w:rFonts w:hint="eastAsia" w:ascii="微软雅黑" w:hAnsi="微软雅黑" w:eastAsia="微软雅黑" w:cs="微软雅黑"/>
          <w:b/>
          <w:sz w:val="28"/>
          <w:szCs w:val="28"/>
          <w:u w:val="single"/>
        </w:rPr>
        <w:t xml:space="preserve"> </w:t>
      </w:r>
      <w:r>
        <w:rPr>
          <w:rFonts w:hint="eastAsia" w:ascii="微软雅黑" w:hAnsi="微软雅黑" w:eastAsia="微软雅黑" w:cs="微软雅黑"/>
          <w:b/>
          <w:sz w:val="28"/>
          <w:szCs w:val="28"/>
          <w:u w:val="single" w:color="000000"/>
        </w:rPr>
        <w:t xml:space="preserve">       </w:t>
      </w:r>
      <w:r>
        <w:rPr>
          <w:rFonts w:hint="eastAsia" w:ascii="微软雅黑" w:hAnsi="微软雅黑" w:eastAsia="微软雅黑" w:cs="微软雅黑"/>
          <w:b/>
          <w:sz w:val="28"/>
          <w:szCs w:val="28"/>
          <w:u w:val="single" w:color="000000"/>
          <w:lang w:eastAsia="zh-CN"/>
        </w:rPr>
        <w:t>18299881302</w:t>
      </w:r>
      <w:r>
        <w:rPr>
          <w:rFonts w:hint="eastAsia" w:ascii="微软雅黑" w:hAnsi="微软雅黑" w:eastAsia="微软雅黑" w:cs="微软雅黑"/>
          <w:b/>
          <w:sz w:val="28"/>
          <w:szCs w:val="28"/>
          <w:u w:val="single" w:color="000000"/>
        </w:rPr>
        <w:t xml:space="preserve">         </w:t>
      </w:r>
    </w:p>
    <w:p>
      <w:pPr>
        <w:pStyle w:val="13"/>
        <w:snapToGrid w:val="0"/>
        <w:textAlignment w:val="baseline"/>
        <w:rPr>
          <w:rFonts w:ascii="微软雅黑" w:hAnsi="微软雅黑" w:eastAsia="微软雅黑" w:cs="微软雅黑"/>
          <w:sz w:val="21"/>
        </w:rPr>
      </w:pPr>
    </w:p>
    <w:p/>
    <w:p>
      <w:pPr>
        <w:snapToGrid w:val="0"/>
        <w:spacing w:line="240" w:lineRule="atLeast"/>
        <w:jc w:val="center"/>
        <w:textAlignment w:val="baseline"/>
        <w:rPr>
          <w:rFonts w:ascii="微软雅黑" w:hAnsi="微软雅黑" w:eastAsia="微软雅黑" w:cs="微软雅黑"/>
          <w:b/>
          <w:sz w:val="28"/>
          <w:szCs w:val="28"/>
        </w:rPr>
      </w:pPr>
    </w:p>
    <w:p>
      <w:pPr>
        <w:snapToGrid w:val="0"/>
        <w:spacing w:line="240" w:lineRule="atLeast"/>
        <w:jc w:val="center"/>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日期： 202</w:t>
      </w:r>
      <w:r>
        <w:rPr>
          <w:rFonts w:hint="eastAsia" w:ascii="微软雅黑" w:hAnsi="微软雅黑" w:eastAsia="微软雅黑" w:cs="微软雅黑"/>
          <w:b/>
          <w:sz w:val="28"/>
          <w:szCs w:val="28"/>
          <w:lang w:val="en-US" w:eastAsia="zh-CN"/>
        </w:rPr>
        <w:t>3</w:t>
      </w:r>
      <w:r>
        <w:rPr>
          <w:rFonts w:hint="eastAsia" w:ascii="微软雅黑" w:hAnsi="微软雅黑" w:eastAsia="微软雅黑" w:cs="微软雅黑"/>
          <w:b/>
          <w:sz w:val="28"/>
          <w:szCs w:val="28"/>
        </w:rPr>
        <w:t>年</w:t>
      </w:r>
      <w:r>
        <w:rPr>
          <w:rFonts w:hint="eastAsia" w:ascii="微软雅黑" w:hAnsi="微软雅黑" w:eastAsia="微软雅黑" w:cs="微软雅黑"/>
          <w:b/>
          <w:sz w:val="28"/>
          <w:szCs w:val="28"/>
          <w:lang w:val="en-US" w:eastAsia="zh-CN"/>
        </w:rPr>
        <w:t>10</w:t>
      </w:r>
      <w:r>
        <w:rPr>
          <w:rFonts w:hint="eastAsia" w:ascii="微软雅黑" w:hAnsi="微软雅黑" w:eastAsia="微软雅黑" w:cs="微软雅黑"/>
          <w:b/>
          <w:sz w:val="28"/>
          <w:szCs w:val="28"/>
        </w:rPr>
        <w:t>月</w:t>
      </w:r>
    </w:p>
    <w:p>
      <w:pPr>
        <w:snapToGrid w:val="0"/>
        <w:spacing w:line="240" w:lineRule="atLeast"/>
        <w:ind w:left="1079" w:leftChars="257" w:hanging="540"/>
        <w:jc w:val="center"/>
        <w:textAlignment w:val="baseline"/>
        <w:rPr>
          <w:rFonts w:ascii="微软雅黑" w:hAnsi="微软雅黑" w:eastAsia="微软雅黑" w:cs="微软雅黑"/>
          <w:b/>
          <w:sz w:val="32"/>
        </w:rPr>
        <w:sectPr>
          <w:headerReference r:id="rId3" w:type="default"/>
          <w:pgSz w:w="11906" w:h="16838"/>
          <w:pgMar w:top="1440" w:right="1797" w:bottom="1440" w:left="1797" w:header="851" w:footer="992" w:gutter="0"/>
          <w:pgNumType w:fmt="decimal" w:start="1"/>
          <w:cols w:space="720" w:num="1"/>
          <w:docGrid w:type="linesAndChars" w:linePitch="312" w:charSpace="0"/>
        </w:sectPr>
      </w:pPr>
    </w:p>
    <w:p>
      <w:pPr>
        <w:snapToGrid w:val="0"/>
        <w:spacing w:line="400" w:lineRule="exact"/>
        <w:ind w:left="1080" w:leftChars="257" w:hanging="540"/>
        <w:jc w:val="center"/>
        <w:textAlignment w:val="baseline"/>
        <w:rPr>
          <w:rFonts w:ascii="微软雅黑" w:hAnsi="微软雅黑" w:eastAsia="微软雅黑" w:cs="微软雅黑"/>
          <w:b/>
          <w:sz w:val="40"/>
          <w:szCs w:val="40"/>
        </w:rPr>
      </w:pPr>
      <w:r>
        <w:rPr>
          <w:rFonts w:hint="eastAsia" w:ascii="微软雅黑" w:hAnsi="微软雅黑" w:eastAsia="微软雅黑" w:cs="微软雅黑"/>
          <w:b/>
          <w:sz w:val="40"/>
          <w:szCs w:val="40"/>
        </w:rPr>
        <w:t>目  录</w:t>
      </w:r>
    </w:p>
    <w:p>
      <w:pPr>
        <w:pStyle w:val="25"/>
        <w:tabs>
          <w:tab w:val="right" w:leader="dot" w:pos="9746"/>
        </w:tabs>
        <w:rPr>
          <w:b w:val="0"/>
          <w:bCs w:val="0"/>
        </w:rPr>
      </w:pPr>
      <w:bookmarkStart w:id="0" w:name="_Toc10715352"/>
      <w:bookmarkStart w:id="1" w:name="_Toc518923059"/>
      <w:bookmarkStart w:id="2" w:name="_Toc1462"/>
      <w:r>
        <w:rPr>
          <w:rFonts w:hint="eastAsia" w:ascii="微软雅黑" w:hAnsi="微软雅黑" w:eastAsia="微软雅黑" w:cs="微软雅黑"/>
          <w:kern w:val="0"/>
          <w:sz w:val="24"/>
          <w:szCs w:val="24"/>
        </w:rPr>
        <w:fldChar w:fldCharType="begin"/>
      </w:r>
      <w:r>
        <w:rPr>
          <w:rFonts w:hint="eastAsia" w:ascii="微软雅黑" w:hAnsi="微软雅黑" w:eastAsia="微软雅黑" w:cs="微软雅黑"/>
          <w:kern w:val="0"/>
          <w:sz w:val="24"/>
          <w:szCs w:val="24"/>
        </w:rPr>
        <w:instrText xml:space="preserve">TOC \o "1-2" \h \u </w:instrText>
      </w:r>
      <w:r>
        <w:rPr>
          <w:rFonts w:hint="eastAsia" w:ascii="微软雅黑" w:hAnsi="微软雅黑" w:eastAsia="微软雅黑" w:cs="微软雅黑"/>
          <w:kern w:val="0"/>
          <w:sz w:val="24"/>
          <w:szCs w:val="24"/>
        </w:rPr>
        <w:fldChar w:fldCharType="separate"/>
      </w: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_Toc17927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4"/>
        </w:rPr>
        <w:t xml:space="preserve">第1章  </w:t>
      </w:r>
      <w:r>
        <w:rPr>
          <w:rFonts w:hint="eastAsia" w:ascii="微软雅黑" w:hAnsi="微软雅黑" w:eastAsia="微软雅黑" w:cs="微软雅黑"/>
          <w:b w:val="0"/>
          <w:bCs w:val="0"/>
          <w:szCs w:val="24"/>
        </w:rPr>
        <w:t>供应商须知</w:t>
      </w:r>
      <w:r>
        <w:rPr>
          <w:b w:val="0"/>
          <w:bCs w:val="0"/>
        </w:rPr>
        <w:tab/>
      </w:r>
      <w:r>
        <w:rPr>
          <w:b w:val="0"/>
          <w:bCs w:val="0"/>
        </w:rPr>
        <w:fldChar w:fldCharType="begin"/>
      </w:r>
      <w:r>
        <w:rPr>
          <w:b w:val="0"/>
          <w:bCs w:val="0"/>
        </w:rPr>
        <w:instrText xml:space="preserve"> PAGEREF _Toc17927 \h </w:instrText>
      </w:r>
      <w:r>
        <w:rPr>
          <w:b w:val="0"/>
          <w:bCs w:val="0"/>
        </w:rPr>
        <w:fldChar w:fldCharType="separate"/>
      </w:r>
      <w:r>
        <w:rPr>
          <w:b w:val="0"/>
          <w:bCs w:val="0"/>
        </w:rPr>
        <w:t>2</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_Toc17025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一   总 则</w:t>
      </w:r>
      <w:r>
        <w:rPr>
          <w:b w:val="0"/>
          <w:bCs w:val="0"/>
        </w:rPr>
        <w:tab/>
      </w:r>
      <w:r>
        <w:rPr>
          <w:b w:val="0"/>
          <w:bCs w:val="0"/>
        </w:rPr>
        <w:fldChar w:fldCharType="begin"/>
      </w:r>
      <w:r>
        <w:rPr>
          <w:b w:val="0"/>
          <w:bCs w:val="0"/>
        </w:rPr>
        <w:instrText xml:space="preserve"> PAGEREF _Toc17025 \h </w:instrText>
      </w:r>
      <w:r>
        <w:rPr>
          <w:b w:val="0"/>
          <w:bCs w:val="0"/>
        </w:rPr>
        <w:fldChar w:fldCharType="separate"/>
      </w:r>
      <w:r>
        <w:rPr>
          <w:b w:val="0"/>
          <w:bCs w:val="0"/>
        </w:rPr>
        <w:t>2</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_Toc30356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二   磋商文件</w:t>
      </w:r>
      <w:r>
        <w:rPr>
          <w:b w:val="0"/>
          <w:bCs w:val="0"/>
        </w:rPr>
        <w:tab/>
      </w:r>
      <w:r>
        <w:rPr>
          <w:b w:val="0"/>
          <w:bCs w:val="0"/>
        </w:rPr>
        <w:fldChar w:fldCharType="begin"/>
      </w:r>
      <w:r>
        <w:rPr>
          <w:b w:val="0"/>
          <w:bCs w:val="0"/>
        </w:rPr>
        <w:instrText xml:space="preserve"> PAGEREF _Toc30356 \h </w:instrText>
      </w:r>
      <w:r>
        <w:rPr>
          <w:b w:val="0"/>
          <w:bCs w:val="0"/>
        </w:rPr>
        <w:fldChar w:fldCharType="separate"/>
      </w:r>
      <w:r>
        <w:rPr>
          <w:b w:val="0"/>
          <w:bCs w:val="0"/>
        </w:rPr>
        <w:t>3</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_Toc5321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三   响应文件的编制</w:t>
      </w:r>
      <w:r>
        <w:rPr>
          <w:b w:val="0"/>
          <w:bCs w:val="0"/>
        </w:rPr>
        <w:tab/>
      </w:r>
      <w:r>
        <w:rPr>
          <w:b w:val="0"/>
          <w:bCs w:val="0"/>
        </w:rPr>
        <w:fldChar w:fldCharType="begin"/>
      </w:r>
      <w:r>
        <w:rPr>
          <w:b w:val="0"/>
          <w:bCs w:val="0"/>
        </w:rPr>
        <w:instrText xml:space="preserve"> PAGEREF _Toc5321 \h </w:instrText>
      </w:r>
      <w:r>
        <w:rPr>
          <w:b w:val="0"/>
          <w:bCs w:val="0"/>
        </w:rPr>
        <w:fldChar w:fldCharType="separate"/>
      </w:r>
      <w:r>
        <w:rPr>
          <w:b w:val="0"/>
          <w:bCs w:val="0"/>
        </w:rPr>
        <w:t>4</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_Toc7401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四   响应文件的递交</w:t>
      </w:r>
      <w:r>
        <w:rPr>
          <w:b w:val="0"/>
          <w:bCs w:val="0"/>
        </w:rPr>
        <w:tab/>
      </w:r>
      <w:r>
        <w:rPr>
          <w:b w:val="0"/>
          <w:bCs w:val="0"/>
        </w:rPr>
        <w:fldChar w:fldCharType="begin"/>
      </w:r>
      <w:r>
        <w:rPr>
          <w:b w:val="0"/>
          <w:bCs w:val="0"/>
        </w:rPr>
        <w:instrText xml:space="preserve"> PAGEREF _Toc7401 \h </w:instrText>
      </w:r>
      <w:r>
        <w:rPr>
          <w:b w:val="0"/>
          <w:bCs w:val="0"/>
        </w:rPr>
        <w:fldChar w:fldCharType="separate"/>
      </w:r>
      <w:r>
        <w:rPr>
          <w:b w:val="0"/>
          <w:bCs w:val="0"/>
        </w:rPr>
        <w:t>6</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_Toc11511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五   磋商及评审</w:t>
      </w:r>
      <w:r>
        <w:rPr>
          <w:b w:val="0"/>
          <w:bCs w:val="0"/>
        </w:rPr>
        <w:tab/>
      </w:r>
      <w:r>
        <w:rPr>
          <w:b w:val="0"/>
          <w:bCs w:val="0"/>
        </w:rPr>
        <w:fldChar w:fldCharType="begin"/>
      </w:r>
      <w:r>
        <w:rPr>
          <w:b w:val="0"/>
          <w:bCs w:val="0"/>
        </w:rPr>
        <w:instrText xml:space="preserve"> PAGEREF _Toc11511 \h </w:instrText>
      </w:r>
      <w:r>
        <w:rPr>
          <w:b w:val="0"/>
          <w:bCs w:val="0"/>
        </w:rPr>
        <w:fldChar w:fldCharType="separate"/>
      </w:r>
      <w:r>
        <w:rPr>
          <w:b w:val="0"/>
          <w:bCs w:val="0"/>
        </w:rPr>
        <w:t>7</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_Toc271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六   确定成交</w:t>
      </w:r>
      <w:r>
        <w:rPr>
          <w:b w:val="0"/>
          <w:bCs w:val="0"/>
        </w:rPr>
        <w:tab/>
      </w:r>
      <w:r>
        <w:rPr>
          <w:b w:val="0"/>
          <w:bCs w:val="0"/>
        </w:rPr>
        <w:fldChar w:fldCharType="begin"/>
      </w:r>
      <w:r>
        <w:rPr>
          <w:b w:val="0"/>
          <w:bCs w:val="0"/>
        </w:rPr>
        <w:instrText xml:space="preserve"> PAGEREF _Toc271 \h </w:instrText>
      </w:r>
      <w:r>
        <w:rPr>
          <w:b w:val="0"/>
          <w:bCs w:val="0"/>
        </w:rPr>
        <w:fldChar w:fldCharType="separate"/>
      </w:r>
      <w:r>
        <w:rPr>
          <w:b w:val="0"/>
          <w:bCs w:val="0"/>
        </w:rPr>
        <w:t>10</w:t>
      </w:r>
      <w:r>
        <w:rPr>
          <w:b w:val="0"/>
          <w:bCs w:val="0"/>
        </w:rPr>
        <w:fldChar w:fldCharType="end"/>
      </w:r>
      <w:r>
        <w:rPr>
          <w:rFonts w:hint="eastAsia" w:ascii="微软雅黑" w:hAnsi="微软雅黑" w:eastAsia="微软雅黑" w:cs="微软雅黑"/>
          <w:b w:val="0"/>
          <w:bCs w:val="0"/>
          <w:kern w:val="0"/>
          <w:szCs w:val="24"/>
        </w:rPr>
        <w:fldChar w:fldCharType="end"/>
      </w:r>
    </w:p>
    <w:p>
      <w:pPr>
        <w:pStyle w:val="25"/>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_Toc4660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第2章 响应文件格式</w:t>
      </w:r>
      <w:r>
        <w:rPr>
          <w:b w:val="0"/>
          <w:bCs w:val="0"/>
        </w:rPr>
        <w:tab/>
      </w:r>
      <w:r>
        <w:rPr>
          <w:b w:val="0"/>
          <w:bCs w:val="0"/>
        </w:rPr>
        <w:fldChar w:fldCharType="begin"/>
      </w:r>
      <w:r>
        <w:rPr>
          <w:b w:val="0"/>
          <w:bCs w:val="0"/>
        </w:rPr>
        <w:instrText xml:space="preserve"> PAGEREF _Toc4660 \h </w:instrText>
      </w:r>
      <w:r>
        <w:rPr>
          <w:b w:val="0"/>
          <w:bCs w:val="0"/>
        </w:rPr>
        <w:fldChar w:fldCharType="separate"/>
      </w:r>
      <w:r>
        <w:rPr>
          <w:b w:val="0"/>
          <w:bCs w:val="0"/>
        </w:rPr>
        <w:t>16</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_Toc10218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第一部分 磋商开启一览表及资格证明文件</w:t>
      </w:r>
      <w:r>
        <w:rPr>
          <w:b w:val="0"/>
          <w:bCs w:val="0"/>
        </w:rPr>
        <w:tab/>
      </w:r>
      <w:r>
        <w:rPr>
          <w:b w:val="0"/>
          <w:bCs w:val="0"/>
        </w:rPr>
        <w:fldChar w:fldCharType="begin"/>
      </w:r>
      <w:r>
        <w:rPr>
          <w:b w:val="0"/>
          <w:bCs w:val="0"/>
        </w:rPr>
        <w:instrText xml:space="preserve"> PAGEREF _Toc10218 \h </w:instrText>
      </w:r>
      <w:r>
        <w:rPr>
          <w:b w:val="0"/>
          <w:bCs w:val="0"/>
        </w:rPr>
        <w:fldChar w:fldCharType="separate"/>
      </w:r>
      <w:r>
        <w:rPr>
          <w:b w:val="0"/>
          <w:bCs w:val="0"/>
        </w:rPr>
        <w:t>16</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_Toc30468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1、磋商报价一览表</w:t>
      </w:r>
      <w:r>
        <w:rPr>
          <w:b w:val="0"/>
          <w:bCs w:val="0"/>
        </w:rPr>
        <w:tab/>
      </w:r>
      <w:r>
        <w:rPr>
          <w:b w:val="0"/>
          <w:bCs w:val="0"/>
        </w:rPr>
        <w:fldChar w:fldCharType="begin"/>
      </w:r>
      <w:r>
        <w:rPr>
          <w:b w:val="0"/>
          <w:bCs w:val="0"/>
        </w:rPr>
        <w:instrText xml:space="preserve"> PAGEREF _Toc30468 \h </w:instrText>
      </w:r>
      <w:r>
        <w:rPr>
          <w:b w:val="0"/>
          <w:bCs w:val="0"/>
        </w:rPr>
        <w:fldChar w:fldCharType="separate"/>
      </w:r>
      <w:r>
        <w:rPr>
          <w:b w:val="0"/>
          <w:bCs w:val="0"/>
        </w:rPr>
        <w:t>17</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_Toc22006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highlight w:val="none"/>
        </w:rPr>
        <w:t>2  符合《中华人民共和国政府采购法》第二十二条的规定</w:t>
      </w:r>
      <w:r>
        <w:rPr>
          <w:b w:val="0"/>
          <w:bCs w:val="0"/>
        </w:rPr>
        <w:tab/>
      </w:r>
      <w:r>
        <w:rPr>
          <w:b w:val="0"/>
          <w:bCs w:val="0"/>
        </w:rPr>
        <w:fldChar w:fldCharType="begin"/>
      </w:r>
      <w:r>
        <w:rPr>
          <w:b w:val="0"/>
          <w:bCs w:val="0"/>
        </w:rPr>
        <w:instrText xml:space="preserve"> PAGEREF _Toc22006 \h </w:instrText>
      </w:r>
      <w:r>
        <w:rPr>
          <w:b w:val="0"/>
          <w:bCs w:val="0"/>
        </w:rPr>
        <w:fldChar w:fldCharType="separate"/>
      </w:r>
      <w:r>
        <w:rPr>
          <w:b w:val="0"/>
          <w:bCs w:val="0"/>
        </w:rPr>
        <w:t>19</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_Toc7566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lang w:val="en-US" w:eastAsia="zh-CN"/>
        </w:rPr>
        <w:t>3</w:t>
      </w:r>
      <w:r>
        <w:rPr>
          <w:rFonts w:hint="eastAsia" w:ascii="微软雅黑" w:hAnsi="微软雅黑" w:eastAsia="微软雅黑" w:cs="微软雅黑"/>
          <w:b w:val="0"/>
          <w:bCs w:val="0"/>
          <w:kern w:val="0"/>
        </w:rPr>
        <w:t>、缴纳磋商保证金有效凭证；</w:t>
      </w:r>
      <w:r>
        <w:rPr>
          <w:b w:val="0"/>
          <w:bCs w:val="0"/>
        </w:rPr>
        <w:tab/>
      </w:r>
      <w:r>
        <w:rPr>
          <w:b w:val="0"/>
          <w:bCs w:val="0"/>
        </w:rPr>
        <w:fldChar w:fldCharType="begin"/>
      </w:r>
      <w:r>
        <w:rPr>
          <w:b w:val="0"/>
          <w:bCs w:val="0"/>
        </w:rPr>
        <w:instrText xml:space="preserve"> PAGEREF _Toc7566 \h </w:instrText>
      </w:r>
      <w:r>
        <w:rPr>
          <w:b w:val="0"/>
          <w:bCs w:val="0"/>
        </w:rPr>
        <w:fldChar w:fldCharType="separate"/>
      </w:r>
      <w:r>
        <w:rPr>
          <w:b w:val="0"/>
          <w:bCs w:val="0"/>
        </w:rPr>
        <w:t>28</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_Toc32236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第二部分  商务及技术文件</w:t>
      </w:r>
      <w:r>
        <w:rPr>
          <w:b w:val="0"/>
          <w:bCs w:val="0"/>
        </w:rPr>
        <w:tab/>
      </w:r>
      <w:r>
        <w:rPr>
          <w:b w:val="0"/>
          <w:bCs w:val="0"/>
        </w:rPr>
        <w:fldChar w:fldCharType="begin"/>
      </w:r>
      <w:r>
        <w:rPr>
          <w:b w:val="0"/>
          <w:bCs w:val="0"/>
        </w:rPr>
        <w:instrText xml:space="preserve"> PAGEREF _Toc32236 \h </w:instrText>
      </w:r>
      <w:r>
        <w:rPr>
          <w:b w:val="0"/>
          <w:bCs w:val="0"/>
        </w:rPr>
        <w:fldChar w:fldCharType="separate"/>
      </w:r>
      <w:r>
        <w:rPr>
          <w:b w:val="0"/>
          <w:bCs w:val="0"/>
        </w:rPr>
        <w:t>29</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_Toc18964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1 、磋商书</w:t>
      </w:r>
      <w:r>
        <w:rPr>
          <w:b w:val="0"/>
          <w:bCs w:val="0"/>
        </w:rPr>
        <w:tab/>
      </w:r>
      <w:r>
        <w:rPr>
          <w:b w:val="0"/>
          <w:bCs w:val="0"/>
        </w:rPr>
        <w:fldChar w:fldCharType="begin"/>
      </w:r>
      <w:r>
        <w:rPr>
          <w:b w:val="0"/>
          <w:bCs w:val="0"/>
        </w:rPr>
        <w:instrText xml:space="preserve"> PAGEREF _Toc18964 \h </w:instrText>
      </w:r>
      <w:r>
        <w:rPr>
          <w:b w:val="0"/>
          <w:bCs w:val="0"/>
        </w:rPr>
        <w:fldChar w:fldCharType="separate"/>
      </w:r>
      <w:r>
        <w:rPr>
          <w:b w:val="0"/>
          <w:bCs w:val="0"/>
        </w:rPr>
        <w:t>29</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_Toc9671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4"/>
        </w:rPr>
        <w:t>2 、磋商分项报价表</w:t>
      </w:r>
      <w:r>
        <w:rPr>
          <w:rFonts w:hint="eastAsia" w:ascii="微软雅黑" w:hAnsi="微软雅黑" w:eastAsia="微软雅黑" w:cs="微软雅黑"/>
          <w:b w:val="0"/>
          <w:bCs w:val="0"/>
          <w:szCs w:val="24"/>
          <w:lang w:eastAsia="zh-CN"/>
        </w:rPr>
        <w:t>（已标价的工程量清单）</w:t>
      </w:r>
      <w:r>
        <w:rPr>
          <w:b w:val="0"/>
          <w:bCs w:val="0"/>
        </w:rPr>
        <w:tab/>
      </w:r>
      <w:r>
        <w:rPr>
          <w:b w:val="0"/>
          <w:bCs w:val="0"/>
        </w:rPr>
        <w:fldChar w:fldCharType="begin"/>
      </w:r>
      <w:r>
        <w:rPr>
          <w:b w:val="0"/>
          <w:bCs w:val="0"/>
        </w:rPr>
        <w:instrText xml:space="preserve"> PAGEREF _Toc9671 \h </w:instrText>
      </w:r>
      <w:r>
        <w:rPr>
          <w:b w:val="0"/>
          <w:bCs w:val="0"/>
        </w:rPr>
        <w:fldChar w:fldCharType="separate"/>
      </w:r>
      <w:r>
        <w:rPr>
          <w:b w:val="0"/>
          <w:bCs w:val="0"/>
        </w:rPr>
        <w:t>30</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rFonts w:hint="eastAsia" w:ascii="微软雅黑" w:hAnsi="微软雅黑" w:eastAsia="微软雅黑" w:cs="微软雅黑"/>
          <w:b w:val="0"/>
          <w:bCs w:val="0"/>
          <w:kern w:val="0"/>
          <w:szCs w:val="24"/>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_Toc31323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4"/>
        </w:rPr>
        <w:t>3、项目管理机构</w:t>
      </w:r>
      <w:r>
        <w:rPr>
          <w:rFonts w:hint="eastAsia" w:ascii="微软雅黑" w:hAnsi="微软雅黑" w:eastAsia="微软雅黑" w:cs="微软雅黑"/>
          <w:b w:val="0"/>
          <w:bCs w:val="0"/>
          <w:kern w:val="0"/>
          <w:szCs w:val="24"/>
        </w:rPr>
        <w:tab/>
      </w: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PAGEREF _Toc31323 \h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4"/>
        </w:rPr>
        <w:t>31</w:t>
      </w:r>
      <w:r>
        <w:rPr>
          <w:rFonts w:hint="eastAsia" w:ascii="微软雅黑" w:hAnsi="微软雅黑" w:eastAsia="微软雅黑" w:cs="微软雅黑"/>
          <w:b w:val="0"/>
          <w:bCs w:val="0"/>
          <w:kern w:val="0"/>
          <w:szCs w:val="24"/>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_Toc3341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4"/>
          <w:lang w:val="en-US" w:eastAsia="zh-CN"/>
        </w:rPr>
        <w:t>4、</w:t>
      </w:r>
      <w:r>
        <w:rPr>
          <w:rFonts w:hint="eastAsia" w:ascii="微软雅黑" w:hAnsi="微软雅黑" w:eastAsia="微软雅黑" w:cs="微软雅黑"/>
          <w:b w:val="0"/>
          <w:bCs w:val="0"/>
          <w:kern w:val="0"/>
          <w:szCs w:val="24"/>
        </w:rPr>
        <w:t>资格审查资料</w:t>
      </w:r>
      <w:r>
        <w:rPr>
          <w:rFonts w:hint="eastAsia" w:ascii="微软雅黑" w:hAnsi="微软雅黑" w:eastAsia="微软雅黑" w:cs="微软雅黑"/>
          <w:b w:val="0"/>
          <w:bCs w:val="0"/>
          <w:kern w:val="0"/>
          <w:szCs w:val="24"/>
        </w:rPr>
        <w:tab/>
      </w: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PAGEREF _Toc3341 \h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4"/>
        </w:rPr>
        <w:t>35</w:t>
      </w:r>
      <w:r>
        <w:rPr>
          <w:rFonts w:hint="eastAsia" w:ascii="微软雅黑" w:hAnsi="微软雅黑" w:eastAsia="微软雅黑" w:cs="微软雅黑"/>
          <w:b w:val="0"/>
          <w:bCs w:val="0"/>
          <w:kern w:val="0"/>
          <w:szCs w:val="24"/>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_Toc3418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lang w:val="en-US" w:eastAsia="zh-CN"/>
        </w:rPr>
        <w:t>5、</w:t>
      </w:r>
      <w:r>
        <w:rPr>
          <w:rFonts w:hint="eastAsia" w:ascii="微软雅黑" w:hAnsi="微软雅黑" w:eastAsia="微软雅黑" w:cs="微软雅黑"/>
          <w:b w:val="0"/>
          <w:bCs w:val="0"/>
        </w:rPr>
        <w:t>残疾人福利性单位声明函</w:t>
      </w:r>
      <w:r>
        <w:rPr>
          <w:b w:val="0"/>
          <w:bCs w:val="0"/>
        </w:rPr>
        <w:tab/>
      </w:r>
      <w:r>
        <w:rPr>
          <w:b w:val="0"/>
          <w:bCs w:val="0"/>
        </w:rPr>
        <w:fldChar w:fldCharType="begin"/>
      </w:r>
      <w:r>
        <w:rPr>
          <w:b w:val="0"/>
          <w:bCs w:val="0"/>
        </w:rPr>
        <w:instrText xml:space="preserve"> PAGEREF _Toc3418 \h </w:instrText>
      </w:r>
      <w:r>
        <w:rPr>
          <w:b w:val="0"/>
          <w:bCs w:val="0"/>
        </w:rPr>
        <w:fldChar w:fldCharType="separate"/>
      </w:r>
      <w:r>
        <w:rPr>
          <w:b w:val="0"/>
          <w:bCs w:val="0"/>
        </w:rPr>
        <w:t>39</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_Toc26168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2"/>
          <w:szCs w:val="24"/>
          <w:lang w:val="en-US" w:eastAsia="zh-CN" w:bidi="ar-SA"/>
        </w:rPr>
        <w:t>6、技术部分主要包括下列内容：</w:t>
      </w:r>
      <w:r>
        <w:rPr>
          <w:b w:val="0"/>
          <w:bCs w:val="0"/>
        </w:rPr>
        <w:tab/>
      </w:r>
      <w:r>
        <w:rPr>
          <w:b w:val="0"/>
          <w:bCs w:val="0"/>
        </w:rPr>
        <w:fldChar w:fldCharType="begin"/>
      </w:r>
      <w:r>
        <w:rPr>
          <w:b w:val="0"/>
          <w:bCs w:val="0"/>
        </w:rPr>
        <w:instrText xml:space="preserve"> PAGEREF _Toc26168 \h </w:instrText>
      </w:r>
      <w:r>
        <w:rPr>
          <w:b w:val="0"/>
          <w:bCs w:val="0"/>
        </w:rPr>
        <w:fldChar w:fldCharType="separate"/>
      </w:r>
      <w:r>
        <w:rPr>
          <w:b w:val="0"/>
          <w:bCs w:val="0"/>
        </w:rPr>
        <w:t>40</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_Toc1409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2"/>
          <w:szCs w:val="24"/>
          <w:lang w:val="en-US" w:eastAsia="zh-CN" w:bidi="ar-SA"/>
        </w:rPr>
        <w:t>7、供应商可提供有利于投标的其他资格证明材料</w:t>
      </w:r>
      <w:r>
        <w:rPr>
          <w:b w:val="0"/>
          <w:bCs w:val="0"/>
        </w:rPr>
        <w:tab/>
      </w:r>
      <w:r>
        <w:rPr>
          <w:b w:val="0"/>
          <w:bCs w:val="0"/>
        </w:rPr>
        <w:fldChar w:fldCharType="begin"/>
      </w:r>
      <w:r>
        <w:rPr>
          <w:b w:val="0"/>
          <w:bCs w:val="0"/>
        </w:rPr>
        <w:instrText xml:space="preserve"> PAGEREF _Toc1409 \h </w:instrText>
      </w:r>
      <w:r>
        <w:rPr>
          <w:b w:val="0"/>
          <w:bCs w:val="0"/>
        </w:rPr>
        <w:fldChar w:fldCharType="separate"/>
      </w:r>
      <w:r>
        <w:rPr>
          <w:b w:val="0"/>
          <w:bCs w:val="0"/>
        </w:rPr>
        <w:t>40</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_Toc17513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kern w:val="0"/>
          <w:szCs w:val="20"/>
          <w:lang w:val="en-US" w:eastAsia="zh-CN"/>
        </w:rPr>
        <w:t>8</w:t>
      </w:r>
      <w:r>
        <w:rPr>
          <w:rFonts w:hint="eastAsia" w:ascii="微软雅黑" w:hAnsi="微软雅黑" w:eastAsia="微软雅黑" w:cs="微软雅黑"/>
          <w:b w:val="0"/>
          <w:bCs w:val="0"/>
          <w:kern w:val="0"/>
          <w:szCs w:val="20"/>
        </w:rPr>
        <w:t>、响应文件格式范本</w:t>
      </w:r>
      <w:r>
        <w:rPr>
          <w:b w:val="0"/>
          <w:bCs w:val="0"/>
        </w:rPr>
        <w:tab/>
      </w:r>
      <w:r>
        <w:rPr>
          <w:b w:val="0"/>
          <w:bCs w:val="0"/>
        </w:rPr>
        <w:fldChar w:fldCharType="begin"/>
      </w:r>
      <w:r>
        <w:rPr>
          <w:b w:val="0"/>
          <w:bCs w:val="0"/>
        </w:rPr>
        <w:instrText xml:space="preserve"> PAGEREF _Toc17513 \h </w:instrText>
      </w:r>
      <w:r>
        <w:rPr>
          <w:b w:val="0"/>
          <w:bCs w:val="0"/>
        </w:rPr>
        <w:fldChar w:fldCharType="separate"/>
      </w:r>
      <w:r>
        <w:rPr>
          <w:b w:val="0"/>
          <w:bCs w:val="0"/>
        </w:rPr>
        <w:t>41</w:t>
      </w:r>
      <w:r>
        <w:rPr>
          <w:b w:val="0"/>
          <w:bCs w:val="0"/>
        </w:rPr>
        <w:fldChar w:fldCharType="end"/>
      </w:r>
      <w:r>
        <w:rPr>
          <w:rFonts w:hint="eastAsia" w:ascii="微软雅黑" w:hAnsi="微软雅黑" w:eastAsia="微软雅黑" w:cs="微软雅黑"/>
          <w:b w:val="0"/>
          <w:bCs w:val="0"/>
          <w:kern w:val="0"/>
          <w:szCs w:val="24"/>
        </w:rPr>
        <w:fldChar w:fldCharType="end"/>
      </w:r>
    </w:p>
    <w:p>
      <w:pPr>
        <w:pStyle w:val="25"/>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_Toc8725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rPr>
        <w:t>第3章 磋商邀请</w:t>
      </w:r>
      <w:r>
        <w:rPr>
          <w:b w:val="0"/>
          <w:bCs w:val="0"/>
        </w:rPr>
        <w:tab/>
      </w:r>
      <w:r>
        <w:rPr>
          <w:b w:val="0"/>
          <w:bCs w:val="0"/>
        </w:rPr>
        <w:fldChar w:fldCharType="begin"/>
      </w:r>
      <w:r>
        <w:rPr>
          <w:b w:val="0"/>
          <w:bCs w:val="0"/>
        </w:rPr>
        <w:instrText xml:space="preserve"> PAGEREF _Toc8725 \h </w:instrText>
      </w:r>
      <w:r>
        <w:rPr>
          <w:b w:val="0"/>
          <w:bCs w:val="0"/>
        </w:rPr>
        <w:fldChar w:fldCharType="separate"/>
      </w:r>
      <w:r>
        <w:rPr>
          <w:b w:val="0"/>
          <w:bCs w:val="0"/>
        </w:rPr>
        <w:t>43</w:t>
      </w:r>
      <w:r>
        <w:rPr>
          <w:b w:val="0"/>
          <w:bCs w:val="0"/>
        </w:rPr>
        <w:fldChar w:fldCharType="end"/>
      </w:r>
      <w:r>
        <w:rPr>
          <w:rFonts w:hint="eastAsia" w:ascii="微软雅黑" w:hAnsi="微软雅黑" w:eastAsia="微软雅黑" w:cs="微软雅黑"/>
          <w:b w:val="0"/>
          <w:bCs w:val="0"/>
          <w:kern w:val="0"/>
          <w:szCs w:val="24"/>
        </w:rPr>
        <w:fldChar w:fldCharType="end"/>
      </w:r>
    </w:p>
    <w:p>
      <w:pPr>
        <w:pStyle w:val="25"/>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_Toc10199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32"/>
        </w:rPr>
        <w:t>第4章  供应商须知资料表</w:t>
      </w:r>
      <w:r>
        <w:rPr>
          <w:b w:val="0"/>
          <w:bCs w:val="0"/>
        </w:rPr>
        <w:tab/>
      </w:r>
      <w:r>
        <w:rPr>
          <w:b w:val="0"/>
          <w:bCs w:val="0"/>
        </w:rPr>
        <w:fldChar w:fldCharType="begin"/>
      </w:r>
      <w:r>
        <w:rPr>
          <w:b w:val="0"/>
          <w:bCs w:val="0"/>
        </w:rPr>
        <w:instrText xml:space="preserve"> PAGEREF _Toc10199 \h </w:instrText>
      </w:r>
      <w:r>
        <w:rPr>
          <w:b w:val="0"/>
          <w:bCs w:val="0"/>
        </w:rPr>
        <w:fldChar w:fldCharType="separate"/>
      </w:r>
      <w:r>
        <w:rPr>
          <w:b w:val="0"/>
          <w:bCs w:val="0"/>
        </w:rPr>
        <w:t>47</w:t>
      </w:r>
      <w:r>
        <w:rPr>
          <w:b w:val="0"/>
          <w:bCs w:val="0"/>
        </w:rPr>
        <w:fldChar w:fldCharType="end"/>
      </w:r>
      <w:r>
        <w:rPr>
          <w:rFonts w:hint="eastAsia" w:ascii="微软雅黑" w:hAnsi="微软雅黑" w:eastAsia="微软雅黑" w:cs="微软雅黑"/>
          <w:b w:val="0"/>
          <w:bCs w:val="0"/>
          <w:kern w:val="0"/>
          <w:szCs w:val="24"/>
        </w:rPr>
        <w:fldChar w:fldCharType="end"/>
      </w:r>
    </w:p>
    <w:p>
      <w:pPr>
        <w:pStyle w:val="25"/>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_Toc12394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rPr>
        <w:t xml:space="preserve">第5章 </w:t>
      </w:r>
      <w:r>
        <w:rPr>
          <w:rFonts w:hint="eastAsia" w:ascii="微软雅黑" w:hAnsi="微软雅黑" w:eastAsia="微软雅黑" w:cs="微软雅黑"/>
          <w:b w:val="0"/>
          <w:bCs w:val="0"/>
          <w:lang w:val="en-US" w:eastAsia="zh-CN"/>
        </w:rPr>
        <w:t>工程量清单及技术标准</w:t>
      </w:r>
      <w:r>
        <w:rPr>
          <w:b w:val="0"/>
          <w:bCs w:val="0"/>
        </w:rPr>
        <w:tab/>
      </w:r>
      <w:r>
        <w:rPr>
          <w:b w:val="0"/>
          <w:bCs w:val="0"/>
        </w:rPr>
        <w:fldChar w:fldCharType="begin"/>
      </w:r>
      <w:r>
        <w:rPr>
          <w:b w:val="0"/>
          <w:bCs w:val="0"/>
        </w:rPr>
        <w:instrText xml:space="preserve"> PAGEREF _Toc12394 \h </w:instrText>
      </w:r>
      <w:r>
        <w:rPr>
          <w:b w:val="0"/>
          <w:bCs w:val="0"/>
        </w:rPr>
        <w:fldChar w:fldCharType="separate"/>
      </w:r>
      <w:r>
        <w:rPr>
          <w:b w:val="0"/>
          <w:bCs w:val="0"/>
        </w:rPr>
        <w:t>51</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_Toc9881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1"/>
          <w:highlight w:val="none"/>
        </w:rPr>
        <w:t>一、工程概况</w:t>
      </w:r>
      <w:r>
        <w:rPr>
          <w:b w:val="0"/>
          <w:bCs w:val="0"/>
        </w:rPr>
        <w:tab/>
      </w:r>
      <w:r>
        <w:rPr>
          <w:b w:val="0"/>
          <w:bCs w:val="0"/>
        </w:rPr>
        <w:fldChar w:fldCharType="begin"/>
      </w:r>
      <w:r>
        <w:rPr>
          <w:b w:val="0"/>
          <w:bCs w:val="0"/>
        </w:rPr>
        <w:instrText xml:space="preserve"> PAGEREF _Toc9881 \h </w:instrText>
      </w:r>
      <w:r>
        <w:rPr>
          <w:b w:val="0"/>
          <w:bCs w:val="0"/>
        </w:rPr>
        <w:fldChar w:fldCharType="separate"/>
      </w:r>
      <w:r>
        <w:rPr>
          <w:b w:val="0"/>
          <w:bCs w:val="0"/>
        </w:rPr>
        <w:t>51</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_Toc15370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1"/>
          <w:highlight w:val="none"/>
        </w:rPr>
        <w:t>二、技术标准和要求</w:t>
      </w:r>
      <w:r>
        <w:rPr>
          <w:b w:val="0"/>
          <w:bCs w:val="0"/>
        </w:rPr>
        <w:tab/>
      </w:r>
      <w:r>
        <w:rPr>
          <w:b w:val="0"/>
          <w:bCs w:val="0"/>
        </w:rPr>
        <w:fldChar w:fldCharType="begin"/>
      </w:r>
      <w:r>
        <w:rPr>
          <w:b w:val="0"/>
          <w:bCs w:val="0"/>
        </w:rPr>
        <w:instrText xml:space="preserve"> PAGEREF _Toc15370 \h </w:instrText>
      </w:r>
      <w:r>
        <w:rPr>
          <w:b w:val="0"/>
          <w:bCs w:val="0"/>
        </w:rPr>
        <w:fldChar w:fldCharType="separate"/>
      </w:r>
      <w:r>
        <w:rPr>
          <w:b w:val="0"/>
          <w:bCs w:val="0"/>
        </w:rPr>
        <w:t>51</w:t>
      </w:r>
      <w:r>
        <w:rPr>
          <w:b w:val="0"/>
          <w:bCs w:val="0"/>
        </w:rPr>
        <w:fldChar w:fldCharType="end"/>
      </w:r>
      <w:r>
        <w:rPr>
          <w:rFonts w:hint="eastAsia" w:ascii="微软雅黑" w:hAnsi="微软雅黑" w:eastAsia="微软雅黑" w:cs="微软雅黑"/>
          <w:b w:val="0"/>
          <w:bCs w:val="0"/>
          <w:kern w:val="0"/>
          <w:szCs w:val="24"/>
        </w:rPr>
        <w:fldChar w:fldCharType="end"/>
      </w:r>
    </w:p>
    <w:p>
      <w:pPr>
        <w:pStyle w:val="25"/>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_Toc23724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rPr>
        <w:t>第6章 评审方法和标准</w:t>
      </w:r>
      <w:r>
        <w:rPr>
          <w:b w:val="0"/>
          <w:bCs w:val="0"/>
        </w:rPr>
        <w:tab/>
      </w:r>
      <w:r>
        <w:rPr>
          <w:b w:val="0"/>
          <w:bCs w:val="0"/>
        </w:rPr>
        <w:fldChar w:fldCharType="begin"/>
      </w:r>
      <w:r>
        <w:rPr>
          <w:b w:val="0"/>
          <w:bCs w:val="0"/>
        </w:rPr>
        <w:instrText xml:space="preserve"> PAGEREF _Toc23724 \h </w:instrText>
      </w:r>
      <w:r>
        <w:rPr>
          <w:b w:val="0"/>
          <w:bCs w:val="0"/>
        </w:rPr>
        <w:fldChar w:fldCharType="separate"/>
      </w:r>
      <w:r>
        <w:rPr>
          <w:b w:val="0"/>
          <w:bCs w:val="0"/>
        </w:rPr>
        <w:t>52</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_Toc15632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rPr>
        <w:t>初步评审—资格性审查表</w:t>
      </w:r>
      <w:r>
        <w:rPr>
          <w:b w:val="0"/>
          <w:bCs w:val="0"/>
        </w:rPr>
        <w:tab/>
      </w:r>
      <w:r>
        <w:rPr>
          <w:b w:val="0"/>
          <w:bCs w:val="0"/>
        </w:rPr>
        <w:fldChar w:fldCharType="begin"/>
      </w:r>
      <w:r>
        <w:rPr>
          <w:b w:val="0"/>
          <w:bCs w:val="0"/>
        </w:rPr>
        <w:instrText xml:space="preserve"> PAGEREF _Toc15632 \h </w:instrText>
      </w:r>
      <w:r>
        <w:rPr>
          <w:b w:val="0"/>
          <w:bCs w:val="0"/>
        </w:rPr>
        <w:fldChar w:fldCharType="separate"/>
      </w:r>
      <w:r>
        <w:rPr>
          <w:b w:val="0"/>
          <w:bCs w:val="0"/>
        </w:rPr>
        <w:t>61</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_Toc25977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8"/>
        </w:rPr>
        <w:t>初步评审—符合性审查表</w:t>
      </w:r>
      <w:r>
        <w:rPr>
          <w:b w:val="0"/>
          <w:bCs w:val="0"/>
        </w:rPr>
        <w:tab/>
      </w:r>
      <w:r>
        <w:rPr>
          <w:b w:val="0"/>
          <w:bCs w:val="0"/>
        </w:rPr>
        <w:fldChar w:fldCharType="begin"/>
      </w:r>
      <w:r>
        <w:rPr>
          <w:b w:val="0"/>
          <w:bCs w:val="0"/>
        </w:rPr>
        <w:instrText xml:space="preserve"> PAGEREF _Toc25977 \h </w:instrText>
      </w:r>
      <w:r>
        <w:rPr>
          <w:b w:val="0"/>
          <w:bCs w:val="0"/>
        </w:rPr>
        <w:fldChar w:fldCharType="separate"/>
      </w:r>
      <w:r>
        <w:rPr>
          <w:b w:val="0"/>
          <w:bCs w:val="0"/>
        </w:rPr>
        <w:t>62</w:t>
      </w:r>
      <w:r>
        <w:rPr>
          <w:b w:val="0"/>
          <w:bCs w:val="0"/>
        </w:rPr>
        <w:fldChar w:fldCharType="end"/>
      </w:r>
      <w:r>
        <w:rPr>
          <w:rFonts w:hint="eastAsia" w:ascii="微软雅黑" w:hAnsi="微软雅黑" w:eastAsia="微软雅黑" w:cs="微软雅黑"/>
          <w:b w:val="0"/>
          <w:bCs w:val="0"/>
          <w:kern w:val="0"/>
          <w:szCs w:val="24"/>
        </w:rPr>
        <w:fldChar w:fldCharType="end"/>
      </w:r>
    </w:p>
    <w:p>
      <w:pPr>
        <w:pStyle w:val="30"/>
        <w:tabs>
          <w:tab w:val="right" w:leader="dot" w:pos="9746"/>
        </w:tabs>
        <w:rPr>
          <w:b w:val="0"/>
          <w:bCs w:val="0"/>
        </w:rPr>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_Toc7730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szCs w:val="28"/>
        </w:rPr>
        <w:t>综合评分表</w:t>
      </w:r>
      <w:r>
        <w:rPr>
          <w:b w:val="0"/>
          <w:bCs w:val="0"/>
        </w:rPr>
        <w:tab/>
      </w:r>
      <w:r>
        <w:rPr>
          <w:b w:val="0"/>
          <w:bCs w:val="0"/>
        </w:rPr>
        <w:fldChar w:fldCharType="begin"/>
      </w:r>
      <w:r>
        <w:rPr>
          <w:b w:val="0"/>
          <w:bCs w:val="0"/>
        </w:rPr>
        <w:instrText xml:space="preserve"> PAGEREF _Toc7730 \h </w:instrText>
      </w:r>
      <w:r>
        <w:rPr>
          <w:b w:val="0"/>
          <w:bCs w:val="0"/>
        </w:rPr>
        <w:fldChar w:fldCharType="separate"/>
      </w:r>
      <w:r>
        <w:rPr>
          <w:b w:val="0"/>
          <w:bCs w:val="0"/>
        </w:rPr>
        <w:t>66</w:t>
      </w:r>
      <w:r>
        <w:rPr>
          <w:b w:val="0"/>
          <w:bCs w:val="0"/>
        </w:rPr>
        <w:fldChar w:fldCharType="end"/>
      </w:r>
      <w:r>
        <w:rPr>
          <w:rFonts w:hint="eastAsia" w:ascii="微软雅黑" w:hAnsi="微软雅黑" w:eastAsia="微软雅黑" w:cs="微软雅黑"/>
          <w:b w:val="0"/>
          <w:bCs w:val="0"/>
          <w:kern w:val="0"/>
          <w:szCs w:val="24"/>
        </w:rPr>
        <w:fldChar w:fldCharType="end"/>
      </w:r>
    </w:p>
    <w:p>
      <w:pPr>
        <w:pStyle w:val="25"/>
        <w:tabs>
          <w:tab w:val="right" w:leader="dot" w:pos="9746"/>
        </w:tabs>
      </w:pPr>
      <w:r>
        <w:rPr>
          <w:rFonts w:hint="eastAsia" w:ascii="微软雅黑" w:hAnsi="微软雅黑" w:eastAsia="微软雅黑" w:cs="微软雅黑"/>
          <w:b w:val="0"/>
          <w:bCs w:val="0"/>
          <w:kern w:val="0"/>
          <w:szCs w:val="24"/>
        </w:rPr>
        <w:fldChar w:fldCharType="begin"/>
      </w:r>
      <w:r>
        <w:rPr>
          <w:rFonts w:hint="eastAsia" w:ascii="微软雅黑" w:hAnsi="微软雅黑" w:eastAsia="微软雅黑" w:cs="微软雅黑"/>
          <w:b w:val="0"/>
          <w:bCs w:val="0"/>
          <w:kern w:val="0"/>
          <w:szCs w:val="24"/>
        </w:rPr>
        <w:instrText xml:space="preserve"> HYPERLINK \l _Toc29210 </w:instrText>
      </w:r>
      <w:r>
        <w:rPr>
          <w:rFonts w:hint="eastAsia" w:ascii="微软雅黑" w:hAnsi="微软雅黑" w:eastAsia="微软雅黑" w:cs="微软雅黑"/>
          <w:b w:val="0"/>
          <w:bCs w:val="0"/>
          <w:kern w:val="0"/>
          <w:szCs w:val="24"/>
        </w:rPr>
        <w:fldChar w:fldCharType="separate"/>
      </w:r>
      <w:r>
        <w:rPr>
          <w:rFonts w:hint="eastAsia" w:ascii="微软雅黑" w:hAnsi="微软雅黑" w:eastAsia="微软雅黑" w:cs="微软雅黑"/>
          <w:b w:val="0"/>
          <w:bCs w:val="0"/>
        </w:rPr>
        <w:t>第7章  政府采购合同</w:t>
      </w:r>
      <w:r>
        <w:rPr>
          <w:b w:val="0"/>
          <w:bCs w:val="0"/>
        </w:rPr>
        <w:tab/>
      </w:r>
      <w:r>
        <w:rPr>
          <w:b w:val="0"/>
          <w:bCs w:val="0"/>
        </w:rPr>
        <w:fldChar w:fldCharType="begin"/>
      </w:r>
      <w:r>
        <w:rPr>
          <w:b w:val="0"/>
          <w:bCs w:val="0"/>
        </w:rPr>
        <w:instrText xml:space="preserve"> PAGEREF _Toc29210 \h </w:instrText>
      </w:r>
      <w:r>
        <w:rPr>
          <w:b w:val="0"/>
          <w:bCs w:val="0"/>
        </w:rPr>
        <w:fldChar w:fldCharType="separate"/>
      </w:r>
      <w:r>
        <w:rPr>
          <w:b w:val="0"/>
          <w:bCs w:val="0"/>
        </w:rPr>
        <w:t>69</w:t>
      </w:r>
      <w:r>
        <w:rPr>
          <w:b w:val="0"/>
          <w:bCs w:val="0"/>
        </w:rPr>
        <w:fldChar w:fldCharType="end"/>
      </w:r>
      <w:r>
        <w:rPr>
          <w:rFonts w:hint="eastAsia" w:ascii="微软雅黑" w:hAnsi="微软雅黑" w:eastAsia="微软雅黑" w:cs="微软雅黑"/>
          <w:b w:val="0"/>
          <w:bCs w:val="0"/>
          <w:kern w:val="0"/>
          <w:szCs w:val="24"/>
        </w:rPr>
        <w:fldChar w:fldCharType="end"/>
      </w:r>
    </w:p>
    <w:p>
      <w:pPr>
        <w:keepNext w:val="0"/>
        <w:keepLines w:val="0"/>
        <w:pageBreakBefore w:val="0"/>
        <w:widowControl w:val="0"/>
        <w:tabs>
          <w:tab w:val="left" w:pos="0"/>
        </w:tabs>
        <w:kinsoku/>
        <w:wordWrap/>
        <w:overflowPunct/>
        <w:topLinePunct w:val="0"/>
        <w:autoSpaceDE/>
        <w:autoSpaceDN/>
        <w:bidi w:val="0"/>
        <w:adjustRightInd/>
        <w:snapToGrid w:val="0"/>
        <w:spacing w:line="400" w:lineRule="exact"/>
        <w:textAlignment w:val="baseline"/>
        <w:rPr>
          <w:rFonts w:hint="eastAsia" w:ascii="微软雅黑" w:hAnsi="微软雅黑" w:eastAsia="微软雅黑" w:cs="微软雅黑"/>
          <w:kern w:val="0"/>
          <w:sz w:val="24"/>
          <w:szCs w:val="24"/>
        </w:rPr>
      </w:pPr>
      <w:r>
        <w:rPr>
          <w:rFonts w:hint="eastAsia" w:ascii="微软雅黑" w:hAnsi="微软雅黑" w:eastAsia="微软雅黑" w:cs="微软雅黑"/>
          <w:kern w:val="0"/>
          <w:szCs w:val="24"/>
        </w:rPr>
        <w:fldChar w:fldCharType="end"/>
      </w:r>
    </w:p>
    <w:p>
      <w:pPr>
        <w:pStyle w:val="8"/>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outlineLvl w:val="9"/>
        <w:rPr>
          <w:rFonts w:hint="eastAsia" w:ascii="微软雅黑" w:hAnsi="微软雅黑" w:eastAsia="微软雅黑" w:cs="微软雅黑"/>
          <w:sz w:val="24"/>
          <w:szCs w:val="24"/>
        </w:rPr>
      </w:pPr>
    </w:p>
    <w:p>
      <w:pPr>
        <w:rPr>
          <w:rFonts w:hint="eastAsia"/>
        </w:rPr>
      </w:pPr>
    </w:p>
    <w:p>
      <w:pPr>
        <w:pStyle w:val="3"/>
        <w:tabs>
          <w:tab w:val="left" w:pos="0"/>
        </w:tabs>
        <w:snapToGrid w:val="0"/>
        <w:spacing w:before="0" w:after="0" w:line="360" w:lineRule="auto"/>
        <w:textAlignment w:val="baseline"/>
        <w:rPr>
          <w:rFonts w:hint="eastAsia" w:ascii="微软雅黑" w:hAnsi="微软雅黑" w:eastAsia="微软雅黑" w:cs="微软雅黑"/>
          <w:sz w:val="24"/>
          <w:szCs w:val="24"/>
        </w:rPr>
      </w:pPr>
      <w:bookmarkStart w:id="3" w:name="_Toc9179"/>
      <w:bookmarkStart w:id="4" w:name="_Toc17927"/>
      <w:r>
        <w:rPr>
          <w:rFonts w:hint="eastAsia" w:ascii="微软雅黑" w:hAnsi="微软雅黑" w:eastAsia="微软雅黑" w:cs="微软雅黑"/>
          <w:kern w:val="0"/>
          <w:sz w:val="24"/>
          <w:szCs w:val="24"/>
        </w:rPr>
        <w:t xml:space="preserve">第1章  </w:t>
      </w:r>
      <w:r>
        <w:rPr>
          <w:rFonts w:hint="eastAsia" w:ascii="微软雅黑" w:hAnsi="微软雅黑" w:eastAsia="微软雅黑" w:cs="微软雅黑"/>
          <w:sz w:val="24"/>
          <w:szCs w:val="24"/>
        </w:rPr>
        <w:t>供应商须知</w:t>
      </w:r>
      <w:bookmarkEnd w:id="0"/>
      <w:bookmarkEnd w:id="1"/>
      <w:bookmarkEnd w:id="2"/>
      <w:bookmarkEnd w:id="3"/>
      <w:bookmarkEnd w:id="4"/>
    </w:p>
    <w:p>
      <w:pPr>
        <w:pStyle w:val="4"/>
        <w:snapToGrid w:val="0"/>
        <w:spacing w:before="0" w:line="240" w:lineRule="atLeast"/>
        <w:ind w:left="1080" w:leftChars="257" w:hanging="540"/>
        <w:textAlignment w:val="baseline"/>
        <w:rPr>
          <w:rFonts w:hint="eastAsia" w:ascii="微软雅黑" w:hAnsi="微软雅黑" w:eastAsia="微软雅黑" w:cs="微软雅黑"/>
          <w:sz w:val="24"/>
          <w:szCs w:val="24"/>
        </w:rPr>
      </w:pPr>
      <w:bookmarkStart w:id="5" w:name="_Toc520356143"/>
      <w:bookmarkStart w:id="6" w:name="_Toc515647757"/>
      <w:bookmarkStart w:id="7" w:name="_Toc216582805"/>
      <w:bookmarkStart w:id="8" w:name="_Toc21215"/>
      <w:bookmarkStart w:id="9" w:name="_Toc30837"/>
      <w:bookmarkStart w:id="10" w:name="_Toc21015"/>
      <w:bookmarkStart w:id="11" w:name="_Toc17025"/>
      <w:r>
        <w:rPr>
          <w:rFonts w:hint="eastAsia" w:ascii="微软雅黑" w:hAnsi="微软雅黑" w:eastAsia="微软雅黑" w:cs="微软雅黑"/>
          <w:sz w:val="24"/>
          <w:szCs w:val="24"/>
        </w:rPr>
        <w:t xml:space="preserve">一   </w:t>
      </w:r>
      <w:bookmarkEnd w:id="5"/>
      <w:bookmarkEnd w:id="6"/>
      <w:bookmarkEnd w:id="7"/>
      <w:r>
        <w:rPr>
          <w:rFonts w:hint="eastAsia" w:ascii="微软雅黑" w:hAnsi="微软雅黑" w:eastAsia="微软雅黑" w:cs="微软雅黑"/>
          <w:sz w:val="24"/>
          <w:szCs w:val="24"/>
        </w:rPr>
        <w:t>总 则</w:t>
      </w:r>
      <w:bookmarkEnd w:id="8"/>
      <w:bookmarkEnd w:id="9"/>
      <w:bookmarkEnd w:id="10"/>
      <w:bookmarkEnd w:id="11"/>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12" w:name="_Toc32189"/>
      <w:bookmarkStart w:id="13" w:name="_Toc520356144"/>
      <w:bookmarkStart w:id="14" w:name="_Toc32623"/>
      <w:bookmarkStart w:id="15" w:name="_Toc515647758"/>
      <w:bookmarkStart w:id="16" w:name="_Toc28974"/>
      <w:bookmarkStart w:id="17" w:name="_Toc19826"/>
      <w:bookmarkStart w:id="18" w:name="_Toc27535"/>
      <w:bookmarkStart w:id="19" w:name="_Toc16079"/>
      <w:bookmarkStart w:id="20" w:name="_Toc19219"/>
      <w:bookmarkStart w:id="21" w:name="_Toc11217"/>
      <w:bookmarkStart w:id="22" w:name="_Toc16501"/>
      <w:bookmarkStart w:id="23" w:name="_Toc20385"/>
      <w:bookmarkStart w:id="24" w:name="_Toc6040"/>
      <w:r>
        <w:rPr>
          <w:rFonts w:hint="eastAsia" w:ascii="微软雅黑" w:hAnsi="微软雅黑" w:eastAsia="微软雅黑" w:cs="微软雅黑"/>
          <w:sz w:val="24"/>
          <w:szCs w:val="24"/>
          <w:u w:color="000000"/>
        </w:rPr>
        <w:t>1.采购人、采购代理机构及</w:t>
      </w:r>
      <w:bookmarkEnd w:id="12"/>
      <w:bookmarkEnd w:id="13"/>
      <w:bookmarkEnd w:id="14"/>
      <w:bookmarkEnd w:id="15"/>
      <w:r>
        <w:rPr>
          <w:rFonts w:hint="eastAsia" w:ascii="微软雅黑" w:hAnsi="微软雅黑" w:eastAsia="微软雅黑" w:cs="微软雅黑"/>
          <w:sz w:val="24"/>
          <w:szCs w:val="24"/>
          <w:u w:color="000000"/>
        </w:rPr>
        <w:t>供应商</w:t>
      </w:r>
      <w:bookmarkEnd w:id="16"/>
      <w:bookmarkEnd w:id="17"/>
      <w:bookmarkEnd w:id="18"/>
      <w:bookmarkEnd w:id="19"/>
      <w:bookmarkEnd w:id="20"/>
      <w:bookmarkEnd w:id="21"/>
      <w:bookmarkEnd w:id="22"/>
      <w:bookmarkEnd w:id="23"/>
      <w:bookmarkEnd w:id="24"/>
    </w:p>
    <w:p>
      <w:pPr>
        <w:tabs>
          <w:tab w:val="left" w:pos="0"/>
        </w:tabs>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1.1    采购人：是指依法开展政府采购活动的国家机关、事业单位、团体组织。</w:t>
      </w:r>
    </w:p>
    <w:p>
      <w:pPr>
        <w:tabs>
          <w:tab w:val="left" w:pos="0"/>
        </w:tabs>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本项目的采购人见</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w:t>
      </w:r>
    </w:p>
    <w:p>
      <w:pPr>
        <w:tabs>
          <w:tab w:val="left" w:pos="0"/>
        </w:tabs>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   采购代理机构：是指在集中采购机构或从事采购代理业务的社会中介机构。本项目的采购代理机构见</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w:t>
      </w:r>
    </w:p>
    <w:p>
      <w:pPr>
        <w:numPr>
          <w:ilvl w:val="1"/>
          <w:numId w:val="2"/>
        </w:numPr>
        <w:snapToGrid w:val="0"/>
        <w:spacing w:line="380" w:lineRule="exact"/>
        <w:ind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供应商：是指向采购人提供货物、工程或者服务的法人、非法人组织或者自然人。</w:t>
      </w:r>
    </w:p>
    <w:p>
      <w:pPr>
        <w:snapToGrid w:val="0"/>
        <w:spacing w:line="380" w:lineRule="exact"/>
        <w:ind w:left="850" w:hanging="849" w:hangingChars="354"/>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在中华人民共和国境内注册，能够独立承担民事责任，有生产或供应能力的本国供应商。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1.3.2  具备《中华人民共和国政府采购法》第二十二条关于供应商条件的规定，遵守本项目采购人本级和上级财政部门政府采购的有关规定。</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1.3.3   以采购代理机构认可的方式获得了本项目的磋商文件。</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1.3.4   符合</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中规定的其他要求。</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1.3.5   若</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中写明允许采购进口产品，供应商应保证所投产品可履行合法报通关手续进入中国关境内。</w:t>
      </w:r>
    </w:p>
    <w:p>
      <w:pPr>
        <w:snapToGrid w:val="0"/>
        <w:spacing w:line="380" w:lineRule="exact"/>
        <w:ind w:left="958" w:leftChars="456"/>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若</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中未写明允许采购进口产品，如供应商所投产品为进口产品，其磋商将被认定为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840" w:hanging="840" w:hangingChars="35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1.3.6  若</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中写明专门面向中小企业采购的，如供应商为非中小企业且所投产品为非中小企业产品，其磋商将被认定为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     如</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中允许联合体磋商，对联合体规定如下：</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1.4.1   两个以上供应商可以组成一个磋商联合体，以一个供应商的身份磋商。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1.4.2   联合体各方均应符合《中华人民共和国政府采购法》第二十二条规定的条件。</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1.4.3   采购人根据采购项目对供应商的特殊要求，联合体中至少应当有一方符合相关规定。</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1.4.4   联合体各方应签订共同磋商协议，明确约定联合体各方承担的工作和相应的责任，并将共同磋商协议连同作为磋商文件第一部分的内容提交。</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1.4.5   大中型企业、其他自然人、法人或者非法人组织与小型、微型企业组成联合体共同参加磋商，共同磋商协议中应写明小型、微型企业的协议合同金额占到共同磋商协议磋商总金额的比例。</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1.4.6  联合体中有同类资质的供应商按照联合体分工承担相同工作的，按照较低的资质等级确定联合体的资质等级。</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1.4.8   对联合体磋商的其他资格要求见</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1.5    单位负责人为同一人或者存在直接控股、管理关系的不同供应商，其相关磋商将被认定为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1.6    为本项目提供过整体设计、规范编制或者项目管理、监理、检测等服务的供应商，不得再参加本项目上述货物以外的其他采购活动。否则其磋商将被认定为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1.7</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供应商在磋商过程中不得向采购人提供、给予任何有价值的物品，影响其正常决策行为。一经发现，其将被认定为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25" w:name="_Toc17954"/>
      <w:bookmarkStart w:id="26" w:name="_Toc32017"/>
      <w:bookmarkStart w:id="27" w:name="_Toc12139"/>
      <w:bookmarkStart w:id="28" w:name="_Toc20993"/>
      <w:bookmarkStart w:id="29" w:name="_Toc17959"/>
      <w:bookmarkStart w:id="30" w:name="_Toc515647759"/>
      <w:bookmarkStart w:id="31" w:name="_Toc5286"/>
      <w:bookmarkStart w:id="32" w:name="_Toc1145"/>
      <w:bookmarkStart w:id="33" w:name="_Toc31303"/>
      <w:bookmarkStart w:id="34" w:name="_Toc21415"/>
      <w:bookmarkStart w:id="35" w:name="_Toc12082"/>
      <w:bookmarkStart w:id="36" w:name="_Toc12994"/>
      <w:r>
        <w:rPr>
          <w:rFonts w:hint="eastAsia" w:ascii="微软雅黑" w:hAnsi="微软雅黑" w:eastAsia="微软雅黑" w:cs="微软雅黑"/>
          <w:sz w:val="24"/>
          <w:szCs w:val="24"/>
          <w:u w:color="000000"/>
        </w:rPr>
        <w:t>2.资金来源</w:t>
      </w:r>
      <w:bookmarkEnd w:id="25"/>
      <w:bookmarkEnd w:id="26"/>
      <w:bookmarkEnd w:id="27"/>
      <w:bookmarkEnd w:id="28"/>
      <w:bookmarkEnd w:id="29"/>
      <w:bookmarkEnd w:id="30"/>
      <w:bookmarkEnd w:id="31"/>
      <w:bookmarkEnd w:id="32"/>
      <w:bookmarkEnd w:id="33"/>
      <w:bookmarkEnd w:id="34"/>
      <w:bookmarkEnd w:id="35"/>
      <w:bookmarkEnd w:id="36"/>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本项目的采购人已获得足以支付本次招标后所签订的合同项下的资金（包括财政性资金和本项目采购中无法与财政性资金分割的非财政性资金）。</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2.2    项目预算金额和分项或分包最高限价</w:t>
      </w:r>
      <w:r>
        <w:rPr>
          <w:rFonts w:hint="eastAsia" w:ascii="微软雅黑" w:hAnsi="微软雅黑" w:eastAsia="微软雅黑" w:cs="微软雅黑"/>
          <w:sz w:val="24"/>
          <w:szCs w:val="24"/>
          <w:u w:val="single" w:color="000000"/>
        </w:rPr>
        <w:t>见供应商须知资料表</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2.3    供应商报价超过磋商文件规定的预算金额或者分项、分包最高限价的，其磋商将被认定为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37" w:name="_Toc20526"/>
      <w:bookmarkStart w:id="38" w:name="_Toc515647760"/>
      <w:bookmarkStart w:id="39" w:name="_Toc520356145"/>
      <w:bookmarkStart w:id="40" w:name="_Toc18168"/>
      <w:bookmarkStart w:id="41" w:name="_Toc91"/>
      <w:bookmarkStart w:id="42" w:name="_Toc4556"/>
      <w:bookmarkStart w:id="43" w:name="_Toc15936"/>
      <w:bookmarkStart w:id="44" w:name="_Toc23939"/>
      <w:bookmarkStart w:id="45" w:name="_Toc15302"/>
      <w:bookmarkStart w:id="46" w:name="_Toc3987"/>
      <w:bookmarkStart w:id="47" w:name="_Toc20149"/>
      <w:bookmarkStart w:id="48" w:name="_Toc6076"/>
      <w:bookmarkStart w:id="49" w:name="_Toc3164"/>
      <w:r>
        <w:rPr>
          <w:rFonts w:hint="eastAsia" w:ascii="微软雅黑" w:hAnsi="微软雅黑" w:eastAsia="微软雅黑" w:cs="微软雅黑"/>
          <w:sz w:val="24"/>
          <w:szCs w:val="24"/>
          <w:u w:color="000000"/>
        </w:rPr>
        <w:t>3.磋商费用</w:t>
      </w:r>
      <w:bookmarkEnd w:id="37"/>
      <w:bookmarkEnd w:id="38"/>
      <w:bookmarkEnd w:id="39"/>
      <w:bookmarkEnd w:id="40"/>
      <w:bookmarkEnd w:id="41"/>
      <w:bookmarkEnd w:id="42"/>
      <w:bookmarkEnd w:id="43"/>
      <w:bookmarkEnd w:id="44"/>
      <w:bookmarkEnd w:id="45"/>
      <w:bookmarkEnd w:id="46"/>
      <w:bookmarkEnd w:id="47"/>
      <w:bookmarkEnd w:id="48"/>
      <w:bookmarkEnd w:id="49"/>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不论磋商的结果如何，供应商应承担所有与准备和参加磋商有关的费用。</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50" w:name="_Toc4463"/>
      <w:bookmarkStart w:id="51" w:name="_Toc23425"/>
      <w:bookmarkStart w:id="52" w:name="_Toc32069"/>
      <w:bookmarkStart w:id="53" w:name="_Toc6116"/>
      <w:bookmarkStart w:id="54" w:name="_Toc14158"/>
      <w:bookmarkStart w:id="55" w:name="_Toc29823"/>
      <w:bookmarkStart w:id="56" w:name="_Toc15164"/>
      <w:bookmarkStart w:id="57" w:name="_Toc26501"/>
      <w:bookmarkStart w:id="58" w:name="_Toc7327"/>
      <w:bookmarkStart w:id="59" w:name="_Toc2317"/>
      <w:bookmarkStart w:id="60" w:name="_Toc515647761"/>
      <w:bookmarkStart w:id="61" w:name="_Toc15428"/>
      <w:r>
        <w:rPr>
          <w:rFonts w:hint="eastAsia" w:ascii="微软雅黑" w:hAnsi="微软雅黑" w:eastAsia="微软雅黑" w:cs="微软雅黑"/>
          <w:sz w:val="24"/>
          <w:szCs w:val="24"/>
          <w:u w:color="000000"/>
        </w:rPr>
        <w:t>4.适用法律</w:t>
      </w:r>
      <w:bookmarkEnd w:id="50"/>
      <w:bookmarkEnd w:id="51"/>
      <w:bookmarkEnd w:id="52"/>
      <w:bookmarkEnd w:id="53"/>
      <w:bookmarkEnd w:id="54"/>
      <w:bookmarkEnd w:id="55"/>
      <w:bookmarkEnd w:id="56"/>
      <w:bookmarkEnd w:id="57"/>
      <w:bookmarkEnd w:id="58"/>
      <w:bookmarkEnd w:id="59"/>
      <w:bookmarkEnd w:id="60"/>
      <w:bookmarkEnd w:id="61"/>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pPr>
        <w:snapToGrid w:val="0"/>
        <w:spacing w:line="380" w:lineRule="exact"/>
        <w:textAlignment w:val="baseline"/>
        <w:rPr>
          <w:rFonts w:hint="eastAsia" w:ascii="微软雅黑" w:hAnsi="微软雅黑" w:eastAsia="微软雅黑" w:cs="微软雅黑"/>
          <w:sz w:val="24"/>
          <w:szCs w:val="24"/>
        </w:rPr>
      </w:pPr>
    </w:p>
    <w:p>
      <w:pPr>
        <w:pStyle w:val="4"/>
        <w:snapToGrid w:val="0"/>
        <w:spacing w:before="0" w:line="380" w:lineRule="exact"/>
        <w:ind w:hanging="540"/>
        <w:textAlignment w:val="baseline"/>
        <w:rPr>
          <w:rFonts w:hint="eastAsia" w:ascii="微软雅黑" w:hAnsi="微软雅黑" w:eastAsia="微软雅黑" w:cs="微软雅黑"/>
          <w:sz w:val="24"/>
          <w:szCs w:val="24"/>
        </w:rPr>
      </w:pPr>
      <w:bookmarkStart w:id="62" w:name="_Toc216582806"/>
      <w:bookmarkStart w:id="63" w:name="_Toc520356146"/>
      <w:bookmarkStart w:id="64" w:name="_Toc515647762"/>
      <w:bookmarkStart w:id="65" w:name="_Toc21566"/>
      <w:bookmarkStart w:id="66" w:name="_Toc4365"/>
      <w:bookmarkStart w:id="67" w:name="_Toc13692"/>
      <w:bookmarkStart w:id="68" w:name="_Toc19024"/>
      <w:bookmarkStart w:id="69" w:name="_Toc30356"/>
      <w:r>
        <w:rPr>
          <w:rFonts w:hint="eastAsia" w:ascii="微软雅黑" w:hAnsi="微软雅黑" w:eastAsia="微软雅黑" w:cs="微软雅黑"/>
          <w:sz w:val="24"/>
          <w:szCs w:val="24"/>
        </w:rPr>
        <w:t xml:space="preserve">二   </w:t>
      </w:r>
      <w:bookmarkEnd w:id="62"/>
      <w:bookmarkEnd w:id="63"/>
      <w:bookmarkEnd w:id="64"/>
      <w:bookmarkEnd w:id="65"/>
      <w:bookmarkEnd w:id="66"/>
      <w:r>
        <w:rPr>
          <w:rFonts w:hint="eastAsia" w:ascii="微软雅黑" w:hAnsi="微软雅黑" w:eastAsia="微软雅黑" w:cs="微软雅黑"/>
          <w:sz w:val="24"/>
          <w:szCs w:val="24"/>
        </w:rPr>
        <w:t>磋商文件</w:t>
      </w:r>
      <w:bookmarkEnd w:id="67"/>
      <w:bookmarkEnd w:id="68"/>
      <w:bookmarkEnd w:id="69"/>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70" w:name="_Toc27545"/>
      <w:bookmarkStart w:id="71" w:name="_Toc16061"/>
      <w:bookmarkStart w:id="72" w:name="_Toc25743"/>
      <w:bookmarkStart w:id="73" w:name="_Toc14084"/>
      <w:bookmarkStart w:id="74" w:name="_Toc12447"/>
      <w:bookmarkStart w:id="75" w:name="_Toc9520"/>
      <w:bookmarkStart w:id="76" w:name="_Toc520356147"/>
      <w:bookmarkStart w:id="77" w:name="_Toc4254"/>
      <w:bookmarkStart w:id="78" w:name="_Toc515647763"/>
      <w:bookmarkStart w:id="79" w:name="_Toc16521"/>
      <w:bookmarkStart w:id="80" w:name="_Toc20128"/>
      <w:bookmarkStart w:id="81" w:name="_Toc4773"/>
      <w:bookmarkStart w:id="82" w:name="_Toc14409"/>
      <w:r>
        <w:rPr>
          <w:rFonts w:hint="eastAsia" w:ascii="微软雅黑" w:hAnsi="微软雅黑" w:eastAsia="微软雅黑" w:cs="微软雅黑"/>
          <w:sz w:val="24"/>
          <w:szCs w:val="24"/>
          <w:u w:color="000000"/>
        </w:rPr>
        <w:t>5.磋商文件构成</w:t>
      </w:r>
      <w:bookmarkEnd w:id="70"/>
      <w:bookmarkEnd w:id="71"/>
      <w:bookmarkEnd w:id="72"/>
      <w:bookmarkEnd w:id="73"/>
      <w:bookmarkEnd w:id="74"/>
      <w:bookmarkEnd w:id="75"/>
      <w:bookmarkEnd w:id="76"/>
      <w:bookmarkEnd w:id="77"/>
      <w:bookmarkEnd w:id="78"/>
      <w:bookmarkEnd w:id="79"/>
      <w:bookmarkEnd w:id="80"/>
      <w:bookmarkEnd w:id="81"/>
      <w:bookmarkEnd w:id="82"/>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磋商文件分为三册共7章，内容如下：</w:t>
      </w:r>
    </w:p>
    <w:p>
      <w:pPr>
        <w:snapToGrid w:val="0"/>
        <w:spacing w:line="380" w:lineRule="exact"/>
        <w:ind w:left="180"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第一册</w:t>
      </w:r>
    </w:p>
    <w:p>
      <w:pPr>
        <w:tabs>
          <w:tab w:val="left" w:pos="0"/>
        </w:tabs>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第1章 供应商须知</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第2章 响应文件格式</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第二册</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第3章 磋商邀请</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第4章 供应商须知资料表</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第5章 </w:t>
      </w:r>
      <w:r>
        <w:rPr>
          <w:rFonts w:hint="eastAsia" w:ascii="微软雅黑" w:hAnsi="微软雅黑" w:eastAsia="微软雅黑" w:cs="微软雅黑"/>
          <w:sz w:val="24"/>
          <w:szCs w:val="24"/>
          <w:lang w:val="en-US" w:eastAsia="zh-CN"/>
        </w:rPr>
        <w:t>工程量清单及技术标准</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第6章 评审方法和标准</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第三册</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第7章 政府采购合同格式</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如本文件的前后内容不一致，以最后描述为准。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83" w:name="_Toc520356148"/>
      <w:bookmarkStart w:id="84" w:name="_Toc515904805"/>
      <w:bookmarkStart w:id="85" w:name="_Toc24794"/>
      <w:bookmarkStart w:id="86" w:name="_Toc11954"/>
      <w:bookmarkStart w:id="87" w:name="_Toc19969"/>
      <w:bookmarkStart w:id="88" w:name="_Toc6163"/>
      <w:bookmarkStart w:id="89" w:name="_Toc9232"/>
      <w:bookmarkStart w:id="90" w:name="_Toc5443"/>
      <w:bookmarkStart w:id="91" w:name="_Toc12118"/>
      <w:bookmarkStart w:id="92" w:name="_Toc73"/>
      <w:bookmarkStart w:id="93" w:name="_Toc26044"/>
      <w:bookmarkStart w:id="94" w:name="_Toc9693"/>
      <w:bookmarkStart w:id="95" w:name="_Toc17695"/>
      <w:r>
        <w:rPr>
          <w:rFonts w:hint="eastAsia" w:ascii="微软雅黑" w:hAnsi="微软雅黑" w:eastAsia="微软雅黑" w:cs="微软雅黑"/>
          <w:sz w:val="24"/>
          <w:szCs w:val="24"/>
          <w:u w:color="000000"/>
        </w:rPr>
        <w:t>6.磋商文件的澄清</w:t>
      </w:r>
      <w:bookmarkEnd w:id="83"/>
      <w:bookmarkEnd w:id="84"/>
      <w:r>
        <w:rPr>
          <w:rFonts w:hint="eastAsia" w:ascii="微软雅黑" w:hAnsi="微软雅黑" w:eastAsia="微软雅黑" w:cs="微软雅黑"/>
          <w:sz w:val="24"/>
          <w:szCs w:val="24"/>
          <w:u w:color="000000"/>
        </w:rPr>
        <w:t>与修改</w:t>
      </w:r>
      <w:bookmarkEnd w:id="85"/>
      <w:bookmarkEnd w:id="86"/>
      <w:bookmarkEnd w:id="87"/>
      <w:bookmarkEnd w:id="88"/>
      <w:bookmarkEnd w:id="89"/>
      <w:bookmarkEnd w:id="90"/>
      <w:bookmarkEnd w:id="91"/>
      <w:bookmarkEnd w:id="92"/>
      <w:bookmarkEnd w:id="93"/>
      <w:bookmarkEnd w:id="94"/>
      <w:bookmarkEnd w:id="95"/>
    </w:p>
    <w:p>
      <w:pPr>
        <w:pStyle w:val="7"/>
        <w:snapToGrid w:val="0"/>
        <w:spacing w:line="380" w:lineRule="exact"/>
        <w:ind w:left="840" w:hanging="840" w:hangingChars="35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6.1    为了保证对磋商文件的澄清和修改满足法律的时限要求，任何要求对磋商文件进行澄清的供应商，均应在磋商截止时间至少5日前，以书面形式将澄清要求通知采购人或采购代理机构。</w:t>
      </w:r>
    </w:p>
    <w:p>
      <w:pPr>
        <w:pStyle w:val="7"/>
        <w:snapToGrid w:val="0"/>
        <w:spacing w:line="380" w:lineRule="exact"/>
        <w:ind w:left="840" w:hanging="840" w:hangingChars="350"/>
        <w:textAlignment w:val="baseline"/>
        <w:rPr>
          <w:rFonts w:hint="eastAsia" w:ascii="微软雅黑" w:hAnsi="微软雅黑" w:eastAsia="微软雅黑" w:cs="微软雅黑"/>
          <w:sz w:val="24"/>
          <w:szCs w:val="24"/>
        </w:rPr>
      </w:pPr>
      <w:bookmarkStart w:id="96" w:name="_Toc515904806"/>
      <w:bookmarkStart w:id="97" w:name="_Ref467378678"/>
      <w:bookmarkStart w:id="98" w:name="_Toc520356149"/>
      <w:r>
        <w:rPr>
          <w:rFonts w:hint="eastAsia" w:ascii="微软雅黑" w:hAnsi="微软雅黑" w:eastAsia="微软雅黑" w:cs="微软雅黑"/>
          <w:sz w:val="24"/>
          <w:szCs w:val="24"/>
        </w:rPr>
        <w:t>6.2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7"/>
        <w:snapToGrid w:val="0"/>
        <w:spacing w:line="380" w:lineRule="exact"/>
        <w:ind w:left="840" w:hanging="840" w:hangingChars="35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6.3</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2"/>
        <w:tabs>
          <w:tab w:val="left" w:pos="900"/>
        </w:tabs>
        <w:snapToGrid w:val="0"/>
        <w:spacing w:before="0" w:after="0" w:line="380" w:lineRule="exact"/>
        <w:textAlignment w:val="baseline"/>
        <w:rPr>
          <w:rFonts w:hint="eastAsia" w:ascii="微软雅黑" w:hAnsi="微软雅黑" w:eastAsia="微软雅黑" w:cs="微软雅黑"/>
          <w:sz w:val="24"/>
          <w:szCs w:val="24"/>
          <w:u w:color="000000"/>
        </w:rPr>
      </w:pPr>
      <w:bookmarkStart w:id="99" w:name="_Toc28181"/>
      <w:bookmarkStart w:id="100" w:name="_Toc6738"/>
      <w:bookmarkStart w:id="101" w:name="_Toc16843"/>
      <w:bookmarkStart w:id="102" w:name="_Toc14569"/>
      <w:bookmarkStart w:id="103" w:name="_Toc18879"/>
      <w:bookmarkStart w:id="104" w:name="_Toc3801"/>
      <w:bookmarkStart w:id="105" w:name="_Toc25635"/>
      <w:bookmarkStart w:id="106" w:name="_Toc16792"/>
      <w:bookmarkStart w:id="107" w:name="_Toc5970"/>
      <w:bookmarkStart w:id="108" w:name="_Toc12058"/>
      <w:bookmarkStart w:id="109" w:name="_Toc14294"/>
      <w:r>
        <w:rPr>
          <w:rFonts w:hint="eastAsia" w:ascii="微软雅黑" w:hAnsi="微软雅黑" w:eastAsia="微软雅黑" w:cs="微软雅黑"/>
          <w:sz w:val="24"/>
          <w:szCs w:val="24"/>
          <w:u w:color="000000"/>
        </w:rPr>
        <w:t>7</w:t>
      </w:r>
      <w:bookmarkEnd w:id="96"/>
      <w:bookmarkEnd w:id="97"/>
      <w:bookmarkEnd w:id="98"/>
      <w:r>
        <w:rPr>
          <w:rFonts w:hint="eastAsia" w:ascii="微软雅黑" w:hAnsi="微软雅黑" w:eastAsia="微软雅黑" w:cs="微软雅黑"/>
          <w:sz w:val="24"/>
          <w:szCs w:val="24"/>
          <w:u w:color="000000"/>
        </w:rPr>
        <w:t>.磋商截止时间的顺延</w:t>
      </w:r>
      <w:bookmarkEnd w:id="99"/>
      <w:bookmarkEnd w:id="100"/>
      <w:bookmarkEnd w:id="101"/>
      <w:bookmarkEnd w:id="102"/>
      <w:bookmarkEnd w:id="103"/>
      <w:bookmarkEnd w:id="104"/>
      <w:bookmarkEnd w:id="105"/>
      <w:bookmarkEnd w:id="106"/>
      <w:bookmarkEnd w:id="107"/>
      <w:bookmarkEnd w:id="108"/>
      <w:bookmarkEnd w:id="109"/>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为使供应商准备磋商时有足够的时间对磋商文件的澄清或者修改部分进行研究，采购人将依法决定是否顺延磋商截止时间。</w:t>
      </w:r>
    </w:p>
    <w:p>
      <w:pPr>
        <w:pStyle w:val="4"/>
        <w:tabs>
          <w:tab w:val="left" w:pos="900"/>
        </w:tabs>
        <w:snapToGrid w:val="0"/>
        <w:spacing w:before="0" w:line="380" w:lineRule="exact"/>
        <w:ind w:hanging="540"/>
        <w:textAlignment w:val="baseline"/>
        <w:rPr>
          <w:rFonts w:hint="eastAsia" w:ascii="微软雅黑" w:hAnsi="微软雅黑" w:eastAsia="微软雅黑" w:cs="微软雅黑"/>
          <w:sz w:val="24"/>
          <w:szCs w:val="24"/>
        </w:rPr>
      </w:pPr>
      <w:bookmarkStart w:id="110" w:name="_Toc516367020"/>
      <w:bookmarkStart w:id="111" w:name="_Toc5321"/>
      <w:bookmarkStart w:id="112" w:name="_Toc7636"/>
      <w:bookmarkStart w:id="113" w:name="_Toc520356150"/>
      <w:bookmarkStart w:id="114" w:name="_Toc16906"/>
      <w:bookmarkStart w:id="115" w:name="_Toc18070"/>
      <w:bookmarkStart w:id="116" w:name="_Toc216582807"/>
      <w:bookmarkStart w:id="117" w:name="_Toc30808"/>
      <w:bookmarkStart w:id="118" w:name="_Toc6744"/>
      <w:bookmarkStart w:id="119" w:name="_Toc515647766"/>
      <w:r>
        <w:rPr>
          <w:rFonts w:hint="eastAsia" w:ascii="微软雅黑" w:hAnsi="微软雅黑" w:eastAsia="微软雅黑" w:cs="微软雅黑"/>
          <w:sz w:val="24"/>
          <w:szCs w:val="24"/>
        </w:rPr>
        <w:t xml:space="preserve">三   </w:t>
      </w:r>
      <w:bookmarkEnd w:id="110"/>
      <w:r>
        <w:rPr>
          <w:rFonts w:hint="eastAsia" w:ascii="微软雅黑" w:hAnsi="微软雅黑" w:eastAsia="微软雅黑" w:cs="微软雅黑"/>
          <w:sz w:val="24"/>
          <w:szCs w:val="24"/>
        </w:rPr>
        <w:t>响应文件的编制</w:t>
      </w:r>
      <w:bookmarkEnd w:id="111"/>
      <w:bookmarkEnd w:id="112"/>
      <w:bookmarkEnd w:id="113"/>
      <w:bookmarkEnd w:id="114"/>
      <w:bookmarkEnd w:id="115"/>
      <w:bookmarkEnd w:id="116"/>
      <w:bookmarkEnd w:id="117"/>
      <w:bookmarkEnd w:id="118"/>
      <w:bookmarkEnd w:id="119"/>
    </w:p>
    <w:p>
      <w:pPr>
        <w:pStyle w:val="7"/>
        <w:snapToGrid w:val="0"/>
        <w:spacing w:line="380" w:lineRule="exact"/>
        <w:textAlignment w:val="baseline"/>
        <w:rPr>
          <w:rFonts w:hint="eastAsia" w:ascii="微软雅黑" w:hAnsi="微软雅黑" w:eastAsia="微软雅黑" w:cs="微软雅黑"/>
          <w:sz w:val="24"/>
          <w:szCs w:val="24"/>
        </w:rPr>
      </w:pPr>
    </w:p>
    <w:p>
      <w:pPr>
        <w:pStyle w:val="2"/>
        <w:tabs>
          <w:tab w:val="left" w:pos="900"/>
        </w:tabs>
        <w:snapToGrid w:val="0"/>
        <w:spacing w:before="0" w:after="0" w:line="380" w:lineRule="exact"/>
        <w:textAlignment w:val="baseline"/>
        <w:rPr>
          <w:rFonts w:hint="eastAsia" w:ascii="微软雅黑" w:hAnsi="微软雅黑" w:eastAsia="微软雅黑" w:cs="微软雅黑"/>
          <w:sz w:val="24"/>
          <w:szCs w:val="24"/>
          <w:u w:color="000000"/>
        </w:rPr>
      </w:pPr>
      <w:bookmarkStart w:id="120" w:name="_Toc21848"/>
      <w:bookmarkStart w:id="121" w:name="_Toc7786"/>
      <w:bookmarkStart w:id="122" w:name="_Toc13379"/>
      <w:bookmarkStart w:id="123" w:name="_Toc14330"/>
      <w:bookmarkStart w:id="124" w:name="_Toc4525"/>
      <w:bookmarkStart w:id="125" w:name="_Toc19003"/>
      <w:bookmarkStart w:id="126" w:name="_Toc3553"/>
      <w:bookmarkStart w:id="127" w:name="_Toc31904"/>
      <w:bookmarkStart w:id="128" w:name="_Toc8762"/>
      <w:bookmarkStart w:id="129" w:name="_Toc516367021"/>
      <w:bookmarkStart w:id="130" w:name="_Toc515647767"/>
      <w:bookmarkStart w:id="131" w:name="_Toc20168"/>
      <w:bookmarkStart w:id="132" w:name="_Toc21065"/>
      <w:bookmarkStart w:id="133" w:name="_Toc520356151"/>
      <w:bookmarkStart w:id="134" w:name="_Toc19644"/>
      <w:r>
        <w:rPr>
          <w:rFonts w:hint="eastAsia" w:ascii="微软雅黑" w:hAnsi="微软雅黑" w:eastAsia="微软雅黑" w:cs="微软雅黑"/>
          <w:sz w:val="24"/>
          <w:szCs w:val="24"/>
          <w:u w:color="000000"/>
        </w:rPr>
        <w:t>8.</w:t>
      </w:r>
      <w:r>
        <w:rPr>
          <w:rFonts w:hint="eastAsia" w:ascii="微软雅黑" w:hAnsi="微软雅黑" w:eastAsia="微软雅黑" w:cs="微软雅黑"/>
          <w:sz w:val="24"/>
          <w:szCs w:val="24"/>
          <w:u w:color="000000"/>
        </w:rPr>
        <w:tab/>
      </w:r>
      <w:r>
        <w:rPr>
          <w:rFonts w:hint="eastAsia" w:ascii="微软雅黑" w:hAnsi="微软雅黑" w:eastAsia="微软雅黑" w:cs="微软雅黑"/>
          <w:sz w:val="24"/>
          <w:szCs w:val="24"/>
          <w:u w:color="000000"/>
        </w:rPr>
        <w:t>磋商范围及响应文件成交准和计量单位的使用</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8.1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项目有分包的，供应商可对磋商文件其中某一个或几个分包货物进行磋商，除非在</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中另有规定。</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8.2     供应商应当对所投分包磋商文件中“</w:t>
      </w:r>
      <w:r>
        <w:rPr>
          <w:rFonts w:hint="eastAsia" w:ascii="微软雅黑" w:hAnsi="微软雅黑" w:eastAsia="微软雅黑" w:cs="微软雅黑"/>
          <w:sz w:val="24"/>
          <w:szCs w:val="24"/>
          <w:lang w:eastAsia="zh-CN"/>
        </w:rPr>
        <w:t>工程量清单</w:t>
      </w:r>
      <w:r>
        <w:rPr>
          <w:rFonts w:hint="eastAsia" w:ascii="微软雅黑" w:hAnsi="微软雅黑" w:eastAsia="微软雅黑" w:cs="微软雅黑"/>
          <w:sz w:val="24"/>
          <w:szCs w:val="24"/>
        </w:rPr>
        <w:t>”所列的所有内容进行磋商，如仅响应分包中的部分内容，其该包磋商将被认定为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8.3     无论</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第5章</w:t>
      </w:r>
      <w:r>
        <w:rPr>
          <w:rFonts w:hint="eastAsia" w:ascii="微软雅黑" w:hAnsi="微软雅黑" w:eastAsia="微软雅黑" w:cs="微软雅黑"/>
          <w:sz w:val="24"/>
          <w:szCs w:val="24"/>
          <w:lang w:eastAsia="zh-CN"/>
        </w:rPr>
        <w:t>工程量清单</w:t>
      </w:r>
      <w:r>
        <w:rPr>
          <w:rFonts w:hint="eastAsia" w:ascii="微软雅黑" w:hAnsi="微软雅黑" w:eastAsia="微软雅黑" w:cs="微软雅黑"/>
          <w:sz w:val="24"/>
          <w:szCs w:val="24"/>
        </w:rPr>
        <w:t>中是否要求，</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所投服务均应符合国家强制性标准。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8.4     除磋商文件中有特殊要求外，响应文件中所使用的计量单位，应采用中华人民共和国法定计量单位。</w:t>
      </w:r>
    </w:p>
    <w:p>
      <w:pPr>
        <w:pStyle w:val="2"/>
        <w:tabs>
          <w:tab w:val="left" w:pos="900"/>
        </w:tabs>
        <w:snapToGrid w:val="0"/>
        <w:spacing w:before="0" w:after="0" w:line="380" w:lineRule="exact"/>
        <w:textAlignment w:val="baseline"/>
        <w:rPr>
          <w:rFonts w:hint="eastAsia" w:ascii="微软雅黑" w:hAnsi="微软雅黑" w:eastAsia="微软雅黑" w:cs="微软雅黑"/>
          <w:sz w:val="24"/>
          <w:szCs w:val="24"/>
          <w:u w:color="000000"/>
        </w:rPr>
      </w:pPr>
      <w:bookmarkStart w:id="135" w:name="_Ref467306195"/>
      <w:bookmarkStart w:id="136" w:name="_Toc516367022"/>
      <w:bookmarkStart w:id="137" w:name="_Ref467306676"/>
      <w:bookmarkStart w:id="138" w:name="_Toc2709"/>
      <w:bookmarkStart w:id="139" w:name="_Toc3006"/>
      <w:bookmarkStart w:id="140" w:name="_Toc13837"/>
      <w:bookmarkStart w:id="141" w:name="_Toc28307"/>
      <w:bookmarkStart w:id="142" w:name="_Toc10364"/>
      <w:bookmarkStart w:id="143" w:name="_Toc19752"/>
      <w:bookmarkStart w:id="144" w:name="_Toc28670"/>
      <w:bookmarkStart w:id="145" w:name="_Toc16896"/>
      <w:bookmarkStart w:id="146" w:name="_Toc26502"/>
      <w:bookmarkStart w:id="147" w:name="_Toc8989"/>
      <w:bookmarkStart w:id="148" w:name="_Toc520356152"/>
      <w:bookmarkStart w:id="149" w:name="_Toc515647768"/>
      <w:bookmarkStart w:id="150" w:name="_Toc2582"/>
      <w:bookmarkStart w:id="151" w:name="_Toc14931"/>
      <w:r>
        <w:rPr>
          <w:rFonts w:hint="eastAsia" w:ascii="微软雅黑" w:hAnsi="微软雅黑" w:eastAsia="微软雅黑" w:cs="微软雅黑"/>
          <w:sz w:val="24"/>
          <w:szCs w:val="24"/>
          <w:u w:color="000000"/>
        </w:rPr>
        <w:t>9.</w:t>
      </w:r>
      <w:bookmarkEnd w:id="135"/>
      <w:bookmarkEnd w:id="136"/>
      <w:bookmarkEnd w:id="137"/>
      <w:r>
        <w:rPr>
          <w:rFonts w:hint="eastAsia" w:ascii="微软雅黑" w:hAnsi="微软雅黑" w:eastAsia="微软雅黑" w:cs="微软雅黑"/>
          <w:sz w:val="24"/>
          <w:szCs w:val="24"/>
          <w:u w:color="000000"/>
        </w:rPr>
        <w:t>响应文件构成</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tabs>
          <w:tab w:val="left" w:pos="900"/>
          <w:tab w:val="left" w:pos="5580"/>
        </w:tabs>
        <w:snapToGrid w:val="0"/>
        <w:spacing w:line="380" w:lineRule="exact"/>
        <w:ind w:left="960" w:hanging="960" w:hangingChars="400"/>
        <w:jc w:val="left"/>
        <w:textAlignment w:val="baseline"/>
        <w:rPr>
          <w:rFonts w:hint="eastAsia" w:ascii="微软雅黑" w:hAnsi="微软雅黑" w:eastAsia="微软雅黑" w:cs="微软雅黑"/>
          <w:sz w:val="24"/>
          <w:szCs w:val="24"/>
          <w:u w:val="single" w:color="000000"/>
        </w:rPr>
      </w:pPr>
      <w:bookmarkStart w:id="152" w:name="_Ref467052588"/>
      <w:r>
        <w:rPr>
          <w:rFonts w:hint="eastAsia" w:ascii="微软雅黑" w:hAnsi="微软雅黑" w:eastAsia="微软雅黑" w:cs="微软雅黑"/>
          <w:sz w:val="24"/>
          <w:szCs w:val="24"/>
        </w:rPr>
        <w:t xml:space="preserve">9.1     </w:t>
      </w:r>
      <w:r>
        <w:rPr>
          <w:rFonts w:hint="eastAsia" w:ascii="微软雅黑" w:hAnsi="微软雅黑" w:eastAsia="微软雅黑" w:cs="微软雅黑"/>
          <w:b/>
          <w:bCs/>
          <w:sz w:val="24"/>
          <w:szCs w:val="24"/>
          <w:u w:val="single"/>
        </w:rPr>
        <w:t>供应商应完整地按</w:t>
      </w:r>
      <w:r>
        <w:rPr>
          <w:rFonts w:hint="eastAsia" w:ascii="微软雅黑" w:hAnsi="微软雅黑" w:eastAsia="微软雅黑" w:cs="微软雅黑"/>
          <w:b/>
          <w:bCs/>
          <w:sz w:val="24"/>
          <w:szCs w:val="24"/>
          <w:u w:val="single"/>
          <w:lang w:eastAsia="zh-CN"/>
        </w:rPr>
        <w:t>磋商文件</w:t>
      </w:r>
      <w:r>
        <w:rPr>
          <w:rFonts w:hint="eastAsia" w:ascii="微软雅黑" w:hAnsi="微软雅黑" w:eastAsia="微软雅黑" w:cs="微软雅黑"/>
          <w:b/>
          <w:bCs/>
          <w:sz w:val="24"/>
          <w:szCs w:val="24"/>
          <w:u w:val="single"/>
        </w:rPr>
        <w:t>提供的</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格式及要求编写</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，根据平台关联点上传对应佐证资料，</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应包括“</w:t>
      </w:r>
      <w:r>
        <w:rPr>
          <w:rFonts w:hint="eastAsia" w:ascii="微软雅黑" w:hAnsi="微软雅黑" w:eastAsia="微软雅黑" w:cs="微软雅黑"/>
          <w:b/>
          <w:bCs/>
          <w:sz w:val="24"/>
          <w:szCs w:val="24"/>
          <w:u w:val="single"/>
          <w:lang w:eastAsia="zh-CN"/>
        </w:rPr>
        <w:t>磋商一览表</w:t>
      </w:r>
      <w:r>
        <w:rPr>
          <w:rFonts w:hint="eastAsia" w:ascii="微软雅黑" w:hAnsi="微软雅黑" w:eastAsia="微软雅黑" w:cs="微软雅黑"/>
          <w:b/>
          <w:bCs/>
          <w:sz w:val="24"/>
          <w:szCs w:val="24"/>
          <w:u w:val="single"/>
        </w:rPr>
        <w:t>及资格证明文件”和“商务及技术文件”两部分，两部分合并成完整一册</w:t>
      </w:r>
      <w:r>
        <w:rPr>
          <w:rFonts w:hint="eastAsia" w:ascii="微软雅黑" w:hAnsi="微软雅黑" w:eastAsia="微软雅黑" w:cs="微软雅黑"/>
          <w:b/>
          <w:bCs/>
          <w:sz w:val="24"/>
          <w:szCs w:val="24"/>
          <w:u w:val="single"/>
          <w:lang w:val="en-US" w:eastAsia="zh-CN"/>
        </w:rPr>
        <w:t>经CA证书加密后上传提交</w:t>
      </w:r>
      <w:r>
        <w:rPr>
          <w:rFonts w:hint="eastAsia" w:ascii="微软雅黑" w:hAnsi="微软雅黑" w:eastAsia="微软雅黑" w:cs="微软雅黑"/>
          <w:b/>
          <w:bCs/>
          <w:sz w:val="24"/>
          <w:szCs w:val="24"/>
          <w:u w:val="single"/>
        </w:rPr>
        <w:t>至政采云平台</w:t>
      </w:r>
      <w:r>
        <w:rPr>
          <w:rFonts w:hint="eastAsia" w:ascii="微软雅黑" w:hAnsi="微软雅黑" w:eastAsia="微软雅黑" w:cs="微软雅黑"/>
          <w:b/>
          <w:bCs/>
          <w:sz w:val="24"/>
          <w:szCs w:val="24"/>
          <w:u w:val="single"/>
          <w:lang w:val="en-US" w:eastAsia="zh-CN"/>
        </w:rPr>
        <w:t>（严格按照政采云电子投标流程制作并上传电子响应文件）。</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9.2    上述文件应按照磋商文件规定的格式填写、签署和盖章。</w:t>
      </w:r>
      <w:bookmarkEnd w:id="152"/>
    </w:p>
    <w:p>
      <w:pPr>
        <w:pStyle w:val="2"/>
        <w:tabs>
          <w:tab w:val="left" w:pos="900"/>
        </w:tabs>
        <w:snapToGrid w:val="0"/>
        <w:spacing w:before="0" w:after="0" w:line="380" w:lineRule="exact"/>
        <w:textAlignment w:val="baseline"/>
        <w:rPr>
          <w:rFonts w:hint="eastAsia" w:ascii="微软雅黑" w:hAnsi="微软雅黑" w:eastAsia="微软雅黑" w:cs="微软雅黑"/>
          <w:sz w:val="24"/>
          <w:szCs w:val="24"/>
          <w:u w:color="000000"/>
        </w:rPr>
      </w:pPr>
      <w:bookmarkStart w:id="153" w:name="_Toc516367023"/>
      <w:bookmarkStart w:id="154" w:name="_Toc4291"/>
      <w:bookmarkStart w:id="155" w:name="_Toc520356153"/>
      <w:bookmarkStart w:id="156" w:name="_Toc4601"/>
      <w:bookmarkStart w:id="157" w:name="_Toc25631"/>
      <w:bookmarkStart w:id="158" w:name="_Toc6860"/>
      <w:bookmarkStart w:id="159" w:name="_Toc515647769"/>
      <w:bookmarkStart w:id="160" w:name="_Toc15064"/>
      <w:bookmarkStart w:id="161" w:name="_Toc5860"/>
      <w:bookmarkStart w:id="162" w:name="_Toc10379"/>
      <w:bookmarkStart w:id="163" w:name="_Toc32014"/>
      <w:bookmarkStart w:id="164" w:name="_Toc870"/>
      <w:bookmarkStart w:id="165" w:name="_Toc18944"/>
      <w:bookmarkStart w:id="166" w:name="_Toc8626"/>
      <w:bookmarkStart w:id="167" w:name="_Toc28330"/>
      <w:r>
        <w:rPr>
          <w:rFonts w:hint="eastAsia" w:ascii="微软雅黑" w:hAnsi="微软雅黑" w:eastAsia="微软雅黑" w:cs="微软雅黑"/>
          <w:sz w:val="24"/>
          <w:szCs w:val="24"/>
          <w:u w:color="000000"/>
        </w:rPr>
        <w:t>10.</w:t>
      </w:r>
      <w:r>
        <w:rPr>
          <w:rFonts w:hint="eastAsia" w:ascii="微软雅黑" w:hAnsi="微软雅黑" w:eastAsia="微软雅黑" w:cs="微软雅黑"/>
          <w:sz w:val="24"/>
          <w:szCs w:val="24"/>
          <w:u w:color="000000"/>
        </w:rPr>
        <w:tab/>
      </w:r>
      <w:r>
        <w:rPr>
          <w:rFonts w:hint="eastAsia" w:ascii="微软雅黑" w:hAnsi="微软雅黑" w:eastAsia="微软雅黑" w:cs="微软雅黑"/>
          <w:sz w:val="24"/>
          <w:szCs w:val="24"/>
          <w:u w:color="000000"/>
        </w:rPr>
        <w:t>证明磋商标的的合格性和符合磋商文件规定的技术文件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10.1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供应商应提交证明文件，证明其磋商内容符合磋商文件规定。该证明文件是响应文件的一部分。</w:t>
      </w:r>
    </w:p>
    <w:p>
      <w:pPr>
        <w:snapToGrid w:val="0"/>
        <w:spacing w:line="380" w:lineRule="exact"/>
        <w:ind w:left="900" w:hanging="900" w:hangingChars="375"/>
        <w:textAlignment w:val="baseline"/>
        <w:rPr>
          <w:rFonts w:hint="eastAsia" w:ascii="微软雅黑" w:hAnsi="微软雅黑" w:eastAsia="微软雅黑" w:cs="微软雅黑"/>
          <w:sz w:val="24"/>
          <w:szCs w:val="24"/>
        </w:rPr>
      </w:pPr>
      <w:bookmarkStart w:id="168" w:name="_Ref467306244"/>
      <w:r>
        <w:rPr>
          <w:rFonts w:hint="eastAsia" w:ascii="微软雅黑" w:hAnsi="微软雅黑" w:eastAsia="微软雅黑" w:cs="微软雅黑"/>
          <w:sz w:val="24"/>
          <w:szCs w:val="24"/>
        </w:rPr>
        <w:t>10.2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上款所述的证明文件，可以是文字资料、图纸和数据，</w:t>
      </w:r>
      <w:bookmarkEnd w:id="168"/>
      <w:r>
        <w:rPr>
          <w:rFonts w:hint="eastAsia" w:ascii="微软雅黑" w:hAnsi="微软雅黑" w:eastAsia="微软雅黑" w:cs="微软雅黑"/>
          <w:sz w:val="24"/>
          <w:szCs w:val="24"/>
        </w:rPr>
        <w:t>它包括：</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169" w:name="_Toc27117"/>
      <w:bookmarkStart w:id="170" w:name="_Toc5239"/>
      <w:bookmarkStart w:id="171" w:name="_Toc7506"/>
      <w:bookmarkStart w:id="172" w:name="_Toc9025"/>
      <w:bookmarkStart w:id="173" w:name="_Toc5859"/>
      <w:bookmarkStart w:id="174" w:name="_Toc520356155"/>
      <w:bookmarkStart w:id="175" w:name="_Toc6864"/>
      <w:bookmarkStart w:id="176" w:name="_Toc23231"/>
      <w:bookmarkStart w:id="177" w:name="_Toc2248"/>
      <w:bookmarkStart w:id="178" w:name="_Toc16854"/>
      <w:bookmarkStart w:id="179" w:name="_Toc15870"/>
      <w:bookmarkStart w:id="180" w:name="_Toc515647770"/>
      <w:bookmarkStart w:id="181" w:name="_Toc4935"/>
      <w:bookmarkStart w:id="182" w:name="_Toc7688"/>
      <w:r>
        <w:rPr>
          <w:rFonts w:hint="eastAsia" w:ascii="微软雅黑" w:hAnsi="微软雅黑" w:eastAsia="微软雅黑" w:cs="微软雅黑"/>
          <w:sz w:val="24"/>
          <w:szCs w:val="24"/>
          <w:u w:color="000000"/>
        </w:rPr>
        <w:t>11.磋商报价</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spacing w:line="400" w:lineRule="exact"/>
        <w:ind w:left="900" w:hanging="900" w:hangingChars="375"/>
        <w:rPr>
          <w:rFonts w:hint="eastAsia" w:ascii="微软雅黑" w:hAnsi="微软雅黑" w:eastAsia="微软雅黑" w:cs="微软雅黑"/>
          <w:sz w:val="24"/>
          <w:szCs w:val="24"/>
        </w:rPr>
      </w:pPr>
      <w:bookmarkStart w:id="183" w:name="_Toc31526"/>
      <w:bookmarkStart w:id="184" w:name="_Toc16693"/>
      <w:bookmarkStart w:id="185" w:name="_Toc19405"/>
      <w:bookmarkStart w:id="186" w:name="_Ref467306513"/>
      <w:bookmarkStart w:id="187" w:name="_Toc520356156"/>
      <w:bookmarkStart w:id="188" w:name="_Toc11514"/>
      <w:bookmarkStart w:id="189" w:name="_Toc29901"/>
      <w:bookmarkStart w:id="190" w:name="_Toc5302"/>
      <w:bookmarkStart w:id="191" w:name="_Toc9763"/>
      <w:bookmarkStart w:id="192" w:name="_Toc8505"/>
      <w:bookmarkStart w:id="193" w:name="_Toc1651"/>
      <w:bookmarkStart w:id="194" w:name="_Toc515647771"/>
      <w:bookmarkStart w:id="195" w:name="_Toc30640"/>
      <w:bookmarkStart w:id="196" w:name="_Toc20519"/>
      <w:bookmarkStart w:id="197" w:name="_Toc17788"/>
      <w:r>
        <w:rPr>
          <w:rFonts w:hint="eastAsia" w:ascii="微软雅黑" w:hAnsi="微软雅黑" w:eastAsia="微软雅黑" w:cs="微软雅黑"/>
          <w:sz w:val="24"/>
          <w:szCs w:val="24"/>
        </w:rPr>
        <w:t>11.1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所有响应文件均以人民币报价。供应商的磋商报价应遵守《中华人民共和国价格法》。同时，根据《中华人民共和国政府采购法》第二条的规定，为保证公平竞争，如有主体磋商标的的赠与行为，其磋商将被认定为磋商无效。</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11.2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highlight w:val="none"/>
        </w:rPr>
        <w:t>供应商应在标的分项报价表上标明分项服务的价格（如适用）和总价，并由法定代表人或其委托代理人签署。</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11.3</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采购人不接受具有附加条件的报价。</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11.4</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供应商所报的各分项磋商报价在合同履行过程中是固定不变的，不得以任何理由予以变更。任何包含价格调整要求的磋商，将被认定为磋商无效。</w:t>
      </w:r>
    </w:p>
    <w:p>
      <w:pPr>
        <w:spacing w:line="400" w:lineRule="exact"/>
        <w:ind w:left="900" w:hanging="900" w:hangingChars="375"/>
        <w:rPr>
          <w:rFonts w:hint="eastAsia" w:ascii="微软雅黑" w:hAnsi="微软雅黑" w:eastAsia="微软雅黑" w:cs="微软雅黑"/>
          <w:b/>
          <w:bCs/>
          <w:sz w:val="24"/>
          <w:szCs w:val="24"/>
          <w:u w:val="single"/>
        </w:rPr>
      </w:pPr>
      <w:r>
        <w:rPr>
          <w:rFonts w:hint="eastAsia" w:ascii="微软雅黑" w:hAnsi="微软雅黑" w:eastAsia="微软雅黑" w:cs="微软雅黑"/>
          <w:sz w:val="24"/>
          <w:szCs w:val="24"/>
        </w:rPr>
        <w:t xml:space="preserve">11.5   </w:t>
      </w:r>
      <w:r>
        <w:rPr>
          <w:rFonts w:hint="eastAsia" w:ascii="微软雅黑" w:hAnsi="微软雅黑" w:eastAsia="微软雅黑" w:cs="微软雅黑"/>
          <w:b/>
          <w:bCs/>
          <w:sz w:val="24"/>
          <w:szCs w:val="24"/>
          <w:u w:val="singl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r>
        <w:rPr>
          <w:rFonts w:hint="eastAsia" w:ascii="微软雅黑" w:hAnsi="微软雅黑" w:eastAsia="微软雅黑" w:cs="微软雅黑"/>
          <w:sz w:val="24"/>
          <w:szCs w:val="24"/>
          <w:u w:color="000000"/>
        </w:rPr>
        <w:t>12.磋商保证金</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snapToGrid w:val="0"/>
        <w:spacing w:line="380" w:lineRule="exact"/>
        <w:ind w:left="900" w:hanging="900" w:hangingChars="375"/>
        <w:textAlignment w:val="baseline"/>
        <w:rPr>
          <w:rFonts w:hint="eastAsia" w:ascii="微软雅黑" w:hAnsi="微软雅黑" w:eastAsia="微软雅黑" w:cs="微软雅黑"/>
          <w:sz w:val="24"/>
          <w:szCs w:val="24"/>
        </w:rPr>
      </w:pPr>
      <w:bookmarkStart w:id="198" w:name="_Ref467306302"/>
      <w:r>
        <w:rPr>
          <w:rFonts w:hint="eastAsia" w:ascii="微软雅黑" w:hAnsi="微软雅黑" w:eastAsia="微软雅黑" w:cs="微软雅黑"/>
          <w:sz w:val="24"/>
          <w:szCs w:val="24"/>
        </w:rPr>
        <w:t>12.1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供应商应提交</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中规定的磋商保证金</w:t>
      </w:r>
      <w:bookmarkEnd w:id="198"/>
      <w:r>
        <w:rPr>
          <w:rFonts w:hint="eastAsia" w:ascii="微软雅黑" w:hAnsi="微软雅黑" w:eastAsia="微软雅黑" w:cs="微软雅黑"/>
          <w:sz w:val="24"/>
          <w:szCs w:val="24"/>
        </w:rPr>
        <w:t>，并作为其磋商的一部分。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供应商存在下列情形的，磋商保证金不予退还：</w:t>
      </w:r>
    </w:p>
    <w:p>
      <w:pPr>
        <w:pStyle w:val="17"/>
        <w:tabs>
          <w:tab w:val="left" w:pos="2240"/>
        </w:tabs>
        <w:snapToGrid w:val="0"/>
        <w:spacing w:line="380" w:lineRule="exact"/>
        <w:ind w:left="300" w:hanging="300" w:hangingChars="1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（1）在磋商有效期内，撤销磋商的；</w:t>
      </w:r>
    </w:p>
    <w:p>
      <w:pPr>
        <w:pStyle w:val="17"/>
        <w:tabs>
          <w:tab w:val="left" w:pos="2240"/>
        </w:tabs>
        <w:snapToGrid w:val="0"/>
        <w:spacing w:line="380" w:lineRule="exact"/>
        <w:ind w:left="300" w:hanging="300" w:hangingChars="1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（2）成交后不按本须知第30条的规定与采购人签订合同的；</w:t>
      </w:r>
    </w:p>
    <w:p>
      <w:pPr>
        <w:pStyle w:val="17"/>
        <w:tabs>
          <w:tab w:val="left" w:pos="2240"/>
        </w:tabs>
        <w:snapToGrid w:val="0"/>
        <w:spacing w:line="380" w:lineRule="exact"/>
        <w:ind w:left="300" w:hanging="300" w:hangingChars="1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（3）成交后不按本须知第31条的规定提交履约保证金的；</w:t>
      </w:r>
    </w:p>
    <w:p>
      <w:pPr>
        <w:pStyle w:val="17"/>
        <w:tabs>
          <w:tab w:val="left" w:pos="2240"/>
        </w:tabs>
        <w:snapToGrid w:val="0"/>
        <w:spacing w:line="380" w:lineRule="exact"/>
        <w:ind w:left="300" w:hanging="300" w:hangingChars="1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（4）成交后不按本须知第32条的规定缴纳成交代理费的；</w:t>
      </w:r>
    </w:p>
    <w:p>
      <w:pPr>
        <w:pStyle w:val="17"/>
        <w:tabs>
          <w:tab w:val="left" w:pos="2240"/>
        </w:tabs>
        <w:snapToGrid w:val="0"/>
        <w:spacing w:line="380" w:lineRule="exact"/>
        <w:ind w:left="300" w:hanging="300" w:hangingChars="1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（5）存在其他违法违规行为的。</w:t>
      </w:r>
    </w:p>
    <w:p>
      <w:pPr>
        <w:snapToGrid w:val="0"/>
        <w:spacing w:line="380" w:lineRule="exact"/>
        <w:ind w:left="900" w:hanging="900" w:hangingChars="375"/>
        <w:textAlignment w:val="baseline"/>
        <w:rPr>
          <w:rFonts w:hint="eastAsia" w:ascii="微软雅黑" w:hAnsi="微软雅黑" w:eastAsia="微软雅黑" w:cs="微软雅黑"/>
          <w:sz w:val="24"/>
          <w:szCs w:val="24"/>
        </w:rPr>
      </w:pPr>
      <w:bookmarkStart w:id="199" w:name="_Ref467306336"/>
      <w:r>
        <w:rPr>
          <w:rFonts w:hint="eastAsia" w:ascii="微软雅黑" w:hAnsi="微软雅黑" w:eastAsia="微软雅黑" w:cs="微软雅黑"/>
          <w:sz w:val="24"/>
          <w:szCs w:val="24"/>
        </w:rPr>
        <w:t>12.3</w:t>
      </w:r>
      <w:r>
        <w:rPr>
          <w:rFonts w:hint="eastAsia" w:ascii="微软雅黑" w:hAnsi="微软雅黑" w:eastAsia="微软雅黑" w:cs="微软雅黑"/>
          <w:sz w:val="24"/>
          <w:szCs w:val="24"/>
        </w:rPr>
        <w:tab/>
      </w:r>
      <w:bookmarkEnd w:id="199"/>
      <w:r>
        <w:rPr>
          <w:rFonts w:hint="eastAsia" w:ascii="微软雅黑" w:hAnsi="微软雅黑" w:eastAsia="微软雅黑" w:cs="微软雅黑"/>
          <w:sz w:val="24"/>
          <w:szCs w:val="24"/>
        </w:rPr>
        <w:t>政府采购信用担保试点范围内的项目，接受符合财政部门规定的政府采购磋商担保函原件。</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12.4</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供应商未按本须知第12.1和12.3条规定提交磋商保证金的，其磋商将被认定为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12.4.1  采用电汇形式的，一般可以实时入账。</w:t>
      </w:r>
    </w:p>
    <w:p>
      <w:pPr>
        <w:snapToGrid w:val="0"/>
        <w:spacing w:line="380" w:lineRule="exact"/>
        <w:ind w:left="960" w:hanging="960" w:hangingChars="4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12.5   联合体磋商的，可以由联合体中的一方或者共同提交磋商保证金。以一方名义提交磋商保证金的，对联合体各方均具有约束力。</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12.6</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磋商保证金的退还</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12.6.1  成交人应在与采购人签订合同之日起5个工作日内，及时联系保证金收受机构办理磋商保证金无息退还手续。</w:t>
      </w:r>
    </w:p>
    <w:p>
      <w:pPr>
        <w:snapToGrid w:val="0"/>
        <w:spacing w:line="380" w:lineRule="exact"/>
        <w:ind w:left="960" w:hanging="960" w:hangingChars="4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12.6.2  未成交供应商的磋商保证金将在成交通知书发出之日暨成交结果公告公布之日起5个工作日内无息退还。供应商应及时联系保证金收受机构办理退还磋商保证金手续。</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12.6.3  政府采购磋商担保函不予退回。</w:t>
      </w:r>
    </w:p>
    <w:p>
      <w:pPr>
        <w:snapToGrid w:val="0"/>
        <w:spacing w:line="380" w:lineRule="exact"/>
        <w:ind w:left="960" w:hanging="960" w:hangingChars="4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12.7    因供应商自身原因导致无法及时退还的，采购人或采购代理机构将不承担相应责任。</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200" w:name="_Toc29124"/>
      <w:bookmarkStart w:id="201" w:name="_Toc23590"/>
      <w:bookmarkStart w:id="202" w:name="_Toc21509"/>
      <w:bookmarkStart w:id="203" w:name="_Toc3815"/>
      <w:bookmarkStart w:id="204" w:name="_Toc8146"/>
      <w:bookmarkStart w:id="205" w:name="_Toc515647772"/>
      <w:bookmarkStart w:id="206" w:name="_Toc1400"/>
      <w:bookmarkStart w:id="207" w:name="_Toc277"/>
      <w:bookmarkStart w:id="208" w:name="_Toc20387"/>
      <w:bookmarkStart w:id="209" w:name="_Toc32569"/>
      <w:bookmarkStart w:id="210" w:name="_Toc325"/>
      <w:bookmarkStart w:id="211" w:name="_Toc12769"/>
      <w:bookmarkStart w:id="212" w:name="_Toc13463"/>
      <w:bookmarkStart w:id="213" w:name="_Toc520356157"/>
      <w:r>
        <w:rPr>
          <w:rFonts w:hint="eastAsia" w:ascii="微软雅黑" w:hAnsi="微软雅黑" w:eastAsia="微软雅黑" w:cs="微软雅黑"/>
          <w:sz w:val="24"/>
          <w:szCs w:val="24"/>
          <w:u w:color="000000"/>
        </w:rPr>
        <w:t>13.磋商有效期</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磋商应在</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中规定时间内保持有效。磋商有效期不满足要求的磋商，其磋商将被认定为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214" w:name="_Toc520356158"/>
      <w:bookmarkStart w:id="215" w:name="_Toc28395"/>
      <w:bookmarkStart w:id="216" w:name="_Toc17074"/>
      <w:bookmarkStart w:id="217" w:name="_Toc515647773"/>
      <w:bookmarkStart w:id="218" w:name="_Toc29649"/>
      <w:bookmarkStart w:id="219" w:name="_Toc19311"/>
      <w:bookmarkStart w:id="220" w:name="_Toc4551"/>
      <w:bookmarkStart w:id="221" w:name="_Toc540"/>
      <w:bookmarkStart w:id="222" w:name="_Toc21843"/>
      <w:bookmarkStart w:id="223" w:name="_Toc493"/>
      <w:bookmarkStart w:id="224" w:name="_Toc24880"/>
      <w:bookmarkStart w:id="225" w:name="_Toc26606"/>
      <w:bookmarkStart w:id="226" w:name="_Toc14581"/>
      <w:bookmarkStart w:id="227" w:name="_Toc13016"/>
      <w:r>
        <w:rPr>
          <w:rFonts w:hint="eastAsia" w:ascii="微软雅黑" w:hAnsi="微软雅黑" w:eastAsia="微软雅黑" w:cs="微软雅黑"/>
          <w:sz w:val="24"/>
          <w:szCs w:val="24"/>
          <w:u w:color="000000"/>
        </w:rPr>
        <w:t>14.响应文件的签署</w:t>
      </w:r>
      <w:bookmarkEnd w:id="214"/>
      <w:r>
        <w:rPr>
          <w:rFonts w:hint="eastAsia" w:ascii="微软雅黑" w:hAnsi="微软雅黑" w:eastAsia="微软雅黑" w:cs="微软雅黑"/>
          <w:sz w:val="24"/>
          <w:szCs w:val="24"/>
          <w:u w:color="000000"/>
        </w:rPr>
        <w:t>及规定</w:t>
      </w:r>
      <w:bookmarkEnd w:id="215"/>
      <w:bookmarkEnd w:id="216"/>
      <w:bookmarkEnd w:id="217"/>
      <w:bookmarkEnd w:id="218"/>
      <w:bookmarkEnd w:id="219"/>
      <w:bookmarkEnd w:id="220"/>
      <w:bookmarkEnd w:id="221"/>
      <w:bookmarkEnd w:id="222"/>
      <w:bookmarkEnd w:id="223"/>
      <w:bookmarkEnd w:id="224"/>
      <w:bookmarkEnd w:id="225"/>
      <w:bookmarkEnd w:id="226"/>
      <w:bookmarkEnd w:id="227"/>
    </w:p>
    <w:p>
      <w:pPr>
        <w:spacing w:line="360" w:lineRule="exact"/>
        <w:ind w:left="900" w:hanging="900" w:hangingChars="375"/>
        <w:rPr>
          <w:rFonts w:hint="eastAsia" w:ascii="微软雅黑" w:hAnsi="微软雅黑" w:eastAsia="微软雅黑" w:cs="微软雅黑"/>
          <w:sz w:val="24"/>
          <w:szCs w:val="24"/>
        </w:rPr>
      </w:pPr>
      <w:bookmarkStart w:id="228" w:name="_Toc216582808"/>
      <w:bookmarkStart w:id="229" w:name="_Toc515647774"/>
      <w:bookmarkStart w:id="230" w:name="_Toc16865"/>
      <w:bookmarkStart w:id="231" w:name="_Toc11179"/>
      <w:bookmarkStart w:id="232" w:name="_Toc32551"/>
      <w:bookmarkStart w:id="233" w:name="_Toc520356159"/>
      <w:bookmarkStart w:id="234" w:name="_Toc3461"/>
      <w:bookmarkStart w:id="235" w:name="_Toc8711"/>
      <w:r>
        <w:rPr>
          <w:rFonts w:hint="eastAsia" w:ascii="微软雅黑" w:hAnsi="微软雅黑" w:eastAsia="微软雅黑" w:cs="微软雅黑"/>
          <w:sz w:val="24"/>
          <w:szCs w:val="24"/>
        </w:rPr>
        <w:t>14.1</w:t>
      </w:r>
      <w:r>
        <w:rPr>
          <w:rFonts w:hint="eastAsia" w:ascii="微软雅黑" w:hAnsi="微软雅黑" w:eastAsia="微软雅黑" w:cs="微软雅黑"/>
          <w:sz w:val="24"/>
          <w:szCs w:val="24"/>
        </w:rPr>
        <w:tab/>
      </w:r>
      <w:r>
        <w:rPr>
          <w:rFonts w:hint="eastAsia" w:ascii="微软雅黑" w:hAnsi="微软雅黑" w:eastAsia="微软雅黑" w:cs="微软雅黑"/>
          <w:color w:val="auto"/>
          <w:sz w:val="24"/>
          <w:szCs w:val="24"/>
          <w:highlight w:val="none"/>
        </w:rPr>
        <w:t>供应商应按供应商须知资料表中的规定，准备和</w:t>
      </w:r>
      <w:r>
        <w:rPr>
          <w:rFonts w:hint="eastAsia" w:ascii="微软雅黑" w:hAnsi="微软雅黑" w:eastAsia="微软雅黑" w:cs="微软雅黑"/>
          <w:color w:val="auto"/>
          <w:sz w:val="24"/>
          <w:szCs w:val="24"/>
          <w:highlight w:val="none"/>
          <w:lang w:val="en-US" w:eastAsia="zh-CN"/>
        </w:rPr>
        <w:t>上传</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sz w:val="24"/>
          <w:szCs w:val="24"/>
        </w:rPr>
        <w:t>。</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14.2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由供应商的法定代表人或经其正式委托代理人按</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规定在</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上签字或盖章并加盖单位印章。委托代理人须有书面的“法定代表人授权委托书”，并将其附在</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中。如对</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进行了修改，则应由供应商的法定代表人或其委托代理人在每一修改处签字。</w:t>
      </w:r>
    </w:p>
    <w:p>
      <w:pPr>
        <w:spacing w:line="380" w:lineRule="exact"/>
        <w:ind w:left="900" w:hanging="900" w:hangingChars="375"/>
        <w:jc w:val="both"/>
        <w:outlineLvl w:val="1"/>
        <w:rPr>
          <w:rFonts w:hint="eastAsia" w:ascii="微软雅黑" w:hAnsi="微软雅黑" w:eastAsia="微软雅黑" w:cs="微软雅黑"/>
          <w:sz w:val="24"/>
          <w:szCs w:val="24"/>
        </w:rPr>
      </w:pPr>
      <w:bookmarkStart w:id="236" w:name="_Toc9747"/>
      <w:bookmarkStart w:id="237" w:name="_Toc13050"/>
      <w:r>
        <w:rPr>
          <w:rFonts w:hint="eastAsia" w:ascii="微软雅黑" w:hAnsi="微软雅黑" w:eastAsia="微软雅黑" w:cs="微软雅黑"/>
          <w:sz w:val="24"/>
          <w:szCs w:val="24"/>
        </w:rPr>
        <w:t>14.3    响应文件因字迹潦草、表达不清所引起的后果由供应商负责</w:t>
      </w:r>
      <w:bookmarkEnd w:id="236"/>
      <w:bookmarkEnd w:id="237"/>
    </w:p>
    <w:p>
      <w:pPr>
        <w:spacing w:line="380" w:lineRule="exact"/>
        <w:ind w:left="900" w:hanging="900" w:hangingChars="375"/>
        <w:jc w:val="both"/>
        <w:outlineLvl w:val="1"/>
        <w:rPr>
          <w:rFonts w:hint="eastAsia" w:ascii="微软雅黑" w:hAnsi="微软雅黑" w:eastAsia="微软雅黑" w:cs="微软雅黑"/>
          <w:sz w:val="24"/>
          <w:szCs w:val="24"/>
        </w:rPr>
      </w:pPr>
    </w:p>
    <w:p>
      <w:pPr>
        <w:spacing w:line="380" w:lineRule="exact"/>
        <w:ind w:left="900" w:hanging="900" w:hangingChars="375"/>
        <w:jc w:val="center"/>
        <w:outlineLvl w:val="1"/>
        <w:rPr>
          <w:rFonts w:hint="eastAsia" w:ascii="微软雅黑" w:hAnsi="微软雅黑" w:eastAsia="微软雅黑" w:cs="微软雅黑"/>
          <w:sz w:val="24"/>
          <w:szCs w:val="24"/>
        </w:rPr>
      </w:pPr>
      <w:bookmarkStart w:id="238" w:name="_Toc7401"/>
      <w:r>
        <w:rPr>
          <w:rFonts w:hint="eastAsia" w:ascii="微软雅黑" w:hAnsi="微软雅黑" w:eastAsia="微软雅黑" w:cs="微软雅黑"/>
          <w:b/>
          <w:sz w:val="24"/>
          <w:szCs w:val="24"/>
        </w:rPr>
        <w:t>四   响应文件的递交</w:t>
      </w:r>
      <w:bookmarkEnd w:id="228"/>
      <w:bookmarkEnd w:id="229"/>
      <w:bookmarkEnd w:id="230"/>
      <w:bookmarkEnd w:id="231"/>
      <w:bookmarkEnd w:id="232"/>
      <w:bookmarkEnd w:id="233"/>
      <w:bookmarkEnd w:id="234"/>
      <w:bookmarkEnd w:id="235"/>
      <w:bookmarkEnd w:id="238"/>
    </w:p>
    <w:p>
      <w:pPr>
        <w:pStyle w:val="2"/>
        <w:snapToGrid w:val="0"/>
        <w:spacing w:before="0" w:after="0" w:line="380" w:lineRule="exact"/>
        <w:textAlignment w:val="baseline"/>
        <w:rPr>
          <w:rFonts w:hint="eastAsia" w:ascii="微软雅黑" w:hAnsi="微软雅黑" w:eastAsia="微软雅黑" w:cs="微软雅黑"/>
          <w:sz w:val="24"/>
          <w:szCs w:val="24"/>
          <w:u w:color="000000"/>
          <w:lang w:eastAsia="zh-CN"/>
        </w:rPr>
      </w:pPr>
      <w:bookmarkStart w:id="239" w:name="_Toc515647775"/>
      <w:bookmarkStart w:id="240" w:name="_Toc16507"/>
      <w:bookmarkStart w:id="241" w:name="_Toc13617"/>
      <w:bookmarkStart w:id="242" w:name="_Toc520356160"/>
      <w:bookmarkStart w:id="243" w:name="_Toc24069"/>
      <w:bookmarkStart w:id="244" w:name="_Toc6188"/>
      <w:bookmarkStart w:id="245" w:name="_Toc415"/>
      <w:bookmarkStart w:id="246" w:name="_Toc6764"/>
      <w:bookmarkStart w:id="247" w:name="_Toc30799"/>
      <w:bookmarkStart w:id="248" w:name="_Toc1332"/>
      <w:bookmarkStart w:id="249" w:name="_Toc22380"/>
      <w:bookmarkStart w:id="250" w:name="_Toc9759"/>
      <w:bookmarkStart w:id="251" w:name="_Toc21645"/>
      <w:bookmarkStart w:id="252" w:name="_Toc32337"/>
      <w:r>
        <w:rPr>
          <w:rFonts w:hint="eastAsia" w:ascii="微软雅黑" w:hAnsi="微软雅黑" w:eastAsia="微软雅黑" w:cs="微软雅黑"/>
          <w:sz w:val="24"/>
          <w:szCs w:val="24"/>
          <w:u w:color="000000"/>
        </w:rPr>
        <w:t>15.响应文件的密封和标记</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ascii="微软雅黑" w:hAnsi="微软雅黑" w:eastAsia="微软雅黑" w:cs="微软雅黑"/>
          <w:sz w:val="24"/>
          <w:szCs w:val="24"/>
          <w:u w:color="000000"/>
          <w:lang w:eastAsia="zh-CN"/>
        </w:rPr>
        <w:t>（全面电子化开评标）</w:t>
      </w:r>
    </w:p>
    <w:p>
      <w:pPr>
        <w:spacing w:line="400" w:lineRule="exact"/>
        <w:ind w:left="900" w:hanging="900" w:hangingChars="375"/>
        <w:jc w:val="left"/>
        <w:rPr>
          <w:rFonts w:hint="eastAsia" w:ascii="微软雅黑" w:hAnsi="微软雅黑" w:eastAsia="微软雅黑" w:cs="微软雅黑"/>
          <w:b/>
          <w:bCs/>
          <w:sz w:val="24"/>
          <w:szCs w:val="24"/>
          <w:u w:val="single"/>
          <w:lang w:val="en-US" w:eastAsia="zh-CN"/>
        </w:rPr>
      </w:pPr>
      <w:r>
        <w:rPr>
          <w:rFonts w:hint="eastAsia" w:ascii="微软雅黑" w:hAnsi="微软雅黑" w:eastAsia="微软雅黑" w:cs="微软雅黑"/>
          <w:sz w:val="24"/>
          <w:szCs w:val="24"/>
        </w:rPr>
        <w:t xml:space="preserve">15.1   </w:t>
      </w:r>
      <w:r>
        <w:rPr>
          <w:rFonts w:hint="eastAsia" w:ascii="微软雅黑" w:hAnsi="微软雅黑" w:eastAsia="微软雅黑" w:cs="微软雅黑"/>
          <w:b/>
          <w:bCs/>
          <w:sz w:val="24"/>
          <w:szCs w:val="24"/>
          <w:u w:val="single"/>
        </w:rPr>
        <w:t>为方便</w:t>
      </w:r>
      <w:r>
        <w:rPr>
          <w:rFonts w:hint="eastAsia" w:ascii="微软雅黑" w:hAnsi="微软雅黑" w:eastAsia="微软雅黑" w:cs="微软雅黑"/>
          <w:b/>
          <w:bCs/>
          <w:sz w:val="24"/>
          <w:szCs w:val="24"/>
          <w:u w:val="single"/>
          <w:lang w:val="en-US" w:eastAsia="zh-CN"/>
        </w:rPr>
        <w:t>评审</w:t>
      </w:r>
      <w:r>
        <w:rPr>
          <w:rFonts w:hint="eastAsia" w:ascii="微软雅黑" w:hAnsi="微软雅黑" w:eastAsia="微软雅黑" w:cs="微软雅黑"/>
          <w:b/>
          <w:bCs/>
          <w:sz w:val="24"/>
          <w:szCs w:val="24"/>
          <w:u w:val="single"/>
        </w:rPr>
        <w:t>及进行资格审查，供应商应完整地按</w:t>
      </w:r>
      <w:r>
        <w:rPr>
          <w:rFonts w:hint="eastAsia" w:ascii="微软雅黑" w:hAnsi="微软雅黑" w:eastAsia="微软雅黑" w:cs="微软雅黑"/>
          <w:b/>
          <w:bCs/>
          <w:sz w:val="24"/>
          <w:szCs w:val="24"/>
          <w:u w:val="single"/>
          <w:lang w:eastAsia="zh-CN"/>
        </w:rPr>
        <w:t>磋商文件</w:t>
      </w:r>
      <w:r>
        <w:rPr>
          <w:rFonts w:hint="eastAsia" w:ascii="微软雅黑" w:hAnsi="微软雅黑" w:eastAsia="微软雅黑" w:cs="微软雅黑"/>
          <w:b/>
          <w:bCs/>
          <w:sz w:val="24"/>
          <w:szCs w:val="24"/>
          <w:u w:val="single"/>
        </w:rPr>
        <w:t>提供的</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格式及要求编写</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，根据平台关联点上传对应佐证资料，</w:t>
      </w:r>
      <w:r>
        <w:rPr>
          <w:rFonts w:hint="eastAsia" w:ascii="微软雅黑" w:hAnsi="微软雅黑" w:eastAsia="微软雅黑" w:cs="微软雅黑"/>
          <w:b/>
          <w:bCs/>
          <w:sz w:val="24"/>
          <w:szCs w:val="24"/>
          <w:u w:val="single"/>
          <w:lang w:eastAsia="zh-CN"/>
        </w:rPr>
        <w:t>响应文件</w:t>
      </w:r>
      <w:r>
        <w:rPr>
          <w:rFonts w:hint="eastAsia" w:ascii="微软雅黑" w:hAnsi="微软雅黑" w:eastAsia="微软雅黑" w:cs="微软雅黑"/>
          <w:b/>
          <w:bCs/>
          <w:sz w:val="24"/>
          <w:szCs w:val="24"/>
          <w:u w:val="single"/>
        </w:rPr>
        <w:t>应包括“</w:t>
      </w:r>
      <w:r>
        <w:rPr>
          <w:rFonts w:hint="eastAsia" w:ascii="微软雅黑" w:hAnsi="微软雅黑" w:eastAsia="微软雅黑" w:cs="微软雅黑"/>
          <w:b/>
          <w:bCs/>
          <w:sz w:val="24"/>
          <w:szCs w:val="24"/>
          <w:u w:val="single"/>
          <w:lang w:eastAsia="zh-CN"/>
        </w:rPr>
        <w:t>磋商一览表</w:t>
      </w:r>
      <w:r>
        <w:rPr>
          <w:rFonts w:hint="eastAsia" w:ascii="微软雅黑" w:hAnsi="微软雅黑" w:eastAsia="微软雅黑" w:cs="微软雅黑"/>
          <w:b/>
          <w:bCs/>
          <w:sz w:val="24"/>
          <w:szCs w:val="24"/>
          <w:u w:val="single"/>
        </w:rPr>
        <w:t>及资格证明文件”和“商务及技术文件”两部分，两部分合并成完整一册</w:t>
      </w:r>
      <w:r>
        <w:rPr>
          <w:rFonts w:hint="eastAsia" w:ascii="微软雅黑" w:hAnsi="微软雅黑" w:eastAsia="微软雅黑" w:cs="微软雅黑"/>
          <w:b/>
          <w:bCs/>
          <w:sz w:val="24"/>
          <w:szCs w:val="24"/>
          <w:u w:val="single"/>
          <w:lang w:val="en-US" w:eastAsia="zh-CN"/>
        </w:rPr>
        <w:t>经CA证书加密后上传提交</w:t>
      </w:r>
      <w:r>
        <w:rPr>
          <w:rFonts w:hint="eastAsia" w:ascii="微软雅黑" w:hAnsi="微软雅黑" w:eastAsia="微软雅黑" w:cs="微软雅黑"/>
          <w:b/>
          <w:bCs/>
          <w:sz w:val="24"/>
          <w:szCs w:val="24"/>
          <w:u w:val="single"/>
        </w:rPr>
        <w:t>至政采云平台</w:t>
      </w:r>
      <w:r>
        <w:rPr>
          <w:rFonts w:hint="eastAsia" w:ascii="微软雅黑" w:hAnsi="微软雅黑" w:eastAsia="微软雅黑" w:cs="微软雅黑"/>
          <w:b/>
          <w:bCs/>
          <w:sz w:val="24"/>
          <w:szCs w:val="24"/>
          <w:u w:val="single"/>
          <w:lang w:eastAsia="zh-CN"/>
        </w:rPr>
        <w:t>，</w:t>
      </w:r>
      <w:r>
        <w:rPr>
          <w:rFonts w:hint="eastAsia" w:ascii="微软雅黑" w:hAnsi="微软雅黑" w:eastAsia="微软雅黑" w:cs="微软雅黑"/>
          <w:b/>
          <w:bCs/>
          <w:sz w:val="24"/>
          <w:szCs w:val="24"/>
          <w:u w:val="single"/>
          <w:lang w:val="en-US" w:eastAsia="zh-CN"/>
        </w:rPr>
        <w:t>任何单位或个人均无法在投标截止时间(即投标时间)之前查看或篡改，不存在泄密风险。（严格按照政采云电子投标流程制作并上传电子响应文件）。</w:t>
      </w:r>
    </w:p>
    <w:p>
      <w:pPr>
        <w:spacing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sz w:val="24"/>
          <w:szCs w:val="24"/>
          <w:u w:val="none"/>
          <w:lang w:val="en-US" w:eastAsia="zh-CN"/>
        </w:rPr>
        <w:t xml:space="preserve">15.2    </w:t>
      </w:r>
      <w:r>
        <w:rPr>
          <w:rFonts w:hint="eastAsia" w:ascii="微软雅黑" w:hAnsi="微软雅黑" w:eastAsia="微软雅黑" w:cs="微软雅黑"/>
          <w:color w:val="auto"/>
          <w:sz w:val="24"/>
          <w:szCs w:val="24"/>
          <w:highlight w:val="none"/>
        </w:rPr>
        <w:t>如果供应商未按上述要求标记</w:t>
      </w:r>
      <w:r>
        <w:rPr>
          <w:rFonts w:hint="eastAsia" w:ascii="微软雅黑" w:hAnsi="微软雅黑" w:eastAsia="微软雅黑" w:cs="微软雅黑"/>
          <w:color w:val="auto"/>
          <w:sz w:val="24"/>
          <w:szCs w:val="24"/>
          <w:highlight w:val="none"/>
          <w:lang w:eastAsia="zh-CN"/>
        </w:rPr>
        <w:t>上传响应文件</w:t>
      </w:r>
      <w:r>
        <w:rPr>
          <w:rFonts w:hint="eastAsia" w:ascii="微软雅黑" w:hAnsi="微软雅黑" w:eastAsia="微软雅黑" w:cs="微软雅黑"/>
          <w:color w:val="auto"/>
          <w:sz w:val="24"/>
          <w:szCs w:val="24"/>
          <w:highlight w:val="none"/>
        </w:rPr>
        <w:t>的，将承担相应的后果。</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253" w:name="_Toc9452"/>
      <w:bookmarkStart w:id="254" w:name="_Toc31921"/>
      <w:bookmarkStart w:id="255" w:name="_Toc2068"/>
      <w:bookmarkStart w:id="256" w:name="_Toc3372"/>
      <w:bookmarkStart w:id="257" w:name="_Toc8557"/>
      <w:bookmarkStart w:id="258" w:name="_Toc515647776"/>
      <w:bookmarkStart w:id="259" w:name="_Toc12751"/>
      <w:bookmarkStart w:id="260" w:name="_Toc24025"/>
      <w:bookmarkStart w:id="261" w:name="_Toc9840"/>
      <w:bookmarkStart w:id="262" w:name="_Toc7478"/>
      <w:bookmarkStart w:id="263" w:name="_Toc18350"/>
      <w:bookmarkStart w:id="264" w:name="_Toc26069"/>
      <w:bookmarkStart w:id="265" w:name="_Toc520356161"/>
      <w:bookmarkStart w:id="266" w:name="_Toc12690"/>
      <w:r>
        <w:rPr>
          <w:rFonts w:hint="eastAsia" w:ascii="微软雅黑" w:hAnsi="微软雅黑" w:eastAsia="微软雅黑" w:cs="微软雅黑"/>
          <w:sz w:val="24"/>
          <w:szCs w:val="24"/>
          <w:u w:color="000000"/>
        </w:rPr>
        <w:t>16.磋商截止</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spacing w:line="400" w:lineRule="exact"/>
        <w:ind w:left="900" w:hanging="900" w:hangingChars="375"/>
        <w:rPr>
          <w:rFonts w:hint="eastAsia" w:ascii="微软雅黑" w:hAnsi="微软雅黑" w:eastAsia="微软雅黑" w:cs="微软雅黑"/>
          <w:sz w:val="24"/>
          <w:szCs w:val="24"/>
        </w:rPr>
      </w:pPr>
      <w:bookmarkStart w:id="267" w:name="_Toc9478"/>
      <w:bookmarkStart w:id="268" w:name="_Toc7274"/>
      <w:bookmarkStart w:id="269" w:name="_Toc24275"/>
      <w:bookmarkStart w:id="270" w:name="_Toc520356162"/>
      <w:bookmarkStart w:id="271" w:name="_Toc11003"/>
      <w:bookmarkStart w:id="272" w:name="_Toc515647777"/>
      <w:bookmarkStart w:id="273" w:name="_Toc22201"/>
      <w:bookmarkStart w:id="274" w:name="_Toc23557"/>
      <w:bookmarkStart w:id="275" w:name="_Toc18537"/>
      <w:bookmarkStart w:id="276" w:name="_Toc29943"/>
      <w:bookmarkStart w:id="277" w:name="_Toc12952"/>
      <w:bookmarkStart w:id="278" w:name="_Toc10299"/>
      <w:bookmarkStart w:id="279" w:name="_Toc18594"/>
      <w:bookmarkStart w:id="280" w:name="_Toc3014"/>
      <w:r>
        <w:rPr>
          <w:rFonts w:hint="eastAsia" w:ascii="微软雅黑" w:hAnsi="微软雅黑" w:eastAsia="微软雅黑" w:cs="微软雅黑"/>
          <w:sz w:val="24"/>
          <w:szCs w:val="24"/>
        </w:rPr>
        <w:t>16.1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供应商应在供应商须知资料表中规定的截止时间前，将响应文件上传到磋商公告中规定的地点。</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16.2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采购人和采购代理机构有权按本须知的规定，延迟磋商截止时间。在此情况下，采购人、采购代理机构和供应商受磋商截止时间制约的所有权利和义务均应延长至新的截止时间。</w:t>
      </w:r>
    </w:p>
    <w:p>
      <w:pPr>
        <w:pStyle w:val="93"/>
        <w:ind w:left="0" w:leftChars="0" w:firstLine="0" w:firstLine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16.3   采购人和采购代理机构将拒绝接收在磋商截止时间后上传的响应文件。</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r>
        <w:rPr>
          <w:rFonts w:hint="eastAsia" w:ascii="微软雅黑" w:hAnsi="微软雅黑" w:eastAsia="微软雅黑" w:cs="微软雅黑"/>
          <w:sz w:val="24"/>
          <w:szCs w:val="24"/>
          <w:u w:color="000000"/>
        </w:rPr>
        <w:t>17.响应文件的接收、修改与撤回</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spacing w:line="400" w:lineRule="exact"/>
        <w:ind w:left="900" w:hanging="900" w:hangingChars="375"/>
        <w:rPr>
          <w:rFonts w:hint="eastAsia" w:ascii="微软雅黑" w:hAnsi="微软雅黑" w:eastAsia="微软雅黑" w:cs="微软雅黑"/>
          <w:b/>
          <w:sz w:val="24"/>
          <w:szCs w:val="24"/>
        </w:rPr>
      </w:pPr>
      <w:bookmarkStart w:id="281" w:name="_Toc12436"/>
      <w:bookmarkStart w:id="282" w:name="_Toc28398"/>
      <w:bookmarkStart w:id="283" w:name="_Toc16124"/>
      <w:bookmarkStart w:id="284" w:name="_Toc515647778"/>
      <w:bookmarkStart w:id="285" w:name="_Toc27283"/>
      <w:bookmarkStart w:id="286" w:name="_Toc520356163"/>
      <w:bookmarkStart w:id="287" w:name="_Toc216582809"/>
      <w:bookmarkStart w:id="288" w:name="_Toc6161"/>
      <w:r>
        <w:rPr>
          <w:rFonts w:hint="eastAsia" w:ascii="微软雅黑" w:hAnsi="微软雅黑" w:eastAsia="微软雅黑" w:cs="微软雅黑"/>
          <w:sz w:val="24"/>
          <w:szCs w:val="24"/>
        </w:rPr>
        <w:t>17.1   在磋商截止时间后上传的响应文件的，采购人和采购代理机构将拒绝接收。</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17.2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上传响应文件以后，如果供应商要进行修改或撤回磋商，供应商对响应文件的修改或撤回通知应按本须知规定编制、标记。</w:t>
      </w:r>
    </w:p>
    <w:p>
      <w:pPr>
        <w:pStyle w:val="93"/>
        <w:ind w:firstLine="720" w:firstLineChars="300"/>
        <w:rPr>
          <w:rFonts w:hint="eastAsia" w:ascii="微软雅黑" w:hAnsi="微软雅黑" w:eastAsia="微软雅黑" w:cs="微软雅黑"/>
          <w:sz w:val="24"/>
          <w:szCs w:val="24"/>
        </w:rPr>
      </w:pPr>
      <w:r>
        <w:rPr>
          <w:rFonts w:hint="eastAsia" w:ascii="微软雅黑" w:hAnsi="微软雅黑" w:eastAsia="微软雅黑" w:cs="微软雅黑"/>
          <w:kern w:val="2"/>
          <w:sz w:val="24"/>
          <w:szCs w:val="24"/>
          <w:lang w:val="en-US" w:eastAsia="zh-CN" w:bidi="ar-SA"/>
        </w:rPr>
        <w:t>采购人和采购代理机构将予以接收，并视为响应文件的组成部分。</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17.3   在磋商截止期之后，采购人和采购代理机构不接受供应商主动对其响应文件做任何修改。</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17.4</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采购人和采购代理机构对所接收响应文件概不退回。</w:t>
      </w:r>
    </w:p>
    <w:p>
      <w:pPr>
        <w:pStyle w:val="4"/>
        <w:snapToGrid w:val="0"/>
        <w:spacing w:before="0" w:line="380" w:lineRule="exact"/>
        <w:ind w:hanging="540"/>
        <w:textAlignment w:val="baseline"/>
        <w:rPr>
          <w:rFonts w:hint="eastAsia" w:ascii="微软雅黑" w:hAnsi="微软雅黑" w:eastAsia="微软雅黑" w:cs="微软雅黑"/>
          <w:sz w:val="24"/>
          <w:szCs w:val="24"/>
        </w:rPr>
      </w:pPr>
      <w:bookmarkStart w:id="289" w:name="_Toc11511"/>
      <w:r>
        <w:rPr>
          <w:rFonts w:hint="eastAsia" w:ascii="微软雅黑" w:hAnsi="微软雅黑" w:eastAsia="微软雅黑" w:cs="微软雅黑"/>
          <w:sz w:val="24"/>
          <w:szCs w:val="24"/>
        </w:rPr>
        <w:t>五   磋商及评</w:t>
      </w:r>
      <w:bookmarkEnd w:id="281"/>
      <w:bookmarkEnd w:id="282"/>
      <w:bookmarkEnd w:id="283"/>
      <w:bookmarkEnd w:id="284"/>
      <w:bookmarkEnd w:id="285"/>
      <w:bookmarkEnd w:id="286"/>
      <w:bookmarkEnd w:id="287"/>
      <w:r>
        <w:rPr>
          <w:rFonts w:hint="eastAsia" w:ascii="微软雅黑" w:hAnsi="微软雅黑" w:eastAsia="微软雅黑" w:cs="微软雅黑"/>
          <w:sz w:val="24"/>
          <w:szCs w:val="24"/>
        </w:rPr>
        <w:t>审</w:t>
      </w:r>
      <w:bookmarkEnd w:id="288"/>
      <w:bookmarkEnd w:id="289"/>
    </w:p>
    <w:p>
      <w:pPr>
        <w:pStyle w:val="2"/>
        <w:numPr>
          <w:ilvl w:val="0"/>
          <w:numId w:val="3"/>
        </w:numPr>
        <w:snapToGrid w:val="0"/>
        <w:spacing w:before="0" w:after="0" w:line="380" w:lineRule="exact"/>
        <w:textAlignment w:val="baseline"/>
        <w:rPr>
          <w:rFonts w:hint="eastAsia" w:ascii="微软雅黑" w:hAnsi="微软雅黑" w:eastAsia="微软雅黑" w:cs="微软雅黑"/>
          <w:sz w:val="24"/>
          <w:szCs w:val="24"/>
          <w:u w:color="000000"/>
        </w:rPr>
      </w:pPr>
      <w:bookmarkStart w:id="290" w:name="_Toc5344"/>
      <w:bookmarkStart w:id="291" w:name="_Toc20787"/>
      <w:bookmarkStart w:id="292" w:name="_Toc32056"/>
      <w:r>
        <w:rPr>
          <w:rFonts w:hint="eastAsia" w:ascii="微软雅黑" w:hAnsi="微软雅黑" w:eastAsia="微软雅黑" w:cs="微软雅黑"/>
          <w:sz w:val="24"/>
          <w:szCs w:val="24"/>
          <w:u w:color="000000"/>
        </w:rPr>
        <w:t>磋商</w:t>
      </w:r>
      <w:bookmarkEnd w:id="290"/>
      <w:bookmarkEnd w:id="291"/>
      <w:bookmarkEnd w:id="292"/>
    </w:p>
    <w:p>
      <w:pPr>
        <w:spacing w:line="400" w:lineRule="exact"/>
        <w:ind w:left="900" w:hanging="900" w:hangingChars="375"/>
        <w:rPr>
          <w:rFonts w:hint="eastAsia" w:ascii="微软雅黑" w:hAnsi="微软雅黑" w:eastAsia="微软雅黑" w:cs="微软雅黑"/>
          <w:sz w:val="24"/>
          <w:szCs w:val="24"/>
        </w:rPr>
      </w:pPr>
      <w:bookmarkStart w:id="293" w:name="_Toc520356165"/>
      <w:r>
        <w:rPr>
          <w:rFonts w:hint="eastAsia" w:ascii="微软雅黑" w:hAnsi="微软雅黑" w:eastAsia="微软雅黑" w:cs="微软雅黑"/>
          <w:sz w:val="24"/>
          <w:szCs w:val="24"/>
        </w:rPr>
        <w:t>18.1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采购人和采购代理机构将按</w:t>
      </w:r>
      <w:r>
        <w:rPr>
          <w:rFonts w:hint="eastAsia" w:ascii="微软雅黑" w:hAnsi="微软雅黑" w:eastAsia="微软雅黑" w:cs="微软雅黑"/>
          <w:sz w:val="24"/>
          <w:szCs w:val="24"/>
          <w:u w:val="single"/>
        </w:rPr>
        <w:t>供应商须知资料表</w:t>
      </w:r>
      <w:r>
        <w:rPr>
          <w:rFonts w:hint="eastAsia" w:ascii="微软雅黑" w:hAnsi="微软雅黑" w:eastAsia="微软雅黑" w:cs="微软雅黑"/>
          <w:sz w:val="24"/>
          <w:szCs w:val="24"/>
        </w:rPr>
        <w:t xml:space="preserve">中规定的磋商开启时间和地点组织公开磋商开启并邀请所有供应商代表参加。  </w:t>
      </w:r>
    </w:p>
    <w:p>
      <w:pPr>
        <w:spacing w:line="400" w:lineRule="exact"/>
        <w:ind w:left="960" w:hanging="960" w:hangingChars="400"/>
        <w:rPr>
          <w:rFonts w:hint="eastAsia" w:ascii="微软雅黑" w:hAnsi="微软雅黑" w:eastAsia="微软雅黑" w:cs="微软雅黑"/>
          <w:sz w:val="24"/>
          <w:szCs w:val="24"/>
        </w:rPr>
      </w:pPr>
      <w:r>
        <w:rPr>
          <w:rFonts w:hint="eastAsia" w:ascii="微软雅黑" w:hAnsi="微软雅黑" w:eastAsia="微软雅黑" w:cs="微软雅黑"/>
          <w:sz w:val="24"/>
          <w:szCs w:val="24"/>
        </w:rPr>
        <w:t>18.2    供应商按照须知资料表中规定的开标时间和地点，在规定时间内上传响应文件。</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18.3    采购代理机构在规定时间内度响应文件进行解密，时长为 30 分钟。</w:t>
      </w:r>
    </w:p>
    <w:p>
      <w:pPr>
        <w:spacing w:line="400" w:lineRule="exact"/>
        <w:ind w:left="900" w:hanging="900" w:hangingChars="375"/>
        <w:rPr>
          <w:rFonts w:hint="eastAsia" w:ascii="微软雅黑" w:hAnsi="微软雅黑" w:eastAsia="微软雅黑" w:cs="微软雅黑"/>
          <w:sz w:val="24"/>
          <w:szCs w:val="24"/>
        </w:rPr>
      </w:pPr>
      <w:r>
        <w:rPr>
          <w:rFonts w:hint="eastAsia" w:ascii="微软雅黑" w:hAnsi="微软雅黑" w:eastAsia="微软雅黑" w:cs="微软雅黑"/>
          <w:sz w:val="24"/>
          <w:szCs w:val="24"/>
        </w:rPr>
        <w:t>18.4    由采购代理机构开启开标记录，须供应商在政采云平台对报价进行签字确认。</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294" w:name="_Toc5428"/>
      <w:bookmarkStart w:id="295" w:name="_Toc19296"/>
      <w:bookmarkStart w:id="296" w:name="_Toc21372"/>
      <w:bookmarkStart w:id="297" w:name="_Toc515647780"/>
      <w:bookmarkStart w:id="298" w:name="_Toc18057"/>
      <w:bookmarkStart w:id="299" w:name="_Toc9240"/>
      <w:bookmarkStart w:id="300" w:name="_Toc14954"/>
      <w:bookmarkStart w:id="301" w:name="_Toc24447"/>
      <w:bookmarkStart w:id="302" w:name="_Toc18658"/>
      <w:bookmarkStart w:id="303" w:name="_Toc6401"/>
      <w:bookmarkStart w:id="304" w:name="_Toc5402"/>
      <w:bookmarkStart w:id="305" w:name="_Toc5768"/>
      <w:bookmarkStart w:id="306" w:name="_Toc28768"/>
      <w:r>
        <w:rPr>
          <w:rFonts w:hint="eastAsia" w:ascii="微软雅黑" w:hAnsi="微软雅黑" w:eastAsia="微软雅黑" w:cs="微软雅黑"/>
          <w:sz w:val="24"/>
          <w:szCs w:val="24"/>
          <w:u w:color="000000"/>
        </w:rPr>
        <w:t>19.</w:t>
      </w:r>
      <w:bookmarkEnd w:id="293"/>
      <w:r>
        <w:rPr>
          <w:rFonts w:hint="eastAsia" w:ascii="微软雅黑" w:hAnsi="微软雅黑" w:eastAsia="微软雅黑" w:cs="微软雅黑"/>
          <w:sz w:val="24"/>
          <w:szCs w:val="24"/>
          <w:u w:color="000000"/>
        </w:rPr>
        <w:t>资格审查及组建</w:t>
      </w:r>
      <w:bookmarkEnd w:id="294"/>
      <w:bookmarkEnd w:id="295"/>
      <w:bookmarkEnd w:id="296"/>
      <w:bookmarkEnd w:id="297"/>
      <w:r>
        <w:rPr>
          <w:rFonts w:hint="eastAsia" w:ascii="微软雅黑" w:hAnsi="微软雅黑" w:eastAsia="微软雅黑" w:cs="微软雅黑"/>
          <w:sz w:val="24"/>
          <w:szCs w:val="24"/>
          <w:u w:color="000000"/>
        </w:rPr>
        <w:t>磋商小组</w:t>
      </w:r>
      <w:bookmarkEnd w:id="298"/>
      <w:bookmarkEnd w:id="299"/>
      <w:bookmarkEnd w:id="300"/>
      <w:bookmarkEnd w:id="301"/>
      <w:bookmarkEnd w:id="302"/>
      <w:bookmarkEnd w:id="303"/>
      <w:bookmarkEnd w:id="304"/>
      <w:bookmarkEnd w:id="305"/>
      <w:bookmarkEnd w:id="306"/>
    </w:p>
    <w:p>
      <w:pPr>
        <w:snapToGrid w:val="0"/>
        <w:spacing w:line="380" w:lineRule="exact"/>
        <w:ind w:left="960" w:hanging="960" w:hangingChars="40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19.1    采购人或采购代理机构依据法律法规和磋商文件中规定的内容，对供应商资格进行审查，未通过资格审查的供应商不进入评标。</w:t>
      </w:r>
    </w:p>
    <w:p>
      <w:pPr>
        <w:widowControl/>
        <w:snapToGrid w:val="0"/>
        <w:spacing w:line="380" w:lineRule="exact"/>
        <w:jc w:val="left"/>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b/>
          <w:bCs/>
          <w:sz w:val="24"/>
          <w:szCs w:val="24"/>
        </w:rPr>
        <w:t>如下：合格供应商的其他资格要求（开标时须携带以下资格证明材料）：</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1、满足《中华人民共和国政府采购法》第二十二条规定；</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①具有独立承担民事责任的能力；（投标时，提供在中华人民共和国境内注册的法人或其他组织的营业执照或事业单位法人证书或社会团体法人登记证书）</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②提供法定代表人资格证明及授权书、被授权人身份证；(法定代表人投标需提供法定代表人身份证)；</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③本单位依法缴纳的近3个月内任意一个月的社会保险的凭据；</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④税务部门出具的近3个月内任意一个月的完税证明（依法免缴的应提供依法免缴的相关证明文件或零申报报表）；</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⑤提供近两年任意一年完整的财务审计报告（成立不满一年的可提供近一个月的银行资信证明）</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⑥参与政府采购活动前3年内未被列入失信、重大税收违法案件、财政部门禁止参加政府采购活动的承诺书；</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⑦提供针对本次项目的反商业贿赂承诺书。</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⑧根据《财政部关于在政府采购活动中查询及使用信用记录有关问题的通知》（财库﹝2016﹞125号）的要求，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snapToGrid w:val="0"/>
        <w:spacing w:line="380" w:lineRule="exact"/>
        <w:ind w:left="958" w:leftChars="456" w:firstLine="233" w:firstLineChars="97"/>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⑨本项目为专门面向中小企业（供应商须根据招标文件中的法定格式填写中小企业声明函）。</w:t>
      </w:r>
    </w:p>
    <w:p>
      <w:pPr>
        <w:snapToGrid w:val="0"/>
        <w:spacing w:line="380" w:lineRule="exact"/>
        <w:ind w:left="725" w:leftChars="342" w:hanging="7" w:hangingChars="3"/>
        <w:textAlignment w:val="baseline"/>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2、磋商保证金有效凭证</w:t>
      </w:r>
      <w:r>
        <w:rPr>
          <w:rFonts w:hint="eastAsia" w:ascii="微软雅黑" w:hAnsi="微软雅黑" w:eastAsia="微软雅黑" w:cs="微软雅黑"/>
          <w:b/>
          <w:bCs/>
          <w:color w:val="auto"/>
          <w:sz w:val="24"/>
          <w:szCs w:val="24"/>
        </w:rPr>
        <w:t>。</w:t>
      </w:r>
    </w:p>
    <w:p>
      <w:pPr>
        <w:snapToGrid w:val="0"/>
        <w:spacing w:line="380" w:lineRule="exact"/>
        <w:ind w:left="725" w:leftChars="342" w:hanging="7" w:hangingChars="3"/>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提示：1、完税证明中“税种”非养老保险、医疗保险、失业保险、工伤保险和生育保险。请各供应商注意！</w:t>
      </w:r>
    </w:p>
    <w:p>
      <w:pPr>
        <w:numPr>
          <w:ilvl w:val="0"/>
          <w:numId w:val="4"/>
        </w:numPr>
        <w:snapToGrid w:val="0"/>
        <w:spacing w:line="380" w:lineRule="exact"/>
        <w:ind w:left="725" w:leftChars="342" w:hanging="7" w:hangingChars="3"/>
        <w:textAlignment w:val="baseline"/>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未通过资格审查的供应商不进入评标；通过资格审查的供应商少于不足三家的，不得评标。</w:t>
      </w:r>
    </w:p>
    <w:p>
      <w:pPr>
        <w:snapToGrid w:val="0"/>
        <w:spacing w:line="380" w:lineRule="exact"/>
        <w:ind w:left="734" w:hanging="734" w:hangingChars="306"/>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19.2   采购人或采购代理机构将在开标前1个工作日至磋商截止后1小时的期间内查询供应商的信用记录。供应商存在不良信用记录的，其磋商将被认定为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734" w:hanging="734" w:hangingChars="306"/>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snapToGrid w:val="0"/>
        <w:spacing w:line="380" w:lineRule="exact"/>
        <w:ind w:left="718" w:leftChars="341" w:hanging="2" w:hangingChars="1"/>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以联合体形式参加磋商的，联合体任何成员存在以上不良信用记录的，联合体磋商将被认定为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left="850" w:hanging="849" w:hangingChars="354"/>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sz w:val="24"/>
          <w:szCs w:val="24"/>
        </w:rPr>
        <w:t>19.2.2 查询及记录方式：采购人或采购代理机构经办人将查询网页打印、签字并存档备查。供应商不良信用记录以采购人或采购代理机构查询结果为准。</w:t>
      </w:r>
      <w:r>
        <w:rPr>
          <w:rFonts w:hint="eastAsia" w:ascii="微软雅黑" w:hAnsi="微软雅黑" w:eastAsia="微软雅黑" w:cs="微软雅黑"/>
          <w:b/>
          <w:bCs/>
          <w:sz w:val="24"/>
          <w:szCs w:val="24"/>
        </w:rPr>
        <w:t>在本磋商文件规定的查询时间之后，网站信息发生的任何变更均不再作为评审依据。供应商自行提供的与网站信息不一致的其他证明材料亦不作为资格审查的依据。</w:t>
      </w:r>
    </w:p>
    <w:p>
      <w:pPr>
        <w:snapToGrid w:val="0"/>
        <w:spacing w:line="380" w:lineRule="exact"/>
        <w:ind w:left="850" w:hanging="849" w:hangingChars="354"/>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19.3   </w:t>
      </w:r>
      <w:r>
        <w:rPr>
          <w:rFonts w:hint="eastAsia" w:ascii="微软雅黑" w:hAnsi="微软雅黑" w:eastAsia="微软雅黑" w:cs="微软雅黑"/>
          <w:b/>
          <w:bCs/>
          <w:sz w:val="24"/>
          <w:szCs w:val="24"/>
        </w:rPr>
        <w:t>按照《中华人民共和国政府采购法》、《中华人民共和国政府采购法实施条例》、《政府采购竞争性磋商采购方式管理暂行办法》及本项目本级和上级财政部门的有关规定依法在政采云平台</w:t>
      </w:r>
      <w:r>
        <w:rPr>
          <w:rFonts w:hint="eastAsia" w:ascii="微软雅黑" w:hAnsi="微软雅黑" w:eastAsia="微软雅黑" w:cs="微软雅黑"/>
          <w:b/>
          <w:bCs/>
          <w:sz w:val="24"/>
          <w:szCs w:val="24"/>
          <w:lang w:eastAsia="zh-CN"/>
        </w:rPr>
        <w:t>随机抽取</w:t>
      </w:r>
      <w:r>
        <w:rPr>
          <w:rFonts w:hint="eastAsia" w:ascii="微软雅黑" w:hAnsi="微软雅黑" w:eastAsia="微软雅黑" w:cs="微软雅黑"/>
          <w:b/>
          <w:bCs/>
          <w:sz w:val="24"/>
          <w:szCs w:val="24"/>
        </w:rPr>
        <w:t>3人，组成磋商小组，负责评审工作。</w:t>
      </w:r>
      <w:bookmarkStart w:id="307" w:name="_Toc520356166"/>
    </w:p>
    <w:p>
      <w:pPr>
        <w:pStyle w:val="2"/>
        <w:snapToGrid w:val="0"/>
        <w:spacing w:before="0" w:after="0" w:line="380" w:lineRule="exact"/>
        <w:textAlignment w:val="baseline"/>
        <w:rPr>
          <w:rFonts w:hint="eastAsia" w:ascii="微软雅黑" w:hAnsi="微软雅黑" w:eastAsia="微软雅黑" w:cs="微软雅黑"/>
          <w:b w:val="0"/>
          <w:bCs/>
          <w:sz w:val="24"/>
          <w:szCs w:val="24"/>
          <w:u w:color="000000"/>
          <w:bdr w:val="single" w:color="auto" w:sz="4" w:space="0"/>
        </w:rPr>
      </w:pPr>
      <w:bookmarkStart w:id="308" w:name="_Toc17557"/>
      <w:bookmarkStart w:id="309" w:name="_Toc29938"/>
      <w:bookmarkStart w:id="310" w:name="_Toc28479"/>
      <w:bookmarkStart w:id="311" w:name="_Toc17520"/>
      <w:bookmarkStart w:id="312" w:name="_Toc19949"/>
      <w:bookmarkStart w:id="313" w:name="_Toc19498"/>
      <w:bookmarkStart w:id="314" w:name="_Toc515647781"/>
      <w:bookmarkStart w:id="315" w:name="_Toc7742"/>
      <w:bookmarkStart w:id="316" w:name="_Toc22740"/>
      <w:bookmarkStart w:id="317" w:name="_Toc27625"/>
      <w:bookmarkStart w:id="318" w:name="_Toc15335"/>
      <w:bookmarkStart w:id="319" w:name="_Toc656"/>
      <w:bookmarkStart w:id="320" w:name="_Toc29043"/>
      <w:r>
        <w:rPr>
          <w:rFonts w:hint="eastAsia" w:ascii="微软雅黑" w:hAnsi="微软雅黑" w:eastAsia="微软雅黑" w:cs="微软雅黑"/>
          <w:sz w:val="24"/>
          <w:szCs w:val="24"/>
          <w:u w:color="000000"/>
        </w:rPr>
        <w:t>20.</w:t>
      </w:r>
      <w:bookmarkEnd w:id="307"/>
      <w:r>
        <w:rPr>
          <w:rFonts w:hint="eastAsia" w:ascii="微软雅黑" w:hAnsi="微软雅黑" w:eastAsia="微软雅黑" w:cs="微软雅黑"/>
          <w:sz w:val="24"/>
          <w:szCs w:val="24"/>
          <w:u w:color="000000"/>
        </w:rPr>
        <w:t>响应文件符合性审查与澄清</w:t>
      </w:r>
      <w:bookmarkEnd w:id="308"/>
      <w:bookmarkEnd w:id="309"/>
      <w:bookmarkEnd w:id="310"/>
      <w:bookmarkEnd w:id="311"/>
      <w:bookmarkEnd w:id="312"/>
      <w:bookmarkEnd w:id="313"/>
      <w:bookmarkEnd w:id="314"/>
      <w:bookmarkEnd w:id="315"/>
      <w:bookmarkEnd w:id="316"/>
      <w:bookmarkEnd w:id="317"/>
      <w:bookmarkEnd w:id="318"/>
      <w:bookmarkEnd w:id="319"/>
      <w:bookmarkEnd w:id="320"/>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20.1   符合性审查是指依据磋商文件的规定，从响应文件的有效性和完整性对磋商文件的响应程度进行审查，以确定是否对磋商文件的实质性要求做出响应。</w:t>
      </w:r>
      <w:bookmarkStart w:id="321" w:name="_Hlt522424701"/>
      <w:bookmarkEnd w:id="321"/>
      <w:bookmarkStart w:id="322" w:name="_Toc520356167"/>
    </w:p>
    <w:p>
      <w:pPr>
        <w:snapToGrid w:val="0"/>
        <w:spacing w:line="380" w:lineRule="exact"/>
        <w:ind w:left="900" w:hanging="900" w:hangingChars="375"/>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20.2</w:t>
      </w: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响应文件的澄清</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20.2.1  在</w:t>
      </w:r>
      <w:r>
        <w:rPr>
          <w:rFonts w:hint="eastAsia" w:ascii="微软雅黑" w:hAnsi="微软雅黑" w:eastAsia="微软雅黑" w:cs="微软雅黑"/>
          <w:sz w:val="24"/>
          <w:szCs w:val="24"/>
          <w:lang w:val="en-US" w:eastAsia="zh-CN"/>
        </w:rPr>
        <w:t>评审</w:t>
      </w:r>
      <w:r>
        <w:rPr>
          <w:rFonts w:hint="eastAsia" w:ascii="微软雅黑" w:hAnsi="微软雅黑" w:eastAsia="微软雅黑" w:cs="微软雅黑"/>
          <w:sz w:val="24"/>
          <w:szCs w:val="24"/>
        </w:rPr>
        <w:t>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20.2.2  供应商的的澄清、说明或补正将作为响应文件的一部分。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20.3  响应文件报价出现前后不一致的，按照下列规定修正：</w:t>
      </w:r>
    </w:p>
    <w:p>
      <w:pPr>
        <w:snapToGrid w:val="0"/>
        <w:spacing w:line="380" w:lineRule="exact"/>
        <w:ind w:left="1020" w:hanging="1020" w:hangingChars="4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（一）响应文件中开标一览表（报价表）内容与响应文件中相应内容不一致的，以开标一览表（报价表）为准；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（二）大写金额和小写金额不一致的，以大写金额为准；</w:t>
      </w:r>
    </w:p>
    <w:p>
      <w:pPr>
        <w:snapToGrid w:val="0"/>
        <w:spacing w:line="380" w:lineRule="exact"/>
        <w:ind w:left="1020" w:hanging="1020" w:hangingChars="42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（三）单价金额小数点或者百分比有明显错位的，以开标一览表的总价为准，并修改单价；</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（四）总价金额与按单价汇总金额不一致的，以单价金额计算结果为准。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同时出现两种以上不一致的，按照前款规定的顺序修正。修正后的报价按照第20.2条的规定经供应商确认后产生约束力，供应商不确认的，其磋商将被认定为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w:t>
      </w:r>
    </w:p>
    <w:p>
      <w:pPr>
        <w:snapToGrid w:val="0"/>
        <w:spacing w:line="380" w:lineRule="exact"/>
        <w:ind w:firstLine="840" w:firstLineChars="35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对不同文字文本响应文件的解释发生异议的，以中文文本为准。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20.4   </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323" w:name="_Toc27164"/>
      <w:bookmarkStart w:id="324" w:name="_Toc1939"/>
      <w:bookmarkStart w:id="325" w:name="_Toc30430"/>
      <w:bookmarkStart w:id="326" w:name="_Toc12693"/>
      <w:bookmarkStart w:id="327" w:name="_Toc12340"/>
      <w:bookmarkStart w:id="328" w:name="_Toc28934"/>
      <w:bookmarkStart w:id="329" w:name="_Toc9469"/>
      <w:bookmarkStart w:id="330" w:name="_Toc18222"/>
      <w:bookmarkStart w:id="331" w:name="_Toc6364"/>
      <w:bookmarkStart w:id="332" w:name="_Toc515647782"/>
      <w:bookmarkStart w:id="333" w:name="_Toc29782"/>
      <w:bookmarkStart w:id="334" w:name="_Toc6695"/>
      <w:bookmarkStart w:id="335" w:name="_Toc14136"/>
      <w:r>
        <w:rPr>
          <w:rFonts w:hint="eastAsia" w:ascii="微软雅黑" w:hAnsi="微软雅黑" w:eastAsia="微软雅黑" w:cs="微软雅黑"/>
          <w:sz w:val="24"/>
          <w:szCs w:val="24"/>
          <w:u w:color="000000"/>
        </w:rPr>
        <w:t>21.磋商偏离</w:t>
      </w:r>
      <w:bookmarkEnd w:id="323"/>
      <w:bookmarkEnd w:id="324"/>
      <w:bookmarkEnd w:id="325"/>
      <w:bookmarkEnd w:id="326"/>
      <w:bookmarkEnd w:id="327"/>
      <w:bookmarkEnd w:id="328"/>
      <w:bookmarkEnd w:id="329"/>
      <w:bookmarkEnd w:id="330"/>
      <w:bookmarkEnd w:id="331"/>
      <w:bookmarkEnd w:id="332"/>
      <w:bookmarkEnd w:id="333"/>
      <w:bookmarkEnd w:id="334"/>
      <w:bookmarkEnd w:id="335"/>
    </w:p>
    <w:p>
      <w:pPr>
        <w:snapToGrid w:val="0"/>
        <w:spacing w:line="380" w:lineRule="exact"/>
        <w:ind w:left="641" w:hanging="640" w:hangingChars="267"/>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磋商小组可以接受响应文件中不构成实质性偏离的不正规或不一致。</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336" w:name="_Toc515647783"/>
      <w:bookmarkStart w:id="337" w:name="_Toc16242"/>
      <w:bookmarkStart w:id="338" w:name="_Toc27656"/>
      <w:bookmarkStart w:id="339" w:name="_Toc4950"/>
      <w:bookmarkStart w:id="340" w:name="_Toc2275"/>
      <w:bookmarkStart w:id="341" w:name="_Toc27546"/>
      <w:bookmarkStart w:id="342" w:name="_Toc31191"/>
      <w:bookmarkStart w:id="343" w:name="_Toc30267"/>
      <w:bookmarkStart w:id="344" w:name="_Toc13775"/>
      <w:bookmarkStart w:id="345" w:name="_Toc9173"/>
      <w:bookmarkStart w:id="346" w:name="_Toc108"/>
      <w:bookmarkStart w:id="347" w:name="_Toc6092"/>
      <w:bookmarkStart w:id="348" w:name="_Toc23480"/>
      <w:r>
        <w:rPr>
          <w:rFonts w:hint="eastAsia" w:ascii="微软雅黑" w:hAnsi="微软雅黑" w:eastAsia="微软雅黑" w:cs="微软雅黑"/>
          <w:sz w:val="24"/>
          <w:szCs w:val="24"/>
          <w:u w:color="000000"/>
        </w:rPr>
        <w:t>22.</w:t>
      </w:r>
      <w:bookmarkEnd w:id="336"/>
      <w:r>
        <w:rPr>
          <w:rFonts w:hint="eastAsia" w:ascii="微软雅黑" w:hAnsi="微软雅黑" w:eastAsia="微软雅黑" w:cs="微软雅黑"/>
          <w:sz w:val="24"/>
          <w:szCs w:val="24"/>
          <w:u w:color="000000"/>
        </w:rPr>
        <w:t>磋商无效</w:t>
      </w:r>
      <w:bookmarkEnd w:id="337"/>
      <w:bookmarkEnd w:id="338"/>
      <w:bookmarkEnd w:id="339"/>
      <w:bookmarkEnd w:id="340"/>
      <w:bookmarkEnd w:id="341"/>
      <w:bookmarkEnd w:id="342"/>
      <w:bookmarkEnd w:id="343"/>
      <w:bookmarkEnd w:id="344"/>
      <w:bookmarkEnd w:id="345"/>
      <w:bookmarkEnd w:id="346"/>
      <w:bookmarkEnd w:id="347"/>
      <w:bookmarkEnd w:id="348"/>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微软雅黑" w:hAnsi="微软雅黑" w:eastAsia="微软雅黑" w:cs="微软雅黑"/>
          <w:b/>
          <w:bCs/>
          <w:sz w:val="24"/>
          <w:szCs w:val="24"/>
        </w:rPr>
        <w:t>磋商无效</w:t>
      </w:r>
      <w:r>
        <w:rPr>
          <w:rFonts w:hint="eastAsia" w:ascii="微软雅黑" w:hAnsi="微软雅黑" w:eastAsia="微软雅黑" w:cs="微软雅黑"/>
          <w:sz w:val="24"/>
          <w:szCs w:val="24"/>
        </w:rPr>
        <w:t>。供应商不得通过修正或撤销不符合要求的偏离，从而使其磋商成为实质上响应的磋商。</w:t>
      </w:r>
    </w:p>
    <w:p>
      <w:pPr>
        <w:snapToGrid w:val="0"/>
        <w:spacing w:line="380" w:lineRule="exact"/>
        <w:ind w:left="958" w:leftChars="456"/>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磋商小组决定磋商的响应性只根据磋商文件要求、响应文件内容及财政主管部门指定相关信息发布媒体。</w:t>
      </w:r>
    </w:p>
    <w:p>
      <w:pPr>
        <w:snapToGrid w:val="0"/>
        <w:spacing w:line="380" w:lineRule="exact"/>
        <w:ind w:left="900" w:hanging="900" w:hangingChars="375"/>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sz w:val="24"/>
          <w:szCs w:val="24"/>
        </w:rPr>
        <w:t>22.2</w:t>
      </w:r>
      <w:r>
        <w:rPr>
          <w:rFonts w:hint="eastAsia" w:ascii="微软雅黑" w:hAnsi="微软雅黑" w:eastAsia="微软雅黑" w:cs="微软雅黑"/>
          <w:sz w:val="24"/>
          <w:szCs w:val="24"/>
        </w:rPr>
        <w:tab/>
      </w:r>
      <w:r>
        <w:rPr>
          <w:rFonts w:hint="eastAsia" w:ascii="微软雅黑" w:hAnsi="微软雅黑" w:eastAsia="微软雅黑" w:cs="微软雅黑"/>
          <w:b/>
          <w:bCs/>
          <w:sz w:val="24"/>
          <w:szCs w:val="24"/>
        </w:rPr>
        <w:t>如发现下列情况之一的，其磋商将被认定为磋商无效：（以下情形应当在磋商文件中规定，并以醒目的方式标明）</w:t>
      </w:r>
    </w:p>
    <w:p>
      <w:pPr>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（1）未按磋商文件规定的形式和金额提交磋商保证金的；</w:t>
      </w:r>
    </w:p>
    <w:p>
      <w:pPr>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（2）未按照磋商文件规定要求签署、盖章的；</w:t>
      </w:r>
    </w:p>
    <w:p>
      <w:pPr>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（3）未满足磋商文件中技术条款的实质性要求；</w:t>
      </w:r>
    </w:p>
    <w:p>
      <w:pPr>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（4）与其他供应商串通磋商，或者与招标人串通磋商；</w:t>
      </w:r>
    </w:p>
    <w:p>
      <w:pPr>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（5）属于磋商文件规定的其他磋商无效情形；</w:t>
      </w:r>
    </w:p>
    <w:p>
      <w:pPr>
        <w:snapToGrid w:val="0"/>
        <w:spacing w:line="380" w:lineRule="exact"/>
        <w:ind w:left="1257" w:leftChars="370" w:hanging="480" w:hangingChars="2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（6）磋商小组认为供应商的报价明显低于其他通过符合性检查供应商的报价，有可能影响履约的，且供应商未按照规定证明其报价合理性的；</w:t>
      </w:r>
    </w:p>
    <w:p>
      <w:pPr>
        <w:snapToGrid w:val="0"/>
        <w:spacing w:line="380" w:lineRule="exact"/>
        <w:ind w:firstLine="720" w:firstLineChars="3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（7）响应文件含有采购人不能接受的附加条件的；</w:t>
      </w:r>
    </w:p>
    <w:p>
      <w:pPr>
        <w:tabs>
          <w:tab w:val="left" w:pos="0"/>
        </w:tabs>
        <w:snapToGrid w:val="0"/>
        <w:spacing w:line="380" w:lineRule="exact"/>
        <w:ind w:left="-180" w:firstLine="960" w:firstLineChars="4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（8）不符合法规和磋商文件中规定的其他实质性要求的。</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22.3   有下列情形之一的，属于恶意串通，对供应商依照政府采购法第七十七条第一款的规定追究法律责任，对采购人、采购代理机构及其工作人员依照政府采购法第七十二条的规定追究法律责任：</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（1）供应商直接或者间接从采购人或者采购代理机构处获得其他供应商的相关情况并修改其响应文件或者响应文件；</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（2）供应商按照采购人或者采购代理机构的授意撤换、修改响应文件或者响应文件；</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（3）供应商之间协商报价、技术方案等响应文件或者响应文件的实质性内容；</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（4）属于同一集团、协会、商会等组织成员的供应商按照该组织要求协同参加政府采购活动；</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（5）供应商之间事先约定由某一特定供应商中标、成交；</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（6）供应商之间商定部分供应商放弃参加政府采购活动或者放弃中标、成交；</w:t>
      </w:r>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（7）供应商与采购人或者采购代理机构之间、供应商相互之间，为谋求特定供应商中标、成交或者排斥其他供应商的其他串通行为。</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349" w:name="_Toc22941"/>
      <w:bookmarkStart w:id="350" w:name="_Toc31260"/>
      <w:bookmarkStart w:id="351" w:name="_Toc21841"/>
      <w:bookmarkStart w:id="352" w:name="_Toc6450"/>
      <w:bookmarkStart w:id="353" w:name="_Toc30567"/>
      <w:bookmarkStart w:id="354" w:name="_Toc4263"/>
      <w:bookmarkStart w:id="355" w:name="_Toc13652"/>
      <w:bookmarkStart w:id="356" w:name="_Toc22903"/>
      <w:bookmarkStart w:id="357" w:name="_Toc3834"/>
      <w:bookmarkStart w:id="358" w:name="_Toc31440"/>
      <w:bookmarkStart w:id="359" w:name="_Toc515647784"/>
      <w:bookmarkStart w:id="360" w:name="_Toc28827"/>
      <w:bookmarkStart w:id="361" w:name="_Toc5075"/>
      <w:r>
        <w:rPr>
          <w:rFonts w:hint="eastAsia" w:ascii="微软雅黑" w:hAnsi="微软雅黑" w:eastAsia="微软雅黑" w:cs="微软雅黑"/>
          <w:sz w:val="24"/>
          <w:szCs w:val="24"/>
          <w:u w:color="000000"/>
        </w:rPr>
        <w:t>23.</w:t>
      </w:r>
      <w:bookmarkEnd w:id="322"/>
      <w:r>
        <w:rPr>
          <w:rFonts w:hint="eastAsia" w:ascii="微软雅黑" w:hAnsi="微软雅黑" w:eastAsia="微软雅黑" w:cs="微软雅黑"/>
          <w:sz w:val="24"/>
          <w:szCs w:val="24"/>
          <w:u w:color="000000"/>
        </w:rPr>
        <w:t>比较与评价</w:t>
      </w:r>
      <w:bookmarkEnd w:id="349"/>
      <w:bookmarkEnd w:id="350"/>
      <w:bookmarkEnd w:id="351"/>
      <w:bookmarkEnd w:id="352"/>
      <w:bookmarkEnd w:id="353"/>
      <w:bookmarkEnd w:id="354"/>
      <w:bookmarkEnd w:id="355"/>
      <w:bookmarkEnd w:id="356"/>
      <w:bookmarkEnd w:id="357"/>
      <w:bookmarkEnd w:id="358"/>
      <w:bookmarkEnd w:id="359"/>
      <w:bookmarkEnd w:id="360"/>
      <w:bookmarkEnd w:id="361"/>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23.1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经符合性审查合格的响应文件，磋商小组将根据磋商文件确定的评标方法和标准，对其技术部分和商务部分作进一步的比较和评价。</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23.2  </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评标严格按照磋商文件的要求和条件进行。根据实际情况，在</w:t>
      </w:r>
      <w:r>
        <w:rPr>
          <w:rFonts w:hint="eastAsia" w:ascii="微软雅黑" w:hAnsi="微软雅黑" w:eastAsia="微软雅黑" w:cs="微软雅黑"/>
          <w:sz w:val="24"/>
          <w:szCs w:val="24"/>
          <w:u w:val="single" w:color="000000"/>
        </w:rPr>
        <w:t>供应商须知资料表</w:t>
      </w:r>
      <w:r>
        <w:rPr>
          <w:rFonts w:hint="eastAsia" w:ascii="微软雅黑" w:hAnsi="微软雅黑" w:eastAsia="微软雅黑" w:cs="微软雅黑"/>
          <w:sz w:val="24"/>
          <w:szCs w:val="24"/>
        </w:rPr>
        <w:t>中规定采用下列一种评标方法，详细评标标准见磋商文件</w:t>
      </w:r>
      <w:r>
        <w:rPr>
          <w:rFonts w:hint="eastAsia" w:ascii="微软雅黑" w:hAnsi="微软雅黑" w:eastAsia="微软雅黑" w:cs="微软雅黑"/>
          <w:b/>
          <w:sz w:val="24"/>
          <w:szCs w:val="24"/>
        </w:rPr>
        <w:t>第六章：</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综合评分法，是指响应文件满足磋商文件全部实质性要求，且按照评审因素的量化指标评审得分最高的供应商为成交候选人的评标方法。</w:t>
      </w:r>
    </w:p>
    <w:p>
      <w:pPr>
        <w:pStyle w:val="17"/>
        <w:snapToGrid w:val="0"/>
        <w:spacing w:line="380" w:lineRule="exact"/>
        <w:ind w:left="720" w:hanging="720" w:hangingChars="30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362" w:name="sendNo"/>
      <w:r>
        <w:rPr>
          <w:rFonts w:hint="eastAsia" w:ascii="微软雅黑" w:hAnsi="微软雅黑" w:eastAsia="微软雅黑" w:cs="微软雅黑"/>
          <w:b/>
          <w:bCs/>
          <w:sz w:val="24"/>
          <w:szCs w:val="24"/>
        </w:rPr>
        <w:t>财库〔</w:t>
      </w:r>
      <w:bookmarkEnd w:id="362"/>
      <w:r>
        <w:rPr>
          <w:rFonts w:hint="eastAsia" w:ascii="微软雅黑" w:hAnsi="微软雅黑" w:eastAsia="微软雅黑" w:cs="微软雅黑"/>
          <w:b/>
          <w:bCs/>
          <w:sz w:val="24"/>
          <w:szCs w:val="24"/>
        </w:rPr>
        <w:t>2017〕141号）</w:t>
      </w:r>
      <w:r>
        <w:rPr>
          <w:rFonts w:hint="eastAsia" w:ascii="微软雅黑" w:hAnsi="微软雅黑" w:eastAsia="微软雅黑" w:cs="微软雅黑"/>
          <w:b/>
          <w:bCs/>
          <w:sz w:val="24"/>
          <w:szCs w:val="24"/>
          <w:lang w:eastAsia="zh-CN"/>
        </w:rPr>
        <w:t>、《关于进一步加大政府采购支持中小企业力度的通知》（财库〔2022〕19号）</w:t>
      </w:r>
      <w:r>
        <w:rPr>
          <w:rFonts w:hint="eastAsia" w:ascii="微软雅黑" w:hAnsi="微软雅黑" w:eastAsia="微软雅黑" w:cs="微软雅黑"/>
          <w:b/>
          <w:bCs/>
          <w:sz w:val="24"/>
          <w:szCs w:val="24"/>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sz w:val="24"/>
          <w:szCs w:val="24"/>
          <w:lang w:val="en-US" w:eastAsia="zh-CN"/>
        </w:rPr>
        <w:t>10%-20%</w:t>
      </w:r>
      <w:r>
        <w:rPr>
          <w:rFonts w:hint="eastAsia" w:ascii="微软雅黑" w:hAnsi="微软雅黑" w:eastAsia="微软雅黑" w:cs="微软雅黑"/>
          <w:b/>
          <w:bCs/>
          <w:sz w:val="24"/>
          <w:szCs w:val="24"/>
        </w:rPr>
        <w:t>后参与</w:t>
      </w:r>
      <w:r>
        <w:rPr>
          <w:rFonts w:hint="eastAsia" w:ascii="微软雅黑" w:hAnsi="微软雅黑" w:eastAsia="微软雅黑" w:cs="微软雅黑"/>
          <w:b/>
          <w:bCs/>
          <w:sz w:val="24"/>
          <w:szCs w:val="24"/>
          <w:lang w:eastAsia="zh-CN"/>
        </w:rPr>
        <w:t>评标</w:t>
      </w:r>
      <w:r>
        <w:rPr>
          <w:rFonts w:hint="eastAsia" w:ascii="微软雅黑" w:hAnsi="微软雅黑" w:eastAsia="微软雅黑" w:cs="微软雅黑"/>
          <w:b/>
          <w:bCs/>
          <w:sz w:val="24"/>
          <w:szCs w:val="24"/>
        </w:rPr>
        <w:t>。具体办法详见磋商文件第6章。</w:t>
      </w:r>
    </w:p>
    <w:p>
      <w:pPr>
        <w:pStyle w:val="17"/>
        <w:pageBreakBefore w:val="0"/>
        <w:kinsoku/>
        <w:wordWrap/>
        <w:overflowPunct/>
        <w:topLinePunct w:val="0"/>
        <w:bidi w:val="0"/>
        <w:spacing w:line="480" w:lineRule="exact"/>
        <w:ind w:left="900" w:hanging="900" w:hangingChars="375"/>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标优惠。监狱企业及残疾人福利性单位视同小型、微型企业，享受预留份额、评标中价格扣除等政府采购促进中小企业发展的政府采购政策。</w:t>
      </w:r>
      <w:r>
        <w:rPr>
          <w:rFonts w:hint="eastAsia" w:ascii="微软雅黑" w:hAnsi="微软雅黑" w:eastAsia="微软雅黑" w:cs="微软雅黑"/>
          <w:sz w:val="24"/>
          <w:szCs w:val="24"/>
          <w:lang w:val="en-US" w:eastAsia="zh-CN"/>
        </w:rPr>
        <w:t>  </w:t>
      </w:r>
    </w:p>
    <w:p>
      <w:pPr>
        <w:pStyle w:val="17"/>
        <w:snapToGrid w:val="0"/>
        <w:spacing w:line="380" w:lineRule="exact"/>
        <w:ind w:left="720" w:hanging="720" w:hangingChars="300"/>
        <w:textAlignment w:val="baseline"/>
        <w:rPr>
          <w:rFonts w:hint="eastAsia" w:ascii="微软雅黑" w:hAnsi="微软雅黑" w:eastAsia="微软雅黑" w:cs="微软雅黑"/>
          <w:b/>
          <w:bCs/>
          <w:sz w:val="24"/>
          <w:szCs w:val="24"/>
        </w:rPr>
      </w:pP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363" w:name="_Toc520356168"/>
      <w:bookmarkStart w:id="364" w:name="_Toc16201"/>
      <w:bookmarkStart w:id="365" w:name="_Toc28413"/>
      <w:bookmarkStart w:id="366" w:name="_Toc6912"/>
      <w:bookmarkStart w:id="367" w:name="_Toc2539"/>
      <w:bookmarkStart w:id="368" w:name="_Toc28843"/>
      <w:bookmarkStart w:id="369" w:name="_Toc4445"/>
      <w:bookmarkStart w:id="370" w:name="_Toc20227"/>
      <w:bookmarkStart w:id="371" w:name="_Toc4586"/>
      <w:bookmarkStart w:id="372" w:name="_Toc9378"/>
      <w:bookmarkStart w:id="373" w:name="_Toc18922"/>
      <w:bookmarkStart w:id="374" w:name="_Toc515647785"/>
      <w:bookmarkStart w:id="375" w:name="_Toc14935"/>
      <w:bookmarkStart w:id="376" w:name="_Toc2218"/>
      <w:r>
        <w:rPr>
          <w:rFonts w:hint="eastAsia" w:ascii="微软雅黑" w:hAnsi="微软雅黑" w:eastAsia="微软雅黑" w:cs="微软雅黑"/>
          <w:sz w:val="24"/>
          <w:szCs w:val="24"/>
          <w:u w:color="000000"/>
        </w:rPr>
        <w:t>24</w:t>
      </w:r>
      <w:bookmarkEnd w:id="363"/>
      <w:r>
        <w:rPr>
          <w:rFonts w:hint="eastAsia" w:ascii="微软雅黑" w:hAnsi="微软雅黑" w:eastAsia="微软雅黑" w:cs="微软雅黑"/>
          <w:sz w:val="24"/>
          <w:szCs w:val="24"/>
          <w:u w:color="000000"/>
        </w:rPr>
        <w:t>.废标</w:t>
      </w:r>
      <w:bookmarkEnd w:id="364"/>
      <w:bookmarkEnd w:id="365"/>
      <w:bookmarkEnd w:id="366"/>
      <w:bookmarkEnd w:id="367"/>
      <w:bookmarkEnd w:id="368"/>
      <w:bookmarkEnd w:id="369"/>
      <w:bookmarkEnd w:id="370"/>
      <w:bookmarkEnd w:id="371"/>
      <w:bookmarkEnd w:id="372"/>
      <w:bookmarkEnd w:id="373"/>
      <w:bookmarkEnd w:id="374"/>
      <w:bookmarkEnd w:id="375"/>
      <w:bookmarkEnd w:id="376"/>
    </w:p>
    <w:p>
      <w:pPr>
        <w:snapToGrid w:val="0"/>
        <w:spacing w:line="380" w:lineRule="exact"/>
        <w:ind w:left="239" w:leftChars="114" w:firstLine="660" w:firstLineChars="275"/>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出现下列情形之一，将导致项目废标： </w:t>
      </w:r>
    </w:p>
    <w:p>
      <w:pPr>
        <w:snapToGrid w:val="0"/>
        <w:spacing w:line="380" w:lineRule="exact"/>
        <w:ind w:left="900" w:hanging="900" w:hangingChars="375"/>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ab/>
      </w:r>
      <w:r>
        <w:rPr>
          <w:rFonts w:hint="eastAsia" w:ascii="微软雅黑" w:hAnsi="微软雅黑" w:eastAsia="微软雅黑" w:cs="微软雅黑"/>
          <w:b/>
          <w:bCs/>
          <w:sz w:val="24"/>
          <w:szCs w:val="24"/>
        </w:rPr>
        <w:t>（1）出现影响采购公正的违法、违规行为的；</w:t>
      </w:r>
    </w:p>
    <w:p>
      <w:pPr>
        <w:snapToGrid w:val="0"/>
        <w:spacing w:line="380" w:lineRule="exact"/>
        <w:ind w:firstLine="840" w:firstLineChars="35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（2）供应商的报价均超过了采购预算，采购人不能支付的；</w:t>
      </w:r>
    </w:p>
    <w:p>
      <w:pPr>
        <w:snapToGrid w:val="0"/>
        <w:spacing w:line="380" w:lineRule="exact"/>
        <w:ind w:firstLine="840" w:firstLineChars="35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（3）因重大变故，采购任务取消的。   </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377" w:name="_Toc8176"/>
      <w:bookmarkStart w:id="378" w:name="_Toc20205"/>
      <w:bookmarkStart w:id="379" w:name="_Toc11249"/>
      <w:bookmarkStart w:id="380" w:name="_Toc31289"/>
      <w:bookmarkStart w:id="381" w:name="_Toc4481"/>
      <w:bookmarkStart w:id="382" w:name="_Toc515647786"/>
      <w:bookmarkStart w:id="383" w:name="_Toc15505"/>
      <w:bookmarkStart w:id="384" w:name="_Toc24972"/>
      <w:bookmarkStart w:id="385" w:name="_Toc23141"/>
      <w:bookmarkStart w:id="386" w:name="_Toc8444"/>
      <w:bookmarkStart w:id="387" w:name="_Toc27162"/>
      <w:bookmarkStart w:id="388" w:name="_Toc1106"/>
      <w:bookmarkStart w:id="389" w:name="_Toc25920"/>
      <w:bookmarkStart w:id="390" w:name="_Toc520356169"/>
      <w:r>
        <w:rPr>
          <w:rFonts w:hint="eastAsia" w:ascii="微软雅黑" w:hAnsi="微软雅黑" w:eastAsia="微软雅黑" w:cs="微软雅黑"/>
          <w:sz w:val="24"/>
          <w:szCs w:val="24"/>
          <w:u w:color="000000"/>
        </w:rPr>
        <w:t>25.保密原则</w:t>
      </w:r>
      <w:bookmarkEnd w:id="377"/>
      <w:bookmarkEnd w:id="378"/>
      <w:bookmarkEnd w:id="379"/>
      <w:bookmarkEnd w:id="380"/>
      <w:bookmarkEnd w:id="381"/>
      <w:bookmarkEnd w:id="382"/>
      <w:bookmarkEnd w:id="383"/>
      <w:bookmarkEnd w:id="384"/>
      <w:bookmarkEnd w:id="385"/>
      <w:bookmarkEnd w:id="386"/>
      <w:bookmarkEnd w:id="387"/>
      <w:bookmarkEnd w:id="388"/>
      <w:bookmarkEnd w:id="389"/>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25.1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lang w:val="en-US" w:eastAsia="zh-CN"/>
        </w:rPr>
        <w:t>评审</w:t>
      </w:r>
      <w:r>
        <w:rPr>
          <w:rFonts w:hint="eastAsia" w:ascii="微软雅黑" w:hAnsi="微软雅黑" w:eastAsia="微软雅黑" w:cs="微软雅黑"/>
          <w:sz w:val="24"/>
          <w:szCs w:val="24"/>
        </w:rPr>
        <w:t>将在严格保密的情况下进行。</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25.2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政府采购评审专家应当遵守评审工作纪律，不得泄露评审文件、评审情况和评审中获悉的商业秘密。</w:t>
      </w:r>
    </w:p>
    <w:p>
      <w:pPr>
        <w:pStyle w:val="4"/>
        <w:snapToGrid w:val="0"/>
        <w:spacing w:before="0" w:line="380" w:lineRule="exact"/>
        <w:ind w:hanging="540"/>
        <w:textAlignment w:val="baseline"/>
        <w:rPr>
          <w:rFonts w:hint="eastAsia" w:ascii="微软雅黑" w:hAnsi="微软雅黑" w:eastAsia="微软雅黑" w:cs="微软雅黑"/>
          <w:sz w:val="24"/>
          <w:szCs w:val="24"/>
        </w:rPr>
      </w:pPr>
      <w:bookmarkStart w:id="391" w:name="_Toc31195"/>
      <w:bookmarkStart w:id="392" w:name="_Toc216582810"/>
      <w:bookmarkStart w:id="393" w:name="_Toc23904"/>
      <w:bookmarkStart w:id="394" w:name="_Toc515647787"/>
      <w:bookmarkStart w:id="395" w:name="_Toc12143"/>
      <w:bookmarkStart w:id="396" w:name="_Toc27482"/>
      <w:bookmarkStart w:id="397" w:name="_Toc271"/>
      <w:bookmarkStart w:id="398" w:name="_Toc18876"/>
      <w:r>
        <w:rPr>
          <w:rFonts w:hint="eastAsia" w:ascii="微软雅黑" w:hAnsi="微软雅黑" w:eastAsia="微软雅黑" w:cs="微软雅黑"/>
          <w:sz w:val="24"/>
          <w:szCs w:val="24"/>
        </w:rPr>
        <w:t xml:space="preserve">六   </w:t>
      </w:r>
      <w:bookmarkEnd w:id="390"/>
      <w:r>
        <w:rPr>
          <w:rFonts w:hint="eastAsia" w:ascii="微软雅黑" w:hAnsi="微软雅黑" w:eastAsia="微软雅黑" w:cs="微软雅黑"/>
          <w:sz w:val="24"/>
          <w:szCs w:val="24"/>
        </w:rPr>
        <w:t>确定</w:t>
      </w:r>
      <w:bookmarkEnd w:id="391"/>
      <w:bookmarkEnd w:id="392"/>
      <w:bookmarkEnd w:id="393"/>
      <w:bookmarkEnd w:id="394"/>
      <w:bookmarkEnd w:id="395"/>
      <w:r>
        <w:rPr>
          <w:rFonts w:hint="eastAsia" w:ascii="微软雅黑" w:hAnsi="微软雅黑" w:eastAsia="微软雅黑" w:cs="微软雅黑"/>
          <w:sz w:val="24"/>
          <w:szCs w:val="24"/>
        </w:rPr>
        <w:t>成交</w:t>
      </w:r>
      <w:bookmarkEnd w:id="396"/>
      <w:bookmarkEnd w:id="397"/>
      <w:bookmarkEnd w:id="398"/>
    </w:p>
    <w:p>
      <w:pPr>
        <w:pStyle w:val="7"/>
        <w:snapToGrid w:val="0"/>
        <w:spacing w:line="380" w:lineRule="exact"/>
        <w:ind w:firstLine="0"/>
        <w:textAlignment w:val="baseline"/>
        <w:rPr>
          <w:rFonts w:hint="eastAsia" w:ascii="微软雅黑" w:hAnsi="微软雅黑" w:eastAsia="微软雅黑" w:cs="微软雅黑"/>
          <w:sz w:val="24"/>
          <w:szCs w:val="24"/>
        </w:rPr>
      </w:pP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399" w:name="_Ref467307010"/>
      <w:bookmarkStart w:id="400" w:name="_Toc7632"/>
      <w:bookmarkStart w:id="401" w:name="_Toc23617"/>
      <w:bookmarkStart w:id="402" w:name="_Toc1360"/>
      <w:bookmarkStart w:id="403" w:name="_Toc4774"/>
      <w:bookmarkStart w:id="404" w:name="_Toc20156"/>
      <w:bookmarkStart w:id="405" w:name="_Toc19391"/>
      <w:bookmarkStart w:id="406" w:name="_Toc8936"/>
      <w:bookmarkStart w:id="407" w:name="_Toc20286"/>
      <w:bookmarkStart w:id="408" w:name="_Toc10858"/>
      <w:bookmarkStart w:id="409" w:name="_Toc29606"/>
      <w:bookmarkStart w:id="410" w:name="_Toc515647788"/>
      <w:bookmarkStart w:id="411" w:name="_Toc23762"/>
      <w:bookmarkStart w:id="412" w:name="_Toc520356170"/>
      <w:bookmarkStart w:id="413" w:name="_Toc15848"/>
      <w:r>
        <w:rPr>
          <w:rFonts w:hint="eastAsia" w:ascii="微软雅黑" w:hAnsi="微软雅黑" w:eastAsia="微软雅黑" w:cs="微软雅黑"/>
          <w:sz w:val="24"/>
          <w:szCs w:val="24"/>
          <w:u w:color="000000"/>
        </w:rPr>
        <w:t>26.成交候选人的确定原则及标准</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pPr>
        <w:snapToGrid w:val="0"/>
        <w:spacing w:line="380" w:lineRule="exact"/>
        <w:ind w:firstLine="480" w:firstLineChars="200"/>
        <w:textAlignment w:val="baseline"/>
        <w:rPr>
          <w:rFonts w:hint="eastAsia" w:ascii="微软雅黑" w:hAnsi="微软雅黑" w:eastAsia="微软雅黑" w:cs="微软雅黑"/>
          <w:sz w:val="24"/>
          <w:szCs w:val="24"/>
        </w:rPr>
      </w:pPr>
      <w:bookmarkStart w:id="414" w:name="_Toc520356171"/>
      <w:bookmarkStart w:id="415" w:name="_Toc515647789"/>
      <w:r>
        <w:rPr>
          <w:rFonts w:hint="eastAsia" w:ascii="微软雅黑" w:hAnsi="微软雅黑" w:eastAsia="微软雅黑" w:cs="微软雅黑"/>
          <w:sz w:val="24"/>
          <w:szCs w:val="24"/>
        </w:rPr>
        <w:t>对实质上响应磋商文件的供应商按下列方法进行排序，确定投标候选人：</w:t>
      </w:r>
    </w:p>
    <w:p>
      <w:pPr>
        <w:snapToGrid w:val="0"/>
        <w:spacing w:line="380" w:lineRule="exact"/>
        <w:ind w:left="479" w:leftChars="228"/>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pPr>
        <w:snapToGrid w:val="0"/>
        <w:spacing w:line="380" w:lineRule="exact"/>
        <w:ind w:firstLine="480" w:firstLineChars="2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sz w:val="24"/>
          <w:szCs w:val="24"/>
          <w:highlight w:val="none"/>
        </w:rPr>
        <w:t>本项目采用综合评分</w:t>
      </w:r>
      <w:r>
        <w:rPr>
          <w:rFonts w:hint="eastAsia" w:ascii="微软雅黑" w:hAnsi="微软雅黑" w:eastAsia="微软雅黑" w:cs="微软雅黑"/>
          <w:b/>
          <w:bCs/>
          <w:color w:val="auto"/>
          <w:sz w:val="24"/>
          <w:szCs w:val="24"/>
          <w:highlight w:val="none"/>
        </w:rPr>
        <w:t>法。</w:t>
      </w:r>
    </w:p>
    <w:p>
      <w:pPr>
        <w:pStyle w:val="2"/>
        <w:tabs>
          <w:tab w:val="left" w:pos="900"/>
        </w:tabs>
        <w:snapToGrid w:val="0"/>
        <w:spacing w:before="0" w:after="0" w:line="380" w:lineRule="exact"/>
        <w:textAlignment w:val="baseline"/>
        <w:rPr>
          <w:rFonts w:hint="eastAsia" w:ascii="微软雅黑" w:hAnsi="微软雅黑" w:eastAsia="微软雅黑" w:cs="微软雅黑"/>
          <w:color w:val="auto"/>
          <w:sz w:val="24"/>
          <w:szCs w:val="24"/>
          <w:u w:color="000000"/>
        </w:rPr>
      </w:pPr>
      <w:bookmarkStart w:id="416" w:name="_Toc17933"/>
      <w:bookmarkStart w:id="417" w:name="_Toc23951"/>
      <w:bookmarkStart w:id="418" w:name="_Toc9653"/>
      <w:bookmarkStart w:id="419" w:name="_Toc5598"/>
      <w:bookmarkStart w:id="420" w:name="_Toc16846"/>
      <w:bookmarkStart w:id="421" w:name="_Toc3720"/>
      <w:bookmarkStart w:id="422" w:name="_Toc17164"/>
      <w:bookmarkStart w:id="423" w:name="_Toc24948"/>
      <w:bookmarkStart w:id="424" w:name="_Toc15116"/>
      <w:bookmarkStart w:id="425" w:name="_Toc14558"/>
      <w:bookmarkStart w:id="426" w:name="_Toc1644"/>
      <w:bookmarkStart w:id="427" w:name="_Toc1227"/>
      <w:r>
        <w:rPr>
          <w:rFonts w:hint="eastAsia" w:ascii="微软雅黑" w:hAnsi="微软雅黑" w:eastAsia="微软雅黑" w:cs="微软雅黑"/>
          <w:color w:val="auto"/>
          <w:sz w:val="24"/>
          <w:szCs w:val="24"/>
          <w:u w:color="000000"/>
        </w:rPr>
        <w:t>27</w:t>
      </w:r>
      <w:bookmarkEnd w:id="414"/>
      <w:r>
        <w:rPr>
          <w:rFonts w:hint="eastAsia" w:ascii="微软雅黑" w:hAnsi="微软雅黑" w:eastAsia="微软雅黑" w:cs="微软雅黑"/>
          <w:color w:val="auto"/>
          <w:sz w:val="24"/>
          <w:szCs w:val="24"/>
          <w:u w:color="000000"/>
        </w:rPr>
        <w:t>.确定成交候选人和</w:t>
      </w:r>
      <w:bookmarkEnd w:id="415"/>
      <w:bookmarkEnd w:id="416"/>
      <w:bookmarkEnd w:id="417"/>
      <w:bookmarkEnd w:id="418"/>
      <w:r>
        <w:rPr>
          <w:rFonts w:hint="eastAsia" w:ascii="微软雅黑" w:hAnsi="微软雅黑" w:eastAsia="微软雅黑" w:cs="微软雅黑"/>
          <w:color w:val="auto"/>
          <w:sz w:val="24"/>
          <w:szCs w:val="24"/>
          <w:u w:color="000000"/>
        </w:rPr>
        <w:t>成交人</w:t>
      </w:r>
      <w:bookmarkEnd w:id="419"/>
      <w:bookmarkEnd w:id="420"/>
      <w:bookmarkEnd w:id="421"/>
      <w:bookmarkEnd w:id="422"/>
      <w:bookmarkEnd w:id="423"/>
      <w:bookmarkEnd w:id="424"/>
      <w:bookmarkEnd w:id="425"/>
      <w:bookmarkEnd w:id="426"/>
      <w:bookmarkEnd w:id="427"/>
    </w:p>
    <w:p>
      <w:pPr>
        <w:snapToGrid w:val="0"/>
        <w:spacing w:line="380" w:lineRule="exact"/>
        <w:ind w:left="898" w:leftChars="342" w:hanging="180" w:hangingChars="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磋商小组将根据评标标准，按</w:t>
      </w:r>
      <w:r>
        <w:rPr>
          <w:rFonts w:hint="eastAsia" w:ascii="微软雅黑" w:hAnsi="微软雅黑" w:eastAsia="微软雅黑" w:cs="微软雅黑"/>
          <w:sz w:val="24"/>
          <w:szCs w:val="24"/>
          <w:u w:val="single" w:color="000000"/>
        </w:rPr>
        <w:t>供应商须知资料表中</w:t>
      </w:r>
      <w:r>
        <w:rPr>
          <w:rFonts w:hint="eastAsia" w:ascii="微软雅黑" w:hAnsi="微软雅黑" w:eastAsia="微软雅黑" w:cs="微软雅黑"/>
          <w:sz w:val="24"/>
          <w:szCs w:val="24"/>
        </w:rPr>
        <w:t>规定数量推荐成交候选人；或根据采购人的委托，直接确定成交人。</w:t>
      </w:r>
    </w:p>
    <w:p>
      <w:pPr>
        <w:pStyle w:val="2"/>
        <w:tabs>
          <w:tab w:val="left" w:pos="900"/>
        </w:tabs>
        <w:snapToGrid w:val="0"/>
        <w:spacing w:before="0" w:after="0" w:line="380" w:lineRule="exact"/>
        <w:textAlignment w:val="baseline"/>
        <w:rPr>
          <w:rFonts w:hint="eastAsia" w:ascii="微软雅黑" w:hAnsi="微软雅黑" w:eastAsia="微软雅黑" w:cs="微软雅黑"/>
          <w:sz w:val="24"/>
          <w:szCs w:val="24"/>
          <w:u w:color="000000"/>
        </w:rPr>
      </w:pPr>
      <w:bookmarkStart w:id="428" w:name="_Ref467306874"/>
      <w:bookmarkStart w:id="429" w:name="_Toc520356173"/>
      <w:bookmarkStart w:id="430" w:name="_Toc28562"/>
      <w:bookmarkStart w:id="431" w:name="_Toc31900"/>
      <w:bookmarkStart w:id="432" w:name="_Toc27133"/>
      <w:bookmarkStart w:id="433" w:name="_Toc8389"/>
      <w:bookmarkStart w:id="434" w:name="_Toc2091"/>
      <w:bookmarkStart w:id="435" w:name="_Toc249"/>
      <w:bookmarkStart w:id="436" w:name="_Toc7729"/>
      <w:bookmarkStart w:id="437" w:name="_Toc27036"/>
      <w:bookmarkStart w:id="438" w:name="_Toc24602"/>
      <w:bookmarkStart w:id="439" w:name="_Toc20633"/>
      <w:bookmarkStart w:id="440" w:name="_Toc12652"/>
      <w:bookmarkStart w:id="441" w:name="_Toc27308"/>
      <w:bookmarkStart w:id="442" w:name="_Toc515647790"/>
      <w:r>
        <w:rPr>
          <w:rFonts w:hint="eastAsia" w:ascii="微软雅黑" w:hAnsi="微软雅黑" w:eastAsia="微软雅黑" w:cs="微软雅黑"/>
          <w:sz w:val="24"/>
          <w:szCs w:val="24"/>
          <w:u w:color="000000"/>
        </w:rPr>
        <w:t>28.</w:t>
      </w:r>
      <w:bookmarkEnd w:id="428"/>
      <w:bookmarkEnd w:id="429"/>
      <w:r>
        <w:rPr>
          <w:rFonts w:hint="eastAsia" w:ascii="微软雅黑" w:hAnsi="微软雅黑" w:eastAsia="微软雅黑" w:cs="微软雅黑"/>
          <w:sz w:val="24"/>
          <w:szCs w:val="24"/>
          <w:u w:color="000000"/>
        </w:rPr>
        <w:t>采购任务取消</w:t>
      </w:r>
      <w:bookmarkEnd w:id="430"/>
      <w:bookmarkEnd w:id="431"/>
      <w:bookmarkEnd w:id="432"/>
      <w:bookmarkEnd w:id="433"/>
      <w:bookmarkEnd w:id="434"/>
      <w:bookmarkEnd w:id="435"/>
      <w:bookmarkEnd w:id="436"/>
      <w:bookmarkEnd w:id="437"/>
      <w:bookmarkEnd w:id="438"/>
      <w:bookmarkEnd w:id="439"/>
      <w:bookmarkEnd w:id="440"/>
      <w:bookmarkEnd w:id="441"/>
      <w:bookmarkEnd w:id="442"/>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因重大变故采购任务取消时，采购人有权拒绝任何供应商成交，且对受影响的供应商不承担任何责任。</w:t>
      </w:r>
      <w:bookmarkStart w:id="443" w:name="_Toc520356174"/>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444" w:name="_Toc15270"/>
      <w:bookmarkStart w:id="445" w:name="_Toc31506"/>
      <w:bookmarkStart w:id="446" w:name="_Toc6223"/>
      <w:bookmarkStart w:id="447" w:name="_Toc27516"/>
      <w:bookmarkStart w:id="448" w:name="_Toc515647791"/>
      <w:bookmarkStart w:id="449" w:name="_Toc29249"/>
      <w:bookmarkStart w:id="450" w:name="_Toc31099"/>
      <w:bookmarkStart w:id="451" w:name="_Toc26091"/>
      <w:bookmarkStart w:id="452" w:name="_Toc20620"/>
      <w:bookmarkStart w:id="453" w:name="_Toc11134"/>
      <w:bookmarkStart w:id="454" w:name="_Toc7938"/>
      <w:bookmarkStart w:id="455" w:name="_Toc2401"/>
      <w:bookmarkStart w:id="456" w:name="_Toc30170"/>
      <w:r>
        <w:rPr>
          <w:rFonts w:hint="eastAsia" w:ascii="微软雅黑" w:hAnsi="微软雅黑" w:eastAsia="微软雅黑" w:cs="微软雅黑"/>
          <w:sz w:val="24"/>
          <w:szCs w:val="24"/>
          <w:u w:color="000000"/>
        </w:rPr>
        <w:t>29.</w:t>
      </w:r>
      <w:bookmarkEnd w:id="443"/>
      <w:r>
        <w:rPr>
          <w:rFonts w:hint="eastAsia" w:ascii="微软雅黑" w:hAnsi="微软雅黑" w:eastAsia="微软雅黑" w:cs="微软雅黑"/>
          <w:sz w:val="24"/>
          <w:szCs w:val="24"/>
          <w:u w:color="000000"/>
        </w:rPr>
        <w:t>成交通知书和</w:t>
      </w:r>
      <w:r>
        <w:rPr>
          <w:rFonts w:hint="eastAsia" w:ascii="微软雅黑" w:hAnsi="微软雅黑" w:eastAsia="微软雅黑" w:cs="微软雅黑"/>
          <w:sz w:val="24"/>
          <w:szCs w:val="24"/>
          <w:u w:color="000000"/>
          <w:lang w:val="en-US" w:eastAsia="zh-CN"/>
        </w:rPr>
        <w:t>成交</w:t>
      </w:r>
      <w:r>
        <w:rPr>
          <w:rFonts w:hint="eastAsia" w:ascii="微软雅黑" w:hAnsi="微软雅黑" w:eastAsia="微软雅黑" w:cs="微软雅黑"/>
          <w:sz w:val="24"/>
          <w:szCs w:val="24"/>
          <w:u w:color="000000"/>
        </w:rPr>
        <w:t>结果通知书</w:t>
      </w:r>
      <w:bookmarkEnd w:id="444"/>
      <w:bookmarkEnd w:id="445"/>
      <w:bookmarkEnd w:id="446"/>
      <w:bookmarkEnd w:id="447"/>
      <w:bookmarkEnd w:id="448"/>
      <w:bookmarkEnd w:id="449"/>
      <w:bookmarkEnd w:id="450"/>
      <w:bookmarkEnd w:id="451"/>
      <w:bookmarkEnd w:id="452"/>
      <w:bookmarkEnd w:id="453"/>
      <w:bookmarkEnd w:id="454"/>
      <w:bookmarkEnd w:id="455"/>
      <w:bookmarkEnd w:id="456"/>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29.1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在磋商有效期内，成交人确定后，采购人或者采购代理机构发布成交公告，同时以书面形式向成交人发出成交通知书。</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29.2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成交通知书是合同的组成部分。</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29.3    </w:t>
      </w:r>
      <w:r>
        <w:rPr>
          <w:rFonts w:hint="eastAsia" w:ascii="微软雅黑" w:hAnsi="微软雅黑" w:eastAsia="微软雅黑" w:cs="微软雅黑"/>
          <w:sz w:val="24"/>
          <w:szCs w:val="24"/>
          <w:lang w:val="en-US" w:eastAsia="zh-CN"/>
        </w:rPr>
        <w:t>成交</w:t>
      </w:r>
      <w:r>
        <w:rPr>
          <w:rFonts w:hint="eastAsia" w:ascii="微软雅黑" w:hAnsi="微软雅黑" w:eastAsia="微软雅黑" w:cs="微软雅黑"/>
          <w:sz w:val="24"/>
          <w:szCs w:val="24"/>
        </w:rPr>
        <w:t>结果通知书和成交通知书同时发出。</w:t>
      </w:r>
      <w:r>
        <w:rPr>
          <w:rFonts w:hint="eastAsia" w:ascii="微软雅黑" w:hAnsi="微软雅黑" w:eastAsia="微软雅黑" w:cs="微软雅黑"/>
          <w:sz w:val="24"/>
          <w:szCs w:val="24"/>
          <w:lang w:val="en-US" w:eastAsia="zh-CN"/>
        </w:rPr>
        <w:t>成交</w:t>
      </w:r>
      <w:r>
        <w:rPr>
          <w:rFonts w:hint="eastAsia" w:ascii="微软雅黑" w:hAnsi="微软雅黑" w:eastAsia="微软雅黑" w:cs="微软雅黑"/>
          <w:sz w:val="24"/>
          <w:szCs w:val="24"/>
        </w:rPr>
        <w:t>结果通知书中将告知未通过资格审查的供应商未通过的原因；采用综合评分法评审的，还将告知未成交人本人的评审得分和排序。</w:t>
      </w:r>
    </w:p>
    <w:p>
      <w:pPr>
        <w:pStyle w:val="2"/>
        <w:snapToGrid w:val="0"/>
        <w:spacing w:before="0" w:after="0" w:line="380" w:lineRule="exact"/>
        <w:textAlignment w:val="baseline"/>
        <w:rPr>
          <w:rFonts w:hint="eastAsia" w:ascii="微软雅黑" w:hAnsi="微软雅黑" w:eastAsia="微软雅黑" w:cs="微软雅黑"/>
          <w:sz w:val="24"/>
          <w:szCs w:val="24"/>
        </w:rPr>
      </w:pPr>
      <w:bookmarkStart w:id="457" w:name="_Toc29762"/>
      <w:bookmarkStart w:id="458" w:name="_Toc15063"/>
      <w:bookmarkStart w:id="459" w:name="_Toc19431"/>
      <w:bookmarkStart w:id="460" w:name="_Ref467307062"/>
      <w:bookmarkStart w:id="461" w:name="_Toc8912"/>
      <w:bookmarkStart w:id="462" w:name="_Toc7779"/>
      <w:bookmarkStart w:id="463" w:name="_Ref467307204"/>
      <w:bookmarkStart w:id="464" w:name="_Toc1076"/>
      <w:bookmarkStart w:id="465" w:name="_Toc520356175"/>
      <w:bookmarkStart w:id="466" w:name="_Toc11296"/>
      <w:bookmarkStart w:id="467" w:name="_Toc22868"/>
      <w:bookmarkStart w:id="468" w:name="_Toc20587"/>
      <w:bookmarkStart w:id="469" w:name="_Toc13301"/>
      <w:bookmarkStart w:id="470" w:name="_Toc515647792"/>
      <w:bookmarkStart w:id="471" w:name="_Ref467306978"/>
      <w:bookmarkStart w:id="472" w:name="_Toc790"/>
      <w:bookmarkStart w:id="473" w:name="_Toc307"/>
      <w:bookmarkStart w:id="474" w:name="_Ref467306377"/>
      <w:r>
        <w:rPr>
          <w:rFonts w:hint="eastAsia" w:ascii="微软雅黑" w:hAnsi="微软雅黑" w:eastAsia="微软雅黑" w:cs="微软雅黑"/>
          <w:sz w:val="24"/>
          <w:szCs w:val="24"/>
        </w:rPr>
        <w:t>30.签订合同</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30.1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成交人应当自发出成交通知书之日起30日内，与采购人签订合同。</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30.2</w:t>
      </w:r>
      <w:r>
        <w:rPr>
          <w:rFonts w:hint="eastAsia" w:ascii="微软雅黑" w:hAnsi="微软雅黑" w:eastAsia="微软雅黑" w:cs="微软雅黑"/>
          <w:sz w:val="24"/>
          <w:szCs w:val="24"/>
        </w:rPr>
        <w:tab/>
      </w:r>
      <w:bookmarkStart w:id="475" w:name="_Toc520356176"/>
      <w:bookmarkStart w:id="476" w:name="_Ref467306425"/>
      <w:bookmarkStart w:id="477" w:name="_Ref467307090"/>
      <w:r>
        <w:rPr>
          <w:rFonts w:hint="eastAsia" w:ascii="微软雅黑" w:hAnsi="微软雅黑" w:eastAsia="微软雅黑" w:cs="微软雅黑"/>
          <w:sz w:val="24"/>
          <w:szCs w:val="24"/>
        </w:rPr>
        <w:t>磋商文件、成交人的响应文件及其澄清文件等，均为签订合同的依据。</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30.3   成交人拒绝与采购人签订合同的，采购人可以按照评审报告推荐的成交候选人名单排序，确定下一成交候选人为成交人，也可以重新开展政府采购活动。</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30.4   当出现法规规定的成交无效或成交结果无效情形时，采购人可与排名下一位的成交候选人另行签订合同，或依法重新开展采购活动。</w:t>
      </w:r>
    </w:p>
    <w:p>
      <w:pPr>
        <w:pStyle w:val="2"/>
        <w:snapToGrid w:val="0"/>
        <w:spacing w:before="0" w:after="0" w:line="380" w:lineRule="exact"/>
        <w:textAlignment w:val="baseline"/>
        <w:rPr>
          <w:rFonts w:hint="eastAsia" w:ascii="微软雅黑" w:hAnsi="微软雅黑" w:eastAsia="微软雅黑" w:cs="微软雅黑"/>
          <w:sz w:val="24"/>
          <w:szCs w:val="24"/>
        </w:rPr>
      </w:pPr>
      <w:bookmarkStart w:id="478" w:name="_Toc13164"/>
      <w:bookmarkStart w:id="479" w:name="_Toc26893"/>
      <w:bookmarkStart w:id="480" w:name="_Toc14080"/>
      <w:bookmarkStart w:id="481" w:name="_Toc515647793"/>
      <w:bookmarkStart w:id="482" w:name="_Toc22126"/>
      <w:bookmarkStart w:id="483" w:name="_Toc10911"/>
      <w:bookmarkStart w:id="484" w:name="_Toc5437"/>
      <w:bookmarkStart w:id="485" w:name="_Toc24808"/>
      <w:bookmarkStart w:id="486" w:name="_Toc6921"/>
      <w:bookmarkStart w:id="487" w:name="_Toc32532"/>
      <w:bookmarkStart w:id="488" w:name="_Toc15573"/>
      <w:bookmarkStart w:id="489" w:name="_Toc22555"/>
      <w:bookmarkStart w:id="490" w:name="_Toc14839"/>
      <w:r>
        <w:rPr>
          <w:rFonts w:hint="eastAsia" w:ascii="微软雅黑" w:hAnsi="微软雅黑" w:eastAsia="微软雅黑" w:cs="微软雅黑"/>
          <w:sz w:val="24"/>
          <w:szCs w:val="24"/>
        </w:rPr>
        <w:t>31.履约保证金</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31.1</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成交人应按照供应商须知资料表规定向采购人缴纳履约保证金（如采用保函形式，格式见本章附件1）。</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31.2</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t>政府采购利用担保试点范围内的项目，除31.1规定的情形外，成交人也可以按照财政部门的规定，向采购人提供合格的履约担保函（格式见本章附件2）。</w:t>
      </w:r>
    </w:p>
    <w:p>
      <w:pPr>
        <w:snapToGrid w:val="0"/>
        <w:spacing w:line="380" w:lineRule="exact"/>
        <w:ind w:left="960" w:hanging="960" w:hangingChars="400"/>
        <w:jc w:val="left"/>
        <w:textAlignment w:val="baseline"/>
        <w:rPr>
          <w:rFonts w:hint="eastAsia" w:ascii="微软雅黑" w:hAnsi="微软雅黑" w:eastAsia="微软雅黑" w:cs="微软雅黑"/>
          <w:bCs/>
          <w:sz w:val="24"/>
          <w:szCs w:val="24"/>
          <w:u w:val="single" w:color="000000"/>
        </w:rPr>
      </w:pPr>
      <w:bookmarkStart w:id="491" w:name="_Toc7088"/>
      <w:bookmarkStart w:id="492" w:name="_Toc13783"/>
      <w:bookmarkStart w:id="493" w:name="_Toc5352"/>
      <w:bookmarkStart w:id="494" w:name="_Toc1888"/>
      <w:bookmarkStart w:id="495" w:name="_Toc32107"/>
      <w:bookmarkStart w:id="496" w:name="_Toc14350"/>
      <w:bookmarkStart w:id="497" w:name="_Toc864"/>
      <w:r>
        <w:rPr>
          <w:rFonts w:hint="eastAsia" w:ascii="微软雅黑" w:hAnsi="微软雅黑" w:eastAsia="微软雅黑" w:cs="微软雅黑"/>
          <w:sz w:val="24"/>
          <w:szCs w:val="24"/>
        </w:rPr>
        <w:t>31.3   如果成交人没有按照上述履约保证金的规定执行，将视为放弃成交资格，成交人的磋商保证金将不予退还。在此情况下，采购人可确定下一候选</w:t>
      </w:r>
      <w:r>
        <w:rPr>
          <w:rFonts w:hint="eastAsia" w:ascii="微软雅黑" w:hAnsi="微软雅黑" w:eastAsia="微软雅黑" w:cs="微软雅黑"/>
          <w:bCs/>
          <w:sz w:val="24"/>
          <w:szCs w:val="24"/>
        </w:rPr>
        <w:t>人为成交人，也可以重新开展采购活动。</w:t>
      </w:r>
      <w:bookmarkEnd w:id="491"/>
      <w:bookmarkEnd w:id="492"/>
      <w:bookmarkEnd w:id="493"/>
      <w:bookmarkEnd w:id="494"/>
      <w:bookmarkEnd w:id="495"/>
      <w:bookmarkEnd w:id="496"/>
      <w:bookmarkEnd w:id="497"/>
    </w:p>
    <w:p>
      <w:pPr>
        <w:pStyle w:val="2"/>
        <w:snapToGrid w:val="0"/>
        <w:spacing w:before="0" w:after="0" w:line="380" w:lineRule="exact"/>
        <w:textAlignment w:val="baseline"/>
        <w:rPr>
          <w:rFonts w:hint="eastAsia" w:ascii="微软雅黑" w:hAnsi="微软雅黑" w:eastAsia="微软雅黑" w:cs="微软雅黑"/>
          <w:sz w:val="24"/>
          <w:szCs w:val="24"/>
        </w:rPr>
      </w:pPr>
      <w:bookmarkStart w:id="498" w:name="_Toc8658"/>
      <w:bookmarkStart w:id="499" w:name="_Toc10734"/>
      <w:bookmarkStart w:id="500" w:name="_Toc16384"/>
      <w:bookmarkStart w:id="501" w:name="_Toc29652"/>
      <w:bookmarkStart w:id="502" w:name="_Toc27934"/>
      <w:bookmarkStart w:id="503" w:name="_Toc515647794"/>
      <w:bookmarkStart w:id="504" w:name="_Toc26452"/>
      <w:bookmarkStart w:id="505" w:name="_Toc31215"/>
      <w:bookmarkStart w:id="506" w:name="_Toc12971"/>
      <w:bookmarkStart w:id="507" w:name="_Toc11939"/>
      <w:bookmarkStart w:id="508" w:name="_Toc3090"/>
      <w:bookmarkStart w:id="509" w:name="_Toc23392"/>
      <w:bookmarkStart w:id="510" w:name="_Toc29408"/>
      <w:r>
        <w:rPr>
          <w:rFonts w:hint="eastAsia" w:ascii="微软雅黑" w:hAnsi="微软雅黑" w:eastAsia="微软雅黑" w:cs="微软雅黑"/>
          <w:sz w:val="24"/>
          <w:szCs w:val="24"/>
        </w:rPr>
        <w:t>32.成交服务费</w:t>
      </w:r>
      <w:bookmarkEnd w:id="498"/>
      <w:bookmarkEnd w:id="499"/>
      <w:bookmarkEnd w:id="500"/>
      <w:bookmarkEnd w:id="501"/>
      <w:bookmarkEnd w:id="502"/>
      <w:bookmarkEnd w:id="503"/>
      <w:bookmarkEnd w:id="504"/>
      <w:bookmarkEnd w:id="505"/>
      <w:bookmarkEnd w:id="506"/>
      <w:bookmarkEnd w:id="507"/>
      <w:bookmarkEnd w:id="508"/>
      <w:bookmarkEnd w:id="509"/>
      <w:bookmarkEnd w:id="510"/>
    </w:p>
    <w:p>
      <w:pPr>
        <w:snapToGrid w:val="0"/>
        <w:spacing w:line="380" w:lineRule="exact"/>
        <w:jc w:val="left"/>
        <w:textAlignment w:val="baseline"/>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 xml:space="preserve">   </w:t>
      </w:r>
      <w:bookmarkStart w:id="511" w:name="_Toc30285"/>
      <w:bookmarkStart w:id="512" w:name="_Toc31147"/>
      <w:bookmarkStart w:id="513" w:name="_Toc2958"/>
      <w:bookmarkStart w:id="514" w:name="_Toc6649"/>
      <w:bookmarkStart w:id="515" w:name="_Toc23886"/>
      <w:bookmarkStart w:id="516" w:name="_Toc3808"/>
      <w:bookmarkStart w:id="517" w:name="_Toc30095"/>
      <w:r>
        <w:rPr>
          <w:rFonts w:hint="eastAsia" w:ascii="微软雅黑" w:hAnsi="微软雅黑" w:eastAsia="微软雅黑" w:cs="微软雅黑"/>
          <w:bCs/>
          <w:sz w:val="24"/>
          <w:szCs w:val="24"/>
        </w:rPr>
        <w:t xml:space="preserve">   成交人须按照磋商须知资料表规定，向采购代理机构支付成交服务费。</w:t>
      </w:r>
      <w:bookmarkEnd w:id="511"/>
      <w:bookmarkEnd w:id="512"/>
      <w:bookmarkEnd w:id="513"/>
      <w:bookmarkEnd w:id="514"/>
      <w:bookmarkEnd w:id="515"/>
      <w:bookmarkEnd w:id="516"/>
      <w:bookmarkEnd w:id="517"/>
    </w:p>
    <w:p>
      <w:pPr>
        <w:pStyle w:val="2"/>
        <w:snapToGrid w:val="0"/>
        <w:spacing w:before="0" w:after="0" w:line="380" w:lineRule="exact"/>
        <w:textAlignment w:val="baseline"/>
        <w:rPr>
          <w:rFonts w:hint="eastAsia" w:ascii="微软雅黑" w:hAnsi="微软雅黑" w:eastAsia="微软雅黑" w:cs="微软雅黑"/>
          <w:sz w:val="24"/>
          <w:szCs w:val="24"/>
        </w:rPr>
      </w:pPr>
      <w:bookmarkStart w:id="518" w:name="_Toc28128"/>
      <w:bookmarkStart w:id="519" w:name="_Toc515647795"/>
      <w:bookmarkStart w:id="520" w:name="_Toc18898"/>
      <w:bookmarkStart w:id="521" w:name="_Toc3754"/>
      <w:bookmarkStart w:id="522" w:name="_Toc24064"/>
      <w:bookmarkStart w:id="523" w:name="_Toc26134"/>
      <w:bookmarkStart w:id="524" w:name="_Toc31549"/>
      <w:bookmarkStart w:id="525" w:name="_Toc5403"/>
      <w:bookmarkStart w:id="526" w:name="_Toc6923"/>
      <w:bookmarkStart w:id="527" w:name="_Toc1343"/>
      <w:bookmarkStart w:id="528" w:name="_Toc7049"/>
      <w:bookmarkStart w:id="529" w:name="_Toc32437"/>
      <w:bookmarkStart w:id="530" w:name="_Toc15699"/>
      <w:r>
        <w:rPr>
          <w:rFonts w:hint="eastAsia" w:ascii="微软雅黑" w:hAnsi="微软雅黑" w:eastAsia="微软雅黑" w:cs="微软雅黑"/>
          <w:sz w:val="24"/>
          <w:szCs w:val="24"/>
        </w:rPr>
        <w:t>33.政府采购信用担保</w:t>
      </w:r>
      <w:bookmarkEnd w:id="518"/>
      <w:bookmarkEnd w:id="519"/>
      <w:bookmarkEnd w:id="520"/>
      <w:bookmarkEnd w:id="521"/>
      <w:bookmarkEnd w:id="522"/>
      <w:bookmarkEnd w:id="523"/>
      <w:bookmarkEnd w:id="524"/>
      <w:bookmarkEnd w:id="525"/>
      <w:bookmarkEnd w:id="526"/>
      <w:bookmarkEnd w:id="527"/>
      <w:bookmarkEnd w:id="528"/>
      <w:bookmarkEnd w:id="529"/>
      <w:bookmarkEnd w:id="530"/>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33.1   本项目是否属于信用担保试点范围见供应商须知资料表。</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33.2   如属于政府采购信用担保试点范围内，中小型企业供应商可以自由按照财政部门的规定，采用磋商担保、履约担保和融资担保。</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33.2.1 供应商递交的磋商担保函和履约担保函应符合本磋商文件的规定。</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33.2.2 成交人可以采取融资担保的形式为政府采购项目履约进行融资。</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33.2.3 合格的政府采购专业信用担保机构名单见供应商须知资料表。</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531" w:name="_Toc9673"/>
      <w:bookmarkStart w:id="532" w:name="_Toc25781"/>
      <w:bookmarkStart w:id="533" w:name="_Toc9559"/>
      <w:bookmarkStart w:id="534" w:name="_Toc16394"/>
      <w:bookmarkStart w:id="535" w:name="_Toc2133"/>
      <w:bookmarkStart w:id="536" w:name="_Toc23999"/>
      <w:bookmarkStart w:id="537" w:name="_Toc515647796"/>
      <w:bookmarkStart w:id="538" w:name="_Toc27619"/>
      <w:bookmarkStart w:id="539" w:name="_Toc24726"/>
      <w:bookmarkStart w:id="540" w:name="_Toc26887"/>
      <w:bookmarkStart w:id="541" w:name="_Toc28874"/>
      <w:bookmarkStart w:id="542" w:name="_Toc15842"/>
      <w:bookmarkStart w:id="543" w:name="_Toc7616"/>
      <w:r>
        <w:rPr>
          <w:rFonts w:hint="eastAsia" w:ascii="微软雅黑" w:hAnsi="微软雅黑" w:eastAsia="微软雅黑" w:cs="微软雅黑"/>
          <w:sz w:val="24"/>
          <w:szCs w:val="24"/>
          <w:u w:color="000000"/>
        </w:rPr>
        <w:t>34.廉洁自律规定</w:t>
      </w:r>
      <w:bookmarkEnd w:id="531"/>
      <w:bookmarkEnd w:id="532"/>
      <w:bookmarkEnd w:id="533"/>
      <w:bookmarkEnd w:id="534"/>
      <w:bookmarkEnd w:id="535"/>
      <w:bookmarkEnd w:id="536"/>
      <w:bookmarkEnd w:id="537"/>
      <w:bookmarkEnd w:id="538"/>
      <w:bookmarkEnd w:id="539"/>
      <w:bookmarkEnd w:id="540"/>
      <w:bookmarkEnd w:id="541"/>
      <w:bookmarkEnd w:id="542"/>
      <w:bookmarkEnd w:id="543"/>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34.1   采购代理机构工作人员不得以不正当手段获取政府采购代理业务，不得与采购人、供应商恶意串通操纵政府采购活动。</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34.2   采购代理机构工作人员不得接受采购人或者供应商组织的宴请、旅游、娱乐，不得收受礼品、现金、有价证券等，不得向采购人或者供应商报销应当由个人承担的费用。</w:t>
      </w:r>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34.3   为强化采购代理机构内部监督机制，供应商可按</w:t>
      </w:r>
      <w:r>
        <w:rPr>
          <w:rFonts w:hint="eastAsia" w:ascii="微软雅黑" w:hAnsi="微软雅黑" w:eastAsia="微软雅黑" w:cs="微软雅黑"/>
          <w:sz w:val="24"/>
          <w:szCs w:val="24"/>
          <w:u w:val="single" w:color="000000"/>
        </w:rPr>
        <w:t>供应商须知资料表中的</w:t>
      </w:r>
      <w:r>
        <w:rPr>
          <w:rFonts w:hint="eastAsia" w:ascii="微软雅黑" w:hAnsi="微软雅黑" w:eastAsia="微软雅黑" w:cs="微软雅黑"/>
          <w:sz w:val="24"/>
          <w:szCs w:val="24"/>
        </w:rPr>
        <w:t>监督电话和邮箱，反映采购代理机构的廉洁自律等问题。</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544" w:name="_Toc32457"/>
      <w:bookmarkStart w:id="545" w:name="_Toc24873"/>
      <w:bookmarkStart w:id="546" w:name="_Toc1011"/>
      <w:bookmarkStart w:id="547" w:name="_Toc25440"/>
      <w:bookmarkStart w:id="548" w:name="_Toc20804"/>
      <w:bookmarkStart w:id="549" w:name="_Toc17910"/>
      <w:bookmarkStart w:id="550" w:name="_Toc11586"/>
      <w:bookmarkStart w:id="551" w:name="_Toc22851"/>
      <w:bookmarkStart w:id="552" w:name="_Toc515647797"/>
      <w:bookmarkStart w:id="553" w:name="_Toc3386"/>
      <w:bookmarkStart w:id="554" w:name="_Toc15647"/>
      <w:bookmarkStart w:id="555" w:name="_Toc8702"/>
      <w:bookmarkStart w:id="556" w:name="_Toc25480"/>
      <w:r>
        <w:rPr>
          <w:rFonts w:hint="eastAsia" w:ascii="微软雅黑" w:hAnsi="微软雅黑" w:eastAsia="微软雅黑" w:cs="微软雅黑"/>
          <w:sz w:val="24"/>
          <w:szCs w:val="24"/>
          <w:u w:color="000000"/>
        </w:rPr>
        <w:t>35.人员回避</w:t>
      </w:r>
      <w:bookmarkEnd w:id="544"/>
      <w:bookmarkEnd w:id="545"/>
      <w:bookmarkEnd w:id="546"/>
      <w:bookmarkEnd w:id="547"/>
      <w:bookmarkEnd w:id="548"/>
      <w:bookmarkEnd w:id="549"/>
      <w:bookmarkEnd w:id="550"/>
      <w:bookmarkEnd w:id="551"/>
      <w:bookmarkEnd w:id="552"/>
      <w:bookmarkEnd w:id="553"/>
      <w:bookmarkEnd w:id="554"/>
      <w:bookmarkEnd w:id="555"/>
      <w:bookmarkEnd w:id="556"/>
    </w:p>
    <w:p>
      <w:pPr>
        <w:snapToGrid w:val="0"/>
        <w:spacing w:line="380" w:lineRule="exact"/>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供应商认为采购人员及其相关人员有法律法规所列与其他供应商有利害关系的，可以向采购人或采购代理机构书面提出回避申请，并说明理由。</w:t>
      </w:r>
    </w:p>
    <w:p>
      <w:pPr>
        <w:pStyle w:val="2"/>
        <w:snapToGrid w:val="0"/>
        <w:spacing w:before="0" w:after="0" w:line="380" w:lineRule="exact"/>
        <w:textAlignment w:val="baseline"/>
        <w:rPr>
          <w:rFonts w:hint="eastAsia" w:ascii="微软雅黑" w:hAnsi="微软雅黑" w:eastAsia="微软雅黑" w:cs="微软雅黑"/>
          <w:sz w:val="24"/>
          <w:szCs w:val="24"/>
          <w:u w:color="000000"/>
        </w:rPr>
      </w:pPr>
      <w:bookmarkStart w:id="557" w:name="_Toc17952"/>
      <w:bookmarkStart w:id="558" w:name="_Toc515647798"/>
      <w:bookmarkStart w:id="559" w:name="_Toc11115"/>
      <w:bookmarkStart w:id="560" w:name="_Toc23729"/>
      <w:bookmarkStart w:id="561" w:name="_Toc1148"/>
      <w:bookmarkStart w:id="562" w:name="_Toc24595"/>
      <w:bookmarkStart w:id="563" w:name="_Toc14325"/>
      <w:bookmarkStart w:id="564" w:name="_Toc15825"/>
      <w:bookmarkStart w:id="565" w:name="_Toc24801"/>
      <w:bookmarkStart w:id="566" w:name="_Toc9031"/>
      <w:bookmarkStart w:id="567" w:name="_Toc30280"/>
      <w:bookmarkStart w:id="568" w:name="_Toc25962"/>
      <w:bookmarkStart w:id="569" w:name="_Toc31508"/>
      <w:r>
        <w:rPr>
          <w:rFonts w:hint="eastAsia" w:ascii="微软雅黑" w:hAnsi="微软雅黑" w:eastAsia="微软雅黑" w:cs="微软雅黑"/>
          <w:sz w:val="24"/>
          <w:szCs w:val="24"/>
          <w:u w:color="000000"/>
        </w:rPr>
        <w:t>36.质疑与接收</w:t>
      </w:r>
      <w:bookmarkEnd w:id="557"/>
      <w:bookmarkEnd w:id="558"/>
      <w:bookmarkEnd w:id="559"/>
      <w:bookmarkEnd w:id="560"/>
      <w:bookmarkEnd w:id="561"/>
      <w:bookmarkEnd w:id="562"/>
      <w:bookmarkEnd w:id="563"/>
      <w:bookmarkEnd w:id="564"/>
      <w:bookmarkEnd w:id="565"/>
      <w:bookmarkEnd w:id="566"/>
      <w:bookmarkEnd w:id="567"/>
      <w:bookmarkEnd w:id="568"/>
      <w:bookmarkEnd w:id="569"/>
    </w:p>
    <w:p>
      <w:pPr>
        <w:snapToGrid w:val="0"/>
        <w:spacing w:line="380" w:lineRule="exact"/>
        <w:ind w:left="708" w:hanging="708" w:hangingChars="29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36.1  供应商认为磋商文件、招标过程和成交结果使自己的权益受到损害的，可以根据《中华人民共和国政府采购法》、《中华人民共和国政府采购法实施条例》、《政府采购竞争性磋商采购方式管理暂行办法》和《政府采购质疑和投诉办法》的有关规定，依法向采购人或其委托的采购代理机构提出质疑。</w:t>
      </w:r>
    </w:p>
    <w:p>
      <w:pPr>
        <w:snapToGrid w:val="0"/>
        <w:spacing w:line="380" w:lineRule="exact"/>
        <w:ind w:left="708" w:hanging="708" w:hangingChars="29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napToGrid w:val="0"/>
        <w:spacing w:line="380" w:lineRule="exact"/>
        <w:ind w:left="718" w:leftChars="342"/>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超出法定质疑期的、重复提出的、分次提出的或内容、形式不符合《政府采购质疑和投诉办法》的，质疑供应商将依法承担不利后果。</w:t>
      </w:r>
    </w:p>
    <w:p>
      <w:pPr>
        <w:snapToGrid w:val="0"/>
        <w:spacing w:line="380" w:lineRule="exact"/>
        <w:ind w:left="708" w:hanging="708" w:hangingChars="29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36.3  采购代理机构质疑函接收部门、联系电话和通讯地址, 见</w:t>
      </w:r>
      <w:r>
        <w:rPr>
          <w:rFonts w:hint="eastAsia" w:ascii="微软雅黑" w:hAnsi="微软雅黑" w:eastAsia="微软雅黑" w:cs="微软雅黑"/>
          <w:sz w:val="24"/>
          <w:szCs w:val="24"/>
          <w:u w:val="single" w:color="000000"/>
        </w:rPr>
        <w:t>供应商须知资料表。</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35.4   质疑的提出</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35.5   本</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中所称质疑及答复，是指参加本次采购活动的供应商对政府采购活动中的</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、采购过程和成交结果向采购方提出质疑，采购方答复质疑的行为。</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35.6   供应商认为</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、采购过程和成交结果使自己的权益受到损害的，可以在知道或者应知其权益受到损害之日起7个工作日内，以书面形式向采购方提出质疑。供应商应知其权益受到损害之日，是指：</w:t>
      </w:r>
    </w:p>
    <w:p>
      <w:pPr>
        <w:snapToGrid w:val="0"/>
        <w:spacing w:line="380" w:lineRule="exact"/>
        <w:ind w:left="718" w:leftChars="342" w:firstLine="60" w:firstLineChars="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（一）对可以质疑的</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提出质疑的，为收到</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之日或者</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公告期限届满之日；</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（二）对采购过程提出质疑的，为各采购程序环节结束之日；</w:t>
      </w:r>
    </w:p>
    <w:p>
      <w:pPr>
        <w:snapToGrid w:val="0"/>
        <w:spacing w:line="380" w:lineRule="exact"/>
        <w:ind w:firstLine="720" w:firstLineChars="3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（三）对成交结果提出质疑的，为成交结果公告期限届满之日。</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35.7   对可以质疑的</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提出质疑的，质疑人为参与本项目的报价方或潜在报价方。可质疑的文件为采购公告以及</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（包括属于其组成部分的澄清、修改、补充文件和评审标准、合同文本等）。</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35.8   对采购过程和成交结果提出质疑的，质疑人为直接参与本项目的报价方。采购过程,即从采购项目信息公告发布起到成交结果公告止，包括</w:t>
      </w: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的发出、提交响应文件、响应文件开启、评审等各个采购程序环节。</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35.9   提出质疑应当符合下列条件：</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（一）质疑主体应当符合有关规定；</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（二）在质疑法定期限内提出；</w:t>
      </w:r>
    </w:p>
    <w:p>
      <w:pPr>
        <w:snapToGrid w:val="0"/>
        <w:spacing w:line="380" w:lineRule="exact"/>
        <w:ind w:left="1138" w:leftChars="456" w:hanging="180" w:hangingChars="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（三）属于可以提出质疑的政府采购事项受理范围和本项目采购人的管辖权范围；</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（四）政府采购法律、法规、规章规定的其他条件。</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35.11  质疑人所提供的证明材料应当具有真实性、合法性以及与质疑事项的关联性和证明力，否则不能作为认定该质疑事项成立的依据。</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35.12  质疑人提出质疑时应当提交质疑函。质疑函包括下列内容：</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（一）提出质疑的质疑人的名称、地址、邮编、联系人及联系电话等；</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（二）质疑项目的名称、编号；</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（三）质疑事项；</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（四）事实依据和证明材料；</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（五）法律依据；</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（六）提出质疑的日期。</w:t>
      </w:r>
    </w:p>
    <w:p>
      <w:pPr>
        <w:snapToGrid w:val="0"/>
        <w:spacing w:line="380" w:lineRule="exact"/>
        <w:ind w:left="958" w:leftChars="456" w:firstLine="60" w:firstLineChars="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质疑函采用实名制。质疑人为自然人的应当由本人签字，并附有效身份证明文件；质疑人为法人或者非法人组织的应当由法定代表人或者负责人签字并加盖公章，并附有效身份证明文件。</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35.13  质疑人可以委托代理人进行质疑。代理人应当提交授权委托书。授权委托书应当载明委托代理的具体权限、期限和相关事项。</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35.14  质疑的审查和受理</w:t>
      </w:r>
    </w:p>
    <w:p>
      <w:pPr>
        <w:snapToGrid w:val="0"/>
        <w:spacing w:line="380" w:lineRule="exact"/>
        <w:ind w:left="958" w:leftChars="456"/>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采购方在收到质疑函后应当及时审查是否符合质疑受理条件，对符合质疑受理条件的，及时予以受理。</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35.15  对不符合质疑受理条件的，分别按照下列不同情形予以处理：</w:t>
      </w:r>
    </w:p>
    <w:p>
      <w:pPr>
        <w:snapToGrid w:val="0"/>
        <w:spacing w:line="380" w:lineRule="exact"/>
        <w:ind w:left="1138" w:leftChars="456" w:hanging="180" w:hangingChars="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（一）质疑函内容不符合规定的，告知质疑人进行修改并重新提出质疑。修改后质疑事项仍不具体、不明确或者最终递交质疑函的时间超过质疑法定期限的，不予受理；</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（二）质疑主体不符合有关规定的，告知质疑人不予受理；</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（三）超过质疑法定期限提出质疑的，告知质疑人不予受理；</w:t>
      </w:r>
    </w:p>
    <w:p>
      <w:pPr>
        <w:snapToGrid w:val="0"/>
        <w:spacing w:line="380" w:lineRule="exact"/>
        <w:ind w:left="958" w:leftChars="342" w:hanging="240" w:hangingChars="1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（四）对不属于可以提出质疑的政府采购事项提出质疑的，告知质疑人不予受理；</w:t>
      </w:r>
    </w:p>
    <w:p>
      <w:pPr>
        <w:snapToGrid w:val="0"/>
        <w:spacing w:line="380" w:lineRule="exact"/>
        <w:ind w:left="718" w:leftChars="342"/>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（五）质疑不属于本项目采购方管辖的，告知质疑人向有管辖权的采购人提出质疑；</w:t>
      </w:r>
    </w:p>
    <w:p>
      <w:pPr>
        <w:snapToGrid w:val="0"/>
        <w:spacing w:line="380" w:lineRule="exact"/>
        <w:ind w:left="239" w:leftChars="114" w:firstLine="540" w:firstLineChars="22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（六）质疑不符合其他条件的，告知质疑人不予受理。</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35.16  质疑的处理和答复</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35.17  采购方受理质疑后，将及时把质疑函发送给被质疑人，并要求其在一定限期内提交书面答复，同时提供有关证据、依据和相关材料。</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35.18  对于质疑事项中涉及的问题较多、情况比较复杂的，为了全面查清事实、取得充分的证据，采购方认为有必要时，可以进行调查取证或者组织质证。</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35.19  对评审过程、成交结果提出质疑的，采购方可以组织原评审委员会协助答复质疑。</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35.20  质疑处理过程中，质疑人书面申请撤回质疑的，将终止质疑处理程序。</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35.21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35.22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35.23  采购方将在正式受理质疑后7个工作日内作出答复。</w:t>
      </w:r>
    </w:p>
    <w:p>
      <w:pPr>
        <w:pStyle w:val="51"/>
        <w:snapToGrid w:val="0"/>
        <w:spacing w:line="380" w:lineRule="exact"/>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35.24  质疑答复应当包括下列内容：</w:t>
      </w:r>
    </w:p>
    <w:p>
      <w:pPr>
        <w:pStyle w:val="51"/>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（一）质疑人的姓名或者名称；</w:t>
      </w:r>
    </w:p>
    <w:p>
      <w:pPr>
        <w:pStyle w:val="51"/>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（二）收到质疑函的日期、质疑项目名称及编号；</w:t>
      </w:r>
    </w:p>
    <w:p>
      <w:pPr>
        <w:pStyle w:val="51"/>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（三）质疑事项、质疑答复的具体内容、事实依据和法律依据；</w:t>
      </w:r>
    </w:p>
    <w:p>
      <w:pPr>
        <w:pStyle w:val="51"/>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（四）告知质疑供应商依法投诉的权利；</w:t>
      </w:r>
    </w:p>
    <w:p>
      <w:pPr>
        <w:pStyle w:val="51"/>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（五）质疑答复人名称；</w:t>
      </w:r>
    </w:p>
    <w:p>
      <w:pPr>
        <w:pStyle w:val="51"/>
        <w:snapToGrid w:val="0"/>
        <w:spacing w:line="380" w:lineRule="exact"/>
        <w:ind w:firstLine="720" w:firstLineChars="3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（六）答复质疑的日期。</w:t>
      </w:r>
    </w:p>
    <w:p>
      <w:pPr>
        <w:snapToGrid w:val="0"/>
        <w:spacing w:line="380" w:lineRule="exact"/>
        <w:jc w:val="center"/>
        <w:textAlignment w:val="baseline"/>
        <w:rPr>
          <w:rFonts w:hint="eastAsia" w:ascii="微软雅黑" w:hAnsi="微软雅黑" w:eastAsia="微软雅黑" w:cs="微软雅黑"/>
          <w:b/>
          <w:bCs/>
          <w:sz w:val="24"/>
          <w:szCs w:val="24"/>
        </w:rPr>
      </w:pPr>
    </w:p>
    <w:p>
      <w:pPr>
        <w:snapToGrid w:val="0"/>
        <w:spacing w:line="380" w:lineRule="exact"/>
        <w:textAlignment w:val="baseline"/>
        <w:rPr>
          <w:rFonts w:hint="eastAsia" w:ascii="微软雅黑" w:hAnsi="微软雅黑" w:eastAsia="微软雅黑" w:cs="微软雅黑"/>
          <w:b/>
          <w:bCs/>
          <w:sz w:val="24"/>
          <w:szCs w:val="24"/>
        </w:rPr>
      </w:pPr>
      <w:bookmarkStart w:id="570" w:name="_Toc24577"/>
      <w:bookmarkStart w:id="571" w:name="_Toc14949"/>
      <w:r>
        <w:rPr>
          <w:rFonts w:hint="eastAsia" w:ascii="微软雅黑" w:hAnsi="微软雅黑" w:eastAsia="微软雅黑" w:cs="微软雅黑"/>
          <w:b/>
          <w:bCs/>
          <w:sz w:val="24"/>
          <w:szCs w:val="24"/>
        </w:rPr>
        <w:t>质疑函范本</w:t>
      </w:r>
      <w:bookmarkEnd w:id="570"/>
      <w:bookmarkEnd w:id="571"/>
    </w:p>
    <w:p>
      <w:pPr>
        <w:snapToGrid w:val="0"/>
        <w:spacing w:line="380" w:lineRule="exact"/>
        <w:textAlignment w:val="baseline"/>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一、质疑供应商基本信息</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质疑供应商：</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地址：</w:t>
      </w:r>
      <w:r>
        <w:rPr>
          <w:rFonts w:hint="eastAsia" w:ascii="微软雅黑" w:hAnsi="微软雅黑" w:eastAsia="微软雅黑" w:cs="微软雅黑"/>
          <w:sz w:val="24"/>
          <w:szCs w:val="24"/>
          <w:u w:val="dotted" w:color="000000"/>
        </w:rPr>
        <w:t xml:space="preserve">                          </w:t>
      </w:r>
      <w:r>
        <w:rPr>
          <w:rFonts w:hint="eastAsia" w:ascii="微软雅黑" w:hAnsi="微软雅黑" w:eastAsia="微软雅黑" w:cs="微软雅黑"/>
          <w:sz w:val="24"/>
          <w:szCs w:val="24"/>
        </w:rPr>
        <w:t>邮编：</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u w:val="dotted" w:color="000000"/>
        </w:rPr>
        <w:t xml:space="preserve">                      </w:t>
      </w:r>
      <w:r>
        <w:rPr>
          <w:rFonts w:hint="eastAsia" w:ascii="微软雅黑" w:hAnsi="微软雅黑" w:eastAsia="微软雅黑" w:cs="微软雅黑"/>
          <w:sz w:val="24"/>
          <w:szCs w:val="24"/>
        </w:rPr>
        <w:t>联系电话：</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授权代表：</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联系电话：</w:t>
      </w:r>
      <w:r>
        <w:rPr>
          <w:rFonts w:hint="eastAsia" w:ascii="微软雅黑" w:hAnsi="微软雅黑" w:eastAsia="微软雅黑" w:cs="微软雅黑"/>
          <w:sz w:val="24"/>
          <w:szCs w:val="24"/>
          <w:u w:val="dotted" w:color="000000"/>
        </w:rPr>
        <w:t xml:space="preserve">                                           </w:t>
      </w:r>
      <w:r>
        <w:rPr>
          <w:rFonts w:hint="eastAsia" w:ascii="微软雅黑" w:hAnsi="微软雅黑" w:eastAsia="微软雅黑" w:cs="微软雅黑"/>
          <w:sz w:val="24"/>
          <w:szCs w:val="24"/>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地址： </w:t>
      </w:r>
      <w:r>
        <w:rPr>
          <w:rFonts w:hint="eastAsia" w:ascii="微软雅黑" w:hAnsi="微软雅黑" w:eastAsia="微软雅黑" w:cs="微软雅黑"/>
          <w:sz w:val="24"/>
          <w:szCs w:val="24"/>
          <w:u w:val="dotted" w:color="000000"/>
        </w:rPr>
        <w:t xml:space="preserve">                        </w:t>
      </w:r>
      <w:r>
        <w:rPr>
          <w:rFonts w:hint="eastAsia" w:ascii="微软雅黑" w:hAnsi="微软雅黑" w:eastAsia="微软雅黑" w:cs="微软雅黑"/>
          <w:sz w:val="24"/>
          <w:szCs w:val="24"/>
        </w:rPr>
        <w:t>邮编：</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二、质疑项目基本情况</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质疑项目的名称：</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质疑项目的编号：</w:t>
      </w:r>
      <w:r>
        <w:rPr>
          <w:rFonts w:hint="eastAsia" w:ascii="微软雅黑" w:hAnsi="微软雅黑" w:eastAsia="微软雅黑" w:cs="微软雅黑"/>
          <w:sz w:val="24"/>
          <w:szCs w:val="24"/>
          <w:u w:val="dotted" w:color="000000"/>
        </w:rPr>
        <w:t xml:space="preserve">               </w:t>
      </w:r>
      <w:r>
        <w:rPr>
          <w:rFonts w:hint="eastAsia" w:ascii="微软雅黑" w:hAnsi="微软雅黑" w:eastAsia="微软雅黑" w:cs="微软雅黑"/>
          <w:sz w:val="24"/>
          <w:szCs w:val="24"/>
        </w:rPr>
        <w:t>包号：</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采购人名称：</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磋商文件</w:t>
      </w:r>
      <w:r>
        <w:rPr>
          <w:rFonts w:hint="eastAsia" w:ascii="微软雅黑" w:hAnsi="微软雅黑" w:eastAsia="微软雅黑" w:cs="微软雅黑"/>
          <w:sz w:val="24"/>
          <w:szCs w:val="24"/>
        </w:rPr>
        <w:t>获取日期：</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三、质疑事项具体内容</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质疑事项1：</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事实依据：</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法律依据：</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质疑事项2</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p>
      <w:pPr>
        <w:snapToGrid w:val="0"/>
        <w:spacing w:line="380" w:lineRule="exact"/>
        <w:textAlignment w:val="baseline"/>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四、与质疑事项相关的质疑请求</w:t>
      </w:r>
    </w:p>
    <w:p>
      <w:pPr>
        <w:snapToGrid w:val="0"/>
        <w:spacing w:line="380" w:lineRule="exact"/>
        <w:textAlignment w:val="baseline"/>
        <w:rPr>
          <w:rFonts w:hint="eastAsia" w:ascii="微软雅黑" w:hAnsi="微软雅黑" w:eastAsia="微软雅黑" w:cs="微软雅黑"/>
          <w:sz w:val="24"/>
          <w:szCs w:val="24"/>
          <w:u w:val="dotted" w:color="000000"/>
        </w:rPr>
      </w:pPr>
      <w:r>
        <w:rPr>
          <w:rFonts w:hint="eastAsia" w:ascii="微软雅黑" w:hAnsi="微软雅黑" w:eastAsia="微软雅黑" w:cs="微软雅黑"/>
          <w:sz w:val="24"/>
          <w:szCs w:val="24"/>
        </w:rPr>
        <w:t>请求：</w:t>
      </w:r>
      <w:r>
        <w:rPr>
          <w:rFonts w:hint="eastAsia" w:ascii="微软雅黑" w:hAnsi="微软雅黑" w:eastAsia="微软雅黑" w:cs="微软雅黑"/>
          <w:sz w:val="24"/>
          <w:szCs w:val="24"/>
          <w:u w:val="dotted" w:color="000000"/>
        </w:rPr>
        <w:t xml:space="preserve">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签字(签章)：                   公章：                      </w:t>
      </w:r>
    </w:p>
    <w:p>
      <w:pPr>
        <w:snapToGrid w:val="0"/>
        <w:spacing w:line="380" w:lineRule="exac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日期：    </w:t>
      </w:r>
    </w:p>
    <w:p>
      <w:pPr>
        <w:snapToGrid w:val="0"/>
        <w:spacing w:line="380" w:lineRule="exact"/>
        <w:textAlignment w:val="baseline"/>
        <w:rPr>
          <w:rFonts w:hint="eastAsia" w:ascii="微软雅黑" w:hAnsi="微软雅黑" w:eastAsia="微软雅黑" w:cs="微软雅黑"/>
          <w:b/>
          <w:sz w:val="24"/>
          <w:szCs w:val="24"/>
        </w:rPr>
      </w:pPr>
    </w:p>
    <w:p>
      <w:pPr>
        <w:snapToGrid w:val="0"/>
        <w:spacing w:line="380" w:lineRule="exact"/>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质疑函制作说明：</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1.供应商提出质疑时，应提交质疑函和必要的证明材料。</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2.质疑供应商若委托代理人进行质疑的，质疑函应按要求列明“授权代表”的有关内容，并在附件中提交由质疑</w:t>
      </w:r>
      <w:r>
        <w:rPr>
          <w:rFonts w:hint="eastAsia" w:ascii="微软雅黑" w:hAnsi="微软雅黑" w:eastAsia="微软雅黑" w:cs="微软雅黑"/>
          <w:kern w:val="0"/>
          <w:sz w:val="24"/>
          <w:szCs w:val="24"/>
        </w:rPr>
        <w:t>供应商签署的授权委托书。授权委托书应载明代理人的姓名或者名称、代理事项、具体权限、期限和相关事项。</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3.质疑供应商若对项目的某一分包进行质疑，质疑函中应列明具体分包号。</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4.质疑函的质疑事项应具体、明确，并有必要的事实依据和法律依据。</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5.质疑函的质疑请求应与质疑事项相关。</w:t>
      </w:r>
    </w:p>
    <w:p>
      <w:pPr>
        <w:widowControl/>
        <w:snapToGrid w:val="0"/>
        <w:spacing w:line="380" w:lineRule="exact"/>
        <w:ind w:firstLine="480" w:firstLineChars="2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6.质疑供应商为自然人的，质疑函应由本人签字；质疑供应商为法人或者其他组织的，质疑函应由法定代表人、主要负责人，或者其授权代表签字或者盖章，并加盖公章。</w:t>
      </w:r>
    </w:p>
    <w:p>
      <w:pPr>
        <w:pStyle w:val="7"/>
        <w:rPr>
          <w:rFonts w:hint="eastAsia" w:ascii="微软雅黑" w:hAnsi="微软雅黑" w:eastAsia="微软雅黑" w:cs="微软雅黑"/>
          <w:sz w:val="24"/>
          <w:szCs w:val="24"/>
        </w:rPr>
      </w:pPr>
    </w:p>
    <w:p>
      <w:pPr>
        <w:rPr>
          <w:rFonts w:ascii="微软雅黑" w:hAnsi="微软雅黑" w:eastAsia="微软雅黑" w:cs="微软雅黑"/>
          <w:sz w:val="24"/>
        </w:rPr>
      </w:pPr>
    </w:p>
    <w:p>
      <w:pPr>
        <w:pStyle w:val="7"/>
        <w:rPr>
          <w:rFonts w:ascii="微软雅黑" w:hAnsi="微软雅黑" w:eastAsia="微软雅黑" w:cs="微软雅黑"/>
        </w:rPr>
      </w:pPr>
    </w:p>
    <w:p>
      <w:pPr>
        <w:pStyle w:val="8"/>
        <w:outlineLvl w:val="9"/>
        <w:rPr>
          <w:rFonts w:ascii="微软雅黑" w:hAnsi="微软雅黑" w:eastAsia="微软雅黑" w:cs="微软雅黑"/>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pStyle w:val="2"/>
        <w:rPr>
          <w:rFonts w:ascii="微软雅黑" w:hAnsi="微软雅黑" w:eastAsia="微软雅黑" w:cs="微软雅黑"/>
          <w:sz w:val="24"/>
        </w:rPr>
      </w:pPr>
    </w:p>
    <w:p/>
    <w:p>
      <w:pPr>
        <w:outlineLvl w:val="9"/>
        <w:rPr>
          <w:rFonts w:ascii="微软雅黑" w:hAnsi="微软雅黑" w:eastAsia="微软雅黑" w:cs="微软雅黑"/>
          <w:sz w:val="24"/>
        </w:rPr>
      </w:pPr>
    </w:p>
    <w:p>
      <w:pPr>
        <w:outlineLvl w:val="9"/>
        <w:rPr>
          <w:rFonts w:ascii="微软雅黑" w:hAnsi="微软雅黑" w:eastAsia="微软雅黑" w:cs="微软雅黑"/>
          <w:sz w:val="24"/>
        </w:rPr>
      </w:pPr>
    </w:p>
    <w:p>
      <w:pPr>
        <w:pStyle w:val="7"/>
        <w:rPr>
          <w:rFonts w:ascii="微软雅黑" w:hAnsi="微软雅黑" w:eastAsia="微软雅黑" w:cs="微软雅黑"/>
        </w:rPr>
      </w:pPr>
    </w:p>
    <w:p>
      <w:pPr>
        <w:pStyle w:val="3"/>
        <w:snapToGrid w:val="0"/>
        <w:spacing w:before="0" w:after="0" w:line="240" w:lineRule="atLeast"/>
        <w:textAlignment w:val="baseline"/>
        <w:rPr>
          <w:rFonts w:ascii="微软雅黑" w:hAnsi="微软雅黑" w:eastAsia="微软雅黑" w:cs="微软雅黑"/>
          <w:sz w:val="24"/>
        </w:rPr>
      </w:pPr>
      <w:bookmarkStart w:id="572" w:name="_Toc702"/>
      <w:bookmarkStart w:id="573" w:name="_Toc4660"/>
      <w:bookmarkStart w:id="574" w:name="_Toc728"/>
      <w:bookmarkStart w:id="575" w:name="_Toc216582812"/>
      <w:bookmarkStart w:id="576" w:name="_Toc12503"/>
      <w:bookmarkStart w:id="577" w:name="_Toc515647802"/>
      <w:r>
        <w:rPr>
          <w:rFonts w:hint="eastAsia" w:ascii="微软雅黑" w:hAnsi="微软雅黑" w:eastAsia="微软雅黑" w:cs="微软雅黑"/>
          <w:sz w:val="24"/>
          <w:szCs w:val="24"/>
        </w:rPr>
        <w:t>第2章 响应文件格式</w:t>
      </w:r>
      <w:bookmarkEnd w:id="572"/>
      <w:bookmarkEnd w:id="573"/>
      <w:bookmarkEnd w:id="574"/>
      <w:bookmarkEnd w:id="575"/>
      <w:bookmarkEnd w:id="576"/>
      <w:bookmarkEnd w:id="577"/>
    </w:p>
    <w:p>
      <w:pPr>
        <w:pStyle w:val="4"/>
        <w:snapToGrid w:val="0"/>
        <w:spacing w:before="0" w:line="240" w:lineRule="atLeast"/>
        <w:ind w:left="1080" w:leftChars="257" w:hanging="540"/>
        <w:textAlignment w:val="baseline"/>
        <w:rPr>
          <w:rFonts w:ascii="微软雅黑" w:hAnsi="微软雅黑" w:eastAsia="微软雅黑" w:cs="微软雅黑"/>
          <w:sz w:val="24"/>
        </w:rPr>
      </w:pPr>
      <w:bookmarkStart w:id="578" w:name="_Toc18974"/>
      <w:bookmarkStart w:id="579" w:name="_Toc27184"/>
      <w:bookmarkStart w:id="580" w:name="_Toc10218"/>
      <w:bookmarkStart w:id="581" w:name="_Toc19961"/>
      <w:bookmarkStart w:id="582" w:name="_Toc26489"/>
      <w:bookmarkStart w:id="583" w:name="_Toc515647803"/>
      <w:bookmarkStart w:id="584" w:name="_Toc18694"/>
      <w:bookmarkStart w:id="585" w:name="_Toc1126"/>
      <w:bookmarkStart w:id="586" w:name="_Toc3315"/>
      <w:r>
        <w:rPr>
          <w:rFonts w:hint="eastAsia" w:ascii="微软雅黑" w:hAnsi="微软雅黑" w:eastAsia="微软雅黑" w:cs="微软雅黑"/>
          <w:sz w:val="24"/>
          <w:szCs w:val="24"/>
        </w:rPr>
        <w:t>第一部分 磋商开启一览表及资格证明文件</w:t>
      </w:r>
      <w:bookmarkEnd w:id="578"/>
      <w:bookmarkEnd w:id="579"/>
      <w:bookmarkEnd w:id="580"/>
      <w:bookmarkEnd w:id="581"/>
      <w:bookmarkEnd w:id="582"/>
      <w:bookmarkEnd w:id="583"/>
      <w:bookmarkEnd w:id="584"/>
      <w:bookmarkEnd w:id="585"/>
      <w:bookmarkEnd w:id="586"/>
    </w:p>
    <w:p>
      <w:pPr>
        <w:tabs>
          <w:tab w:val="left" w:pos="5580"/>
        </w:tabs>
        <w:snapToGrid w:val="0"/>
        <w:spacing w:line="360" w:lineRule="exact"/>
        <w:ind w:firstLine="480" w:firstLineChars="200"/>
        <w:jc w:val="left"/>
        <w:textAlignment w:val="baseline"/>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磋商报价一览表;</w:t>
      </w:r>
    </w:p>
    <w:p>
      <w:pPr>
        <w:pStyle w:val="17"/>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2、符合《中华人民共和国政府采购法》第二十二条的规定,</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①具有独立承担民事责任的能力；（投标时，提供在中华人民共和国境内注册的法人或其他组织的营业执照或事业单位法人证书或社会团体法人登记证书）</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②提供法定代表人资格证明及授权书、被授权人身份证；(法定代表人投标需提供法定代表人身份证)；</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kern w:val="0"/>
          <w:sz w:val="24"/>
          <w:highlight w:val="none"/>
          <w:lang w:val="en-US" w:eastAsia="zh-CN"/>
        </w:rPr>
        <w:t>③</w:t>
      </w:r>
      <w:r>
        <w:rPr>
          <w:rFonts w:hint="eastAsia" w:ascii="微软雅黑" w:hAnsi="微软雅黑" w:eastAsia="微软雅黑" w:cs="微软雅黑"/>
          <w:color w:val="auto"/>
          <w:kern w:val="0"/>
          <w:sz w:val="24"/>
          <w:highlight w:val="none"/>
          <w:lang w:eastAsia="zh-CN"/>
        </w:rPr>
        <w:t>本单位依法缴纳的近</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lang w:eastAsia="zh-CN"/>
        </w:rPr>
        <w:t>个月内任意一个月的社会保险的凭据；</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④</w:t>
      </w:r>
      <w:r>
        <w:rPr>
          <w:rFonts w:hint="eastAsia" w:ascii="微软雅黑" w:hAnsi="微软雅黑" w:eastAsia="微软雅黑" w:cs="微软雅黑"/>
          <w:color w:val="auto"/>
          <w:kern w:val="0"/>
          <w:sz w:val="24"/>
          <w:highlight w:val="none"/>
          <w:lang w:eastAsia="zh-CN"/>
        </w:rPr>
        <w:t>税务部门出具的近</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lang w:eastAsia="zh-CN"/>
        </w:rPr>
        <w:t>个月内任意一个月的完税证明（</w:t>
      </w:r>
      <w:r>
        <w:rPr>
          <w:rFonts w:hint="eastAsia" w:ascii="微软雅黑" w:hAnsi="微软雅黑" w:eastAsia="微软雅黑" w:cs="微软雅黑"/>
          <w:color w:val="auto"/>
          <w:kern w:val="0"/>
          <w:sz w:val="24"/>
          <w:highlight w:val="none"/>
        </w:rPr>
        <w:t>依法免缴的应提供依法免缴的相关证明文件</w:t>
      </w:r>
      <w:r>
        <w:rPr>
          <w:rFonts w:hint="eastAsia" w:ascii="微软雅黑" w:hAnsi="微软雅黑" w:eastAsia="微软雅黑" w:cs="微软雅黑"/>
          <w:color w:val="auto"/>
          <w:kern w:val="0"/>
          <w:sz w:val="24"/>
          <w:highlight w:val="none"/>
          <w:lang w:val="en-US" w:eastAsia="zh-CN"/>
        </w:rPr>
        <w:t>或</w:t>
      </w:r>
      <w:r>
        <w:rPr>
          <w:rFonts w:hint="eastAsia" w:ascii="微软雅黑" w:hAnsi="微软雅黑" w:eastAsia="微软雅黑" w:cs="微软雅黑"/>
          <w:color w:val="auto"/>
          <w:kern w:val="0"/>
          <w:sz w:val="24"/>
          <w:highlight w:val="none"/>
        </w:rPr>
        <w:t>零申报报表</w:t>
      </w:r>
      <w:r>
        <w:rPr>
          <w:rFonts w:hint="eastAsia" w:ascii="微软雅黑" w:hAnsi="微软雅黑" w:eastAsia="微软雅黑" w:cs="微软雅黑"/>
          <w:color w:val="auto"/>
          <w:kern w:val="0"/>
          <w:sz w:val="24"/>
          <w:highlight w:val="none"/>
          <w:lang w:eastAsia="zh-CN"/>
        </w:rPr>
        <w:t>）</w:t>
      </w:r>
      <w:r>
        <w:rPr>
          <w:rFonts w:hint="eastAsia" w:ascii="微软雅黑" w:hAnsi="微软雅黑" w:eastAsia="微软雅黑" w:cs="微软雅黑"/>
          <w:color w:val="auto"/>
          <w:kern w:val="0"/>
          <w:sz w:val="24"/>
          <w:highlight w:val="none"/>
        </w:rPr>
        <w:t>；</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⑤提供近两年任意一年完整的财务审计报告（成立不满一年的可提供近一个月的银行资信证明）</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⑥</w:t>
      </w:r>
      <w:r>
        <w:rPr>
          <w:rFonts w:hint="eastAsia" w:ascii="微软雅黑" w:hAnsi="微软雅黑" w:eastAsia="微软雅黑" w:cs="微软雅黑"/>
          <w:color w:val="auto"/>
          <w:kern w:val="0"/>
          <w:sz w:val="24"/>
          <w:highlight w:val="none"/>
        </w:rPr>
        <w:t>参与政府采购活动前3年内未被列入失信、重大税收违法案件、财政部门禁止参加政府采购活动的承诺书；</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⑦</w:t>
      </w:r>
      <w:r>
        <w:rPr>
          <w:rFonts w:hint="eastAsia" w:ascii="微软雅黑" w:hAnsi="微软雅黑" w:eastAsia="微软雅黑" w:cs="微软雅黑"/>
          <w:color w:val="auto"/>
          <w:kern w:val="0"/>
          <w:sz w:val="24"/>
          <w:highlight w:val="none"/>
        </w:rPr>
        <w:t>提供针对本次项目的反商业贿赂承诺书。</w:t>
      </w:r>
    </w:p>
    <w:p>
      <w:pPr>
        <w:widowControl/>
        <w:snapToGrid w:val="0"/>
        <w:spacing w:line="470" w:lineRule="exact"/>
        <w:ind w:firstLine="480" w:firstLineChars="200"/>
        <w:jc w:val="left"/>
        <w:textAlignment w:val="baseline"/>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⑧根据《财政部关于在政府采购活动中查询及使用信用记录有关问题的通知》（财库﹝2016﹞125号）的要求，凡拟参加本次招标项目的供应商，必须为未被列入“信用中国”网站(www.credit</w:t>
      </w:r>
      <w:r>
        <w:rPr>
          <w:rFonts w:hint="eastAsia" w:ascii="微软雅黑" w:hAnsi="微软雅黑" w:eastAsia="微软雅黑" w:cs="微软雅黑"/>
          <w:color w:val="auto"/>
          <w:kern w:val="0"/>
          <w:sz w:val="24"/>
          <w:highlight w:val="none"/>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color w:val="auto"/>
          <w:kern w:val="0"/>
          <w:sz w:val="24"/>
          <w:highlight w:val="none"/>
          <w:lang w:val="en-US" w:eastAsia="zh-CN"/>
        </w:rPr>
        <w:t>供应商</w:t>
      </w:r>
      <w:r>
        <w:rPr>
          <w:rFonts w:hint="eastAsia" w:ascii="微软雅黑" w:hAnsi="微软雅黑" w:eastAsia="微软雅黑" w:cs="微软雅黑"/>
          <w:color w:val="auto"/>
          <w:kern w:val="0"/>
          <w:sz w:val="24"/>
          <w:highlight w:val="none"/>
        </w:rPr>
        <w:t>，国家企业公示信息系统（www.gsxt.gov.cn）查询诚信记录如有严重行政处罚信息不得参加本项目（须提供查询记录并加盖公章）；</w:t>
      </w:r>
    </w:p>
    <w:p>
      <w:pPr>
        <w:tabs>
          <w:tab w:val="left" w:pos="5580"/>
        </w:tabs>
        <w:snapToGrid w:val="0"/>
        <w:spacing w:line="360" w:lineRule="exact"/>
        <w:ind w:left="1" w:firstLine="559" w:firstLineChars="233"/>
        <w:jc w:val="left"/>
        <w:textAlignment w:val="baseline"/>
        <w:outlineLvl w:val="9"/>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⑨本项目为专门面向中小企业（供应商须根据招标文件中的法定格式填写中小企业声明函）</w:t>
      </w:r>
    </w:p>
    <w:p>
      <w:pPr>
        <w:tabs>
          <w:tab w:val="left" w:pos="5580"/>
        </w:tabs>
        <w:snapToGrid w:val="0"/>
        <w:spacing w:line="360" w:lineRule="exact"/>
        <w:ind w:left="1" w:firstLine="559" w:firstLineChars="233"/>
        <w:jc w:val="left"/>
        <w:textAlignment w:val="baseline"/>
        <w:outlineLvl w:val="9"/>
        <w:rPr>
          <w:rFonts w:ascii="微软雅黑" w:hAnsi="微软雅黑" w:eastAsia="微软雅黑" w:cs="微软雅黑"/>
          <w:sz w:val="24"/>
        </w:rPr>
      </w:pP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.缴纳磋商保证金有效凭证</w:t>
      </w:r>
      <w:r>
        <w:rPr>
          <w:rFonts w:hint="eastAsia" w:ascii="微软雅黑" w:hAnsi="微软雅黑" w:eastAsia="微软雅黑" w:cs="微软雅黑"/>
          <w:color w:val="auto"/>
          <w:kern w:val="0"/>
          <w:sz w:val="24"/>
          <w:highlight w:val="none"/>
        </w:rPr>
        <w:t>；</w:t>
      </w:r>
    </w:p>
    <w:p>
      <w:pPr>
        <w:pStyle w:val="13"/>
        <w:snapToGrid w:val="0"/>
        <w:textAlignment w:val="baseline"/>
        <w:outlineLvl w:val="9"/>
        <w:rPr>
          <w:rFonts w:ascii="微软雅黑" w:hAnsi="微软雅黑" w:eastAsia="微软雅黑" w:cs="微软雅黑"/>
          <w:sz w:val="21"/>
        </w:rPr>
      </w:pPr>
    </w:p>
    <w:p>
      <w:pPr>
        <w:pStyle w:val="7"/>
        <w:rPr>
          <w:rFonts w:ascii="微软雅黑" w:hAnsi="微软雅黑" w:eastAsia="微软雅黑" w:cs="微软雅黑"/>
          <w:sz w:val="21"/>
        </w:rPr>
      </w:pPr>
    </w:p>
    <w:p>
      <w:pPr>
        <w:pStyle w:val="8"/>
        <w:rPr>
          <w:rFonts w:ascii="微软雅黑" w:hAnsi="微软雅黑" w:eastAsia="微软雅黑" w:cs="微软雅黑"/>
          <w:sz w:val="21"/>
        </w:rPr>
      </w:pPr>
    </w:p>
    <w:p>
      <w:pPr>
        <w:rPr>
          <w:rFonts w:ascii="微软雅黑" w:hAnsi="微软雅黑" w:eastAsia="微软雅黑" w:cs="微软雅黑"/>
          <w:sz w:val="21"/>
        </w:rPr>
      </w:pPr>
    </w:p>
    <w:p>
      <w:pPr>
        <w:pStyle w:val="2"/>
        <w:rPr>
          <w:rFonts w:ascii="微软雅黑" w:hAnsi="微软雅黑" w:eastAsia="微软雅黑" w:cs="微软雅黑"/>
          <w:sz w:val="21"/>
        </w:rPr>
      </w:pPr>
    </w:p>
    <w:p/>
    <w:p>
      <w:pPr>
        <w:pStyle w:val="8"/>
      </w:pPr>
    </w:p>
    <w:p>
      <w:pPr>
        <w:pStyle w:val="13"/>
        <w:snapToGrid w:val="0"/>
        <w:textAlignment w:val="baseline"/>
        <w:outlineLvl w:val="9"/>
        <w:rPr>
          <w:rFonts w:ascii="微软雅黑" w:hAnsi="微软雅黑" w:eastAsia="微软雅黑" w:cs="微软雅黑"/>
          <w:sz w:val="21"/>
        </w:rPr>
      </w:pPr>
    </w:p>
    <w:p>
      <w:pPr>
        <w:outlineLvl w:val="9"/>
        <w:rPr>
          <w:rFonts w:ascii="微软雅黑" w:hAnsi="微软雅黑" w:eastAsia="微软雅黑" w:cs="微软雅黑"/>
          <w:sz w:val="21"/>
        </w:rPr>
      </w:pPr>
    </w:p>
    <w:p>
      <w:pPr>
        <w:pStyle w:val="4"/>
        <w:snapToGrid w:val="0"/>
        <w:spacing w:before="0" w:line="400" w:lineRule="atLeast"/>
        <w:jc w:val="both"/>
        <w:textAlignment w:val="baseline"/>
        <w:rPr>
          <w:rFonts w:ascii="微软雅黑" w:hAnsi="微软雅黑" w:eastAsia="微软雅黑" w:cs="微软雅黑"/>
          <w:color w:val="auto"/>
          <w:sz w:val="24"/>
          <w:szCs w:val="24"/>
        </w:rPr>
      </w:pPr>
      <w:bookmarkStart w:id="587" w:name="_Toc11175"/>
      <w:bookmarkStart w:id="588" w:name="_Toc30468"/>
      <w:bookmarkStart w:id="589" w:name="_Toc24216"/>
      <w:bookmarkStart w:id="590" w:name="_Toc480942349"/>
      <w:bookmarkStart w:id="591" w:name="_Toc520356217"/>
      <w:bookmarkStart w:id="592" w:name="_Toc216582813"/>
      <w:bookmarkStart w:id="593" w:name="_Ref467988698"/>
      <w:r>
        <w:rPr>
          <w:rFonts w:hint="eastAsia" w:ascii="微软雅黑" w:hAnsi="微软雅黑" w:eastAsia="微软雅黑" w:cs="微软雅黑"/>
          <w:color w:val="auto"/>
          <w:sz w:val="24"/>
          <w:szCs w:val="24"/>
        </w:rPr>
        <w:t>1、磋商报价一览表</w:t>
      </w:r>
      <w:bookmarkEnd w:id="587"/>
      <w:bookmarkEnd w:id="588"/>
      <w:bookmarkEnd w:id="589"/>
    </w:p>
    <w:p>
      <w:pPr>
        <w:pStyle w:val="7"/>
        <w:tabs>
          <w:tab w:val="left" w:pos="5580"/>
        </w:tabs>
        <w:snapToGrid w:val="0"/>
        <w:spacing w:line="400" w:lineRule="atLeast"/>
        <w:ind w:firstLine="0"/>
        <w:jc w:val="center"/>
        <w:textAlignment w:val="baseline"/>
        <w:rPr>
          <w:rFonts w:ascii="微软雅黑" w:hAnsi="微软雅黑" w:eastAsia="微软雅黑" w:cs="微软雅黑"/>
          <w:color w:val="auto"/>
          <w:szCs w:val="24"/>
        </w:rPr>
      </w:pPr>
      <w:bookmarkStart w:id="594" w:name="_Hlt520356241"/>
      <w:bookmarkEnd w:id="594"/>
      <w:r>
        <w:rPr>
          <w:rFonts w:hint="eastAsia" w:ascii="微软雅黑" w:hAnsi="微软雅黑" w:eastAsia="微软雅黑" w:cs="微软雅黑"/>
          <w:b/>
          <w:color w:val="auto"/>
          <w:szCs w:val="24"/>
        </w:rPr>
        <w:t>磋商报价一览表</w:t>
      </w:r>
    </w:p>
    <w:p>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项目编号：                        </w:t>
      </w:r>
    </w:p>
    <w:p>
      <w:pPr>
        <w:tabs>
          <w:tab w:val="left" w:pos="1800"/>
          <w:tab w:val="left" w:pos="5580"/>
        </w:tabs>
        <w:snapToGrid w:val="0"/>
        <w:spacing w:line="400" w:lineRule="atLeast"/>
        <w:ind w:left="1080" w:leftChars="257" w:right="-867" w:hanging="54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报价单位：人民币  </w:t>
      </w:r>
      <w:r>
        <w:rPr>
          <w:rFonts w:hint="eastAsia" w:ascii="微软雅黑" w:hAnsi="微软雅黑" w:eastAsia="微软雅黑" w:cs="微软雅黑"/>
          <w:b/>
          <w:color w:val="auto"/>
          <w:sz w:val="24"/>
        </w:rPr>
        <w:t>万元</w:t>
      </w:r>
    </w:p>
    <w:tbl>
      <w:tblPr>
        <w:tblStyle w:val="37"/>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5"/>
        <w:gridCol w:w="1544"/>
        <w:gridCol w:w="2001"/>
        <w:gridCol w:w="1291"/>
        <w:gridCol w:w="1291"/>
        <w:gridCol w:w="1448"/>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295" w:type="dxa"/>
            <w:vAlign w:val="center"/>
          </w:tcPr>
          <w:p>
            <w:pPr>
              <w:tabs>
                <w:tab w:val="left" w:pos="5580"/>
              </w:tabs>
              <w:snapToGrid w:val="0"/>
              <w:spacing w:line="400" w:lineRule="atLeast"/>
              <w:ind w:right="-199"/>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名称</w:t>
            </w:r>
          </w:p>
        </w:tc>
        <w:tc>
          <w:tcPr>
            <w:tcW w:w="1544" w:type="dxa"/>
            <w:vAlign w:val="center"/>
          </w:tcPr>
          <w:p>
            <w:pPr>
              <w:tabs>
                <w:tab w:val="left" w:pos="5580"/>
              </w:tabs>
              <w:snapToGrid w:val="0"/>
              <w:spacing w:line="400" w:lineRule="atLeas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总报价</w:t>
            </w:r>
          </w:p>
        </w:tc>
        <w:tc>
          <w:tcPr>
            <w:tcW w:w="2001" w:type="dxa"/>
            <w:vAlign w:val="center"/>
          </w:tcPr>
          <w:p>
            <w:pPr>
              <w:tabs>
                <w:tab w:val="left" w:pos="5580"/>
              </w:tabs>
              <w:snapToGrid w:val="0"/>
              <w:spacing w:line="400" w:lineRule="atLeas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磋商保证金</w:t>
            </w:r>
          </w:p>
        </w:tc>
        <w:tc>
          <w:tcPr>
            <w:tcW w:w="1291" w:type="dxa"/>
            <w:vAlign w:val="center"/>
          </w:tcPr>
          <w:p>
            <w:pPr>
              <w:tabs>
                <w:tab w:val="left" w:pos="5580"/>
              </w:tabs>
              <w:snapToGrid w:val="0"/>
              <w:spacing w:line="400" w:lineRule="atLeast"/>
              <w:jc w:val="center"/>
              <w:textAlignment w:val="baseline"/>
              <w:rPr>
                <w:rFonts w:hint="eastAsia"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项目负责人姓 名及注册证号</w:t>
            </w:r>
          </w:p>
        </w:tc>
        <w:tc>
          <w:tcPr>
            <w:tcW w:w="1291" w:type="dxa"/>
            <w:vAlign w:val="center"/>
          </w:tcPr>
          <w:p>
            <w:pPr>
              <w:tabs>
                <w:tab w:val="left" w:pos="5580"/>
              </w:tabs>
              <w:snapToGrid w:val="0"/>
              <w:spacing w:line="400" w:lineRule="atLeast"/>
              <w:jc w:val="center"/>
              <w:textAlignment w:val="baseline"/>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val="en-US" w:eastAsia="zh-CN"/>
              </w:rPr>
              <w:t>工期</w:t>
            </w:r>
          </w:p>
        </w:tc>
        <w:tc>
          <w:tcPr>
            <w:tcW w:w="1448" w:type="dxa"/>
            <w:vAlign w:val="center"/>
          </w:tcPr>
          <w:p>
            <w:pPr>
              <w:tabs>
                <w:tab w:val="left" w:pos="5580"/>
              </w:tabs>
              <w:snapToGrid w:val="0"/>
              <w:spacing w:line="400" w:lineRule="atLeast"/>
              <w:jc w:val="center"/>
              <w:textAlignment w:val="baseline"/>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工程质量</w:t>
            </w:r>
          </w:p>
        </w:tc>
        <w:tc>
          <w:tcPr>
            <w:tcW w:w="1448" w:type="dxa"/>
            <w:vAlign w:val="center"/>
          </w:tcPr>
          <w:p>
            <w:pPr>
              <w:tabs>
                <w:tab w:val="left" w:pos="5580"/>
              </w:tabs>
              <w:snapToGrid w:val="0"/>
              <w:spacing w:line="400" w:lineRule="atLeast"/>
              <w:jc w:val="center"/>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16" w:hRule="atLeast"/>
          <w:jc w:val="center"/>
        </w:trPr>
        <w:tc>
          <w:tcPr>
            <w:tcW w:w="1295"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1544" w:type="dxa"/>
            <w:vAlign w:val="center"/>
          </w:tcPr>
          <w:p>
            <w:pPr>
              <w:tabs>
                <w:tab w:val="left" w:pos="5580"/>
              </w:tabs>
              <w:snapToGrid w:val="0"/>
              <w:spacing w:line="400" w:lineRule="atLeas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大写：</w:t>
            </w:r>
          </w:p>
          <w:p>
            <w:pPr>
              <w:tabs>
                <w:tab w:val="left" w:pos="5580"/>
              </w:tabs>
              <w:snapToGrid w:val="0"/>
              <w:spacing w:line="400" w:lineRule="atLeast"/>
              <w:jc w:val="lef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小写：</w:t>
            </w:r>
          </w:p>
        </w:tc>
        <w:tc>
          <w:tcPr>
            <w:tcW w:w="2001"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1291"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1291"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1448"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c>
          <w:tcPr>
            <w:tcW w:w="1448" w:type="dxa"/>
            <w:vAlign w:val="center"/>
          </w:tcPr>
          <w:p>
            <w:pPr>
              <w:tabs>
                <w:tab w:val="left" w:pos="5580"/>
              </w:tabs>
              <w:snapToGrid w:val="0"/>
              <w:spacing w:line="400" w:lineRule="atLeast"/>
              <w:ind w:left="1080" w:leftChars="257" w:hanging="540"/>
              <w:jc w:val="center"/>
              <w:textAlignment w:val="baseline"/>
              <w:rPr>
                <w:rFonts w:ascii="微软雅黑" w:hAnsi="微软雅黑" w:eastAsia="微软雅黑" w:cs="微软雅黑"/>
                <w:color w:val="auto"/>
                <w:sz w:val="24"/>
              </w:rPr>
            </w:pPr>
          </w:p>
        </w:tc>
      </w:tr>
    </w:tbl>
    <w:p>
      <w:pPr>
        <w:pStyle w:val="17"/>
        <w:tabs>
          <w:tab w:val="left" w:pos="5580"/>
        </w:tabs>
        <w:snapToGrid w:val="0"/>
        <w:spacing w:line="400" w:lineRule="atLeast"/>
        <w:textAlignment w:val="baseline"/>
        <w:rPr>
          <w:rFonts w:ascii="微软雅黑" w:hAnsi="微软雅黑" w:eastAsia="微软雅黑" w:cs="微软雅黑"/>
          <w:color w:val="auto"/>
          <w:sz w:val="24"/>
          <w:szCs w:val="24"/>
          <w:u w:val="single" w:color="000000"/>
        </w:rPr>
      </w:pP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供应商名称（公章）：</w:t>
      </w:r>
      <w:r>
        <w:rPr>
          <w:rFonts w:hint="eastAsia" w:ascii="微软雅黑" w:hAnsi="微软雅黑" w:eastAsia="微软雅黑" w:cs="微软雅黑"/>
          <w:color w:val="auto"/>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法定代表人或委托代理(签字):</w:t>
      </w:r>
      <w:r>
        <w:rPr>
          <w:rFonts w:hint="eastAsia" w:ascii="微软雅黑" w:hAnsi="微软雅黑" w:eastAsia="微软雅黑" w:cs="微软雅黑"/>
          <w:color w:val="auto"/>
          <w:sz w:val="24"/>
          <w:szCs w:val="24"/>
          <w:u w:val="single" w:color="000000"/>
        </w:rPr>
        <w:tab/>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p>
    <w:p>
      <w:pPr>
        <w:pStyle w:val="18"/>
        <w:ind w:left="0" w:leftChars="0"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注:1、此表中，磋商总价应和磋商分项报价表的总价相一致。</w:t>
      </w:r>
    </w:p>
    <w:p>
      <w:pPr>
        <w:pStyle w:val="18"/>
        <w:ind w:left="0" w:leftChars="0" w:firstLine="0" w:firstLine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2、投标总价为“磋商分项报价表”中单价的合计金额。</w:t>
      </w:r>
    </w:p>
    <w:p>
      <w:pPr>
        <w:pStyle w:val="18"/>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outlineLvl w:val="9"/>
        <w:rPr>
          <w:rFonts w:hint="eastAsia" w:ascii="微软雅黑" w:hAnsi="微软雅黑" w:eastAsia="微软雅黑" w:cs="微软雅黑"/>
          <w:color w:val="auto"/>
          <w:sz w:val="24"/>
          <w:szCs w:val="24"/>
        </w:rPr>
      </w:pPr>
    </w:p>
    <w:p>
      <w:pPr>
        <w:outlineLvl w:val="9"/>
        <w:rPr>
          <w:rFonts w:hint="eastAsia" w:ascii="微软雅黑" w:hAnsi="微软雅黑" w:eastAsia="微软雅黑" w:cs="微软雅黑"/>
          <w:color w:val="auto"/>
          <w:sz w:val="24"/>
          <w:szCs w:val="24"/>
        </w:rPr>
      </w:pPr>
    </w:p>
    <w:p>
      <w:pPr>
        <w:pStyle w:val="36"/>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36"/>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36"/>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36"/>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36"/>
        <w:rPr>
          <w:rFonts w:hint="eastAsia" w:ascii="微软雅黑" w:hAnsi="微软雅黑" w:eastAsia="微软雅黑" w:cs="微软雅黑"/>
          <w:color w:val="auto"/>
          <w:sz w:val="24"/>
          <w:szCs w:val="24"/>
        </w:rPr>
      </w:pPr>
    </w:p>
    <w:p>
      <w:pPr>
        <w:rPr>
          <w:rFonts w:hint="eastAsia"/>
          <w:color w:val="auto"/>
        </w:rPr>
      </w:pPr>
    </w:p>
    <w:p>
      <w:pPr>
        <w:rPr>
          <w:rFonts w:hint="eastAsia"/>
          <w:color w:val="auto"/>
        </w:rPr>
      </w:pPr>
    </w:p>
    <w:p>
      <w:pPr>
        <w:rPr>
          <w:rFonts w:hint="eastAsia"/>
          <w:color w:val="auto"/>
        </w:rPr>
      </w:pPr>
    </w:p>
    <w:p>
      <w:pPr>
        <w:rPr>
          <w:color w:val="auto"/>
        </w:rPr>
      </w:pPr>
    </w:p>
    <w:p>
      <w:pPr>
        <w:pStyle w:val="17"/>
        <w:tabs>
          <w:tab w:val="left" w:pos="5580"/>
        </w:tabs>
        <w:snapToGrid w:val="0"/>
        <w:spacing w:line="400" w:lineRule="atLeast"/>
        <w:textAlignment w:val="baseline"/>
        <w:rPr>
          <w:rFonts w:ascii="微软雅黑" w:hAnsi="微软雅黑" w:eastAsia="微软雅黑" w:cs="微软雅黑"/>
          <w:b/>
          <w:color w:val="auto"/>
          <w:sz w:val="24"/>
          <w:szCs w:val="24"/>
        </w:rPr>
      </w:pPr>
    </w:p>
    <w:p>
      <w:pPr>
        <w:spacing w:before="72" w:line="220" w:lineRule="auto"/>
        <w:ind w:left="396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14:textOutline w14:w="4013" w14:cap="sq" w14:cmpd="sng">
            <w14:solidFill>
              <w14:srgbClr w14:val="000000"/>
            </w14:solidFill>
            <w14:prstDash w14:val="solid"/>
            <w14:bevel/>
          </w14:textOutline>
        </w:rPr>
        <w:t>附</w:t>
      </w:r>
      <w:r>
        <w:rPr>
          <w:rFonts w:hint="eastAsia" w:ascii="微软雅黑" w:hAnsi="微软雅黑" w:eastAsia="微软雅黑" w:cs="微软雅黑"/>
          <w:color w:val="auto"/>
          <w:spacing w:val="-3"/>
          <w:sz w:val="24"/>
          <w:szCs w:val="24"/>
        </w:rPr>
        <w:t xml:space="preserve">  </w:t>
      </w:r>
      <w:r>
        <w:rPr>
          <w:rFonts w:hint="eastAsia" w:ascii="微软雅黑" w:hAnsi="微软雅黑" w:eastAsia="微软雅黑" w:cs="微软雅黑"/>
          <w:color w:val="auto"/>
          <w:spacing w:val="-3"/>
          <w:sz w:val="24"/>
          <w:szCs w:val="24"/>
          <w14:textOutline w14:w="4013" w14:cap="sq" w14:cmpd="sng">
            <w14:solidFill>
              <w14:srgbClr w14:val="000000"/>
            </w14:solidFill>
            <w14:prstDash w14:val="solid"/>
            <w14:bevel/>
          </w14:textOutline>
        </w:rPr>
        <w:t>录</w:t>
      </w:r>
    </w:p>
    <w:p>
      <w:pPr>
        <w:spacing w:before="187" w:line="229" w:lineRule="auto"/>
        <w:ind w:left="12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项</w:t>
      </w:r>
      <w:r>
        <w:rPr>
          <w:rFonts w:hint="eastAsia" w:ascii="微软雅黑" w:hAnsi="微软雅黑" w:eastAsia="微软雅黑" w:cs="微软雅黑"/>
          <w:color w:val="auto"/>
          <w:spacing w:val="5"/>
          <w:sz w:val="24"/>
          <w:szCs w:val="24"/>
        </w:rPr>
        <w:t>目名称：</w:t>
      </w:r>
    </w:p>
    <w:p>
      <w:pPr>
        <w:rPr>
          <w:rFonts w:hint="eastAsia" w:ascii="微软雅黑" w:hAnsi="微软雅黑" w:eastAsia="微软雅黑" w:cs="微软雅黑"/>
          <w:color w:val="auto"/>
          <w:sz w:val="24"/>
          <w:szCs w:val="24"/>
        </w:rPr>
      </w:pPr>
    </w:p>
    <w:p>
      <w:pPr>
        <w:spacing w:line="87" w:lineRule="exact"/>
        <w:rPr>
          <w:rFonts w:hint="eastAsia" w:ascii="微软雅黑" w:hAnsi="微软雅黑" w:eastAsia="微软雅黑" w:cs="微软雅黑"/>
          <w:color w:val="auto"/>
          <w:sz w:val="24"/>
          <w:szCs w:val="24"/>
        </w:rPr>
      </w:pPr>
    </w:p>
    <w:tbl>
      <w:tblPr>
        <w:tblStyle w:val="92"/>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029"/>
        <w:gridCol w:w="1996"/>
        <w:gridCol w:w="2341"/>
        <w:gridCol w:w="9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1" w:type="dxa"/>
            <w:vAlign w:val="top"/>
          </w:tcPr>
          <w:p>
            <w:pPr>
              <w:spacing w:before="178" w:line="230" w:lineRule="auto"/>
              <w:ind w:left="15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14:textOutline w14:w="3797" w14:cap="sq" w14:cmpd="sng">
                  <w14:solidFill>
                    <w14:srgbClr w14:val="000000"/>
                  </w14:solidFill>
                  <w14:prstDash w14:val="solid"/>
                  <w14:bevel/>
                </w14:textOutline>
              </w:rPr>
              <w:t>序号</w:t>
            </w:r>
          </w:p>
        </w:tc>
        <w:tc>
          <w:tcPr>
            <w:tcW w:w="3029" w:type="dxa"/>
            <w:vAlign w:val="top"/>
          </w:tcPr>
          <w:p>
            <w:pPr>
              <w:spacing w:before="178" w:line="228" w:lineRule="auto"/>
              <w:ind w:left="109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14:textOutline w14:w="3797" w14:cap="sq" w14:cmpd="sng">
                  <w14:solidFill>
                    <w14:srgbClr w14:val="000000"/>
                  </w14:solidFill>
                  <w14:prstDash w14:val="solid"/>
                  <w14:bevel/>
                </w14:textOutline>
              </w:rPr>
              <w:t>条款内容</w:t>
            </w:r>
          </w:p>
        </w:tc>
        <w:tc>
          <w:tcPr>
            <w:tcW w:w="1996" w:type="dxa"/>
            <w:vAlign w:val="top"/>
          </w:tcPr>
          <w:p>
            <w:pPr>
              <w:spacing w:before="177" w:line="228" w:lineRule="auto"/>
              <w:ind w:left="47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14:textOutline w14:w="3797" w14:cap="sq" w14:cmpd="sng">
                  <w14:solidFill>
                    <w14:srgbClr w14:val="000000"/>
                  </w14:solidFill>
                  <w14:prstDash w14:val="solid"/>
                  <w14:bevel/>
                </w14:textOutline>
              </w:rPr>
              <w:t>采购人要</w:t>
            </w:r>
            <w:r>
              <w:rPr>
                <w:rFonts w:hint="eastAsia" w:ascii="微软雅黑" w:hAnsi="微软雅黑" w:eastAsia="微软雅黑" w:cs="微软雅黑"/>
                <w:color w:val="auto"/>
                <w:spacing w:val="8"/>
                <w:sz w:val="24"/>
                <w:szCs w:val="24"/>
                <w14:textOutline w14:w="3797" w14:cap="sq" w14:cmpd="sng">
                  <w14:solidFill>
                    <w14:srgbClr w14:val="000000"/>
                  </w14:solidFill>
                  <w14:prstDash w14:val="solid"/>
                  <w14:bevel/>
                </w14:textOutline>
              </w:rPr>
              <w:t>求</w:t>
            </w:r>
          </w:p>
        </w:tc>
        <w:tc>
          <w:tcPr>
            <w:tcW w:w="2341" w:type="dxa"/>
            <w:vAlign w:val="top"/>
          </w:tcPr>
          <w:p>
            <w:pPr>
              <w:spacing w:before="178" w:line="228" w:lineRule="auto"/>
              <w:ind w:left="65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14:textOutline w14:w="3797" w14:cap="sq" w14:cmpd="sng">
                  <w14:solidFill>
                    <w14:srgbClr w14:val="000000"/>
                  </w14:solidFill>
                  <w14:prstDash w14:val="solid"/>
                  <w14:bevel/>
                </w14:textOutline>
              </w:rPr>
              <w:t>投标人承诺</w:t>
            </w:r>
          </w:p>
        </w:tc>
        <w:tc>
          <w:tcPr>
            <w:tcW w:w="985" w:type="dxa"/>
            <w:vAlign w:val="top"/>
          </w:tcPr>
          <w:p>
            <w:pPr>
              <w:spacing w:before="178" w:line="230" w:lineRule="auto"/>
              <w:ind w:left="29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14:textOutline w14:w="3797" w14:cap="sq" w14:cmpd="sng">
                  <w14:solidFill>
                    <w14:srgbClr w14:val="000000"/>
                  </w14:solidFill>
                  <w14:prstDash w14:val="solid"/>
                  <w14:bevel/>
                </w14:textOutline>
              </w:rPr>
              <w:t>备</w:t>
            </w:r>
            <w:r>
              <w:rPr>
                <w:rFonts w:hint="eastAsia" w:ascii="微软雅黑" w:hAnsi="微软雅黑" w:eastAsia="微软雅黑" w:cs="微软雅黑"/>
                <w:color w:val="auto"/>
                <w:spacing w:val="4"/>
                <w:sz w:val="24"/>
                <w:szCs w:val="24"/>
                <w14:textOutline w14:w="3797"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1" w:type="dxa"/>
            <w:vAlign w:val="top"/>
          </w:tcPr>
          <w:p>
            <w:pPr>
              <w:spacing w:before="204" w:line="193" w:lineRule="auto"/>
              <w:ind w:left="333"/>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3029" w:type="dxa"/>
            <w:vAlign w:val="top"/>
          </w:tcPr>
          <w:p>
            <w:pPr>
              <w:spacing w:before="173" w:line="228" w:lineRule="auto"/>
              <w:ind w:left="99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项</w:t>
            </w:r>
            <w:r>
              <w:rPr>
                <w:rFonts w:hint="eastAsia" w:ascii="微软雅黑" w:hAnsi="微软雅黑" w:eastAsia="微软雅黑" w:cs="微软雅黑"/>
                <w:color w:val="auto"/>
                <w:spacing w:val="7"/>
                <w:sz w:val="24"/>
                <w:szCs w:val="24"/>
              </w:rPr>
              <w:t>目负责人</w:t>
            </w:r>
          </w:p>
        </w:tc>
        <w:tc>
          <w:tcPr>
            <w:tcW w:w="1996" w:type="dxa"/>
            <w:vAlign w:val="top"/>
          </w:tcPr>
          <w:p>
            <w:pPr>
              <w:spacing w:before="158" w:line="229" w:lineRule="auto"/>
              <w:ind w:left="11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投</w:t>
            </w:r>
            <w:r>
              <w:rPr>
                <w:rFonts w:hint="eastAsia" w:ascii="微软雅黑" w:hAnsi="微软雅黑" w:eastAsia="微软雅黑" w:cs="微软雅黑"/>
                <w:color w:val="auto"/>
                <w:spacing w:val="8"/>
                <w:sz w:val="24"/>
                <w:szCs w:val="24"/>
              </w:rPr>
              <w:t>标人须知资料表</w:t>
            </w:r>
          </w:p>
        </w:tc>
        <w:tc>
          <w:tcPr>
            <w:tcW w:w="2341" w:type="dxa"/>
            <w:vAlign w:val="top"/>
          </w:tcPr>
          <w:p>
            <w:pPr>
              <w:spacing w:before="173" w:line="228" w:lineRule="auto"/>
              <w:ind w:left="1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姓名：</w:t>
            </w:r>
            <w:r>
              <w:rPr>
                <w:rFonts w:hint="eastAsia" w:ascii="微软雅黑" w:hAnsi="微软雅黑" w:eastAsia="微软雅黑" w:cs="微软雅黑"/>
                <w:color w:val="auto"/>
                <w:sz w:val="24"/>
                <w:szCs w:val="24"/>
                <w:u w:val="single" w:color="auto"/>
              </w:rPr>
              <w:t xml:space="preserve">             </w:t>
            </w: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pPr>
              <w:spacing w:before="208" w:line="192" w:lineRule="auto"/>
              <w:ind w:left="3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3029" w:type="dxa"/>
            <w:vAlign w:val="top"/>
          </w:tcPr>
          <w:p>
            <w:pPr>
              <w:spacing w:before="175" w:line="229" w:lineRule="auto"/>
              <w:ind w:left="131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工</w:t>
            </w:r>
            <w:r>
              <w:rPr>
                <w:rFonts w:hint="eastAsia" w:ascii="微软雅黑" w:hAnsi="微软雅黑" w:eastAsia="微软雅黑" w:cs="微软雅黑"/>
                <w:color w:val="auto"/>
                <w:spacing w:val="3"/>
                <w:sz w:val="24"/>
                <w:szCs w:val="24"/>
              </w:rPr>
              <w:t>期</w:t>
            </w:r>
          </w:p>
        </w:tc>
        <w:tc>
          <w:tcPr>
            <w:tcW w:w="1996" w:type="dxa"/>
            <w:vAlign w:val="top"/>
          </w:tcPr>
          <w:p>
            <w:pPr>
              <w:spacing w:before="158" w:line="229" w:lineRule="auto"/>
              <w:ind w:left="903"/>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天</w:t>
            </w:r>
          </w:p>
        </w:tc>
        <w:tc>
          <w:tcPr>
            <w:tcW w:w="2341" w:type="dxa"/>
            <w:vAlign w:val="top"/>
          </w:tcPr>
          <w:p>
            <w:pPr>
              <w:spacing w:before="175" w:line="228" w:lineRule="auto"/>
              <w:ind w:left="11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天</w:t>
            </w:r>
            <w:r>
              <w:rPr>
                <w:rFonts w:hint="eastAsia" w:ascii="微软雅黑" w:hAnsi="微软雅黑" w:eastAsia="微软雅黑" w:cs="微软雅黑"/>
                <w:color w:val="auto"/>
                <w:spacing w:val="-7"/>
                <w:sz w:val="24"/>
                <w:szCs w:val="24"/>
              </w:rPr>
              <w:t>数：</w:t>
            </w:r>
            <w:r>
              <w:rPr>
                <w:rFonts w:hint="eastAsia" w:ascii="微软雅黑" w:hAnsi="微软雅黑" w:eastAsia="微软雅黑" w:cs="微软雅黑"/>
                <w:color w:val="auto"/>
                <w:spacing w:val="-7"/>
                <w:sz w:val="24"/>
                <w:szCs w:val="24"/>
                <w:u w:val="single" w:color="auto"/>
              </w:rPr>
              <w:t xml:space="preserve">   </w:t>
            </w:r>
            <w:r>
              <w:rPr>
                <w:rFonts w:hint="eastAsia" w:ascii="微软雅黑" w:hAnsi="微软雅黑" w:eastAsia="微软雅黑" w:cs="微软雅黑"/>
                <w:color w:val="auto"/>
                <w:spacing w:val="-7"/>
                <w:sz w:val="24"/>
                <w:szCs w:val="24"/>
                <w:u w:val="single" w:color="auto"/>
                <w:lang w:val="en-US" w:eastAsia="zh-CN"/>
              </w:rPr>
              <w:t>20</w:t>
            </w:r>
            <w:r>
              <w:rPr>
                <w:rFonts w:hint="eastAsia" w:ascii="微软雅黑" w:hAnsi="微软雅黑" w:eastAsia="微软雅黑" w:cs="微软雅黑"/>
                <w:color w:val="auto"/>
                <w:spacing w:val="-7"/>
                <w:sz w:val="24"/>
                <w:szCs w:val="24"/>
                <w:u w:val="single" w:color="auto"/>
              </w:rPr>
              <w:t xml:space="preserve">  </w:t>
            </w:r>
            <w:r>
              <w:rPr>
                <w:rFonts w:hint="eastAsia" w:ascii="微软雅黑" w:hAnsi="微软雅黑" w:eastAsia="微软雅黑" w:cs="微软雅黑"/>
                <w:color w:val="auto"/>
                <w:spacing w:val="-7"/>
                <w:sz w:val="24"/>
                <w:szCs w:val="24"/>
              </w:rPr>
              <w:t>日历天</w:t>
            </w: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31" w:type="dxa"/>
            <w:vAlign w:val="top"/>
          </w:tcPr>
          <w:p>
            <w:pPr>
              <w:spacing w:before="238" w:line="190" w:lineRule="auto"/>
              <w:ind w:left="32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3029" w:type="dxa"/>
            <w:vAlign w:val="top"/>
          </w:tcPr>
          <w:p>
            <w:pPr>
              <w:spacing w:before="205" w:line="229" w:lineRule="auto"/>
              <w:ind w:left="109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质量标准</w:t>
            </w:r>
          </w:p>
        </w:tc>
        <w:tc>
          <w:tcPr>
            <w:tcW w:w="1996" w:type="dxa"/>
            <w:vAlign w:val="top"/>
          </w:tcPr>
          <w:p>
            <w:pPr>
              <w:spacing w:before="205" w:line="228" w:lineRule="auto"/>
              <w:ind w:left="79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合格</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pPr>
              <w:spacing w:before="207" w:line="192" w:lineRule="auto"/>
              <w:ind w:left="317"/>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p>
        </w:tc>
        <w:tc>
          <w:tcPr>
            <w:tcW w:w="3029" w:type="dxa"/>
            <w:vAlign w:val="top"/>
          </w:tcPr>
          <w:p>
            <w:pPr>
              <w:spacing w:before="174" w:line="229" w:lineRule="auto"/>
              <w:ind w:left="131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分</w:t>
            </w:r>
            <w:r>
              <w:rPr>
                <w:rFonts w:hint="eastAsia" w:ascii="微软雅黑" w:hAnsi="微软雅黑" w:eastAsia="微软雅黑" w:cs="微软雅黑"/>
                <w:color w:val="auto"/>
                <w:spacing w:val="3"/>
                <w:sz w:val="24"/>
                <w:szCs w:val="24"/>
              </w:rPr>
              <w:t>包</w:t>
            </w:r>
          </w:p>
        </w:tc>
        <w:tc>
          <w:tcPr>
            <w:tcW w:w="1996" w:type="dxa"/>
            <w:vAlign w:val="top"/>
          </w:tcPr>
          <w:p>
            <w:pPr>
              <w:spacing w:before="175" w:line="233" w:lineRule="auto"/>
              <w:ind w:left="951"/>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731" w:type="dxa"/>
            <w:vAlign w:val="top"/>
          </w:tcPr>
          <w:p>
            <w:pPr>
              <w:spacing w:line="249" w:lineRule="auto"/>
              <w:rPr>
                <w:rFonts w:hint="eastAsia" w:ascii="微软雅黑" w:hAnsi="微软雅黑" w:eastAsia="微软雅黑" w:cs="微软雅黑"/>
                <w:color w:val="auto"/>
                <w:sz w:val="24"/>
                <w:szCs w:val="24"/>
              </w:rPr>
            </w:pPr>
          </w:p>
          <w:p>
            <w:pPr>
              <w:spacing w:before="65" w:line="189" w:lineRule="auto"/>
              <w:ind w:left="322"/>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3029" w:type="dxa"/>
            <w:vAlign w:val="top"/>
          </w:tcPr>
          <w:p>
            <w:pPr>
              <w:spacing w:before="224" w:line="228" w:lineRule="auto"/>
              <w:ind w:left="25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延</w:t>
            </w:r>
            <w:r>
              <w:rPr>
                <w:rFonts w:hint="eastAsia" w:ascii="微软雅黑" w:hAnsi="微软雅黑" w:eastAsia="微软雅黑" w:cs="微软雅黑"/>
                <w:color w:val="auto"/>
                <w:spacing w:val="8"/>
                <w:sz w:val="24"/>
                <w:szCs w:val="24"/>
              </w:rPr>
              <w:t>误工期赔偿费金额(每天)</w:t>
            </w:r>
          </w:p>
        </w:tc>
        <w:tc>
          <w:tcPr>
            <w:tcW w:w="1996" w:type="dxa"/>
            <w:vAlign w:val="top"/>
          </w:tcPr>
          <w:p>
            <w:pPr>
              <w:spacing w:before="224" w:line="229" w:lineRule="auto"/>
              <w:ind w:left="66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2</w:t>
            </w:r>
            <w:r>
              <w:rPr>
                <w:rFonts w:hint="eastAsia" w:ascii="微软雅黑" w:hAnsi="微软雅黑" w:eastAsia="微软雅黑" w:cs="微软雅黑"/>
                <w:color w:val="auto"/>
                <w:spacing w:val="-5"/>
                <w:sz w:val="24"/>
                <w:szCs w:val="24"/>
              </w:rPr>
              <w:t>0</w:t>
            </w:r>
            <w:r>
              <w:rPr>
                <w:rFonts w:hint="eastAsia" w:ascii="微软雅黑" w:hAnsi="微软雅黑" w:eastAsia="微软雅黑" w:cs="微软雅黑"/>
                <w:color w:val="auto"/>
                <w:spacing w:val="-4"/>
                <w:sz w:val="24"/>
                <w:szCs w:val="24"/>
              </w:rPr>
              <w:t>00 元</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pPr>
              <w:spacing w:before="210" w:line="190" w:lineRule="auto"/>
              <w:ind w:left="31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w:t>
            </w:r>
          </w:p>
        </w:tc>
        <w:tc>
          <w:tcPr>
            <w:tcW w:w="3029" w:type="dxa"/>
            <w:vAlign w:val="top"/>
          </w:tcPr>
          <w:p>
            <w:pPr>
              <w:spacing w:before="177" w:line="228" w:lineRule="auto"/>
              <w:ind w:left="25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延误工期赔偿费的最大限额</w:t>
            </w:r>
          </w:p>
        </w:tc>
        <w:tc>
          <w:tcPr>
            <w:tcW w:w="1996" w:type="dxa"/>
            <w:vAlign w:val="top"/>
          </w:tcPr>
          <w:p>
            <w:pPr>
              <w:spacing w:before="117" w:line="227" w:lineRule="auto"/>
              <w:ind w:left="24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rPr>
              <w:t>合同</w:t>
            </w:r>
            <w:r>
              <w:rPr>
                <w:rFonts w:hint="eastAsia" w:ascii="微软雅黑" w:hAnsi="微软雅黑" w:eastAsia="微软雅黑" w:cs="微软雅黑"/>
                <w:color w:val="auto"/>
                <w:sz w:val="24"/>
                <w:szCs w:val="24"/>
              </w:rPr>
              <w:t>价款的 10％</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pPr>
              <w:spacing w:before="210" w:line="189" w:lineRule="auto"/>
              <w:ind w:left="323"/>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w:t>
            </w:r>
          </w:p>
        </w:tc>
        <w:tc>
          <w:tcPr>
            <w:tcW w:w="3029" w:type="dxa"/>
            <w:vAlign w:val="top"/>
          </w:tcPr>
          <w:p>
            <w:pPr>
              <w:spacing w:before="176" w:line="229" w:lineRule="auto"/>
              <w:ind w:left="99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履</w:t>
            </w:r>
            <w:r>
              <w:rPr>
                <w:rFonts w:hint="eastAsia" w:ascii="微软雅黑" w:hAnsi="微软雅黑" w:eastAsia="微软雅黑" w:cs="微软雅黑"/>
                <w:color w:val="auto"/>
                <w:spacing w:val="7"/>
                <w:sz w:val="24"/>
                <w:szCs w:val="24"/>
              </w:rPr>
              <w:t>约保证金</w:t>
            </w:r>
          </w:p>
        </w:tc>
        <w:tc>
          <w:tcPr>
            <w:tcW w:w="1996" w:type="dxa"/>
            <w:vAlign w:val="top"/>
          </w:tcPr>
          <w:p>
            <w:pPr>
              <w:spacing w:before="118" w:line="227" w:lineRule="auto"/>
              <w:ind w:left="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中标价</w:t>
            </w:r>
            <w:r>
              <w:rPr>
                <w:rFonts w:hint="eastAsia" w:ascii="微软雅黑" w:hAnsi="微软雅黑" w:eastAsia="微软雅黑" w:cs="微软雅黑"/>
                <w:color w:val="auto"/>
                <w:spacing w:val="-2"/>
                <w:sz w:val="24"/>
                <w:szCs w:val="24"/>
              </w:rPr>
              <w:t xml:space="preserve">的 </w:t>
            </w:r>
            <w:r>
              <w:rPr>
                <w:rFonts w:hint="eastAsia" w:ascii="微软雅黑" w:hAnsi="微软雅黑" w:eastAsia="微软雅黑" w:cs="微软雅黑"/>
                <w:color w:val="auto"/>
                <w:spacing w:val="-2"/>
                <w:sz w:val="24"/>
                <w:szCs w:val="24"/>
                <w:lang w:val="en-US" w:eastAsia="zh-CN"/>
              </w:rPr>
              <w:t>5</w:t>
            </w:r>
            <w:r>
              <w:rPr>
                <w:rFonts w:hint="eastAsia" w:ascii="微软雅黑" w:hAnsi="微软雅黑" w:eastAsia="微软雅黑" w:cs="微软雅黑"/>
                <w:color w:val="auto"/>
                <w:spacing w:val="-2"/>
                <w:sz w:val="24"/>
                <w:szCs w:val="24"/>
              </w:rPr>
              <w:t>%</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pPr>
              <w:spacing w:before="210" w:line="190" w:lineRule="auto"/>
              <w:ind w:left="318"/>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w:t>
            </w:r>
          </w:p>
        </w:tc>
        <w:tc>
          <w:tcPr>
            <w:tcW w:w="3029" w:type="dxa"/>
            <w:vAlign w:val="top"/>
          </w:tcPr>
          <w:p>
            <w:pPr>
              <w:spacing w:before="177" w:line="228" w:lineRule="auto"/>
              <w:ind w:left="68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工</w:t>
            </w:r>
            <w:r>
              <w:rPr>
                <w:rFonts w:hint="eastAsia" w:ascii="微软雅黑" w:hAnsi="微软雅黑" w:eastAsia="微软雅黑" w:cs="微软雅黑"/>
                <w:color w:val="auto"/>
                <w:spacing w:val="8"/>
                <w:sz w:val="24"/>
                <w:szCs w:val="24"/>
              </w:rPr>
              <w:t>程质量保修期限</w:t>
            </w:r>
          </w:p>
        </w:tc>
        <w:tc>
          <w:tcPr>
            <w:tcW w:w="1996" w:type="dxa"/>
            <w:vAlign w:val="top"/>
          </w:tcPr>
          <w:p>
            <w:pPr>
              <w:rPr>
                <w:rFonts w:hint="eastAsia" w:ascii="微软雅黑" w:hAnsi="微软雅黑" w:eastAsia="微软雅黑" w:cs="微软雅黑"/>
                <w:color w:val="auto"/>
                <w:sz w:val="24"/>
                <w:szCs w:val="24"/>
              </w:rPr>
            </w:pP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31" w:type="dxa"/>
            <w:vAlign w:val="top"/>
          </w:tcPr>
          <w:p>
            <w:pPr>
              <w:spacing w:before="261" w:line="191" w:lineRule="auto"/>
              <w:ind w:left="2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8.</w:t>
            </w:r>
            <w:r>
              <w:rPr>
                <w:rFonts w:hint="eastAsia" w:ascii="微软雅黑" w:hAnsi="微软雅黑" w:eastAsia="微软雅黑" w:cs="微软雅黑"/>
                <w:color w:val="auto"/>
                <w:spacing w:val="7"/>
                <w:sz w:val="24"/>
                <w:szCs w:val="24"/>
              </w:rPr>
              <w:t>1</w:t>
            </w:r>
          </w:p>
        </w:tc>
        <w:tc>
          <w:tcPr>
            <w:tcW w:w="3029" w:type="dxa"/>
            <w:vAlign w:val="top"/>
          </w:tcPr>
          <w:p>
            <w:pPr>
              <w:spacing w:before="35" w:line="237" w:lineRule="auto"/>
              <w:ind w:left="1103" w:right="149" w:hanging="9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电</w:t>
            </w:r>
            <w:r>
              <w:rPr>
                <w:rFonts w:hint="eastAsia" w:ascii="微软雅黑" w:hAnsi="微软雅黑" w:eastAsia="微软雅黑" w:cs="微软雅黑"/>
                <w:color w:val="auto"/>
                <w:spacing w:val="7"/>
                <w:sz w:val="24"/>
                <w:szCs w:val="24"/>
              </w:rPr>
              <w:t>气管线、给排水管道、设备</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7"/>
                <w:sz w:val="24"/>
                <w:szCs w:val="24"/>
              </w:rPr>
              <w:t>安</w:t>
            </w:r>
            <w:r>
              <w:rPr>
                <w:rFonts w:hint="eastAsia" w:ascii="微软雅黑" w:hAnsi="微软雅黑" w:eastAsia="微软雅黑" w:cs="微软雅黑"/>
                <w:color w:val="auto"/>
                <w:spacing w:val="6"/>
                <w:sz w:val="24"/>
                <w:szCs w:val="24"/>
              </w:rPr>
              <w:t>装工程</w:t>
            </w:r>
          </w:p>
        </w:tc>
        <w:tc>
          <w:tcPr>
            <w:tcW w:w="1996" w:type="dxa"/>
            <w:vAlign w:val="top"/>
          </w:tcPr>
          <w:p>
            <w:pPr>
              <w:spacing w:before="171" w:line="228" w:lineRule="auto"/>
              <w:ind w:left="42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保</w:t>
            </w:r>
            <w:r>
              <w:rPr>
                <w:rFonts w:hint="eastAsia" w:ascii="微软雅黑" w:hAnsi="微软雅黑" w:eastAsia="微软雅黑" w:cs="微软雅黑"/>
                <w:color w:val="auto"/>
                <w:spacing w:val="6"/>
                <w:sz w:val="24"/>
                <w:szCs w:val="24"/>
              </w:rPr>
              <w:t>修期 2 年</w:t>
            </w:r>
          </w:p>
        </w:tc>
        <w:tc>
          <w:tcPr>
            <w:tcW w:w="2341" w:type="dxa"/>
            <w:vAlign w:val="top"/>
          </w:tcPr>
          <w:p>
            <w:pPr>
              <w:spacing w:before="171" w:line="228" w:lineRule="auto"/>
              <w:ind w:left="60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保</w:t>
            </w:r>
            <w:r>
              <w:rPr>
                <w:rFonts w:hint="eastAsia" w:ascii="微软雅黑" w:hAnsi="微软雅黑" w:eastAsia="微软雅黑" w:cs="微软雅黑"/>
                <w:color w:val="auto"/>
                <w:spacing w:val="6"/>
                <w:sz w:val="24"/>
                <w:szCs w:val="24"/>
              </w:rPr>
              <w:t>修期   年</w:t>
            </w:r>
          </w:p>
        </w:tc>
        <w:tc>
          <w:tcPr>
            <w:tcW w:w="98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31" w:type="dxa"/>
            <w:vAlign w:val="top"/>
          </w:tcPr>
          <w:p>
            <w:pPr>
              <w:spacing w:before="262" w:line="190" w:lineRule="auto"/>
              <w:ind w:left="2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8.2</w:t>
            </w:r>
          </w:p>
        </w:tc>
        <w:tc>
          <w:tcPr>
            <w:tcW w:w="3029" w:type="dxa"/>
            <w:vAlign w:val="top"/>
          </w:tcPr>
          <w:p>
            <w:pPr>
              <w:spacing w:before="169" w:line="229" w:lineRule="auto"/>
              <w:ind w:left="130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其他</w:t>
            </w:r>
          </w:p>
        </w:tc>
        <w:tc>
          <w:tcPr>
            <w:tcW w:w="1996" w:type="dxa"/>
            <w:vAlign w:val="top"/>
          </w:tcPr>
          <w:p>
            <w:pPr>
              <w:spacing w:before="34"/>
              <w:ind w:left="479" w:right="158" w:hanging="3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按</w:t>
            </w:r>
            <w:r>
              <w:rPr>
                <w:rFonts w:hint="eastAsia" w:ascii="微软雅黑" w:hAnsi="微软雅黑" w:eastAsia="微软雅黑" w:cs="微软雅黑"/>
                <w:color w:val="auto"/>
                <w:spacing w:val="8"/>
                <w:sz w:val="24"/>
                <w:szCs w:val="24"/>
              </w:rPr>
              <w:t>国家、行业或地</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8"/>
                <w:sz w:val="24"/>
                <w:szCs w:val="24"/>
              </w:rPr>
              <w:t>方标准执</w:t>
            </w:r>
            <w:r>
              <w:rPr>
                <w:rFonts w:hint="eastAsia" w:ascii="微软雅黑" w:hAnsi="微软雅黑" w:eastAsia="微软雅黑" w:cs="微软雅黑"/>
                <w:color w:val="auto"/>
                <w:spacing w:val="7"/>
                <w:sz w:val="24"/>
                <w:szCs w:val="24"/>
              </w:rPr>
              <w:t>行</w:t>
            </w:r>
          </w:p>
        </w:tc>
        <w:tc>
          <w:tcPr>
            <w:tcW w:w="2341" w:type="dxa"/>
            <w:vAlign w:val="top"/>
          </w:tcPr>
          <w:p>
            <w:pPr>
              <w:rPr>
                <w:rFonts w:hint="eastAsia" w:ascii="微软雅黑" w:hAnsi="微软雅黑" w:eastAsia="微软雅黑" w:cs="微软雅黑"/>
                <w:color w:val="auto"/>
                <w:sz w:val="24"/>
                <w:szCs w:val="24"/>
              </w:rPr>
            </w:pPr>
          </w:p>
        </w:tc>
        <w:tc>
          <w:tcPr>
            <w:tcW w:w="985" w:type="dxa"/>
            <w:vAlign w:val="top"/>
          </w:tcPr>
          <w:p>
            <w:pPr>
              <w:rPr>
                <w:rFonts w:hint="eastAsia" w:ascii="微软雅黑" w:hAnsi="微软雅黑" w:eastAsia="微软雅黑" w:cs="微软雅黑"/>
                <w:color w:val="auto"/>
                <w:sz w:val="24"/>
                <w:szCs w:val="24"/>
              </w:rPr>
            </w:pPr>
          </w:p>
        </w:tc>
      </w:tr>
    </w:tbl>
    <w:p>
      <w:pPr>
        <w:spacing w:before="30" w:line="228" w:lineRule="auto"/>
        <w:ind w:left="12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8"/>
          <w:sz w:val="24"/>
          <w:szCs w:val="24"/>
        </w:rPr>
        <w:t>说</w:t>
      </w:r>
      <w:r>
        <w:rPr>
          <w:rFonts w:hint="eastAsia" w:ascii="微软雅黑" w:hAnsi="微软雅黑" w:eastAsia="微软雅黑" w:cs="微软雅黑"/>
          <w:color w:val="auto"/>
          <w:spacing w:val="14"/>
          <w:sz w:val="24"/>
          <w:szCs w:val="24"/>
        </w:rPr>
        <w:t>明</w:t>
      </w:r>
      <w:r>
        <w:rPr>
          <w:rFonts w:hint="eastAsia" w:ascii="微软雅黑" w:hAnsi="微软雅黑" w:eastAsia="微软雅黑" w:cs="微软雅黑"/>
          <w:color w:val="auto"/>
          <w:spacing w:val="9"/>
          <w:sz w:val="24"/>
          <w:szCs w:val="24"/>
        </w:rPr>
        <w:t>：上述内容由投标人自行填写，可按响应磋商文件或优于磋商文件的要求填写。</w:t>
      </w:r>
    </w:p>
    <w:p>
      <w:pPr>
        <w:spacing w:line="245" w:lineRule="auto"/>
        <w:rPr>
          <w:rFonts w:hint="eastAsia" w:ascii="微软雅黑" w:hAnsi="微软雅黑" w:eastAsia="微软雅黑" w:cs="微软雅黑"/>
          <w:color w:val="auto"/>
          <w:sz w:val="24"/>
          <w:szCs w:val="24"/>
        </w:rPr>
      </w:pPr>
    </w:p>
    <w:p>
      <w:pPr>
        <w:pStyle w:val="17"/>
        <w:tabs>
          <w:tab w:val="left" w:pos="5580"/>
        </w:tabs>
        <w:snapToGrid w:val="0"/>
        <w:spacing w:line="400" w:lineRule="atLeast"/>
        <w:ind w:left="1080" w:leftChars="257" w:hanging="540"/>
        <w:textAlignment w:val="baseline"/>
        <w:rPr>
          <w:rFonts w:hint="eastAsia" w:ascii="微软雅黑" w:hAnsi="微软雅黑" w:eastAsia="微软雅黑" w:cs="微软雅黑"/>
          <w:color w:val="auto"/>
          <w:spacing w:val="-1"/>
          <w:sz w:val="24"/>
          <w:szCs w:val="24"/>
        </w:rPr>
      </w:pPr>
      <w:r>
        <w:rPr>
          <w:rFonts w:hint="eastAsia" w:ascii="微软雅黑" w:hAnsi="微软雅黑" w:eastAsia="微软雅黑" w:cs="微软雅黑"/>
          <w:color w:val="auto"/>
          <w:spacing w:val="-1"/>
          <w:sz w:val="24"/>
          <w:szCs w:val="24"/>
        </w:rPr>
        <w:t xml:space="preserve">投  标  人：  (盖章)                  </w:t>
      </w:r>
    </w:p>
    <w:p>
      <w:pPr>
        <w:pStyle w:val="17"/>
        <w:tabs>
          <w:tab w:val="left" w:pos="5580"/>
        </w:tabs>
        <w:snapToGrid w:val="0"/>
        <w:spacing w:line="400" w:lineRule="atLeast"/>
        <w:ind w:left="1080" w:leftChars="257" w:hanging="540"/>
        <w:textAlignment w:val="baseline"/>
        <w:rPr>
          <w:rFonts w:hint="eastAsia" w:ascii="微软雅黑" w:hAnsi="微软雅黑" w:eastAsia="微软雅黑" w:cs="微软雅黑"/>
          <w:color w:val="auto"/>
          <w:spacing w:val="-1"/>
          <w:sz w:val="24"/>
          <w:szCs w:val="24"/>
        </w:rPr>
      </w:pP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法定代表人或委托代理(签字):</w:t>
      </w:r>
    </w:p>
    <w:p>
      <w:pPr>
        <w:spacing w:before="65" w:line="228" w:lineRule="auto"/>
        <w:ind w:left="124"/>
        <w:rPr>
          <w:rFonts w:hint="eastAsia" w:ascii="微软雅黑" w:hAnsi="微软雅黑" w:eastAsia="微软雅黑" w:cs="微软雅黑"/>
          <w:color w:val="auto"/>
          <w:sz w:val="24"/>
          <w:szCs w:val="24"/>
        </w:rPr>
      </w:pPr>
    </w:p>
    <w:p>
      <w:pPr>
        <w:spacing w:before="161" w:line="228" w:lineRule="auto"/>
        <w:ind w:left="516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5"/>
          <w:sz w:val="24"/>
          <w:szCs w:val="24"/>
        </w:rPr>
        <w:t>年</w:t>
      </w:r>
      <w:r>
        <w:rPr>
          <w:rFonts w:hint="eastAsia" w:ascii="微软雅黑" w:hAnsi="微软雅黑" w:eastAsia="微软雅黑" w:cs="微软雅黑"/>
          <w:color w:val="auto"/>
          <w:spacing w:val="8"/>
          <w:sz w:val="24"/>
          <w:szCs w:val="24"/>
        </w:rPr>
        <w:t xml:space="preserve">    月    日</w:t>
      </w:r>
    </w:p>
    <w:p>
      <w:pPr>
        <w:rPr>
          <w:rFonts w:hint="eastAsia" w:ascii="微软雅黑" w:hAnsi="微软雅黑" w:eastAsia="微软雅黑" w:cs="微软雅黑"/>
          <w:color w:val="auto"/>
          <w:sz w:val="24"/>
          <w:szCs w:val="24"/>
        </w:rPr>
        <w:sectPr>
          <w:footerReference r:id="rId4" w:type="default"/>
          <w:pgSz w:w="11906" w:h="16839"/>
          <w:pgMar w:top="1100" w:right="1080" w:bottom="1100" w:left="1080" w:header="0" w:footer="794" w:gutter="0"/>
          <w:pgNumType w:fmt="decimal" w:start="1"/>
          <w:cols w:space="720" w:num="1"/>
        </w:sectPr>
      </w:pPr>
    </w:p>
    <w:p>
      <w:pPr>
        <w:pStyle w:val="7"/>
        <w:ind w:firstLine="0"/>
        <w:outlineLvl w:val="9"/>
        <w:rPr>
          <w:rFonts w:ascii="微软雅黑" w:hAnsi="微软雅黑" w:eastAsia="微软雅黑" w:cs="微软雅黑"/>
          <w:color w:val="auto"/>
        </w:rPr>
      </w:pPr>
    </w:p>
    <w:p>
      <w:pPr>
        <w:pStyle w:val="7"/>
        <w:outlineLvl w:val="9"/>
        <w:rPr>
          <w:rFonts w:hint="eastAsia" w:ascii="微软雅黑" w:hAnsi="微软雅黑" w:eastAsia="微软雅黑" w:cs="微软雅黑"/>
          <w:b/>
          <w:bCs/>
          <w:color w:val="auto"/>
          <w:highlight w:val="none"/>
        </w:rPr>
      </w:pPr>
      <w:bookmarkStart w:id="595" w:name="_Toc32348"/>
      <w:bookmarkStart w:id="596" w:name="_Toc3218"/>
    </w:p>
    <w:p>
      <w:pPr>
        <w:pStyle w:val="7"/>
        <w:outlineLvl w:val="1"/>
        <w:rPr>
          <w:rFonts w:hint="eastAsia" w:ascii="微软雅黑" w:hAnsi="微软雅黑" w:eastAsia="微软雅黑" w:cs="微软雅黑"/>
          <w:b/>
          <w:bCs/>
          <w:color w:val="auto"/>
          <w:highlight w:val="none"/>
        </w:rPr>
      </w:pPr>
      <w:bookmarkStart w:id="597" w:name="_Toc22006"/>
      <w:bookmarkStart w:id="598" w:name="_Toc14643"/>
      <w:bookmarkStart w:id="599" w:name="_Toc15680"/>
      <w:r>
        <w:rPr>
          <w:rFonts w:hint="eastAsia" w:ascii="微软雅黑" w:hAnsi="微软雅黑" w:eastAsia="微软雅黑" w:cs="微软雅黑"/>
          <w:b/>
          <w:bCs/>
          <w:color w:val="auto"/>
          <w:highlight w:val="none"/>
        </w:rPr>
        <w:t xml:space="preserve">2  </w:t>
      </w:r>
      <w:bookmarkEnd w:id="595"/>
      <w:r>
        <w:rPr>
          <w:rFonts w:hint="eastAsia" w:ascii="微软雅黑" w:hAnsi="微软雅黑" w:eastAsia="微软雅黑" w:cs="微软雅黑"/>
          <w:b/>
          <w:bCs/>
          <w:color w:val="auto"/>
          <w:highlight w:val="none"/>
        </w:rPr>
        <w:t>符合《中华人民共和国政府采购法》第二十二条的规定</w:t>
      </w:r>
      <w:bookmarkEnd w:id="596"/>
      <w:bookmarkEnd w:id="597"/>
      <w:bookmarkEnd w:id="598"/>
      <w:bookmarkEnd w:id="599"/>
    </w:p>
    <w:p>
      <w:pPr>
        <w:pStyle w:val="17"/>
        <w:tabs>
          <w:tab w:val="left" w:pos="5580"/>
        </w:tabs>
        <w:snapToGrid w:val="0"/>
        <w:spacing w:line="400" w:lineRule="atLeast"/>
        <w:textAlignment w:val="baseline"/>
        <w:rPr>
          <w:rFonts w:ascii="微软雅黑" w:hAnsi="微软雅黑" w:eastAsia="微软雅黑" w:cs="微软雅黑"/>
          <w:b/>
          <w:color w:val="auto"/>
          <w:sz w:val="24"/>
          <w:szCs w:val="24"/>
        </w:rPr>
      </w:pPr>
    </w:p>
    <w:p>
      <w:pPr>
        <w:pStyle w:val="7"/>
        <w:outlineLvl w:val="9"/>
        <w:rPr>
          <w:rFonts w:hint="eastAsia" w:ascii="微软雅黑" w:hAnsi="微软雅黑" w:eastAsia="微软雅黑" w:cs="微软雅黑"/>
          <w:b/>
          <w:bCs/>
          <w:color w:val="auto"/>
          <w:highlight w:val="none"/>
        </w:rPr>
      </w:pPr>
      <w:bookmarkStart w:id="600" w:name="_Toc8241"/>
      <w:bookmarkStart w:id="601" w:name="_Toc22089"/>
      <w:bookmarkStart w:id="602" w:name="_Toc16088"/>
      <w:bookmarkStart w:id="603" w:name="_Toc16516"/>
      <w:r>
        <w:rPr>
          <w:rFonts w:hint="eastAsia" w:ascii="微软雅黑" w:hAnsi="微软雅黑" w:eastAsia="微软雅黑" w:cs="微软雅黑"/>
          <w:b/>
          <w:bCs/>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pPr>
        <w:pStyle w:val="7"/>
        <w:outlineLvl w:val="9"/>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kern w:val="2"/>
          <w:sz w:val="24"/>
          <w:szCs w:val="24"/>
          <w:highlight w:val="none"/>
          <w:lang w:val="en-US" w:eastAsia="zh-CN" w:bidi="ar-SA"/>
        </w:rPr>
        <w:t>说明：营业执照正本或副本，须上传扫描件并加盖本单位公章。</w:t>
      </w: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p>
      <w:pPr>
        <w:pStyle w:val="27"/>
        <w:textAlignment w:val="baseline"/>
        <w:rPr>
          <w:rFonts w:ascii="微软雅黑" w:hAnsi="微软雅黑" w:eastAsia="微软雅黑" w:cs="微软雅黑"/>
          <w:color w:val="auto"/>
        </w:rPr>
      </w:pPr>
    </w:p>
    <w:bookmarkEnd w:id="600"/>
    <w:bookmarkEnd w:id="601"/>
    <w:bookmarkEnd w:id="602"/>
    <w:bookmarkEnd w:id="603"/>
    <w:p>
      <w:pPr>
        <w:pStyle w:val="8"/>
        <w:snapToGrid w:val="0"/>
        <w:textAlignment w:val="baseline"/>
        <w:outlineLvl w:val="9"/>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②法人投标需提供法人身份证明及身份证复印件，被授权委托人需提供法人授权委托书及身份证复印件</w:t>
      </w:r>
    </w:p>
    <w:p>
      <w:pPr>
        <w:snapToGrid w:val="0"/>
        <w:spacing w:before="312" w:after="312" w:line="400" w:lineRule="exact"/>
        <w:jc w:val="center"/>
        <w:textAlignment w:val="baseline"/>
        <w:rPr>
          <w:rFonts w:ascii="微软雅黑" w:hAnsi="微软雅黑" w:eastAsia="微软雅黑" w:cs="微软雅黑"/>
          <w:color w:val="auto"/>
          <w:sz w:val="24"/>
        </w:rPr>
      </w:pPr>
      <w:r>
        <w:rPr>
          <w:rFonts w:hint="eastAsia" w:ascii="微软雅黑" w:hAnsi="微软雅黑" w:eastAsia="微软雅黑" w:cs="微软雅黑"/>
          <w:b/>
          <w:color w:val="auto"/>
          <w:sz w:val="24"/>
        </w:rPr>
        <w:t>法定代表人资格证明书</w:t>
      </w:r>
    </w:p>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同志，现任我单位          职务，为法定代表人，特此证明。</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签发日期：                  单位：         </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附：代表人性别：            年龄：           身份证号码：</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联系电话：</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营业执照号码：              经济性质：</w:t>
      </w:r>
    </w:p>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说明：</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1、法定代表人为企业事业单位、国家机关、社会团体的主要行政负责人。</w:t>
      </w:r>
    </w:p>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2、内容必须填写真实、清楚、涂改无效，不得转让。</w:t>
      </w:r>
    </w:p>
    <w:p>
      <w:pPr>
        <w:snapToGrid w:val="0"/>
        <w:spacing w:line="400" w:lineRule="exact"/>
        <w:ind w:firstLine="240" w:firstLineChars="1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3、将此证明书原件提交采购代理机构作为响应文件附件。</w:t>
      </w:r>
    </w:p>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(为避免废标，请供应商务必提供本附件)</w:t>
      </w:r>
    </w:p>
    <w:p>
      <w:pPr>
        <w:snapToGrid w:val="0"/>
        <w:spacing w:line="400" w:lineRule="exact"/>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mc:AlternateContent>
          <mc:Choice Requires="wps">
            <w:drawing>
              <wp:anchor distT="0" distB="0" distL="0" distR="0" simplePos="0" relativeHeight="251662336" behindDoc="0" locked="0" layoutInCell="1" allowOverlap="1">
                <wp:simplePos x="0" y="0"/>
                <wp:positionH relativeFrom="column">
                  <wp:posOffset>154305</wp:posOffset>
                </wp:positionH>
                <wp:positionV relativeFrom="paragraph">
                  <wp:posOffset>10795</wp:posOffset>
                </wp:positionV>
                <wp:extent cx="2114550" cy="1375410"/>
                <wp:effectExtent l="4445" t="4445" r="14605" b="6985"/>
                <wp:wrapNone/>
                <wp:docPr id="1026" name="流程图: 可选过程 14"/>
                <wp:cNvGraphicFramePr/>
                <a:graphic xmlns:a="http://schemas.openxmlformats.org/drawingml/2006/main">
                  <a:graphicData uri="http://schemas.microsoft.com/office/word/2010/wordprocessingShape">
                    <wps:wsp>
                      <wps:cNvSpPr/>
                      <wps:spPr>
                        <a:xfrm>
                          <a:off x="0" y="0"/>
                          <a:ext cx="21145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both"/>
                              <w:rPr>
                                <w:szCs w:val="21"/>
                              </w:rPr>
                            </w:pPr>
                          </w:p>
                        </w:txbxContent>
                      </wps:txbx>
                      <wps:bodyPr upright="1"/>
                    </wps:wsp>
                  </a:graphicData>
                </a:graphic>
              </wp:anchor>
            </w:drawing>
          </mc:Choice>
          <mc:Fallback>
            <w:pict>
              <v:shape id="流程图: 可选过程 14" o:spid="_x0000_s1026" o:spt="176" type="#_x0000_t176" style="position:absolute;left:0pt;margin-left:12.15pt;margin-top:0.85pt;height:108.3pt;width:166.5pt;z-index:251662336;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Z14n9UAAAAIAQAADwAAAAAAAAABACAAAAAiAAAAZHJzL2Rvd25yZXYueG1sUEsBAhQA&#10;FAAAAAgAh07iQOgyQHguAgAAVAQAAA4AAAAAAAAAAQAgAAAAJAEAAGRycy9lMm9Eb2MueG1sUEsF&#10;BgAAAAAGAAYAWQEAAMQFAAAAAA==&#10;">
                <v:fill on="t" focussize="0,0"/>
                <v:stroke color="#000000" joinstyle="miter"/>
                <v:imagedata o:title=""/>
                <o:lock v:ext="edit" aspectratio="f"/>
                <v:textbox>
                  <w:txbxContent>
                    <w:p>
                      <w:pPr>
                        <w:jc w:val="center"/>
                        <w:rPr>
                          <w:rFonts w:hAnsi="宋体"/>
                          <w:szCs w:val="21"/>
                        </w:rPr>
                      </w:pPr>
                    </w:p>
                    <w:p>
                      <w:pPr>
                        <w:jc w:val="both"/>
                        <w:rPr>
                          <w:szCs w:val="21"/>
                        </w:rPr>
                      </w:pPr>
                    </w:p>
                  </w:txbxContent>
                </v:textbox>
              </v:shape>
            </w:pict>
          </mc:Fallback>
        </mc:AlternateContent>
      </w:r>
      <w:r>
        <w:rPr>
          <w:rFonts w:hint="eastAsia" w:ascii="微软雅黑" w:hAnsi="微软雅黑" w:eastAsia="微软雅黑" w:cs="微软雅黑"/>
          <w:color w:val="auto"/>
          <w:sz w:val="24"/>
        </w:rPr>
        <mc:AlternateContent>
          <mc:Choice Requires="wps">
            <w:drawing>
              <wp:anchor distT="0" distB="0" distL="0" distR="0" simplePos="0" relativeHeight="251662336" behindDoc="0" locked="0" layoutInCell="1" allowOverlap="1">
                <wp:simplePos x="0" y="0"/>
                <wp:positionH relativeFrom="column">
                  <wp:posOffset>2918460</wp:posOffset>
                </wp:positionH>
                <wp:positionV relativeFrom="paragraph">
                  <wp:posOffset>28575</wp:posOffset>
                </wp:positionV>
                <wp:extent cx="2077085" cy="1385570"/>
                <wp:effectExtent l="7620" t="7620" r="18415" b="8890"/>
                <wp:wrapNone/>
                <wp:docPr id="1027" name="圆角矩形 18"/>
                <wp:cNvGraphicFramePr/>
                <a:graphic xmlns:a="http://schemas.openxmlformats.org/drawingml/2006/main">
                  <a:graphicData uri="http://schemas.microsoft.com/office/word/2010/wordprocessingShape">
                    <wps:wsp>
                      <wps:cNvSpPr/>
                      <wps:spPr>
                        <a:xfrm>
                          <a:off x="0" y="0"/>
                          <a:ext cx="207708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p>
                          <w:p/>
                          <w:p>
                            <w:pPr>
                              <w:pStyle w:val="7"/>
                            </w:pPr>
                          </w:p>
                          <w:p>
                            <w:pPr>
                              <w:pStyle w:val="7"/>
                            </w:pPr>
                          </w:p>
                          <w:p>
                            <w:pPr>
                              <w:pStyle w:val="7"/>
                            </w:pPr>
                          </w:p>
                          <w:p>
                            <w:pPr>
                              <w:pStyle w:val="7"/>
                            </w:pPr>
                          </w:p>
                        </w:txbxContent>
                      </wps:txbx>
                      <wps:bodyPr upright="1"/>
                    </wps:wsp>
                  </a:graphicData>
                </a:graphic>
              </wp:anchor>
            </w:drawing>
          </mc:Choice>
          <mc:Fallback>
            <w:pict>
              <v:roundrect id="圆角矩形 18" o:spid="_x0000_s1026" o:spt="2" style="position:absolute;left:0pt;margin-left:229.8pt;margin-top:2.25pt;height:109.1pt;width:163.55pt;z-index:251662336;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A2KviDLQIAAGY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p>
                    <w:p/>
                    <w:p>
                      <w:pPr>
                        <w:pStyle w:val="7"/>
                      </w:pPr>
                    </w:p>
                    <w:p>
                      <w:pPr>
                        <w:pStyle w:val="7"/>
                      </w:pPr>
                    </w:p>
                    <w:p>
                      <w:pPr>
                        <w:pStyle w:val="7"/>
                      </w:pPr>
                    </w:p>
                    <w:p>
                      <w:pPr>
                        <w:pStyle w:val="7"/>
                      </w:pPr>
                    </w:p>
                  </w:txbxContent>
                </v:textbox>
              </v:roundrect>
            </w:pict>
          </mc:Fallback>
        </mc:AlternateContent>
      </w:r>
    </w:p>
    <w:p>
      <w:pPr>
        <w:snapToGrid w:val="0"/>
        <w:spacing w:line="400" w:lineRule="exact"/>
        <w:textAlignment w:val="baseline"/>
        <w:rPr>
          <w:rFonts w:ascii="微软雅黑" w:hAnsi="微软雅黑" w:eastAsia="微软雅黑" w:cs="微软雅黑"/>
          <w:color w:val="auto"/>
          <w:sz w:val="24"/>
        </w:rPr>
      </w:pPr>
    </w:p>
    <w:p>
      <w:pPr>
        <w:snapToGrid w:val="0"/>
        <w:spacing w:line="400" w:lineRule="exact"/>
        <w:textAlignment w:val="baseline"/>
        <w:rPr>
          <w:rFonts w:ascii="微软雅黑" w:hAnsi="微软雅黑" w:eastAsia="微软雅黑" w:cs="微软雅黑"/>
          <w:color w:val="auto"/>
          <w:sz w:val="24"/>
        </w:rPr>
      </w:pPr>
    </w:p>
    <w:p>
      <w:pPr>
        <w:pStyle w:val="27"/>
        <w:spacing w:line="400" w:lineRule="exact"/>
        <w:rPr>
          <w:rFonts w:ascii="微软雅黑" w:hAnsi="微软雅黑" w:eastAsia="微软雅黑" w:cs="微软雅黑"/>
          <w:color w:val="auto"/>
          <w:sz w:val="24"/>
        </w:rPr>
      </w:pPr>
    </w:p>
    <w:p>
      <w:pPr>
        <w:pStyle w:val="27"/>
        <w:spacing w:line="400" w:lineRule="exact"/>
        <w:rPr>
          <w:rFonts w:ascii="微软雅黑" w:hAnsi="微软雅黑" w:eastAsia="微软雅黑" w:cs="微软雅黑"/>
          <w:color w:val="auto"/>
          <w:sz w:val="24"/>
        </w:rPr>
      </w:pPr>
    </w:p>
    <w:p>
      <w:pPr>
        <w:snapToGrid w:val="0"/>
        <w:spacing w:line="400" w:lineRule="exact"/>
        <w:ind w:right="246"/>
        <w:textAlignment w:val="baseline"/>
        <w:rPr>
          <w:rFonts w:ascii="微软雅黑" w:hAnsi="微软雅黑" w:eastAsia="微软雅黑" w:cs="微软雅黑"/>
          <w:color w:val="auto"/>
          <w:sz w:val="24"/>
        </w:rPr>
      </w:pPr>
    </w:p>
    <w:p>
      <w:pPr>
        <w:snapToGrid w:val="0"/>
        <w:spacing w:line="400" w:lineRule="exact"/>
        <w:ind w:right="246"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供应商（盖章）：                              </w:t>
      </w:r>
    </w:p>
    <w:p>
      <w:pPr>
        <w:snapToGrid w:val="0"/>
        <w:spacing w:line="400" w:lineRule="exact"/>
        <w:ind w:firstLine="784" w:firstLineChars="327"/>
        <w:textAlignment w:val="baseline"/>
        <w:rPr>
          <w:rFonts w:ascii="微软雅黑" w:hAnsi="微软雅黑" w:eastAsia="微软雅黑" w:cs="微软雅黑"/>
          <w:color w:val="auto"/>
          <w:sz w:val="24"/>
        </w:rPr>
      </w:pPr>
    </w:p>
    <w:p>
      <w:pPr>
        <w:snapToGrid w:val="0"/>
        <w:spacing w:line="400" w:lineRule="exact"/>
        <w:ind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法定代表人(签/章)： </w:t>
      </w:r>
    </w:p>
    <w:p>
      <w:pPr>
        <w:pStyle w:val="17"/>
        <w:tabs>
          <w:tab w:val="left" w:pos="5370"/>
        </w:tabs>
        <w:snapToGrid w:val="0"/>
        <w:spacing w:line="400" w:lineRule="exact"/>
        <w:ind w:left="1155" w:leftChars="371" w:hanging="376" w:hangingChars="15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rPr>
        <w:t xml:space="preserve"> </w:t>
      </w:r>
    </w:p>
    <w:p>
      <w:pPr>
        <w:snapToGrid w:val="0"/>
        <w:spacing w:line="400" w:lineRule="exact"/>
        <w:ind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w:t>
      </w:r>
    </w:p>
    <w:p>
      <w:pPr>
        <w:snapToGrid w:val="0"/>
        <w:spacing w:line="400" w:lineRule="exact"/>
        <w:ind w:firstLine="784" w:firstLineChars="327"/>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pPr>
        <w:pStyle w:val="17"/>
        <w:tabs>
          <w:tab w:val="left" w:pos="5580"/>
        </w:tabs>
        <w:snapToGrid w:val="0"/>
        <w:spacing w:line="400" w:lineRule="exac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说明：1.提供有效的营业执照等证明文件复印件，复印件上应加盖本单位章。</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2. 供应商为自然人的，应提供身份证明的复印件。</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3.联合体磋商应提供联合体各方满足以上要求的证明文件。</w:t>
      </w:r>
      <w:bookmarkStart w:id="604" w:name="_Toc21867"/>
      <w:bookmarkStart w:id="605" w:name="_Toc5436"/>
      <w:bookmarkStart w:id="606" w:name="_Toc16640"/>
      <w:bookmarkStart w:id="607" w:name="_Toc515647807"/>
      <w:bookmarkStart w:id="608" w:name="_Toc22472"/>
      <w:bookmarkStart w:id="609" w:name="_Toc1083"/>
      <w:bookmarkStart w:id="610" w:name="_Toc6829"/>
      <w:bookmarkStart w:id="611" w:name="_Toc13107"/>
    </w:p>
    <w:p>
      <w:pPr>
        <w:pStyle w:val="13"/>
        <w:snapToGrid w:val="0"/>
        <w:spacing w:line="400" w:lineRule="exact"/>
        <w:ind w:firstLine="480"/>
        <w:textAlignment w:val="baseline"/>
        <w:rPr>
          <w:rFonts w:ascii="微软雅黑" w:hAnsi="微软雅黑" w:eastAsia="微软雅黑" w:cs="微软雅黑"/>
          <w:color w:val="auto"/>
        </w:rPr>
      </w:pPr>
    </w:p>
    <w:p>
      <w:pPr>
        <w:pStyle w:val="13"/>
        <w:snapToGrid w:val="0"/>
        <w:spacing w:line="400" w:lineRule="exact"/>
        <w:ind w:firstLine="480"/>
        <w:textAlignment w:val="baseline"/>
        <w:rPr>
          <w:rFonts w:ascii="微软雅黑" w:hAnsi="微软雅黑" w:eastAsia="微软雅黑" w:cs="微软雅黑"/>
          <w:color w:val="auto"/>
        </w:rPr>
      </w:pPr>
    </w:p>
    <w:p>
      <w:pPr>
        <w:pStyle w:val="13"/>
        <w:snapToGrid w:val="0"/>
        <w:spacing w:line="400" w:lineRule="exact"/>
        <w:ind w:firstLine="480"/>
        <w:textAlignment w:val="baseline"/>
        <w:rPr>
          <w:rFonts w:ascii="微软雅黑" w:hAnsi="微软雅黑" w:eastAsia="微软雅黑" w:cs="微软雅黑"/>
          <w:color w:val="auto"/>
        </w:rPr>
      </w:pPr>
    </w:p>
    <w:p>
      <w:pPr>
        <w:pStyle w:val="13"/>
        <w:snapToGrid w:val="0"/>
        <w:spacing w:line="400" w:lineRule="exact"/>
        <w:ind w:left="0" w:leftChars="0" w:firstLine="0" w:firstLineChars="0"/>
        <w:textAlignment w:val="baseline"/>
        <w:rPr>
          <w:rFonts w:ascii="微软雅黑" w:hAnsi="微软雅黑" w:eastAsia="微软雅黑" w:cs="微软雅黑"/>
          <w:color w:val="auto"/>
        </w:rPr>
      </w:pPr>
    </w:p>
    <w:p>
      <w:pPr>
        <w:snapToGrid w:val="0"/>
        <w:spacing w:line="400" w:lineRule="exact"/>
        <w:ind w:left="1080" w:leftChars="257" w:hanging="540"/>
        <w:jc w:val="center"/>
        <w:textAlignment w:val="baseline"/>
        <w:rPr>
          <w:rFonts w:ascii="微软雅黑" w:hAnsi="微软雅黑" w:eastAsia="微软雅黑" w:cs="微软雅黑"/>
          <w:b/>
          <w:bCs/>
          <w:color w:val="auto"/>
          <w:sz w:val="24"/>
          <w:u w:val="single" w:color="000000"/>
        </w:rPr>
      </w:pPr>
      <w:bookmarkStart w:id="612" w:name="_Toc27943"/>
      <w:bookmarkStart w:id="613" w:name="_Toc14483"/>
      <w:bookmarkStart w:id="614" w:name="_Toc16635"/>
      <w:bookmarkStart w:id="615" w:name="_Toc4082"/>
      <w:bookmarkStart w:id="616" w:name="_Toc7748"/>
      <w:bookmarkStart w:id="617" w:name="_Toc8491"/>
      <w:bookmarkStart w:id="618" w:name="_Toc4926"/>
      <w:r>
        <w:rPr>
          <w:rFonts w:hint="eastAsia" w:ascii="微软雅黑" w:hAnsi="微软雅黑" w:eastAsia="微软雅黑" w:cs="微软雅黑"/>
          <w:b/>
          <w:bCs/>
          <w:color w:val="auto"/>
          <w:sz w:val="24"/>
        </w:rPr>
        <w:t>法定代表人授权委托书</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pStyle w:val="17"/>
        <w:tabs>
          <w:tab w:val="left" w:pos="5580"/>
        </w:tabs>
        <w:snapToGrid w:val="0"/>
        <w:spacing w:line="400" w:lineRule="exact"/>
        <w:textAlignment w:val="baseline"/>
        <w:rPr>
          <w:rFonts w:ascii="微软雅黑" w:hAnsi="微软雅黑" w:eastAsia="微软雅黑" w:cs="微软雅黑"/>
          <w:color w:val="auto"/>
          <w:sz w:val="24"/>
          <w:szCs w:val="24"/>
        </w:rPr>
      </w:pPr>
      <w:bookmarkStart w:id="619" w:name="_Toc515647808"/>
      <w:bookmarkStart w:id="620" w:name="_Toc7039"/>
      <w:bookmarkStart w:id="621" w:name="_Toc32520"/>
      <w:r>
        <w:rPr>
          <w:rFonts w:hint="eastAsia" w:ascii="微软雅黑" w:hAnsi="微软雅黑" w:eastAsia="微软雅黑" w:cs="微软雅黑"/>
          <w:color w:val="auto"/>
          <w:sz w:val="24"/>
          <w:szCs w:val="24"/>
        </w:rPr>
        <w:cr/>
      </w:r>
      <w:r>
        <w:rPr>
          <w:rFonts w:hint="eastAsia" w:ascii="微软雅黑" w:hAnsi="微软雅黑" w:eastAsia="微软雅黑" w:cs="微软雅黑"/>
          <w:color w:val="auto"/>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磋商，以我单位名义处理一切与之有关的事务。　　</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本授权书于           年     月     日签字生效,特此声明。</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2336" behindDoc="0" locked="0" layoutInCell="1" allowOverlap="1">
                <wp:simplePos x="0" y="0"/>
                <wp:positionH relativeFrom="column">
                  <wp:posOffset>3039110</wp:posOffset>
                </wp:positionH>
                <wp:positionV relativeFrom="paragraph">
                  <wp:posOffset>97155</wp:posOffset>
                </wp:positionV>
                <wp:extent cx="2478405" cy="1387475"/>
                <wp:effectExtent l="7620" t="7620" r="13335" b="2222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ind w:firstLine="420" w:firstLineChars="200"/>
                            </w:pPr>
                            <w:r>
                              <w:rPr>
                                <w:rFonts w:hint="eastAsia" w:hAnsi="宋体"/>
                              </w:rPr>
                              <w:t>授权委托人身份证复印件反面</w:t>
                            </w:r>
                          </w:p>
                          <w:p/>
                        </w:txbxContent>
                      </wps:txbx>
                      <wps:bodyPr upright="1"/>
                    </wps:wsp>
                  </a:graphicData>
                </a:graphic>
              </wp:anchor>
            </w:drawing>
          </mc:Choice>
          <mc:Fallback>
            <w:pict>
              <v:roundrect id="圆角矩形 15" o:spid="_x0000_s1026" o:spt="2" style="position:absolute;left:0pt;margin-left:239.3pt;margin-top:7.65pt;height:109.25pt;width:195.15pt;z-index:251662336;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ind w:firstLine="420" w:firstLineChars="200"/>
                      </w:pPr>
                      <w:r>
                        <w:rPr>
                          <w:rFonts w:hint="eastAsia" w:hAnsi="宋体"/>
                        </w:rPr>
                        <w:t>授权委托人身份证复印件反面</w:t>
                      </w:r>
                    </w:p>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507615" cy="1405890"/>
                <wp:effectExtent l="4445" t="4445" r="17780" b="698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62336;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p>
    <w:p>
      <w:pPr>
        <w:pStyle w:val="17"/>
        <w:tabs>
          <w:tab w:val="left" w:pos="5580"/>
        </w:tabs>
        <w:snapToGrid w:val="0"/>
        <w:spacing w:line="400" w:lineRule="exact"/>
        <w:textAlignment w:val="baseline"/>
        <w:rPr>
          <w:rFonts w:ascii="微软雅黑" w:hAnsi="微软雅黑" w:eastAsia="微软雅黑" w:cs="微软雅黑"/>
          <w:color w:val="auto"/>
          <w:sz w:val="24"/>
          <w:szCs w:val="24"/>
        </w:rPr>
      </w:pPr>
    </w:p>
    <w:p>
      <w:pPr>
        <w:pStyle w:val="17"/>
        <w:tabs>
          <w:tab w:val="left" w:pos="5580"/>
        </w:tabs>
        <w:snapToGrid w:val="0"/>
        <w:spacing w:line="400" w:lineRule="exact"/>
        <w:textAlignment w:val="baseline"/>
        <w:rPr>
          <w:rFonts w:ascii="微软雅黑" w:hAnsi="微软雅黑" w:eastAsia="微软雅黑" w:cs="微软雅黑"/>
          <w:color w:val="auto"/>
          <w:sz w:val="24"/>
          <w:szCs w:val="24"/>
        </w:rPr>
      </w:pPr>
    </w:p>
    <w:p>
      <w:pPr>
        <w:pStyle w:val="17"/>
        <w:tabs>
          <w:tab w:val="left" w:pos="5580"/>
        </w:tabs>
        <w:snapToGrid w:val="0"/>
        <w:spacing w:line="400" w:lineRule="exact"/>
        <w:textAlignment w:val="baseline"/>
        <w:rPr>
          <w:rFonts w:ascii="微软雅黑" w:hAnsi="微软雅黑" w:eastAsia="微软雅黑" w:cs="微软雅黑"/>
          <w:color w:val="auto"/>
          <w:sz w:val="24"/>
          <w:szCs w:val="24"/>
        </w:rPr>
      </w:pPr>
    </w:p>
    <w:p>
      <w:pPr>
        <w:pStyle w:val="17"/>
        <w:tabs>
          <w:tab w:val="left" w:pos="5580"/>
        </w:tabs>
        <w:snapToGrid w:val="0"/>
        <w:spacing w:line="400" w:lineRule="exact"/>
        <w:textAlignment w:val="baseline"/>
        <w:rPr>
          <w:rFonts w:ascii="微软雅黑" w:hAnsi="微软雅黑" w:eastAsia="微软雅黑" w:cs="微软雅黑"/>
          <w:color w:val="auto"/>
          <w:sz w:val="24"/>
          <w:szCs w:val="24"/>
        </w:rPr>
      </w:pPr>
    </w:p>
    <w:p>
      <w:pPr>
        <w:pStyle w:val="17"/>
        <w:tabs>
          <w:tab w:val="left" w:pos="5580"/>
        </w:tabs>
        <w:snapToGrid w:val="0"/>
        <w:spacing w:line="400" w:lineRule="exact"/>
        <w:textAlignment w:val="baseline"/>
        <w:rPr>
          <w:rFonts w:ascii="微软雅黑" w:hAnsi="微软雅黑" w:eastAsia="微软雅黑" w:cs="微软雅黑"/>
          <w:color w:val="auto"/>
          <w:sz w:val="24"/>
          <w:szCs w:val="24"/>
        </w:rPr>
      </w:pPr>
    </w:p>
    <w:p>
      <w:pPr>
        <w:pStyle w:val="17"/>
        <w:tabs>
          <w:tab w:val="left" w:pos="5580"/>
        </w:tabs>
        <w:snapToGrid w:val="0"/>
        <w:spacing w:line="400" w:lineRule="exac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2336" behindDoc="0" locked="0" layoutInCell="1" allowOverlap="1">
                <wp:simplePos x="0" y="0"/>
                <wp:positionH relativeFrom="column">
                  <wp:posOffset>29845</wp:posOffset>
                </wp:positionH>
                <wp:positionV relativeFrom="paragraph">
                  <wp:posOffset>235585</wp:posOffset>
                </wp:positionV>
                <wp:extent cx="2555240" cy="1409065"/>
                <wp:effectExtent l="7620" t="7620" r="12700" b="1587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圆角矩形 16" o:spid="_x0000_s1026" o:spt="2" style="position:absolute;left:0pt;margin-left:2.35pt;margin-top:18.55pt;height:110.95pt;width:201.2pt;z-index:251662336;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7"/>
        <w:tabs>
          <w:tab w:val="left" w:pos="5580"/>
        </w:tabs>
        <w:snapToGrid w:val="0"/>
        <w:spacing w:line="400" w:lineRule="exact"/>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0" distR="0" simplePos="0" relativeHeight="251662336" behindDoc="0" locked="0" layoutInCell="1" allowOverlap="1">
                <wp:simplePos x="0" y="0"/>
                <wp:positionH relativeFrom="column">
                  <wp:posOffset>3028315</wp:posOffset>
                </wp:positionH>
                <wp:positionV relativeFrom="paragraph">
                  <wp:posOffset>140335</wp:posOffset>
                </wp:positionV>
                <wp:extent cx="2535555" cy="1252220"/>
                <wp:effectExtent l="7620" t="7620" r="17145" b="2032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圆角矩形 13" o:spid="_x0000_s1026" o:spt="2" style="position:absolute;left:0pt;margin-left:238.45pt;margin-top:11.05pt;height:98.6pt;width:199.65pt;z-index:251662336;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pPr>
                      <w:r>
                        <w:rPr>
                          <w:rFonts w:hint="eastAsia" w:hAnsi="宋体"/>
                        </w:rPr>
                        <w:t>法人身份证复印件反面</w:t>
                      </w:r>
                    </w:p>
                    <w:p/>
                  </w:txbxContent>
                </v:textbox>
              </v:roundrect>
            </w:pict>
          </mc:Fallback>
        </mc:AlternateContent>
      </w:r>
    </w:p>
    <w:p>
      <w:pPr>
        <w:pStyle w:val="17"/>
        <w:tabs>
          <w:tab w:val="left" w:pos="5580"/>
        </w:tabs>
        <w:snapToGrid w:val="0"/>
        <w:spacing w:line="400" w:lineRule="exact"/>
        <w:textAlignment w:val="baseline"/>
        <w:rPr>
          <w:rFonts w:ascii="微软雅黑" w:hAnsi="微软雅黑" w:eastAsia="微软雅黑" w:cs="微软雅黑"/>
          <w:color w:val="auto"/>
          <w:sz w:val="24"/>
          <w:szCs w:val="24"/>
        </w:rPr>
      </w:pPr>
    </w:p>
    <w:p>
      <w:pPr>
        <w:pStyle w:val="17"/>
        <w:tabs>
          <w:tab w:val="left" w:pos="5580"/>
        </w:tabs>
        <w:snapToGrid w:val="0"/>
        <w:spacing w:line="400" w:lineRule="exact"/>
        <w:textAlignment w:val="baseline"/>
        <w:rPr>
          <w:rFonts w:ascii="微软雅黑" w:hAnsi="微软雅黑" w:eastAsia="微软雅黑" w:cs="微软雅黑"/>
          <w:color w:val="auto"/>
          <w:sz w:val="24"/>
          <w:szCs w:val="24"/>
        </w:rPr>
      </w:pP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供应商（盖单位章）;               </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p>
    <w:p>
      <w:pPr>
        <w:pStyle w:val="17"/>
        <w:tabs>
          <w:tab w:val="left" w:pos="5370"/>
        </w:tabs>
        <w:snapToGrid w:val="0"/>
        <w:spacing w:line="400" w:lineRule="exact"/>
        <w:ind w:firstLine="480" w:firstLineChars="20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法定代表人（签/章）：                     </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委托代理人（签/章）：                                   </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详细通讯地址：                                 </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邮 政 编 码 ：                                 </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传　　　　真：                                 </w:t>
      </w:r>
    </w:p>
    <w:p>
      <w:pPr>
        <w:pStyle w:val="17"/>
        <w:tabs>
          <w:tab w:val="left" w:pos="5580"/>
        </w:tabs>
        <w:snapToGrid w:val="0"/>
        <w:spacing w:line="400" w:lineRule="exac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电　　　　话：                                 </w:t>
      </w:r>
      <w:bookmarkEnd w:id="619"/>
      <w:bookmarkEnd w:id="620"/>
      <w:bookmarkEnd w:id="621"/>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rPr>
          <w:rFonts w:ascii="微软雅黑" w:hAnsi="微软雅黑" w:eastAsia="微软雅黑" w:cs="微软雅黑"/>
          <w:color w:val="auto"/>
          <w:sz w:val="24"/>
          <w:szCs w:val="24"/>
        </w:rPr>
      </w:pPr>
    </w:p>
    <w:p>
      <w:pPr>
        <w:rPr>
          <w:color w:val="auto"/>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3"/>
        <w:snapToGrid w:val="0"/>
        <w:ind w:firstLine="480"/>
        <w:textAlignment w:val="baseline"/>
        <w:outlineLvl w:val="9"/>
        <w:rPr>
          <w:rFonts w:ascii="微软雅黑" w:hAnsi="微软雅黑" w:eastAsia="微软雅黑" w:cs="微软雅黑"/>
          <w:b/>
          <w:color w:val="auto"/>
          <w:kern w:val="0"/>
        </w:rPr>
      </w:pPr>
      <w:r>
        <w:rPr>
          <w:rFonts w:hint="eastAsia" w:ascii="微软雅黑" w:hAnsi="微软雅黑" w:eastAsia="微软雅黑" w:cs="微软雅黑"/>
          <w:b/>
          <w:color w:val="auto"/>
          <w:kern w:val="0"/>
          <w:lang w:val="en-US" w:eastAsia="zh-CN"/>
        </w:rPr>
        <w:t>③</w:t>
      </w:r>
      <w:r>
        <w:rPr>
          <w:rFonts w:hint="eastAsia" w:ascii="微软雅黑" w:hAnsi="微软雅黑" w:eastAsia="微软雅黑" w:cs="微软雅黑"/>
          <w:b/>
          <w:color w:val="auto"/>
          <w:kern w:val="0"/>
          <w:lang w:eastAsia="zh-CN"/>
        </w:rPr>
        <w:t>本单位依法缴纳的近</w:t>
      </w:r>
      <w:r>
        <w:rPr>
          <w:rFonts w:hint="eastAsia" w:ascii="微软雅黑" w:hAnsi="微软雅黑" w:eastAsia="微软雅黑" w:cs="微软雅黑"/>
          <w:b/>
          <w:color w:val="auto"/>
          <w:kern w:val="0"/>
          <w:lang w:val="en-US" w:eastAsia="zh-CN"/>
        </w:rPr>
        <w:t>3</w:t>
      </w:r>
      <w:r>
        <w:rPr>
          <w:rFonts w:hint="eastAsia" w:ascii="微软雅黑" w:hAnsi="微软雅黑" w:eastAsia="微软雅黑" w:cs="微软雅黑"/>
          <w:b/>
          <w:color w:val="auto"/>
          <w:kern w:val="0"/>
          <w:lang w:eastAsia="zh-CN"/>
        </w:rPr>
        <w:t>个月内任意一个月的社会保险的凭据；</w:t>
      </w: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说明：1、社保证明可含：社保缴费凭证或社保缴费证明或社保缴费汇总单或依法缴纳社保的完税证明。</w:t>
      </w:r>
    </w:p>
    <w:p>
      <w:pPr>
        <w:pStyle w:val="17"/>
        <w:numPr>
          <w:ilvl w:val="0"/>
          <w:numId w:val="0"/>
        </w:numPr>
        <w:tabs>
          <w:tab w:val="left" w:pos="5580"/>
        </w:tabs>
        <w:snapToGrid w:val="0"/>
        <w:spacing w:line="240" w:lineRule="atLeast"/>
        <w:ind w:firstLine="720" w:firstLineChars="3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2、近三个月是指招标公告发布前三个月。</w:t>
      </w:r>
    </w:p>
    <w:p>
      <w:pPr>
        <w:pStyle w:val="13"/>
        <w:snapToGrid w:val="0"/>
        <w:ind w:left="0" w:leftChars="0" w:firstLine="0" w:firstLineChars="0"/>
        <w:textAlignment w:val="baseline"/>
        <w:rPr>
          <w:rFonts w:ascii="微软雅黑" w:hAnsi="微软雅黑" w:eastAsia="微软雅黑" w:cs="微软雅黑"/>
          <w:b/>
          <w:color w:val="auto"/>
          <w:kern w:val="0"/>
          <w:sz w:val="21"/>
        </w:rPr>
      </w:pP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④税务部门出具的近3个月内任意一个月的完税证明（依法免缴的应提供依法免缴的相关证明文件或零申报报表）；</w:t>
      </w: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lang w:val="en-US" w:eastAsia="zh-CN"/>
        </w:rPr>
      </w:pPr>
      <w:r>
        <w:rPr>
          <w:rFonts w:hint="eastAsia" w:ascii="微软雅黑" w:hAnsi="微软雅黑" w:eastAsia="微软雅黑" w:cs="微软雅黑"/>
          <w:b w:val="0"/>
          <w:bCs/>
          <w:color w:val="auto"/>
          <w:kern w:val="0"/>
          <w:sz w:val="24"/>
          <w:lang w:val="en-US" w:eastAsia="zh-CN"/>
        </w:rPr>
        <w:t>说明：1、新成立公司若无纳税记录，可开具无欠税证明或零申报报表。</w:t>
      </w:r>
    </w:p>
    <w:p>
      <w:pPr>
        <w:pStyle w:val="17"/>
        <w:numPr>
          <w:ilvl w:val="0"/>
          <w:numId w:val="0"/>
        </w:numPr>
        <w:tabs>
          <w:tab w:val="left" w:pos="5580"/>
        </w:tabs>
        <w:snapToGrid w:val="0"/>
        <w:spacing w:line="240" w:lineRule="atLeast"/>
        <w:ind w:firstLine="960" w:firstLineChars="400"/>
        <w:textAlignment w:val="baseline"/>
        <w:rPr>
          <w:rFonts w:ascii="微软雅黑" w:hAnsi="微软雅黑" w:eastAsia="微软雅黑" w:cs="微软雅黑"/>
          <w:b/>
          <w:color w:val="auto"/>
          <w:kern w:val="0"/>
          <w:sz w:val="24"/>
          <w:szCs w:val="24"/>
        </w:rPr>
      </w:pPr>
      <w:r>
        <w:rPr>
          <w:rFonts w:hint="eastAsia" w:ascii="微软雅黑" w:hAnsi="微软雅黑" w:eastAsia="微软雅黑" w:cs="微软雅黑"/>
          <w:b w:val="0"/>
          <w:bCs/>
          <w:color w:val="auto"/>
          <w:kern w:val="0"/>
          <w:sz w:val="24"/>
          <w:lang w:val="en-US" w:eastAsia="zh-CN"/>
        </w:rPr>
        <w:t>2、完税证明中“税种”非养老保险、医疗保险、失业保险、工伤保险和生育保险。</w:t>
      </w:r>
    </w:p>
    <w:p>
      <w:pPr>
        <w:pStyle w:val="17"/>
        <w:tabs>
          <w:tab w:val="left" w:pos="5580"/>
        </w:tabs>
        <w:snapToGrid w:val="0"/>
        <w:spacing w:line="240" w:lineRule="atLeast"/>
        <w:textAlignment w:val="baseline"/>
        <w:rPr>
          <w:rFonts w:ascii="微软雅黑" w:hAnsi="微软雅黑" w:eastAsia="微软雅黑" w:cs="微软雅黑"/>
          <w:b/>
          <w:color w:val="auto"/>
          <w:kern w:val="0"/>
          <w:sz w:val="24"/>
          <w:szCs w:val="24"/>
        </w:rPr>
      </w:pPr>
    </w:p>
    <w:p>
      <w:pPr>
        <w:tabs>
          <w:tab w:val="left" w:pos="5580"/>
        </w:tabs>
        <w:spacing w:line="240" w:lineRule="atLeast"/>
        <w:ind w:left="1080" w:leftChars="257" w:hanging="540"/>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⑤提供近两年任意一年完整的财务审计报告（成立不满一年的可提供近一个月的银行资信证明）</w:t>
      </w:r>
    </w:p>
    <w:p>
      <w:pPr>
        <w:tabs>
          <w:tab w:val="left" w:pos="5580"/>
        </w:tabs>
        <w:spacing w:line="240" w:lineRule="atLeast"/>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pPr>
        <w:tabs>
          <w:tab w:val="left" w:pos="5580"/>
        </w:tabs>
        <w:spacing w:line="240" w:lineRule="atLeast"/>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1、如提供本单位上年度经会计师事务所出具的完整审计报告复印件须加盖本单位章。</w:t>
      </w:r>
    </w:p>
    <w:p>
      <w:pPr>
        <w:pStyle w:val="7"/>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2、如果是联合体投标，联合体各方均需提供上述证明。</w:t>
      </w:r>
    </w:p>
    <w:p>
      <w:pPr>
        <w:pStyle w:val="8"/>
        <w:ind w:firstLine="480" w:firstLineChars="200"/>
        <w:rPr>
          <w:rFonts w:hint="default"/>
          <w:color w:val="auto"/>
          <w:highlight w:val="none"/>
          <w:lang w:val="en-US"/>
        </w:rPr>
      </w:pPr>
      <w:r>
        <w:rPr>
          <w:rFonts w:hint="eastAsia" w:ascii="微软雅黑" w:hAnsi="微软雅黑" w:eastAsia="微软雅黑" w:cs="微软雅黑"/>
          <w:b w:val="0"/>
          <w:bCs/>
          <w:color w:val="auto"/>
          <w:kern w:val="0"/>
          <w:sz w:val="24"/>
          <w:szCs w:val="20"/>
          <w:highlight w:val="none"/>
          <w:lang w:val="en-US" w:eastAsia="zh-CN" w:bidi="ar-SA"/>
        </w:rPr>
        <w:t>3、近两年任意一年指2021年或2022年，近一个月是指招标公告发布前一个月。</w:t>
      </w:r>
    </w:p>
    <w:p>
      <w:pPr>
        <w:pStyle w:val="17"/>
        <w:tabs>
          <w:tab w:val="left" w:pos="5580"/>
        </w:tabs>
        <w:snapToGrid w:val="0"/>
        <w:spacing w:line="240" w:lineRule="atLeast"/>
        <w:textAlignment w:val="baseline"/>
        <w:rPr>
          <w:rFonts w:ascii="微软雅黑" w:hAnsi="微软雅黑" w:eastAsia="微软雅黑" w:cs="微软雅黑"/>
          <w:b/>
          <w:color w:val="auto"/>
          <w:kern w:val="0"/>
          <w:sz w:val="24"/>
          <w:szCs w:val="24"/>
        </w:rPr>
      </w:pP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⑥参与政府采购活动前3年内未被列入失信、重大税收违法案件、财政部门禁止参加政府采购活动的承诺书；</w:t>
      </w:r>
    </w:p>
    <w:p>
      <w:pPr>
        <w:pStyle w:val="7"/>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pPr>
        <w:pStyle w:val="17"/>
        <w:tabs>
          <w:tab w:val="left" w:pos="5580"/>
        </w:tabs>
        <w:snapToGrid w:val="0"/>
        <w:spacing w:line="240" w:lineRule="atLeast"/>
        <w:textAlignment w:val="baseline"/>
        <w:rPr>
          <w:rFonts w:ascii="微软雅黑" w:hAnsi="微软雅黑" w:eastAsia="微软雅黑" w:cs="微软雅黑"/>
          <w:b/>
          <w:color w:val="auto"/>
          <w:kern w:val="0"/>
          <w:sz w:val="24"/>
          <w:szCs w:val="24"/>
        </w:rPr>
      </w:pPr>
    </w:p>
    <w:p>
      <w:pPr>
        <w:pStyle w:val="17"/>
        <w:numPr>
          <w:ilvl w:val="0"/>
          <w:numId w:val="0"/>
        </w:numPr>
        <w:tabs>
          <w:tab w:val="left" w:pos="5580"/>
        </w:tabs>
        <w:snapToGrid w:val="0"/>
        <w:spacing w:line="240" w:lineRule="atLeast"/>
        <w:ind w:firstLine="240" w:firstLineChars="100"/>
        <w:textAlignment w:val="baseline"/>
        <w:rPr>
          <w:rFonts w:ascii="微软雅黑" w:hAnsi="微软雅黑" w:eastAsia="微软雅黑" w:cs="微软雅黑"/>
          <w:b/>
          <w:color w:val="auto"/>
          <w:kern w:val="0"/>
          <w:sz w:val="24"/>
        </w:rPr>
      </w:pPr>
      <w:bookmarkStart w:id="622" w:name="_Toc10102"/>
      <w:bookmarkStart w:id="623" w:name="_Toc494296991"/>
      <w:bookmarkStart w:id="624" w:name="_Toc16480"/>
      <w:bookmarkStart w:id="625" w:name="_Toc28525"/>
      <w:bookmarkStart w:id="626" w:name="_Toc494296665"/>
      <w:bookmarkStart w:id="627" w:name="_Toc16326"/>
      <w:bookmarkStart w:id="628" w:name="_Toc20720"/>
      <w:r>
        <w:rPr>
          <w:rFonts w:hint="eastAsia" w:ascii="微软雅黑" w:hAnsi="微软雅黑" w:eastAsia="微软雅黑" w:cs="微软雅黑"/>
          <w:b/>
          <w:color w:val="auto"/>
          <w:kern w:val="0"/>
          <w:sz w:val="24"/>
          <w:szCs w:val="24"/>
          <w:lang w:val="en-US" w:eastAsia="zh-CN" w:bidi="ar-SA"/>
        </w:rPr>
        <w:t>⑦提供针对本次项目的反商业贿赂承诺书。</w:t>
      </w:r>
    </w:p>
    <w:p>
      <w:pPr>
        <w:pStyle w:val="7"/>
        <w:ind w:left="0" w:leftChars="0" w:firstLine="720" w:firstLineChars="30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说明：1.供应商应按照相关法规规定如实作出说明。</w:t>
      </w:r>
    </w:p>
    <w:p>
      <w:pPr>
        <w:rPr>
          <w:rFonts w:hint="eastAsia" w:ascii="微软雅黑" w:hAnsi="微软雅黑" w:eastAsia="微软雅黑" w:cs="微软雅黑"/>
          <w:color w:val="auto"/>
          <w:lang w:val="en-US" w:eastAsia="zh-CN"/>
        </w:rPr>
      </w:pP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⑧根据《财政部关于在政府采购活动中查询及使用信用记录有关问题的通知》（财库﹝2016﹞125号）的要求，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p>
    <w:p>
      <w:pPr>
        <w:pStyle w:val="2"/>
        <w:rPr>
          <w:rFonts w:hint="eastAsia"/>
          <w:lang w:val="en-US" w:eastAsia="zh-CN"/>
        </w:rPr>
      </w:pPr>
    </w:p>
    <w:p>
      <w:pPr>
        <w:pStyle w:val="36"/>
        <w:ind w:left="0" w:leftChars="0" w:firstLine="0" w:firstLineChars="0"/>
        <w:rPr>
          <w:rFonts w:hint="eastAsia"/>
          <w:color w:val="auto"/>
          <w:lang w:val="en-US" w:eastAsia="zh-CN"/>
        </w:rPr>
      </w:pPr>
    </w:p>
    <w:p>
      <w:pPr>
        <w:spacing w:before="0" w:line="240" w:lineRule="atLeast"/>
        <w:outlineLvl w:val="9"/>
        <w:rPr>
          <w:rStyle w:val="85"/>
          <w:rFonts w:ascii="微软雅黑" w:hAnsi="微软雅黑" w:eastAsia="微软雅黑" w:cs="微软雅黑"/>
          <w:b/>
          <w:bCs w:val="0"/>
          <w:color w:val="auto"/>
          <w:sz w:val="24"/>
        </w:rPr>
      </w:pPr>
      <w:r>
        <w:rPr>
          <w:rStyle w:val="85"/>
          <w:rFonts w:hint="eastAsia" w:ascii="微软雅黑" w:hAnsi="微软雅黑" w:eastAsia="微软雅黑" w:cs="微软雅黑"/>
          <w:b/>
          <w:bCs w:val="0"/>
          <w:color w:val="auto"/>
          <w:sz w:val="24"/>
        </w:rPr>
        <w:t>⑨中小企业声明函（工程）</w:t>
      </w:r>
    </w:p>
    <w:p>
      <w:pPr>
        <w:widowControl/>
        <w:spacing w:before="100" w:beforeAutospacing="1" w:after="100" w:afterAutospacing="1" w:line="330" w:lineRule="atLeast"/>
        <w:ind w:firstLine="420" w:firstLineChars="200"/>
        <w:jc w:val="lef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Cs w:val="21"/>
          <w:u w:val="single"/>
        </w:rPr>
        <w:t>（单位名称  ）</w:t>
      </w:r>
      <w:r>
        <w:rPr>
          <w:rFonts w:hint="eastAsia" w:ascii="微软雅黑" w:hAnsi="微软雅黑" w:eastAsia="微软雅黑" w:cs="微软雅黑"/>
          <w:color w:val="auto"/>
          <w:kern w:val="0"/>
          <w:szCs w:val="21"/>
        </w:rPr>
        <w:t>的</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rPr>
        <w:t>采购活动，服务全部由符合政策要求的中小企业承接。相关企业（含联合 体中的中小企业、签订分包意向协议的中小企业）的具体情况如下：</w:t>
      </w:r>
    </w:p>
    <w:p>
      <w:pPr>
        <w:pStyle w:val="82"/>
        <w:tabs>
          <w:tab w:val="left" w:pos="1243"/>
        </w:tabs>
        <w:spacing w:line="402" w:lineRule="exact"/>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1.</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rPr>
        <w:t>，属于</w:t>
      </w:r>
      <w:r>
        <w:rPr>
          <w:rFonts w:hint="eastAsia" w:ascii="微软雅黑" w:hAnsi="微软雅黑" w:eastAsia="微软雅黑" w:cs="微软雅黑"/>
          <w:i/>
          <w:iCs/>
          <w:color w:val="auto"/>
          <w:kern w:val="0"/>
          <w:szCs w:val="21"/>
          <w:u w:val="single"/>
        </w:rPr>
        <w:t>（采购文件中明确的所属行业）</w:t>
      </w:r>
      <w:r>
        <w:rPr>
          <w:rFonts w:hint="eastAsia" w:ascii="微软雅黑" w:hAnsi="微软雅黑" w:eastAsia="微软雅黑" w:cs="微软雅黑"/>
          <w:color w:val="auto"/>
          <w:kern w:val="0"/>
          <w:szCs w:val="21"/>
        </w:rPr>
        <w:t xml:space="preserve">；承接企业为 </w:t>
      </w:r>
      <w:r>
        <w:rPr>
          <w:rFonts w:hint="eastAsia" w:ascii="微软雅黑" w:hAnsi="微软雅黑" w:eastAsia="微软雅黑" w:cs="微软雅黑"/>
          <w:i/>
          <w:iCs/>
          <w:color w:val="auto"/>
          <w:kern w:val="0"/>
          <w:szCs w:val="21"/>
          <w:u w:val="single"/>
        </w:rPr>
        <w:t xml:space="preserve">  （企业名称） </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，从业人员</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rPr>
        <w:t>人，营业收入为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万元，资产总额为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rPr>
        <w:t>万元，属于</w:t>
      </w:r>
      <w:r>
        <w:rPr>
          <w:rFonts w:hint="eastAsia" w:ascii="微软雅黑" w:hAnsi="微软雅黑" w:eastAsia="微软雅黑" w:cs="微软雅黑"/>
          <w:i/>
          <w:iCs/>
          <w:color w:val="auto"/>
          <w:kern w:val="0"/>
          <w:szCs w:val="21"/>
          <w:u w:val="single"/>
        </w:rPr>
        <w:t>（中型企业、小型企业、微型企业）</w:t>
      </w:r>
      <w:r>
        <w:rPr>
          <w:rFonts w:hint="eastAsia" w:ascii="微软雅黑" w:hAnsi="微软雅黑" w:eastAsia="微软雅黑" w:cs="微软雅黑"/>
          <w:color w:val="auto"/>
          <w:kern w:val="0"/>
          <w:szCs w:val="21"/>
        </w:rPr>
        <w:t>；</w:t>
      </w:r>
    </w:p>
    <w:p>
      <w:pPr>
        <w:pStyle w:val="82"/>
        <w:tabs>
          <w:tab w:val="left" w:pos="1243"/>
        </w:tabs>
        <w:spacing w:line="402" w:lineRule="exact"/>
        <w:rPr>
          <w:rFonts w:ascii="微软雅黑" w:hAnsi="微软雅黑" w:eastAsia="微软雅黑" w:cs="微软雅黑"/>
          <w:color w:val="auto"/>
          <w:kern w:val="0"/>
          <w:szCs w:val="21"/>
          <w:u w:val="single"/>
        </w:rPr>
      </w:pPr>
      <w:r>
        <w:rPr>
          <w:rFonts w:hint="eastAsia" w:ascii="微软雅黑" w:hAnsi="微软雅黑" w:eastAsia="微软雅黑" w:cs="微软雅黑"/>
          <w:color w:val="auto"/>
          <w:kern w:val="0"/>
          <w:szCs w:val="21"/>
        </w:rPr>
        <w:t>2.</w:t>
      </w:r>
      <w:r>
        <w:rPr>
          <w:rFonts w:hint="eastAsia" w:ascii="微软雅黑" w:hAnsi="微软雅黑" w:eastAsia="微软雅黑" w:cs="微软雅黑"/>
          <w:i/>
          <w:iCs/>
          <w:color w:val="auto"/>
          <w:kern w:val="0"/>
          <w:szCs w:val="21"/>
          <w:u w:val="single"/>
        </w:rPr>
        <w:t>（项目名称）</w:t>
      </w:r>
      <w:r>
        <w:rPr>
          <w:rFonts w:hint="eastAsia" w:ascii="微软雅黑" w:hAnsi="微软雅黑" w:eastAsia="微软雅黑" w:cs="微软雅黑"/>
          <w:color w:val="auto"/>
          <w:kern w:val="0"/>
          <w:szCs w:val="21"/>
          <w:u w:val="single"/>
        </w:rPr>
        <w:t>，</w:t>
      </w:r>
      <w:r>
        <w:rPr>
          <w:rFonts w:hint="eastAsia" w:ascii="微软雅黑" w:hAnsi="微软雅黑" w:eastAsia="微软雅黑" w:cs="微软雅黑"/>
          <w:color w:val="auto"/>
          <w:kern w:val="0"/>
          <w:szCs w:val="21"/>
        </w:rPr>
        <w:t>属于</w:t>
      </w:r>
      <w:r>
        <w:rPr>
          <w:rFonts w:hint="eastAsia" w:ascii="微软雅黑" w:hAnsi="微软雅黑" w:eastAsia="微软雅黑" w:cs="微软雅黑"/>
          <w:i/>
          <w:iCs/>
          <w:color w:val="auto"/>
          <w:kern w:val="0"/>
          <w:szCs w:val="21"/>
          <w:u w:val="single"/>
        </w:rPr>
        <w:t>（采购文件中明确的所属行业）</w:t>
      </w:r>
      <w:r>
        <w:rPr>
          <w:rFonts w:hint="eastAsia" w:ascii="微软雅黑" w:hAnsi="微软雅黑" w:eastAsia="微软雅黑" w:cs="微软雅黑"/>
          <w:color w:val="auto"/>
          <w:kern w:val="0"/>
          <w:szCs w:val="21"/>
        </w:rPr>
        <w:t>；承接企业为</w:t>
      </w:r>
      <w:r>
        <w:rPr>
          <w:rFonts w:hint="eastAsia" w:ascii="微软雅黑" w:hAnsi="微软雅黑" w:eastAsia="微软雅黑" w:cs="微软雅黑"/>
          <w:i/>
          <w:iCs/>
          <w:color w:val="auto"/>
          <w:kern w:val="0"/>
          <w:szCs w:val="21"/>
          <w:u w:val="single"/>
        </w:rPr>
        <w:t>（企业名称）</w:t>
      </w:r>
      <w:r>
        <w:rPr>
          <w:rFonts w:hint="eastAsia" w:ascii="微软雅黑" w:hAnsi="微软雅黑" w:eastAsia="微软雅黑" w:cs="微软雅黑"/>
          <w:color w:val="auto"/>
          <w:kern w:val="0"/>
          <w:szCs w:val="21"/>
        </w:rPr>
        <w:t>，从业人员</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人，营业收入为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万元，资产总额为</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u w:val="single"/>
        </w:rPr>
        <w:tab/>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万元，属于</w:t>
      </w:r>
      <w:r>
        <w:rPr>
          <w:rFonts w:hint="eastAsia" w:ascii="微软雅黑" w:hAnsi="微软雅黑" w:eastAsia="微软雅黑" w:cs="微软雅黑"/>
          <w:i/>
          <w:iCs/>
          <w:color w:val="auto"/>
          <w:kern w:val="0"/>
          <w:szCs w:val="21"/>
          <w:u w:val="single"/>
        </w:rPr>
        <w:t>（中型企业、小型企业、微型企业）</w:t>
      </w:r>
      <w:r>
        <w:rPr>
          <w:rFonts w:hint="eastAsia" w:ascii="微软雅黑" w:hAnsi="微软雅黑" w:eastAsia="微软雅黑" w:cs="微软雅黑"/>
          <w:color w:val="auto"/>
          <w:kern w:val="0"/>
          <w:szCs w:val="21"/>
        </w:rPr>
        <w:t>；</w:t>
      </w:r>
    </w:p>
    <w:p>
      <w:pPr>
        <w:pStyle w:val="11"/>
        <w:spacing w:before="11"/>
        <w:ind w:left="860"/>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w:t>
      </w:r>
    </w:p>
    <w:p>
      <w:pPr>
        <w:pStyle w:val="11"/>
        <w:spacing w:before="108" w:line="304" w:lineRule="auto"/>
        <w:ind w:right="417" w:firstLine="420" w:firstLineChars="200"/>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以上企业，不属于大企业的分支机构，不存在控股股东为大企业的情形，也不存在与大企业的负责人为同一人的情形。</w:t>
      </w:r>
    </w:p>
    <w:p>
      <w:pPr>
        <w:pStyle w:val="11"/>
        <w:spacing w:before="108" w:line="304" w:lineRule="auto"/>
        <w:ind w:right="417" w:firstLine="420" w:firstLineChars="200"/>
        <w:rPr>
          <w:rFonts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本企业对上述声明内容的真实性负责。如有虚假，将依法承担相应责任。</w:t>
      </w:r>
    </w:p>
    <w:p>
      <w:pPr>
        <w:pStyle w:val="82"/>
        <w:tabs>
          <w:tab w:val="left" w:pos="1243"/>
        </w:tabs>
        <w:spacing w:line="402" w:lineRule="exact"/>
        <w:ind w:left="420" w:leftChars="200" w:firstLine="0" w:firstLineChars="0"/>
        <w:rPr>
          <w:rFonts w:ascii="微软雅黑" w:hAnsi="微软雅黑" w:eastAsia="微软雅黑" w:cs="微软雅黑"/>
          <w:color w:val="auto"/>
          <w:kern w:val="0"/>
          <w:szCs w:val="21"/>
        </w:rPr>
      </w:pPr>
    </w:p>
    <w:p>
      <w:pPr>
        <w:pStyle w:val="82"/>
        <w:tabs>
          <w:tab w:val="left" w:pos="1243"/>
        </w:tabs>
        <w:spacing w:line="402" w:lineRule="exact"/>
        <w:ind w:left="0" w:leftChars="0" w:firstLine="0" w:firstLineChars="0"/>
        <w:rPr>
          <w:rFonts w:ascii="微软雅黑" w:hAnsi="微软雅黑" w:eastAsia="微软雅黑" w:cs="微软雅黑"/>
          <w:color w:val="auto"/>
          <w:kern w:val="0"/>
          <w:szCs w:val="21"/>
        </w:rPr>
      </w:pPr>
    </w:p>
    <w:p>
      <w:pPr>
        <w:pStyle w:val="82"/>
        <w:tabs>
          <w:tab w:val="left" w:pos="1243"/>
        </w:tabs>
        <w:spacing w:line="402" w:lineRule="exact"/>
        <w:ind w:left="420" w:leftChars="200" w:firstLine="0" w:firstLineChars="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供应商名称（盖章）：</w:t>
      </w:r>
    </w:p>
    <w:p>
      <w:pPr>
        <w:pStyle w:val="82"/>
        <w:tabs>
          <w:tab w:val="left" w:pos="1243"/>
        </w:tabs>
        <w:spacing w:line="402" w:lineRule="exact"/>
        <w:ind w:left="0" w:leftChars="0" w:firstLine="0" w:firstLineChars="0"/>
        <w:rPr>
          <w:rFonts w:ascii="微软雅黑" w:hAnsi="微软雅黑" w:eastAsia="微软雅黑" w:cs="微软雅黑"/>
          <w:color w:val="auto"/>
          <w:kern w:val="0"/>
          <w:szCs w:val="21"/>
        </w:rPr>
      </w:pPr>
    </w:p>
    <w:p>
      <w:pPr>
        <w:pStyle w:val="82"/>
        <w:tabs>
          <w:tab w:val="left" w:pos="1243"/>
        </w:tabs>
        <w:spacing w:line="402" w:lineRule="exact"/>
        <w:ind w:left="420" w:leftChars="200" w:firstLine="0" w:firstLineChars="0"/>
        <w:rPr>
          <w:rFonts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日期：</w:t>
      </w:r>
    </w:p>
    <w:p>
      <w:pPr>
        <w:pStyle w:val="82"/>
        <w:tabs>
          <w:tab w:val="left" w:pos="1243"/>
        </w:tabs>
        <w:spacing w:line="402" w:lineRule="exact"/>
        <w:ind w:left="420" w:leftChars="200" w:firstLine="0" w:firstLineChars="0"/>
        <w:rPr>
          <w:rFonts w:ascii="微软雅黑" w:hAnsi="微软雅黑" w:eastAsia="微软雅黑" w:cs="微软雅黑"/>
          <w:color w:val="auto"/>
          <w:kern w:val="0"/>
          <w:szCs w:val="21"/>
        </w:rPr>
      </w:pPr>
    </w:p>
    <w:p>
      <w:pPr>
        <w:pStyle w:val="82"/>
        <w:tabs>
          <w:tab w:val="left" w:pos="1243"/>
        </w:tabs>
        <w:spacing w:line="402" w:lineRule="exact"/>
        <w:ind w:left="0" w:leftChars="0" w:firstLine="0" w:firstLineChars="0"/>
        <w:rPr>
          <w:rFonts w:ascii="微软雅黑" w:hAnsi="微软雅黑" w:eastAsia="微软雅黑" w:cs="微软雅黑"/>
          <w:color w:val="auto"/>
          <w:kern w:val="0"/>
          <w:szCs w:val="21"/>
        </w:rPr>
      </w:pPr>
    </w:p>
    <w:p>
      <w:pPr>
        <w:widowControl/>
        <w:spacing w:before="100" w:beforeAutospacing="1" w:after="100" w:afterAutospacing="1" w:line="400" w:lineRule="exact"/>
        <w:ind w:left="420" w:hanging="420" w:hangingChars="200"/>
        <w:jc w:val="both"/>
        <w:rPr>
          <w:rFonts w:ascii="微软雅黑" w:hAnsi="微软雅黑" w:eastAsia="微软雅黑" w:cs="微软雅黑"/>
          <w:color w:val="auto"/>
          <w:szCs w:val="21"/>
        </w:rPr>
      </w:pPr>
      <w:r>
        <w:rPr>
          <w:rFonts w:hint="eastAsia" w:ascii="微软雅黑" w:hAnsi="微软雅黑" w:eastAsia="微软雅黑" w:cs="微软雅黑"/>
          <w:b/>
          <w:bCs/>
          <w:color w:val="auto"/>
          <w:szCs w:val="21"/>
        </w:rPr>
        <w:t>注：</w:t>
      </w:r>
      <w:r>
        <w:rPr>
          <w:rFonts w:hint="eastAsia" w:ascii="微软雅黑" w:hAnsi="微软雅黑" w:eastAsia="微软雅黑" w:cs="微软雅黑"/>
          <w:b/>
          <w:bCs/>
          <w:color w:val="auto"/>
          <w:szCs w:val="21"/>
          <w:lang w:val="en-US" w:eastAsia="zh-CN"/>
        </w:rPr>
        <w:t xml:space="preserve">1、潜在投标企业属于中小微企业的，应在响应文件中提供‘’中小企业声明函”如果未提供或提供“中小企业声明函”内容不实的，供应商将承担由此造成的一切不利后果。  </w:t>
      </w:r>
      <w:r>
        <w:rPr>
          <w:rFonts w:hint="eastAsia" w:ascii="微软雅黑" w:hAnsi="微软雅黑" w:eastAsia="微软雅黑" w:cs="微软雅黑"/>
          <w:color w:val="auto"/>
          <w:szCs w:val="21"/>
          <w:lang w:val="en-US" w:eastAsia="zh-CN"/>
        </w:rPr>
        <w:t xml:space="preserve">    </w:t>
      </w:r>
    </w:p>
    <w:p>
      <w:pPr>
        <w:widowControl/>
        <w:numPr>
          <w:ilvl w:val="0"/>
          <w:numId w:val="0"/>
        </w:numPr>
        <w:spacing w:before="100" w:beforeAutospacing="1" w:after="100" w:afterAutospacing="1" w:line="400" w:lineRule="exact"/>
        <w:ind w:leftChars="339"/>
        <w:jc w:val="both"/>
        <w:rPr>
          <w:rFonts w:hint="eastAsia"/>
          <w:lang w:val="en-US" w:eastAsia="zh-CN"/>
        </w:rPr>
      </w:pPr>
      <w:r>
        <w:rPr>
          <w:rFonts w:hint="eastAsia" w:ascii="微软雅黑" w:hAnsi="微软雅黑" w:eastAsia="微软雅黑" w:cs="微软雅黑"/>
          <w:b/>
          <w:bCs/>
          <w:color w:val="auto"/>
          <w:szCs w:val="21"/>
          <w:lang w:val="en-US" w:eastAsia="zh-CN"/>
        </w:rPr>
        <w:t>2、本项目所属行业：建筑业。</w:t>
      </w:r>
    </w:p>
    <w:p>
      <w:pPr>
        <w:spacing w:line="400" w:lineRule="exact"/>
        <w:jc w:val="left"/>
        <w:rPr>
          <w:rFonts w:hint="eastAsia" w:ascii="微软雅黑" w:hAnsi="微软雅黑" w:eastAsia="微软雅黑" w:cs="微软雅黑"/>
          <w:b/>
          <w:bCs/>
          <w:color w:val="auto"/>
          <w:kern w:val="0"/>
          <w:sz w:val="24"/>
        </w:rPr>
      </w:pPr>
    </w:p>
    <w:p>
      <w:pPr>
        <w:spacing w:line="400" w:lineRule="exact"/>
        <w:jc w:val="left"/>
        <w:rPr>
          <w:rFonts w:hint="eastAsia" w:ascii="微软雅黑" w:hAnsi="微软雅黑" w:eastAsia="微软雅黑" w:cs="微软雅黑"/>
          <w:b/>
          <w:bCs/>
          <w:color w:val="auto"/>
          <w:kern w:val="0"/>
          <w:sz w:val="24"/>
        </w:rPr>
      </w:pPr>
    </w:p>
    <w:p>
      <w:pPr>
        <w:spacing w:line="400" w:lineRule="exact"/>
        <w:jc w:val="left"/>
        <w:rPr>
          <w:rFonts w:hint="eastAsia" w:ascii="微软雅黑" w:hAnsi="微软雅黑" w:eastAsia="微软雅黑" w:cs="微软雅黑"/>
          <w:b/>
          <w:bCs/>
          <w:color w:val="auto"/>
          <w:kern w:val="0"/>
          <w:sz w:val="24"/>
        </w:rPr>
      </w:pPr>
    </w:p>
    <w:p>
      <w:pPr>
        <w:spacing w:line="400" w:lineRule="exact"/>
        <w:jc w:val="left"/>
        <w:rPr>
          <w:rFonts w:hint="eastAsia" w:ascii="微软雅黑" w:hAnsi="微软雅黑" w:eastAsia="微软雅黑" w:cs="微软雅黑"/>
          <w:b/>
          <w:bCs/>
          <w:color w:val="auto"/>
          <w:kern w:val="0"/>
          <w:sz w:val="24"/>
        </w:rPr>
      </w:pPr>
    </w:p>
    <w:p>
      <w:pPr>
        <w:spacing w:line="400" w:lineRule="exact"/>
        <w:jc w:val="left"/>
        <w:rPr>
          <w:rFonts w:hint="eastAsia" w:ascii="微软雅黑" w:hAnsi="微软雅黑" w:eastAsia="微软雅黑" w:cs="微软雅黑"/>
          <w:b/>
          <w:bCs/>
          <w:color w:val="auto"/>
          <w:kern w:val="0"/>
          <w:sz w:val="24"/>
        </w:rPr>
      </w:pPr>
    </w:p>
    <w:p>
      <w:pPr>
        <w:spacing w:line="400" w:lineRule="exact"/>
        <w:jc w:val="left"/>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附：</w:t>
      </w:r>
    </w:p>
    <w:p>
      <w:pPr>
        <w:spacing w:line="440" w:lineRule="exact"/>
        <w:jc w:val="center"/>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中小微企业划型标准</w:t>
      </w:r>
    </w:p>
    <w:p>
      <w:pPr>
        <w:spacing w:line="440" w:lineRule="exact"/>
        <w:jc w:val="center"/>
        <w:rPr>
          <w:rFonts w:ascii="微软雅黑" w:hAnsi="微软雅黑" w:eastAsia="微软雅黑" w:cs="微软雅黑"/>
          <w:b/>
          <w:bCs/>
          <w:color w:val="auto"/>
          <w:kern w:val="0"/>
          <w:sz w:val="24"/>
        </w:rPr>
      </w:pPr>
    </w:p>
    <w:p>
      <w:pPr>
        <w:spacing w:line="420" w:lineRule="exact"/>
        <w:ind w:firstLine="480" w:firstLineChars="200"/>
        <w:jc w:val="left"/>
        <w:rPr>
          <w:rFonts w:ascii="微软雅黑" w:hAnsi="微软雅黑" w:eastAsia="微软雅黑" w:cs="微软雅黑"/>
          <w:b/>
          <w:bCs/>
          <w:color w:val="auto"/>
          <w:kern w:val="0"/>
          <w:sz w:val="24"/>
        </w:rPr>
      </w:pPr>
      <w:bookmarkStart w:id="629" w:name="bookmark4"/>
      <w:bookmarkStart w:id="630" w:name="bookmark5"/>
      <w:r>
        <w:rPr>
          <w:rFonts w:hint="eastAsia" w:ascii="微软雅黑" w:hAnsi="微软雅黑" w:eastAsia="微软雅黑" w:cs="微软雅黑"/>
          <w:color w:val="auto"/>
          <w:kern w:val="0"/>
          <w:sz w:val="24"/>
        </w:rPr>
        <w:t>工业和信息化部、国家统计局、发展改革委、财政部等四部门《关于印发中 小企业划型标准规定的通知》（工信部联企业〔2011〕300号）规定中小企业划型标准如表所示：</w:t>
      </w:r>
      <w:bookmarkEnd w:id="629"/>
      <w:bookmarkEnd w:id="630"/>
    </w:p>
    <w:tbl>
      <w:tblPr>
        <w:tblStyle w:val="37"/>
        <w:tblW w:w="9793" w:type="dxa"/>
        <w:jc w:val="center"/>
        <w:tblLayout w:type="autofit"/>
        <w:tblCellMar>
          <w:top w:w="0" w:type="dxa"/>
          <w:left w:w="108" w:type="dxa"/>
          <w:bottom w:w="0" w:type="dxa"/>
          <w:right w:w="108" w:type="dxa"/>
        </w:tblCellMar>
      </w:tblPr>
      <w:tblGrid>
        <w:gridCol w:w="2391"/>
        <w:gridCol w:w="849"/>
        <w:gridCol w:w="6553"/>
      </w:tblGrid>
      <w:tr>
        <w:tblPrEx>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营业收入20000万元以下的为中小微型企业。</w:t>
            </w:r>
          </w:p>
        </w:tc>
      </w:tr>
      <w:tr>
        <w:tblPrEx>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500万元-20000万元</w:t>
            </w:r>
          </w:p>
        </w:tc>
      </w:tr>
      <w:tr>
        <w:tblPrEx>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50万元-500万元</w:t>
            </w:r>
          </w:p>
        </w:tc>
      </w:tr>
      <w:tr>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50万元以下</w:t>
            </w:r>
          </w:p>
        </w:tc>
      </w:tr>
      <w:tr>
        <w:tblPrEx>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工业</w:t>
            </w:r>
            <w:r>
              <w:rPr>
                <w:rFonts w:hint="eastAsia" w:ascii="微软雅黑" w:hAnsi="微软雅黑" w:eastAsia="微软雅黑" w:cs="微软雅黑"/>
                <w:color w:val="auto"/>
                <w:kern w:val="0"/>
                <w:szCs w:val="21"/>
              </w:rPr>
              <w:br w:type="textWrapping"/>
            </w:r>
            <w:r>
              <w:rPr>
                <w:rFonts w:hint="eastAsia" w:ascii="微软雅黑" w:hAnsi="微软雅黑" w:eastAsia="微软雅黑" w:cs="微软雅黑"/>
                <w:color w:val="auto"/>
                <w:kern w:val="0"/>
                <w:szCs w:val="21"/>
              </w:rPr>
              <w:t>（包括采矿业，制造 业，电力、热力、燃 气及水生产和供应</w:t>
            </w:r>
            <w:r>
              <w:rPr>
                <w:rFonts w:hint="eastAsia" w:ascii="微软雅黑" w:hAnsi="微软雅黑" w:eastAsia="微软雅黑" w:cs="微软雅黑"/>
                <w:color w:val="auto"/>
                <w:kern w:val="0"/>
                <w:szCs w:val="21"/>
              </w:rPr>
              <w:br w:type="textWrapping"/>
            </w:r>
            <w:r>
              <w:rPr>
                <w:rFonts w:hint="eastAsia" w:ascii="微软雅黑" w:hAnsi="微软雅黑" w:eastAsia="微软雅黑" w:cs="微软雅黑"/>
                <w:color w:val="auto"/>
                <w:kern w:val="0"/>
                <w:szCs w:val="21"/>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从业人员1000人以下或营业收入 40000万元以下的为中小微型企业。</w:t>
            </w:r>
          </w:p>
        </w:tc>
      </w:tr>
      <w:tr>
        <w:tblPrEx>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 300人一1000人，且营业收入 2000万元一40000万元</w:t>
            </w:r>
          </w:p>
        </w:tc>
      </w:tr>
      <w:tr>
        <w:tblPrEx>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从业人员20人一300人，且营业收入 300万元一2000万元</w:t>
            </w:r>
          </w:p>
        </w:tc>
      </w:tr>
      <w:tr>
        <w:tblPrEx>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从业人员20人以下或营业收入 300万元以下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营业收入80000万元以下或资产总额 80000万元以下的为中小微型企业。</w:t>
            </w:r>
          </w:p>
        </w:tc>
      </w:tr>
      <w:tr>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营业收入6000万元一80000万元，且资产总额 5000万元一80000万元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 300万元一6000万元，且资产总额 300万一5000万元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营业收入300万元以下或资产总额 300万元以下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从业人员200人以下或营业收入40000万元以下的为中小微型企业。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从业人员20人一200人，且营业收入5000万元一40000万元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从业人员5人一20人，且营业收入1000万元一5000万元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从业人员5人以下或营业收入1000万元以下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从业人员300人以下或营业收入 20000万元以下的为中小微型企业。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 50人一300人，且营业收入500万元一20000万元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从业人员10人一50人，且营业收入100万元一500万元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从业人员10人以下或营业收入100万元以下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从业人员1000人以下或营业收入 30000万元以下的为中小微型企业。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 300人一1000人，且营业收入 3000万元一30000万元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从业人员20人一300人，且营业收入 200万元一3000万元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从业人员20人以下或营业收入200万元以下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从业人员200人以下或营业收入 30000万元以下的为中小微型企业。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从业人员100人一200人，且营业收入 1000万元一30000万元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从业人员20人一100人，且营业收入 100万元一1000万元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从业人员1000人以下或营业收入 30000万元以下的为中小微型企业。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 300人一1000人，且营业收入 2000万元一30000万元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从业人员20人一300人，且营业收入 100万元一2000万元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从业人员300人以下或营业收入 10000万元以下的为中小微型企业。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从业人员100人一300人，且营业收入 2000万元一10000万元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从业人员10人一100人，且营业收入 100万元一2000万元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从业人员300人以下或营业收入 10000万元以下的为中小微型企业。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 300人，且营业收入 2000万元一10000万元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从业人员10人一100人，且营业收入 100万元一2000万元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从业人员2000人以下或营业收入 100000万元以下的为中小微型企业。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从业人员100人一2000人，且营业收入 1000万元一10000万元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从业人员10人一100人，且营业收入 100万元一1000万元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从业人员10人以下或营业收入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从业人员300人以下或营业收入 10000万元以下的为中小微型企业。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 300人，且营业收入 1000万元一10000万元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从业人员10人一100人，且营业收入 50万元一1000万元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从业人员10人以下或营业收入 50万元以下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营业收入200000万元以下或资产总额 10000万元以下的为中小微型企业。</w:t>
            </w:r>
          </w:p>
        </w:tc>
      </w:tr>
      <w:tr>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营业收入1000万元一200000万元，且资产总额 5000万元一10000万元</w:t>
            </w:r>
          </w:p>
        </w:tc>
      </w:tr>
      <w:tr>
        <w:tblPrEx>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营业收入100万元一1000万元，且资产总额 2 000万元一5000 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营业收入100万元以下或资产总额 2000万元以下的为微型企业</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从业人员1000人以下或营业收入 5000万元以下的为中小微型企业。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 300人一1 000人，且营业收入 1000万元一5000万元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从业人员100人一300人，且营业收入 500万元一1000万元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从业人员100人以下或营业收入 500万元以下</w:t>
            </w:r>
          </w:p>
        </w:tc>
      </w:tr>
      <w:tr>
        <w:tblPrEx>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left"/>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从业人员100人一300人，且资产总额 8000万元一120000万元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left"/>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从业人员10人一100人，且资产总额 100万元一8000万元</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left"/>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从业人员10人以下或资产总额 100万元以下</w:t>
            </w:r>
          </w:p>
        </w:tc>
      </w:tr>
      <w:tr>
        <w:tblPrEx>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从业人员300人以下的为中小微型企业。</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从业人员100— 300人</w:t>
            </w:r>
          </w:p>
        </w:tc>
      </w:tr>
      <w:tr>
        <w:tblPrEx>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从业人员10人一100人</w:t>
            </w:r>
          </w:p>
        </w:tc>
      </w:tr>
      <w:tr>
        <w:tblPrEx>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ascii="微软雅黑" w:hAnsi="微软雅黑" w:eastAsia="微软雅黑" w:cs="微软雅黑"/>
                <w:color w:val="auto"/>
                <w:szCs w:val="21"/>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center"/>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20" w:lineRule="exact"/>
              <w:jc w:val="left"/>
              <w:textAlignment w:val="center"/>
              <w:rPr>
                <w:rFonts w:ascii="微软雅黑" w:hAnsi="微软雅黑" w:eastAsia="微软雅黑" w:cs="微软雅黑"/>
                <w:color w:val="auto"/>
                <w:szCs w:val="21"/>
              </w:rPr>
            </w:pPr>
            <w:r>
              <w:rPr>
                <w:rFonts w:hint="eastAsia" w:ascii="微软雅黑" w:hAnsi="微软雅黑" w:eastAsia="微软雅黑" w:cs="微软雅黑"/>
                <w:color w:val="auto"/>
                <w:kern w:val="0"/>
                <w:szCs w:val="21"/>
              </w:rPr>
              <w:t>从业人员10人以下</w:t>
            </w:r>
          </w:p>
        </w:tc>
      </w:tr>
    </w:tbl>
    <w:p>
      <w:pPr>
        <w:snapToGrid w:val="0"/>
        <w:spacing w:line="420" w:lineRule="exact"/>
        <w:contextualSpacing/>
        <w:jc w:val="left"/>
        <w:rPr>
          <w:rFonts w:ascii="微软雅黑" w:hAnsi="微软雅黑" w:eastAsia="微软雅黑" w:cs="微软雅黑"/>
          <w:b/>
          <w:color w:val="auto"/>
          <w:sz w:val="24"/>
        </w:rPr>
      </w:pPr>
    </w:p>
    <w:p>
      <w:pPr>
        <w:snapToGrid w:val="0"/>
        <w:spacing w:line="420" w:lineRule="exact"/>
        <w:ind w:firstLine="240" w:firstLineChars="100"/>
        <w:contextualSpacing/>
        <w:jc w:val="left"/>
        <w:rPr>
          <w:rFonts w:ascii="微软雅黑" w:hAnsi="微软雅黑" w:eastAsia="微软雅黑" w:cs="微软雅黑"/>
          <w:b/>
          <w:color w:val="auto"/>
          <w:sz w:val="24"/>
        </w:rPr>
      </w:pPr>
      <w:r>
        <w:rPr>
          <w:rFonts w:hint="eastAsia" w:ascii="微软雅黑" w:hAnsi="微软雅黑" w:eastAsia="微软雅黑" w:cs="微软雅黑"/>
          <w:b/>
          <w:color w:val="auto"/>
          <w:sz w:val="24"/>
        </w:rPr>
        <w:t>行业包括：</w:t>
      </w:r>
      <w:r>
        <w:rPr>
          <w:rFonts w:hint="eastAsia" w:ascii="微软雅黑" w:hAnsi="微软雅黑" w:eastAsia="微软雅黑" w:cs="微软雅黑"/>
          <w:bCs/>
          <w:color w:val="auto"/>
          <w:sz w:val="24"/>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rPr>
        <w:t>。</w:t>
      </w:r>
    </w:p>
    <w:p>
      <w:pPr>
        <w:snapToGrid w:val="0"/>
        <w:spacing w:line="420" w:lineRule="exact"/>
        <w:contextualSpacing/>
        <w:jc w:val="left"/>
        <w:rPr>
          <w:rFonts w:ascii="微软雅黑" w:hAnsi="微软雅黑" w:eastAsia="微软雅黑" w:cs="微软雅黑"/>
          <w:b/>
          <w:color w:val="auto"/>
          <w:sz w:val="24"/>
        </w:rPr>
      </w:pPr>
      <w:r>
        <w:rPr>
          <w:rFonts w:hint="eastAsia" w:ascii="微软雅黑" w:hAnsi="微软雅黑" w:eastAsia="微软雅黑" w:cs="微软雅黑"/>
          <w:b/>
          <w:color w:val="auto"/>
          <w:sz w:val="24"/>
        </w:rPr>
        <w:t>说明：</w:t>
      </w:r>
    </w:p>
    <w:p>
      <w:pPr>
        <w:snapToGrid w:val="0"/>
        <w:spacing w:line="420" w:lineRule="exact"/>
        <w:contextualSpacing/>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420" w:lineRule="exact"/>
        <w:ind w:firstLine="480" w:firstLineChars="200"/>
        <w:contextualSpacing/>
        <w:jc w:val="left"/>
        <w:textAlignment w:val="center"/>
        <w:rPr>
          <w:rFonts w:ascii="微软雅黑" w:hAnsi="微软雅黑" w:eastAsia="微软雅黑" w:cs="微软雅黑"/>
          <w:color w:val="auto"/>
          <w:sz w:val="24"/>
        </w:rPr>
      </w:pPr>
      <w:r>
        <w:rPr>
          <w:rFonts w:hint="eastAsia" w:ascii="微软雅黑" w:hAnsi="微软雅黑" w:eastAsia="微软雅黑" w:cs="微软雅黑"/>
          <w:color w:val="auto"/>
          <w:sz w:val="24"/>
        </w:rPr>
        <w:t>本磋商文件所称中小企业，是指在中华人民共和国境内依法设立，依据国务院批准的</w:t>
      </w:r>
    </w:p>
    <w:p>
      <w:pPr>
        <w:snapToGrid w:val="0"/>
        <w:spacing w:line="420" w:lineRule="exact"/>
        <w:ind w:firstLine="480" w:firstLineChars="200"/>
        <w:contextualSpacing/>
        <w:jc w:val="left"/>
        <w:textAlignment w:val="center"/>
        <w:rPr>
          <w:rFonts w:ascii="微软雅黑" w:hAnsi="微软雅黑" w:eastAsia="微软雅黑" w:cs="微软雅黑"/>
          <w:color w:val="auto"/>
          <w:sz w:val="24"/>
        </w:rPr>
      </w:pPr>
      <w:r>
        <w:rPr>
          <w:rFonts w:hint="eastAsia" w:ascii="微软雅黑" w:hAnsi="微软雅黑" w:eastAsia="微软雅黑" w:cs="微软雅黑"/>
          <w:color w:val="auto"/>
          <w:sz w:val="24"/>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snapToGrid w:val="0"/>
        <w:spacing w:line="420" w:lineRule="exact"/>
        <w:ind w:firstLine="480" w:firstLineChars="200"/>
        <w:contextualSpacing/>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（1）在货物采购项目中，货物由中小企业制造，即货物由中小企业生产且使用该中小企业商号或者注册商标，不对其中涉及的工程承建商和服务的承接商作出要求；</w:t>
      </w:r>
    </w:p>
    <w:p>
      <w:pPr>
        <w:snapToGrid w:val="0"/>
        <w:spacing w:line="420" w:lineRule="exact"/>
        <w:ind w:firstLine="480" w:firstLineChars="200"/>
        <w:contextualSpacing/>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（2）在工程采购项目中，工程由中小企业承建，即工程施工单位为中小企业，不对其中涉及的货物的制造商和服务的承接商作出要求；</w:t>
      </w:r>
    </w:p>
    <w:p>
      <w:pPr>
        <w:snapToGrid w:val="0"/>
        <w:spacing w:line="420" w:lineRule="exact"/>
        <w:ind w:firstLine="480" w:firstLineChars="200"/>
        <w:contextualSpacing/>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（3）在服务采购项目中，服务由中小企业承接，即提供服务的人员为中小企业依照《中华人民共和国劳动合同法》订立劳动合同的从业人员，不对其中涉及的货物的制造商和工程承建商作出要求。</w:t>
      </w:r>
    </w:p>
    <w:p>
      <w:pPr>
        <w:snapToGrid w:val="0"/>
        <w:spacing w:line="420" w:lineRule="exact"/>
        <w:ind w:firstLine="480" w:firstLineChars="200"/>
        <w:contextualSpacing/>
        <w:jc w:val="left"/>
        <w:textAlignment w:val="center"/>
        <w:rPr>
          <w:rFonts w:ascii="微软雅黑" w:hAnsi="微软雅黑" w:eastAsia="微软雅黑" w:cs="微软雅黑"/>
          <w:color w:val="auto"/>
          <w:sz w:val="24"/>
        </w:rPr>
      </w:pPr>
      <w:r>
        <w:rPr>
          <w:rFonts w:hint="eastAsia" w:ascii="微软雅黑" w:hAnsi="微软雅黑" w:eastAsia="微软雅黑" w:cs="微软雅黑"/>
          <w:color w:val="auto"/>
          <w:sz w:val="24"/>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pPr>
        <w:snapToGrid w:val="0"/>
        <w:spacing w:line="420" w:lineRule="exact"/>
        <w:ind w:firstLine="480" w:firstLineChars="200"/>
        <w:contextualSpacing/>
        <w:jc w:val="left"/>
        <w:textAlignment w:val="center"/>
        <w:rPr>
          <w:rFonts w:ascii="微软雅黑" w:hAnsi="微软雅黑" w:eastAsia="微软雅黑" w:cs="微软雅黑"/>
          <w:color w:val="auto"/>
          <w:sz w:val="24"/>
        </w:rPr>
      </w:pPr>
      <w:r>
        <w:rPr>
          <w:rFonts w:hint="eastAsia" w:ascii="微软雅黑" w:hAnsi="微软雅黑" w:eastAsia="微软雅黑" w:cs="微软雅黑"/>
          <w:color w:val="auto"/>
          <w:sz w:val="24"/>
        </w:rPr>
        <w:t>依据本磋商文件规定享受扶持政策获得政府采购合同的，小微企业不得将合同分包给大中型企业，中型企业不得将合同分包给大型企业。</w:t>
      </w:r>
    </w:p>
    <w:p>
      <w:pPr>
        <w:pStyle w:val="32"/>
        <w:widowControl/>
        <w:spacing w:line="410" w:lineRule="exact"/>
        <w:ind w:firstLine="420"/>
        <w:rPr>
          <w:rFonts w:ascii="微软雅黑" w:hAnsi="微软雅黑" w:eastAsia="微软雅黑" w:cs="微软雅黑"/>
          <w:color w:val="auto"/>
          <w:sz w:val="21"/>
          <w:szCs w:val="21"/>
        </w:rPr>
      </w:pPr>
    </w:p>
    <w:p>
      <w:pPr>
        <w:pStyle w:val="17"/>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color w:val="auto"/>
          <w:kern w:val="0"/>
          <w:sz w:val="24"/>
          <w:szCs w:val="24"/>
          <w:lang w:val="en-US" w:eastAsia="zh-CN" w:bidi="ar-SA"/>
        </w:rPr>
      </w:pPr>
    </w:p>
    <w:p>
      <w:pPr>
        <w:pStyle w:val="18"/>
        <w:rPr>
          <w:rFonts w:hint="eastAsia" w:ascii="微软雅黑" w:hAnsi="微软雅黑" w:eastAsia="微软雅黑" w:cs="微软雅黑"/>
          <w:b/>
          <w:color w:val="auto"/>
          <w:kern w:val="0"/>
          <w:sz w:val="24"/>
          <w:szCs w:val="24"/>
          <w:lang w:val="en-US" w:eastAsia="zh-CN" w:bidi="ar-SA"/>
        </w:rPr>
      </w:pPr>
    </w:p>
    <w:p>
      <w:pPr>
        <w:pStyle w:val="36"/>
        <w:ind w:left="0" w:leftChars="0" w:firstLine="0" w:firstLineChars="0"/>
        <w:rPr>
          <w:rFonts w:hint="eastAsia"/>
          <w:color w:val="auto"/>
          <w:lang w:val="en-US" w:eastAsia="zh-CN"/>
        </w:rPr>
      </w:pPr>
    </w:p>
    <w:p>
      <w:pPr>
        <w:pStyle w:val="17"/>
        <w:numPr>
          <w:ilvl w:val="0"/>
          <w:numId w:val="0"/>
        </w:numPr>
        <w:tabs>
          <w:tab w:val="left" w:pos="5580"/>
        </w:tabs>
        <w:snapToGrid w:val="0"/>
        <w:spacing w:line="240" w:lineRule="atLeast"/>
        <w:textAlignment w:val="baseline"/>
        <w:rPr>
          <w:rFonts w:hint="eastAsia" w:ascii="微软雅黑" w:hAnsi="微软雅黑" w:eastAsia="微软雅黑" w:cs="微软雅黑"/>
          <w:b/>
          <w:color w:val="auto"/>
          <w:kern w:val="0"/>
          <w:sz w:val="24"/>
          <w:szCs w:val="24"/>
          <w:lang w:val="en-US" w:eastAsia="zh-CN" w:bidi="ar-SA"/>
        </w:rPr>
      </w:pPr>
    </w:p>
    <w:p>
      <w:pPr>
        <w:snapToGrid w:val="0"/>
        <w:spacing w:line="360" w:lineRule="exact"/>
        <w:textAlignment w:val="baseline"/>
        <w:rPr>
          <w:rFonts w:ascii="微软雅黑" w:hAnsi="微软雅黑" w:eastAsia="微软雅黑" w:cs="微软雅黑"/>
          <w:b/>
          <w:color w:val="auto"/>
          <w:kern w:val="0"/>
          <w:sz w:val="24"/>
        </w:rPr>
      </w:pPr>
    </w:p>
    <w:p>
      <w:pPr>
        <w:snapToGrid w:val="0"/>
        <w:spacing w:line="360" w:lineRule="exact"/>
        <w:textAlignment w:val="baseline"/>
        <w:outlineLvl w:val="1"/>
        <w:rPr>
          <w:rFonts w:ascii="微软雅黑" w:hAnsi="微软雅黑" w:eastAsia="微软雅黑" w:cs="微软雅黑"/>
          <w:b/>
          <w:color w:val="auto"/>
          <w:kern w:val="0"/>
          <w:sz w:val="24"/>
        </w:rPr>
      </w:pPr>
      <w:bookmarkStart w:id="631" w:name="_Toc30299"/>
      <w:bookmarkStart w:id="632" w:name="_Toc6231"/>
      <w:bookmarkStart w:id="633" w:name="_Toc7566"/>
      <w:r>
        <w:rPr>
          <w:rFonts w:hint="eastAsia" w:ascii="微软雅黑" w:hAnsi="微软雅黑" w:eastAsia="微软雅黑" w:cs="微软雅黑"/>
          <w:b/>
          <w:color w:val="auto"/>
          <w:kern w:val="0"/>
          <w:sz w:val="24"/>
          <w:lang w:val="en-US" w:eastAsia="zh-CN"/>
        </w:rPr>
        <w:t>3</w:t>
      </w:r>
      <w:r>
        <w:rPr>
          <w:rFonts w:hint="eastAsia" w:ascii="微软雅黑" w:hAnsi="微软雅黑" w:eastAsia="微软雅黑" w:cs="微软雅黑"/>
          <w:b/>
          <w:color w:val="auto"/>
          <w:kern w:val="0"/>
          <w:sz w:val="24"/>
        </w:rPr>
        <w:t>、</w:t>
      </w:r>
      <w:bookmarkEnd w:id="622"/>
      <w:bookmarkEnd w:id="623"/>
      <w:bookmarkEnd w:id="624"/>
      <w:bookmarkEnd w:id="625"/>
      <w:bookmarkEnd w:id="626"/>
      <w:bookmarkEnd w:id="627"/>
      <w:bookmarkEnd w:id="628"/>
      <w:r>
        <w:rPr>
          <w:rFonts w:hint="eastAsia" w:ascii="微软雅黑" w:hAnsi="微软雅黑" w:eastAsia="微软雅黑" w:cs="微软雅黑"/>
          <w:b/>
          <w:color w:val="auto"/>
          <w:kern w:val="0"/>
          <w:sz w:val="24"/>
        </w:rPr>
        <w:t>缴纳磋商保证金有效凭证；</w:t>
      </w:r>
      <w:bookmarkEnd w:id="631"/>
      <w:bookmarkEnd w:id="632"/>
      <w:bookmarkEnd w:id="633"/>
    </w:p>
    <w:p>
      <w:pPr>
        <w:snapToGrid w:val="0"/>
        <w:spacing w:line="360" w:lineRule="exact"/>
        <w:textAlignment w:val="baseline"/>
        <w:rPr>
          <w:rFonts w:ascii="微软雅黑" w:hAnsi="微软雅黑" w:eastAsia="微软雅黑" w:cs="微软雅黑"/>
          <w:b w:val="0"/>
          <w:bCs w:val="0"/>
          <w:color w:val="auto"/>
          <w:sz w:val="24"/>
        </w:rPr>
      </w:pPr>
    </w:p>
    <w:p>
      <w:pPr>
        <w:snapToGrid w:val="0"/>
        <w:spacing w:line="360" w:lineRule="exact"/>
        <w:textAlignment w:val="baseline"/>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注：本项目以缴纳磋商保证金有效凭证复印件盖公章为准。</w:t>
      </w:r>
    </w:p>
    <w:p>
      <w:pPr>
        <w:pStyle w:val="13"/>
        <w:snapToGrid w:val="0"/>
        <w:ind w:left="0" w:leftChars="0" w:firstLine="0" w:firstLineChars="0"/>
        <w:textAlignment w:val="baseline"/>
        <w:rPr>
          <w:rFonts w:ascii="微软雅黑" w:hAnsi="微软雅黑" w:eastAsia="微软雅黑" w:cs="微软雅黑"/>
          <w:color w:val="auto"/>
          <w:sz w:val="21"/>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8"/>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6"/>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6"/>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6"/>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6"/>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6"/>
        <w:rPr>
          <w:rFonts w:ascii="微软雅黑" w:hAnsi="微软雅黑" w:eastAsia="微软雅黑" w:cs="微软雅黑"/>
          <w:sz w:val="24"/>
          <w:szCs w:val="24"/>
          <w:u w:val="single" w:color="000000"/>
        </w:rPr>
      </w:pPr>
    </w:p>
    <w:p>
      <w:pPr>
        <w:rPr>
          <w:rFonts w:ascii="微软雅黑" w:hAnsi="微软雅黑" w:eastAsia="微软雅黑" w:cs="微软雅黑"/>
          <w:sz w:val="24"/>
          <w:szCs w:val="24"/>
          <w:u w:val="single" w:color="000000"/>
        </w:rPr>
      </w:pPr>
    </w:p>
    <w:p>
      <w:pPr>
        <w:pStyle w:val="36"/>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snapToGrid w:val="0"/>
        <w:spacing w:line="240" w:lineRule="atLeast"/>
        <w:ind w:left="1080" w:leftChars="257" w:hanging="540"/>
        <w:jc w:val="center"/>
        <w:textAlignment w:val="baseline"/>
        <w:rPr>
          <w:rFonts w:ascii="微软雅黑" w:hAnsi="微软雅黑" w:eastAsia="微软雅黑" w:cs="微软雅黑"/>
          <w:b/>
          <w:sz w:val="24"/>
        </w:rPr>
      </w:pPr>
      <w:bookmarkStart w:id="634" w:name="_Toc12440"/>
      <w:bookmarkStart w:id="635" w:name="_Toc22967"/>
      <w:bookmarkStart w:id="636" w:name="_Toc515647816"/>
      <w:bookmarkStart w:id="637" w:name="_Toc11956"/>
      <w:bookmarkStart w:id="638" w:name="_Toc25827"/>
      <w:bookmarkStart w:id="639" w:name="_Toc3552"/>
      <w:bookmarkStart w:id="640" w:name="_Toc11180"/>
    </w:p>
    <w:p>
      <w:pPr>
        <w:pStyle w:val="4"/>
        <w:snapToGrid w:val="0"/>
        <w:spacing w:before="0" w:line="240" w:lineRule="atLeast"/>
        <w:ind w:left="1080" w:leftChars="257" w:hanging="540"/>
        <w:textAlignment w:val="baseline"/>
        <w:rPr>
          <w:rFonts w:ascii="微软雅黑" w:hAnsi="微软雅黑" w:eastAsia="微软雅黑" w:cs="微软雅黑"/>
          <w:sz w:val="24"/>
          <w:szCs w:val="24"/>
        </w:rPr>
      </w:pPr>
      <w:bookmarkStart w:id="641" w:name="_Toc32236"/>
      <w:bookmarkStart w:id="642" w:name="_Toc15018"/>
      <w:r>
        <w:rPr>
          <w:rFonts w:hint="eastAsia" w:ascii="微软雅黑" w:hAnsi="微软雅黑" w:eastAsia="微软雅黑" w:cs="微软雅黑"/>
          <w:sz w:val="24"/>
          <w:szCs w:val="24"/>
        </w:rPr>
        <w:t>第二部分  商务及技术文件</w:t>
      </w:r>
      <w:bookmarkEnd w:id="634"/>
      <w:bookmarkEnd w:id="635"/>
      <w:bookmarkEnd w:id="636"/>
      <w:bookmarkEnd w:id="637"/>
      <w:bookmarkEnd w:id="638"/>
      <w:bookmarkEnd w:id="639"/>
      <w:bookmarkEnd w:id="640"/>
      <w:bookmarkEnd w:id="641"/>
      <w:bookmarkEnd w:id="642"/>
    </w:p>
    <w:p>
      <w:pPr>
        <w:spacing w:before="25" w:line="311" w:lineRule="exact"/>
        <w:ind w:left="57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position w:val="1"/>
          <w:sz w:val="24"/>
          <w:szCs w:val="24"/>
        </w:rPr>
        <w:t>1</w:t>
      </w:r>
      <w:r>
        <w:rPr>
          <w:rFonts w:hint="eastAsia" w:ascii="微软雅黑" w:hAnsi="微软雅黑" w:eastAsia="微软雅黑" w:cs="微软雅黑"/>
          <w:color w:val="auto"/>
          <w:spacing w:val="3"/>
          <w:position w:val="1"/>
          <w:sz w:val="24"/>
          <w:szCs w:val="24"/>
        </w:rPr>
        <w:t>、磋商书</w:t>
      </w:r>
    </w:p>
    <w:p>
      <w:pPr>
        <w:spacing w:line="312" w:lineRule="exact"/>
        <w:ind w:left="56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position w:val="1"/>
          <w:sz w:val="24"/>
          <w:szCs w:val="24"/>
        </w:rPr>
        <w:t>2</w:t>
      </w:r>
      <w:r>
        <w:rPr>
          <w:rFonts w:hint="eastAsia" w:ascii="微软雅黑" w:hAnsi="微软雅黑" w:eastAsia="微软雅黑" w:cs="微软雅黑"/>
          <w:color w:val="auto"/>
          <w:spacing w:val="7"/>
          <w:position w:val="1"/>
          <w:sz w:val="24"/>
          <w:szCs w:val="24"/>
        </w:rPr>
        <w:t>、磋商分项报价表</w:t>
      </w:r>
      <w:r>
        <w:rPr>
          <w:rFonts w:hint="eastAsia" w:ascii="微软雅黑" w:hAnsi="微软雅黑" w:eastAsia="微软雅黑" w:cs="微软雅黑"/>
          <w:color w:val="auto"/>
          <w:spacing w:val="7"/>
          <w:position w:val="1"/>
          <w:sz w:val="24"/>
          <w:szCs w:val="24"/>
          <w:lang w:eastAsia="zh-CN"/>
        </w:rPr>
        <w:t>（已标价的工程量清单）</w:t>
      </w:r>
      <w:r>
        <w:rPr>
          <w:rFonts w:hint="eastAsia" w:ascii="微软雅黑" w:hAnsi="微软雅黑" w:eastAsia="微软雅黑" w:cs="微软雅黑"/>
          <w:color w:val="auto"/>
          <w:spacing w:val="7"/>
          <w:position w:val="1"/>
          <w:sz w:val="24"/>
          <w:szCs w:val="24"/>
        </w:rPr>
        <w:t>；</w:t>
      </w:r>
    </w:p>
    <w:p>
      <w:pPr>
        <w:spacing w:line="310" w:lineRule="exact"/>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position w:val="1"/>
          <w:sz w:val="24"/>
          <w:szCs w:val="24"/>
        </w:rPr>
        <w:t>3</w:t>
      </w:r>
      <w:r>
        <w:rPr>
          <w:rFonts w:hint="eastAsia" w:ascii="微软雅黑" w:hAnsi="微软雅黑" w:eastAsia="微软雅黑" w:cs="微软雅黑"/>
          <w:color w:val="auto"/>
          <w:spacing w:val="7"/>
          <w:position w:val="1"/>
          <w:sz w:val="24"/>
          <w:szCs w:val="24"/>
        </w:rPr>
        <w:t>、项目管理机构;</w:t>
      </w:r>
    </w:p>
    <w:p>
      <w:pPr>
        <w:spacing w:before="3" w:line="227" w:lineRule="auto"/>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 xml:space="preserve">3.1 </w:t>
      </w:r>
      <w:r>
        <w:rPr>
          <w:rFonts w:hint="eastAsia" w:ascii="微软雅黑" w:hAnsi="微软雅黑" w:eastAsia="微软雅黑" w:cs="微软雅黑"/>
          <w:color w:val="auto"/>
          <w:spacing w:val="3"/>
          <w:sz w:val="24"/>
          <w:szCs w:val="24"/>
        </w:rPr>
        <w:t>项</w:t>
      </w:r>
      <w:r>
        <w:rPr>
          <w:rFonts w:hint="eastAsia" w:ascii="微软雅黑" w:hAnsi="微软雅黑" w:eastAsia="微软雅黑" w:cs="微软雅黑"/>
          <w:color w:val="auto"/>
          <w:spacing w:val="2"/>
          <w:sz w:val="24"/>
          <w:szCs w:val="24"/>
        </w:rPr>
        <w:t>目管理机构组成表</w:t>
      </w:r>
    </w:p>
    <w:p>
      <w:pPr>
        <w:spacing w:before="26" w:line="227" w:lineRule="auto"/>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2"/>
          <w:sz w:val="24"/>
          <w:szCs w:val="24"/>
        </w:rPr>
        <w:t xml:space="preserve">3.2 </w:t>
      </w:r>
      <w:r>
        <w:rPr>
          <w:rFonts w:hint="eastAsia" w:ascii="微软雅黑" w:hAnsi="微软雅黑" w:eastAsia="微软雅黑" w:cs="微软雅黑"/>
          <w:color w:val="auto"/>
          <w:spacing w:val="1"/>
          <w:sz w:val="24"/>
          <w:szCs w:val="24"/>
        </w:rPr>
        <w:t>主要人员简历表</w:t>
      </w:r>
    </w:p>
    <w:p>
      <w:pPr>
        <w:spacing w:before="29" w:line="227" w:lineRule="auto"/>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2"/>
          <w:sz w:val="24"/>
          <w:szCs w:val="24"/>
        </w:rPr>
        <w:t>3.2.1 项目经理简历</w:t>
      </w:r>
      <w:r>
        <w:rPr>
          <w:rFonts w:hint="eastAsia" w:ascii="微软雅黑" w:hAnsi="微软雅黑" w:eastAsia="微软雅黑" w:cs="微软雅黑"/>
          <w:color w:val="auto"/>
          <w:spacing w:val="1"/>
          <w:sz w:val="24"/>
          <w:szCs w:val="24"/>
        </w:rPr>
        <w:t>表</w:t>
      </w:r>
    </w:p>
    <w:p>
      <w:pPr>
        <w:spacing w:before="29" w:line="227" w:lineRule="auto"/>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3.2.2 主要项目管理人员简历</w:t>
      </w:r>
      <w:r>
        <w:rPr>
          <w:rFonts w:hint="eastAsia" w:ascii="微软雅黑" w:hAnsi="微软雅黑" w:eastAsia="微软雅黑" w:cs="微软雅黑"/>
          <w:color w:val="auto"/>
          <w:spacing w:val="1"/>
          <w:sz w:val="24"/>
          <w:szCs w:val="24"/>
        </w:rPr>
        <w:t>表</w:t>
      </w:r>
    </w:p>
    <w:p>
      <w:pPr>
        <w:spacing w:before="26" w:line="312" w:lineRule="exact"/>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position w:val="1"/>
          <w:sz w:val="24"/>
          <w:szCs w:val="24"/>
        </w:rPr>
        <w:t>4</w:t>
      </w:r>
      <w:r>
        <w:rPr>
          <w:rFonts w:hint="eastAsia" w:ascii="微软雅黑" w:hAnsi="微软雅黑" w:eastAsia="微软雅黑" w:cs="微软雅黑"/>
          <w:color w:val="auto"/>
          <w:spacing w:val="7"/>
          <w:position w:val="1"/>
          <w:sz w:val="24"/>
          <w:szCs w:val="24"/>
        </w:rPr>
        <w:t>、资格审查资料；</w:t>
      </w:r>
    </w:p>
    <w:p>
      <w:pPr>
        <w:spacing w:before="1" w:line="227" w:lineRule="auto"/>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4.1</w:t>
      </w:r>
      <w:r>
        <w:rPr>
          <w:rFonts w:hint="eastAsia" w:ascii="微软雅黑" w:hAnsi="微软雅黑" w:eastAsia="微软雅黑" w:cs="微软雅黑"/>
          <w:color w:val="auto"/>
          <w:spacing w:val="3"/>
          <w:sz w:val="24"/>
          <w:szCs w:val="24"/>
        </w:rPr>
        <w:t xml:space="preserve"> </w:t>
      </w:r>
      <w:r>
        <w:rPr>
          <w:rFonts w:hint="eastAsia" w:ascii="微软雅黑" w:hAnsi="微软雅黑" w:eastAsia="微软雅黑" w:cs="微软雅黑"/>
          <w:color w:val="auto"/>
          <w:spacing w:val="2"/>
          <w:sz w:val="24"/>
          <w:szCs w:val="24"/>
        </w:rPr>
        <w:t>投标人基本情况表</w:t>
      </w:r>
    </w:p>
    <w:p>
      <w:pPr>
        <w:spacing w:before="26" w:line="228" w:lineRule="auto"/>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4</w:t>
      </w:r>
      <w:r>
        <w:rPr>
          <w:rFonts w:hint="eastAsia" w:ascii="微软雅黑" w:hAnsi="微软雅黑" w:eastAsia="微软雅黑" w:cs="微软雅黑"/>
          <w:color w:val="auto"/>
          <w:spacing w:val="7"/>
          <w:sz w:val="24"/>
          <w:szCs w:val="24"/>
        </w:rPr>
        <w:t>.</w:t>
      </w:r>
      <w:r>
        <w:rPr>
          <w:rFonts w:hint="eastAsia" w:ascii="微软雅黑" w:hAnsi="微软雅黑" w:eastAsia="微软雅黑" w:cs="微软雅黑"/>
          <w:color w:val="auto"/>
          <w:spacing w:val="4"/>
          <w:sz w:val="24"/>
          <w:szCs w:val="24"/>
        </w:rPr>
        <w:t>2 近年完成的类似项目情况表</w:t>
      </w:r>
    </w:p>
    <w:p>
      <w:pPr>
        <w:spacing w:before="28" w:line="228" w:lineRule="auto"/>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4</w:t>
      </w:r>
      <w:r>
        <w:rPr>
          <w:rFonts w:hint="eastAsia" w:ascii="微软雅黑" w:hAnsi="微软雅黑" w:eastAsia="微软雅黑" w:cs="微软雅黑"/>
          <w:color w:val="auto"/>
          <w:spacing w:val="6"/>
          <w:sz w:val="24"/>
          <w:szCs w:val="24"/>
        </w:rPr>
        <w:t>.</w:t>
      </w:r>
      <w:r>
        <w:rPr>
          <w:rFonts w:hint="eastAsia" w:ascii="微软雅黑" w:hAnsi="微软雅黑" w:eastAsia="微软雅黑" w:cs="微软雅黑"/>
          <w:color w:val="auto"/>
          <w:spacing w:val="5"/>
          <w:sz w:val="24"/>
          <w:szCs w:val="24"/>
        </w:rPr>
        <w:t>3 正在施工的和新承建的项目情况表</w:t>
      </w:r>
    </w:p>
    <w:p>
      <w:pPr>
        <w:spacing w:before="28" w:line="228" w:lineRule="auto"/>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4</w:t>
      </w:r>
      <w:r>
        <w:rPr>
          <w:rFonts w:hint="eastAsia" w:ascii="微软雅黑" w:hAnsi="微软雅黑" w:eastAsia="微软雅黑" w:cs="微软雅黑"/>
          <w:color w:val="auto"/>
          <w:spacing w:val="7"/>
          <w:sz w:val="24"/>
          <w:szCs w:val="24"/>
        </w:rPr>
        <w:t>.</w:t>
      </w:r>
      <w:r>
        <w:rPr>
          <w:rFonts w:hint="eastAsia" w:ascii="微软雅黑" w:hAnsi="微软雅黑" w:eastAsia="微软雅黑" w:cs="微软雅黑"/>
          <w:color w:val="auto"/>
          <w:spacing w:val="4"/>
          <w:sz w:val="24"/>
          <w:szCs w:val="24"/>
        </w:rPr>
        <w:t>4 近年发生的诉讼和仲裁情况</w:t>
      </w:r>
    </w:p>
    <w:p>
      <w:pPr>
        <w:spacing w:before="29" w:line="227" w:lineRule="auto"/>
        <w:ind w:left="56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4.5</w:t>
      </w:r>
      <w:r>
        <w:rPr>
          <w:rFonts w:hint="eastAsia" w:ascii="微软雅黑" w:hAnsi="微软雅黑" w:eastAsia="微软雅黑" w:cs="微软雅黑"/>
          <w:color w:val="auto"/>
          <w:spacing w:val="3"/>
          <w:sz w:val="24"/>
          <w:szCs w:val="24"/>
        </w:rPr>
        <w:t xml:space="preserve"> </w:t>
      </w:r>
      <w:r>
        <w:rPr>
          <w:rFonts w:hint="eastAsia" w:ascii="微软雅黑" w:hAnsi="微软雅黑" w:eastAsia="微软雅黑" w:cs="微软雅黑"/>
          <w:color w:val="auto"/>
          <w:spacing w:val="2"/>
          <w:sz w:val="24"/>
          <w:szCs w:val="24"/>
        </w:rPr>
        <w:t>企业其他信誉情况</w:t>
      </w:r>
    </w:p>
    <w:p>
      <w:pPr>
        <w:spacing w:line="309" w:lineRule="exact"/>
        <w:ind w:left="5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2"/>
          <w:position w:val="5"/>
          <w:sz w:val="24"/>
          <w:szCs w:val="24"/>
        </w:rPr>
        <w:t>5</w:t>
      </w:r>
      <w:r>
        <w:rPr>
          <w:rFonts w:hint="eastAsia" w:ascii="微软雅黑" w:hAnsi="微软雅黑" w:eastAsia="微软雅黑" w:cs="微软雅黑"/>
          <w:color w:val="auto"/>
          <w:spacing w:val="2"/>
          <w:position w:val="5"/>
          <w:sz w:val="24"/>
          <w:szCs w:val="24"/>
          <w:lang w:eastAsia="zh-CN"/>
        </w:rPr>
        <w:t>、</w:t>
      </w:r>
      <w:r>
        <w:rPr>
          <w:rFonts w:hint="eastAsia" w:ascii="微软雅黑" w:hAnsi="微软雅黑" w:eastAsia="微软雅黑" w:cs="微软雅黑"/>
          <w:color w:val="auto"/>
          <w:spacing w:val="7"/>
          <w:position w:val="1"/>
          <w:sz w:val="24"/>
          <w:szCs w:val="24"/>
        </w:rPr>
        <w:t>残疾人福利性单位声明函》</w:t>
      </w:r>
    </w:p>
    <w:p>
      <w:pPr>
        <w:spacing w:before="27" w:line="309" w:lineRule="exact"/>
        <w:ind w:left="56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6、</w:t>
      </w:r>
      <w:r>
        <w:rPr>
          <w:rFonts w:hint="eastAsia" w:ascii="微软雅黑" w:hAnsi="微软雅黑" w:eastAsia="微软雅黑" w:cs="微软雅黑"/>
          <w:color w:val="auto"/>
          <w:spacing w:val="8"/>
          <w:position w:val="1"/>
          <w:sz w:val="24"/>
          <w:szCs w:val="24"/>
        </w:rPr>
        <w:t>技术部分主要包括下列内容</w:t>
      </w:r>
    </w:p>
    <w:p>
      <w:pPr>
        <w:spacing w:before="3" w:line="309" w:lineRule="exact"/>
        <w:ind w:left="56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5"/>
          <w:position w:val="1"/>
          <w:sz w:val="24"/>
          <w:szCs w:val="24"/>
          <w:lang w:val="en-US" w:eastAsia="zh-CN"/>
        </w:rPr>
        <w:t>7</w:t>
      </w:r>
      <w:r>
        <w:rPr>
          <w:rFonts w:hint="eastAsia" w:ascii="微软雅黑" w:hAnsi="微软雅黑" w:eastAsia="微软雅黑" w:cs="微软雅黑"/>
          <w:color w:val="auto"/>
          <w:spacing w:val="9"/>
          <w:position w:val="1"/>
          <w:sz w:val="24"/>
          <w:szCs w:val="24"/>
        </w:rPr>
        <w:t>、供应商可提供有利于投标的其他资格证明材料</w:t>
      </w:r>
    </w:p>
    <w:p>
      <w:pPr>
        <w:spacing w:before="3" w:line="309" w:lineRule="exact"/>
        <w:ind w:left="56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position w:val="1"/>
          <w:sz w:val="24"/>
          <w:szCs w:val="24"/>
          <w:lang w:val="en-US" w:eastAsia="zh-CN"/>
        </w:rPr>
        <w:t>8</w:t>
      </w:r>
      <w:r>
        <w:rPr>
          <w:rFonts w:hint="eastAsia" w:ascii="微软雅黑" w:hAnsi="微软雅黑" w:eastAsia="微软雅黑" w:cs="微软雅黑"/>
          <w:color w:val="auto"/>
          <w:spacing w:val="8"/>
          <w:position w:val="1"/>
          <w:sz w:val="24"/>
          <w:szCs w:val="24"/>
        </w:rPr>
        <w:t>、磋商文件格式范本</w:t>
      </w:r>
    </w:p>
    <w:p>
      <w:pPr>
        <w:spacing w:before="2" w:line="238" w:lineRule="auto"/>
        <w:ind w:left="572" w:right="80" w:firstLine="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7"/>
          <w:sz w:val="24"/>
          <w:szCs w:val="24"/>
          <w:lang w:val="en-US" w:eastAsia="zh-CN"/>
        </w:rPr>
        <w:t>9</w:t>
      </w:r>
      <w:r>
        <w:rPr>
          <w:rFonts w:hint="eastAsia" w:ascii="微软雅黑" w:hAnsi="微软雅黑" w:eastAsia="微软雅黑" w:cs="微软雅黑"/>
          <w:color w:val="auto"/>
          <w:spacing w:val="9"/>
          <w:sz w:val="24"/>
          <w:szCs w:val="24"/>
        </w:rPr>
        <w:t>、二轮报价表 (</w:t>
      </w:r>
      <w:r>
        <w:rPr>
          <w:rFonts w:hint="eastAsia" w:ascii="微软雅黑" w:hAnsi="微软雅黑" w:eastAsia="微软雅黑" w:cs="微软雅黑"/>
          <w:color w:val="auto"/>
          <w:spacing w:val="9"/>
          <w:sz w:val="24"/>
          <w:szCs w:val="24"/>
          <w14:textOutline w14:w="4356" w14:cap="sq" w14:cmpd="sng">
            <w14:solidFill>
              <w14:srgbClr w14:val="000000"/>
            </w14:solidFill>
            <w14:prstDash w14:val="solid"/>
            <w14:bevel/>
          </w14:textOutline>
        </w:rPr>
        <w:t>此表只用于磋商现场，请各供应商提前考虑，并在有效</w:t>
      </w:r>
      <w:r>
        <w:rPr>
          <w:rFonts w:hint="eastAsia" w:ascii="微软雅黑" w:hAnsi="微软雅黑" w:eastAsia="微软雅黑" w:cs="微软雅黑"/>
          <w:color w:val="auto"/>
          <w:spacing w:val="11"/>
          <w:sz w:val="24"/>
          <w:szCs w:val="24"/>
          <w14:textOutline w14:w="4356" w14:cap="sq" w14:cmpd="sng">
            <w14:solidFill>
              <w14:srgbClr w14:val="000000"/>
            </w14:solidFill>
            <w14:prstDash w14:val="solid"/>
            <w14:bevel/>
          </w14:textOutline>
        </w:rPr>
        <w:t>时间内在二轮报价时加盖公章。</w:t>
      </w:r>
      <w:r>
        <w:rPr>
          <w:rFonts w:hint="eastAsia" w:ascii="微软雅黑" w:hAnsi="微软雅黑" w:eastAsia="微软雅黑" w:cs="微软雅黑"/>
          <w:color w:val="auto"/>
          <w:spacing w:val="11"/>
          <w:sz w:val="24"/>
          <w:szCs w:val="24"/>
        </w:rPr>
        <w:t>)</w:t>
      </w:r>
    </w:p>
    <w:p>
      <w:pPr>
        <w:pStyle w:val="17"/>
        <w:snapToGrid w:val="0"/>
        <w:ind w:left="1080" w:leftChars="257" w:hanging="540"/>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8"/>
        <w:rPr>
          <w:rFonts w:ascii="微软雅黑" w:hAnsi="微软雅黑" w:eastAsia="微软雅黑" w:cs="微软雅黑"/>
          <w:color w:val="auto"/>
          <w:sz w:val="24"/>
          <w:szCs w:val="24"/>
        </w:rPr>
      </w:pPr>
    </w:p>
    <w:p>
      <w:pPr>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17"/>
        <w:tabs>
          <w:tab w:val="left" w:pos="5580"/>
        </w:tabs>
        <w:snapToGrid w:val="0"/>
        <w:spacing w:line="240" w:lineRule="atLeast"/>
        <w:textAlignment w:val="baseline"/>
        <w:rPr>
          <w:rFonts w:ascii="微软雅黑" w:hAnsi="微软雅黑" w:eastAsia="微软雅黑" w:cs="微软雅黑"/>
          <w:color w:val="auto"/>
          <w:sz w:val="24"/>
          <w:szCs w:val="24"/>
        </w:rPr>
      </w:pPr>
    </w:p>
    <w:p>
      <w:pPr>
        <w:pStyle w:val="4"/>
        <w:snapToGrid w:val="0"/>
        <w:spacing w:before="0" w:line="240" w:lineRule="atLeast"/>
        <w:ind w:firstLine="3842" w:firstLineChars="1600"/>
        <w:jc w:val="both"/>
        <w:textAlignment w:val="baseline"/>
        <w:rPr>
          <w:rFonts w:ascii="微软雅黑" w:hAnsi="微软雅黑" w:eastAsia="微软雅黑" w:cs="微软雅黑"/>
          <w:color w:val="auto"/>
          <w:sz w:val="24"/>
        </w:rPr>
      </w:pPr>
      <w:bookmarkStart w:id="643" w:name="_Toc4701"/>
      <w:bookmarkStart w:id="644" w:name="_Toc9541"/>
      <w:bookmarkStart w:id="645" w:name="_Toc18964"/>
      <w:r>
        <w:rPr>
          <w:rFonts w:hint="eastAsia" w:ascii="微软雅黑" w:hAnsi="微软雅黑" w:eastAsia="微软雅黑" w:cs="微软雅黑"/>
          <w:color w:val="auto"/>
          <w:sz w:val="24"/>
          <w:szCs w:val="24"/>
        </w:rPr>
        <w:t>1 、磋商书</w:t>
      </w:r>
      <w:bookmarkEnd w:id="643"/>
      <w:bookmarkEnd w:id="644"/>
      <w:bookmarkEnd w:id="645"/>
    </w:p>
    <w:p>
      <w:pPr>
        <w:tabs>
          <w:tab w:val="left" w:pos="5580"/>
        </w:tabs>
        <w:snapToGrid w:val="0"/>
        <w:spacing w:line="400" w:lineRule="atLeast"/>
        <w:ind w:left="1080" w:hanging="108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致：</w:t>
      </w:r>
    </w:p>
    <w:p>
      <w:pPr>
        <w:pStyle w:val="17"/>
        <w:tabs>
          <w:tab w:val="left" w:pos="5580"/>
        </w:tabs>
        <w:snapToGrid w:val="0"/>
        <w:spacing w:line="400" w:lineRule="atLeast"/>
        <w:ind w:left="2" w:leftChars="1" w:firstLine="480" w:firstLineChars="20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根据贵方(</w:t>
      </w:r>
      <w:r>
        <w:rPr>
          <w:rFonts w:hint="eastAsia" w:ascii="微软雅黑" w:hAnsi="微软雅黑" w:eastAsia="微软雅黑" w:cs="微软雅黑"/>
          <w:i/>
          <w:color w:val="auto"/>
          <w:sz w:val="24"/>
          <w:szCs w:val="24"/>
          <w:u w:val="single" w:color="000000"/>
        </w:rPr>
        <w:t>项目名称</w:t>
      </w:r>
      <w:r>
        <w:rPr>
          <w:rFonts w:hint="eastAsia" w:ascii="微软雅黑" w:hAnsi="微软雅黑" w:eastAsia="微软雅黑" w:cs="微软雅黑"/>
          <w:color w:val="auto"/>
          <w:sz w:val="24"/>
          <w:szCs w:val="24"/>
        </w:rPr>
        <w:t>)项目的磋商邀请(</w:t>
      </w:r>
      <w:r>
        <w:rPr>
          <w:rFonts w:hint="eastAsia" w:ascii="微软雅黑" w:hAnsi="微软雅黑" w:eastAsia="微软雅黑" w:cs="微软雅黑"/>
          <w:i/>
          <w:color w:val="auto"/>
          <w:sz w:val="24"/>
          <w:szCs w:val="24"/>
          <w:u w:val="single" w:color="000000"/>
        </w:rPr>
        <w:t>项目编号</w:t>
      </w:r>
      <w:r>
        <w:rPr>
          <w:rFonts w:hint="eastAsia" w:ascii="微软雅黑" w:hAnsi="微软雅黑" w:eastAsia="微软雅黑" w:cs="微软雅黑"/>
          <w:color w:val="auto"/>
          <w:sz w:val="24"/>
          <w:szCs w:val="24"/>
        </w:rPr>
        <w:t>),签字代表(</w:t>
      </w:r>
      <w:r>
        <w:rPr>
          <w:rFonts w:hint="eastAsia" w:ascii="微软雅黑" w:hAnsi="微软雅黑" w:eastAsia="微软雅黑" w:cs="微软雅黑"/>
          <w:i/>
          <w:color w:val="auto"/>
          <w:sz w:val="24"/>
          <w:szCs w:val="24"/>
          <w:u w:val="single" w:color="000000"/>
        </w:rPr>
        <w:t>姓名、职务</w:t>
      </w:r>
      <w:r>
        <w:rPr>
          <w:rFonts w:hint="eastAsia" w:ascii="微软雅黑" w:hAnsi="微软雅黑" w:eastAsia="微软雅黑" w:cs="微软雅黑"/>
          <w:color w:val="auto"/>
          <w:sz w:val="24"/>
          <w:szCs w:val="24"/>
        </w:rPr>
        <w:t>)经正式授权并代表供应商（</w:t>
      </w:r>
      <w:r>
        <w:rPr>
          <w:rFonts w:hint="eastAsia" w:ascii="微软雅黑" w:hAnsi="微软雅黑" w:eastAsia="微软雅黑" w:cs="微软雅黑"/>
          <w:i/>
          <w:color w:val="auto"/>
          <w:sz w:val="24"/>
          <w:szCs w:val="24"/>
          <w:u w:val="single" w:color="000000"/>
        </w:rPr>
        <w:t>名称、地址</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提交并签署响应文件</w:t>
      </w:r>
      <w:r>
        <w:rPr>
          <w:rFonts w:hint="eastAsia" w:ascii="微软雅黑" w:hAnsi="微软雅黑" w:eastAsia="微软雅黑" w:cs="微软雅黑"/>
          <w:color w:val="auto"/>
          <w:sz w:val="24"/>
          <w:szCs w:val="24"/>
        </w:rPr>
        <w:t>，并以</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形式出具的金额为人民币</w:t>
      </w:r>
      <w:r>
        <w:rPr>
          <w:rFonts w:hint="eastAsia" w:ascii="微软雅黑" w:hAnsi="微软雅黑" w:eastAsia="微软雅黑" w:cs="微软雅黑"/>
          <w:color w:val="auto"/>
          <w:sz w:val="24"/>
          <w:szCs w:val="24"/>
          <w:u w:val="single" w:color="000000"/>
        </w:rPr>
        <w:t>　　　　</w:t>
      </w:r>
      <w:r>
        <w:rPr>
          <w:rFonts w:hint="eastAsia" w:ascii="微软雅黑" w:hAnsi="微软雅黑" w:eastAsia="微软雅黑" w:cs="微软雅黑"/>
          <w:color w:val="auto"/>
          <w:sz w:val="24"/>
          <w:szCs w:val="24"/>
        </w:rPr>
        <w:t>元的磋商保证金。</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据此，签字代表宣布同意如下：</w:t>
      </w:r>
    </w:p>
    <w:p>
      <w:pPr>
        <w:pStyle w:val="17"/>
        <w:tabs>
          <w:tab w:val="left" w:pos="720"/>
          <w:tab w:val="left" w:pos="900"/>
        </w:tabs>
        <w:snapToGrid w:val="0"/>
        <w:spacing w:line="400" w:lineRule="atLeast"/>
        <w:ind w:left="769" w:leftChars="257" w:hanging="229"/>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（1）附磋商价格表中规定的应提供货物的磋商总价详见磋商开启一览表，</w:t>
      </w:r>
      <w:r>
        <w:rPr>
          <w:rFonts w:hint="eastAsia" w:ascii="微软雅黑" w:hAnsi="微软雅黑" w:eastAsia="微软雅黑" w:cs="微软雅黑"/>
          <w:color w:val="auto"/>
          <w:sz w:val="24"/>
          <w:szCs w:val="24"/>
          <w:u w:val="single" w:color="000000"/>
        </w:rPr>
        <w:t>其中由小型和</w:t>
      </w:r>
      <w:r>
        <w:rPr>
          <w:rFonts w:hint="eastAsia" w:ascii="微软雅黑" w:hAnsi="微软雅黑" w:eastAsia="微软雅黑" w:cs="微软雅黑"/>
          <w:color w:val="auto"/>
          <w:sz w:val="24"/>
          <w:szCs w:val="24"/>
        </w:rPr>
        <w:t>微型企业制造产品的价格为</w:t>
      </w:r>
      <w:r>
        <w:rPr>
          <w:rFonts w:hint="eastAsia" w:ascii="微软雅黑" w:hAnsi="微软雅黑" w:eastAsia="微软雅黑" w:cs="微软雅黑"/>
          <w:color w:val="auto"/>
          <w:sz w:val="24"/>
          <w:szCs w:val="24"/>
          <w:u w:val="single" w:color="000000"/>
        </w:rPr>
        <w:t>　　  （用文字和数字表示），占磋商总价   %</w:t>
      </w:r>
      <w:r>
        <w:rPr>
          <w:rFonts w:hint="eastAsia" w:ascii="微软雅黑" w:hAnsi="微软雅黑" w:eastAsia="微软雅黑" w:cs="微软雅黑"/>
          <w:color w:val="auto"/>
          <w:sz w:val="24"/>
          <w:szCs w:val="24"/>
        </w:rPr>
        <w:t>。</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（2）本磋商有效期为自磋商截止之日起</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个日历日。</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（3）联合体中的大中型企业和其他自然人、法人或者非法人组织，与联合体中的小型、微型企业之间</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存在、不存在）投资关系（如果是联合体的话）。</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（4）已详细审查全部磋商文件，包括所有补充通知（如果有的话），完全理解并同意放弃对这方面有不明、误解和质疑的权力。</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（5）在规定的磋商开启时间后，遵守磋商文件中有关保证金的规定。</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（6）我方不是为本项目提供整体设计、规范编制或者项目管理、监理、检测等服务的供应商，我方不是采购代理机构的附属机构。</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（7）在领取成交通知书的同时按磋商文件规定的形式，向贵方一次性支付成交服务费。</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（8）按照贵方可能要求，提供与其磋商有关的一切数据或资料，完全理解贵方不一定接受最低价的磋商或收到的任何磋商。</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（9）按照磋商文件的规定履行合同责任和义务。</w:t>
      </w:r>
    </w:p>
    <w:p>
      <w:pPr>
        <w:pStyle w:val="17"/>
        <w:tabs>
          <w:tab w:val="left" w:pos="5580"/>
        </w:tabs>
        <w:snapToGrid w:val="0"/>
        <w:spacing w:line="400" w:lineRule="atLeast"/>
        <w:ind w:left="359" w:leftChars="68" w:hanging="216" w:hangingChars="9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与本磋商有关的一切正式往来信函请寄：</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地址</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传真</w:t>
      </w:r>
      <w:r>
        <w:rPr>
          <w:rFonts w:hint="eastAsia" w:ascii="微软雅黑" w:hAnsi="微软雅黑" w:eastAsia="微软雅黑" w:cs="微软雅黑"/>
          <w:color w:val="auto"/>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 xml:space="preserve">     电子函件</w:t>
      </w:r>
      <w:r>
        <w:rPr>
          <w:rFonts w:hint="eastAsia" w:ascii="微软雅黑" w:hAnsi="微软雅黑" w:eastAsia="微软雅黑" w:cs="微软雅黑"/>
          <w:color w:val="auto"/>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供应商名称（全称）</w:t>
      </w:r>
      <w:r>
        <w:rPr>
          <w:rFonts w:hint="eastAsia" w:ascii="微软雅黑" w:hAnsi="微软雅黑" w:eastAsia="微软雅黑" w:cs="微软雅黑"/>
          <w:color w:val="auto"/>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供应商开户银行（全称）</w:t>
      </w:r>
      <w:r>
        <w:rPr>
          <w:rFonts w:hint="eastAsia" w:ascii="微软雅黑" w:hAnsi="微软雅黑" w:eastAsia="微软雅黑" w:cs="微软雅黑"/>
          <w:color w:val="auto"/>
          <w:sz w:val="24"/>
          <w:szCs w:val="24"/>
          <w:u w:val="single" w:color="000000"/>
        </w:rPr>
        <w:t xml:space="preserve">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供应商银行帐号</w:t>
      </w:r>
      <w:r>
        <w:rPr>
          <w:rFonts w:hint="eastAsia" w:ascii="微软雅黑" w:hAnsi="微软雅黑" w:eastAsia="微软雅黑" w:cs="微软雅黑"/>
          <w:color w:val="auto"/>
          <w:sz w:val="24"/>
          <w:szCs w:val="24"/>
          <w:u w:val="single" w:color="000000"/>
        </w:rPr>
        <w:t>　　　　　　　　 　　</w:t>
      </w:r>
    </w:p>
    <w:p>
      <w:pPr>
        <w:pStyle w:val="17"/>
        <w:tabs>
          <w:tab w:val="left" w:pos="5580"/>
        </w:tabs>
        <w:snapToGrid w:val="0"/>
        <w:spacing w:line="400" w:lineRule="atLeast"/>
        <w:ind w:left="1080" w:leftChars="257" w:hanging="540"/>
        <w:textAlignment w:val="baseline"/>
        <w:rPr>
          <w:rFonts w:ascii="微软雅黑" w:hAnsi="微软雅黑" w:eastAsia="微软雅黑" w:cs="微软雅黑"/>
          <w:color w:val="auto"/>
          <w:sz w:val="24"/>
          <w:szCs w:val="24"/>
          <w:u w:val="single" w:color="000000"/>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color="000000"/>
        </w:rPr>
        <w:t xml:space="preserve">　　　　　　       </w:t>
      </w: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color="000000"/>
        </w:rPr>
        <w:t>　　　　　　</w:t>
      </w:r>
    </w:p>
    <w:p>
      <w:pPr>
        <w:pStyle w:val="17"/>
        <w:spacing w:line="360" w:lineRule="exact"/>
        <w:rPr>
          <w:rFonts w:ascii="微软雅黑" w:hAnsi="微软雅黑" w:eastAsia="微软雅黑" w:cs="微软雅黑"/>
          <w:b/>
          <w:color w:val="auto"/>
          <w:kern w:val="0"/>
          <w:sz w:val="24"/>
        </w:rPr>
      </w:pPr>
    </w:p>
    <w:p>
      <w:pPr>
        <w:pStyle w:val="17"/>
        <w:spacing w:line="360" w:lineRule="exact"/>
        <w:rPr>
          <w:rFonts w:ascii="微软雅黑" w:hAnsi="微软雅黑" w:eastAsia="微软雅黑" w:cs="微软雅黑"/>
          <w:b/>
          <w:color w:val="auto"/>
          <w:kern w:val="0"/>
          <w:sz w:val="24"/>
        </w:rPr>
      </w:pPr>
    </w:p>
    <w:p>
      <w:pPr>
        <w:pStyle w:val="17"/>
        <w:spacing w:line="360" w:lineRule="exact"/>
        <w:rPr>
          <w:rFonts w:ascii="微软雅黑" w:hAnsi="微软雅黑" w:eastAsia="微软雅黑" w:cs="微软雅黑"/>
          <w:b/>
          <w:color w:val="auto"/>
          <w:kern w:val="0"/>
          <w:sz w:val="24"/>
        </w:rPr>
      </w:pPr>
    </w:p>
    <w:p>
      <w:pPr>
        <w:pStyle w:val="17"/>
        <w:spacing w:line="360" w:lineRule="exact"/>
        <w:rPr>
          <w:rFonts w:ascii="微软雅黑" w:hAnsi="微软雅黑" w:eastAsia="微软雅黑" w:cs="微软雅黑"/>
          <w:b/>
          <w:color w:val="auto"/>
          <w:kern w:val="0"/>
          <w:sz w:val="24"/>
        </w:rPr>
      </w:pPr>
    </w:p>
    <w:p>
      <w:pPr>
        <w:pStyle w:val="17"/>
        <w:spacing w:line="360" w:lineRule="exact"/>
        <w:rPr>
          <w:rFonts w:ascii="微软雅黑" w:hAnsi="微软雅黑" w:eastAsia="微软雅黑" w:cs="微软雅黑"/>
          <w:b/>
          <w:color w:val="auto"/>
          <w:kern w:val="0"/>
          <w:sz w:val="24"/>
        </w:rPr>
      </w:pPr>
    </w:p>
    <w:p>
      <w:pPr>
        <w:pStyle w:val="4"/>
        <w:spacing w:before="0" w:line="360" w:lineRule="exact"/>
        <w:ind w:left="1080" w:leftChars="257" w:hanging="540"/>
        <w:rPr>
          <w:rFonts w:hint="eastAsia" w:ascii="微软雅黑" w:hAnsi="微软雅黑" w:eastAsia="微软雅黑" w:cs="微软雅黑"/>
          <w:color w:val="auto"/>
          <w:sz w:val="24"/>
          <w:szCs w:val="24"/>
          <w:lang w:eastAsia="zh-CN"/>
        </w:rPr>
      </w:pPr>
      <w:bookmarkStart w:id="646" w:name="_Toc12710"/>
      <w:bookmarkStart w:id="647" w:name="_Toc5524"/>
      <w:bookmarkStart w:id="648" w:name="_Toc9671"/>
      <w:r>
        <w:rPr>
          <w:rFonts w:hint="eastAsia" w:ascii="微软雅黑" w:hAnsi="微软雅黑" w:eastAsia="微软雅黑" w:cs="微软雅黑"/>
          <w:color w:val="auto"/>
          <w:sz w:val="24"/>
          <w:szCs w:val="24"/>
        </w:rPr>
        <w:t>2 、</w:t>
      </w:r>
      <w:r>
        <w:rPr>
          <w:rFonts w:hint="eastAsia" w:ascii="微软雅黑" w:hAnsi="微软雅黑" w:eastAsia="微软雅黑" w:cs="微软雅黑"/>
          <w:bCs/>
          <w:color w:val="auto"/>
          <w:sz w:val="24"/>
          <w:szCs w:val="24"/>
        </w:rPr>
        <w:t>磋商分项报价表</w:t>
      </w:r>
      <w:bookmarkEnd w:id="646"/>
      <w:r>
        <w:rPr>
          <w:rFonts w:hint="eastAsia" w:ascii="微软雅黑" w:hAnsi="微软雅黑" w:eastAsia="微软雅黑" w:cs="微软雅黑"/>
          <w:bCs/>
          <w:color w:val="auto"/>
          <w:sz w:val="24"/>
          <w:szCs w:val="24"/>
          <w:lang w:eastAsia="zh-CN"/>
        </w:rPr>
        <w:t>（已标价的工程量清单）</w:t>
      </w:r>
      <w:bookmarkEnd w:id="647"/>
      <w:bookmarkEnd w:id="648"/>
    </w:p>
    <w:p>
      <w:pPr>
        <w:pStyle w:val="17"/>
        <w:spacing w:line="360" w:lineRule="exact"/>
        <w:jc w:val="left"/>
        <w:rPr>
          <w:rFonts w:ascii="微软雅黑" w:hAnsi="微软雅黑" w:eastAsia="微软雅黑" w:cs="微软雅黑"/>
          <w:color w:val="auto"/>
          <w:sz w:val="24"/>
          <w:szCs w:val="24"/>
        </w:rPr>
      </w:pPr>
    </w:p>
    <w:p>
      <w:pPr>
        <w:pStyle w:val="17"/>
        <w:spacing w:line="400" w:lineRule="exac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                      招标编号:                       　 　             报价单位：</w:t>
      </w:r>
    </w:p>
    <w:p>
      <w:pPr>
        <w:spacing w:before="75" w:line="265" w:lineRule="auto"/>
        <w:ind w:left="22" w:right="11" w:hanging="1"/>
        <w:rPr>
          <w:rFonts w:ascii="宋体" w:hAnsi="宋体" w:eastAsia="宋体" w:cs="宋体"/>
          <w:color w:val="auto"/>
          <w:spacing w:val="7"/>
          <w:sz w:val="23"/>
          <w:szCs w:val="23"/>
          <w14:textOutline w14:w="4356" w14:cap="sq" w14:cmpd="sng">
            <w14:solidFill>
              <w14:srgbClr w14:val="000000"/>
            </w14:solidFill>
            <w14:prstDash w14:val="solid"/>
            <w14:bevel/>
          </w14:textOutline>
        </w:rPr>
      </w:pPr>
    </w:p>
    <w:p>
      <w:pPr>
        <w:spacing w:before="75" w:line="265" w:lineRule="auto"/>
        <w:ind w:left="22" w:right="11" w:hanging="1"/>
        <w:rPr>
          <w:rFonts w:hint="eastAsia" w:ascii="微软雅黑" w:hAnsi="微软雅黑" w:eastAsia="微软雅黑" w:cs="微软雅黑"/>
          <w:color w:val="auto"/>
          <w:spacing w:val="7"/>
          <w:sz w:val="24"/>
          <w:szCs w:val="24"/>
          <w14:textOutline w14:w="4356" w14:cap="sq" w14:cmpd="sng">
            <w14:solidFill>
              <w14:srgbClr w14:val="000000"/>
            </w14:solidFill>
            <w14:prstDash w14:val="solid"/>
            <w14:bevel/>
          </w14:textOutline>
        </w:rPr>
      </w:pPr>
    </w:p>
    <w:p>
      <w:pPr>
        <w:spacing w:before="75" w:line="265" w:lineRule="auto"/>
        <w:ind w:left="22" w:right="11" w:hanging="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14:textOutline w14:w="4356" w14:cap="sq" w14:cmpd="sng">
            <w14:solidFill>
              <w14:srgbClr w14:val="000000"/>
            </w14:solidFill>
            <w14:prstDash w14:val="solid"/>
            <w14:bevel/>
          </w14:textOutline>
        </w:rPr>
        <w:t>注：格式按照工程量清单格式提供。</w:t>
      </w:r>
      <w:r>
        <w:rPr>
          <w:rFonts w:hint="eastAsia" w:ascii="微软雅黑" w:hAnsi="微软雅黑" w:eastAsia="微软雅黑" w:cs="微软雅黑"/>
          <w:color w:val="auto"/>
          <w:spacing w:val="7"/>
          <w:sz w:val="24"/>
          <w:szCs w:val="24"/>
        </w:rPr>
        <w:t xml:space="preserve"> </w:t>
      </w:r>
      <w:r>
        <w:rPr>
          <w:rFonts w:hint="eastAsia" w:ascii="微软雅黑" w:hAnsi="微软雅黑" w:eastAsia="微软雅黑" w:cs="微软雅黑"/>
          <w:color w:val="auto"/>
          <w:spacing w:val="7"/>
          <w:sz w:val="24"/>
          <w:szCs w:val="24"/>
          <w14:textOutline w14:w="4356" w14:cap="sq" w14:cmpd="sng">
            <w14:solidFill>
              <w14:srgbClr w14:val="000000"/>
            </w14:solidFill>
            <w14:prstDash w14:val="solid"/>
            <w14:bevel/>
          </w14:textOutline>
        </w:rPr>
        <w:t>(如供应商未按工程量清单格式提供的视</w:t>
      </w:r>
      <w:r>
        <w:rPr>
          <w:rFonts w:hint="eastAsia" w:ascii="微软雅黑" w:hAnsi="微软雅黑" w:eastAsia="微软雅黑" w:cs="微软雅黑"/>
          <w:color w:val="auto"/>
          <w:spacing w:val="6"/>
          <w:sz w:val="24"/>
          <w:szCs w:val="24"/>
          <w14:textOutline w14:w="4356" w14:cap="sq" w14:cmpd="sng">
            <w14:solidFill>
              <w14:srgbClr w14:val="000000"/>
            </w14:solidFill>
            <w14:prstDash w14:val="solid"/>
            <w14:bevel/>
          </w14:textOutline>
        </w:rPr>
        <w:t>为</w:t>
      </w:r>
      <w:r>
        <w:rPr>
          <w:rFonts w:hint="eastAsia" w:ascii="微软雅黑" w:hAnsi="微软雅黑" w:eastAsia="微软雅黑" w:cs="微软雅黑"/>
          <w:color w:val="auto"/>
          <w:spacing w:val="7"/>
          <w:sz w:val="24"/>
          <w:szCs w:val="24"/>
          <w14:textOutline w14:w="4356" w14:cap="sq" w14:cmpd="sng">
            <w14:solidFill>
              <w14:srgbClr w14:val="000000"/>
            </w14:solidFill>
            <w14:prstDash w14:val="solid"/>
            <w14:bevel/>
          </w14:textOutline>
        </w:rPr>
        <w:t>无</w:t>
      </w:r>
      <w:r>
        <w:rPr>
          <w:rFonts w:hint="eastAsia" w:ascii="微软雅黑" w:hAnsi="微软雅黑" w:eastAsia="微软雅黑" w:cs="微软雅黑"/>
          <w:color w:val="auto"/>
          <w:spacing w:val="6"/>
          <w:sz w:val="24"/>
          <w:szCs w:val="24"/>
          <w14:textOutline w14:w="4356" w14:cap="sq" w14:cmpd="sng">
            <w14:solidFill>
              <w14:srgbClr w14:val="000000"/>
            </w14:solidFill>
            <w14:prstDash w14:val="solid"/>
            <w14:bevel/>
          </w14:textOutline>
        </w:rPr>
        <w:t>效投标)</w:t>
      </w:r>
    </w:p>
    <w:p>
      <w:pPr>
        <w:pStyle w:val="17"/>
        <w:spacing w:line="400" w:lineRule="exact"/>
        <w:jc w:val="left"/>
        <w:rPr>
          <w:rFonts w:ascii="微软雅黑" w:hAnsi="微软雅黑" w:eastAsia="微软雅黑" w:cs="微软雅黑"/>
          <w:color w:val="auto"/>
          <w:sz w:val="24"/>
          <w:szCs w:val="24"/>
        </w:rPr>
      </w:pPr>
    </w:p>
    <w:p>
      <w:pPr>
        <w:pStyle w:val="18"/>
        <w:rPr>
          <w:rFonts w:ascii="微软雅黑" w:hAnsi="微软雅黑" w:eastAsia="微软雅黑" w:cs="微软雅黑"/>
          <w:color w:val="auto"/>
          <w:sz w:val="24"/>
          <w:szCs w:val="24"/>
        </w:rPr>
      </w:pPr>
    </w:p>
    <w:p>
      <w:pPr>
        <w:rPr>
          <w:rFonts w:ascii="微软雅黑" w:hAnsi="微软雅黑" w:eastAsia="微软雅黑" w:cs="微软雅黑"/>
          <w:color w:val="auto"/>
          <w:sz w:val="24"/>
          <w:szCs w:val="24"/>
        </w:rPr>
      </w:pPr>
    </w:p>
    <w:p>
      <w:pPr>
        <w:pStyle w:val="36"/>
        <w:rPr>
          <w:rFonts w:ascii="微软雅黑" w:hAnsi="微软雅黑" w:eastAsia="微软雅黑" w:cs="微软雅黑"/>
          <w:color w:val="auto"/>
          <w:sz w:val="24"/>
          <w:szCs w:val="24"/>
        </w:rPr>
      </w:pPr>
    </w:p>
    <w:p>
      <w:pPr>
        <w:rPr>
          <w:rFonts w:ascii="微软雅黑" w:hAnsi="微软雅黑" w:eastAsia="微软雅黑" w:cs="微软雅黑"/>
          <w:color w:val="auto"/>
          <w:sz w:val="24"/>
          <w:szCs w:val="24"/>
        </w:rPr>
      </w:pPr>
    </w:p>
    <w:p>
      <w:pPr>
        <w:pStyle w:val="36"/>
        <w:rPr>
          <w:rFonts w:ascii="微软雅黑" w:hAnsi="微软雅黑" w:eastAsia="微软雅黑" w:cs="微软雅黑"/>
          <w:color w:val="auto"/>
          <w:sz w:val="24"/>
          <w:szCs w:val="24"/>
        </w:rPr>
      </w:pPr>
    </w:p>
    <w:p>
      <w:pPr>
        <w:rPr>
          <w:rFonts w:ascii="微软雅黑" w:hAnsi="微软雅黑" w:eastAsia="微软雅黑" w:cs="微软雅黑"/>
          <w:color w:val="auto"/>
          <w:sz w:val="24"/>
          <w:szCs w:val="24"/>
        </w:rPr>
      </w:pPr>
    </w:p>
    <w:p>
      <w:pPr>
        <w:pStyle w:val="36"/>
        <w:rPr>
          <w:color w:val="auto"/>
        </w:rPr>
      </w:pPr>
    </w:p>
    <w:p>
      <w:pPr>
        <w:pStyle w:val="17"/>
        <w:spacing w:line="400" w:lineRule="exact"/>
        <w:ind w:left="1080" w:leftChars="257" w:hanging="540"/>
        <w:rPr>
          <w:rFonts w:hint="eastAsia" w:ascii="微软雅黑" w:hAnsi="微软雅黑" w:eastAsia="微软雅黑" w:cs="微软雅黑"/>
          <w:color w:val="auto"/>
          <w:sz w:val="24"/>
          <w:szCs w:val="24"/>
        </w:rPr>
      </w:pPr>
    </w:p>
    <w:p>
      <w:pPr>
        <w:pStyle w:val="17"/>
        <w:spacing w:line="400" w:lineRule="exac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p>
    <w:p>
      <w:pPr>
        <w:pStyle w:val="17"/>
        <w:tabs>
          <w:tab w:val="left" w:pos="5370"/>
        </w:tabs>
        <w:spacing w:line="400" w:lineRule="exac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w:t>
      </w:r>
    </w:p>
    <w:p>
      <w:pPr>
        <w:pStyle w:val="17"/>
        <w:spacing w:line="400" w:lineRule="exact"/>
        <w:rPr>
          <w:rFonts w:ascii="微软雅黑" w:hAnsi="微软雅黑" w:eastAsia="微软雅黑" w:cs="微软雅黑"/>
          <w:b/>
          <w:color w:val="auto"/>
          <w:kern w:val="0"/>
          <w:sz w:val="24"/>
          <w:szCs w:val="24"/>
        </w:rPr>
      </w:pPr>
    </w:p>
    <w:p>
      <w:pPr>
        <w:pStyle w:val="17"/>
        <w:spacing w:line="400" w:lineRule="exact"/>
        <w:rPr>
          <w:rFonts w:ascii="微软雅黑" w:hAnsi="微软雅黑" w:eastAsia="微软雅黑" w:cs="微软雅黑"/>
          <w:b/>
          <w:color w:val="auto"/>
          <w:kern w:val="0"/>
          <w:sz w:val="24"/>
          <w:szCs w:val="24"/>
        </w:rPr>
      </w:pPr>
    </w:p>
    <w:p>
      <w:pPr>
        <w:pStyle w:val="17"/>
        <w:spacing w:line="400" w:lineRule="exact"/>
        <w:rPr>
          <w:rFonts w:ascii="微软雅黑" w:hAnsi="微软雅黑" w:eastAsia="微软雅黑" w:cs="微软雅黑"/>
          <w:b/>
          <w:color w:val="auto"/>
          <w:kern w:val="0"/>
          <w:sz w:val="24"/>
          <w:szCs w:val="24"/>
        </w:rPr>
      </w:pPr>
    </w:p>
    <w:p>
      <w:pPr>
        <w:pStyle w:val="17"/>
        <w:spacing w:line="400" w:lineRule="exact"/>
        <w:rPr>
          <w:rFonts w:ascii="微软雅黑" w:hAnsi="微软雅黑" w:eastAsia="微软雅黑" w:cs="微软雅黑"/>
          <w:b/>
          <w:color w:val="auto"/>
          <w:kern w:val="0"/>
          <w:sz w:val="24"/>
          <w:szCs w:val="24"/>
        </w:rPr>
      </w:pPr>
    </w:p>
    <w:p>
      <w:pPr>
        <w:pStyle w:val="17"/>
        <w:spacing w:line="400" w:lineRule="exact"/>
        <w:rPr>
          <w:rFonts w:ascii="微软雅黑" w:hAnsi="微软雅黑" w:eastAsia="微软雅黑" w:cs="微软雅黑"/>
          <w:b/>
          <w:color w:val="auto"/>
          <w:kern w:val="0"/>
          <w:sz w:val="24"/>
          <w:szCs w:val="24"/>
        </w:rPr>
      </w:pPr>
    </w:p>
    <w:p>
      <w:pPr>
        <w:pStyle w:val="17"/>
        <w:spacing w:line="400" w:lineRule="exact"/>
        <w:rPr>
          <w:rFonts w:ascii="微软雅黑" w:hAnsi="微软雅黑" w:eastAsia="微软雅黑" w:cs="微软雅黑"/>
          <w:b/>
          <w:color w:val="auto"/>
          <w:kern w:val="0"/>
          <w:sz w:val="24"/>
          <w:szCs w:val="24"/>
        </w:rPr>
      </w:pPr>
    </w:p>
    <w:p>
      <w:pPr>
        <w:pStyle w:val="17"/>
        <w:spacing w:line="400" w:lineRule="exact"/>
        <w:rPr>
          <w:rFonts w:ascii="微软雅黑" w:hAnsi="微软雅黑" w:eastAsia="微软雅黑" w:cs="微软雅黑"/>
          <w:b/>
          <w:color w:val="auto"/>
          <w:kern w:val="0"/>
          <w:sz w:val="24"/>
          <w:szCs w:val="24"/>
        </w:rPr>
      </w:pPr>
    </w:p>
    <w:p>
      <w:pPr>
        <w:pStyle w:val="18"/>
        <w:rPr>
          <w:rFonts w:ascii="微软雅黑" w:hAnsi="微软雅黑" w:eastAsia="微软雅黑" w:cs="微软雅黑"/>
          <w:b/>
          <w:color w:val="auto"/>
          <w:kern w:val="0"/>
          <w:sz w:val="24"/>
          <w:szCs w:val="24"/>
        </w:rPr>
      </w:pPr>
    </w:p>
    <w:p>
      <w:pPr>
        <w:rPr>
          <w:rFonts w:ascii="微软雅黑" w:hAnsi="微软雅黑" w:eastAsia="微软雅黑" w:cs="微软雅黑"/>
          <w:b/>
          <w:color w:val="auto"/>
          <w:kern w:val="0"/>
          <w:sz w:val="24"/>
          <w:szCs w:val="24"/>
        </w:rPr>
      </w:pPr>
    </w:p>
    <w:p>
      <w:pPr>
        <w:pStyle w:val="36"/>
        <w:rPr>
          <w:rFonts w:ascii="微软雅黑" w:hAnsi="微软雅黑" w:eastAsia="微软雅黑" w:cs="微软雅黑"/>
          <w:b/>
          <w:color w:val="auto"/>
          <w:kern w:val="0"/>
          <w:sz w:val="24"/>
          <w:szCs w:val="24"/>
        </w:rPr>
      </w:pPr>
    </w:p>
    <w:p>
      <w:pPr>
        <w:rPr>
          <w:rFonts w:ascii="微软雅黑" w:hAnsi="微软雅黑" w:eastAsia="微软雅黑" w:cs="微软雅黑"/>
          <w:b/>
          <w:color w:val="auto"/>
          <w:kern w:val="0"/>
          <w:sz w:val="24"/>
          <w:szCs w:val="24"/>
        </w:rPr>
      </w:pPr>
    </w:p>
    <w:p>
      <w:pPr>
        <w:pStyle w:val="36"/>
        <w:rPr>
          <w:color w:val="auto"/>
        </w:rPr>
      </w:pPr>
    </w:p>
    <w:p>
      <w:pPr>
        <w:pStyle w:val="17"/>
        <w:spacing w:line="400" w:lineRule="exact"/>
        <w:rPr>
          <w:rFonts w:ascii="微软雅黑" w:hAnsi="微软雅黑" w:eastAsia="微软雅黑" w:cs="微软雅黑"/>
          <w:b/>
          <w:color w:val="auto"/>
          <w:kern w:val="0"/>
          <w:sz w:val="24"/>
          <w:szCs w:val="24"/>
        </w:rPr>
      </w:pPr>
    </w:p>
    <w:p>
      <w:pPr>
        <w:pStyle w:val="17"/>
        <w:spacing w:line="360" w:lineRule="exact"/>
        <w:rPr>
          <w:rFonts w:ascii="微软雅黑" w:hAnsi="微软雅黑" w:eastAsia="微软雅黑" w:cs="微软雅黑"/>
          <w:b/>
          <w:color w:val="auto"/>
          <w:kern w:val="0"/>
          <w:sz w:val="24"/>
        </w:rPr>
      </w:pPr>
    </w:p>
    <w:p>
      <w:pPr>
        <w:spacing w:before="75" w:line="309" w:lineRule="exact"/>
        <w:ind w:left="3379"/>
        <w:outlineLvl w:val="1"/>
        <w:rPr>
          <w:rFonts w:hint="eastAsia" w:ascii="微软雅黑" w:hAnsi="微软雅黑" w:eastAsia="微软雅黑" w:cs="微软雅黑"/>
          <w:color w:val="auto"/>
          <w:sz w:val="24"/>
          <w:szCs w:val="24"/>
        </w:rPr>
      </w:pPr>
      <w:bookmarkStart w:id="649" w:name="_Toc18706"/>
      <w:bookmarkStart w:id="650" w:name="_Toc31323"/>
      <w:bookmarkStart w:id="651" w:name="_Toc17521"/>
      <w:r>
        <w:rPr>
          <w:rFonts w:hint="eastAsia" w:ascii="微软雅黑" w:hAnsi="微软雅黑" w:eastAsia="微软雅黑" w:cs="微软雅黑"/>
          <w:b/>
          <w:color w:val="auto"/>
          <w:kern w:val="0"/>
          <w:sz w:val="24"/>
          <w:szCs w:val="24"/>
        </w:rPr>
        <w:t>3、</w:t>
      </w:r>
      <w:r>
        <w:rPr>
          <w:rFonts w:hint="eastAsia" w:ascii="微软雅黑" w:hAnsi="微软雅黑" w:eastAsia="微软雅黑" w:cs="微软雅黑"/>
          <w:color w:val="auto"/>
          <w:spacing w:val="8"/>
          <w:position w:val="1"/>
          <w:sz w:val="24"/>
          <w:szCs w:val="24"/>
          <w14:textOutline w14:w="4356" w14:cap="sq" w14:cmpd="sng">
            <w14:solidFill>
              <w14:srgbClr w14:val="000000"/>
            </w14:solidFill>
            <w14:prstDash w14:val="solid"/>
            <w14:bevel/>
          </w14:textOutline>
        </w:rPr>
        <w:t>项目管理机构</w:t>
      </w:r>
      <w:bookmarkEnd w:id="649"/>
      <w:bookmarkEnd w:id="650"/>
      <w:bookmarkEnd w:id="651"/>
    </w:p>
    <w:p>
      <w:pPr>
        <w:spacing w:before="149" w:line="228" w:lineRule="auto"/>
        <w:ind w:left="323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7"/>
          <w:sz w:val="24"/>
          <w:szCs w:val="24"/>
        </w:rPr>
        <w:t>(现场技术力量配备)</w:t>
      </w:r>
    </w:p>
    <w:p>
      <w:pPr>
        <w:spacing w:before="160" w:line="401" w:lineRule="exact"/>
        <w:ind w:left="1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position w:val="14"/>
          <w:sz w:val="24"/>
          <w:szCs w:val="24"/>
        </w:rPr>
        <w:t>3</w:t>
      </w:r>
      <w:r>
        <w:rPr>
          <w:rFonts w:hint="eastAsia" w:ascii="微软雅黑" w:hAnsi="微软雅黑" w:eastAsia="微软雅黑" w:cs="微软雅黑"/>
          <w:color w:val="auto"/>
          <w:spacing w:val="4"/>
          <w:position w:val="14"/>
          <w:sz w:val="24"/>
          <w:szCs w:val="24"/>
        </w:rPr>
        <w:t>.</w:t>
      </w:r>
      <w:r>
        <w:rPr>
          <w:rFonts w:hint="eastAsia" w:ascii="微软雅黑" w:hAnsi="微软雅黑" w:eastAsia="微软雅黑" w:cs="微软雅黑"/>
          <w:color w:val="auto"/>
          <w:spacing w:val="3"/>
          <w:position w:val="14"/>
          <w:sz w:val="24"/>
          <w:szCs w:val="24"/>
        </w:rPr>
        <w:t>1 项目管理机构组成表</w:t>
      </w:r>
    </w:p>
    <w:p>
      <w:pPr>
        <w:spacing w:line="229" w:lineRule="auto"/>
        <w:ind w:left="12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工</w:t>
      </w:r>
      <w:r>
        <w:rPr>
          <w:rFonts w:hint="eastAsia" w:ascii="微软雅黑" w:hAnsi="微软雅黑" w:eastAsia="微软雅黑" w:cs="微软雅黑"/>
          <w:color w:val="auto"/>
          <w:spacing w:val="5"/>
          <w:sz w:val="24"/>
          <w:szCs w:val="24"/>
        </w:rPr>
        <w:t>程名称：</w:t>
      </w:r>
    </w:p>
    <w:p>
      <w:pPr>
        <w:spacing w:line="107" w:lineRule="auto"/>
        <w:rPr>
          <w:rFonts w:hint="eastAsia" w:ascii="微软雅黑" w:hAnsi="微软雅黑" w:eastAsia="微软雅黑" w:cs="微软雅黑"/>
          <w:color w:val="auto"/>
          <w:sz w:val="24"/>
          <w:szCs w:val="24"/>
        </w:rPr>
      </w:pPr>
    </w:p>
    <w:tbl>
      <w:tblPr>
        <w:tblStyle w:val="9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23"/>
        <w:gridCol w:w="906"/>
        <w:gridCol w:w="1127"/>
        <w:gridCol w:w="783"/>
        <w:gridCol w:w="1284"/>
        <w:gridCol w:w="781"/>
        <w:gridCol w:w="1155"/>
        <w:gridCol w:w="7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Merge w:val="restart"/>
            <w:tcBorders>
              <w:bottom w:val="nil"/>
            </w:tcBorders>
            <w:vAlign w:val="top"/>
          </w:tcPr>
          <w:p>
            <w:pPr>
              <w:spacing w:line="334" w:lineRule="auto"/>
              <w:rPr>
                <w:rFonts w:hint="eastAsia" w:ascii="微软雅黑" w:hAnsi="微软雅黑" w:eastAsia="微软雅黑" w:cs="微软雅黑"/>
                <w:color w:val="auto"/>
                <w:sz w:val="24"/>
                <w:szCs w:val="24"/>
              </w:rPr>
            </w:pPr>
          </w:p>
          <w:p>
            <w:pPr>
              <w:spacing w:before="65" w:line="228" w:lineRule="auto"/>
              <w:ind w:left="51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职务</w:t>
            </w:r>
          </w:p>
        </w:tc>
        <w:tc>
          <w:tcPr>
            <w:tcW w:w="1123" w:type="dxa"/>
            <w:vMerge w:val="restart"/>
            <w:tcBorders>
              <w:bottom w:val="nil"/>
            </w:tcBorders>
            <w:vAlign w:val="top"/>
          </w:tcPr>
          <w:p>
            <w:pPr>
              <w:spacing w:line="334" w:lineRule="auto"/>
              <w:rPr>
                <w:rFonts w:hint="eastAsia" w:ascii="微软雅黑" w:hAnsi="微软雅黑" w:eastAsia="微软雅黑" w:cs="微软雅黑"/>
                <w:color w:val="auto"/>
                <w:sz w:val="24"/>
                <w:szCs w:val="24"/>
              </w:rPr>
            </w:pPr>
          </w:p>
          <w:p>
            <w:pPr>
              <w:spacing w:before="65" w:line="228" w:lineRule="auto"/>
              <w:ind w:left="35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姓</w:t>
            </w:r>
            <w:r>
              <w:rPr>
                <w:rFonts w:hint="eastAsia" w:ascii="微软雅黑" w:hAnsi="微软雅黑" w:eastAsia="微软雅黑" w:cs="微软雅黑"/>
                <w:color w:val="auto"/>
                <w:spacing w:val="4"/>
                <w:sz w:val="24"/>
                <w:szCs w:val="24"/>
              </w:rPr>
              <w:t>名</w:t>
            </w:r>
          </w:p>
        </w:tc>
        <w:tc>
          <w:tcPr>
            <w:tcW w:w="906" w:type="dxa"/>
            <w:vMerge w:val="restart"/>
            <w:tcBorders>
              <w:bottom w:val="nil"/>
            </w:tcBorders>
            <w:vAlign w:val="top"/>
          </w:tcPr>
          <w:p>
            <w:pPr>
              <w:spacing w:line="333" w:lineRule="auto"/>
              <w:rPr>
                <w:rFonts w:hint="eastAsia" w:ascii="微软雅黑" w:hAnsi="微软雅黑" w:eastAsia="微软雅黑" w:cs="微软雅黑"/>
                <w:color w:val="auto"/>
                <w:sz w:val="24"/>
                <w:szCs w:val="24"/>
              </w:rPr>
            </w:pPr>
          </w:p>
          <w:p>
            <w:pPr>
              <w:spacing w:before="65" w:line="231" w:lineRule="auto"/>
              <w:ind w:left="24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职称</w:t>
            </w:r>
          </w:p>
        </w:tc>
        <w:tc>
          <w:tcPr>
            <w:tcW w:w="5130" w:type="dxa"/>
            <w:gridSpan w:val="5"/>
            <w:vAlign w:val="top"/>
          </w:tcPr>
          <w:p>
            <w:pPr>
              <w:spacing w:before="178" w:line="228" w:lineRule="auto"/>
              <w:ind w:left="162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执业或职业资格证</w:t>
            </w:r>
            <w:r>
              <w:rPr>
                <w:rFonts w:hint="eastAsia" w:ascii="微软雅黑" w:hAnsi="微软雅黑" w:eastAsia="微软雅黑" w:cs="微软雅黑"/>
                <w:color w:val="auto"/>
                <w:spacing w:val="8"/>
                <w:sz w:val="24"/>
                <w:szCs w:val="24"/>
              </w:rPr>
              <w:t>明</w:t>
            </w:r>
          </w:p>
        </w:tc>
        <w:tc>
          <w:tcPr>
            <w:tcW w:w="777" w:type="dxa"/>
            <w:vAlign w:val="top"/>
          </w:tcPr>
          <w:p>
            <w:pPr>
              <w:spacing w:before="177" w:line="230" w:lineRule="auto"/>
              <w:ind w:left="18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备</w:t>
            </w:r>
            <w:r>
              <w:rPr>
                <w:rFonts w:hint="eastAsia" w:ascii="微软雅黑" w:hAnsi="微软雅黑" w:eastAsia="微软雅黑" w:cs="微软雅黑"/>
                <w:color w:val="auto"/>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Merge w:val="continue"/>
            <w:tcBorders>
              <w:top w:val="nil"/>
            </w:tcBorders>
            <w:vAlign w:val="top"/>
          </w:tcPr>
          <w:p>
            <w:pPr>
              <w:rPr>
                <w:rFonts w:hint="eastAsia" w:ascii="微软雅黑" w:hAnsi="微软雅黑" w:eastAsia="微软雅黑" w:cs="微软雅黑"/>
                <w:color w:val="auto"/>
                <w:sz w:val="24"/>
                <w:szCs w:val="24"/>
              </w:rPr>
            </w:pPr>
          </w:p>
        </w:tc>
        <w:tc>
          <w:tcPr>
            <w:tcW w:w="1123" w:type="dxa"/>
            <w:vMerge w:val="continue"/>
            <w:tcBorders>
              <w:top w:val="nil"/>
            </w:tcBorders>
            <w:vAlign w:val="top"/>
          </w:tcPr>
          <w:p>
            <w:pPr>
              <w:rPr>
                <w:rFonts w:hint="eastAsia" w:ascii="微软雅黑" w:hAnsi="微软雅黑" w:eastAsia="微软雅黑" w:cs="微软雅黑"/>
                <w:color w:val="auto"/>
                <w:sz w:val="24"/>
                <w:szCs w:val="24"/>
              </w:rPr>
            </w:pPr>
          </w:p>
        </w:tc>
        <w:tc>
          <w:tcPr>
            <w:tcW w:w="906" w:type="dxa"/>
            <w:vMerge w:val="continue"/>
            <w:tcBorders>
              <w:top w:val="nil"/>
            </w:tcBorders>
            <w:vAlign w:val="top"/>
          </w:tcPr>
          <w:p>
            <w:pPr>
              <w:rPr>
                <w:rFonts w:hint="eastAsia" w:ascii="微软雅黑" w:hAnsi="微软雅黑" w:eastAsia="微软雅黑" w:cs="微软雅黑"/>
                <w:color w:val="auto"/>
                <w:sz w:val="24"/>
                <w:szCs w:val="24"/>
              </w:rPr>
            </w:pPr>
          </w:p>
        </w:tc>
        <w:tc>
          <w:tcPr>
            <w:tcW w:w="1127" w:type="dxa"/>
            <w:vAlign w:val="top"/>
          </w:tcPr>
          <w:p>
            <w:pPr>
              <w:spacing w:before="172" w:line="228" w:lineRule="auto"/>
              <w:ind w:left="14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证</w:t>
            </w:r>
            <w:r>
              <w:rPr>
                <w:rFonts w:hint="eastAsia" w:ascii="微软雅黑" w:hAnsi="微软雅黑" w:eastAsia="微软雅黑" w:cs="微软雅黑"/>
                <w:color w:val="auto"/>
                <w:spacing w:val="7"/>
                <w:sz w:val="24"/>
                <w:szCs w:val="24"/>
              </w:rPr>
              <w:t>书名称</w:t>
            </w:r>
          </w:p>
        </w:tc>
        <w:tc>
          <w:tcPr>
            <w:tcW w:w="783" w:type="dxa"/>
            <w:vAlign w:val="top"/>
          </w:tcPr>
          <w:p>
            <w:pPr>
              <w:spacing w:before="173" w:line="229" w:lineRule="auto"/>
              <w:ind w:left="19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级别</w:t>
            </w:r>
          </w:p>
        </w:tc>
        <w:tc>
          <w:tcPr>
            <w:tcW w:w="1284" w:type="dxa"/>
            <w:vAlign w:val="top"/>
          </w:tcPr>
          <w:p>
            <w:pPr>
              <w:spacing w:before="172" w:line="230" w:lineRule="auto"/>
              <w:ind w:left="43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证</w:t>
            </w:r>
            <w:r>
              <w:rPr>
                <w:rFonts w:hint="eastAsia" w:ascii="微软雅黑" w:hAnsi="微软雅黑" w:eastAsia="微软雅黑" w:cs="微软雅黑"/>
                <w:color w:val="auto"/>
                <w:spacing w:val="4"/>
                <w:sz w:val="24"/>
                <w:szCs w:val="24"/>
              </w:rPr>
              <w:t>号</w:t>
            </w:r>
          </w:p>
        </w:tc>
        <w:tc>
          <w:tcPr>
            <w:tcW w:w="781" w:type="dxa"/>
            <w:vAlign w:val="top"/>
          </w:tcPr>
          <w:p>
            <w:pPr>
              <w:spacing w:before="173" w:line="229" w:lineRule="auto"/>
              <w:ind w:left="18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专业</w:t>
            </w:r>
          </w:p>
        </w:tc>
        <w:tc>
          <w:tcPr>
            <w:tcW w:w="1155" w:type="dxa"/>
            <w:vAlign w:val="top"/>
          </w:tcPr>
          <w:p>
            <w:pPr>
              <w:spacing w:before="173" w:line="228" w:lineRule="auto"/>
              <w:ind w:left="16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养老保险</w:t>
            </w: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top"/>
          </w:tcPr>
          <w:p>
            <w:pPr>
              <w:spacing w:before="175" w:line="229" w:lineRule="auto"/>
              <w:ind w:left="30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目经理</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top"/>
          </w:tcPr>
          <w:p>
            <w:pPr>
              <w:spacing w:before="117" w:line="228" w:lineRule="auto"/>
              <w:ind w:left="19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技术负责</w:t>
            </w:r>
            <w:r>
              <w:rPr>
                <w:rFonts w:hint="eastAsia" w:ascii="微软雅黑" w:hAnsi="微软雅黑" w:eastAsia="微软雅黑" w:cs="微软雅黑"/>
                <w:color w:val="auto"/>
                <w:spacing w:val="7"/>
                <w:sz w:val="24"/>
                <w:szCs w:val="24"/>
              </w:rPr>
              <w:t>人</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Align w:val="top"/>
          </w:tcPr>
          <w:p>
            <w:pPr>
              <w:spacing w:before="119" w:line="228" w:lineRule="auto"/>
              <w:ind w:left="41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质</w:t>
            </w:r>
            <w:r>
              <w:rPr>
                <w:rFonts w:hint="eastAsia" w:ascii="微软雅黑" w:hAnsi="微软雅黑" w:eastAsia="微软雅黑" w:cs="微软雅黑"/>
                <w:color w:val="auto"/>
                <w:spacing w:val="6"/>
                <w:sz w:val="24"/>
                <w:szCs w:val="24"/>
              </w:rPr>
              <w:t>检员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pPr>
              <w:spacing w:before="119" w:line="230" w:lineRule="auto"/>
              <w:ind w:left="41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安</w:t>
            </w:r>
            <w:r>
              <w:rPr>
                <w:rFonts w:hint="eastAsia" w:ascii="微软雅黑" w:hAnsi="微软雅黑" w:eastAsia="微软雅黑" w:cs="微软雅黑"/>
                <w:color w:val="auto"/>
                <w:spacing w:val="5"/>
                <w:sz w:val="24"/>
                <w:szCs w:val="24"/>
              </w:rPr>
              <w:t>全员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pPr>
              <w:spacing w:before="120" w:line="230" w:lineRule="auto"/>
              <w:ind w:left="40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施工员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pPr>
              <w:spacing w:before="176" w:line="228" w:lineRule="auto"/>
              <w:ind w:left="40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材料</w:t>
            </w:r>
            <w:r>
              <w:rPr>
                <w:rFonts w:hint="eastAsia" w:ascii="微软雅黑" w:hAnsi="微软雅黑" w:eastAsia="微软雅黑" w:cs="微软雅黑"/>
                <w:color w:val="auto"/>
                <w:spacing w:val="6"/>
                <w:sz w:val="24"/>
                <w:szCs w:val="24"/>
              </w:rPr>
              <w:t>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pPr>
              <w:spacing w:before="178" w:line="229" w:lineRule="auto"/>
              <w:ind w:left="41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资料</w:t>
            </w:r>
            <w:r>
              <w:rPr>
                <w:rFonts w:hint="eastAsia" w:ascii="微软雅黑" w:hAnsi="微软雅黑" w:eastAsia="微软雅黑" w:cs="微软雅黑"/>
                <w:color w:val="auto"/>
                <w:spacing w:val="3"/>
                <w:sz w:val="24"/>
                <w:szCs w:val="24"/>
              </w:rPr>
              <w:t>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vAlign w:val="top"/>
          </w:tcPr>
          <w:p>
            <w:pPr>
              <w:spacing w:before="177" w:line="228" w:lineRule="auto"/>
              <w:ind w:left="41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预</w:t>
            </w:r>
            <w:r>
              <w:rPr>
                <w:rFonts w:hint="eastAsia" w:ascii="微软雅黑" w:hAnsi="微软雅黑" w:eastAsia="微软雅黑" w:cs="微软雅黑"/>
                <w:color w:val="auto"/>
                <w:spacing w:val="6"/>
                <w:sz w:val="24"/>
                <w:szCs w:val="24"/>
              </w:rPr>
              <w:t>算员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Align w:val="top"/>
          </w:tcPr>
          <w:p>
            <w:pPr>
              <w:spacing w:before="178" w:line="229" w:lineRule="auto"/>
              <w:ind w:left="30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其他人员</w:t>
            </w:r>
          </w:p>
        </w:tc>
        <w:tc>
          <w:tcPr>
            <w:tcW w:w="1123" w:type="dxa"/>
            <w:vAlign w:val="top"/>
          </w:tcPr>
          <w:p>
            <w:pPr>
              <w:rPr>
                <w:rFonts w:hint="eastAsia" w:ascii="微软雅黑" w:hAnsi="微软雅黑" w:eastAsia="微软雅黑" w:cs="微软雅黑"/>
                <w:color w:val="auto"/>
                <w:sz w:val="24"/>
                <w:szCs w:val="24"/>
              </w:rPr>
            </w:pPr>
          </w:p>
        </w:tc>
        <w:tc>
          <w:tcPr>
            <w:tcW w:w="906" w:type="dxa"/>
            <w:vAlign w:val="top"/>
          </w:tcPr>
          <w:p>
            <w:pPr>
              <w:rPr>
                <w:rFonts w:hint="eastAsia" w:ascii="微软雅黑" w:hAnsi="微软雅黑" w:eastAsia="微软雅黑" w:cs="微软雅黑"/>
                <w:color w:val="auto"/>
                <w:sz w:val="24"/>
                <w:szCs w:val="24"/>
              </w:rPr>
            </w:pPr>
          </w:p>
        </w:tc>
        <w:tc>
          <w:tcPr>
            <w:tcW w:w="1127" w:type="dxa"/>
            <w:vAlign w:val="top"/>
          </w:tcPr>
          <w:p>
            <w:pPr>
              <w:rPr>
                <w:rFonts w:hint="eastAsia" w:ascii="微软雅黑" w:hAnsi="微软雅黑" w:eastAsia="微软雅黑" w:cs="微软雅黑"/>
                <w:color w:val="auto"/>
                <w:sz w:val="24"/>
                <w:szCs w:val="24"/>
              </w:rPr>
            </w:pPr>
          </w:p>
        </w:tc>
        <w:tc>
          <w:tcPr>
            <w:tcW w:w="783" w:type="dxa"/>
            <w:vAlign w:val="top"/>
          </w:tcPr>
          <w:p>
            <w:pPr>
              <w:rPr>
                <w:rFonts w:hint="eastAsia" w:ascii="微软雅黑" w:hAnsi="微软雅黑" w:eastAsia="微软雅黑" w:cs="微软雅黑"/>
                <w:color w:val="auto"/>
                <w:sz w:val="24"/>
                <w:szCs w:val="24"/>
              </w:rPr>
            </w:pPr>
          </w:p>
        </w:tc>
        <w:tc>
          <w:tcPr>
            <w:tcW w:w="1284" w:type="dxa"/>
            <w:vAlign w:val="top"/>
          </w:tcPr>
          <w:p>
            <w:pPr>
              <w:rPr>
                <w:rFonts w:hint="eastAsia" w:ascii="微软雅黑" w:hAnsi="微软雅黑" w:eastAsia="微软雅黑" w:cs="微软雅黑"/>
                <w:color w:val="auto"/>
                <w:sz w:val="24"/>
                <w:szCs w:val="24"/>
              </w:rPr>
            </w:pPr>
          </w:p>
        </w:tc>
        <w:tc>
          <w:tcPr>
            <w:tcW w:w="781" w:type="dxa"/>
            <w:vAlign w:val="top"/>
          </w:tcPr>
          <w:p>
            <w:pPr>
              <w:rPr>
                <w:rFonts w:hint="eastAsia" w:ascii="微软雅黑" w:hAnsi="微软雅黑" w:eastAsia="微软雅黑" w:cs="微软雅黑"/>
                <w:color w:val="auto"/>
                <w:sz w:val="24"/>
                <w:szCs w:val="24"/>
              </w:rPr>
            </w:pPr>
          </w:p>
        </w:tc>
        <w:tc>
          <w:tcPr>
            <w:tcW w:w="1155" w:type="dxa"/>
            <w:vAlign w:val="top"/>
          </w:tcPr>
          <w:p>
            <w:pPr>
              <w:rPr>
                <w:rFonts w:hint="eastAsia" w:ascii="微软雅黑" w:hAnsi="微软雅黑" w:eastAsia="微软雅黑" w:cs="微软雅黑"/>
                <w:color w:val="auto"/>
                <w:sz w:val="24"/>
                <w:szCs w:val="24"/>
              </w:rPr>
            </w:pPr>
          </w:p>
        </w:tc>
        <w:tc>
          <w:tcPr>
            <w:tcW w:w="777" w:type="dxa"/>
            <w:vAlign w:val="top"/>
          </w:tcPr>
          <w:p>
            <w:pPr>
              <w:rPr>
                <w:rFonts w:hint="eastAsia" w:ascii="微软雅黑" w:hAnsi="微软雅黑" w:eastAsia="微软雅黑" w:cs="微软雅黑"/>
                <w:color w:val="auto"/>
                <w:sz w:val="24"/>
                <w:szCs w:val="24"/>
              </w:rPr>
            </w:pPr>
          </w:p>
        </w:tc>
      </w:tr>
    </w:tbl>
    <w:p>
      <w:pPr>
        <w:spacing w:before="171" w:line="407" w:lineRule="auto"/>
        <w:ind w:left="335" w:right="956" w:hanging="5"/>
        <w:rPr>
          <w:rFonts w:hint="eastAsia"/>
          <w:color w:val="auto"/>
        </w:rPr>
      </w:pPr>
      <w:r>
        <w:rPr>
          <w:rFonts w:hint="eastAsia" w:ascii="微软雅黑" w:hAnsi="微软雅黑" w:eastAsia="微软雅黑" w:cs="微软雅黑"/>
          <w:color w:val="auto"/>
          <w:spacing w:val="11"/>
          <w:sz w:val="24"/>
          <w:szCs w:val="24"/>
        </w:rPr>
        <w:t>注</w:t>
      </w:r>
      <w:r>
        <w:rPr>
          <w:rFonts w:hint="eastAsia" w:ascii="微软雅黑" w:hAnsi="微软雅黑" w:eastAsia="微软雅黑" w:cs="微软雅黑"/>
          <w:color w:val="auto"/>
          <w:spacing w:val="10"/>
          <w:sz w:val="24"/>
          <w:szCs w:val="24"/>
        </w:rPr>
        <w:t>：1、本工程一旦我单位中标，将配备上述项目管理人员。上述填报内容真实，如不真</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1"/>
          <w:sz w:val="24"/>
          <w:szCs w:val="24"/>
        </w:rPr>
        <w:t>实</w:t>
      </w:r>
      <w:r>
        <w:rPr>
          <w:rFonts w:hint="eastAsia" w:ascii="微软雅黑" w:hAnsi="微软雅黑" w:eastAsia="微软雅黑" w:cs="微软雅黑"/>
          <w:color w:val="auto"/>
          <w:spacing w:val="8"/>
          <w:sz w:val="24"/>
          <w:szCs w:val="24"/>
        </w:rPr>
        <w:t>，将按照有关规定接受处理。</w:t>
      </w:r>
    </w:p>
    <w:p>
      <w:pPr>
        <w:spacing w:line="271" w:lineRule="exact"/>
        <w:ind w:left="75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position w:val="1"/>
          <w:sz w:val="24"/>
          <w:szCs w:val="24"/>
          <w14:textOutline w14:w="3797" w14:cap="sq" w14:cmpd="sng">
            <w14:solidFill>
              <w14:srgbClr w14:val="000000"/>
            </w14:solidFill>
            <w14:prstDash w14:val="solid"/>
            <w14:bevel/>
          </w14:textOutline>
        </w:rPr>
        <w:t>2、承包人若需要更换本工程响应文件中原有人员时须经发包人同意。未经发包人</w:t>
      </w:r>
      <w:r>
        <w:rPr>
          <w:rFonts w:hint="eastAsia" w:ascii="微软雅黑" w:hAnsi="微软雅黑" w:eastAsia="微软雅黑" w:cs="微软雅黑"/>
          <w:color w:val="auto"/>
          <w:spacing w:val="9"/>
          <w:position w:val="1"/>
          <w:sz w:val="24"/>
          <w:szCs w:val="24"/>
          <w14:textOutline w14:w="3797" w14:cap="sq" w14:cmpd="sng">
            <w14:solidFill>
              <w14:srgbClr w14:val="000000"/>
            </w14:solidFill>
            <w14:prstDash w14:val="solid"/>
            <w14:bevel/>
          </w14:textOutline>
        </w:rPr>
        <w:t>同</w:t>
      </w:r>
    </w:p>
    <w:p>
      <w:pPr>
        <w:pStyle w:val="17"/>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8"/>
          <w:sz w:val="24"/>
          <w:szCs w:val="24"/>
          <w14:textOutline w14:w="3797" w14:cap="sq" w14:cmpd="sng">
            <w14:solidFill>
              <w14:srgbClr w14:val="000000"/>
            </w14:solidFill>
            <w14:prstDash w14:val="solid"/>
            <w14:bevel/>
          </w14:textOutline>
        </w:rPr>
        <w:t>意，</w:t>
      </w:r>
      <w:r>
        <w:rPr>
          <w:rFonts w:hint="eastAsia" w:ascii="微软雅黑" w:hAnsi="微软雅黑" w:eastAsia="微软雅黑" w:cs="微软雅黑"/>
          <w:color w:val="auto"/>
          <w:spacing w:val="15"/>
          <w:sz w:val="24"/>
          <w:szCs w:val="24"/>
          <w14:textOutline w14:w="3797" w14:cap="sq" w14:cmpd="sng">
            <w14:solidFill>
              <w14:srgbClr w14:val="000000"/>
            </w14:solidFill>
            <w14:prstDash w14:val="solid"/>
            <w14:bevel/>
          </w14:textOutline>
        </w:rPr>
        <w:t>承</w:t>
      </w:r>
      <w:r>
        <w:rPr>
          <w:rFonts w:hint="eastAsia" w:ascii="微软雅黑" w:hAnsi="微软雅黑" w:eastAsia="微软雅黑" w:cs="微软雅黑"/>
          <w:color w:val="auto"/>
          <w:spacing w:val="9"/>
          <w:sz w:val="24"/>
          <w:szCs w:val="24"/>
          <w14:textOutline w14:w="3797" w14:cap="sq" w14:cmpd="sng">
            <w14:solidFill>
              <w14:srgbClr w14:val="000000"/>
            </w14:solidFill>
            <w14:prstDash w14:val="solid"/>
            <w14:bevel/>
          </w14:textOutline>
        </w:rPr>
        <w:t>包人更换人员应承担违约责任，并且按照中标价</w:t>
      </w:r>
      <w:r>
        <w:rPr>
          <w:rFonts w:hint="eastAsia" w:ascii="微软雅黑" w:hAnsi="微软雅黑" w:eastAsia="微软雅黑" w:cs="微软雅黑"/>
          <w:color w:val="auto"/>
          <w:spacing w:val="9"/>
          <w:sz w:val="24"/>
          <w:szCs w:val="24"/>
          <w:u w:val="single" w:color="auto"/>
        </w:rPr>
        <w:t xml:space="preserve"> </w:t>
      </w:r>
      <w:r>
        <w:rPr>
          <w:rFonts w:hint="eastAsia" w:ascii="微软雅黑" w:hAnsi="微软雅黑" w:eastAsia="微软雅黑" w:cs="微软雅黑"/>
          <w:color w:val="auto"/>
          <w:spacing w:val="9"/>
          <w:sz w:val="24"/>
          <w:szCs w:val="24"/>
          <w:u w:val="single" w:color="auto"/>
          <w14:textOutline w14:w="3797" w14:cap="sq" w14:cmpd="sng">
            <w14:solidFill>
              <w14:srgbClr w14:val="000000"/>
            </w14:solidFill>
            <w14:prstDash w14:val="solid"/>
            <w14:bevel/>
          </w14:textOutline>
        </w:rPr>
        <w:t>5</w:t>
      </w:r>
      <w:r>
        <w:rPr>
          <w:rFonts w:hint="eastAsia" w:ascii="微软雅黑" w:hAnsi="微软雅黑" w:eastAsia="微软雅黑" w:cs="微软雅黑"/>
          <w:color w:val="auto"/>
          <w:spacing w:val="9"/>
          <w:sz w:val="24"/>
          <w:szCs w:val="24"/>
          <w:u w:val="single" w:color="auto"/>
        </w:rPr>
        <w:t xml:space="preserve"> </w:t>
      </w:r>
      <w:r>
        <w:rPr>
          <w:rFonts w:hint="eastAsia" w:ascii="微软雅黑" w:hAnsi="微软雅黑" w:eastAsia="微软雅黑" w:cs="微软雅黑"/>
          <w:color w:val="auto"/>
          <w:spacing w:val="9"/>
          <w:sz w:val="24"/>
          <w:szCs w:val="24"/>
          <w14:textOutline w14:w="3797" w14:cap="sq" w14:cmpd="sng">
            <w14:solidFill>
              <w14:srgbClr w14:val="000000"/>
            </w14:solidFill>
            <w14:prstDash w14:val="solid"/>
            <w14:bevel/>
          </w14:textOutline>
        </w:rPr>
        <w:t>％</w:t>
      </w:r>
      <w:r>
        <w:rPr>
          <w:rFonts w:hint="eastAsia" w:ascii="微软雅黑" w:hAnsi="微软雅黑" w:eastAsia="微软雅黑" w:cs="微软雅黑"/>
          <w:color w:val="auto"/>
          <w:spacing w:val="9"/>
          <w:sz w:val="24"/>
          <w:szCs w:val="24"/>
        </w:rPr>
        <w:t xml:space="preserve"> </w:t>
      </w:r>
      <w:r>
        <w:rPr>
          <w:rFonts w:hint="eastAsia" w:ascii="微软雅黑" w:hAnsi="微软雅黑" w:eastAsia="微软雅黑" w:cs="微软雅黑"/>
          <w:color w:val="auto"/>
          <w:spacing w:val="9"/>
          <w:sz w:val="24"/>
          <w:szCs w:val="24"/>
          <w14:textOutline w14:w="3797" w14:cap="sq" w14:cmpd="sng">
            <w14:solidFill>
              <w14:srgbClr w14:val="000000"/>
            </w14:solidFill>
            <w14:prstDash w14:val="solid"/>
            <w14:bevel/>
          </w14:textOutline>
        </w:rPr>
        <w:t>给发包人支付违约金。</w:t>
      </w:r>
    </w:p>
    <w:p>
      <w:pPr>
        <w:spacing w:line="360" w:lineRule="exact"/>
        <w:ind w:left="1080" w:leftChars="257" w:hanging="540"/>
        <w:rPr>
          <w:rFonts w:ascii="微软雅黑" w:hAnsi="微软雅黑" w:eastAsia="微软雅黑" w:cs="微软雅黑"/>
          <w:color w:val="auto"/>
          <w:sz w:val="24"/>
        </w:rPr>
      </w:pPr>
    </w:p>
    <w:p>
      <w:pPr>
        <w:pStyle w:val="17"/>
        <w:spacing w:line="240" w:lineRule="atLeast"/>
        <w:ind w:left="1080" w:leftChars="257" w:hanging="540"/>
        <w:rPr>
          <w:rFonts w:ascii="微软雅黑" w:hAnsi="微软雅黑" w:eastAsia="微软雅黑" w:cs="微软雅黑"/>
          <w:color w:val="auto"/>
          <w:sz w:val="24"/>
        </w:rPr>
      </w:pPr>
    </w:p>
    <w:p>
      <w:pPr>
        <w:spacing w:line="360" w:lineRule="exact"/>
        <w:ind w:left="1080" w:leftChars="257" w:hanging="540"/>
        <w:rPr>
          <w:rFonts w:ascii="微软雅黑" w:hAnsi="微软雅黑" w:eastAsia="微软雅黑" w:cs="微软雅黑"/>
          <w:color w:val="auto"/>
          <w:sz w:val="24"/>
        </w:rPr>
      </w:pPr>
    </w:p>
    <w:p>
      <w:pPr>
        <w:pStyle w:val="27"/>
        <w:rPr>
          <w:rFonts w:ascii="微软雅黑" w:hAnsi="微软雅黑" w:eastAsia="微软雅黑" w:cs="微软雅黑"/>
          <w:color w:val="auto"/>
        </w:rPr>
      </w:pPr>
    </w:p>
    <w:p>
      <w:pPr>
        <w:spacing w:before="65" w:line="228" w:lineRule="auto"/>
        <w:ind w:left="23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3</w:t>
      </w:r>
      <w:r>
        <w:rPr>
          <w:rFonts w:hint="eastAsia" w:ascii="微软雅黑" w:hAnsi="微软雅黑" w:eastAsia="微软雅黑" w:cs="微软雅黑"/>
          <w:color w:val="auto"/>
          <w:spacing w:val="2"/>
          <w:sz w:val="24"/>
          <w:szCs w:val="24"/>
        </w:rPr>
        <w:t>.2 主要人员简历表</w:t>
      </w:r>
    </w:p>
    <w:p>
      <w:pPr>
        <w:spacing w:before="177" w:line="228" w:lineRule="auto"/>
        <w:ind w:left="2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3.2</w:t>
      </w:r>
      <w:r>
        <w:rPr>
          <w:rFonts w:hint="eastAsia" w:ascii="微软雅黑" w:hAnsi="微软雅黑" w:eastAsia="微软雅黑" w:cs="微软雅黑"/>
          <w:color w:val="auto"/>
          <w:spacing w:val="2"/>
          <w:sz w:val="24"/>
          <w:szCs w:val="24"/>
        </w:rPr>
        <w:t>.1 项目经理简历表</w:t>
      </w:r>
    </w:p>
    <w:p>
      <w:pPr>
        <w:spacing w:line="16" w:lineRule="exact"/>
        <w:rPr>
          <w:rFonts w:hint="eastAsia" w:ascii="微软雅黑" w:hAnsi="微软雅黑" w:eastAsia="微软雅黑" w:cs="微软雅黑"/>
          <w:color w:val="auto"/>
          <w:sz w:val="24"/>
          <w:szCs w:val="24"/>
        </w:rPr>
      </w:pPr>
    </w:p>
    <w:tbl>
      <w:tblPr>
        <w:tblStyle w:val="92"/>
        <w:tblW w:w="88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096" w:type="dxa"/>
            <w:vAlign w:val="top"/>
          </w:tcPr>
          <w:p>
            <w:pPr>
              <w:spacing w:before="125" w:line="228" w:lineRule="auto"/>
              <w:ind w:left="23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姓</w:t>
            </w:r>
            <w:r>
              <w:rPr>
                <w:rFonts w:hint="eastAsia" w:ascii="微软雅黑" w:hAnsi="微软雅黑" w:eastAsia="微软雅黑" w:cs="微软雅黑"/>
                <w:color w:val="auto"/>
                <w:spacing w:val="5"/>
                <w:sz w:val="24"/>
                <w:szCs w:val="24"/>
              </w:rPr>
              <w:t xml:space="preserve">  名</w:t>
            </w: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spacing w:before="125" w:line="228" w:lineRule="auto"/>
              <w:ind w:left="25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年  龄</w:t>
            </w: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spacing w:before="125" w:line="230" w:lineRule="auto"/>
              <w:ind w:left="72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学</w:t>
            </w:r>
            <w:r>
              <w:rPr>
                <w:rFonts w:hint="eastAsia" w:ascii="微软雅黑" w:hAnsi="微软雅黑" w:eastAsia="微软雅黑" w:cs="微软雅黑"/>
                <w:color w:val="auto"/>
                <w:spacing w:val="2"/>
                <w:sz w:val="24"/>
                <w:szCs w:val="24"/>
              </w:rPr>
              <w:t>历</w:t>
            </w: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6" w:type="dxa"/>
            <w:vAlign w:val="top"/>
          </w:tcPr>
          <w:p>
            <w:pPr>
              <w:spacing w:before="122" w:line="231" w:lineRule="auto"/>
              <w:ind w:left="23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职  称</w:t>
            </w: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spacing w:before="123" w:line="228" w:lineRule="auto"/>
              <w:ind w:left="25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职  务</w:t>
            </w: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spacing w:before="122" w:line="228" w:lineRule="auto"/>
              <w:ind w:left="1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拟</w:t>
            </w:r>
            <w:r>
              <w:rPr>
                <w:rFonts w:hint="eastAsia" w:ascii="微软雅黑" w:hAnsi="微软雅黑" w:eastAsia="微软雅黑" w:cs="微软雅黑"/>
                <w:color w:val="auto"/>
                <w:spacing w:val="8"/>
                <w:sz w:val="24"/>
                <w:szCs w:val="24"/>
              </w:rPr>
              <w:t>在本工程任职</w:t>
            </w:r>
          </w:p>
        </w:tc>
        <w:tc>
          <w:tcPr>
            <w:tcW w:w="2445" w:type="dxa"/>
            <w:vAlign w:val="top"/>
          </w:tcPr>
          <w:p>
            <w:pPr>
              <w:spacing w:before="123" w:line="229" w:lineRule="auto"/>
              <w:ind w:left="81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263" w:type="dxa"/>
            <w:gridSpan w:val="3"/>
            <w:vAlign w:val="top"/>
          </w:tcPr>
          <w:p>
            <w:pPr>
              <w:spacing w:before="122" w:line="228" w:lineRule="auto"/>
              <w:ind w:left="48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注</w:t>
            </w:r>
            <w:r>
              <w:rPr>
                <w:rFonts w:hint="eastAsia" w:ascii="微软雅黑" w:hAnsi="微软雅黑" w:eastAsia="微软雅黑" w:cs="微软雅黑"/>
                <w:color w:val="auto"/>
                <w:spacing w:val="9"/>
                <w:sz w:val="24"/>
                <w:szCs w:val="24"/>
              </w:rPr>
              <w:t>册建造师执业资格等级</w:t>
            </w:r>
          </w:p>
        </w:tc>
        <w:tc>
          <w:tcPr>
            <w:tcW w:w="1274" w:type="dxa"/>
            <w:vAlign w:val="top"/>
          </w:tcPr>
          <w:p>
            <w:pPr>
              <w:spacing w:before="121" w:line="231" w:lineRule="auto"/>
              <w:ind w:left="85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级</w:t>
            </w:r>
          </w:p>
        </w:tc>
        <w:tc>
          <w:tcPr>
            <w:tcW w:w="1842" w:type="dxa"/>
            <w:vAlign w:val="top"/>
          </w:tcPr>
          <w:p>
            <w:pPr>
              <w:spacing w:before="122" w:line="228" w:lineRule="auto"/>
              <w:ind w:left="40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建</w:t>
            </w:r>
            <w:r>
              <w:rPr>
                <w:rFonts w:hint="eastAsia" w:ascii="微软雅黑" w:hAnsi="微软雅黑" w:eastAsia="微软雅黑" w:cs="微软雅黑"/>
                <w:color w:val="auto"/>
                <w:spacing w:val="7"/>
                <w:sz w:val="24"/>
                <w:szCs w:val="24"/>
              </w:rPr>
              <w:t>造师专业</w:t>
            </w: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263" w:type="dxa"/>
            <w:gridSpan w:val="3"/>
            <w:vAlign w:val="top"/>
          </w:tcPr>
          <w:p>
            <w:pPr>
              <w:spacing w:before="120" w:line="228" w:lineRule="auto"/>
              <w:ind w:left="59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安</w:t>
            </w:r>
            <w:r>
              <w:rPr>
                <w:rFonts w:hint="eastAsia" w:ascii="微软雅黑" w:hAnsi="微软雅黑" w:eastAsia="微软雅黑" w:cs="微软雅黑"/>
                <w:color w:val="auto"/>
                <w:spacing w:val="8"/>
                <w:sz w:val="24"/>
                <w:szCs w:val="24"/>
              </w:rPr>
              <w:t>全生产考核合格证书</w:t>
            </w:r>
          </w:p>
        </w:tc>
        <w:tc>
          <w:tcPr>
            <w:tcW w:w="5561" w:type="dxa"/>
            <w:gridSpan w:val="3"/>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6" w:type="dxa"/>
            <w:vAlign w:val="top"/>
          </w:tcPr>
          <w:p>
            <w:pPr>
              <w:spacing w:before="123" w:line="228" w:lineRule="auto"/>
              <w:ind w:left="137"/>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毕</w:t>
            </w:r>
            <w:r>
              <w:rPr>
                <w:rFonts w:hint="eastAsia" w:ascii="微软雅黑" w:hAnsi="微软雅黑" w:eastAsia="微软雅黑" w:cs="微软雅黑"/>
                <w:color w:val="auto"/>
                <w:spacing w:val="6"/>
                <w:sz w:val="24"/>
                <w:szCs w:val="24"/>
              </w:rPr>
              <w:t>业学校</w:t>
            </w:r>
          </w:p>
        </w:tc>
        <w:tc>
          <w:tcPr>
            <w:tcW w:w="2167" w:type="dxa"/>
            <w:gridSpan w:val="2"/>
            <w:tcBorders>
              <w:right w:val="nil"/>
            </w:tcBorders>
            <w:vAlign w:val="top"/>
          </w:tcPr>
          <w:p>
            <w:pPr>
              <w:spacing w:before="123" w:line="228" w:lineRule="auto"/>
              <w:ind w:left="95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年毕业于</w:t>
            </w:r>
          </w:p>
        </w:tc>
        <w:tc>
          <w:tcPr>
            <w:tcW w:w="3116" w:type="dxa"/>
            <w:gridSpan w:val="2"/>
            <w:tcBorders>
              <w:left w:val="nil"/>
              <w:right w:val="nil"/>
            </w:tcBorders>
            <w:vAlign w:val="top"/>
          </w:tcPr>
          <w:p>
            <w:pPr>
              <w:spacing w:before="123" w:line="229" w:lineRule="auto"/>
              <w:ind w:left="152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学</w:t>
            </w:r>
            <w:r>
              <w:rPr>
                <w:rFonts w:hint="eastAsia" w:ascii="微软雅黑" w:hAnsi="微软雅黑" w:eastAsia="微软雅黑" w:cs="微软雅黑"/>
                <w:color w:val="auto"/>
                <w:spacing w:val="2"/>
                <w:sz w:val="24"/>
                <w:szCs w:val="24"/>
              </w:rPr>
              <w:t>校</w:t>
            </w:r>
          </w:p>
        </w:tc>
        <w:tc>
          <w:tcPr>
            <w:tcW w:w="2445" w:type="dxa"/>
            <w:tcBorders>
              <w:left w:val="nil"/>
            </w:tcBorders>
            <w:vAlign w:val="top"/>
          </w:tcPr>
          <w:p>
            <w:pPr>
              <w:spacing w:before="123" w:line="229" w:lineRule="auto"/>
              <w:ind w:left="8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8824" w:type="dxa"/>
            <w:gridSpan w:val="6"/>
            <w:vAlign w:val="top"/>
          </w:tcPr>
          <w:p>
            <w:pPr>
              <w:spacing w:before="122" w:line="229" w:lineRule="auto"/>
              <w:ind w:left="379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主要工作经</w:t>
            </w:r>
            <w:r>
              <w:rPr>
                <w:rFonts w:hint="eastAsia" w:ascii="微软雅黑" w:hAnsi="微软雅黑" w:eastAsia="微软雅黑" w:cs="微软雅黑"/>
                <w:color w:val="auto"/>
                <w:spacing w:val="7"/>
                <w:sz w:val="24"/>
                <w:szCs w:val="24"/>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6" w:type="dxa"/>
            <w:vAlign w:val="top"/>
          </w:tcPr>
          <w:p>
            <w:pPr>
              <w:spacing w:before="120" w:line="231" w:lineRule="auto"/>
              <w:ind w:left="24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时</w:t>
            </w:r>
            <w:r>
              <w:rPr>
                <w:rFonts w:hint="eastAsia" w:ascii="微软雅黑" w:hAnsi="微软雅黑" w:eastAsia="微软雅黑" w:cs="微软雅黑"/>
                <w:color w:val="auto"/>
                <w:spacing w:val="6"/>
                <w:sz w:val="24"/>
                <w:szCs w:val="24"/>
              </w:rPr>
              <w:t xml:space="preserve">  间</w:t>
            </w:r>
          </w:p>
        </w:tc>
        <w:tc>
          <w:tcPr>
            <w:tcW w:w="3441" w:type="dxa"/>
            <w:gridSpan w:val="3"/>
            <w:vAlign w:val="top"/>
          </w:tcPr>
          <w:p>
            <w:pPr>
              <w:spacing w:before="121" w:line="228" w:lineRule="auto"/>
              <w:ind w:left="67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5"/>
                <w:sz w:val="24"/>
                <w:szCs w:val="24"/>
              </w:rPr>
              <w:t>参</w:t>
            </w:r>
            <w:r>
              <w:rPr>
                <w:rFonts w:hint="eastAsia" w:ascii="微软雅黑" w:hAnsi="微软雅黑" w:eastAsia="微软雅黑" w:cs="微软雅黑"/>
                <w:color w:val="auto"/>
                <w:spacing w:val="8"/>
                <w:sz w:val="24"/>
                <w:szCs w:val="24"/>
              </w:rPr>
              <w:t>加过的类似项目名称</w:t>
            </w:r>
          </w:p>
        </w:tc>
        <w:tc>
          <w:tcPr>
            <w:tcW w:w="1842" w:type="dxa"/>
            <w:vAlign w:val="top"/>
          </w:tcPr>
          <w:p>
            <w:pPr>
              <w:spacing w:before="121" w:line="228" w:lineRule="auto"/>
              <w:ind w:left="3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工程概况说</w:t>
            </w:r>
            <w:r>
              <w:rPr>
                <w:rFonts w:hint="eastAsia" w:ascii="微软雅黑" w:hAnsi="微软雅黑" w:eastAsia="微软雅黑" w:cs="微软雅黑"/>
                <w:color w:val="auto"/>
                <w:spacing w:val="7"/>
                <w:sz w:val="24"/>
                <w:szCs w:val="24"/>
              </w:rPr>
              <w:t>明</w:t>
            </w:r>
          </w:p>
        </w:tc>
        <w:tc>
          <w:tcPr>
            <w:tcW w:w="2445" w:type="dxa"/>
            <w:vAlign w:val="top"/>
          </w:tcPr>
          <w:p>
            <w:pPr>
              <w:spacing w:before="121" w:line="229" w:lineRule="auto"/>
              <w:ind w:left="39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发</w:t>
            </w:r>
            <w:r>
              <w:rPr>
                <w:rFonts w:hint="eastAsia" w:ascii="微软雅黑" w:hAnsi="微软雅黑" w:eastAsia="微软雅黑" w:cs="微软雅黑"/>
                <w:color w:val="auto"/>
                <w:spacing w:val="8"/>
                <w:sz w:val="24"/>
                <w:szCs w:val="24"/>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jc w:val="center"/>
        </w:trPr>
        <w:tc>
          <w:tcPr>
            <w:tcW w:w="1096" w:type="dxa"/>
            <w:vAlign w:val="top"/>
          </w:tcPr>
          <w:p>
            <w:pPr>
              <w:rPr>
                <w:rFonts w:hint="eastAsia" w:ascii="微软雅黑" w:hAnsi="微软雅黑" w:eastAsia="微软雅黑" w:cs="微软雅黑"/>
                <w:color w:val="auto"/>
                <w:sz w:val="24"/>
                <w:szCs w:val="24"/>
              </w:rPr>
            </w:pPr>
          </w:p>
        </w:tc>
        <w:tc>
          <w:tcPr>
            <w:tcW w:w="1034" w:type="dxa"/>
            <w:vAlign w:val="top"/>
          </w:tcPr>
          <w:p>
            <w:pPr>
              <w:rPr>
                <w:rFonts w:hint="eastAsia" w:ascii="微软雅黑" w:hAnsi="微软雅黑" w:eastAsia="微软雅黑" w:cs="微软雅黑"/>
                <w:color w:val="auto"/>
                <w:sz w:val="24"/>
                <w:szCs w:val="24"/>
              </w:rPr>
            </w:pPr>
          </w:p>
        </w:tc>
        <w:tc>
          <w:tcPr>
            <w:tcW w:w="1133" w:type="dxa"/>
            <w:vAlign w:val="top"/>
          </w:tcPr>
          <w:p>
            <w:pPr>
              <w:rPr>
                <w:rFonts w:hint="eastAsia" w:ascii="微软雅黑" w:hAnsi="微软雅黑" w:eastAsia="微软雅黑" w:cs="微软雅黑"/>
                <w:color w:val="auto"/>
                <w:sz w:val="24"/>
                <w:szCs w:val="24"/>
              </w:rPr>
            </w:pPr>
          </w:p>
        </w:tc>
        <w:tc>
          <w:tcPr>
            <w:tcW w:w="1274" w:type="dxa"/>
            <w:vAlign w:val="top"/>
          </w:tcPr>
          <w:p>
            <w:pPr>
              <w:rPr>
                <w:rFonts w:hint="eastAsia" w:ascii="微软雅黑" w:hAnsi="微软雅黑" w:eastAsia="微软雅黑" w:cs="微软雅黑"/>
                <w:color w:val="auto"/>
                <w:sz w:val="24"/>
                <w:szCs w:val="24"/>
              </w:rPr>
            </w:pPr>
          </w:p>
        </w:tc>
        <w:tc>
          <w:tcPr>
            <w:tcW w:w="1842" w:type="dxa"/>
            <w:vAlign w:val="top"/>
          </w:tcPr>
          <w:p>
            <w:pPr>
              <w:rPr>
                <w:rFonts w:hint="eastAsia" w:ascii="微软雅黑" w:hAnsi="微软雅黑" w:eastAsia="微软雅黑" w:cs="微软雅黑"/>
                <w:color w:val="auto"/>
                <w:sz w:val="24"/>
                <w:szCs w:val="24"/>
              </w:rPr>
            </w:pPr>
          </w:p>
        </w:tc>
        <w:tc>
          <w:tcPr>
            <w:tcW w:w="2445" w:type="dxa"/>
            <w:vAlign w:val="top"/>
          </w:tcPr>
          <w:p>
            <w:pPr>
              <w:rPr>
                <w:rFonts w:hint="eastAsia" w:ascii="微软雅黑" w:hAnsi="微软雅黑" w:eastAsia="微软雅黑" w:cs="微软雅黑"/>
                <w:color w:val="auto"/>
                <w:sz w:val="24"/>
                <w:szCs w:val="24"/>
              </w:rPr>
            </w:pPr>
          </w:p>
        </w:tc>
      </w:tr>
    </w:tbl>
    <w:p>
      <w:pPr>
        <w:spacing w:line="460" w:lineRule="auto"/>
        <w:rPr>
          <w:rFonts w:hint="eastAsia" w:ascii="微软雅黑" w:hAnsi="微软雅黑" w:eastAsia="微软雅黑" w:cs="微软雅黑"/>
          <w:color w:val="auto"/>
          <w:sz w:val="24"/>
          <w:szCs w:val="24"/>
        </w:rPr>
      </w:pPr>
    </w:p>
    <w:p>
      <w:pPr>
        <w:spacing w:before="65" w:line="376" w:lineRule="auto"/>
        <w:ind w:left="676" w:right="443" w:firstLine="36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14:textOutline w14:w="3797" w14:cap="sq" w14:cmpd="sng">
            <w14:solidFill>
              <w14:srgbClr w14:val="000000"/>
            </w14:solidFill>
            <w14:prstDash w14:val="solid"/>
            <w14:bevel/>
          </w14:textOutline>
        </w:rPr>
        <w:t>注</w:t>
      </w:r>
      <w:r>
        <w:rPr>
          <w:rFonts w:hint="eastAsia" w:ascii="微软雅黑" w:hAnsi="微软雅黑" w:eastAsia="微软雅黑" w:cs="微软雅黑"/>
          <w:color w:val="auto"/>
          <w:spacing w:val="10"/>
          <w:sz w:val="24"/>
          <w:szCs w:val="24"/>
          <w14:textOutline w14:w="3797" w14:cap="sq" w14:cmpd="sng">
            <w14:solidFill>
              <w14:srgbClr w14:val="000000"/>
            </w14:solidFill>
            <w14:prstDash w14:val="solid"/>
            <w14:bevel/>
          </w14:textOutline>
        </w:rPr>
        <w:t>：承包人若需要更换本工程投标文件中原有建造师及人员时须经发包人同意。</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22"/>
          <w:sz w:val="24"/>
          <w:szCs w:val="24"/>
          <w14:textOutline w14:w="3797" w14:cap="sq" w14:cmpd="sng">
            <w14:solidFill>
              <w14:srgbClr w14:val="000000"/>
            </w14:solidFill>
            <w14:prstDash w14:val="solid"/>
            <w14:bevel/>
          </w14:textOutline>
        </w:rPr>
        <w:t>未经</w:t>
      </w:r>
      <w:r>
        <w:rPr>
          <w:rFonts w:hint="eastAsia" w:ascii="微软雅黑" w:hAnsi="微软雅黑" w:eastAsia="微软雅黑" w:cs="微软雅黑"/>
          <w:color w:val="auto"/>
          <w:spacing w:val="14"/>
          <w:sz w:val="24"/>
          <w:szCs w:val="24"/>
          <w14:textOutline w14:w="3797" w14:cap="sq" w14:cmpd="sng">
            <w14:solidFill>
              <w14:srgbClr w14:val="000000"/>
            </w14:solidFill>
            <w14:prstDash w14:val="solid"/>
            <w14:bevel/>
          </w14:textOutline>
        </w:rPr>
        <w:t>发</w:t>
      </w:r>
      <w:r>
        <w:rPr>
          <w:rFonts w:hint="eastAsia" w:ascii="微软雅黑" w:hAnsi="微软雅黑" w:eastAsia="微软雅黑" w:cs="微软雅黑"/>
          <w:color w:val="auto"/>
          <w:spacing w:val="11"/>
          <w:sz w:val="24"/>
          <w:szCs w:val="24"/>
          <w14:textOutline w14:w="3797" w14:cap="sq" w14:cmpd="sng">
            <w14:solidFill>
              <w14:srgbClr w14:val="000000"/>
            </w14:solidFill>
            <w14:prstDash w14:val="solid"/>
            <w14:bevel/>
          </w14:textOutline>
        </w:rPr>
        <w:t>包人同意，承包人更换人员应承担违约责任，并且按照中标价</w:t>
      </w:r>
      <w:r>
        <w:rPr>
          <w:rFonts w:hint="eastAsia" w:ascii="微软雅黑" w:hAnsi="微软雅黑" w:eastAsia="微软雅黑" w:cs="微软雅黑"/>
          <w:color w:val="auto"/>
          <w:spacing w:val="11"/>
          <w:sz w:val="24"/>
          <w:szCs w:val="24"/>
          <w:u w:val="single" w:color="auto"/>
        </w:rPr>
        <w:t xml:space="preserve"> </w:t>
      </w:r>
      <w:r>
        <w:rPr>
          <w:rFonts w:hint="eastAsia" w:ascii="微软雅黑" w:hAnsi="微软雅黑" w:eastAsia="微软雅黑" w:cs="微软雅黑"/>
          <w:color w:val="auto"/>
          <w:spacing w:val="11"/>
          <w:sz w:val="24"/>
          <w:szCs w:val="24"/>
          <w:u w:val="single" w:color="auto"/>
          <w14:textOutline w14:w="3797" w14:cap="sq" w14:cmpd="sng">
            <w14:solidFill>
              <w14:srgbClr w14:val="000000"/>
            </w14:solidFill>
            <w14:prstDash w14:val="solid"/>
            <w14:bevel/>
          </w14:textOutline>
        </w:rPr>
        <w:t>5</w:t>
      </w:r>
      <w:r>
        <w:rPr>
          <w:rFonts w:hint="eastAsia" w:ascii="微软雅黑" w:hAnsi="微软雅黑" w:eastAsia="微软雅黑" w:cs="微软雅黑"/>
          <w:color w:val="auto"/>
          <w:spacing w:val="11"/>
          <w:sz w:val="24"/>
          <w:szCs w:val="24"/>
          <w:u w:val="single" w:color="auto"/>
        </w:rPr>
        <w:t xml:space="preserve"> </w:t>
      </w:r>
      <w:r>
        <w:rPr>
          <w:rFonts w:hint="eastAsia" w:ascii="微软雅黑" w:hAnsi="微软雅黑" w:eastAsia="微软雅黑" w:cs="微软雅黑"/>
          <w:color w:val="auto"/>
          <w:spacing w:val="11"/>
          <w:sz w:val="24"/>
          <w:szCs w:val="24"/>
          <w14:textOutline w14:w="3797" w14:cap="sq" w14:cmpd="sng">
            <w14:solidFill>
              <w14:srgbClr w14:val="000000"/>
            </w14:solidFill>
            <w14:prstDash w14:val="solid"/>
            <w14:bevel/>
          </w14:textOutline>
        </w:rPr>
        <w:t>％</w:t>
      </w:r>
      <w:r>
        <w:rPr>
          <w:rFonts w:hint="eastAsia" w:ascii="微软雅黑" w:hAnsi="微软雅黑" w:eastAsia="微软雅黑" w:cs="微软雅黑"/>
          <w:color w:val="auto"/>
          <w:spacing w:val="11"/>
          <w:sz w:val="24"/>
          <w:szCs w:val="24"/>
        </w:rPr>
        <w:t xml:space="preserve"> </w:t>
      </w:r>
      <w:r>
        <w:rPr>
          <w:rFonts w:hint="eastAsia" w:ascii="微软雅黑" w:hAnsi="微软雅黑" w:eastAsia="微软雅黑" w:cs="微软雅黑"/>
          <w:color w:val="auto"/>
          <w:spacing w:val="11"/>
          <w:sz w:val="24"/>
          <w:szCs w:val="24"/>
          <w14:textOutline w14:w="3797" w14:cap="sq" w14:cmpd="sng">
            <w14:solidFill>
              <w14:srgbClr w14:val="000000"/>
            </w14:solidFill>
            <w14:prstDash w14:val="solid"/>
            <w14:bevel/>
          </w14:textOutline>
        </w:rPr>
        <w:t>给发包</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0"/>
          <w:sz w:val="24"/>
          <w:szCs w:val="24"/>
          <w14:textOutline w14:w="3797" w14:cap="sq" w14:cmpd="sng">
            <w14:solidFill>
              <w14:srgbClr w14:val="000000"/>
            </w14:solidFill>
            <w14:prstDash w14:val="solid"/>
            <w14:bevel/>
          </w14:textOutline>
        </w:rPr>
        <w:t>人</w:t>
      </w:r>
      <w:r>
        <w:rPr>
          <w:rFonts w:hint="eastAsia" w:ascii="微软雅黑" w:hAnsi="微软雅黑" w:eastAsia="微软雅黑" w:cs="微软雅黑"/>
          <w:color w:val="auto"/>
          <w:spacing w:val="7"/>
          <w:sz w:val="24"/>
          <w:szCs w:val="24"/>
          <w14:textOutline w14:w="3797" w14:cap="sq" w14:cmpd="sng">
            <w14:solidFill>
              <w14:srgbClr w14:val="000000"/>
            </w14:solidFill>
            <w14:prstDash w14:val="solid"/>
            <w14:bevel/>
          </w14:textOutline>
        </w:rPr>
        <w:t>支付违约金。</w:t>
      </w:r>
    </w:p>
    <w:p>
      <w:pPr>
        <w:rPr>
          <w:rFonts w:hint="eastAsia" w:ascii="微软雅黑" w:hAnsi="微软雅黑" w:eastAsia="微软雅黑" w:cs="微软雅黑"/>
          <w:color w:val="auto"/>
          <w:sz w:val="24"/>
          <w:szCs w:val="24"/>
        </w:rPr>
        <w:sectPr>
          <w:footerReference r:id="rId5" w:type="default"/>
          <w:pgSz w:w="11906" w:h="16839"/>
          <w:pgMar w:top="1440" w:right="1080" w:bottom="1440" w:left="1080" w:header="0" w:footer="408" w:gutter="0"/>
          <w:pgNumType w:fmt="decimal"/>
          <w:cols w:space="720" w:num="1"/>
        </w:sectPr>
      </w:pPr>
    </w:p>
    <w:p>
      <w:pPr>
        <w:pStyle w:val="27"/>
        <w:rPr>
          <w:rFonts w:ascii="微软雅黑" w:hAnsi="微软雅黑" w:eastAsia="微软雅黑" w:cs="微软雅黑"/>
          <w:color w:val="auto"/>
        </w:rPr>
      </w:pPr>
    </w:p>
    <w:p>
      <w:pPr>
        <w:keepNext w:val="0"/>
        <w:keepLines w:val="0"/>
        <w:pageBreakBefore w:val="0"/>
        <w:widowControl w:val="0"/>
        <w:kinsoku/>
        <w:wordWrap/>
        <w:overflowPunct/>
        <w:topLinePunct w:val="0"/>
        <w:autoSpaceDE/>
        <w:autoSpaceDN/>
        <w:bidi w:val="0"/>
        <w:adjustRightInd/>
        <w:snapToGrid/>
        <w:spacing w:before="65" w:line="400" w:lineRule="exact"/>
        <w:ind w:left="31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3</w:t>
      </w:r>
      <w:r>
        <w:rPr>
          <w:rFonts w:hint="eastAsia" w:ascii="微软雅黑" w:hAnsi="微软雅黑" w:eastAsia="微软雅黑" w:cs="微软雅黑"/>
          <w:color w:val="auto"/>
          <w:spacing w:val="4"/>
          <w:sz w:val="24"/>
          <w:szCs w:val="24"/>
        </w:rPr>
        <w:t>.2.2 主要项目管理人员简历表</w:t>
      </w:r>
    </w:p>
    <w:p>
      <w:pPr>
        <w:keepNext w:val="0"/>
        <w:keepLines w:val="0"/>
        <w:pageBreakBefore w:val="0"/>
        <w:widowControl w:val="0"/>
        <w:kinsoku/>
        <w:wordWrap/>
        <w:overflowPunct/>
        <w:topLinePunct w:val="0"/>
        <w:autoSpaceDE/>
        <w:autoSpaceDN/>
        <w:bidi w:val="0"/>
        <w:adjustRightInd/>
        <w:snapToGrid/>
        <w:spacing w:before="172" w:line="400" w:lineRule="exact"/>
        <w:ind w:left="307" w:right="245" w:firstLine="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4"/>
          <w:sz w:val="24"/>
          <w:szCs w:val="24"/>
        </w:rPr>
        <w:t>主要项</w:t>
      </w:r>
      <w:r>
        <w:rPr>
          <w:rFonts w:hint="eastAsia" w:ascii="微软雅黑" w:hAnsi="微软雅黑" w:eastAsia="微软雅黑" w:cs="微软雅黑"/>
          <w:color w:val="auto"/>
          <w:spacing w:val="7"/>
          <w:sz w:val="24"/>
          <w:szCs w:val="24"/>
        </w:rPr>
        <w:t>目管理人员指项目副经理、技术负责人、专职安全生产管理人员等岗位人员。应附注</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2"/>
          <w:sz w:val="24"/>
          <w:szCs w:val="24"/>
        </w:rPr>
        <w:t>册资格证书 (</w:t>
      </w:r>
      <w:r>
        <w:rPr>
          <w:rFonts w:hint="eastAsia" w:ascii="微软雅黑" w:hAnsi="微软雅黑" w:eastAsia="微软雅黑" w:cs="微软雅黑"/>
          <w:color w:val="auto"/>
          <w:spacing w:val="1"/>
          <w:sz w:val="24"/>
          <w:szCs w:val="24"/>
        </w:rPr>
        <w:t>如有) 、身份证、职称证 (如有) 、学历证、社保 (近 3 个月) 等资料复印件，</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8"/>
          <w:sz w:val="24"/>
          <w:szCs w:val="24"/>
        </w:rPr>
        <w:t>专</w:t>
      </w:r>
      <w:r>
        <w:rPr>
          <w:rFonts w:hint="eastAsia" w:ascii="微软雅黑" w:hAnsi="微软雅黑" w:eastAsia="微软雅黑" w:cs="微软雅黑"/>
          <w:color w:val="auto"/>
          <w:spacing w:val="14"/>
          <w:sz w:val="24"/>
          <w:szCs w:val="24"/>
        </w:rPr>
        <w:t>职</w:t>
      </w:r>
      <w:r>
        <w:rPr>
          <w:rFonts w:hint="eastAsia" w:ascii="微软雅黑" w:hAnsi="微软雅黑" w:eastAsia="微软雅黑" w:cs="微软雅黑"/>
          <w:color w:val="auto"/>
          <w:spacing w:val="9"/>
          <w:sz w:val="24"/>
          <w:szCs w:val="24"/>
        </w:rPr>
        <w:t>安全生产管理人员应附安全生产考核合格证书，主要业绩须附合同协议书。</w:t>
      </w:r>
    </w:p>
    <w:tbl>
      <w:tblPr>
        <w:tblStyle w:val="92"/>
        <w:tblW w:w="89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788"/>
        <w:gridCol w:w="3418"/>
        <w:gridCol w:w="1260"/>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jc w:val="center"/>
        </w:trPr>
        <w:tc>
          <w:tcPr>
            <w:tcW w:w="8904" w:type="dxa"/>
            <w:gridSpan w:val="5"/>
            <w:vAlign w:val="top"/>
          </w:tcPr>
          <w:p>
            <w:pPr>
              <w:keepNext w:val="0"/>
              <w:keepLines w:val="0"/>
              <w:pageBreakBefore w:val="0"/>
              <w:widowControl w:val="0"/>
              <w:kinsoku/>
              <w:wordWrap/>
              <w:overflowPunct/>
              <w:topLinePunct w:val="0"/>
              <w:autoSpaceDE/>
              <w:autoSpaceDN/>
              <w:bidi w:val="0"/>
              <w:adjustRightInd/>
              <w:snapToGrid/>
              <w:spacing w:before="190" w:line="400" w:lineRule="exact"/>
              <w:ind w:left="13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2"/>
                <w:sz w:val="24"/>
                <w:szCs w:val="24"/>
              </w:rPr>
              <w:t>岗位</w:t>
            </w:r>
            <w:r>
              <w:rPr>
                <w:rFonts w:hint="eastAsia" w:ascii="微软雅黑" w:hAnsi="微软雅黑" w:eastAsia="微软雅黑" w:cs="微软雅黑"/>
                <w:color w:val="auto"/>
                <w:spacing w:val="1"/>
                <w:sz w:val="24"/>
                <w:szCs w:val="24"/>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926" w:type="dxa"/>
            <w:gridSpan w:val="2"/>
            <w:vAlign w:val="top"/>
          </w:tcPr>
          <w:p>
            <w:pPr>
              <w:keepNext w:val="0"/>
              <w:keepLines w:val="0"/>
              <w:pageBreakBefore w:val="0"/>
              <w:widowControl w:val="0"/>
              <w:kinsoku/>
              <w:wordWrap/>
              <w:overflowPunct/>
              <w:topLinePunct w:val="0"/>
              <w:autoSpaceDE/>
              <w:autoSpaceDN/>
              <w:bidi w:val="0"/>
              <w:adjustRightInd/>
              <w:snapToGrid/>
              <w:spacing w:before="186" w:line="400" w:lineRule="exact"/>
              <w:ind w:left="11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姓</w:t>
            </w:r>
            <w:r>
              <w:rPr>
                <w:rFonts w:hint="eastAsia" w:ascii="微软雅黑" w:hAnsi="微软雅黑" w:eastAsia="微软雅黑" w:cs="微软雅黑"/>
                <w:color w:val="auto"/>
                <w:spacing w:val="4"/>
                <w:sz w:val="24"/>
                <w:szCs w:val="24"/>
              </w:rPr>
              <w:t>名</w:t>
            </w:r>
          </w:p>
        </w:tc>
        <w:tc>
          <w:tcPr>
            <w:tcW w:w="341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c>
          <w:tcPr>
            <w:tcW w:w="1260" w:type="dxa"/>
            <w:vAlign w:val="top"/>
          </w:tcPr>
          <w:p>
            <w:pPr>
              <w:keepNext w:val="0"/>
              <w:keepLines w:val="0"/>
              <w:pageBreakBefore w:val="0"/>
              <w:widowControl w:val="0"/>
              <w:kinsoku/>
              <w:wordWrap/>
              <w:overflowPunct/>
              <w:topLinePunct w:val="0"/>
              <w:autoSpaceDE/>
              <w:autoSpaceDN/>
              <w:bidi w:val="0"/>
              <w:adjustRightInd/>
              <w:snapToGrid/>
              <w:spacing w:before="186" w:line="400" w:lineRule="exact"/>
              <w:ind w:left="11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年龄</w:t>
            </w:r>
          </w:p>
        </w:tc>
        <w:tc>
          <w:tcPr>
            <w:tcW w:w="23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pPr>
              <w:keepNext w:val="0"/>
              <w:keepLines w:val="0"/>
              <w:pageBreakBefore w:val="0"/>
              <w:widowControl w:val="0"/>
              <w:kinsoku/>
              <w:wordWrap/>
              <w:overflowPunct/>
              <w:topLinePunct w:val="0"/>
              <w:autoSpaceDE/>
              <w:autoSpaceDN/>
              <w:bidi w:val="0"/>
              <w:adjustRightInd/>
              <w:snapToGrid/>
              <w:spacing w:before="175" w:line="400" w:lineRule="exact"/>
              <w:ind w:left="11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性</w:t>
            </w:r>
            <w:r>
              <w:rPr>
                <w:rFonts w:hint="eastAsia" w:ascii="微软雅黑" w:hAnsi="微软雅黑" w:eastAsia="微软雅黑" w:cs="微软雅黑"/>
                <w:color w:val="auto"/>
                <w:spacing w:val="4"/>
                <w:sz w:val="24"/>
                <w:szCs w:val="24"/>
              </w:rPr>
              <w:t>别</w:t>
            </w:r>
          </w:p>
        </w:tc>
        <w:tc>
          <w:tcPr>
            <w:tcW w:w="341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c>
          <w:tcPr>
            <w:tcW w:w="1260" w:type="dxa"/>
            <w:vAlign w:val="top"/>
          </w:tcPr>
          <w:p>
            <w:pPr>
              <w:keepNext w:val="0"/>
              <w:keepLines w:val="0"/>
              <w:pageBreakBefore w:val="0"/>
              <w:widowControl w:val="0"/>
              <w:kinsoku/>
              <w:wordWrap/>
              <w:overflowPunct/>
              <w:topLinePunct w:val="0"/>
              <w:autoSpaceDE/>
              <w:autoSpaceDN/>
              <w:bidi w:val="0"/>
              <w:adjustRightInd/>
              <w:snapToGrid/>
              <w:spacing w:before="175" w:line="400" w:lineRule="exact"/>
              <w:ind w:left="11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毕</w:t>
            </w:r>
            <w:r>
              <w:rPr>
                <w:rFonts w:hint="eastAsia" w:ascii="微软雅黑" w:hAnsi="微软雅黑" w:eastAsia="微软雅黑" w:cs="微软雅黑"/>
                <w:color w:val="auto"/>
                <w:spacing w:val="6"/>
                <w:sz w:val="24"/>
                <w:szCs w:val="24"/>
              </w:rPr>
              <w:t>业学校</w:t>
            </w:r>
          </w:p>
        </w:tc>
        <w:tc>
          <w:tcPr>
            <w:tcW w:w="23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pPr>
              <w:keepNext w:val="0"/>
              <w:keepLines w:val="0"/>
              <w:pageBreakBefore w:val="0"/>
              <w:widowControl w:val="0"/>
              <w:kinsoku/>
              <w:wordWrap/>
              <w:overflowPunct/>
              <w:topLinePunct w:val="0"/>
              <w:autoSpaceDE/>
              <w:autoSpaceDN/>
              <w:bidi w:val="0"/>
              <w:adjustRightInd/>
              <w:snapToGrid/>
              <w:spacing w:before="173" w:line="400" w:lineRule="exact"/>
              <w:ind w:left="11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学</w:t>
            </w:r>
            <w:r>
              <w:rPr>
                <w:rFonts w:hint="eastAsia" w:ascii="微软雅黑" w:hAnsi="微软雅黑" w:eastAsia="微软雅黑" w:cs="微软雅黑"/>
                <w:color w:val="auto"/>
                <w:spacing w:val="7"/>
                <w:sz w:val="24"/>
                <w:szCs w:val="24"/>
              </w:rPr>
              <w:t>历和专业</w:t>
            </w:r>
          </w:p>
        </w:tc>
        <w:tc>
          <w:tcPr>
            <w:tcW w:w="341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c>
          <w:tcPr>
            <w:tcW w:w="1260" w:type="dxa"/>
            <w:vAlign w:val="top"/>
          </w:tcPr>
          <w:p>
            <w:pPr>
              <w:keepNext w:val="0"/>
              <w:keepLines w:val="0"/>
              <w:pageBreakBefore w:val="0"/>
              <w:widowControl w:val="0"/>
              <w:kinsoku/>
              <w:wordWrap/>
              <w:overflowPunct/>
              <w:topLinePunct w:val="0"/>
              <w:autoSpaceDE/>
              <w:autoSpaceDN/>
              <w:bidi w:val="0"/>
              <w:adjustRightInd/>
              <w:snapToGrid/>
              <w:spacing w:before="173" w:line="400" w:lineRule="exact"/>
              <w:ind w:left="11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毕</w:t>
            </w:r>
            <w:r>
              <w:rPr>
                <w:rFonts w:hint="eastAsia" w:ascii="微软雅黑" w:hAnsi="微软雅黑" w:eastAsia="微软雅黑" w:cs="微软雅黑"/>
                <w:color w:val="auto"/>
                <w:spacing w:val="6"/>
                <w:sz w:val="24"/>
                <w:szCs w:val="24"/>
              </w:rPr>
              <w:t>业时间</w:t>
            </w:r>
          </w:p>
        </w:tc>
        <w:tc>
          <w:tcPr>
            <w:tcW w:w="23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pPr>
              <w:keepNext w:val="0"/>
              <w:keepLines w:val="0"/>
              <w:pageBreakBefore w:val="0"/>
              <w:widowControl w:val="0"/>
              <w:kinsoku/>
              <w:wordWrap/>
              <w:overflowPunct/>
              <w:topLinePunct w:val="0"/>
              <w:autoSpaceDE/>
              <w:autoSpaceDN/>
              <w:bidi w:val="0"/>
              <w:adjustRightInd/>
              <w:snapToGrid/>
              <w:spacing w:before="173" w:line="400" w:lineRule="exact"/>
              <w:ind w:left="11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拥</w:t>
            </w:r>
            <w:r>
              <w:rPr>
                <w:rFonts w:hint="eastAsia" w:ascii="微软雅黑" w:hAnsi="微软雅黑" w:eastAsia="微软雅黑" w:cs="微软雅黑"/>
                <w:color w:val="auto"/>
                <w:spacing w:val="8"/>
                <w:sz w:val="24"/>
                <w:szCs w:val="24"/>
              </w:rPr>
              <w:t>有的执业资格</w:t>
            </w:r>
          </w:p>
        </w:tc>
        <w:tc>
          <w:tcPr>
            <w:tcW w:w="341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c>
          <w:tcPr>
            <w:tcW w:w="1260" w:type="dxa"/>
            <w:vAlign w:val="top"/>
          </w:tcPr>
          <w:p>
            <w:pPr>
              <w:keepNext w:val="0"/>
              <w:keepLines w:val="0"/>
              <w:pageBreakBefore w:val="0"/>
              <w:widowControl w:val="0"/>
              <w:kinsoku/>
              <w:wordWrap/>
              <w:overflowPunct/>
              <w:topLinePunct w:val="0"/>
              <w:autoSpaceDE/>
              <w:autoSpaceDN/>
              <w:bidi w:val="0"/>
              <w:adjustRightInd/>
              <w:snapToGrid/>
              <w:spacing w:before="173" w:line="400" w:lineRule="exact"/>
              <w:ind w:left="11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专业职称</w:t>
            </w:r>
          </w:p>
        </w:tc>
        <w:tc>
          <w:tcPr>
            <w:tcW w:w="23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pPr>
              <w:keepNext w:val="0"/>
              <w:keepLines w:val="0"/>
              <w:pageBreakBefore w:val="0"/>
              <w:widowControl w:val="0"/>
              <w:kinsoku/>
              <w:wordWrap/>
              <w:overflowPunct/>
              <w:topLinePunct w:val="0"/>
              <w:autoSpaceDE/>
              <w:autoSpaceDN/>
              <w:bidi w:val="0"/>
              <w:adjustRightInd/>
              <w:snapToGrid/>
              <w:spacing w:before="185" w:line="400" w:lineRule="exact"/>
              <w:ind w:left="11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执</w:t>
            </w:r>
            <w:r>
              <w:rPr>
                <w:rFonts w:hint="eastAsia" w:ascii="微软雅黑" w:hAnsi="微软雅黑" w:eastAsia="微软雅黑" w:cs="微软雅黑"/>
                <w:color w:val="auto"/>
                <w:spacing w:val="8"/>
                <w:sz w:val="24"/>
                <w:szCs w:val="24"/>
              </w:rPr>
              <w:t>业资格证书编号</w:t>
            </w:r>
          </w:p>
        </w:tc>
        <w:tc>
          <w:tcPr>
            <w:tcW w:w="3418"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c>
          <w:tcPr>
            <w:tcW w:w="1260" w:type="dxa"/>
            <w:vAlign w:val="top"/>
          </w:tcPr>
          <w:p>
            <w:pPr>
              <w:keepNext w:val="0"/>
              <w:keepLines w:val="0"/>
              <w:pageBreakBefore w:val="0"/>
              <w:widowControl w:val="0"/>
              <w:kinsoku/>
              <w:wordWrap/>
              <w:overflowPunct/>
              <w:topLinePunct w:val="0"/>
              <w:autoSpaceDE/>
              <w:autoSpaceDN/>
              <w:bidi w:val="0"/>
              <w:adjustRightInd/>
              <w:snapToGrid/>
              <w:spacing w:before="186" w:line="400" w:lineRule="exact"/>
              <w:ind w:left="11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工</w:t>
            </w:r>
            <w:r>
              <w:rPr>
                <w:rFonts w:hint="eastAsia" w:ascii="微软雅黑" w:hAnsi="微软雅黑" w:eastAsia="微软雅黑" w:cs="微软雅黑"/>
                <w:color w:val="auto"/>
                <w:spacing w:val="6"/>
                <w:sz w:val="24"/>
                <w:szCs w:val="24"/>
              </w:rPr>
              <w:t>作年限</w:t>
            </w:r>
          </w:p>
        </w:tc>
        <w:tc>
          <w:tcPr>
            <w:tcW w:w="23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8" w:hRule="atLeast"/>
          <w:jc w:val="center"/>
        </w:trPr>
        <w:tc>
          <w:tcPr>
            <w:tcW w:w="1138" w:type="dxa"/>
            <w:vAlign w:val="top"/>
          </w:tcPr>
          <w:p>
            <w:pPr>
              <w:keepNext w:val="0"/>
              <w:keepLines w:val="0"/>
              <w:pageBreakBefore w:val="0"/>
              <w:widowControl w:val="0"/>
              <w:kinsoku/>
              <w:wordWrap/>
              <w:overflowPunct/>
              <w:topLinePunct w:val="0"/>
              <w:autoSpaceDE/>
              <w:autoSpaceDN/>
              <w:bidi w:val="0"/>
              <w:adjustRightInd/>
              <w:snapToGrid/>
              <w:spacing w:before="283" w:line="400" w:lineRule="exact"/>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主要工作业绩及担任的主要工作</w:t>
            </w:r>
          </w:p>
        </w:tc>
        <w:tc>
          <w:tcPr>
            <w:tcW w:w="7766"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bl>
    <w:p>
      <w:pPr>
        <w:rPr>
          <w:rFonts w:ascii="Arial"/>
          <w:color w:val="auto"/>
          <w:sz w:val="21"/>
        </w:rPr>
      </w:pPr>
    </w:p>
    <w:p>
      <w:pPr>
        <w:rPr>
          <w:color w:val="auto"/>
        </w:rPr>
        <w:sectPr>
          <w:footerReference r:id="rId6" w:type="default"/>
          <w:pgSz w:w="11906" w:h="16839"/>
          <w:pgMar w:top="1440" w:right="1080" w:bottom="1440" w:left="1080" w:header="0" w:footer="408"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before="74" w:line="440" w:lineRule="exact"/>
        <w:ind w:left="3432"/>
        <w:textAlignment w:val="auto"/>
        <w:outlineLvl w:val="1"/>
        <w:rPr>
          <w:rFonts w:hint="eastAsia" w:ascii="微软雅黑" w:hAnsi="微软雅黑" w:eastAsia="微软雅黑" w:cs="微软雅黑"/>
          <w:color w:val="auto"/>
          <w:sz w:val="24"/>
          <w:szCs w:val="24"/>
        </w:rPr>
      </w:pPr>
      <w:bookmarkStart w:id="652" w:name="_Toc10704"/>
      <w:bookmarkStart w:id="653" w:name="_Toc18432"/>
      <w:bookmarkStart w:id="654" w:name="_Toc3341"/>
      <w:r>
        <w:rPr>
          <w:rFonts w:hint="eastAsia" w:ascii="微软雅黑" w:hAnsi="微软雅黑" w:eastAsia="微软雅黑" w:cs="微软雅黑"/>
          <w:bCs/>
          <w:color w:val="auto"/>
          <w:sz w:val="24"/>
          <w:szCs w:val="24"/>
          <w:lang w:val="en-US" w:eastAsia="zh-CN"/>
        </w:rPr>
        <w:t>4</w:t>
      </w:r>
      <w:r>
        <w:rPr>
          <w:rFonts w:hint="eastAsia" w:ascii="微软雅黑" w:hAnsi="微软雅黑" w:eastAsia="微软雅黑" w:cs="微软雅黑"/>
          <w:bCs/>
          <w:color w:val="auto"/>
          <w:sz w:val="24"/>
          <w:szCs w:val="24"/>
        </w:rPr>
        <w:t>.</w:t>
      </w:r>
      <w:r>
        <w:rPr>
          <w:rFonts w:hint="eastAsia" w:ascii="微软雅黑" w:hAnsi="微软雅黑" w:eastAsia="微软雅黑" w:cs="微软雅黑"/>
          <w:color w:val="auto"/>
          <w:spacing w:val="9"/>
          <w:position w:val="1"/>
          <w:sz w:val="24"/>
          <w:szCs w:val="24"/>
          <w14:textOutline w14:w="4356" w14:cap="sq" w14:cmpd="sng">
            <w14:solidFill>
              <w14:srgbClr w14:val="000000"/>
            </w14:solidFill>
            <w14:prstDash w14:val="solid"/>
            <w14:bevel/>
          </w14:textOutline>
        </w:rPr>
        <w:t>资格审查资</w:t>
      </w:r>
      <w:r>
        <w:rPr>
          <w:rFonts w:hint="eastAsia" w:ascii="微软雅黑" w:hAnsi="微软雅黑" w:eastAsia="微软雅黑" w:cs="微软雅黑"/>
          <w:color w:val="auto"/>
          <w:spacing w:val="8"/>
          <w:position w:val="1"/>
          <w:sz w:val="24"/>
          <w:szCs w:val="24"/>
          <w14:textOutline w14:w="4356" w14:cap="sq" w14:cmpd="sng">
            <w14:solidFill>
              <w14:srgbClr w14:val="000000"/>
            </w14:solidFill>
            <w14:prstDash w14:val="solid"/>
            <w14:bevel/>
          </w14:textOutline>
        </w:rPr>
        <w:t>料</w:t>
      </w:r>
      <w:bookmarkEnd w:id="652"/>
      <w:bookmarkEnd w:id="653"/>
      <w:bookmarkEnd w:id="654"/>
    </w:p>
    <w:p>
      <w:pPr>
        <w:keepNext w:val="0"/>
        <w:keepLines w:val="0"/>
        <w:pageBreakBefore w:val="0"/>
        <w:widowControl w:val="0"/>
        <w:kinsoku/>
        <w:wordWrap/>
        <w:overflowPunct/>
        <w:topLinePunct w:val="0"/>
        <w:autoSpaceDE/>
        <w:autoSpaceDN/>
        <w:bidi w:val="0"/>
        <w:adjustRightInd/>
        <w:snapToGrid/>
        <w:spacing w:before="274" w:line="440" w:lineRule="exact"/>
        <w:ind w:left="17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4</w:t>
      </w:r>
      <w:r>
        <w:rPr>
          <w:rFonts w:hint="eastAsia" w:ascii="微软雅黑" w:hAnsi="微软雅黑" w:eastAsia="微软雅黑" w:cs="微软雅黑"/>
          <w:color w:val="auto"/>
          <w:spacing w:val="3"/>
          <w:sz w:val="24"/>
          <w:szCs w:val="24"/>
        </w:rPr>
        <w:t>.1 投标人基本情况表</w:t>
      </w:r>
    </w:p>
    <w:tbl>
      <w:tblPr>
        <w:tblStyle w:val="92"/>
        <w:tblW w:w="98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5"/>
        <w:gridCol w:w="1023"/>
        <w:gridCol w:w="1166"/>
        <w:gridCol w:w="1134"/>
        <w:gridCol w:w="324"/>
        <w:gridCol w:w="228"/>
        <w:gridCol w:w="1423"/>
        <w:gridCol w:w="294"/>
        <w:gridCol w:w="810"/>
        <w:gridCol w:w="16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1"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84" w:line="440" w:lineRule="exact"/>
              <w:ind w:left="29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投</w:t>
            </w:r>
            <w:r>
              <w:rPr>
                <w:rFonts w:hint="eastAsia" w:ascii="微软雅黑" w:hAnsi="微软雅黑" w:eastAsia="微软雅黑" w:cs="微软雅黑"/>
                <w:color w:val="auto"/>
                <w:spacing w:val="7"/>
                <w:sz w:val="24"/>
                <w:szCs w:val="24"/>
              </w:rPr>
              <w:t>标人名称</w:t>
            </w:r>
          </w:p>
        </w:tc>
        <w:tc>
          <w:tcPr>
            <w:tcW w:w="8034" w:type="dxa"/>
            <w:gridSpan w:val="9"/>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79" w:line="440" w:lineRule="exact"/>
              <w:ind w:left="40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注</w:t>
            </w:r>
            <w:r>
              <w:rPr>
                <w:rFonts w:hint="eastAsia" w:ascii="微软雅黑" w:hAnsi="微软雅黑" w:eastAsia="微软雅黑" w:cs="微软雅黑"/>
                <w:color w:val="auto"/>
                <w:spacing w:val="7"/>
                <w:sz w:val="24"/>
                <w:szCs w:val="24"/>
              </w:rPr>
              <w:t>册地址</w:t>
            </w:r>
          </w:p>
        </w:tc>
        <w:tc>
          <w:tcPr>
            <w:tcW w:w="3875" w:type="dxa"/>
            <w:gridSpan w:val="5"/>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423" w:type="dxa"/>
            <w:vAlign w:val="top"/>
          </w:tcPr>
          <w:p>
            <w:pPr>
              <w:keepNext w:val="0"/>
              <w:keepLines w:val="0"/>
              <w:pageBreakBefore w:val="0"/>
              <w:widowControl w:val="0"/>
              <w:kinsoku/>
              <w:wordWrap/>
              <w:overflowPunct/>
              <w:topLinePunct w:val="0"/>
              <w:autoSpaceDE/>
              <w:autoSpaceDN/>
              <w:bidi w:val="0"/>
              <w:adjustRightInd/>
              <w:snapToGrid/>
              <w:spacing w:before="179" w:line="440" w:lineRule="exact"/>
              <w:ind w:left="22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邮</w:t>
            </w:r>
            <w:r>
              <w:rPr>
                <w:rFonts w:hint="eastAsia" w:ascii="微软雅黑" w:hAnsi="微软雅黑" w:eastAsia="微软雅黑" w:cs="微软雅黑"/>
                <w:color w:val="auto"/>
                <w:spacing w:val="3"/>
                <w:sz w:val="24"/>
                <w:szCs w:val="24"/>
              </w:rPr>
              <w:t>政编码</w:t>
            </w:r>
          </w:p>
        </w:tc>
        <w:tc>
          <w:tcPr>
            <w:tcW w:w="2736"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865"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before="65" w:line="440" w:lineRule="exact"/>
              <w:ind w:left="40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联系方式</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179" w:line="440" w:lineRule="exact"/>
              <w:ind w:left="13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联</w:t>
            </w:r>
            <w:r>
              <w:rPr>
                <w:rFonts w:hint="eastAsia" w:ascii="微软雅黑" w:hAnsi="微软雅黑" w:eastAsia="微软雅黑" w:cs="微软雅黑"/>
                <w:color w:val="auto"/>
                <w:spacing w:val="6"/>
                <w:sz w:val="24"/>
                <w:szCs w:val="24"/>
              </w:rPr>
              <w:t>系人</w:t>
            </w:r>
          </w:p>
        </w:tc>
        <w:tc>
          <w:tcPr>
            <w:tcW w:w="2852" w:type="dxa"/>
            <w:gridSpan w:val="4"/>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423" w:type="dxa"/>
            <w:vAlign w:val="top"/>
          </w:tcPr>
          <w:p>
            <w:pPr>
              <w:keepNext w:val="0"/>
              <w:keepLines w:val="0"/>
              <w:pageBreakBefore w:val="0"/>
              <w:widowControl w:val="0"/>
              <w:kinsoku/>
              <w:wordWrap/>
              <w:overflowPunct/>
              <w:topLinePunct w:val="0"/>
              <w:autoSpaceDE/>
              <w:autoSpaceDN/>
              <w:bidi w:val="0"/>
              <w:adjustRightInd/>
              <w:snapToGrid/>
              <w:spacing w:before="179" w:line="440" w:lineRule="exact"/>
              <w:ind w:left="33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rPr>
              <w:t>电  话</w:t>
            </w:r>
          </w:p>
        </w:tc>
        <w:tc>
          <w:tcPr>
            <w:tcW w:w="2736"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865"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180" w:line="440" w:lineRule="exact"/>
              <w:ind w:left="13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传  真</w:t>
            </w:r>
          </w:p>
        </w:tc>
        <w:tc>
          <w:tcPr>
            <w:tcW w:w="2852" w:type="dxa"/>
            <w:gridSpan w:val="4"/>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423" w:type="dxa"/>
            <w:vAlign w:val="top"/>
          </w:tcPr>
          <w:p>
            <w:pPr>
              <w:keepNext w:val="0"/>
              <w:keepLines w:val="0"/>
              <w:pageBreakBefore w:val="0"/>
              <w:widowControl w:val="0"/>
              <w:kinsoku/>
              <w:wordWrap/>
              <w:overflowPunct/>
              <w:topLinePunct w:val="0"/>
              <w:autoSpaceDE/>
              <w:autoSpaceDN/>
              <w:bidi w:val="0"/>
              <w:adjustRightInd/>
              <w:snapToGrid/>
              <w:spacing w:before="181" w:line="440" w:lineRule="exact"/>
              <w:ind w:left="33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
                <w:sz w:val="24"/>
                <w:szCs w:val="24"/>
              </w:rPr>
              <w:t>网  址</w:t>
            </w:r>
          </w:p>
        </w:tc>
        <w:tc>
          <w:tcPr>
            <w:tcW w:w="2736"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81" w:line="440" w:lineRule="exact"/>
              <w:ind w:left="403"/>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组</w:t>
            </w:r>
            <w:r>
              <w:rPr>
                <w:rFonts w:hint="eastAsia" w:ascii="微软雅黑" w:hAnsi="微软雅黑" w:eastAsia="微软雅黑" w:cs="微软雅黑"/>
                <w:color w:val="auto"/>
                <w:spacing w:val="6"/>
                <w:sz w:val="24"/>
                <w:szCs w:val="24"/>
              </w:rPr>
              <w:t>织结构</w:t>
            </w:r>
          </w:p>
        </w:tc>
        <w:tc>
          <w:tcPr>
            <w:tcW w:w="8034" w:type="dxa"/>
            <w:gridSpan w:val="9"/>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83" w:line="440" w:lineRule="exact"/>
              <w:ind w:left="29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法定代表</w:t>
            </w:r>
            <w:r>
              <w:rPr>
                <w:rFonts w:hint="eastAsia" w:ascii="微软雅黑" w:hAnsi="微软雅黑" w:eastAsia="微软雅黑" w:cs="微软雅黑"/>
                <w:color w:val="auto"/>
                <w:spacing w:val="7"/>
                <w:sz w:val="24"/>
                <w:szCs w:val="24"/>
              </w:rPr>
              <w:t>人</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183" w:line="440" w:lineRule="exact"/>
              <w:ind w:left="24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姓</w:t>
            </w:r>
            <w:r>
              <w:rPr>
                <w:rFonts w:hint="eastAsia" w:ascii="微软雅黑" w:hAnsi="微软雅黑" w:eastAsia="微软雅黑" w:cs="微软雅黑"/>
                <w:color w:val="auto"/>
                <w:spacing w:val="4"/>
                <w:sz w:val="24"/>
                <w:szCs w:val="24"/>
              </w:rPr>
              <w:t>名</w:t>
            </w: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458" w:type="dxa"/>
            <w:gridSpan w:val="2"/>
            <w:vAlign w:val="top"/>
          </w:tcPr>
          <w:p>
            <w:pPr>
              <w:keepNext w:val="0"/>
              <w:keepLines w:val="0"/>
              <w:pageBreakBefore w:val="0"/>
              <w:widowControl w:val="0"/>
              <w:kinsoku/>
              <w:wordWrap/>
              <w:overflowPunct/>
              <w:topLinePunct w:val="0"/>
              <w:autoSpaceDE/>
              <w:autoSpaceDN/>
              <w:bidi w:val="0"/>
              <w:adjustRightInd/>
              <w:snapToGrid/>
              <w:spacing w:before="183" w:line="440" w:lineRule="exact"/>
              <w:ind w:left="22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技术职称</w:t>
            </w:r>
          </w:p>
        </w:tc>
        <w:tc>
          <w:tcPr>
            <w:tcW w:w="1945"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810" w:type="dxa"/>
            <w:vAlign w:val="top"/>
          </w:tcPr>
          <w:p>
            <w:pPr>
              <w:keepNext w:val="0"/>
              <w:keepLines w:val="0"/>
              <w:pageBreakBefore w:val="0"/>
              <w:widowControl w:val="0"/>
              <w:kinsoku/>
              <w:wordWrap/>
              <w:overflowPunct/>
              <w:topLinePunct w:val="0"/>
              <w:autoSpaceDE/>
              <w:autoSpaceDN/>
              <w:bidi w:val="0"/>
              <w:adjustRightInd/>
              <w:snapToGrid/>
              <w:spacing w:before="182" w:line="440" w:lineRule="exact"/>
              <w:ind w:left="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电</w:t>
            </w:r>
            <w:r>
              <w:rPr>
                <w:rFonts w:hint="eastAsia" w:ascii="微软雅黑" w:hAnsi="微软雅黑" w:eastAsia="微软雅黑" w:cs="微软雅黑"/>
                <w:color w:val="auto"/>
                <w:spacing w:val="-7"/>
                <w:sz w:val="24"/>
                <w:szCs w:val="24"/>
              </w:rPr>
              <w:t>话</w:t>
            </w:r>
          </w:p>
        </w:tc>
        <w:tc>
          <w:tcPr>
            <w:tcW w:w="1632"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82" w:line="440" w:lineRule="exact"/>
              <w:ind w:left="29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技术负责</w:t>
            </w:r>
            <w:r>
              <w:rPr>
                <w:rFonts w:hint="eastAsia" w:ascii="微软雅黑" w:hAnsi="微软雅黑" w:eastAsia="微软雅黑" w:cs="微软雅黑"/>
                <w:color w:val="auto"/>
                <w:spacing w:val="7"/>
                <w:sz w:val="24"/>
                <w:szCs w:val="24"/>
              </w:rPr>
              <w:t>人</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before="182" w:line="440" w:lineRule="exact"/>
              <w:ind w:left="24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姓</w:t>
            </w:r>
            <w:r>
              <w:rPr>
                <w:rFonts w:hint="eastAsia" w:ascii="微软雅黑" w:hAnsi="微软雅黑" w:eastAsia="微软雅黑" w:cs="微软雅黑"/>
                <w:color w:val="auto"/>
                <w:spacing w:val="4"/>
                <w:sz w:val="24"/>
                <w:szCs w:val="24"/>
              </w:rPr>
              <w:t>名</w:t>
            </w: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458" w:type="dxa"/>
            <w:gridSpan w:val="2"/>
            <w:vAlign w:val="top"/>
          </w:tcPr>
          <w:p>
            <w:pPr>
              <w:keepNext w:val="0"/>
              <w:keepLines w:val="0"/>
              <w:pageBreakBefore w:val="0"/>
              <w:widowControl w:val="0"/>
              <w:kinsoku/>
              <w:wordWrap/>
              <w:overflowPunct/>
              <w:topLinePunct w:val="0"/>
              <w:autoSpaceDE/>
              <w:autoSpaceDN/>
              <w:bidi w:val="0"/>
              <w:adjustRightInd/>
              <w:snapToGrid/>
              <w:spacing w:before="182" w:line="440" w:lineRule="exact"/>
              <w:ind w:left="22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技术职称</w:t>
            </w:r>
          </w:p>
        </w:tc>
        <w:tc>
          <w:tcPr>
            <w:tcW w:w="1945" w:type="dxa"/>
            <w:gridSpan w:val="3"/>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810" w:type="dxa"/>
            <w:vAlign w:val="top"/>
          </w:tcPr>
          <w:p>
            <w:pPr>
              <w:keepNext w:val="0"/>
              <w:keepLines w:val="0"/>
              <w:pageBreakBefore w:val="0"/>
              <w:widowControl w:val="0"/>
              <w:kinsoku/>
              <w:wordWrap/>
              <w:overflowPunct/>
              <w:topLinePunct w:val="0"/>
              <w:autoSpaceDE/>
              <w:autoSpaceDN/>
              <w:bidi w:val="0"/>
              <w:adjustRightInd/>
              <w:snapToGrid/>
              <w:spacing w:before="181" w:line="440" w:lineRule="exact"/>
              <w:ind w:left="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电</w:t>
            </w:r>
            <w:r>
              <w:rPr>
                <w:rFonts w:hint="eastAsia" w:ascii="微软雅黑" w:hAnsi="微软雅黑" w:eastAsia="微软雅黑" w:cs="微软雅黑"/>
                <w:color w:val="auto"/>
                <w:spacing w:val="-7"/>
                <w:sz w:val="24"/>
                <w:szCs w:val="24"/>
              </w:rPr>
              <w:t>话</w:t>
            </w:r>
          </w:p>
        </w:tc>
        <w:tc>
          <w:tcPr>
            <w:tcW w:w="1632"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09" w:line="440" w:lineRule="exact"/>
              <w:ind w:left="40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成立时</w:t>
            </w:r>
            <w:r>
              <w:rPr>
                <w:rFonts w:hint="eastAsia" w:ascii="微软雅黑" w:hAnsi="微软雅黑" w:eastAsia="微软雅黑" w:cs="微软雅黑"/>
                <w:color w:val="auto"/>
                <w:spacing w:val="6"/>
                <w:sz w:val="24"/>
                <w:szCs w:val="24"/>
              </w:rPr>
              <w:t>间</w:t>
            </w:r>
          </w:p>
        </w:tc>
        <w:tc>
          <w:tcPr>
            <w:tcW w:w="2189"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5845" w:type="dxa"/>
            <w:gridSpan w:val="7"/>
            <w:vAlign w:val="top"/>
          </w:tcPr>
          <w:p>
            <w:pPr>
              <w:keepNext w:val="0"/>
              <w:keepLines w:val="0"/>
              <w:pageBreakBefore w:val="0"/>
              <w:widowControl w:val="0"/>
              <w:kinsoku/>
              <w:wordWrap/>
              <w:overflowPunct/>
              <w:topLinePunct w:val="0"/>
              <w:autoSpaceDE/>
              <w:autoSpaceDN/>
              <w:bidi w:val="0"/>
              <w:adjustRightInd/>
              <w:snapToGrid/>
              <w:spacing w:before="109" w:line="440" w:lineRule="exact"/>
              <w:ind w:left="193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员</w:t>
            </w:r>
            <w:r>
              <w:rPr>
                <w:rFonts w:hint="eastAsia" w:ascii="微软雅黑" w:hAnsi="微软雅黑" w:eastAsia="微软雅黑" w:cs="微软雅黑"/>
                <w:color w:val="auto"/>
                <w:spacing w:val="5"/>
                <w:sz w:val="24"/>
                <w:szCs w:val="24"/>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26" w:line="440" w:lineRule="exact"/>
              <w:ind w:left="193"/>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企</w:t>
            </w:r>
            <w:r>
              <w:rPr>
                <w:rFonts w:hint="eastAsia" w:ascii="微软雅黑" w:hAnsi="微软雅黑" w:eastAsia="微软雅黑" w:cs="微软雅黑"/>
                <w:color w:val="auto"/>
                <w:spacing w:val="7"/>
                <w:sz w:val="24"/>
                <w:szCs w:val="24"/>
              </w:rPr>
              <w:t>业资质等级</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34"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before="65" w:line="440" w:lineRule="exact"/>
              <w:ind w:left="29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其中</w:t>
            </w:r>
          </w:p>
        </w:tc>
        <w:tc>
          <w:tcPr>
            <w:tcW w:w="2269" w:type="dxa"/>
            <w:gridSpan w:val="4"/>
            <w:vAlign w:val="top"/>
          </w:tcPr>
          <w:p>
            <w:pPr>
              <w:keepNext w:val="0"/>
              <w:keepLines w:val="0"/>
              <w:pageBreakBefore w:val="0"/>
              <w:widowControl w:val="0"/>
              <w:kinsoku/>
              <w:wordWrap/>
              <w:overflowPunct/>
              <w:topLinePunct w:val="0"/>
              <w:autoSpaceDE/>
              <w:autoSpaceDN/>
              <w:bidi w:val="0"/>
              <w:adjustRightInd/>
              <w:snapToGrid/>
              <w:spacing w:before="126" w:line="440" w:lineRule="exact"/>
              <w:ind w:left="58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目经理</w:t>
            </w:r>
          </w:p>
        </w:tc>
        <w:tc>
          <w:tcPr>
            <w:tcW w:w="2442"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18" w:line="440" w:lineRule="exact"/>
              <w:ind w:left="30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营业执照</w:t>
            </w:r>
            <w:r>
              <w:rPr>
                <w:rFonts w:hint="eastAsia" w:ascii="微软雅黑" w:hAnsi="微软雅黑" w:eastAsia="微软雅黑" w:cs="微软雅黑"/>
                <w:color w:val="auto"/>
                <w:spacing w:val="6"/>
                <w:sz w:val="24"/>
                <w:szCs w:val="24"/>
              </w:rPr>
              <w:t>号</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3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2269" w:type="dxa"/>
            <w:gridSpan w:val="4"/>
            <w:vAlign w:val="top"/>
          </w:tcPr>
          <w:p>
            <w:pPr>
              <w:keepNext w:val="0"/>
              <w:keepLines w:val="0"/>
              <w:pageBreakBefore w:val="0"/>
              <w:widowControl w:val="0"/>
              <w:kinsoku/>
              <w:wordWrap/>
              <w:overflowPunct/>
              <w:topLinePunct w:val="0"/>
              <w:autoSpaceDE/>
              <w:autoSpaceDN/>
              <w:bidi w:val="0"/>
              <w:adjustRightInd/>
              <w:snapToGrid/>
              <w:spacing w:before="118" w:line="440" w:lineRule="exact"/>
              <w:ind w:left="373"/>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高</w:t>
            </w:r>
            <w:r>
              <w:rPr>
                <w:rFonts w:hint="eastAsia" w:ascii="微软雅黑" w:hAnsi="微软雅黑" w:eastAsia="微软雅黑" w:cs="微软雅黑"/>
                <w:color w:val="auto"/>
                <w:spacing w:val="7"/>
                <w:sz w:val="24"/>
                <w:szCs w:val="24"/>
              </w:rPr>
              <w:t>级职称人员</w:t>
            </w:r>
          </w:p>
        </w:tc>
        <w:tc>
          <w:tcPr>
            <w:tcW w:w="2442"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04" w:line="440" w:lineRule="exact"/>
              <w:ind w:left="40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注</w:t>
            </w:r>
            <w:r>
              <w:rPr>
                <w:rFonts w:hint="eastAsia" w:ascii="微软雅黑" w:hAnsi="微软雅黑" w:eastAsia="微软雅黑" w:cs="微软雅黑"/>
                <w:color w:val="auto"/>
                <w:spacing w:val="7"/>
                <w:sz w:val="24"/>
                <w:szCs w:val="24"/>
              </w:rPr>
              <w:t>册资金</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3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2269" w:type="dxa"/>
            <w:gridSpan w:val="4"/>
            <w:vAlign w:val="top"/>
          </w:tcPr>
          <w:p>
            <w:pPr>
              <w:keepNext w:val="0"/>
              <w:keepLines w:val="0"/>
              <w:pageBreakBefore w:val="0"/>
              <w:widowControl w:val="0"/>
              <w:kinsoku/>
              <w:wordWrap/>
              <w:overflowPunct/>
              <w:topLinePunct w:val="0"/>
              <w:autoSpaceDE/>
              <w:autoSpaceDN/>
              <w:bidi w:val="0"/>
              <w:adjustRightInd/>
              <w:snapToGrid/>
              <w:spacing w:before="104" w:line="440" w:lineRule="exact"/>
              <w:ind w:left="38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中级职称人</w:t>
            </w:r>
            <w:r>
              <w:rPr>
                <w:rFonts w:hint="eastAsia" w:ascii="微软雅黑" w:hAnsi="微软雅黑" w:eastAsia="微软雅黑" w:cs="微软雅黑"/>
                <w:color w:val="auto"/>
                <w:spacing w:val="4"/>
                <w:sz w:val="24"/>
                <w:szCs w:val="24"/>
              </w:rPr>
              <w:t>员</w:t>
            </w:r>
          </w:p>
        </w:tc>
        <w:tc>
          <w:tcPr>
            <w:tcW w:w="2442"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27" w:line="440" w:lineRule="exact"/>
              <w:ind w:left="40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开户银行</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34"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2269" w:type="dxa"/>
            <w:gridSpan w:val="4"/>
            <w:vAlign w:val="top"/>
          </w:tcPr>
          <w:p>
            <w:pPr>
              <w:keepNext w:val="0"/>
              <w:keepLines w:val="0"/>
              <w:pageBreakBefore w:val="0"/>
              <w:widowControl w:val="0"/>
              <w:kinsoku/>
              <w:wordWrap/>
              <w:overflowPunct/>
              <w:topLinePunct w:val="0"/>
              <w:autoSpaceDE/>
              <w:autoSpaceDN/>
              <w:bidi w:val="0"/>
              <w:adjustRightInd/>
              <w:snapToGrid/>
              <w:spacing w:before="126" w:line="440" w:lineRule="exact"/>
              <w:ind w:left="36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初</w:t>
            </w:r>
            <w:r>
              <w:rPr>
                <w:rFonts w:hint="eastAsia" w:ascii="微软雅黑" w:hAnsi="微软雅黑" w:eastAsia="微软雅黑" w:cs="微软雅黑"/>
                <w:color w:val="auto"/>
                <w:spacing w:val="8"/>
                <w:sz w:val="24"/>
                <w:szCs w:val="24"/>
              </w:rPr>
              <w:t>级职称人员</w:t>
            </w:r>
          </w:p>
        </w:tc>
        <w:tc>
          <w:tcPr>
            <w:tcW w:w="2442"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01" w:line="440" w:lineRule="exact"/>
              <w:ind w:left="613"/>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账号</w:t>
            </w:r>
          </w:p>
        </w:tc>
        <w:tc>
          <w:tcPr>
            <w:tcW w:w="1023"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66"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1134"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c>
          <w:tcPr>
            <w:tcW w:w="2269" w:type="dxa"/>
            <w:gridSpan w:val="4"/>
            <w:vAlign w:val="top"/>
          </w:tcPr>
          <w:p>
            <w:pPr>
              <w:keepNext w:val="0"/>
              <w:keepLines w:val="0"/>
              <w:pageBreakBefore w:val="0"/>
              <w:widowControl w:val="0"/>
              <w:kinsoku/>
              <w:wordWrap/>
              <w:overflowPunct/>
              <w:topLinePunct w:val="0"/>
              <w:autoSpaceDE/>
              <w:autoSpaceDN/>
              <w:bidi w:val="0"/>
              <w:adjustRightInd/>
              <w:snapToGrid/>
              <w:spacing w:before="101" w:line="440" w:lineRule="exact"/>
              <w:ind w:left="68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技</w:t>
            </w:r>
            <w:r>
              <w:rPr>
                <w:rFonts w:hint="eastAsia" w:ascii="微软雅黑" w:hAnsi="微软雅黑" w:eastAsia="微软雅黑" w:cs="微软雅黑"/>
                <w:color w:val="auto"/>
                <w:spacing w:val="5"/>
                <w:sz w:val="24"/>
                <w:szCs w:val="24"/>
              </w:rPr>
              <w:t xml:space="preserve">  工</w:t>
            </w:r>
          </w:p>
        </w:tc>
        <w:tc>
          <w:tcPr>
            <w:tcW w:w="2442" w:type="dxa"/>
            <w:gridSpan w:val="2"/>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p>
            <w:pPr>
              <w:keepNext w:val="0"/>
              <w:keepLines w:val="0"/>
              <w:pageBreakBefore w:val="0"/>
              <w:widowControl w:val="0"/>
              <w:kinsoku/>
              <w:wordWrap/>
              <w:overflowPunct/>
              <w:topLinePunct w:val="0"/>
              <w:autoSpaceDE/>
              <w:autoSpaceDN/>
              <w:bidi w:val="0"/>
              <w:adjustRightInd/>
              <w:snapToGrid/>
              <w:spacing w:before="65" w:line="440" w:lineRule="exact"/>
              <w:ind w:left="40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经营范</w:t>
            </w:r>
            <w:r>
              <w:rPr>
                <w:rFonts w:hint="eastAsia" w:ascii="微软雅黑" w:hAnsi="微软雅黑" w:eastAsia="微软雅黑" w:cs="微软雅黑"/>
                <w:color w:val="auto"/>
                <w:spacing w:val="6"/>
                <w:sz w:val="24"/>
                <w:szCs w:val="24"/>
              </w:rPr>
              <w:t>围</w:t>
            </w:r>
          </w:p>
        </w:tc>
        <w:tc>
          <w:tcPr>
            <w:tcW w:w="8034" w:type="dxa"/>
            <w:gridSpan w:val="9"/>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865" w:type="dxa"/>
            <w:vAlign w:val="top"/>
          </w:tcPr>
          <w:p>
            <w:pPr>
              <w:keepNext w:val="0"/>
              <w:keepLines w:val="0"/>
              <w:pageBreakBefore w:val="0"/>
              <w:widowControl w:val="0"/>
              <w:kinsoku/>
              <w:wordWrap/>
              <w:overflowPunct/>
              <w:topLinePunct w:val="0"/>
              <w:autoSpaceDE/>
              <w:autoSpaceDN/>
              <w:bidi w:val="0"/>
              <w:adjustRightInd/>
              <w:snapToGrid/>
              <w:spacing w:before="182" w:line="440" w:lineRule="exact"/>
              <w:ind w:left="61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备</w:t>
            </w:r>
            <w:r>
              <w:rPr>
                <w:rFonts w:hint="eastAsia" w:ascii="微软雅黑" w:hAnsi="微软雅黑" w:eastAsia="微软雅黑" w:cs="微软雅黑"/>
                <w:color w:val="auto"/>
                <w:spacing w:val="3"/>
                <w:sz w:val="24"/>
                <w:szCs w:val="24"/>
              </w:rPr>
              <w:t>注</w:t>
            </w:r>
          </w:p>
        </w:tc>
        <w:tc>
          <w:tcPr>
            <w:tcW w:w="8034" w:type="dxa"/>
            <w:gridSpan w:val="9"/>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rPr>
            </w:pPr>
          </w:p>
        </w:tc>
      </w:tr>
    </w:tbl>
    <w:p>
      <w:pPr>
        <w:pStyle w:val="17"/>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rPr>
      </w:pPr>
    </w:p>
    <w:p>
      <w:pPr>
        <w:pStyle w:val="17"/>
        <w:keepNext w:val="0"/>
        <w:keepLines w:val="0"/>
        <w:pageBreakBefore w:val="0"/>
        <w:widowControl w:val="0"/>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p>
    <w:p>
      <w:pPr>
        <w:pStyle w:val="17"/>
        <w:keepNext w:val="0"/>
        <w:keepLines w:val="0"/>
        <w:pageBreakBefore w:val="0"/>
        <w:widowControl w:val="0"/>
        <w:tabs>
          <w:tab w:val="left" w:pos="537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w:t>
      </w:r>
    </w:p>
    <w:p>
      <w:pPr>
        <w:rPr>
          <w:rFonts w:hint="eastAsia"/>
          <w:color w:val="auto"/>
        </w:rPr>
      </w:pPr>
    </w:p>
    <w:p>
      <w:pPr>
        <w:rPr>
          <w:rFonts w:hint="eastAsia"/>
          <w:color w:val="auto"/>
        </w:rPr>
      </w:pPr>
    </w:p>
    <w:p>
      <w:pPr>
        <w:rPr>
          <w:rFonts w:hint="eastAsia"/>
          <w:color w:val="auto"/>
        </w:rPr>
      </w:pP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before="65" w:line="400" w:lineRule="exact"/>
        <w:ind w:left="12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4.2 近年完成的类似项目情况</w:t>
      </w:r>
      <w:r>
        <w:rPr>
          <w:rFonts w:hint="eastAsia" w:ascii="微软雅黑" w:hAnsi="微软雅黑" w:eastAsia="微软雅黑" w:cs="微软雅黑"/>
          <w:color w:val="auto"/>
          <w:spacing w:val="2"/>
          <w:sz w:val="24"/>
          <w:szCs w:val="24"/>
        </w:rPr>
        <w:t>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bl>
      <w:tblPr>
        <w:tblStyle w:val="92"/>
        <w:tblW w:w="98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8"/>
        <w:gridCol w:w="7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73" w:line="400" w:lineRule="exact"/>
              <w:ind w:left="8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目名称</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8" w:line="400" w:lineRule="exact"/>
              <w:ind w:left="69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项</w:t>
            </w:r>
            <w:r>
              <w:rPr>
                <w:rFonts w:hint="eastAsia" w:ascii="微软雅黑" w:hAnsi="微软雅黑" w:eastAsia="微软雅黑" w:cs="微软雅黑"/>
                <w:color w:val="auto"/>
                <w:spacing w:val="7"/>
                <w:sz w:val="24"/>
                <w:szCs w:val="24"/>
              </w:rPr>
              <w:t>目所在地</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69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发</w:t>
            </w:r>
            <w:r>
              <w:rPr>
                <w:rFonts w:hint="eastAsia" w:ascii="微软雅黑" w:hAnsi="微软雅黑" w:eastAsia="微软雅黑" w:cs="微软雅黑"/>
                <w:color w:val="auto"/>
                <w:spacing w:val="7"/>
                <w:sz w:val="24"/>
                <w:szCs w:val="24"/>
              </w:rPr>
              <w:t>包人名称</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8" w:line="400" w:lineRule="exact"/>
              <w:ind w:left="69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发</w:t>
            </w:r>
            <w:r>
              <w:rPr>
                <w:rFonts w:hint="eastAsia" w:ascii="微软雅黑" w:hAnsi="微软雅黑" w:eastAsia="微软雅黑" w:cs="微软雅黑"/>
                <w:color w:val="auto"/>
                <w:spacing w:val="7"/>
                <w:sz w:val="24"/>
                <w:szCs w:val="24"/>
              </w:rPr>
              <w:t>包人地址</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70" w:line="400" w:lineRule="exact"/>
              <w:ind w:left="2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发</w:t>
            </w:r>
            <w:r>
              <w:rPr>
                <w:rFonts w:hint="eastAsia" w:ascii="微软雅黑" w:hAnsi="微软雅黑" w:eastAsia="微软雅黑" w:cs="微软雅黑"/>
                <w:color w:val="auto"/>
                <w:spacing w:val="8"/>
                <w:sz w:val="24"/>
                <w:szCs w:val="24"/>
              </w:rPr>
              <w:t>包人联系人及电话</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79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合同价格</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79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开工日期</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8" w:line="400" w:lineRule="exact"/>
              <w:ind w:left="79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竣工日期</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70" w:line="400" w:lineRule="exact"/>
              <w:ind w:left="69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承担的工作</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79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工</w:t>
            </w:r>
            <w:r>
              <w:rPr>
                <w:rFonts w:hint="eastAsia" w:ascii="微软雅黑" w:hAnsi="微软雅黑" w:eastAsia="微软雅黑" w:cs="微软雅黑"/>
                <w:color w:val="auto"/>
                <w:spacing w:val="6"/>
                <w:sz w:val="24"/>
                <w:szCs w:val="24"/>
              </w:rPr>
              <w:t>程质量</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8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目经理</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69" w:line="400" w:lineRule="exact"/>
              <w:ind w:left="69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技术负责</w:t>
            </w:r>
            <w:r>
              <w:rPr>
                <w:rFonts w:hint="eastAsia" w:ascii="微软雅黑" w:hAnsi="微软雅黑" w:eastAsia="微软雅黑" w:cs="微软雅黑"/>
                <w:color w:val="auto"/>
                <w:spacing w:val="7"/>
                <w:sz w:val="24"/>
                <w:szCs w:val="24"/>
              </w:rPr>
              <w:t>人</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71" w:line="400" w:lineRule="exact"/>
              <w:ind w:left="274"/>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4"/>
                <w:sz w:val="24"/>
                <w:szCs w:val="24"/>
              </w:rPr>
              <w:t>总</w:t>
            </w:r>
            <w:r>
              <w:rPr>
                <w:rFonts w:hint="eastAsia" w:ascii="微软雅黑" w:hAnsi="微软雅黑" w:eastAsia="微软雅黑" w:cs="微软雅黑"/>
                <w:color w:val="auto"/>
                <w:spacing w:val="8"/>
                <w:sz w:val="24"/>
                <w:szCs w:val="24"/>
              </w:rPr>
              <w:t>监理工程师及电话</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目描述</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2808" w:type="dxa"/>
            <w:vAlign w:val="top"/>
          </w:tcPr>
          <w:p>
            <w:pPr>
              <w:keepNext w:val="0"/>
              <w:keepLines w:val="0"/>
              <w:pageBreakBefore w:val="0"/>
              <w:widowControl w:val="0"/>
              <w:kinsoku/>
              <w:wordWrap/>
              <w:overflowPunct/>
              <w:topLinePunct w:val="0"/>
              <w:autoSpaceDE/>
              <w:autoSpaceDN/>
              <w:bidi w:val="0"/>
              <w:adjustRightInd/>
              <w:snapToGrid/>
              <w:spacing w:before="172" w:line="400" w:lineRule="exact"/>
              <w:ind w:left="101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备</w:t>
            </w:r>
            <w:r>
              <w:rPr>
                <w:rFonts w:hint="eastAsia" w:ascii="微软雅黑" w:hAnsi="微软雅黑" w:eastAsia="微软雅黑" w:cs="微软雅黑"/>
                <w:color w:val="auto"/>
                <w:spacing w:val="3"/>
                <w:sz w:val="24"/>
                <w:szCs w:val="24"/>
              </w:rPr>
              <w:t>注</w:t>
            </w:r>
          </w:p>
        </w:tc>
        <w:tc>
          <w:tcPr>
            <w:tcW w:w="7091"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rPr>
            </w:pPr>
          </w:p>
        </w:tc>
      </w:tr>
    </w:tbl>
    <w:p>
      <w:pPr>
        <w:pStyle w:val="17"/>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szCs w:val="24"/>
        </w:rPr>
      </w:pPr>
    </w:p>
    <w:p>
      <w:pPr>
        <w:pStyle w:val="17"/>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p>
    <w:p>
      <w:pPr>
        <w:pStyle w:val="17"/>
        <w:keepNext w:val="0"/>
        <w:keepLines w:val="0"/>
        <w:pageBreakBefore w:val="0"/>
        <w:widowControl w:val="0"/>
        <w:tabs>
          <w:tab w:val="left" w:pos="537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pacing w:val="8"/>
          <w:sz w:val="24"/>
          <w:szCs w:val="24"/>
        </w:rPr>
      </w:pPr>
      <w:r>
        <w:rPr>
          <w:rFonts w:hint="eastAsia" w:ascii="微软雅黑" w:hAnsi="微软雅黑" w:eastAsia="微软雅黑" w:cs="微软雅黑"/>
          <w:color w:val="auto"/>
          <w:sz w:val="24"/>
          <w:szCs w:val="24"/>
        </w:rPr>
        <w:t>供应商(公章):</w:t>
      </w:r>
    </w:p>
    <w:p>
      <w:pPr>
        <w:keepNext w:val="0"/>
        <w:keepLines w:val="0"/>
        <w:pageBreakBefore w:val="0"/>
        <w:widowControl w:val="0"/>
        <w:kinsoku/>
        <w:wordWrap/>
        <w:overflowPunct/>
        <w:topLinePunct w:val="0"/>
        <w:autoSpaceDE/>
        <w:autoSpaceDN/>
        <w:bidi w:val="0"/>
        <w:adjustRightInd/>
        <w:snapToGrid/>
        <w:spacing w:before="172" w:line="400" w:lineRule="exact"/>
        <w:ind w:left="12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备</w:t>
      </w:r>
      <w:r>
        <w:rPr>
          <w:rFonts w:hint="eastAsia" w:ascii="微软雅黑" w:hAnsi="微软雅黑" w:eastAsia="微软雅黑" w:cs="微软雅黑"/>
          <w:color w:val="auto"/>
          <w:spacing w:val="6"/>
          <w:sz w:val="24"/>
          <w:szCs w:val="24"/>
        </w:rPr>
        <w:t>注</w:t>
      </w:r>
      <w:r>
        <w:rPr>
          <w:rFonts w:hint="eastAsia" w:ascii="微软雅黑" w:hAnsi="微软雅黑" w:eastAsia="微软雅黑" w:cs="微软雅黑"/>
          <w:color w:val="auto"/>
          <w:spacing w:val="4"/>
          <w:sz w:val="24"/>
          <w:szCs w:val="24"/>
        </w:rPr>
        <w:t>：1、类似项目指</w:t>
      </w:r>
      <w:r>
        <w:rPr>
          <w:rFonts w:hint="eastAsia" w:ascii="微软雅黑" w:hAnsi="微软雅黑" w:eastAsia="微软雅黑" w:cs="微软雅黑"/>
          <w:color w:val="auto"/>
          <w:spacing w:val="4"/>
          <w:sz w:val="24"/>
          <w:szCs w:val="24"/>
          <w:u w:val="single" w:color="auto"/>
        </w:rPr>
        <w:t xml:space="preserve">   规模、使用功能相似     </w:t>
      </w:r>
      <w:r>
        <w:rPr>
          <w:rFonts w:hint="eastAsia" w:ascii="微软雅黑" w:hAnsi="微软雅黑" w:eastAsia="微软雅黑" w:cs="微软雅黑"/>
          <w:color w:val="auto"/>
          <w:spacing w:val="4"/>
          <w:sz w:val="24"/>
          <w:szCs w:val="24"/>
        </w:rPr>
        <w:t xml:space="preserve"> 工程。</w:t>
      </w:r>
    </w:p>
    <w:p>
      <w:pPr>
        <w:keepNext w:val="0"/>
        <w:keepLines w:val="0"/>
        <w:pageBreakBefore w:val="0"/>
        <w:widowControl w:val="0"/>
        <w:kinsoku/>
        <w:wordWrap/>
        <w:overflowPunct/>
        <w:topLinePunct w:val="0"/>
        <w:autoSpaceDE/>
        <w:autoSpaceDN/>
        <w:bidi w:val="0"/>
        <w:adjustRightInd/>
        <w:snapToGrid/>
        <w:spacing w:before="193" w:line="400" w:lineRule="exact"/>
        <w:ind w:left="125" w:right="119" w:firstLine="63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2、本表后附中标通知书、合同协议书、五方单位竣工验收意见表的复印件，具体</w:t>
      </w:r>
      <w:r>
        <w:rPr>
          <w:rFonts w:hint="eastAsia" w:ascii="微软雅黑" w:hAnsi="微软雅黑" w:eastAsia="微软雅黑" w:cs="微软雅黑"/>
          <w:color w:val="auto"/>
          <w:spacing w:val="9"/>
          <w:sz w:val="24"/>
          <w:szCs w:val="24"/>
        </w:rPr>
        <w:t>年</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8"/>
          <w:sz w:val="24"/>
          <w:szCs w:val="24"/>
        </w:rPr>
        <w:t>份</w:t>
      </w:r>
      <w:r>
        <w:rPr>
          <w:rFonts w:hint="eastAsia" w:ascii="微软雅黑" w:hAnsi="微软雅黑" w:eastAsia="微软雅黑" w:cs="微软雅黑"/>
          <w:color w:val="auto"/>
          <w:spacing w:val="10"/>
          <w:sz w:val="24"/>
          <w:szCs w:val="24"/>
        </w:rPr>
        <w:t>要</w:t>
      </w:r>
      <w:r>
        <w:rPr>
          <w:rFonts w:hint="eastAsia" w:ascii="微软雅黑" w:hAnsi="微软雅黑" w:eastAsia="微软雅黑" w:cs="微软雅黑"/>
          <w:color w:val="auto"/>
          <w:spacing w:val="9"/>
          <w:sz w:val="24"/>
          <w:szCs w:val="24"/>
        </w:rPr>
        <w:t>求见投标人须知前附表。每张表格只填写一个项目，并标明序号。</w:t>
      </w:r>
    </w:p>
    <w:p>
      <w:pPr>
        <w:pStyle w:val="17"/>
        <w:tabs>
          <w:tab w:val="left" w:pos="5370"/>
        </w:tabs>
        <w:spacing w:line="400" w:lineRule="exact"/>
        <w:ind w:left="1080" w:leftChars="257" w:hanging="540"/>
        <w:rPr>
          <w:rFonts w:ascii="微软雅黑" w:hAnsi="微软雅黑" w:eastAsia="微软雅黑" w:cs="微软雅黑"/>
          <w:color w:val="auto"/>
          <w:sz w:val="24"/>
          <w:szCs w:val="24"/>
          <w:u w:val="single"/>
        </w:rPr>
      </w:pPr>
    </w:p>
    <w:p>
      <w:pPr>
        <w:pStyle w:val="17"/>
        <w:spacing w:line="360" w:lineRule="exact"/>
        <w:rPr>
          <w:rFonts w:ascii="微软雅黑" w:hAnsi="微软雅黑" w:eastAsia="微软雅黑" w:cs="微软雅黑"/>
          <w:color w:val="auto"/>
          <w:sz w:val="24"/>
          <w:u w:val="single"/>
        </w:rPr>
      </w:pPr>
    </w:p>
    <w:p>
      <w:pPr>
        <w:pStyle w:val="18"/>
        <w:rPr>
          <w:rFonts w:ascii="微软雅黑" w:hAnsi="微软雅黑" w:eastAsia="微软雅黑" w:cs="微软雅黑"/>
          <w:color w:val="auto"/>
          <w:sz w:val="24"/>
          <w:u w:val="single"/>
        </w:rPr>
      </w:pPr>
    </w:p>
    <w:p>
      <w:pPr>
        <w:pStyle w:val="36"/>
        <w:rPr>
          <w:rFonts w:ascii="微软雅黑" w:hAnsi="微软雅黑" w:eastAsia="微软雅黑" w:cs="微软雅黑"/>
          <w:color w:val="auto"/>
          <w:sz w:val="24"/>
          <w:u w:val="single"/>
        </w:rPr>
      </w:pPr>
    </w:p>
    <w:p>
      <w:pPr>
        <w:rPr>
          <w:color w:val="auto"/>
        </w:rPr>
      </w:pPr>
    </w:p>
    <w:p>
      <w:pPr>
        <w:spacing w:before="65" w:line="228" w:lineRule="auto"/>
        <w:ind w:left="10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4.</w:t>
      </w:r>
      <w:r>
        <w:rPr>
          <w:rFonts w:hint="eastAsia" w:ascii="微软雅黑" w:hAnsi="微软雅黑" w:eastAsia="微软雅黑" w:cs="微软雅黑"/>
          <w:color w:val="auto"/>
          <w:spacing w:val="8"/>
          <w:sz w:val="24"/>
          <w:szCs w:val="24"/>
        </w:rPr>
        <w:t>3</w:t>
      </w:r>
      <w:r>
        <w:rPr>
          <w:rFonts w:hint="eastAsia" w:ascii="微软雅黑" w:hAnsi="微软雅黑" w:eastAsia="微软雅黑" w:cs="微软雅黑"/>
          <w:color w:val="auto"/>
          <w:spacing w:val="5"/>
          <w:sz w:val="24"/>
          <w:szCs w:val="24"/>
        </w:rPr>
        <w:t xml:space="preserve"> 正在施工的和新承接的项目情况表</w:t>
      </w:r>
    </w:p>
    <w:p>
      <w:pPr>
        <w:spacing w:line="124" w:lineRule="auto"/>
        <w:rPr>
          <w:rFonts w:hint="eastAsia" w:ascii="微软雅黑" w:hAnsi="微软雅黑" w:eastAsia="微软雅黑" w:cs="微软雅黑"/>
          <w:color w:val="auto"/>
          <w:sz w:val="24"/>
          <w:szCs w:val="24"/>
        </w:rPr>
      </w:pPr>
    </w:p>
    <w:tbl>
      <w:tblPr>
        <w:tblStyle w:val="92"/>
        <w:tblW w:w="96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0"/>
        <w:gridCol w:w="69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2750" w:type="dxa"/>
            <w:vAlign w:val="top"/>
          </w:tcPr>
          <w:p>
            <w:pPr>
              <w:spacing w:before="211" w:line="229" w:lineRule="auto"/>
              <w:ind w:left="79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目名称</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06" w:line="229" w:lineRule="auto"/>
              <w:ind w:left="6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项</w:t>
            </w:r>
            <w:r>
              <w:rPr>
                <w:rFonts w:hint="eastAsia" w:ascii="微软雅黑" w:hAnsi="微软雅黑" w:eastAsia="微软雅黑" w:cs="微软雅黑"/>
                <w:color w:val="auto"/>
                <w:spacing w:val="7"/>
                <w:sz w:val="24"/>
                <w:szCs w:val="24"/>
              </w:rPr>
              <w:t>目所在地</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2750" w:type="dxa"/>
            <w:vAlign w:val="top"/>
          </w:tcPr>
          <w:p>
            <w:pPr>
              <w:spacing w:before="208" w:line="229" w:lineRule="auto"/>
              <w:ind w:left="6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发</w:t>
            </w:r>
            <w:r>
              <w:rPr>
                <w:rFonts w:hint="eastAsia" w:ascii="微软雅黑" w:hAnsi="微软雅黑" w:eastAsia="微软雅黑" w:cs="微软雅黑"/>
                <w:color w:val="auto"/>
                <w:spacing w:val="7"/>
                <w:sz w:val="24"/>
                <w:szCs w:val="24"/>
              </w:rPr>
              <w:t>包人名称</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09" w:line="229" w:lineRule="auto"/>
              <w:ind w:left="6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发</w:t>
            </w:r>
            <w:r>
              <w:rPr>
                <w:rFonts w:hint="eastAsia" w:ascii="微软雅黑" w:hAnsi="微软雅黑" w:eastAsia="微软雅黑" w:cs="微软雅黑"/>
                <w:color w:val="auto"/>
                <w:spacing w:val="7"/>
                <w:sz w:val="24"/>
                <w:szCs w:val="24"/>
              </w:rPr>
              <w:t>包人地址</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2750" w:type="dxa"/>
            <w:vAlign w:val="top"/>
          </w:tcPr>
          <w:p>
            <w:pPr>
              <w:spacing w:before="208" w:line="229" w:lineRule="auto"/>
              <w:ind w:left="6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发</w:t>
            </w:r>
            <w:r>
              <w:rPr>
                <w:rFonts w:hint="eastAsia" w:ascii="微软雅黑" w:hAnsi="微软雅黑" w:eastAsia="微软雅黑" w:cs="微软雅黑"/>
                <w:color w:val="auto"/>
                <w:spacing w:val="7"/>
                <w:sz w:val="24"/>
                <w:szCs w:val="24"/>
              </w:rPr>
              <w:t>包人电话</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09" w:line="227" w:lineRule="auto"/>
              <w:ind w:left="68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签约合同价</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09" w:line="229" w:lineRule="auto"/>
              <w:ind w:left="79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开工日期</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2750" w:type="dxa"/>
            <w:vAlign w:val="top"/>
          </w:tcPr>
          <w:p>
            <w:pPr>
              <w:spacing w:before="208" w:line="228" w:lineRule="auto"/>
              <w:ind w:left="583"/>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计</w:t>
            </w:r>
            <w:r>
              <w:rPr>
                <w:rFonts w:hint="eastAsia" w:ascii="微软雅黑" w:hAnsi="微软雅黑" w:eastAsia="微软雅黑" w:cs="微软雅黑"/>
                <w:color w:val="auto"/>
                <w:spacing w:val="8"/>
                <w:sz w:val="24"/>
                <w:szCs w:val="24"/>
              </w:rPr>
              <w:t>划竣工日期</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11" w:line="228" w:lineRule="auto"/>
              <w:ind w:left="68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承担的工作</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11" w:line="229" w:lineRule="auto"/>
              <w:ind w:left="79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工</w:t>
            </w:r>
            <w:r>
              <w:rPr>
                <w:rFonts w:hint="eastAsia" w:ascii="微软雅黑" w:hAnsi="微软雅黑" w:eastAsia="微软雅黑" w:cs="微软雅黑"/>
                <w:color w:val="auto"/>
                <w:spacing w:val="6"/>
                <w:sz w:val="24"/>
                <w:szCs w:val="24"/>
              </w:rPr>
              <w:t>程质量</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10" w:line="229" w:lineRule="auto"/>
              <w:ind w:left="79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目经理</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2750" w:type="dxa"/>
            <w:vAlign w:val="top"/>
          </w:tcPr>
          <w:p>
            <w:pPr>
              <w:spacing w:before="210" w:line="228" w:lineRule="auto"/>
              <w:ind w:left="68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技术负责</w:t>
            </w:r>
            <w:r>
              <w:rPr>
                <w:rFonts w:hint="eastAsia" w:ascii="微软雅黑" w:hAnsi="微软雅黑" w:eastAsia="微软雅黑" w:cs="微软雅黑"/>
                <w:color w:val="auto"/>
                <w:spacing w:val="7"/>
                <w:sz w:val="24"/>
                <w:szCs w:val="24"/>
              </w:rPr>
              <w:t>人</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2750" w:type="dxa"/>
            <w:vAlign w:val="top"/>
          </w:tcPr>
          <w:p>
            <w:pPr>
              <w:spacing w:before="210" w:line="228" w:lineRule="auto"/>
              <w:ind w:left="271"/>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4"/>
                <w:sz w:val="24"/>
                <w:szCs w:val="24"/>
              </w:rPr>
              <w:t>总</w:t>
            </w:r>
            <w:r>
              <w:rPr>
                <w:rFonts w:hint="eastAsia" w:ascii="微软雅黑" w:hAnsi="微软雅黑" w:eastAsia="微软雅黑" w:cs="微软雅黑"/>
                <w:color w:val="auto"/>
                <w:spacing w:val="8"/>
                <w:sz w:val="24"/>
                <w:szCs w:val="24"/>
              </w:rPr>
              <w:t>监理工程师及电话</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2750" w:type="dxa"/>
            <w:vAlign w:val="top"/>
          </w:tcPr>
          <w:p>
            <w:pPr>
              <w:spacing w:before="65" w:line="229" w:lineRule="auto"/>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项</w:t>
            </w:r>
            <w:r>
              <w:rPr>
                <w:rFonts w:hint="eastAsia" w:ascii="微软雅黑" w:hAnsi="微软雅黑" w:eastAsia="微软雅黑" w:cs="微软雅黑"/>
                <w:color w:val="auto"/>
                <w:spacing w:val="6"/>
                <w:sz w:val="24"/>
                <w:szCs w:val="24"/>
              </w:rPr>
              <w:t>目描述</w:t>
            </w:r>
          </w:p>
        </w:tc>
        <w:tc>
          <w:tcPr>
            <w:tcW w:w="6949" w:type="dxa"/>
            <w:vAlign w:val="top"/>
          </w:tcPr>
          <w:p>
            <w:pPr>
              <w:rPr>
                <w:rFonts w:hint="eastAsia" w:ascii="微软雅黑" w:hAnsi="微软雅黑" w:eastAsia="微软雅黑" w:cs="微软雅黑"/>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2750" w:type="dxa"/>
            <w:vAlign w:val="top"/>
          </w:tcPr>
          <w:p>
            <w:pPr>
              <w:spacing w:before="211" w:line="230" w:lineRule="auto"/>
              <w:ind w:left="100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rPr>
              <w:t>备</w:t>
            </w:r>
            <w:r>
              <w:rPr>
                <w:rFonts w:hint="eastAsia" w:ascii="微软雅黑" w:hAnsi="微软雅黑" w:eastAsia="微软雅黑" w:cs="微软雅黑"/>
                <w:color w:val="auto"/>
                <w:spacing w:val="3"/>
                <w:sz w:val="24"/>
                <w:szCs w:val="24"/>
              </w:rPr>
              <w:t>注</w:t>
            </w:r>
          </w:p>
        </w:tc>
        <w:tc>
          <w:tcPr>
            <w:tcW w:w="6949" w:type="dxa"/>
            <w:vAlign w:val="top"/>
          </w:tcPr>
          <w:p>
            <w:pPr>
              <w:rPr>
                <w:rFonts w:hint="eastAsia" w:ascii="微软雅黑" w:hAnsi="微软雅黑" w:eastAsia="微软雅黑" w:cs="微软雅黑"/>
                <w:color w:val="auto"/>
                <w:sz w:val="24"/>
                <w:szCs w:val="24"/>
              </w:rPr>
            </w:pPr>
          </w:p>
        </w:tc>
      </w:tr>
    </w:tbl>
    <w:p>
      <w:pPr>
        <w:pStyle w:val="17"/>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szCs w:val="24"/>
        </w:rPr>
      </w:pPr>
    </w:p>
    <w:p>
      <w:pPr>
        <w:pStyle w:val="17"/>
        <w:keepNext w:val="0"/>
        <w:keepLines w:val="0"/>
        <w:pageBreakBefore w:val="0"/>
        <w:widowControl w:val="0"/>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p>
    <w:p>
      <w:pPr>
        <w:pStyle w:val="17"/>
        <w:keepNext w:val="0"/>
        <w:keepLines w:val="0"/>
        <w:pageBreakBefore w:val="0"/>
        <w:widowControl w:val="0"/>
        <w:tabs>
          <w:tab w:val="left" w:pos="5370"/>
        </w:tabs>
        <w:kinsoku/>
        <w:wordWrap/>
        <w:overflowPunct/>
        <w:topLinePunct w:val="0"/>
        <w:autoSpaceDE/>
        <w:autoSpaceDN/>
        <w:bidi w:val="0"/>
        <w:adjustRightInd/>
        <w:snapToGrid/>
        <w:spacing w:line="400" w:lineRule="exact"/>
        <w:ind w:left="1080" w:leftChars="257" w:hanging="540"/>
        <w:textAlignment w:val="auto"/>
        <w:rPr>
          <w:rFonts w:hint="eastAsia" w:ascii="微软雅黑" w:hAnsi="微软雅黑" w:eastAsia="微软雅黑" w:cs="微软雅黑"/>
          <w:color w:val="auto"/>
          <w:spacing w:val="8"/>
          <w:sz w:val="24"/>
          <w:szCs w:val="24"/>
        </w:rPr>
      </w:pPr>
      <w:r>
        <w:rPr>
          <w:rFonts w:hint="eastAsia" w:ascii="微软雅黑" w:hAnsi="微软雅黑" w:eastAsia="微软雅黑" w:cs="微软雅黑"/>
          <w:color w:val="auto"/>
          <w:sz w:val="24"/>
          <w:szCs w:val="24"/>
        </w:rPr>
        <w:t>供应商(公章):</w:t>
      </w:r>
    </w:p>
    <w:p>
      <w:pPr>
        <w:keepNext w:val="0"/>
        <w:keepLines w:val="0"/>
        <w:pageBreakBefore w:val="0"/>
        <w:widowControl w:val="0"/>
        <w:kinsoku/>
        <w:wordWrap/>
        <w:overflowPunct/>
        <w:topLinePunct w:val="0"/>
        <w:autoSpaceDE/>
        <w:autoSpaceDN/>
        <w:bidi w:val="0"/>
        <w:adjustRightInd/>
        <w:snapToGrid/>
        <w:spacing w:before="173" w:line="400" w:lineRule="exact"/>
        <w:ind w:left="108" w:right="102" w:firstLine="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备</w:t>
      </w:r>
      <w:r>
        <w:rPr>
          <w:rFonts w:hint="eastAsia" w:ascii="微软雅黑" w:hAnsi="微软雅黑" w:eastAsia="微软雅黑" w:cs="微软雅黑"/>
          <w:color w:val="auto"/>
          <w:spacing w:val="7"/>
          <w:sz w:val="24"/>
          <w:szCs w:val="24"/>
        </w:rPr>
        <w:t>注：本表后附中标通知书和 (或) 合同协议书复印件。每张表格只填写一个项目，并标明</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4"/>
          <w:sz w:val="24"/>
          <w:szCs w:val="24"/>
        </w:rPr>
        <w:t>序</w:t>
      </w:r>
      <w:r>
        <w:rPr>
          <w:rFonts w:hint="eastAsia" w:ascii="微软雅黑" w:hAnsi="微软雅黑" w:eastAsia="微软雅黑" w:cs="微软雅黑"/>
          <w:color w:val="auto"/>
          <w:spacing w:val="3"/>
          <w:sz w:val="24"/>
          <w:szCs w:val="24"/>
        </w:rPr>
        <w:t>号。</w:t>
      </w:r>
    </w:p>
    <w:p>
      <w:pPr>
        <w:rPr>
          <w:rFonts w:hint="eastAsia" w:ascii="微软雅黑" w:hAnsi="微软雅黑" w:eastAsia="微软雅黑" w:cs="微软雅黑"/>
          <w:color w:val="auto"/>
          <w:sz w:val="24"/>
          <w:szCs w:val="24"/>
        </w:rPr>
        <w:sectPr>
          <w:footerReference r:id="rId7" w:type="default"/>
          <w:pgSz w:w="11906" w:h="16839"/>
          <w:pgMar w:top="1440" w:right="1080" w:bottom="1440" w:left="1080" w:header="0" w:footer="408" w:gutter="0"/>
          <w:pgNumType w:fmt="decimal"/>
          <w:cols w:space="720" w:num="1"/>
        </w:sectPr>
      </w:pPr>
    </w:p>
    <w:p>
      <w:pPr>
        <w:spacing w:before="65" w:line="228" w:lineRule="auto"/>
        <w:ind w:left="19"/>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5"/>
          <w:sz w:val="24"/>
          <w:szCs w:val="24"/>
        </w:rPr>
        <w:t>4.4 近年发生的诉讼及仲裁情</w:t>
      </w:r>
      <w:r>
        <w:rPr>
          <w:rFonts w:hint="eastAsia" w:ascii="微软雅黑" w:hAnsi="微软雅黑" w:eastAsia="微软雅黑" w:cs="微软雅黑"/>
          <w:color w:val="auto"/>
          <w:spacing w:val="2"/>
          <w:sz w:val="24"/>
          <w:szCs w:val="24"/>
        </w:rPr>
        <w:t>况</w:t>
      </w:r>
      <w:r>
        <w:rPr>
          <w:rFonts w:hint="eastAsia" w:ascii="微软雅黑" w:hAnsi="微软雅黑" w:eastAsia="微软雅黑" w:cs="微软雅黑"/>
          <w:color w:val="auto"/>
          <w:spacing w:val="2"/>
          <w:sz w:val="24"/>
          <w:szCs w:val="24"/>
          <w:lang w:eastAsia="zh-CN"/>
        </w:rPr>
        <w:t>（</w:t>
      </w:r>
      <w:r>
        <w:rPr>
          <w:rFonts w:hint="eastAsia" w:ascii="微软雅黑" w:hAnsi="微软雅黑" w:eastAsia="微软雅黑" w:cs="微软雅黑"/>
          <w:color w:val="auto"/>
          <w:spacing w:val="2"/>
          <w:sz w:val="24"/>
          <w:szCs w:val="24"/>
          <w:lang w:val="en-US" w:eastAsia="zh-CN"/>
        </w:rPr>
        <w:t>格式自拟）</w:t>
      </w:r>
    </w:p>
    <w:p>
      <w:pPr>
        <w:spacing w:before="185" w:line="412" w:lineRule="auto"/>
        <w:ind w:left="651" w:hanging="62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说明：近年发生的诉讼</w:t>
      </w:r>
      <w:r>
        <w:rPr>
          <w:rFonts w:hint="eastAsia" w:ascii="微软雅黑" w:hAnsi="微软雅黑" w:eastAsia="微软雅黑" w:cs="微软雅黑"/>
          <w:color w:val="auto"/>
          <w:spacing w:val="4"/>
          <w:sz w:val="24"/>
          <w:szCs w:val="24"/>
        </w:rPr>
        <w:t>和</w:t>
      </w:r>
      <w:r>
        <w:rPr>
          <w:rFonts w:hint="eastAsia" w:ascii="微软雅黑" w:hAnsi="微软雅黑" w:eastAsia="微软雅黑" w:cs="微软雅黑"/>
          <w:color w:val="auto"/>
          <w:spacing w:val="3"/>
          <w:sz w:val="24"/>
          <w:szCs w:val="24"/>
        </w:rPr>
        <w:t>仲裁情况仅限于投标人败诉的，且与履行施工承包合同有关的案件，</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0"/>
          <w:sz w:val="24"/>
          <w:szCs w:val="24"/>
        </w:rPr>
        <w:t>不</w:t>
      </w:r>
      <w:r>
        <w:rPr>
          <w:rFonts w:hint="eastAsia" w:ascii="微软雅黑" w:hAnsi="微软雅黑" w:eastAsia="微软雅黑" w:cs="微软雅黑"/>
          <w:color w:val="auto"/>
          <w:spacing w:val="9"/>
          <w:sz w:val="24"/>
          <w:szCs w:val="24"/>
        </w:rPr>
        <w:t>包括调解结案以及未裁决的仲裁或未终审判决的诉讼。</w:t>
      </w:r>
    </w:p>
    <w:p>
      <w:pPr>
        <w:spacing w:line="270" w:lineRule="auto"/>
        <w:rPr>
          <w:rFonts w:ascii="Arial"/>
          <w:color w:val="auto"/>
          <w:sz w:val="21"/>
        </w:rPr>
      </w:pPr>
    </w:p>
    <w:p>
      <w:pPr>
        <w:spacing w:before="65" w:line="228" w:lineRule="auto"/>
        <w:ind w:left="19"/>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pacing w:val="6"/>
          <w:sz w:val="24"/>
          <w:szCs w:val="24"/>
        </w:rPr>
        <w:t>4.5</w:t>
      </w:r>
      <w:r>
        <w:rPr>
          <w:rFonts w:hint="eastAsia" w:ascii="微软雅黑" w:hAnsi="微软雅黑" w:eastAsia="微软雅黑" w:cs="微软雅黑"/>
          <w:color w:val="auto"/>
          <w:spacing w:val="3"/>
          <w:sz w:val="24"/>
          <w:szCs w:val="24"/>
        </w:rPr>
        <w:t xml:space="preserve"> 企业其他信誉情况表</w:t>
      </w:r>
      <w:r>
        <w:rPr>
          <w:rFonts w:hint="eastAsia" w:ascii="微软雅黑" w:hAnsi="微软雅黑" w:eastAsia="微软雅黑" w:cs="微软雅黑"/>
          <w:color w:val="auto"/>
          <w:spacing w:val="3"/>
          <w:sz w:val="24"/>
          <w:szCs w:val="24"/>
          <w:lang w:eastAsia="zh-CN"/>
        </w:rPr>
        <w:t>（</w:t>
      </w:r>
      <w:r>
        <w:rPr>
          <w:rFonts w:hint="eastAsia" w:ascii="微软雅黑" w:hAnsi="微软雅黑" w:eastAsia="微软雅黑" w:cs="微软雅黑"/>
          <w:color w:val="auto"/>
          <w:spacing w:val="3"/>
          <w:sz w:val="24"/>
          <w:szCs w:val="24"/>
          <w:lang w:val="en-US" w:eastAsia="zh-CN"/>
        </w:rPr>
        <w:t>格式自拟）</w:t>
      </w:r>
    </w:p>
    <w:p>
      <w:pPr>
        <w:spacing w:line="246" w:lineRule="auto"/>
        <w:rPr>
          <w:rFonts w:hint="eastAsia" w:ascii="微软雅黑" w:hAnsi="微软雅黑" w:eastAsia="微软雅黑" w:cs="微软雅黑"/>
          <w:color w:val="auto"/>
          <w:sz w:val="24"/>
          <w:szCs w:val="24"/>
        </w:rPr>
      </w:pPr>
    </w:p>
    <w:p>
      <w:pPr>
        <w:spacing w:before="65" w:line="228" w:lineRule="auto"/>
        <w:ind w:left="2288"/>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24"/>
          <w:sz w:val="24"/>
          <w:szCs w:val="24"/>
          <w14:textOutline w14:w="3797" w14:cap="sq" w14:cmpd="sng">
            <w14:solidFill>
              <w14:srgbClr w14:val="000000"/>
            </w14:solidFill>
            <w14:prstDash w14:val="solid"/>
            <w14:bevel/>
          </w14:textOutline>
        </w:rPr>
        <w:t>(</w:t>
      </w:r>
      <w:r>
        <w:rPr>
          <w:rFonts w:hint="eastAsia" w:ascii="微软雅黑" w:hAnsi="微软雅黑" w:eastAsia="微软雅黑" w:cs="微软雅黑"/>
          <w:color w:val="auto"/>
          <w:spacing w:val="14"/>
          <w:sz w:val="24"/>
          <w:szCs w:val="24"/>
          <w14:textOutline w14:w="3797" w14:cap="sq" w14:cmpd="sng">
            <w14:solidFill>
              <w14:srgbClr w14:val="000000"/>
            </w14:solidFill>
            <w14:prstDash w14:val="solid"/>
            <w14:bevel/>
          </w14:textOutline>
        </w:rPr>
        <w:t>年份要求同诉讼及仲裁情况年份要求)</w:t>
      </w:r>
    </w:p>
    <w:p>
      <w:pPr>
        <w:spacing w:line="268" w:lineRule="auto"/>
        <w:rPr>
          <w:rFonts w:hint="eastAsia" w:ascii="微软雅黑" w:hAnsi="微软雅黑" w:eastAsia="微软雅黑" w:cs="微软雅黑"/>
          <w:color w:val="auto"/>
          <w:sz w:val="24"/>
          <w:szCs w:val="24"/>
        </w:rPr>
      </w:pPr>
    </w:p>
    <w:p>
      <w:pPr>
        <w:spacing w:before="65" w:line="228" w:lineRule="auto"/>
        <w:ind w:left="3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1</w:t>
      </w:r>
      <w:r>
        <w:rPr>
          <w:rFonts w:hint="eastAsia" w:ascii="微软雅黑" w:hAnsi="微软雅黑" w:eastAsia="微软雅黑" w:cs="微软雅黑"/>
          <w:color w:val="auto"/>
          <w:spacing w:val="7"/>
          <w:sz w:val="24"/>
          <w:szCs w:val="24"/>
        </w:rPr>
        <w:t>) 近年企业不良行为记录情况</w:t>
      </w:r>
    </w:p>
    <w:p>
      <w:pPr>
        <w:spacing w:line="251" w:lineRule="auto"/>
        <w:rPr>
          <w:rFonts w:hint="eastAsia" w:ascii="微软雅黑" w:hAnsi="微软雅黑" w:eastAsia="微软雅黑" w:cs="微软雅黑"/>
          <w:color w:val="auto"/>
          <w:sz w:val="24"/>
          <w:szCs w:val="24"/>
        </w:rPr>
      </w:pPr>
    </w:p>
    <w:p>
      <w:pPr>
        <w:spacing w:before="66" w:line="228" w:lineRule="auto"/>
        <w:ind w:left="22"/>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6"/>
          <w:sz w:val="24"/>
          <w:szCs w:val="24"/>
        </w:rPr>
        <w:t>2</w:t>
      </w:r>
      <w:r>
        <w:rPr>
          <w:rFonts w:hint="eastAsia" w:ascii="微软雅黑" w:hAnsi="微软雅黑" w:eastAsia="微软雅黑" w:cs="微软雅黑"/>
          <w:color w:val="auto"/>
          <w:spacing w:val="14"/>
          <w:sz w:val="24"/>
          <w:szCs w:val="24"/>
        </w:rPr>
        <w:t>)</w:t>
      </w:r>
      <w:r>
        <w:rPr>
          <w:rFonts w:hint="eastAsia" w:ascii="微软雅黑" w:hAnsi="微软雅黑" w:eastAsia="微软雅黑" w:cs="微软雅黑"/>
          <w:color w:val="auto"/>
          <w:spacing w:val="8"/>
          <w:sz w:val="24"/>
          <w:szCs w:val="24"/>
        </w:rPr>
        <w:t xml:space="preserve"> 在施工程以及近年已竣工工程合同履行情况</w:t>
      </w:r>
    </w:p>
    <w:p>
      <w:pPr>
        <w:spacing w:line="251" w:lineRule="auto"/>
        <w:rPr>
          <w:rFonts w:hint="eastAsia" w:ascii="微软雅黑" w:hAnsi="微软雅黑" w:eastAsia="微软雅黑" w:cs="微软雅黑"/>
          <w:color w:val="auto"/>
          <w:sz w:val="24"/>
          <w:szCs w:val="24"/>
        </w:rPr>
      </w:pPr>
    </w:p>
    <w:p>
      <w:pPr>
        <w:spacing w:before="65" w:line="229" w:lineRule="auto"/>
        <w:ind w:left="2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3</w:t>
      </w:r>
      <w:r>
        <w:rPr>
          <w:rFonts w:hint="eastAsia" w:ascii="微软雅黑" w:hAnsi="微软雅黑" w:eastAsia="微软雅黑" w:cs="微软雅黑"/>
          <w:color w:val="auto"/>
          <w:spacing w:val="4"/>
          <w:sz w:val="24"/>
          <w:szCs w:val="24"/>
        </w:rPr>
        <w:t>) 其  他</w:t>
      </w:r>
    </w:p>
    <w:p>
      <w:pPr>
        <w:spacing w:line="250" w:lineRule="auto"/>
        <w:rPr>
          <w:rFonts w:hint="eastAsia" w:ascii="微软雅黑" w:hAnsi="微软雅黑" w:eastAsia="微软雅黑" w:cs="微软雅黑"/>
          <w:color w:val="auto"/>
          <w:sz w:val="24"/>
          <w:szCs w:val="24"/>
        </w:rPr>
      </w:pPr>
    </w:p>
    <w:p>
      <w:pPr>
        <w:spacing w:line="251" w:lineRule="auto"/>
        <w:rPr>
          <w:rFonts w:hint="eastAsia" w:ascii="微软雅黑" w:hAnsi="微软雅黑" w:eastAsia="微软雅黑" w:cs="微软雅黑"/>
          <w:color w:val="auto"/>
          <w:sz w:val="24"/>
          <w:szCs w:val="24"/>
        </w:rPr>
      </w:pPr>
    </w:p>
    <w:p>
      <w:pPr>
        <w:spacing w:before="66" w:line="405" w:lineRule="auto"/>
        <w:ind w:left="36" w:right="53" w:hanging="14"/>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备注：1、企业不良行为记录情况主要是近年投标人在工程建设过程中因违反有关工程建</w:t>
      </w:r>
      <w:r>
        <w:rPr>
          <w:rFonts w:hint="eastAsia" w:ascii="微软雅黑" w:hAnsi="微软雅黑" w:eastAsia="微软雅黑" w:cs="微软雅黑"/>
          <w:color w:val="auto"/>
          <w:spacing w:val="8"/>
          <w:sz w:val="24"/>
          <w:szCs w:val="24"/>
        </w:rPr>
        <w:t>设</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2"/>
          <w:sz w:val="24"/>
          <w:szCs w:val="24"/>
        </w:rPr>
        <w:t>的</w:t>
      </w:r>
      <w:r>
        <w:rPr>
          <w:rFonts w:hint="eastAsia" w:ascii="微软雅黑" w:hAnsi="微软雅黑" w:eastAsia="微软雅黑" w:cs="微软雅黑"/>
          <w:color w:val="auto"/>
          <w:spacing w:val="7"/>
          <w:sz w:val="24"/>
          <w:szCs w:val="24"/>
        </w:rPr>
        <w:t>法律、法规、规章或强制性标准和执业行为规范，经县级以上建设行政主管部门或其委托</w:t>
      </w:r>
    </w:p>
    <w:p>
      <w:pPr>
        <w:spacing w:before="1" w:line="227" w:lineRule="auto"/>
        <w:ind w:left="3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6"/>
          <w:sz w:val="24"/>
          <w:szCs w:val="24"/>
        </w:rPr>
        <w:t>的</w:t>
      </w:r>
      <w:r>
        <w:rPr>
          <w:rFonts w:hint="eastAsia" w:ascii="微软雅黑" w:hAnsi="微软雅黑" w:eastAsia="微软雅黑" w:cs="微软雅黑"/>
          <w:color w:val="auto"/>
          <w:spacing w:val="12"/>
          <w:sz w:val="24"/>
          <w:szCs w:val="24"/>
        </w:rPr>
        <w:t>执</w:t>
      </w:r>
      <w:r>
        <w:rPr>
          <w:rFonts w:hint="eastAsia" w:ascii="微软雅黑" w:hAnsi="微软雅黑" w:eastAsia="微软雅黑" w:cs="微软雅黑"/>
          <w:color w:val="auto"/>
          <w:spacing w:val="8"/>
          <w:sz w:val="24"/>
          <w:szCs w:val="24"/>
        </w:rPr>
        <w:t>法监督机构查实和行政处罚，形成的不良行为记录。</w:t>
      </w:r>
    </w:p>
    <w:p>
      <w:pPr>
        <w:spacing w:before="53" w:line="260" w:lineRule="auto"/>
        <w:ind w:left="20" w:right="53" w:firstLine="736"/>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3"/>
          <w:sz w:val="24"/>
          <w:szCs w:val="24"/>
        </w:rPr>
        <w:t>2、合同履行情况主要是投标人近年所承接工程和已竣工工程是否按合同约定的</w:t>
      </w:r>
      <w:r>
        <w:rPr>
          <w:rFonts w:hint="eastAsia" w:ascii="微软雅黑" w:hAnsi="微软雅黑" w:eastAsia="微软雅黑" w:cs="微软雅黑"/>
          <w:color w:val="auto"/>
          <w:spacing w:val="8"/>
          <w:sz w:val="24"/>
          <w:szCs w:val="24"/>
        </w:rPr>
        <w:t>工</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4"/>
          <w:sz w:val="24"/>
          <w:szCs w:val="24"/>
        </w:rPr>
        <w:t>期、质</w:t>
      </w:r>
      <w:r>
        <w:rPr>
          <w:rFonts w:hint="eastAsia" w:ascii="微软雅黑" w:hAnsi="微软雅黑" w:eastAsia="微软雅黑" w:cs="微软雅黑"/>
          <w:color w:val="auto"/>
          <w:spacing w:val="8"/>
          <w:sz w:val="24"/>
          <w:szCs w:val="24"/>
        </w:rPr>
        <w:t>量</w:t>
      </w:r>
      <w:r>
        <w:rPr>
          <w:rFonts w:hint="eastAsia" w:ascii="微软雅黑" w:hAnsi="微软雅黑" w:eastAsia="微软雅黑" w:cs="微软雅黑"/>
          <w:color w:val="auto"/>
          <w:spacing w:val="7"/>
          <w:sz w:val="24"/>
          <w:szCs w:val="24"/>
        </w:rPr>
        <w:t>、安全等履行合同义务，对未竣工工程合同履行情况还应重点说明非不可抗力解除</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pacing w:val="11"/>
          <w:sz w:val="24"/>
          <w:szCs w:val="24"/>
        </w:rPr>
        <w:t>合</w:t>
      </w:r>
      <w:r>
        <w:rPr>
          <w:rFonts w:hint="eastAsia" w:ascii="微软雅黑" w:hAnsi="微软雅黑" w:eastAsia="微软雅黑" w:cs="微软雅黑"/>
          <w:color w:val="auto"/>
          <w:spacing w:val="8"/>
          <w:sz w:val="24"/>
          <w:szCs w:val="24"/>
        </w:rPr>
        <w:t>同 (如果有)的原因等具体情况，等等。</w:t>
      </w:r>
    </w:p>
    <w:p>
      <w:pPr>
        <w:pStyle w:val="17"/>
        <w:spacing w:line="360" w:lineRule="exact"/>
        <w:ind w:left="1080" w:leftChars="257" w:hanging="540"/>
        <w:rPr>
          <w:rFonts w:ascii="微软雅黑" w:hAnsi="微软雅黑" w:eastAsia="微软雅黑" w:cs="微软雅黑"/>
          <w:color w:val="auto"/>
          <w:sz w:val="24"/>
          <w:u w:val="single"/>
        </w:rPr>
      </w:pPr>
    </w:p>
    <w:p>
      <w:pPr>
        <w:pStyle w:val="17"/>
        <w:spacing w:line="360" w:lineRule="exact"/>
        <w:ind w:left="1080" w:leftChars="257" w:hanging="540"/>
        <w:rPr>
          <w:rFonts w:ascii="微软雅黑" w:hAnsi="微软雅黑" w:eastAsia="微软雅黑" w:cs="微软雅黑"/>
          <w:color w:val="auto"/>
          <w:sz w:val="24"/>
          <w:u w:val="single"/>
        </w:rPr>
      </w:pPr>
    </w:p>
    <w:p>
      <w:pPr>
        <w:pStyle w:val="18"/>
        <w:rPr>
          <w:rFonts w:ascii="微软雅黑" w:hAnsi="微软雅黑" w:eastAsia="微软雅黑" w:cs="微软雅黑"/>
          <w:color w:val="auto"/>
          <w:sz w:val="24"/>
          <w:u w:val="single"/>
        </w:rPr>
      </w:pPr>
    </w:p>
    <w:p>
      <w:pPr>
        <w:rPr>
          <w:color w:val="auto"/>
        </w:rPr>
      </w:pPr>
    </w:p>
    <w:p>
      <w:pPr>
        <w:pStyle w:val="17"/>
        <w:snapToGrid w:val="0"/>
        <w:spacing w:line="240" w:lineRule="atLeast"/>
        <w:textAlignment w:val="baseline"/>
        <w:rPr>
          <w:rFonts w:ascii="微软雅黑" w:hAnsi="微软雅黑" w:eastAsia="微软雅黑" w:cs="微软雅黑"/>
          <w:color w:val="auto"/>
          <w:sz w:val="24"/>
          <w:szCs w:val="24"/>
        </w:rPr>
      </w:pPr>
    </w:p>
    <w:p>
      <w:pPr>
        <w:spacing w:line="240" w:lineRule="atLeast"/>
        <w:outlineLvl w:val="9"/>
        <w:rPr>
          <w:rFonts w:hint="eastAsia" w:ascii="微软雅黑" w:hAnsi="微软雅黑" w:eastAsia="微软雅黑" w:cs="微软雅黑"/>
          <w:color w:val="auto"/>
          <w:szCs w:val="21"/>
        </w:rPr>
      </w:pPr>
    </w:p>
    <w:p>
      <w:pPr>
        <w:spacing w:line="240" w:lineRule="atLeast"/>
        <w:outlineLvl w:val="9"/>
        <w:rPr>
          <w:rFonts w:hint="eastAsia" w:ascii="微软雅黑" w:hAnsi="微软雅黑" w:eastAsia="微软雅黑" w:cs="微软雅黑"/>
          <w:color w:val="auto"/>
          <w:szCs w:val="21"/>
        </w:rPr>
      </w:pPr>
    </w:p>
    <w:p>
      <w:pPr>
        <w:pStyle w:val="32"/>
        <w:keepNext w:val="0"/>
        <w:keepLines w:val="0"/>
        <w:pageBreakBefore w:val="0"/>
        <w:widowControl/>
        <w:suppressLineNumbers w:val="0"/>
        <w:kinsoku/>
        <w:wordWrap/>
        <w:overflowPunct/>
        <w:topLinePunct w:val="0"/>
        <w:autoSpaceDE/>
        <w:autoSpaceDN/>
        <w:bidi w:val="0"/>
        <w:adjustRightInd/>
        <w:snapToGrid/>
        <w:spacing w:line="410" w:lineRule="exact"/>
        <w:textAlignment w:val="auto"/>
        <w:rPr>
          <w:rFonts w:hint="eastAsia" w:ascii="微软雅黑" w:hAnsi="微软雅黑" w:eastAsia="微软雅黑" w:cs="微软雅黑"/>
          <w:i w:val="0"/>
          <w:iCs w:val="0"/>
          <w:caps w:val="0"/>
          <w:color w:val="auto"/>
          <w:spacing w:val="0"/>
          <w:sz w:val="21"/>
          <w:szCs w:val="21"/>
        </w:rPr>
      </w:pPr>
    </w:p>
    <w:p>
      <w:pPr>
        <w:spacing w:line="240" w:lineRule="atLeast"/>
        <w:outlineLvl w:val="1"/>
        <w:rPr>
          <w:rFonts w:ascii="微软雅黑" w:hAnsi="微软雅黑" w:eastAsia="微软雅黑" w:cs="微软雅黑"/>
          <w:b/>
          <w:bCs/>
          <w:color w:val="auto"/>
          <w:sz w:val="24"/>
        </w:rPr>
      </w:pPr>
      <w:bookmarkStart w:id="655" w:name="_Toc3418"/>
      <w:bookmarkStart w:id="656" w:name="_Toc30772"/>
      <w:bookmarkStart w:id="657" w:name="_Toc10205"/>
      <w:r>
        <w:rPr>
          <w:rFonts w:hint="eastAsia" w:ascii="微软雅黑" w:hAnsi="微软雅黑" w:eastAsia="微软雅黑" w:cs="微软雅黑"/>
          <w:b/>
          <w:bCs/>
          <w:color w:val="auto"/>
          <w:sz w:val="24"/>
          <w:lang w:val="en-US" w:eastAsia="zh-CN"/>
        </w:rPr>
        <w:t>5</w:t>
      </w:r>
      <w:r>
        <w:rPr>
          <w:rFonts w:hint="eastAsia" w:ascii="微软雅黑" w:hAnsi="微软雅黑" w:eastAsia="微软雅黑" w:cs="微软雅黑"/>
          <w:b/>
          <w:bCs/>
          <w:color w:val="auto"/>
          <w:sz w:val="24"/>
        </w:rPr>
        <w:t>残疾人福利性单位声明函</w:t>
      </w:r>
      <w:bookmarkEnd w:id="655"/>
      <w:bookmarkEnd w:id="656"/>
      <w:bookmarkEnd w:id="657"/>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firstLine="567"/>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本单位对上述声明的真实性负责。如有虚假，将依法承担相应责任。</w:t>
      </w:r>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left="1080" w:leftChars="257" w:hanging="540"/>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 残疾人福利性单位名称（公章）：</w:t>
      </w:r>
    </w:p>
    <w:p>
      <w:pPr>
        <w:spacing w:line="240" w:lineRule="atLeast"/>
        <w:ind w:left="1080" w:leftChars="257" w:hanging="540"/>
        <w:jc w:val="center"/>
        <w:rPr>
          <w:rFonts w:ascii="微软雅黑" w:hAnsi="微软雅黑" w:eastAsia="微软雅黑" w:cs="微软雅黑"/>
          <w:b/>
          <w:color w:val="auto"/>
          <w:kern w:val="0"/>
          <w:sz w:val="24"/>
        </w:rPr>
      </w:pPr>
      <w:r>
        <w:rPr>
          <w:rFonts w:hint="eastAsia" w:ascii="微软雅黑" w:hAnsi="微软雅黑" w:eastAsia="微软雅黑" w:cs="微软雅黑"/>
          <w:color w:val="auto"/>
          <w:kern w:val="0"/>
          <w:sz w:val="24"/>
        </w:rPr>
        <w:t xml:space="preserve">                 日  期：</w:t>
      </w:r>
    </w:p>
    <w:p>
      <w:pPr>
        <w:spacing w:line="240" w:lineRule="atLeast"/>
        <w:ind w:left="1080" w:leftChars="257" w:hanging="540"/>
        <w:jc w:val="center"/>
        <w:rPr>
          <w:rFonts w:ascii="微软雅黑" w:hAnsi="微软雅黑" w:eastAsia="微软雅黑" w:cs="微软雅黑"/>
          <w:b/>
          <w:color w:val="auto"/>
          <w:kern w:val="0"/>
          <w:sz w:val="24"/>
        </w:rPr>
      </w:pPr>
    </w:p>
    <w:p>
      <w:pPr>
        <w:widowControl/>
        <w:spacing w:before="100" w:beforeAutospacing="1" w:after="100" w:afterAutospacing="1" w:line="480" w:lineRule="exact"/>
        <w:ind w:firstLine="2730" w:firstLineChars="1300"/>
        <w:jc w:val="left"/>
        <w:rPr>
          <w:rFonts w:ascii="微软雅黑" w:hAnsi="微软雅黑" w:eastAsia="微软雅黑" w:cs="微软雅黑"/>
          <w:color w:val="auto"/>
          <w:szCs w:val="21"/>
        </w:rPr>
      </w:pPr>
    </w:p>
    <w:p>
      <w:pPr>
        <w:pStyle w:val="36"/>
        <w:rPr>
          <w:rFonts w:ascii="微软雅黑" w:hAnsi="微软雅黑" w:eastAsia="微软雅黑" w:cs="微软雅黑"/>
          <w:color w:val="auto"/>
          <w:szCs w:val="21"/>
        </w:rPr>
      </w:pPr>
    </w:p>
    <w:p>
      <w:pPr>
        <w:rPr>
          <w:rFonts w:ascii="微软雅黑" w:hAnsi="微软雅黑" w:eastAsia="微软雅黑" w:cs="微软雅黑"/>
          <w:color w:val="auto"/>
          <w:szCs w:val="21"/>
        </w:rPr>
      </w:pPr>
    </w:p>
    <w:p>
      <w:pPr>
        <w:pStyle w:val="36"/>
        <w:ind w:left="0" w:leftChars="0" w:firstLine="0" w:firstLineChars="0"/>
        <w:rPr>
          <w:color w:val="auto"/>
        </w:rPr>
      </w:pPr>
    </w:p>
    <w:p>
      <w:pPr>
        <w:rPr>
          <w:color w:val="auto"/>
        </w:rPr>
      </w:pPr>
    </w:p>
    <w:p>
      <w:pPr>
        <w:pStyle w:val="36"/>
        <w:rPr>
          <w:color w:val="auto"/>
        </w:rPr>
      </w:pPr>
    </w:p>
    <w:p>
      <w:pPr>
        <w:rPr>
          <w:color w:val="auto"/>
        </w:rPr>
      </w:pPr>
    </w:p>
    <w:p>
      <w:pPr>
        <w:pStyle w:val="36"/>
        <w:rPr>
          <w:color w:val="auto"/>
        </w:rPr>
      </w:pPr>
    </w:p>
    <w:p>
      <w:pPr>
        <w:pStyle w:val="36"/>
        <w:rPr>
          <w:color w:val="auto"/>
        </w:rPr>
      </w:pPr>
    </w:p>
    <w:p>
      <w:pPr>
        <w:spacing w:line="480" w:lineRule="exact"/>
        <w:ind w:left="1080" w:leftChars="257" w:hanging="540"/>
        <w:jc w:val="center"/>
        <w:rPr>
          <w:rFonts w:ascii="微软雅黑" w:hAnsi="微软雅黑" w:eastAsia="微软雅黑" w:cs="微软雅黑"/>
          <w:color w:val="auto"/>
          <w:szCs w:val="21"/>
        </w:rPr>
      </w:pPr>
    </w:p>
    <w:p>
      <w:pPr>
        <w:spacing w:before="0" w:line="480" w:lineRule="exact"/>
        <w:ind w:left="1080" w:leftChars="257" w:hanging="540"/>
        <w:jc w:val="left"/>
        <w:outlineLvl w:val="9"/>
        <w:rPr>
          <w:rFonts w:ascii="微软雅黑" w:hAnsi="微软雅黑" w:eastAsia="微软雅黑" w:cs="微软雅黑"/>
          <w:bCs/>
          <w:color w:val="auto"/>
          <w:kern w:val="2"/>
          <w:sz w:val="21"/>
          <w:szCs w:val="21"/>
        </w:rPr>
      </w:pPr>
    </w:p>
    <w:p>
      <w:pPr>
        <w:rPr>
          <w:rFonts w:ascii="微软雅黑" w:hAnsi="微软雅黑" w:eastAsia="微软雅黑" w:cs="微软雅黑"/>
          <w:bCs/>
          <w:color w:val="auto"/>
          <w:kern w:val="2"/>
          <w:sz w:val="21"/>
          <w:szCs w:val="21"/>
        </w:rPr>
      </w:pPr>
    </w:p>
    <w:p>
      <w:pPr>
        <w:pStyle w:val="36"/>
        <w:rPr>
          <w:rFonts w:ascii="微软雅黑" w:hAnsi="微软雅黑" w:eastAsia="微软雅黑" w:cs="微软雅黑"/>
          <w:bCs/>
          <w:color w:val="auto"/>
          <w:kern w:val="2"/>
          <w:sz w:val="21"/>
          <w:szCs w:val="21"/>
        </w:rPr>
      </w:pPr>
    </w:p>
    <w:p>
      <w:pPr>
        <w:rPr>
          <w:rFonts w:ascii="微软雅黑" w:hAnsi="微软雅黑" w:eastAsia="微软雅黑" w:cs="微软雅黑"/>
          <w:bCs/>
          <w:color w:val="auto"/>
          <w:kern w:val="2"/>
          <w:sz w:val="21"/>
          <w:szCs w:val="21"/>
        </w:rPr>
      </w:pPr>
    </w:p>
    <w:p>
      <w:pPr>
        <w:pStyle w:val="36"/>
        <w:rPr>
          <w:rFonts w:ascii="微软雅黑" w:hAnsi="微软雅黑" w:eastAsia="微软雅黑" w:cs="微软雅黑"/>
          <w:bCs/>
          <w:color w:val="auto"/>
          <w:kern w:val="2"/>
          <w:sz w:val="21"/>
          <w:szCs w:val="21"/>
        </w:rPr>
      </w:pPr>
    </w:p>
    <w:p>
      <w:pPr>
        <w:rPr>
          <w:rFonts w:ascii="微软雅黑" w:hAnsi="微软雅黑" w:eastAsia="微软雅黑" w:cs="微软雅黑"/>
          <w:bCs/>
          <w:color w:val="auto"/>
          <w:kern w:val="2"/>
          <w:sz w:val="21"/>
          <w:szCs w:val="21"/>
        </w:rPr>
      </w:pPr>
    </w:p>
    <w:p>
      <w:pPr>
        <w:pStyle w:val="36"/>
        <w:rPr>
          <w:rFonts w:ascii="微软雅黑" w:hAnsi="微软雅黑" w:eastAsia="微软雅黑" w:cs="微软雅黑"/>
          <w:bCs/>
          <w:color w:val="auto"/>
          <w:kern w:val="2"/>
          <w:sz w:val="21"/>
          <w:szCs w:val="21"/>
        </w:rPr>
      </w:pPr>
    </w:p>
    <w:p>
      <w:pPr>
        <w:rPr>
          <w:rFonts w:ascii="微软雅黑" w:hAnsi="微软雅黑" w:eastAsia="微软雅黑" w:cs="微软雅黑"/>
          <w:bCs/>
          <w:color w:val="auto"/>
          <w:kern w:val="2"/>
          <w:sz w:val="21"/>
          <w:szCs w:val="21"/>
        </w:rPr>
      </w:pPr>
    </w:p>
    <w:p>
      <w:pPr>
        <w:pStyle w:val="7"/>
        <w:spacing w:line="480" w:lineRule="exact"/>
        <w:ind w:left="0" w:leftChars="0" w:firstLine="0" w:firstLineChars="0"/>
        <w:jc w:val="both"/>
        <w:rPr>
          <w:rFonts w:ascii="微软雅黑" w:hAnsi="微软雅黑" w:eastAsia="微软雅黑" w:cs="微软雅黑"/>
          <w:color w:val="auto"/>
          <w:kern w:val="2"/>
          <w:sz w:val="21"/>
          <w:szCs w:val="21"/>
        </w:rPr>
      </w:pPr>
    </w:p>
    <w:p>
      <w:pPr>
        <w:pStyle w:val="7"/>
        <w:keepNext w:val="0"/>
        <w:keepLines w:val="0"/>
        <w:pageBreakBefore w:val="0"/>
        <w:widowControl w:val="0"/>
        <w:kinsoku/>
        <w:wordWrap/>
        <w:overflowPunct/>
        <w:topLinePunct w:val="0"/>
        <w:bidi w:val="0"/>
        <w:snapToGrid/>
        <w:spacing w:line="260" w:lineRule="exact"/>
        <w:textAlignment w:val="auto"/>
        <w:outlineLvl w:val="1"/>
        <w:rPr>
          <w:rFonts w:ascii="微软雅黑" w:hAnsi="微软雅黑" w:eastAsia="微软雅黑" w:cs="微软雅黑"/>
          <w:color w:val="auto"/>
          <w:kern w:val="2"/>
          <w:sz w:val="24"/>
          <w:szCs w:val="24"/>
        </w:rPr>
      </w:pPr>
      <w:bookmarkStart w:id="658" w:name="_Toc26168"/>
      <w:bookmarkStart w:id="659" w:name="_Toc31249"/>
      <w:bookmarkStart w:id="660" w:name="_Toc13322"/>
      <w:r>
        <w:rPr>
          <w:rFonts w:hint="eastAsia" w:ascii="微软雅黑" w:hAnsi="微软雅黑" w:eastAsia="微软雅黑" w:cs="微软雅黑"/>
          <w:b/>
          <w:bCs/>
          <w:color w:val="auto"/>
          <w:kern w:val="2"/>
          <w:sz w:val="24"/>
          <w:szCs w:val="24"/>
          <w:lang w:val="en-US" w:eastAsia="zh-CN" w:bidi="ar-SA"/>
        </w:rPr>
        <w:t>6、技术部分主要包括下列内容：</w:t>
      </w:r>
      <w:bookmarkEnd w:id="658"/>
      <w:bookmarkEnd w:id="659"/>
      <w:bookmarkEnd w:id="660"/>
    </w:p>
    <w:p>
      <w:pPr>
        <w:keepNext w:val="0"/>
        <w:keepLines w:val="0"/>
        <w:pageBreakBefore w:val="0"/>
        <w:widowControl w:val="0"/>
        <w:kinsoku/>
        <w:wordWrap/>
        <w:overflowPunct/>
        <w:topLinePunct w:val="0"/>
        <w:bidi w:val="0"/>
        <w:snapToGrid/>
        <w:spacing w:before="14" w:line="260" w:lineRule="exact"/>
        <w:ind w:left="55"/>
        <w:textAlignment w:val="auto"/>
        <w:rPr>
          <w:rFonts w:hint="eastAsia" w:ascii="微软雅黑" w:hAnsi="微软雅黑" w:eastAsia="微软雅黑" w:cs="微软雅黑"/>
          <w:color w:val="auto"/>
          <w:spacing w:val="3"/>
          <w:sz w:val="24"/>
          <w:szCs w:val="24"/>
        </w:rPr>
      </w:pPr>
    </w:p>
    <w:p>
      <w:pPr>
        <w:keepNext w:val="0"/>
        <w:keepLines w:val="0"/>
        <w:pageBreakBefore w:val="0"/>
        <w:widowControl w:val="0"/>
        <w:kinsoku/>
        <w:wordWrap/>
        <w:overflowPunct/>
        <w:topLinePunct w:val="0"/>
        <w:bidi w:val="0"/>
        <w:snapToGrid/>
        <w:spacing w:before="14" w:line="260" w:lineRule="exact"/>
        <w:ind w:left="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3"/>
          <w:sz w:val="24"/>
          <w:szCs w:val="24"/>
        </w:rPr>
        <w:t>1. 全面</w:t>
      </w:r>
      <w:r>
        <w:rPr>
          <w:rFonts w:hint="eastAsia" w:ascii="微软雅黑" w:hAnsi="微软雅黑" w:eastAsia="微软雅黑" w:cs="微软雅黑"/>
          <w:color w:val="auto"/>
          <w:spacing w:val="2"/>
          <w:sz w:val="24"/>
          <w:szCs w:val="24"/>
        </w:rPr>
        <w:t>性</w:t>
      </w:r>
    </w:p>
    <w:p>
      <w:pPr>
        <w:keepNext w:val="0"/>
        <w:keepLines w:val="0"/>
        <w:pageBreakBefore w:val="0"/>
        <w:widowControl w:val="0"/>
        <w:kinsoku/>
        <w:wordWrap/>
        <w:overflowPunct/>
        <w:topLinePunct w:val="0"/>
        <w:bidi w:val="0"/>
        <w:snapToGrid/>
        <w:spacing w:before="150" w:line="260" w:lineRule="exact"/>
        <w:ind w:left="48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1</w:t>
      </w:r>
      <w:r>
        <w:rPr>
          <w:rFonts w:hint="eastAsia" w:ascii="微软雅黑" w:hAnsi="微软雅黑" w:eastAsia="微软雅黑" w:cs="微软雅黑"/>
          <w:color w:val="auto"/>
          <w:spacing w:val="6"/>
          <w:sz w:val="24"/>
          <w:szCs w:val="24"/>
        </w:rPr>
        <w:t>.1 工程概况、施工组织方案；</w:t>
      </w:r>
    </w:p>
    <w:p>
      <w:pPr>
        <w:keepNext w:val="0"/>
        <w:keepLines w:val="0"/>
        <w:pageBreakBefore w:val="0"/>
        <w:widowControl w:val="0"/>
        <w:kinsoku/>
        <w:wordWrap/>
        <w:overflowPunct/>
        <w:topLinePunct w:val="0"/>
        <w:bidi w:val="0"/>
        <w:snapToGrid/>
        <w:spacing w:before="150" w:line="260" w:lineRule="exact"/>
        <w:ind w:left="48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1.2 施工机械设备、劳动力投入计划</w:t>
      </w:r>
      <w:r>
        <w:rPr>
          <w:rFonts w:hint="eastAsia" w:ascii="微软雅黑" w:hAnsi="微软雅黑" w:eastAsia="微软雅黑" w:cs="微软雅黑"/>
          <w:color w:val="auto"/>
          <w:spacing w:val="6"/>
          <w:sz w:val="24"/>
          <w:szCs w:val="24"/>
        </w:rPr>
        <w:t>；</w:t>
      </w:r>
    </w:p>
    <w:p>
      <w:pPr>
        <w:keepNext w:val="0"/>
        <w:keepLines w:val="0"/>
        <w:pageBreakBefore w:val="0"/>
        <w:widowControl w:val="0"/>
        <w:kinsoku/>
        <w:wordWrap/>
        <w:overflowPunct/>
        <w:topLinePunct w:val="0"/>
        <w:bidi w:val="0"/>
        <w:snapToGrid/>
        <w:spacing w:before="153" w:line="260" w:lineRule="exact"/>
        <w:ind w:left="48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1</w:t>
      </w:r>
      <w:r>
        <w:rPr>
          <w:rFonts w:hint="eastAsia" w:ascii="微软雅黑" w:hAnsi="微软雅黑" w:eastAsia="微软雅黑" w:cs="微软雅黑"/>
          <w:color w:val="auto"/>
          <w:spacing w:val="10"/>
          <w:sz w:val="24"/>
          <w:szCs w:val="24"/>
        </w:rPr>
        <w:t>.</w:t>
      </w:r>
      <w:r>
        <w:rPr>
          <w:rFonts w:hint="eastAsia" w:ascii="微软雅黑" w:hAnsi="微软雅黑" w:eastAsia="微软雅黑" w:cs="微软雅黑"/>
          <w:color w:val="auto"/>
          <w:spacing w:val="6"/>
          <w:sz w:val="24"/>
          <w:szCs w:val="24"/>
        </w:rPr>
        <w:t>3 质量、工期、投资控制方案；</w:t>
      </w:r>
    </w:p>
    <w:p>
      <w:pPr>
        <w:keepNext w:val="0"/>
        <w:keepLines w:val="0"/>
        <w:pageBreakBefore w:val="0"/>
        <w:widowControl w:val="0"/>
        <w:kinsoku/>
        <w:wordWrap/>
        <w:overflowPunct/>
        <w:topLinePunct w:val="0"/>
        <w:bidi w:val="0"/>
        <w:snapToGrid/>
        <w:spacing w:before="152" w:line="260" w:lineRule="exact"/>
        <w:ind w:left="48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1.4 文明施工措施</w:t>
      </w:r>
      <w:r>
        <w:rPr>
          <w:rFonts w:hint="eastAsia" w:ascii="微软雅黑" w:hAnsi="微软雅黑" w:eastAsia="微软雅黑" w:cs="微软雅黑"/>
          <w:color w:val="auto"/>
          <w:spacing w:val="2"/>
          <w:sz w:val="24"/>
          <w:szCs w:val="24"/>
        </w:rPr>
        <w:t>；</w:t>
      </w:r>
    </w:p>
    <w:p>
      <w:pPr>
        <w:keepNext w:val="0"/>
        <w:keepLines w:val="0"/>
        <w:pageBreakBefore w:val="0"/>
        <w:widowControl w:val="0"/>
        <w:kinsoku/>
        <w:wordWrap/>
        <w:overflowPunct/>
        <w:topLinePunct w:val="0"/>
        <w:bidi w:val="0"/>
        <w:snapToGrid/>
        <w:spacing w:before="153" w:line="260" w:lineRule="exact"/>
        <w:ind w:left="48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0"/>
          <w:sz w:val="24"/>
          <w:szCs w:val="24"/>
        </w:rPr>
        <w:t>1.</w:t>
      </w:r>
      <w:r>
        <w:rPr>
          <w:rFonts w:hint="eastAsia" w:ascii="微软雅黑" w:hAnsi="微软雅黑" w:eastAsia="微软雅黑" w:cs="微软雅黑"/>
          <w:color w:val="auto"/>
          <w:spacing w:val="9"/>
          <w:sz w:val="24"/>
          <w:szCs w:val="24"/>
        </w:rPr>
        <w:t>5</w:t>
      </w:r>
      <w:r>
        <w:rPr>
          <w:rFonts w:hint="eastAsia" w:ascii="微软雅黑" w:hAnsi="微软雅黑" w:eastAsia="微软雅黑" w:cs="微软雅黑"/>
          <w:color w:val="auto"/>
          <w:spacing w:val="5"/>
          <w:sz w:val="24"/>
          <w:szCs w:val="24"/>
        </w:rPr>
        <w:t xml:space="preserve"> 施工总进度计划 (附图) ；</w:t>
      </w:r>
    </w:p>
    <w:p>
      <w:pPr>
        <w:keepNext w:val="0"/>
        <w:keepLines w:val="0"/>
        <w:pageBreakBefore w:val="0"/>
        <w:widowControl w:val="0"/>
        <w:kinsoku/>
        <w:wordWrap/>
        <w:overflowPunct/>
        <w:topLinePunct w:val="0"/>
        <w:bidi w:val="0"/>
        <w:snapToGrid/>
        <w:spacing w:before="156" w:line="260" w:lineRule="exact"/>
        <w:ind w:left="26"/>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2</w:t>
      </w:r>
      <w:r>
        <w:rPr>
          <w:rFonts w:hint="eastAsia" w:ascii="微软雅黑" w:hAnsi="微软雅黑" w:eastAsia="微软雅黑" w:cs="微软雅黑"/>
          <w:color w:val="auto"/>
          <w:spacing w:val="5"/>
          <w:sz w:val="24"/>
          <w:szCs w:val="24"/>
        </w:rPr>
        <w:t>. 可行性</w:t>
      </w:r>
    </w:p>
    <w:p>
      <w:pPr>
        <w:keepNext w:val="0"/>
        <w:keepLines w:val="0"/>
        <w:pageBreakBefore w:val="0"/>
        <w:widowControl w:val="0"/>
        <w:kinsoku/>
        <w:wordWrap/>
        <w:overflowPunct/>
        <w:topLinePunct w:val="0"/>
        <w:bidi w:val="0"/>
        <w:snapToGrid/>
        <w:spacing w:before="149" w:line="260" w:lineRule="exact"/>
        <w:ind w:left="45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2</w:t>
      </w:r>
      <w:r>
        <w:rPr>
          <w:rFonts w:hint="eastAsia" w:ascii="微软雅黑" w:hAnsi="微软雅黑" w:eastAsia="微软雅黑" w:cs="微软雅黑"/>
          <w:color w:val="auto"/>
          <w:spacing w:val="6"/>
          <w:sz w:val="24"/>
          <w:szCs w:val="24"/>
        </w:rPr>
        <w:t>.1 施工措施及计划；</w:t>
      </w:r>
    </w:p>
    <w:p>
      <w:pPr>
        <w:keepNext w:val="0"/>
        <w:keepLines w:val="0"/>
        <w:pageBreakBefore w:val="0"/>
        <w:widowControl w:val="0"/>
        <w:kinsoku/>
        <w:wordWrap/>
        <w:overflowPunct/>
        <w:topLinePunct w:val="0"/>
        <w:bidi w:val="0"/>
        <w:snapToGrid/>
        <w:spacing w:before="152" w:line="260" w:lineRule="exact"/>
        <w:ind w:left="45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9"/>
          <w:sz w:val="24"/>
          <w:szCs w:val="24"/>
        </w:rPr>
        <w:t>2</w:t>
      </w:r>
      <w:r>
        <w:rPr>
          <w:rFonts w:hint="eastAsia" w:ascii="微软雅黑" w:hAnsi="微软雅黑" w:eastAsia="微软雅黑" w:cs="微软雅黑"/>
          <w:color w:val="auto"/>
          <w:spacing w:val="7"/>
          <w:sz w:val="24"/>
          <w:szCs w:val="24"/>
        </w:rPr>
        <w:t>.2 施工现场流水段的划分；</w:t>
      </w:r>
    </w:p>
    <w:p>
      <w:pPr>
        <w:keepNext w:val="0"/>
        <w:keepLines w:val="0"/>
        <w:pageBreakBefore w:val="0"/>
        <w:widowControl w:val="0"/>
        <w:kinsoku/>
        <w:wordWrap/>
        <w:overflowPunct/>
        <w:topLinePunct w:val="0"/>
        <w:bidi w:val="0"/>
        <w:snapToGrid/>
        <w:spacing w:before="153" w:line="260" w:lineRule="exact"/>
        <w:ind w:left="45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2</w:t>
      </w:r>
      <w:r>
        <w:rPr>
          <w:rFonts w:hint="eastAsia" w:ascii="微软雅黑" w:hAnsi="微软雅黑" w:eastAsia="微软雅黑" w:cs="微软雅黑"/>
          <w:color w:val="auto"/>
          <w:spacing w:val="9"/>
          <w:sz w:val="24"/>
          <w:szCs w:val="24"/>
        </w:rPr>
        <w:t>.</w:t>
      </w:r>
      <w:r>
        <w:rPr>
          <w:rFonts w:hint="eastAsia" w:ascii="微软雅黑" w:hAnsi="微软雅黑" w:eastAsia="微软雅黑" w:cs="微软雅黑"/>
          <w:color w:val="auto"/>
          <w:spacing w:val="6"/>
          <w:sz w:val="24"/>
          <w:szCs w:val="24"/>
        </w:rPr>
        <w:t>3 施工现场流水作业；</w:t>
      </w:r>
    </w:p>
    <w:p>
      <w:pPr>
        <w:keepNext w:val="0"/>
        <w:keepLines w:val="0"/>
        <w:pageBreakBefore w:val="0"/>
        <w:widowControl w:val="0"/>
        <w:kinsoku/>
        <w:wordWrap/>
        <w:overflowPunct/>
        <w:topLinePunct w:val="0"/>
        <w:bidi w:val="0"/>
        <w:snapToGrid/>
        <w:spacing w:before="152" w:line="260" w:lineRule="exact"/>
        <w:ind w:left="45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2</w:t>
      </w:r>
      <w:r>
        <w:rPr>
          <w:rFonts w:hint="eastAsia" w:ascii="微软雅黑" w:hAnsi="微软雅黑" w:eastAsia="微软雅黑" w:cs="微软雅黑"/>
          <w:color w:val="auto"/>
          <w:spacing w:val="9"/>
          <w:sz w:val="24"/>
          <w:szCs w:val="24"/>
        </w:rPr>
        <w:t>.</w:t>
      </w:r>
      <w:r>
        <w:rPr>
          <w:rFonts w:hint="eastAsia" w:ascii="微软雅黑" w:hAnsi="微软雅黑" w:eastAsia="微软雅黑" w:cs="微软雅黑"/>
          <w:color w:val="auto"/>
          <w:spacing w:val="6"/>
          <w:sz w:val="24"/>
          <w:szCs w:val="24"/>
        </w:rPr>
        <w:t>4 施工现场交叉作业；</w:t>
      </w:r>
    </w:p>
    <w:p>
      <w:pPr>
        <w:keepNext w:val="0"/>
        <w:keepLines w:val="0"/>
        <w:pageBreakBefore w:val="0"/>
        <w:widowControl w:val="0"/>
        <w:kinsoku/>
        <w:wordWrap/>
        <w:overflowPunct/>
        <w:topLinePunct w:val="0"/>
        <w:bidi w:val="0"/>
        <w:snapToGrid/>
        <w:spacing w:before="150" w:line="260" w:lineRule="exact"/>
        <w:ind w:left="451"/>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2"/>
          <w:sz w:val="24"/>
          <w:szCs w:val="24"/>
        </w:rPr>
        <w:t>2</w:t>
      </w:r>
      <w:r>
        <w:rPr>
          <w:rFonts w:hint="eastAsia" w:ascii="微软雅黑" w:hAnsi="微软雅黑" w:eastAsia="微软雅黑" w:cs="微软雅黑"/>
          <w:color w:val="auto"/>
          <w:spacing w:val="7"/>
          <w:sz w:val="24"/>
          <w:szCs w:val="24"/>
        </w:rPr>
        <w:t>.5 施工现场机具配置和布置；</w:t>
      </w:r>
    </w:p>
    <w:p>
      <w:pPr>
        <w:keepNext w:val="0"/>
        <w:keepLines w:val="0"/>
        <w:pageBreakBefore w:val="0"/>
        <w:widowControl w:val="0"/>
        <w:kinsoku/>
        <w:wordWrap/>
        <w:overflowPunct/>
        <w:topLinePunct w:val="0"/>
        <w:bidi w:val="0"/>
        <w:snapToGrid/>
        <w:spacing w:before="155" w:line="260" w:lineRule="exact"/>
        <w:ind w:left="3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3. 针对性</w:t>
      </w:r>
    </w:p>
    <w:p>
      <w:pPr>
        <w:keepNext w:val="0"/>
        <w:keepLines w:val="0"/>
        <w:pageBreakBefore w:val="0"/>
        <w:widowControl w:val="0"/>
        <w:kinsoku/>
        <w:wordWrap/>
        <w:overflowPunct/>
        <w:topLinePunct w:val="0"/>
        <w:bidi w:val="0"/>
        <w:snapToGrid/>
        <w:spacing w:before="149"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3.1 施工的重点和关键部位处</w:t>
      </w:r>
      <w:r>
        <w:rPr>
          <w:rFonts w:hint="eastAsia" w:ascii="微软雅黑" w:hAnsi="微软雅黑" w:eastAsia="微软雅黑" w:cs="微软雅黑"/>
          <w:color w:val="auto"/>
          <w:spacing w:val="5"/>
          <w:sz w:val="24"/>
          <w:szCs w:val="24"/>
        </w:rPr>
        <w:t>理</w:t>
      </w:r>
    </w:p>
    <w:p>
      <w:pPr>
        <w:keepNext w:val="0"/>
        <w:keepLines w:val="0"/>
        <w:pageBreakBefore w:val="0"/>
        <w:widowControl w:val="0"/>
        <w:kinsoku/>
        <w:wordWrap/>
        <w:overflowPunct/>
        <w:topLinePunct w:val="0"/>
        <w:bidi w:val="0"/>
        <w:snapToGrid/>
        <w:spacing w:before="152"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3.2 质保体系；</w:t>
      </w:r>
    </w:p>
    <w:p>
      <w:pPr>
        <w:keepNext w:val="0"/>
        <w:keepLines w:val="0"/>
        <w:pageBreakBefore w:val="0"/>
        <w:widowControl w:val="0"/>
        <w:kinsoku/>
        <w:wordWrap/>
        <w:overflowPunct/>
        <w:topLinePunct w:val="0"/>
        <w:bidi w:val="0"/>
        <w:snapToGrid/>
        <w:spacing w:before="152"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3.3 安保体系；</w:t>
      </w:r>
    </w:p>
    <w:p>
      <w:pPr>
        <w:keepNext w:val="0"/>
        <w:keepLines w:val="0"/>
        <w:pageBreakBefore w:val="0"/>
        <w:widowControl w:val="0"/>
        <w:kinsoku/>
        <w:wordWrap/>
        <w:overflowPunct/>
        <w:topLinePunct w:val="0"/>
        <w:bidi w:val="0"/>
        <w:snapToGrid/>
        <w:spacing w:before="151"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3.4 创优措施；</w:t>
      </w:r>
    </w:p>
    <w:p>
      <w:pPr>
        <w:keepNext w:val="0"/>
        <w:keepLines w:val="0"/>
        <w:pageBreakBefore w:val="0"/>
        <w:widowControl w:val="0"/>
        <w:kinsoku/>
        <w:wordWrap/>
        <w:overflowPunct/>
        <w:topLinePunct w:val="0"/>
        <w:bidi w:val="0"/>
        <w:snapToGrid/>
        <w:spacing w:before="153"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3.5 安全措施；</w:t>
      </w:r>
    </w:p>
    <w:p>
      <w:pPr>
        <w:keepNext w:val="0"/>
        <w:keepLines w:val="0"/>
        <w:pageBreakBefore w:val="0"/>
        <w:widowControl w:val="0"/>
        <w:kinsoku/>
        <w:wordWrap/>
        <w:overflowPunct/>
        <w:topLinePunct w:val="0"/>
        <w:bidi w:val="0"/>
        <w:snapToGrid/>
        <w:spacing w:before="152" w:line="260" w:lineRule="exact"/>
        <w:ind w:left="2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4. 先进性</w:t>
      </w:r>
    </w:p>
    <w:p>
      <w:pPr>
        <w:keepNext w:val="0"/>
        <w:keepLines w:val="0"/>
        <w:pageBreakBefore w:val="0"/>
        <w:widowControl w:val="0"/>
        <w:kinsoku/>
        <w:wordWrap/>
        <w:overflowPunct/>
        <w:topLinePunct w:val="0"/>
        <w:bidi w:val="0"/>
        <w:snapToGrid/>
        <w:spacing w:before="150" w:line="260" w:lineRule="exact"/>
        <w:ind w:left="44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4.1 采用的新工艺、新技术、新设备</w:t>
      </w:r>
      <w:r>
        <w:rPr>
          <w:rFonts w:hint="eastAsia" w:ascii="微软雅黑" w:hAnsi="微软雅黑" w:eastAsia="微软雅黑" w:cs="微软雅黑"/>
          <w:color w:val="auto"/>
          <w:spacing w:val="7"/>
          <w:sz w:val="24"/>
          <w:szCs w:val="24"/>
        </w:rPr>
        <w:t>；</w:t>
      </w:r>
    </w:p>
    <w:p>
      <w:pPr>
        <w:keepNext w:val="0"/>
        <w:keepLines w:val="0"/>
        <w:pageBreakBefore w:val="0"/>
        <w:widowControl w:val="0"/>
        <w:kinsoku/>
        <w:wordWrap/>
        <w:overflowPunct/>
        <w:topLinePunct w:val="0"/>
        <w:bidi w:val="0"/>
        <w:snapToGrid/>
        <w:spacing w:before="151" w:line="260" w:lineRule="exact"/>
        <w:ind w:left="44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1"/>
          <w:sz w:val="24"/>
          <w:szCs w:val="24"/>
        </w:rPr>
        <w:t>4</w:t>
      </w:r>
      <w:r>
        <w:rPr>
          <w:rFonts w:hint="eastAsia" w:ascii="微软雅黑" w:hAnsi="微软雅黑" w:eastAsia="微软雅黑" w:cs="微软雅黑"/>
          <w:color w:val="auto"/>
          <w:spacing w:val="8"/>
          <w:sz w:val="24"/>
          <w:szCs w:val="24"/>
        </w:rPr>
        <w:t>.2 在确保工程质量前提下，有降低成本、缩短工期、减轻劳动强度、提高</w:t>
      </w:r>
    </w:p>
    <w:p>
      <w:pPr>
        <w:keepNext w:val="0"/>
        <w:keepLines w:val="0"/>
        <w:pageBreakBefore w:val="0"/>
        <w:widowControl w:val="0"/>
        <w:kinsoku/>
        <w:wordWrap/>
        <w:overflowPunct/>
        <w:topLinePunct w:val="0"/>
        <w:bidi w:val="0"/>
        <w:snapToGrid/>
        <w:spacing w:before="149" w:line="260" w:lineRule="exact"/>
        <w:ind w:left="1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进度的方案；</w:t>
      </w:r>
    </w:p>
    <w:p>
      <w:pPr>
        <w:keepNext w:val="0"/>
        <w:keepLines w:val="0"/>
        <w:pageBreakBefore w:val="0"/>
        <w:widowControl w:val="0"/>
        <w:kinsoku/>
        <w:wordWrap/>
        <w:overflowPunct/>
        <w:topLinePunct w:val="0"/>
        <w:bidi w:val="0"/>
        <w:snapToGrid/>
        <w:spacing w:before="152" w:line="260" w:lineRule="exact"/>
        <w:ind w:left="449"/>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6"/>
          <w:sz w:val="24"/>
          <w:szCs w:val="24"/>
        </w:rPr>
        <w:t>4.</w:t>
      </w:r>
      <w:r>
        <w:rPr>
          <w:rFonts w:hint="eastAsia" w:ascii="微软雅黑" w:hAnsi="微软雅黑" w:eastAsia="微软雅黑" w:cs="微软雅黑"/>
          <w:color w:val="auto"/>
          <w:spacing w:val="9"/>
          <w:sz w:val="24"/>
          <w:szCs w:val="24"/>
        </w:rPr>
        <w:t>3</w:t>
      </w:r>
      <w:r>
        <w:rPr>
          <w:rFonts w:hint="eastAsia" w:ascii="微软雅黑" w:hAnsi="微软雅黑" w:eastAsia="微软雅黑" w:cs="微软雅黑"/>
          <w:color w:val="auto"/>
          <w:spacing w:val="8"/>
          <w:sz w:val="24"/>
          <w:szCs w:val="24"/>
        </w:rPr>
        <w:t xml:space="preserve"> 在执行国家强制性条文前提下体现施工的先进性措施。</w:t>
      </w:r>
    </w:p>
    <w:p>
      <w:pPr>
        <w:keepNext w:val="0"/>
        <w:keepLines w:val="0"/>
        <w:pageBreakBefore w:val="0"/>
        <w:widowControl w:val="0"/>
        <w:kinsoku/>
        <w:wordWrap/>
        <w:overflowPunct/>
        <w:topLinePunct w:val="0"/>
        <w:bidi w:val="0"/>
        <w:snapToGrid/>
        <w:spacing w:before="150"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5"/>
          <w:sz w:val="24"/>
          <w:szCs w:val="24"/>
        </w:rPr>
        <w:t>5. 强制性</w:t>
      </w:r>
    </w:p>
    <w:p>
      <w:pPr>
        <w:keepNext w:val="0"/>
        <w:keepLines w:val="0"/>
        <w:pageBreakBefore w:val="0"/>
        <w:widowControl w:val="0"/>
        <w:kinsoku/>
        <w:wordWrap/>
        <w:overflowPunct/>
        <w:topLinePunct w:val="0"/>
        <w:bidi w:val="0"/>
        <w:snapToGrid/>
        <w:spacing w:before="152" w:line="260" w:lineRule="exact"/>
        <w:ind w:left="45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5.1 防治质量通病的措施</w:t>
      </w:r>
      <w:r>
        <w:rPr>
          <w:rFonts w:hint="eastAsia" w:ascii="微软雅黑" w:hAnsi="微软雅黑" w:eastAsia="微软雅黑" w:cs="微软雅黑"/>
          <w:color w:val="auto"/>
          <w:spacing w:val="4"/>
          <w:sz w:val="24"/>
          <w:szCs w:val="24"/>
        </w:rPr>
        <w:t>；</w:t>
      </w:r>
    </w:p>
    <w:p>
      <w:pPr>
        <w:keepNext w:val="0"/>
        <w:keepLines w:val="0"/>
        <w:pageBreakBefore w:val="0"/>
        <w:widowControl w:val="0"/>
        <w:kinsoku/>
        <w:wordWrap/>
        <w:overflowPunct/>
        <w:topLinePunct w:val="0"/>
        <w:bidi w:val="0"/>
        <w:snapToGrid/>
        <w:spacing w:before="152" w:line="260" w:lineRule="exact"/>
        <w:ind w:left="453"/>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8"/>
          <w:sz w:val="24"/>
          <w:szCs w:val="24"/>
        </w:rPr>
        <w:t>5.2 行国家强制性条文的保证措</w:t>
      </w:r>
      <w:r>
        <w:rPr>
          <w:rFonts w:hint="eastAsia" w:ascii="微软雅黑" w:hAnsi="微软雅黑" w:eastAsia="微软雅黑" w:cs="微软雅黑"/>
          <w:color w:val="auto"/>
          <w:spacing w:val="7"/>
          <w:sz w:val="24"/>
          <w:szCs w:val="24"/>
        </w:rPr>
        <w:t>施</w:t>
      </w:r>
    </w:p>
    <w:p>
      <w:pPr>
        <w:keepNext w:val="0"/>
        <w:keepLines w:val="0"/>
        <w:pageBreakBefore w:val="0"/>
        <w:widowControl w:val="0"/>
        <w:kinsoku/>
        <w:wordWrap/>
        <w:overflowPunct/>
        <w:topLinePunct w:val="0"/>
        <w:bidi w:val="0"/>
        <w:snapToGrid/>
        <w:spacing w:before="150" w:line="260" w:lineRule="exact"/>
        <w:ind w:left="22"/>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7"/>
          <w:sz w:val="24"/>
          <w:szCs w:val="24"/>
        </w:rPr>
        <w:t>6</w:t>
      </w:r>
      <w:r>
        <w:rPr>
          <w:rFonts w:hint="eastAsia" w:ascii="微软雅黑" w:hAnsi="微软雅黑" w:eastAsia="微软雅黑" w:cs="微软雅黑"/>
          <w:color w:val="auto"/>
          <w:spacing w:val="4"/>
          <w:sz w:val="24"/>
          <w:szCs w:val="24"/>
        </w:rPr>
        <w:t>. 承诺</w:t>
      </w:r>
    </w:p>
    <w:p>
      <w:pPr>
        <w:keepNext w:val="0"/>
        <w:keepLines w:val="0"/>
        <w:pageBreakBefore w:val="0"/>
        <w:widowControl w:val="0"/>
        <w:kinsoku/>
        <w:wordWrap/>
        <w:overflowPunct/>
        <w:topLinePunct w:val="0"/>
        <w:bidi w:val="0"/>
        <w:snapToGrid/>
        <w:spacing w:before="155" w:line="260" w:lineRule="exact"/>
        <w:ind w:left="447"/>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14"/>
          <w:sz w:val="24"/>
          <w:szCs w:val="24"/>
        </w:rPr>
        <w:t>6</w:t>
      </w:r>
      <w:r>
        <w:rPr>
          <w:rFonts w:hint="eastAsia" w:ascii="微软雅黑" w:hAnsi="微软雅黑" w:eastAsia="微软雅黑" w:cs="微软雅黑"/>
          <w:color w:val="auto"/>
          <w:spacing w:val="12"/>
          <w:sz w:val="24"/>
          <w:szCs w:val="24"/>
        </w:rPr>
        <w:t>.</w:t>
      </w:r>
      <w:r>
        <w:rPr>
          <w:rFonts w:hint="eastAsia" w:ascii="微软雅黑" w:hAnsi="微软雅黑" w:eastAsia="微软雅黑" w:cs="微软雅黑"/>
          <w:color w:val="auto"/>
          <w:spacing w:val="7"/>
          <w:sz w:val="24"/>
          <w:szCs w:val="24"/>
        </w:rPr>
        <w:t>1 保修承诺和违约经济处罚承诺；</w:t>
      </w:r>
    </w:p>
    <w:p>
      <w:pPr>
        <w:keepNext w:val="0"/>
        <w:keepLines w:val="0"/>
        <w:pageBreakBefore w:val="0"/>
        <w:widowControl w:val="0"/>
        <w:kinsoku/>
        <w:wordWrap/>
        <w:overflowPunct/>
        <w:topLinePunct w:val="0"/>
        <w:bidi w:val="0"/>
        <w:snapToGrid/>
        <w:spacing w:before="153" w:line="260" w:lineRule="exact"/>
        <w:ind w:left="447"/>
        <w:textAlignment w:val="auto"/>
        <w:rPr>
          <w:rFonts w:hint="eastAsia" w:ascii="微软雅黑" w:hAnsi="微软雅黑" w:eastAsia="微软雅黑" w:cs="微软雅黑"/>
          <w:color w:val="auto"/>
          <w:spacing w:val="7"/>
          <w:sz w:val="24"/>
          <w:szCs w:val="24"/>
        </w:rPr>
      </w:pPr>
      <w:r>
        <w:rPr>
          <w:rFonts w:hint="eastAsia" w:ascii="微软雅黑" w:hAnsi="微软雅黑" w:eastAsia="微软雅黑" w:cs="微软雅黑"/>
          <w:color w:val="auto"/>
          <w:spacing w:val="8"/>
          <w:sz w:val="24"/>
          <w:szCs w:val="24"/>
        </w:rPr>
        <w:t>6.2 工程质量争优承诺及保证质量措施</w:t>
      </w:r>
      <w:r>
        <w:rPr>
          <w:rFonts w:hint="eastAsia" w:ascii="微软雅黑" w:hAnsi="微软雅黑" w:eastAsia="微软雅黑" w:cs="微软雅黑"/>
          <w:color w:val="auto"/>
          <w:spacing w:val="6"/>
          <w:sz w:val="24"/>
          <w:szCs w:val="24"/>
        </w:rPr>
        <w:t>。</w:t>
      </w:r>
    </w:p>
    <w:p>
      <w:pPr>
        <w:keepNext w:val="0"/>
        <w:keepLines w:val="0"/>
        <w:pageBreakBefore w:val="0"/>
        <w:widowControl w:val="0"/>
        <w:kinsoku/>
        <w:wordWrap/>
        <w:overflowPunct/>
        <w:topLinePunct w:val="0"/>
        <w:bidi w:val="0"/>
        <w:snapToGrid/>
        <w:spacing w:before="155" w:line="260" w:lineRule="exact"/>
        <w:textAlignment w:val="auto"/>
        <w:rPr>
          <w:rFonts w:hint="eastAsia" w:ascii="微软雅黑" w:hAnsi="微软雅黑" w:eastAsia="微软雅黑" w:cs="微软雅黑"/>
          <w:color w:val="auto"/>
          <w:spacing w:val="7"/>
          <w:sz w:val="24"/>
          <w:szCs w:val="24"/>
        </w:rPr>
      </w:pPr>
      <w:r>
        <w:rPr>
          <w:rFonts w:hint="eastAsia" w:ascii="微软雅黑" w:hAnsi="微软雅黑" w:eastAsia="微软雅黑" w:cs="微软雅黑"/>
          <w:color w:val="auto"/>
          <w:spacing w:val="7"/>
          <w:sz w:val="24"/>
          <w:szCs w:val="24"/>
        </w:rPr>
        <w:t>注：1、技术文件须按上述格式目录顺序编写</w:t>
      </w:r>
    </w:p>
    <w:p>
      <w:pPr>
        <w:keepNext w:val="0"/>
        <w:keepLines w:val="0"/>
        <w:pageBreakBefore w:val="0"/>
        <w:widowControl w:val="0"/>
        <w:kinsoku/>
        <w:wordWrap/>
        <w:overflowPunct/>
        <w:topLinePunct w:val="0"/>
        <w:bidi w:val="0"/>
        <w:snapToGrid/>
        <w:spacing w:before="155" w:line="260" w:lineRule="exact"/>
        <w:ind w:left="447"/>
        <w:textAlignment w:val="auto"/>
        <w:rPr>
          <w:rFonts w:ascii="微软雅黑" w:hAnsi="微软雅黑" w:eastAsia="微软雅黑" w:cs="微软雅黑"/>
          <w:color w:val="auto"/>
          <w:szCs w:val="21"/>
        </w:rPr>
      </w:pPr>
      <w:r>
        <w:rPr>
          <w:rFonts w:hint="eastAsia" w:ascii="微软雅黑" w:hAnsi="微软雅黑" w:eastAsia="微软雅黑" w:cs="微软雅黑"/>
          <w:color w:val="auto"/>
          <w:spacing w:val="7"/>
          <w:sz w:val="24"/>
          <w:szCs w:val="24"/>
        </w:rPr>
        <w:t>2、附图若用 A3 纸张，请放于技术部分最后页并折叠成 A4 形状。</w:t>
      </w:r>
    </w:p>
    <w:p>
      <w:pPr>
        <w:spacing w:before="74" w:line="310" w:lineRule="exact"/>
        <w:ind w:left="551"/>
        <w:outlineLvl w:val="1"/>
        <w:rPr>
          <w:rFonts w:ascii="微软雅黑" w:hAnsi="微软雅黑" w:eastAsia="微软雅黑" w:cs="微软雅黑"/>
          <w:color w:val="auto"/>
        </w:rPr>
      </w:pPr>
      <w:bookmarkStart w:id="661" w:name="_Toc1409"/>
      <w:bookmarkStart w:id="662" w:name="_Toc18621"/>
      <w:bookmarkStart w:id="663" w:name="_Toc5089"/>
      <w:r>
        <w:rPr>
          <w:rFonts w:hint="eastAsia" w:ascii="微软雅黑" w:hAnsi="微软雅黑" w:eastAsia="微软雅黑" w:cs="微软雅黑"/>
          <w:b/>
          <w:bCs/>
          <w:color w:val="auto"/>
          <w:kern w:val="2"/>
          <w:sz w:val="24"/>
          <w:szCs w:val="24"/>
          <w:lang w:val="en-US" w:eastAsia="zh-CN" w:bidi="ar-SA"/>
        </w:rPr>
        <w:t>7、供应商可提供有利于投标的其他资格证明材料</w:t>
      </w:r>
      <w:bookmarkEnd w:id="661"/>
      <w:bookmarkEnd w:id="662"/>
      <w:bookmarkEnd w:id="663"/>
    </w:p>
    <w:p>
      <w:pPr>
        <w:snapToGrid w:val="0"/>
        <w:spacing w:line="240" w:lineRule="atLeast"/>
        <w:ind w:left="1079" w:leftChars="257" w:hanging="539"/>
        <w:jc w:val="left"/>
        <w:textAlignment w:val="baseline"/>
        <w:outlineLvl w:val="1"/>
        <w:rPr>
          <w:rFonts w:ascii="微软雅黑" w:hAnsi="微软雅黑" w:eastAsia="微软雅黑" w:cs="微软雅黑"/>
          <w:b/>
          <w:color w:val="auto"/>
          <w:sz w:val="24"/>
        </w:rPr>
      </w:pPr>
      <w:bookmarkStart w:id="664" w:name="_Toc26156"/>
      <w:bookmarkStart w:id="665" w:name="_Toc17513"/>
      <w:bookmarkStart w:id="666" w:name="_Toc1459"/>
      <w:r>
        <w:rPr>
          <w:rFonts w:hint="eastAsia" w:ascii="微软雅黑" w:hAnsi="微软雅黑" w:eastAsia="微软雅黑" w:cs="微软雅黑"/>
          <w:b/>
          <w:color w:val="auto"/>
          <w:kern w:val="0"/>
          <w:sz w:val="24"/>
          <w:szCs w:val="20"/>
          <w:lang w:val="en-US" w:eastAsia="zh-CN"/>
        </w:rPr>
        <w:t>8</w:t>
      </w:r>
      <w:r>
        <w:rPr>
          <w:rFonts w:hint="eastAsia" w:ascii="微软雅黑" w:hAnsi="微软雅黑" w:eastAsia="微软雅黑" w:cs="微软雅黑"/>
          <w:b/>
          <w:color w:val="auto"/>
          <w:kern w:val="0"/>
          <w:sz w:val="24"/>
          <w:szCs w:val="20"/>
        </w:rPr>
        <w:t>、响应文件格式范本</w:t>
      </w:r>
      <w:bookmarkEnd w:id="664"/>
      <w:bookmarkEnd w:id="665"/>
      <w:bookmarkEnd w:id="666"/>
    </w:p>
    <w:tbl>
      <w:tblPr>
        <w:tblStyle w:val="37"/>
        <w:tblpPr w:leftFromText="180" w:rightFromText="180" w:vertAnchor="text" w:horzAnchor="page" w:tblpX="1343" w:tblpY="413"/>
        <w:tblOverlap w:val="never"/>
        <w:tblW w:w="97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7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90" w:hRule="atLeast"/>
        </w:trPr>
        <w:tc>
          <w:tcPr>
            <w:tcW w:w="9720" w:type="dxa"/>
            <w:shd w:val="clear" w:color="auto" w:fill="FCFEEA"/>
          </w:tcPr>
          <w:p>
            <w:pPr>
              <w:pStyle w:val="11"/>
              <w:snapToGrid w:val="0"/>
              <w:jc w:val="center"/>
              <w:textAlignment w:val="baseline"/>
              <w:rPr>
                <w:rFonts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                                                （正本/副本）</w:t>
            </w:r>
          </w:p>
          <w:p>
            <w:pPr>
              <w:pStyle w:val="11"/>
              <w:snapToGrid w:val="0"/>
              <w:ind w:firstLine="4202" w:firstLineChars="1500"/>
              <w:textAlignment w:val="baseline"/>
              <w:rPr>
                <w:rFonts w:ascii="微软雅黑" w:hAnsi="微软雅黑" w:eastAsia="微软雅黑" w:cs="微软雅黑"/>
                <w:b/>
                <w:bCs/>
                <w:color w:val="auto"/>
                <w:sz w:val="28"/>
                <w:szCs w:val="28"/>
              </w:rPr>
            </w:pPr>
          </w:p>
          <w:p>
            <w:pPr>
              <w:pStyle w:val="11"/>
              <w:snapToGrid w:val="0"/>
              <w:textAlignment w:val="baseline"/>
              <w:rPr>
                <w:rFonts w:ascii="微软雅黑" w:hAnsi="微软雅黑" w:eastAsia="微软雅黑" w:cs="微软雅黑"/>
                <w:b/>
                <w:bCs/>
                <w:color w:val="auto"/>
                <w:sz w:val="28"/>
                <w:szCs w:val="28"/>
              </w:rPr>
            </w:pPr>
          </w:p>
          <w:p>
            <w:pPr>
              <w:pStyle w:val="11"/>
              <w:snapToGrid w:val="0"/>
              <w:ind w:firstLine="2521" w:firstLineChars="900"/>
              <w:textAlignment w:val="baseline"/>
              <w:rPr>
                <w:rFonts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 *** *** ***   项目***</w:t>
            </w:r>
          </w:p>
          <w:p>
            <w:pPr>
              <w:pStyle w:val="11"/>
              <w:snapToGrid w:val="0"/>
              <w:jc w:val="center"/>
              <w:textAlignment w:val="baseline"/>
              <w:rPr>
                <w:rFonts w:ascii="微软雅黑" w:hAnsi="微软雅黑" w:eastAsia="微软雅黑" w:cs="微软雅黑"/>
                <w:b/>
                <w:bCs/>
                <w:color w:val="auto"/>
                <w:sz w:val="21"/>
                <w:szCs w:val="21"/>
              </w:rPr>
            </w:pPr>
          </w:p>
          <w:p>
            <w:pPr>
              <w:pStyle w:val="11"/>
              <w:snapToGrid w:val="0"/>
              <w:ind w:firstLine="3152" w:firstLineChars="1500"/>
              <w:textAlignment w:val="baseline"/>
              <w:rPr>
                <w:rFonts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编号 ＊＊＊</w:t>
            </w:r>
          </w:p>
          <w:p>
            <w:pPr>
              <w:pStyle w:val="11"/>
              <w:snapToGrid w:val="0"/>
              <w:jc w:val="both"/>
              <w:textAlignment w:val="baseline"/>
              <w:rPr>
                <w:rFonts w:ascii="微软雅黑" w:hAnsi="微软雅黑" w:eastAsia="微软雅黑" w:cs="微软雅黑"/>
                <w:b/>
                <w:bCs/>
                <w:color w:val="auto"/>
                <w:sz w:val="48"/>
              </w:rPr>
            </w:pPr>
          </w:p>
          <w:p>
            <w:pPr>
              <w:pStyle w:val="11"/>
              <w:snapToGrid w:val="0"/>
              <w:jc w:val="center"/>
              <w:textAlignment w:val="baseline"/>
              <w:rPr>
                <w:rFonts w:ascii="微软雅黑" w:hAnsi="微软雅黑" w:eastAsia="微软雅黑" w:cs="微软雅黑"/>
                <w:b/>
                <w:bCs/>
                <w:color w:val="auto"/>
                <w:sz w:val="48"/>
              </w:rPr>
            </w:pPr>
            <w:r>
              <w:rPr>
                <w:rFonts w:hint="eastAsia" w:ascii="微软雅黑" w:hAnsi="微软雅黑" w:eastAsia="微软雅黑" w:cs="微软雅黑"/>
                <w:b/>
                <w:bCs/>
                <w:color w:val="auto"/>
                <w:sz w:val="48"/>
              </w:rPr>
              <w:t>响 应 文 件</w:t>
            </w:r>
          </w:p>
          <w:p>
            <w:pPr>
              <w:pStyle w:val="7"/>
              <w:snapToGrid w:val="0"/>
              <w:ind w:firstLine="0"/>
              <w:textAlignment w:val="baseline"/>
              <w:rPr>
                <w:rFonts w:ascii="微软雅黑" w:hAnsi="微软雅黑" w:eastAsia="微软雅黑" w:cs="微软雅黑"/>
                <w:b/>
                <w:color w:val="auto"/>
                <w:sz w:val="32"/>
              </w:rPr>
            </w:pP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rPr>
            </w:pPr>
            <w:r>
              <w:rPr>
                <w:rFonts w:hint="eastAsia" w:ascii="微软雅黑" w:hAnsi="微软雅黑" w:eastAsia="微软雅黑" w:cs="微软雅黑"/>
                <w:color w:val="auto"/>
                <w:szCs w:val="21"/>
              </w:rPr>
              <w:t>磋商单位：</w:t>
            </w:r>
            <w:r>
              <w:rPr>
                <w:rFonts w:hint="eastAsia" w:ascii="微软雅黑" w:hAnsi="微软雅黑" w:eastAsia="微软雅黑" w:cs="微软雅黑"/>
                <w:color w:val="auto"/>
                <w:szCs w:val="21"/>
                <w:u w:val="single" w:color="000000"/>
              </w:rPr>
              <w:t xml:space="preserve">                                       </w:t>
            </w:r>
            <w:r>
              <w:rPr>
                <w:rFonts w:hint="eastAsia" w:ascii="微软雅黑" w:hAnsi="微软雅黑" w:eastAsia="微软雅黑" w:cs="微软雅黑"/>
                <w:color w:val="auto"/>
                <w:szCs w:val="21"/>
              </w:rPr>
              <w:t>（公章）</w:t>
            </w: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项目名称：</w:t>
            </w:r>
            <w:r>
              <w:rPr>
                <w:rFonts w:hint="eastAsia" w:ascii="微软雅黑" w:hAnsi="微软雅黑" w:eastAsia="微软雅黑" w:cs="微软雅黑"/>
                <w:color w:val="auto"/>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项目编号：</w:t>
            </w:r>
            <w:r>
              <w:rPr>
                <w:rFonts w:hint="eastAsia" w:ascii="微软雅黑" w:hAnsi="微软雅黑" w:eastAsia="微软雅黑" w:cs="微软雅黑"/>
                <w:color w:val="auto"/>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联 系 人：</w:t>
            </w:r>
            <w:r>
              <w:rPr>
                <w:rFonts w:hint="eastAsia" w:ascii="微软雅黑" w:hAnsi="微软雅黑" w:eastAsia="微软雅黑" w:cs="微软雅黑"/>
                <w:color w:val="auto"/>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color w:val="auto"/>
                <w:sz w:val="20"/>
                <w:szCs w:val="21"/>
                <w:u w:val="single" w:color="000000"/>
              </w:rPr>
            </w:pPr>
            <w:r>
              <w:rPr>
                <w:rFonts w:hint="eastAsia" w:ascii="微软雅黑" w:hAnsi="微软雅黑" w:eastAsia="微软雅黑" w:cs="微软雅黑"/>
                <w:color w:val="auto"/>
                <w:szCs w:val="21"/>
              </w:rPr>
              <w:t xml:space="preserve">地    址  ：  </w:t>
            </w:r>
            <w:r>
              <w:rPr>
                <w:rFonts w:hint="eastAsia" w:ascii="微软雅黑" w:hAnsi="微软雅黑" w:eastAsia="微软雅黑" w:cs="微软雅黑"/>
                <w:color w:val="auto"/>
                <w:szCs w:val="21"/>
                <w:u w:val="single" w:color="000000"/>
              </w:rPr>
              <w:t xml:space="preserve">                                    </w:t>
            </w:r>
          </w:p>
          <w:p>
            <w:pPr>
              <w:snapToGrid w:val="0"/>
              <w:jc w:val="both"/>
              <w:textAlignment w:val="baseline"/>
              <w:rPr>
                <w:rFonts w:ascii="微软雅黑" w:hAnsi="微软雅黑" w:eastAsia="微软雅黑" w:cs="微软雅黑"/>
                <w:b/>
                <w:bCs/>
                <w:color w:val="auto"/>
                <w:sz w:val="20"/>
              </w:rPr>
            </w:pPr>
          </w:p>
          <w:p>
            <w:pPr>
              <w:snapToGrid w:val="0"/>
              <w:jc w:val="center"/>
              <w:textAlignment w:val="baseline"/>
              <w:rPr>
                <w:rFonts w:ascii="微软雅黑" w:hAnsi="微软雅黑" w:eastAsia="微软雅黑" w:cs="微软雅黑"/>
                <w:b/>
                <w:bCs/>
                <w:color w:val="auto"/>
                <w:sz w:val="20"/>
              </w:rPr>
            </w:pPr>
          </w:p>
          <w:p>
            <w:pPr>
              <w:snapToGrid w:val="0"/>
              <w:jc w:val="center"/>
              <w:textAlignment w:val="baseline"/>
              <w:rPr>
                <w:rFonts w:ascii="微软雅黑" w:hAnsi="微软雅黑" w:eastAsia="微软雅黑" w:cs="微软雅黑"/>
                <w:b/>
                <w:bCs/>
                <w:color w:val="auto"/>
                <w:sz w:val="20"/>
              </w:rPr>
            </w:pPr>
            <w:r>
              <w:rPr>
                <w:rFonts w:hint="eastAsia" w:ascii="微软雅黑" w:hAnsi="微软雅黑" w:eastAsia="微软雅黑" w:cs="微软雅黑"/>
                <w:b/>
                <w:bCs/>
                <w:color w:val="auto"/>
              </w:rPr>
              <w:t>注：   在20XX年   月  日 X午</w:t>
            </w:r>
            <w:r>
              <w:rPr>
                <w:rFonts w:hint="eastAsia" w:ascii="微软雅黑" w:hAnsi="微软雅黑" w:eastAsia="微软雅黑" w:cs="微软雅黑"/>
                <w:color w:val="auto"/>
                <w:kern w:val="0"/>
                <w:szCs w:val="21"/>
              </w:rPr>
              <w:t>XX</w:t>
            </w:r>
            <w:r>
              <w:rPr>
                <w:rFonts w:hint="eastAsia" w:ascii="微软雅黑" w:hAnsi="微软雅黑" w:eastAsia="微软雅黑" w:cs="微软雅黑"/>
                <w:b/>
                <w:bCs/>
                <w:color w:val="auto"/>
              </w:rPr>
              <w:t>之前不得启封</w:t>
            </w:r>
          </w:p>
          <w:p>
            <w:pPr>
              <w:snapToGrid w:val="0"/>
              <w:jc w:val="center"/>
              <w:textAlignment w:val="baseline"/>
              <w:rPr>
                <w:rFonts w:ascii="微软雅黑" w:hAnsi="微软雅黑" w:eastAsia="微软雅黑" w:cs="微软雅黑"/>
                <w:b/>
                <w:bCs/>
                <w:color w:val="auto"/>
                <w:sz w:val="20"/>
              </w:rPr>
            </w:pPr>
          </w:p>
        </w:tc>
      </w:tr>
    </w:tbl>
    <w:p>
      <w:pPr>
        <w:snapToGrid w:val="0"/>
        <w:spacing w:line="240" w:lineRule="atLeast"/>
        <w:textAlignment w:val="baseline"/>
        <w:rPr>
          <w:rFonts w:ascii="微软雅黑" w:hAnsi="微软雅黑" w:eastAsia="微软雅黑" w:cs="微软雅黑"/>
          <w:b/>
          <w:color w:val="auto"/>
          <w:sz w:val="30"/>
          <w:szCs w:val="30"/>
        </w:rPr>
      </w:pPr>
      <w:r>
        <w:rPr>
          <w:rFonts w:hint="eastAsia" w:ascii="微软雅黑" w:hAnsi="微软雅黑" w:eastAsia="微软雅黑" w:cs="微软雅黑"/>
          <w:color w:val="auto"/>
          <w:sz w:val="24"/>
        </w:rPr>
        <w:br w:type="page"/>
      </w:r>
    </w:p>
    <w:bookmarkEnd w:id="590"/>
    <w:bookmarkEnd w:id="591"/>
    <w:bookmarkEnd w:id="592"/>
    <w:bookmarkEnd w:id="593"/>
    <w:p>
      <w:pPr>
        <w:snapToGrid w:val="0"/>
        <w:spacing w:line="240" w:lineRule="atLeast"/>
        <w:jc w:val="center"/>
        <w:textAlignment w:val="baseline"/>
        <w:outlineLvl w:val="9"/>
        <w:rPr>
          <w:rFonts w:ascii="微软雅黑" w:hAnsi="微软雅黑" w:eastAsia="微软雅黑" w:cs="微软雅黑"/>
          <w:b/>
          <w:sz w:val="44"/>
          <w:szCs w:val="44"/>
        </w:rPr>
      </w:pPr>
      <w:bookmarkStart w:id="667" w:name="_Toc28765"/>
      <w:bookmarkStart w:id="668" w:name="_Toc515647829"/>
      <w:bookmarkStart w:id="669" w:name="_Toc216582822"/>
      <w:bookmarkStart w:id="670" w:name="_Toc219175634"/>
      <w:bookmarkStart w:id="671" w:name="_Toc16370"/>
      <w:bookmarkStart w:id="672" w:name="_Toc507399902"/>
      <w:bookmarkStart w:id="673" w:name="_Toc218935350"/>
    </w:p>
    <w:p>
      <w:pPr>
        <w:outlineLvl w:val="9"/>
        <w:rPr>
          <w:rFonts w:ascii="微软雅黑" w:hAnsi="微软雅黑" w:eastAsia="微软雅黑" w:cs="微软雅黑"/>
          <w:b/>
          <w:sz w:val="44"/>
          <w:szCs w:val="44"/>
        </w:rPr>
      </w:pPr>
    </w:p>
    <w:p>
      <w:pPr>
        <w:outlineLvl w:val="9"/>
        <w:rPr>
          <w:rFonts w:ascii="微软雅黑" w:hAnsi="微软雅黑" w:eastAsia="微软雅黑" w:cs="微软雅黑"/>
          <w:b/>
          <w:sz w:val="44"/>
          <w:szCs w:val="44"/>
        </w:rPr>
      </w:pPr>
    </w:p>
    <w:p>
      <w:pPr>
        <w:outlineLvl w:val="9"/>
        <w:rPr>
          <w:rFonts w:ascii="微软雅黑" w:hAnsi="微软雅黑" w:eastAsia="微软雅黑" w:cs="微软雅黑"/>
          <w:b/>
          <w:sz w:val="44"/>
          <w:szCs w:val="44"/>
        </w:rPr>
      </w:pPr>
    </w:p>
    <w:p/>
    <w:p>
      <w:pPr>
        <w:snapToGrid w:val="0"/>
        <w:spacing w:line="240" w:lineRule="atLeast"/>
        <w:jc w:val="center"/>
        <w:textAlignment w:val="baseline"/>
        <w:rPr>
          <w:rFonts w:ascii="微软雅黑" w:hAnsi="微软雅黑" w:eastAsia="微软雅黑" w:cs="微软雅黑"/>
          <w:b/>
          <w:sz w:val="36"/>
          <w:szCs w:val="36"/>
        </w:rPr>
      </w:pPr>
      <w:r>
        <w:rPr>
          <w:rFonts w:hint="eastAsia" w:ascii="微软雅黑" w:hAnsi="微软雅黑" w:eastAsia="微软雅黑" w:cs="微软雅黑"/>
          <w:b/>
          <w:sz w:val="52"/>
          <w:szCs w:val="52"/>
        </w:rPr>
        <w:t>竞争性磋商文件</w:t>
      </w:r>
    </w:p>
    <w:p>
      <w:pPr>
        <w:pStyle w:val="13"/>
        <w:snapToGrid w:val="0"/>
        <w:textAlignment w:val="baseline"/>
        <w:rPr>
          <w:rFonts w:ascii="微软雅黑" w:hAnsi="微软雅黑" w:eastAsia="微软雅黑" w:cs="微软雅黑"/>
          <w:sz w:val="21"/>
        </w:rPr>
      </w:pPr>
    </w:p>
    <w:p>
      <w:pPr>
        <w:pStyle w:val="13"/>
        <w:snapToGrid w:val="0"/>
        <w:textAlignment w:val="baseline"/>
        <w:rPr>
          <w:rFonts w:ascii="微软雅黑" w:hAnsi="微软雅黑" w:eastAsia="微软雅黑" w:cs="微软雅黑"/>
          <w:sz w:val="21"/>
        </w:rPr>
      </w:pPr>
    </w:p>
    <w:p>
      <w:pPr>
        <w:snapToGrid w:val="0"/>
        <w:spacing w:line="240" w:lineRule="atLeast"/>
        <w:jc w:val="center"/>
        <w:textAlignment w:val="baseline"/>
        <w:rPr>
          <w:rFonts w:hint="eastAsia" w:ascii="微软雅黑" w:hAnsi="微软雅黑" w:eastAsia="微软雅黑" w:cs="微软雅黑"/>
          <w:b/>
          <w:sz w:val="40"/>
          <w:szCs w:val="40"/>
        </w:rPr>
      </w:pPr>
      <w:r>
        <w:rPr>
          <w:rFonts w:hint="eastAsia" w:ascii="微软雅黑" w:hAnsi="微软雅黑" w:eastAsia="微软雅黑" w:cs="微软雅黑"/>
          <w:b/>
          <w:sz w:val="40"/>
          <w:szCs w:val="40"/>
        </w:rPr>
        <w:t>项目编号：</w:t>
      </w:r>
      <w:r>
        <w:rPr>
          <w:rFonts w:hint="eastAsia" w:ascii="微软雅黑" w:hAnsi="微软雅黑" w:eastAsia="微软雅黑" w:cs="微软雅黑"/>
          <w:b/>
          <w:sz w:val="40"/>
          <w:szCs w:val="40"/>
          <w:lang w:eastAsia="zh-CN"/>
        </w:rPr>
        <w:t>YYXD（</w:t>
      </w:r>
      <w:r>
        <w:rPr>
          <w:rFonts w:hint="eastAsia" w:ascii="微软雅黑" w:hAnsi="微软雅黑" w:eastAsia="微软雅黑" w:cs="微软雅黑"/>
          <w:b/>
          <w:sz w:val="40"/>
          <w:szCs w:val="40"/>
          <w:lang w:val="en-US" w:eastAsia="zh-CN"/>
        </w:rPr>
        <w:t>CS</w:t>
      </w:r>
      <w:r>
        <w:rPr>
          <w:rFonts w:hint="eastAsia" w:ascii="微软雅黑" w:hAnsi="微软雅黑" w:eastAsia="微软雅黑" w:cs="微软雅黑"/>
          <w:b/>
          <w:sz w:val="40"/>
          <w:szCs w:val="40"/>
          <w:lang w:eastAsia="zh-CN"/>
        </w:rPr>
        <w:t>）202</w:t>
      </w:r>
      <w:r>
        <w:rPr>
          <w:rFonts w:hint="eastAsia" w:ascii="微软雅黑" w:hAnsi="微软雅黑" w:eastAsia="微软雅黑" w:cs="微软雅黑"/>
          <w:b/>
          <w:sz w:val="40"/>
          <w:szCs w:val="40"/>
          <w:lang w:val="en-US" w:eastAsia="zh-CN"/>
        </w:rPr>
        <w:t>3</w:t>
      </w:r>
      <w:r>
        <w:rPr>
          <w:rFonts w:hint="eastAsia" w:ascii="微软雅黑" w:hAnsi="微软雅黑" w:eastAsia="微软雅黑" w:cs="微软雅黑"/>
          <w:b/>
          <w:sz w:val="40"/>
          <w:szCs w:val="40"/>
          <w:lang w:eastAsia="zh-CN"/>
        </w:rPr>
        <w:t>-</w:t>
      </w:r>
      <w:r>
        <w:rPr>
          <w:rFonts w:hint="eastAsia" w:ascii="微软雅黑" w:hAnsi="微软雅黑" w:eastAsia="微软雅黑" w:cs="微软雅黑"/>
          <w:b/>
          <w:sz w:val="40"/>
          <w:szCs w:val="40"/>
          <w:lang w:val="en-US" w:eastAsia="zh-CN"/>
        </w:rPr>
        <w:t>05</w:t>
      </w:r>
      <w:r>
        <w:rPr>
          <w:rFonts w:hint="eastAsia" w:ascii="微软雅黑" w:hAnsi="微软雅黑" w:eastAsia="微软雅黑" w:cs="微软雅黑"/>
          <w:b/>
          <w:sz w:val="40"/>
          <w:szCs w:val="40"/>
          <w:lang w:eastAsia="zh-CN"/>
        </w:rPr>
        <w:t>号</w:t>
      </w:r>
    </w:p>
    <w:p>
      <w:pPr>
        <w:snapToGrid w:val="0"/>
        <w:spacing w:line="240" w:lineRule="atLeast"/>
        <w:jc w:val="both"/>
        <w:textAlignment w:val="baseline"/>
        <w:rPr>
          <w:rFonts w:ascii="微软雅黑" w:hAnsi="微软雅黑" w:eastAsia="微软雅黑" w:cs="微软雅黑"/>
          <w:b/>
          <w:sz w:val="40"/>
          <w:szCs w:val="40"/>
        </w:rPr>
      </w:pPr>
    </w:p>
    <w:p>
      <w:pPr>
        <w:snapToGrid w:val="0"/>
        <w:spacing w:line="240" w:lineRule="atLeast"/>
        <w:textAlignment w:val="baseline"/>
        <w:rPr>
          <w:rFonts w:ascii="微软雅黑" w:hAnsi="微软雅黑" w:eastAsia="微软雅黑" w:cs="微软雅黑"/>
          <w:b/>
          <w:sz w:val="52"/>
        </w:rPr>
      </w:pPr>
    </w:p>
    <w:p>
      <w:pPr>
        <w:snapToGrid w:val="0"/>
        <w:spacing w:line="240" w:lineRule="atLeast"/>
        <w:jc w:val="center"/>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第二册</w:t>
      </w: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13"/>
        <w:snapToGrid w:val="0"/>
        <w:ind w:firstLine="560"/>
        <w:textAlignment w:val="baseline"/>
        <w:rPr>
          <w:rFonts w:ascii="微软雅黑" w:hAnsi="微软雅黑" w:eastAsia="微软雅黑" w:cs="微软雅黑"/>
          <w:b/>
          <w:sz w:val="28"/>
        </w:rPr>
      </w:pPr>
    </w:p>
    <w:p>
      <w:pPr>
        <w:pStyle w:val="13"/>
        <w:snapToGrid w:val="0"/>
        <w:ind w:firstLine="560"/>
        <w:textAlignment w:val="baseline"/>
        <w:rPr>
          <w:rFonts w:ascii="微软雅黑" w:hAnsi="微软雅黑" w:eastAsia="微软雅黑" w:cs="微软雅黑"/>
          <w:b/>
          <w:sz w:val="28"/>
        </w:rPr>
      </w:pPr>
    </w:p>
    <w:p>
      <w:pPr>
        <w:pStyle w:val="13"/>
        <w:snapToGrid w:val="0"/>
        <w:ind w:firstLine="56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27"/>
        <w:rPr>
          <w:rFonts w:ascii="微软雅黑" w:hAnsi="微软雅黑" w:eastAsia="微软雅黑" w:cs="微软雅黑"/>
          <w:b/>
          <w:sz w:val="28"/>
        </w:rPr>
      </w:pPr>
    </w:p>
    <w:p>
      <w:pPr>
        <w:pStyle w:val="7"/>
        <w:snapToGrid w:val="0"/>
        <w:ind w:firstLine="0"/>
        <w:textAlignment w:val="baseline"/>
        <w:rPr>
          <w:rFonts w:ascii="微软雅黑" w:hAnsi="微软雅黑" w:eastAsia="微软雅黑" w:cs="微软雅黑"/>
          <w:b/>
          <w:sz w:val="52"/>
        </w:rPr>
      </w:pPr>
    </w:p>
    <w:p>
      <w:pPr>
        <w:pStyle w:val="3"/>
        <w:tabs>
          <w:tab w:val="left" w:pos="0"/>
        </w:tabs>
        <w:snapToGrid w:val="0"/>
        <w:spacing w:before="0" w:after="0" w:line="240" w:lineRule="auto"/>
        <w:textAlignment w:val="baseline"/>
        <w:rPr>
          <w:rFonts w:ascii="微软雅黑" w:hAnsi="微软雅黑" w:eastAsia="微软雅黑" w:cs="微软雅黑"/>
        </w:rPr>
      </w:pPr>
      <w:bookmarkStart w:id="674" w:name="_Toc8725"/>
      <w:bookmarkStart w:id="675" w:name="_Toc22088"/>
      <w:r>
        <w:rPr>
          <w:rFonts w:hint="eastAsia" w:ascii="微软雅黑" w:hAnsi="微软雅黑" w:eastAsia="微软雅黑" w:cs="微软雅黑"/>
        </w:rPr>
        <w:t>第3章 磋商邀请</w:t>
      </w:r>
      <w:bookmarkEnd w:id="667"/>
      <w:bookmarkEnd w:id="668"/>
      <w:bookmarkEnd w:id="669"/>
      <w:bookmarkEnd w:id="670"/>
      <w:bookmarkEnd w:id="671"/>
      <w:bookmarkEnd w:id="672"/>
      <w:bookmarkEnd w:id="673"/>
      <w:bookmarkEnd w:id="674"/>
      <w:bookmarkEnd w:id="675"/>
    </w:p>
    <w:p>
      <w:pPr>
        <w:keepNext/>
        <w:keepLines/>
        <w:tabs>
          <w:tab w:val="left" w:pos="0"/>
        </w:tabs>
        <w:autoSpaceDE w:val="0"/>
        <w:autoSpaceDN w:val="0"/>
        <w:adjustRightInd w:val="0"/>
        <w:spacing w:line="560" w:lineRule="exact"/>
        <w:jc w:val="center"/>
        <w:rPr>
          <w:rFonts w:ascii="微软雅黑" w:hAnsi="微软雅黑" w:eastAsia="微软雅黑" w:cs="微软雅黑"/>
          <w:b/>
          <w:bCs/>
          <w:color w:val="auto"/>
          <w:kern w:val="44"/>
          <w:sz w:val="28"/>
          <w:szCs w:val="28"/>
        </w:rPr>
      </w:pPr>
      <w:bookmarkStart w:id="676" w:name="_Toc28359011"/>
      <w:bookmarkStart w:id="677" w:name="_Toc35393797"/>
      <w:bookmarkStart w:id="678" w:name="_Toc10488"/>
      <w:bookmarkStart w:id="679" w:name="_Toc216582823"/>
      <w:bookmarkStart w:id="680" w:name="_Toc31583"/>
      <w:bookmarkStart w:id="681" w:name="_Toc515647830"/>
      <w:bookmarkStart w:id="682" w:name="_Toc512937850"/>
      <w:bookmarkStart w:id="683" w:name="_Toc507399903"/>
      <w:r>
        <w:rPr>
          <w:rFonts w:hint="eastAsia" w:ascii="微软雅黑" w:hAnsi="微软雅黑" w:eastAsia="微软雅黑" w:cs="微软雅黑"/>
          <w:b/>
          <w:bCs/>
          <w:color w:val="auto"/>
          <w:kern w:val="44"/>
          <w:sz w:val="28"/>
          <w:szCs w:val="28"/>
          <w:lang w:val="en-US" w:eastAsia="zh-CN"/>
        </w:rPr>
        <w:t>疏勒县罕南力克镇喀拉普拉特（7）村人居环境综合整治项目</w:t>
      </w:r>
      <w:r>
        <w:rPr>
          <w:rFonts w:hint="eastAsia" w:ascii="微软雅黑" w:hAnsi="微软雅黑" w:eastAsia="微软雅黑" w:cs="微软雅黑"/>
          <w:b/>
          <w:bCs/>
          <w:color w:val="auto"/>
          <w:kern w:val="44"/>
          <w:sz w:val="28"/>
          <w:szCs w:val="28"/>
        </w:rPr>
        <w:t>竞争性磋商公告</w:t>
      </w:r>
      <w:bookmarkEnd w:id="676"/>
      <w:bookmarkEnd w:id="677"/>
    </w:p>
    <w:p>
      <w:pPr>
        <w:spacing w:line="400" w:lineRule="exact"/>
        <w:rPr>
          <w:rFonts w:ascii="微软雅黑" w:hAnsi="微软雅黑" w:eastAsia="微软雅黑" w:cs="微软雅黑"/>
          <w:color w:val="auto"/>
          <w:sz w:val="24"/>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6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疏勒县罕南力克镇喀拉普拉特（7）村人居环境综合整治项目</w:t>
      </w:r>
      <w:r>
        <w:rPr>
          <w:rFonts w:hint="eastAsia" w:ascii="微软雅黑" w:hAnsi="微软雅黑" w:eastAsia="微软雅黑" w:cs="微软雅黑"/>
          <w:color w:val="auto"/>
          <w:sz w:val="24"/>
          <w:szCs w:val="24"/>
        </w:rPr>
        <w:t>的潜在供应商应在政采云平台（https://www.zcygov.cn/） 获取采购文件，并于</w:t>
      </w:r>
      <w:r>
        <w:rPr>
          <w:rFonts w:hint="eastAsia" w:ascii="微软雅黑" w:hAnsi="微软雅黑" w:eastAsia="微软雅黑" w:cs="微软雅黑"/>
          <w:color w:val="auto"/>
          <w:sz w:val="24"/>
          <w:szCs w:val="24"/>
          <w:u w:val="single"/>
        </w:rPr>
        <w:t>202</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bCs/>
          <w:color w:val="auto"/>
          <w:sz w:val="24"/>
          <w:szCs w:val="24"/>
          <w:u w:val="single"/>
        </w:rPr>
        <w:t>年</w:t>
      </w:r>
      <w:r>
        <w:rPr>
          <w:rFonts w:hint="eastAsia" w:ascii="微软雅黑" w:hAnsi="微软雅黑" w:eastAsia="微软雅黑" w:cs="微软雅黑"/>
          <w:bCs/>
          <w:color w:val="auto"/>
          <w:sz w:val="24"/>
          <w:szCs w:val="24"/>
          <w:u w:val="single"/>
          <w:lang w:val="en-US" w:eastAsia="zh-CN"/>
        </w:rPr>
        <w:t xml:space="preserve"> 11 </w:t>
      </w:r>
      <w:r>
        <w:rPr>
          <w:rFonts w:hint="eastAsia" w:ascii="微软雅黑" w:hAnsi="微软雅黑" w:eastAsia="微软雅黑" w:cs="微软雅黑"/>
          <w:bCs/>
          <w:color w:val="auto"/>
          <w:sz w:val="24"/>
          <w:szCs w:val="24"/>
          <w:u w:val="single"/>
        </w:rPr>
        <w:t>月</w:t>
      </w:r>
      <w:r>
        <w:rPr>
          <w:rFonts w:hint="eastAsia" w:ascii="微软雅黑" w:hAnsi="微软雅黑" w:eastAsia="微软雅黑" w:cs="微软雅黑"/>
          <w:bCs/>
          <w:color w:val="auto"/>
          <w:sz w:val="24"/>
          <w:szCs w:val="24"/>
          <w:u w:val="single"/>
          <w:lang w:val="en-US" w:eastAsia="zh-CN"/>
        </w:rPr>
        <w:t xml:space="preserve"> 10  </w:t>
      </w:r>
      <w:r>
        <w:rPr>
          <w:rFonts w:hint="eastAsia" w:ascii="微软雅黑" w:hAnsi="微软雅黑" w:eastAsia="微软雅黑" w:cs="微软雅黑"/>
          <w:bCs/>
          <w:color w:val="auto"/>
          <w:sz w:val="24"/>
          <w:szCs w:val="24"/>
          <w:u w:val="single"/>
        </w:rPr>
        <w:t>日</w:t>
      </w:r>
      <w:r>
        <w:rPr>
          <w:rFonts w:hint="eastAsia" w:ascii="微软雅黑" w:hAnsi="微软雅黑" w:eastAsia="微软雅黑" w:cs="微软雅黑"/>
          <w:bCs/>
          <w:color w:val="auto"/>
          <w:sz w:val="24"/>
          <w:szCs w:val="24"/>
          <w:u w:val="single"/>
          <w:lang w:val="en-US" w:eastAsia="zh-CN"/>
        </w:rPr>
        <w:t>11</w:t>
      </w:r>
      <w:r>
        <w:rPr>
          <w:rFonts w:hint="eastAsia" w:ascii="微软雅黑" w:hAnsi="微软雅黑" w:eastAsia="微软雅黑" w:cs="微软雅黑"/>
          <w:bCs/>
          <w:color w:val="auto"/>
          <w:sz w:val="24"/>
          <w:szCs w:val="24"/>
          <w:u w:val="single"/>
        </w:rPr>
        <w:t>点00分</w:t>
      </w:r>
      <w:r>
        <w:rPr>
          <w:rFonts w:hint="eastAsia" w:ascii="微软雅黑" w:hAnsi="微软雅黑" w:eastAsia="微软雅黑" w:cs="微软雅黑"/>
          <w:bCs/>
          <w:color w:val="auto"/>
          <w:sz w:val="24"/>
          <w:szCs w:val="24"/>
        </w:rPr>
        <w:t>（北京时间）前提交响应文件</w:t>
      </w:r>
      <w:r>
        <w:rPr>
          <w:rFonts w:hint="eastAsia" w:ascii="微软雅黑" w:hAnsi="微软雅黑" w:eastAsia="微软雅黑" w:cs="微软雅黑"/>
          <w:color w:val="auto"/>
          <w:sz w:val="24"/>
          <w:szCs w:val="24"/>
        </w:rPr>
        <w:t>。</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bookmarkStart w:id="684" w:name="_Toc28359012"/>
      <w:bookmarkStart w:id="685" w:name="_Toc28359089"/>
      <w:bookmarkStart w:id="686" w:name="_Toc35393798"/>
      <w:bookmarkStart w:id="687" w:name="_Toc35393629"/>
      <w:r>
        <w:rPr>
          <w:rFonts w:hint="eastAsia" w:ascii="微软雅黑" w:hAnsi="微软雅黑" w:eastAsia="微软雅黑" w:cs="微软雅黑"/>
          <w:b/>
          <w:color w:val="auto"/>
          <w:sz w:val="24"/>
          <w:szCs w:val="24"/>
        </w:rPr>
        <w:t>一、项目基本情况</w:t>
      </w:r>
      <w:bookmarkEnd w:id="684"/>
      <w:bookmarkEnd w:id="685"/>
      <w:bookmarkEnd w:id="686"/>
      <w:bookmarkEnd w:id="687"/>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lang w:eastAsia="zh-CN"/>
        </w:rPr>
        <w:t>YYXD（</w:t>
      </w:r>
      <w:r>
        <w:rPr>
          <w:rFonts w:hint="eastAsia" w:ascii="微软雅黑" w:hAnsi="微软雅黑" w:eastAsia="微软雅黑" w:cs="微软雅黑"/>
          <w:color w:val="auto"/>
          <w:sz w:val="24"/>
          <w:szCs w:val="24"/>
          <w:lang w:val="en-US" w:eastAsia="zh-CN"/>
        </w:rPr>
        <w:t>CS</w:t>
      </w:r>
      <w:r>
        <w:rPr>
          <w:rFonts w:hint="eastAsia" w:ascii="微软雅黑" w:hAnsi="微软雅黑" w:eastAsia="微软雅黑" w:cs="微软雅黑"/>
          <w:color w:val="auto"/>
          <w:sz w:val="24"/>
          <w:szCs w:val="24"/>
          <w:lang w:eastAsia="zh-CN"/>
        </w:rPr>
        <w:t>）202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05</w:t>
      </w:r>
      <w:r>
        <w:rPr>
          <w:rFonts w:hint="eastAsia" w:ascii="微软雅黑" w:hAnsi="微软雅黑" w:eastAsia="微软雅黑" w:cs="微软雅黑"/>
          <w:color w:val="auto"/>
          <w:sz w:val="24"/>
          <w:szCs w:val="24"/>
          <w:lang w:eastAsia="zh-CN"/>
        </w:rPr>
        <w:t>号</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highlight w:val="none"/>
          <w:lang w:val="en-US" w:eastAsia="zh-CN"/>
        </w:rPr>
        <w:t>疏勒县罕南力克镇喀拉普拉特（7）村人居环境综合整治项目</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采购方式：竞争性磋商</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lang w:eastAsia="zh-CN"/>
        </w:rPr>
        <w:t>招标控制价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43.853708万</w:t>
      </w:r>
      <w:r>
        <w:rPr>
          <w:rFonts w:hint="eastAsia" w:ascii="微软雅黑" w:hAnsi="微软雅黑" w:eastAsia="微软雅黑" w:cs="微软雅黑"/>
          <w:color w:val="auto"/>
          <w:sz w:val="24"/>
          <w:szCs w:val="24"/>
          <w:highlight w:val="none"/>
        </w:rPr>
        <w:t>元</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采购需求：</w:t>
      </w:r>
      <w:r>
        <w:rPr>
          <w:rFonts w:hint="eastAsia" w:ascii="微软雅黑" w:hAnsi="微软雅黑" w:eastAsia="微软雅黑" w:cs="微软雅黑"/>
          <w:color w:val="auto"/>
          <w:sz w:val="24"/>
          <w:szCs w:val="24"/>
          <w:highlight w:val="none"/>
          <w:lang w:val="en-US" w:eastAsia="zh-CN"/>
        </w:rPr>
        <w:t>便民服务室采暖、装修与修缮工程、设备间电气安装</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（具体</w:t>
      </w:r>
      <w:r>
        <w:rPr>
          <w:rFonts w:hint="eastAsia" w:ascii="微软雅黑" w:hAnsi="微软雅黑" w:eastAsia="微软雅黑" w:cs="微软雅黑"/>
          <w:color w:val="auto"/>
          <w:sz w:val="24"/>
          <w:szCs w:val="24"/>
          <w:highlight w:val="none"/>
          <w:lang w:eastAsia="zh-CN"/>
        </w:rPr>
        <w:t>详见工程量清单</w:t>
      </w:r>
      <w:r>
        <w:rPr>
          <w:rFonts w:hint="eastAsia" w:ascii="微软雅黑" w:hAnsi="微软雅黑" w:eastAsia="微软雅黑" w:cs="微软雅黑"/>
          <w:color w:val="auto"/>
          <w:sz w:val="24"/>
          <w:szCs w:val="24"/>
          <w:highlight w:val="none"/>
        </w:rPr>
        <w:t>）</w:t>
      </w:r>
    </w:p>
    <w:p>
      <w:pPr>
        <w:pStyle w:val="36"/>
        <w:pageBreakBefore w:val="0"/>
        <w:kinsoku/>
        <w:wordWrap/>
        <w:overflowPunct/>
        <w:topLinePunct w:val="0"/>
        <w:autoSpaceDE/>
        <w:autoSpaceDN/>
        <w:bidi w:val="0"/>
        <w:adjustRightInd/>
        <w:spacing w:line="460" w:lineRule="exact"/>
        <w:rPr>
          <w:rFonts w:hint="eastAsia" w:eastAsia="微软雅黑"/>
          <w:lang w:val="en-US" w:eastAsia="zh-CN"/>
        </w:rPr>
      </w:pPr>
      <w:r>
        <w:rPr>
          <w:rFonts w:hint="eastAsia" w:ascii="微软雅黑" w:hAnsi="微软雅黑" w:eastAsia="微软雅黑" w:cs="微软雅黑"/>
          <w:color w:val="auto"/>
          <w:sz w:val="24"/>
          <w:szCs w:val="24"/>
          <w:highlight w:val="none"/>
          <w:lang w:val="en-US" w:eastAsia="zh-CN"/>
        </w:rPr>
        <w:t>6、资金来源：援疆资金。</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w:t>
      </w:r>
      <w:r>
        <w:rPr>
          <w:rFonts w:hint="eastAsia" w:ascii="微软雅黑" w:hAnsi="微软雅黑" w:eastAsia="微软雅黑" w:cs="微软雅黑"/>
          <w:i/>
          <w:color w:val="auto"/>
          <w:sz w:val="24"/>
          <w:szCs w:val="24"/>
          <w:highlight w:val="none"/>
        </w:rPr>
        <w:t>否</w:t>
      </w:r>
      <w:r>
        <w:rPr>
          <w:rFonts w:hint="eastAsia" w:ascii="微软雅黑" w:hAnsi="微软雅黑" w:eastAsia="微软雅黑" w:cs="微软雅黑"/>
          <w:color w:val="auto"/>
          <w:sz w:val="24"/>
          <w:szCs w:val="24"/>
          <w:highlight w:val="none"/>
        </w:rPr>
        <w:t>）接受联合体。</w:t>
      </w:r>
      <w:bookmarkStart w:id="688" w:name="_Toc28359090"/>
      <w:bookmarkStart w:id="689" w:name="_Toc35393630"/>
      <w:bookmarkStart w:id="690" w:name="_Toc28359013"/>
      <w:bookmarkStart w:id="691" w:name="_Toc35393799"/>
    </w:p>
    <w:p>
      <w:pPr>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二、供应商资格要求：</w:t>
      </w:r>
      <w:bookmarkEnd w:id="688"/>
      <w:bookmarkEnd w:id="689"/>
      <w:bookmarkEnd w:id="690"/>
      <w:bookmarkEnd w:id="691"/>
      <w:bookmarkStart w:id="692" w:name="_Toc35393632"/>
      <w:bookmarkStart w:id="693" w:name="_Toc35393801"/>
      <w:bookmarkStart w:id="694" w:name="_Toc28359015"/>
      <w:bookmarkStart w:id="695" w:name="_Toc28359092"/>
    </w:p>
    <w:p>
      <w:pPr>
        <w:pStyle w:val="32"/>
        <w:pageBreakBefore w:val="0"/>
        <w:widowControl/>
        <w:kinsoku/>
        <w:wordWrap/>
        <w:overflowPunct/>
        <w:topLinePunct w:val="0"/>
        <w:autoSpaceDE/>
        <w:autoSpaceDN/>
        <w:bidi w:val="0"/>
        <w:adjustRightInd/>
        <w:spacing w:before="75" w:beforeAutospacing="0" w:after="75" w:afterAutospacing="0" w:line="460" w:lineRule="exact"/>
        <w:ind w:left="458" w:leftChars="218"/>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1、符合《中华人民共和国政府采购法》第二十二条的规定；</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w:t>
      </w:r>
      <w:r>
        <w:rPr>
          <w:rFonts w:hint="eastAsia" w:ascii="微软雅黑" w:hAnsi="微软雅黑" w:eastAsia="微软雅黑" w:cs="微软雅黑"/>
          <w:i w:val="0"/>
          <w:iCs w:val="0"/>
          <w:caps w:val="0"/>
          <w:color w:val="auto"/>
          <w:spacing w:val="0"/>
          <w:sz w:val="24"/>
          <w:szCs w:val="24"/>
          <w:highlight w:val="none"/>
          <w:lang w:eastAsia="zh-CN"/>
        </w:rPr>
        <w:t>本单位依法缴纳的近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个月内任意一个月的社会保险的凭据；</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个月内任意一个月的完税证明（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⑤提供近两年任意一年完整的财务审计报告（成立不满一年可提供近一个月的银行资信证明）</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⑧根据《财政部关于在政府采购活动中查询及使用信用记录有关问题的通知》（财库﹝2016﹞125号）的要求，凡拟参加本次招标项目的供应商，必须为未被列入“信用中国”网站(www.credit</w:t>
      </w:r>
      <w:r>
        <w:rPr>
          <w:rFonts w:hint="eastAsia" w:ascii="微软雅黑" w:hAnsi="微软雅黑" w:eastAsia="微软雅黑" w:cs="微软雅黑"/>
          <w:i w:val="0"/>
          <w:iCs w:val="0"/>
          <w:caps w:val="0"/>
          <w:color w:val="auto"/>
          <w:spacing w:val="0"/>
          <w:sz w:val="24"/>
          <w:szCs w:val="24"/>
          <w:highlight w:val="none"/>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highlight w:val="none"/>
          <w:lang w:val="en-US" w:eastAsia="zh-CN"/>
        </w:rPr>
        <w:t>供应商</w:t>
      </w:r>
      <w:r>
        <w:rPr>
          <w:rFonts w:hint="eastAsia" w:ascii="微软雅黑" w:hAnsi="微软雅黑" w:eastAsia="微软雅黑" w:cs="微软雅黑"/>
          <w:i w:val="0"/>
          <w:iCs w:val="0"/>
          <w:caps w:val="0"/>
          <w:color w:val="auto"/>
          <w:spacing w:val="0"/>
          <w:sz w:val="24"/>
          <w:szCs w:val="24"/>
          <w:highlight w:val="none"/>
        </w:rPr>
        <w:t>，国家企业公示信息系统（www.gsxt.gov.cn）查询诚信记录如有严重行政处罚信息不得参加本项目（须提供查询记录并加盖公章）；</w:t>
      </w:r>
    </w:p>
    <w:p>
      <w:pPr>
        <w:pStyle w:val="32"/>
        <w:keepNext w:val="0"/>
        <w:keepLines w:val="0"/>
        <w:pageBreakBefore w:val="0"/>
        <w:widowControl/>
        <w:numPr>
          <w:ilvl w:val="0"/>
          <w:numId w:val="5"/>
        </w:numPr>
        <w:suppressLineNumbers w:val="0"/>
        <w:kinsoku/>
        <w:wordWrap/>
        <w:overflowPunct/>
        <w:topLinePunct w:val="0"/>
        <w:autoSpaceDE/>
        <w:autoSpaceDN/>
        <w:bidi w:val="0"/>
        <w:adjustRightInd/>
        <w:snapToGrid/>
        <w:spacing w:before="75" w:beforeAutospacing="0" w:after="75" w:afterAutospacing="0" w:line="46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落实政府采购政策需满足的资格要求：供应商为中小企业</w:t>
      </w:r>
    </w:p>
    <w:p>
      <w:pPr>
        <w:pageBreakBefore w:val="0"/>
        <w:numPr>
          <w:ilvl w:val="0"/>
          <w:numId w:val="5"/>
        </w:numPr>
        <w:kinsoku/>
        <w:wordWrap/>
        <w:overflowPunct/>
        <w:topLinePunct w:val="0"/>
        <w:autoSpaceDE/>
        <w:autoSpaceDN/>
        <w:bidi w:val="0"/>
        <w:adjustRightInd/>
        <w:snapToGrid w:val="0"/>
        <w:spacing w:line="460" w:lineRule="exact"/>
        <w:ind w:left="0" w:leftChars="0" w:firstLine="480" w:firstLineChars="200"/>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本项目的特定资格要</w:t>
      </w:r>
      <w:r>
        <w:rPr>
          <w:rFonts w:hint="eastAsia" w:ascii="微软雅黑" w:hAnsi="微软雅黑" w:eastAsia="微软雅黑" w:cs="微软雅黑"/>
          <w:b w:val="0"/>
          <w:bCs w:val="0"/>
          <w:i w:val="0"/>
          <w:iCs w:val="0"/>
          <w:caps w:val="0"/>
          <w:color w:val="auto"/>
          <w:spacing w:val="0"/>
          <w:sz w:val="24"/>
          <w:szCs w:val="24"/>
          <w:highlight w:val="none"/>
          <w:lang w:val="en-US" w:eastAsia="zh-CN"/>
        </w:rPr>
        <w:t>求：无</w:t>
      </w:r>
    </w:p>
    <w:p>
      <w:pPr>
        <w:keepNext/>
        <w:keepLines/>
        <w:pageBreakBefore w:val="0"/>
        <w:kinsoku/>
        <w:wordWrap/>
        <w:overflowPunct/>
        <w:topLinePunct w:val="0"/>
        <w:autoSpaceDE/>
        <w:autoSpaceDN/>
        <w:bidi w:val="0"/>
        <w:adjustRightInd/>
        <w:spacing w:line="460" w:lineRule="exact"/>
        <w:jc w:val="left"/>
        <w:rPr>
          <w:rFonts w:hint="eastAsia" w:ascii="微软雅黑" w:hAnsi="微软雅黑" w:eastAsia="微软雅黑" w:cs="微软雅黑"/>
          <w:b/>
          <w:color w:val="auto"/>
          <w:kern w:val="0"/>
          <w:sz w:val="24"/>
          <w:szCs w:val="24"/>
        </w:rPr>
      </w:pPr>
      <w:r>
        <w:rPr>
          <w:rFonts w:hint="eastAsia" w:ascii="微软雅黑" w:hAnsi="微软雅黑" w:eastAsia="微软雅黑" w:cs="微软雅黑"/>
          <w:b/>
          <w:color w:val="auto"/>
          <w:sz w:val="24"/>
          <w:szCs w:val="24"/>
        </w:rPr>
        <w:t>三、获取采购文件</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时间：202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 xml:space="preserve"> 10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 xml:space="preserve"> 31 </w:t>
      </w:r>
      <w:r>
        <w:rPr>
          <w:rFonts w:hint="eastAsia" w:ascii="微软雅黑" w:hAnsi="微软雅黑" w:eastAsia="微软雅黑" w:cs="微软雅黑"/>
          <w:color w:val="auto"/>
          <w:sz w:val="24"/>
          <w:szCs w:val="24"/>
        </w:rPr>
        <w:t>日至202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 xml:space="preserve"> 11</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日（上午10:00-14:00，下午16:00-</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0）</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获取磋商文件）。（2）供应商获取磋商文件前应注册成为政府采购云平台正式供应商。</w:t>
      </w:r>
    </w:p>
    <w:p>
      <w:pPr>
        <w:pStyle w:val="13"/>
        <w:pageBreakBefore w:val="0"/>
        <w:kinsoku/>
        <w:wordWrap/>
        <w:overflowPunct/>
        <w:topLinePunct w:val="0"/>
        <w:autoSpaceDE/>
        <w:autoSpaceDN/>
        <w:bidi w:val="0"/>
        <w:adjustRightInd/>
        <w:spacing w:line="460" w:lineRule="exact"/>
        <w:ind w:firstLine="48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 </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四、响应文件提交</w:t>
      </w:r>
      <w:bookmarkEnd w:id="692"/>
      <w:bookmarkEnd w:id="693"/>
      <w:bookmarkEnd w:id="694"/>
      <w:bookmarkEnd w:id="695"/>
      <w:r>
        <w:rPr>
          <w:rFonts w:hint="eastAsia" w:ascii="微软雅黑" w:hAnsi="微软雅黑" w:eastAsia="微软雅黑" w:cs="微软雅黑"/>
          <w:b/>
          <w:color w:val="auto"/>
          <w:sz w:val="24"/>
          <w:szCs w:val="24"/>
        </w:rPr>
        <w:t>及开启</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color w:val="auto"/>
          <w:sz w:val="24"/>
          <w:szCs w:val="24"/>
        </w:rPr>
        <w:t>截止时间：</w:t>
      </w:r>
      <w:r>
        <w:rPr>
          <w:rFonts w:hint="eastAsia" w:ascii="微软雅黑" w:hAnsi="微软雅黑" w:eastAsia="微软雅黑" w:cs="微软雅黑"/>
          <w:color w:val="auto"/>
          <w:sz w:val="24"/>
          <w:szCs w:val="24"/>
          <w:u w:val="none"/>
        </w:rPr>
        <w:t>202</w:t>
      </w:r>
      <w:r>
        <w:rPr>
          <w:rFonts w:hint="eastAsia" w:ascii="微软雅黑" w:hAnsi="微软雅黑" w:eastAsia="微软雅黑" w:cs="微软雅黑"/>
          <w:color w:val="auto"/>
          <w:sz w:val="24"/>
          <w:szCs w:val="24"/>
          <w:u w:val="none"/>
          <w:lang w:val="en-US" w:eastAsia="zh-CN"/>
        </w:rPr>
        <w:t>3</w:t>
      </w:r>
      <w:r>
        <w:rPr>
          <w:rFonts w:hint="eastAsia" w:ascii="微软雅黑" w:hAnsi="微软雅黑" w:eastAsia="微软雅黑" w:cs="微软雅黑"/>
          <w:bCs/>
          <w:color w:val="auto"/>
          <w:sz w:val="24"/>
          <w:szCs w:val="24"/>
          <w:u w:val="none"/>
        </w:rPr>
        <w:t>年</w:t>
      </w:r>
      <w:r>
        <w:rPr>
          <w:rFonts w:hint="eastAsia" w:ascii="微软雅黑" w:hAnsi="微软雅黑" w:eastAsia="微软雅黑" w:cs="微软雅黑"/>
          <w:bCs/>
          <w:color w:val="auto"/>
          <w:sz w:val="24"/>
          <w:szCs w:val="24"/>
          <w:u w:val="none"/>
          <w:lang w:val="en-US" w:eastAsia="zh-CN"/>
        </w:rPr>
        <w:t xml:space="preserve"> 11  </w:t>
      </w:r>
      <w:r>
        <w:rPr>
          <w:rFonts w:hint="eastAsia" w:ascii="微软雅黑" w:hAnsi="微软雅黑" w:eastAsia="微软雅黑" w:cs="微软雅黑"/>
          <w:bCs/>
          <w:color w:val="auto"/>
          <w:sz w:val="24"/>
          <w:szCs w:val="24"/>
          <w:u w:val="none"/>
        </w:rPr>
        <w:t>月</w:t>
      </w:r>
      <w:r>
        <w:rPr>
          <w:rFonts w:hint="eastAsia" w:ascii="微软雅黑" w:hAnsi="微软雅黑" w:eastAsia="微软雅黑" w:cs="微软雅黑"/>
          <w:bCs/>
          <w:color w:val="auto"/>
          <w:sz w:val="24"/>
          <w:szCs w:val="24"/>
          <w:u w:val="none"/>
          <w:lang w:val="en-US" w:eastAsia="zh-CN"/>
        </w:rPr>
        <w:t xml:space="preserve"> 10 </w:t>
      </w:r>
      <w:r>
        <w:rPr>
          <w:rFonts w:hint="eastAsia" w:ascii="微软雅黑" w:hAnsi="微软雅黑" w:eastAsia="微软雅黑" w:cs="微软雅黑"/>
          <w:bCs/>
          <w:color w:val="auto"/>
          <w:sz w:val="24"/>
          <w:szCs w:val="24"/>
          <w:u w:val="none"/>
        </w:rPr>
        <w:t>日</w:t>
      </w:r>
      <w:r>
        <w:rPr>
          <w:rFonts w:hint="eastAsia" w:ascii="微软雅黑" w:hAnsi="微软雅黑" w:eastAsia="微软雅黑" w:cs="微软雅黑"/>
          <w:bCs/>
          <w:color w:val="auto"/>
          <w:sz w:val="24"/>
          <w:szCs w:val="24"/>
          <w:u w:val="none"/>
          <w:lang w:val="en-US" w:eastAsia="zh-CN"/>
        </w:rPr>
        <w:t>11</w:t>
      </w:r>
      <w:r>
        <w:rPr>
          <w:rFonts w:hint="eastAsia" w:ascii="微软雅黑" w:hAnsi="微软雅黑" w:eastAsia="微软雅黑" w:cs="微软雅黑"/>
          <w:bCs/>
          <w:color w:val="auto"/>
          <w:sz w:val="24"/>
          <w:szCs w:val="24"/>
          <w:u w:val="none"/>
        </w:rPr>
        <w:t>点00分（北京时间）</w:t>
      </w:r>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地点：</w:t>
      </w:r>
      <w:r>
        <w:rPr>
          <w:rFonts w:hint="eastAsia" w:ascii="微软雅黑" w:hAnsi="微软雅黑" w:eastAsia="微软雅黑" w:cs="微软雅黑"/>
          <w:i w:val="0"/>
          <w:iCs w:val="0"/>
          <w:caps w:val="0"/>
          <w:color w:val="auto"/>
          <w:spacing w:val="0"/>
          <w:sz w:val="24"/>
          <w:szCs w:val="24"/>
          <w:highlight w:val="none"/>
          <w:lang w:val="en-US" w:eastAsia="zh-CN"/>
        </w:rPr>
        <w:t>政采云平台（https://www.zcygov.cn/）</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bookmarkStart w:id="696" w:name="_Toc28359016"/>
      <w:bookmarkStart w:id="697" w:name="_Toc35393633"/>
      <w:bookmarkStart w:id="698" w:name="_Toc35393802"/>
      <w:bookmarkStart w:id="699" w:name="_Toc28359093"/>
      <w:r>
        <w:rPr>
          <w:rFonts w:hint="eastAsia" w:ascii="微软雅黑" w:hAnsi="微软雅黑" w:eastAsia="微软雅黑" w:cs="微软雅黑"/>
          <w:b/>
          <w:color w:val="auto"/>
          <w:sz w:val="24"/>
          <w:szCs w:val="24"/>
        </w:rPr>
        <w:t>五、</w:t>
      </w:r>
      <w:bookmarkEnd w:id="696"/>
      <w:bookmarkEnd w:id="697"/>
      <w:bookmarkEnd w:id="698"/>
      <w:bookmarkEnd w:id="699"/>
      <w:bookmarkStart w:id="700" w:name="_Toc28359094"/>
      <w:bookmarkStart w:id="701" w:name="_Toc35393803"/>
      <w:bookmarkStart w:id="702" w:name="_Toc35393634"/>
      <w:bookmarkStart w:id="703" w:name="_Toc28359017"/>
      <w:r>
        <w:rPr>
          <w:rFonts w:hint="eastAsia" w:ascii="微软雅黑" w:hAnsi="微软雅黑" w:eastAsia="微软雅黑" w:cs="微软雅黑"/>
          <w:b/>
          <w:color w:val="auto"/>
          <w:sz w:val="24"/>
          <w:szCs w:val="24"/>
        </w:rPr>
        <w:t>公告期限</w:t>
      </w:r>
      <w:bookmarkEnd w:id="700"/>
      <w:bookmarkEnd w:id="701"/>
      <w:bookmarkEnd w:id="702"/>
      <w:bookmarkEnd w:id="703"/>
    </w:p>
    <w:p>
      <w:pPr>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自本公告发布之日起3个工作日。</w:t>
      </w:r>
    </w:p>
    <w:p>
      <w:pPr>
        <w:keepNext/>
        <w:keepLines/>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lang w:eastAsia="zh-CN"/>
        </w:rPr>
      </w:pPr>
      <w:r>
        <w:rPr>
          <w:rFonts w:hint="eastAsia" w:ascii="微软雅黑" w:hAnsi="微软雅黑" w:eastAsia="微软雅黑" w:cs="微软雅黑"/>
          <w:b/>
          <w:color w:val="auto"/>
          <w:sz w:val="24"/>
          <w:szCs w:val="24"/>
        </w:rPr>
        <w:t>六、其他补充事宜</w:t>
      </w:r>
      <w:r>
        <w:rPr>
          <w:rFonts w:hint="eastAsia" w:ascii="微软雅黑" w:hAnsi="微软雅黑" w:eastAsia="微软雅黑" w:cs="微软雅黑"/>
          <w:b/>
          <w:color w:val="auto"/>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bookmarkStart w:id="704" w:name="_Toc35393635"/>
      <w:bookmarkStart w:id="705" w:name="_Toc35393804"/>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left="0" w:leftChars="0" w:firstLine="540"/>
        <w:textAlignment w:val="auto"/>
        <w:rPr>
          <w:rFonts w:hint="eastAsia" w:ascii="微软雅黑" w:hAnsi="微软雅黑" w:eastAsia="微软雅黑" w:cs="微软雅黑"/>
          <w:b/>
          <w:bCs/>
          <w:color w:val="auto"/>
          <w:kern w:val="0"/>
          <w:sz w:val="24"/>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7"/>
        <w:pageBreakBefore w:val="0"/>
        <w:kinsoku/>
        <w:wordWrap/>
        <w:overflowPunct/>
        <w:topLinePunct w:val="0"/>
        <w:autoSpaceDE/>
        <w:autoSpaceDN/>
        <w:bidi w:val="0"/>
        <w:adjustRightInd/>
        <w:spacing w:line="460" w:lineRule="exact"/>
        <w:ind w:firstLine="240" w:firstLineChars="100"/>
        <w:textAlignment w:val="auto"/>
        <w:rPr>
          <w:rFonts w:ascii="微软雅黑" w:hAnsi="微软雅黑" w:eastAsia="微软雅黑" w:cs="微软雅黑"/>
          <w:b/>
          <w:bCs/>
          <w:color w:val="auto"/>
          <w:kern w:val="0"/>
          <w:sz w:val="24"/>
        </w:rPr>
      </w:pPr>
      <w:r>
        <w:rPr>
          <w:rFonts w:hint="eastAsia" w:ascii="微软雅黑" w:hAnsi="微软雅黑" w:eastAsia="微软雅黑" w:cs="微软雅黑"/>
          <w:b/>
          <w:bCs/>
          <w:color w:val="auto"/>
          <w:kern w:val="0"/>
          <w:sz w:val="24"/>
        </w:rPr>
        <w:t>特别提示：</w:t>
      </w:r>
    </w:p>
    <w:p>
      <w:pPr>
        <w:pStyle w:val="27"/>
        <w:pageBreakBefore w:val="0"/>
        <w:kinsoku/>
        <w:wordWrap/>
        <w:overflowPunct/>
        <w:topLinePunct w:val="0"/>
        <w:autoSpaceDE/>
        <w:autoSpaceDN/>
        <w:bidi w:val="0"/>
        <w:adjustRightInd/>
        <w:spacing w:line="46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1、超过200万元的货物和服务采购项目、超过400万元的工程采购项目中适宜由中小企业提供的，预留该部分采购项目预算总额的</w:t>
      </w:r>
      <w:r>
        <w:rPr>
          <w:rFonts w:hint="eastAsia" w:ascii="微软雅黑" w:hAnsi="微软雅黑" w:eastAsia="微软雅黑" w:cs="微软雅黑"/>
          <w:b w:val="0"/>
          <w:bCs w:val="0"/>
          <w:color w:val="auto"/>
          <w:kern w:val="0"/>
          <w:sz w:val="24"/>
          <w:lang w:val="en-US" w:eastAsia="zh-CN"/>
        </w:rPr>
        <w:t>30</w:t>
      </w:r>
      <w:r>
        <w:rPr>
          <w:rFonts w:hint="eastAsia" w:ascii="微软雅黑" w:hAnsi="微软雅黑" w:eastAsia="微软雅黑" w:cs="微软雅黑"/>
          <w:b w:val="0"/>
          <w:bCs w:val="0"/>
          <w:color w:val="auto"/>
          <w:kern w:val="0"/>
          <w:sz w:val="24"/>
        </w:rPr>
        <w:t>%以上专门面向中小企业采购，其中预留给小微企业的比例不低于60%。</w:t>
      </w:r>
    </w:p>
    <w:p>
      <w:pPr>
        <w:pStyle w:val="27"/>
        <w:pageBreakBefore w:val="0"/>
        <w:kinsoku/>
        <w:wordWrap/>
        <w:overflowPunct/>
        <w:topLinePunct w:val="0"/>
        <w:autoSpaceDE/>
        <w:autoSpaceDN/>
        <w:bidi w:val="0"/>
        <w:adjustRightInd/>
        <w:spacing w:line="460" w:lineRule="exact"/>
        <w:ind w:firstLine="480" w:firstLineChars="200"/>
        <w:textAlignment w:val="auto"/>
        <w:rPr>
          <w:rFonts w:ascii="微软雅黑" w:hAnsi="微软雅黑" w:eastAsia="微软雅黑" w:cs="微软雅黑"/>
          <w:b w:val="0"/>
          <w:bCs w:val="0"/>
          <w:color w:val="auto"/>
          <w:kern w:val="0"/>
          <w:sz w:val="24"/>
        </w:rPr>
      </w:pPr>
      <w:r>
        <w:rPr>
          <w:rFonts w:hint="eastAsia" w:ascii="微软雅黑" w:hAnsi="微软雅黑" w:eastAsia="微软雅黑" w:cs="微软雅黑"/>
          <w:b w:val="0"/>
          <w:bCs w:val="0"/>
          <w:color w:val="auto"/>
          <w:kern w:val="0"/>
          <w:sz w:val="24"/>
        </w:rPr>
        <w:t>2、对于未预留份额专门面向中小企业的采购项目，以及预留份额项目中的非预留部分采购包，采购人、采购代理机构应当对符合规定的小微企业报价给予10%~20%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7"/>
        <w:pageBreakBefore w:val="0"/>
        <w:kinsoku/>
        <w:wordWrap/>
        <w:overflowPunct/>
        <w:topLinePunct w:val="0"/>
        <w:autoSpaceDE/>
        <w:autoSpaceDN/>
        <w:bidi w:val="0"/>
        <w:adjustRightInd/>
        <w:spacing w:line="460" w:lineRule="exact"/>
        <w:ind w:firstLine="480" w:firstLineChars="200"/>
        <w:textAlignment w:val="auto"/>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kern w:val="0"/>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微软雅黑" w:hAnsi="微软雅黑" w:eastAsia="微软雅黑" w:cs="微软雅黑"/>
          <w:b w:val="0"/>
          <w:bCs w:val="0"/>
          <w:color w:val="auto"/>
          <w:kern w:val="0"/>
          <w:sz w:val="24"/>
          <w:lang w:val="en-US" w:eastAsia="zh-CN"/>
        </w:rPr>
        <w:t>6</w:t>
      </w:r>
      <w:r>
        <w:rPr>
          <w:rFonts w:hint="eastAsia" w:ascii="微软雅黑" w:hAnsi="微软雅黑" w:eastAsia="微软雅黑" w:cs="微软雅黑"/>
          <w:b w:val="0"/>
          <w:bCs w:val="0"/>
          <w:color w:val="auto"/>
          <w:kern w:val="0"/>
          <w:sz w:val="24"/>
        </w:rPr>
        <w:t>%~</w:t>
      </w:r>
      <w:r>
        <w:rPr>
          <w:rFonts w:hint="eastAsia" w:ascii="微软雅黑" w:hAnsi="微软雅黑" w:eastAsia="微软雅黑" w:cs="微软雅黑"/>
          <w:b w:val="0"/>
          <w:bCs w:val="0"/>
          <w:color w:val="auto"/>
          <w:kern w:val="0"/>
          <w:sz w:val="24"/>
          <w:lang w:val="en-US" w:eastAsia="zh-CN"/>
        </w:rPr>
        <w:t>10</w:t>
      </w:r>
      <w:r>
        <w:rPr>
          <w:rFonts w:hint="eastAsia" w:ascii="微软雅黑" w:hAnsi="微软雅黑" w:eastAsia="微软雅黑" w:cs="微软雅黑"/>
          <w:b w:val="0"/>
          <w:bCs w:val="0"/>
          <w:color w:val="auto"/>
          <w:kern w:val="0"/>
          <w:sz w:val="24"/>
        </w:rPr>
        <w:t>%作为其价格分。</w:t>
      </w:r>
    </w:p>
    <w:p>
      <w:pPr>
        <w:pStyle w:val="27"/>
        <w:pageBreakBefore w:val="0"/>
        <w:kinsoku/>
        <w:wordWrap/>
        <w:overflowPunct/>
        <w:topLinePunct w:val="0"/>
        <w:autoSpaceDE/>
        <w:autoSpaceDN/>
        <w:bidi w:val="0"/>
        <w:adjustRightInd/>
        <w:spacing w:line="460" w:lineRule="exact"/>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七、</w:t>
      </w:r>
      <w:bookmarkEnd w:id="704"/>
      <w:bookmarkEnd w:id="705"/>
      <w:bookmarkStart w:id="706" w:name="_Toc28359018"/>
      <w:bookmarkStart w:id="707" w:name="_Toc28359095"/>
      <w:bookmarkStart w:id="708" w:name="_Toc35393805"/>
      <w:bookmarkStart w:id="709" w:name="_Toc35393636"/>
      <w:r>
        <w:rPr>
          <w:rFonts w:hint="eastAsia" w:ascii="微软雅黑" w:hAnsi="微软雅黑" w:eastAsia="微软雅黑" w:cs="微软雅黑"/>
          <w:b/>
          <w:color w:val="auto"/>
          <w:sz w:val="24"/>
          <w:szCs w:val="24"/>
        </w:rPr>
        <w:t>凡对本次采购提出询问，请按以下方式联系。</w:t>
      </w:r>
      <w:bookmarkEnd w:id="706"/>
      <w:bookmarkEnd w:id="707"/>
      <w:bookmarkEnd w:id="708"/>
      <w:bookmarkEnd w:id="709"/>
      <w:bookmarkStart w:id="710" w:name="_Toc35393806"/>
      <w:bookmarkStart w:id="711" w:name="_Toc28359019"/>
      <w:bookmarkStart w:id="712" w:name="_Toc28359096"/>
      <w:bookmarkStart w:id="713" w:name="_Toc35393637"/>
      <w:bookmarkStart w:id="714" w:name="_Toc4002"/>
    </w:p>
    <w:p>
      <w:pPr>
        <w:pStyle w:val="27"/>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rPr>
        <w:t>1.采购人信息</w:t>
      </w:r>
      <w:bookmarkEnd w:id="710"/>
      <w:bookmarkEnd w:id="711"/>
      <w:bookmarkEnd w:id="712"/>
      <w:bookmarkEnd w:id="713"/>
      <w:bookmarkEnd w:id="714"/>
      <w:bookmarkStart w:id="715" w:name="_Toc29470"/>
      <w:bookmarkStart w:id="716" w:name="_Toc35393638"/>
      <w:bookmarkStart w:id="717" w:name="_Toc28359097"/>
      <w:bookmarkStart w:id="718" w:name="_Toc28359020"/>
      <w:bookmarkStart w:id="719" w:name="_Toc35393807"/>
    </w:p>
    <w:p>
      <w:pPr>
        <w:pStyle w:val="27"/>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rPr>
        <w:t>名    称：</w:t>
      </w:r>
      <w:bookmarkEnd w:id="715"/>
      <w:bookmarkStart w:id="720" w:name="_Toc21820"/>
      <w:r>
        <w:rPr>
          <w:rFonts w:hint="eastAsia" w:ascii="微软雅黑" w:hAnsi="微软雅黑" w:eastAsia="微软雅黑" w:cs="微软雅黑"/>
          <w:bCs/>
          <w:color w:val="auto"/>
          <w:sz w:val="24"/>
          <w:szCs w:val="24"/>
          <w:lang w:val="en-US" w:eastAsia="zh-CN"/>
        </w:rPr>
        <w:t>疏勒县罕南力克镇人民政府</w:t>
      </w:r>
    </w:p>
    <w:p>
      <w:pPr>
        <w:pStyle w:val="27"/>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地    址：</w:t>
      </w:r>
      <w:bookmarkEnd w:id="720"/>
      <w:bookmarkStart w:id="721" w:name="_Toc7391"/>
      <w:r>
        <w:rPr>
          <w:rFonts w:hint="eastAsia" w:ascii="微软雅黑" w:hAnsi="微软雅黑" w:eastAsia="微软雅黑" w:cs="微软雅黑"/>
          <w:bCs/>
          <w:color w:val="auto"/>
          <w:sz w:val="24"/>
          <w:szCs w:val="24"/>
        </w:rPr>
        <w:t>疏勒县罕南力克镇人民政府</w:t>
      </w:r>
    </w:p>
    <w:p>
      <w:pPr>
        <w:pStyle w:val="27"/>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联 系 人：</w:t>
      </w:r>
      <w:bookmarkEnd w:id="721"/>
      <w:r>
        <w:rPr>
          <w:rFonts w:hint="eastAsia" w:ascii="微软雅黑" w:hAnsi="微软雅黑" w:eastAsia="微软雅黑" w:cs="微软雅黑"/>
          <w:bCs/>
          <w:color w:val="auto"/>
          <w:sz w:val="24"/>
          <w:szCs w:val="24"/>
        </w:rPr>
        <w:t xml:space="preserve">徐爱娣 </w:t>
      </w:r>
    </w:p>
    <w:p>
      <w:pPr>
        <w:pStyle w:val="27"/>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rPr>
      </w:pPr>
      <w:bookmarkStart w:id="722" w:name="_Toc15683"/>
      <w:bookmarkStart w:id="723" w:name="_Toc242"/>
      <w:r>
        <w:rPr>
          <w:rFonts w:hint="eastAsia" w:ascii="微软雅黑" w:hAnsi="微软雅黑" w:eastAsia="微软雅黑" w:cs="微软雅黑"/>
          <w:bCs/>
          <w:color w:val="auto"/>
          <w:sz w:val="24"/>
          <w:szCs w:val="24"/>
        </w:rPr>
        <w:t>联系方式：</w:t>
      </w:r>
      <w:bookmarkEnd w:id="722"/>
      <w:bookmarkEnd w:id="723"/>
      <w:r>
        <w:rPr>
          <w:rFonts w:hint="eastAsia" w:ascii="微软雅黑" w:hAnsi="微软雅黑" w:eastAsia="微软雅黑" w:cs="微软雅黑"/>
          <w:bCs/>
          <w:color w:val="auto"/>
          <w:sz w:val="24"/>
          <w:szCs w:val="24"/>
        </w:rPr>
        <w:t>17690145535</w:t>
      </w:r>
    </w:p>
    <w:p>
      <w:pPr>
        <w:pageBreakBefore w:val="0"/>
        <w:kinsoku/>
        <w:wordWrap/>
        <w:overflowPunct/>
        <w:topLinePunct w:val="0"/>
        <w:autoSpaceDE/>
        <w:autoSpaceDN/>
        <w:bidi w:val="0"/>
        <w:adjustRightInd/>
        <w:spacing w:before="0" w:line="460" w:lineRule="exact"/>
        <w:ind w:firstLine="480" w:firstLineChars="200"/>
        <w:jc w:val="left"/>
        <w:outlineLvl w:val="9"/>
        <w:rPr>
          <w:rFonts w:hint="eastAsia" w:ascii="微软雅黑" w:hAnsi="微软雅黑" w:eastAsia="微软雅黑" w:cs="微软雅黑"/>
          <w:bCs/>
          <w:color w:val="auto"/>
          <w:kern w:val="2"/>
          <w:sz w:val="24"/>
          <w:szCs w:val="24"/>
        </w:rPr>
      </w:pPr>
      <w:bookmarkStart w:id="724" w:name="_Toc24525"/>
      <w:bookmarkStart w:id="725" w:name="_Toc15983"/>
      <w:bookmarkStart w:id="726" w:name="_Toc1170"/>
      <w:bookmarkStart w:id="727" w:name="_Toc19222"/>
      <w:r>
        <w:rPr>
          <w:rFonts w:hint="eastAsia" w:ascii="微软雅黑" w:hAnsi="微软雅黑" w:eastAsia="微软雅黑" w:cs="微软雅黑"/>
          <w:bCs/>
          <w:color w:val="auto"/>
          <w:kern w:val="2"/>
          <w:sz w:val="24"/>
          <w:szCs w:val="24"/>
        </w:rPr>
        <w:t>2.采购代理机构信息</w:t>
      </w:r>
      <w:bookmarkEnd w:id="716"/>
      <w:bookmarkEnd w:id="717"/>
      <w:bookmarkEnd w:id="718"/>
      <w:bookmarkEnd w:id="719"/>
      <w:bookmarkEnd w:id="724"/>
      <w:bookmarkEnd w:id="725"/>
      <w:bookmarkEnd w:id="726"/>
      <w:bookmarkEnd w:id="727"/>
    </w:p>
    <w:p>
      <w:pPr>
        <w:pStyle w:val="27"/>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名 称：新疆永业鑫达招标有限公司</w:t>
      </w:r>
    </w:p>
    <w:p>
      <w:pPr>
        <w:pStyle w:val="27"/>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地 址：喀什市明宇路明宇广场</w:t>
      </w:r>
    </w:p>
    <w:p>
      <w:pPr>
        <w:pStyle w:val="27"/>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项目联系人：赵艳芳</w:t>
      </w:r>
    </w:p>
    <w:p>
      <w:pPr>
        <w:pStyle w:val="27"/>
        <w:pageBreakBefore w:val="0"/>
        <w:kinsoku/>
        <w:wordWrap/>
        <w:overflowPunct/>
        <w:topLinePunct w:val="0"/>
        <w:autoSpaceDE/>
        <w:autoSpaceDN/>
        <w:bidi w:val="0"/>
        <w:adjustRightInd/>
        <w:spacing w:line="460" w:lineRule="exact"/>
        <w:ind w:firstLine="480" w:firstLineChars="200"/>
        <w:rPr>
          <w:rFonts w:hint="eastAsia" w:ascii="微软雅黑" w:hAnsi="微软雅黑" w:eastAsia="微软雅黑" w:cs="微软雅黑"/>
          <w:bCs/>
          <w:color w:val="auto"/>
          <w:sz w:val="24"/>
          <w:szCs w:val="24"/>
          <w:lang w:val="en-US" w:eastAsia="zh-CN"/>
        </w:rPr>
      </w:pPr>
      <w:r>
        <w:rPr>
          <w:rFonts w:hint="eastAsia" w:ascii="微软雅黑" w:hAnsi="微软雅黑" w:eastAsia="微软雅黑" w:cs="微软雅黑"/>
          <w:bCs/>
          <w:color w:val="auto"/>
          <w:sz w:val="24"/>
          <w:szCs w:val="24"/>
          <w:lang w:val="en-US" w:eastAsia="zh-CN"/>
        </w:rPr>
        <w:t>联系方式：18299881302</w:t>
      </w:r>
    </w:p>
    <w:p/>
    <w:p>
      <w:pPr>
        <w:pStyle w:val="13"/>
        <w:ind w:left="0" w:leftChars="0" w:firstLine="0" w:firstLineChars="0"/>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
      <w:pPr>
        <w:outlineLvl w:val="9"/>
      </w:pPr>
    </w:p>
    <w:p>
      <w:pPr>
        <w:tabs>
          <w:tab w:val="left" w:pos="0"/>
        </w:tabs>
        <w:snapToGrid w:val="0"/>
        <w:spacing w:before="0" w:after="0" w:line="240" w:lineRule="auto"/>
        <w:textAlignment w:val="baseline"/>
        <w:outlineLvl w:val="9"/>
        <w:rPr>
          <w:rFonts w:hint="eastAsia" w:ascii="微软雅黑" w:hAnsi="微软雅黑" w:eastAsia="微软雅黑" w:cs="微软雅黑"/>
          <w:szCs w:val="32"/>
        </w:rPr>
      </w:pPr>
      <w:bookmarkStart w:id="728" w:name="_Toc21562"/>
    </w:p>
    <w:p>
      <w:pPr>
        <w:pStyle w:val="2"/>
        <w:rPr>
          <w:rFonts w:hint="eastAsia" w:ascii="微软雅黑" w:hAnsi="微软雅黑" w:eastAsia="微软雅黑" w:cs="微软雅黑"/>
          <w:szCs w:val="32"/>
        </w:rPr>
      </w:pPr>
    </w:p>
    <w:p>
      <w:pPr>
        <w:rPr>
          <w:rFonts w:hint="eastAsia" w:ascii="微软雅黑" w:hAnsi="微软雅黑" w:eastAsia="微软雅黑" w:cs="微软雅黑"/>
          <w:szCs w:val="32"/>
        </w:rPr>
      </w:pPr>
    </w:p>
    <w:p>
      <w:pPr>
        <w:pStyle w:val="2"/>
        <w:rPr>
          <w:rFonts w:hint="eastAsia"/>
        </w:rPr>
      </w:pPr>
    </w:p>
    <w:p>
      <w:pPr>
        <w:tabs>
          <w:tab w:val="left" w:pos="0"/>
        </w:tabs>
        <w:snapToGrid w:val="0"/>
        <w:spacing w:before="0" w:after="0" w:line="240" w:lineRule="auto"/>
        <w:textAlignment w:val="baseline"/>
        <w:outlineLvl w:val="9"/>
        <w:rPr>
          <w:rFonts w:hint="eastAsia" w:ascii="微软雅黑" w:hAnsi="微软雅黑" w:eastAsia="微软雅黑" w:cs="微软雅黑"/>
          <w:szCs w:val="32"/>
        </w:rPr>
      </w:pPr>
    </w:p>
    <w:p>
      <w:pPr>
        <w:tabs>
          <w:tab w:val="left" w:pos="0"/>
        </w:tabs>
        <w:snapToGrid w:val="0"/>
        <w:spacing w:before="0" w:after="0" w:line="240" w:lineRule="auto"/>
        <w:textAlignment w:val="baseline"/>
        <w:outlineLvl w:val="9"/>
        <w:rPr>
          <w:rFonts w:hint="eastAsia" w:ascii="微软雅黑" w:hAnsi="微软雅黑" w:eastAsia="微软雅黑" w:cs="微软雅黑"/>
          <w:szCs w:val="32"/>
        </w:rPr>
      </w:pPr>
    </w:p>
    <w:p>
      <w:pPr>
        <w:tabs>
          <w:tab w:val="left" w:pos="0"/>
        </w:tabs>
        <w:snapToGrid w:val="0"/>
        <w:spacing w:before="0" w:after="0" w:line="240" w:lineRule="auto"/>
        <w:textAlignment w:val="baseline"/>
        <w:outlineLvl w:val="9"/>
        <w:rPr>
          <w:rFonts w:hint="eastAsia" w:ascii="微软雅黑" w:hAnsi="微软雅黑" w:eastAsia="微软雅黑" w:cs="微软雅黑"/>
          <w:szCs w:val="32"/>
        </w:rPr>
      </w:pPr>
    </w:p>
    <w:p>
      <w:pPr>
        <w:pStyle w:val="3"/>
        <w:tabs>
          <w:tab w:val="left" w:pos="0"/>
        </w:tabs>
        <w:snapToGrid w:val="0"/>
        <w:spacing w:before="0" w:after="0" w:line="240" w:lineRule="auto"/>
        <w:textAlignment w:val="baseline"/>
        <w:rPr>
          <w:rFonts w:ascii="微软雅黑" w:hAnsi="微软雅黑" w:eastAsia="微软雅黑" w:cs="微软雅黑"/>
          <w:szCs w:val="32"/>
        </w:rPr>
      </w:pPr>
      <w:bookmarkStart w:id="729" w:name="_Toc10199"/>
      <w:r>
        <w:rPr>
          <w:rFonts w:hint="eastAsia" w:ascii="微软雅黑" w:hAnsi="微软雅黑" w:eastAsia="微软雅黑" w:cs="微软雅黑"/>
          <w:szCs w:val="32"/>
        </w:rPr>
        <w:t>第4章  供应商须知资料表</w:t>
      </w:r>
      <w:bookmarkEnd w:id="678"/>
      <w:bookmarkEnd w:id="679"/>
      <w:bookmarkEnd w:id="680"/>
      <w:bookmarkEnd w:id="681"/>
      <w:bookmarkEnd w:id="682"/>
      <w:bookmarkEnd w:id="683"/>
      <w:bookmarkEnd w:id="728"/>
      <w:bookmarkEnd w:id="729"/>
    </w:p>
    <w:p>
      <w:pPr>
        <w:snapToGrid w:val="0"/>
        <w:spacing w:line="240" w:lineRule="atLeast"/>
        <w:ind w:firstLine="360" w:firstLineChars="15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本表是本采购项目的具体资料，是对供应商须知的具体补充和修改，如有矛盾，应以本资料表为准。</w:t>
      </w:r>
    </w:p>
    <w:tbl>
      <w:tblPr>
        <w:tblStyle w:val="37"/>
        <w:tblW w:w="9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1395" w:type="dxa"/>
            <w:vAlign w:val="center"/>
          </w:tcPr>
          <w:p>
            <w:pPr>
              <w:snapToGrid w:val="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条款号</w:t>
            </w:r>
          </w:p>
        </w:tc>
        <w:tc>
          <w:tcPr>
            <w:tcW w:w="8115" w:type="dxa"/>
            <w:vAlign w:val="center"/>
          </w:tcPr>
          <w:p>
            <w:pPr>
              <w:snapToGrid w:val="0"/>
              <w:ind w:left="1080" w:leftChars="257" w:hanging="540"/>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1.1</w:t>
            </w:r>
          </w:p>
        </w:tc>
        <w:tc>
          <w:tcPr>
            <w:tcW w:w="8115" w:type="dxa"/>
            <w:vAlign w:val="center"/>
          </w:tcPr>
          <w:p>
            <w:pPr>
              <w:pStyle w:val="32"/>
              <w:widowControl/>
              <w:snapToGrid w:val="0"/>
              <w:spacing w:before="0" w:after="0"/>
              <w:textAlignment w:val="baseline"/>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采购人：</w:t>
            </w:r>
            <w:r>
              <w:rPr>
                <w:rFonts w:hint="eastAsia" w:ascii="微软雅黑" w:hAnsi="微软雅黑" w:eastAsia="微软雅黑" w:cs="微软雅黑"/>
                <w:sz w:val="24"/>
                <w:szCs w:val="24"/>
                <w:lang w:val="en-US" w:eastAsia="zh-CN"/>
              </w:rPr>
              <w:t>疏勒县罕南力克镇人民政府</w:t>
            </w:r>
          </w:p>
          <w:p>
            <w:pPr>
              <w:pStyle w:val="32"/>
              <w:widowControl/>
              <w:snapToGrid w:val="0"/>
              <w:spacing w:before="0" w:after="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联 系 人：</w:t>
            </w:r>
            <w:r>
              <w:rPr>
                <w:rFonts w:hint="eastAsia" w:ascii="微软雅黑" w:hAnsi="微软雅黑" w:eastAsia="微软雅黑" w:cs="微软雅黑"/>
                <w:sz w:val="24"/>
                <w:szCs w:val="24"/>
                <w:u w:val="none"/>
                <w:lang w:eastAsia="zh-CN"/>
              </w:rPr>
              <w:t xml:space="preserve">徐爱娣 </w:t>
            </w:r>
            <w:r>
              <w:rPr>
                <w:rFonts w:hint="eastAsia" w:ascii="微软雅黑" w:hAnsi="微软雅黑" w:eastAsia="微软雅黑" w:cs="微软雅黑"/>
                <w:sz w:val="24"/>
                <w:szCs w:val="24"/>
                <w:u w:val="none"/>
              </w:rPr>
              <w:t xml:space="preserve">     </w:t>
            </w:r>
            <w:r>
              <w:rPr>
                <w:rFonts w:hint="eastAsia" w:ascii="微软雅黑" w:hAnsi="微软雅黑" w:eastAsia="微软雅黑" w:cs="微软雅黑"/>
                <w:sz w:val="24"/>
                <w:szCs w:val="24"/>
              </w:rPr>
              <w:t xml:space="preserve">  联系电话：</w:t>
            </w:r>
            <w:r>
              <w:rPr>
                <w:rFonts w:hint="eastAsia" w:ascii="微软雅黑" w:hAnsi="微软雅黑" w:eastAsia="微软雅黑" w:cs="微软雅黑"/>
                <w:sz w:val="24"/>
                <w:szCs w:val="24"/>
                <w:lang w:val="en-US" w:eastAsia="zh-CN"/>
              </w:rPr>
              <w:t xml:space="preserve">17690145535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w:t>
            </w:r>
          </w:p>
        </w:tc>
        <w:tc>
          <w:tcPr>
            <w:tcW w:w="8115" w:type="dxa"/>
            <w:vAlign w:val="center"/>
          </w:tcPr>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采购代理机构：</w:t>
            </w:r>
            <w:r>
              <w:rPr>
                <w:rFonts w:hint="eastAsia" w:ascii="微软雅黑" w:hAnsi="微软雅黑" w:eastAsia="微软雅黑" w:cs="微软雅黑"/>
                <w:b w:val="0"/>
                <w:bCs/>
                <w:color w:val="auto"/>
                <w:kern w:val="2"/>
                <w:sz w:val="24"/>
                <w:szCs w:val="24"/>
                <w:u w:val="none"/>
                <w:lang w:val="en-US" w:eastAsia="zh-CN" w:bidi="ar-SA"/>
              </w:rPr>
              <w:t xml:space="preserve">新疆永业鑫达招标有限公司 </w:t>
            </w:r>
          </w:p>
          <w:p>
            <w:pPr>
              <w:snapToGrid w:val="0"/>
              <w:textAlignment w:val="baseline"/>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联系人：</w:t>
            </w:r>
            <w:r>
              <w:rPr>
                <w:rFonts w:hint="eastAsia" w:ascii="微软雅黑" w:hAnsi="微软雅黑" w:eastAsia="微软雅黑" w:cs="微软雅黑"/>
                <w:sz w:val="24"/>
                <w:szCs w:val="24"/>
                <w:lang w:val="en-US" w:eastAsia="zh-CN"/>
              </w:rPr>
              <w:t>赵艳芳</w:t>
            </w:r>
            <w:r>
              <w:rPr>
                <w:rFonts w:hint="eastAsia" w:ascii="微软雅黑" w:hAnsi="微软雅黑" w:eastAsia="微软雅黑" w:cs="微软雅黑"/>
                <w:sz w:val="24"/>
                <w:szCs w:val="24"/>
              </w:rPr>
              <w:t xml:space="preserve">         联系电话：</w:t>
            </w:r>
            <w:r>
              <w:rPr>
                <w:rFonts w:hint="eastAsia" w:ascii="微软雅黑" w:hAnsi="微软雅黑" w:eastAsia="微软雅黑" w:cs="微软雅黑"/>
                <w:b w:val="0"/>
                <w:bCs/>
                <w:color w:val="auto"/>
                <w:kern w:val="2"/>
                <w:sz w:val="24"/>
                <w:szCs w:val="24"/>
                <w:u w:val="none"/>
                <w:lang w:val="en-US" w:eastAsia="zh-CN" w:bidi="ar-SA"/>
              </w:rPr>
              <w:t xml:space="preserve">18299881302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1.3.4</w:t>
            </w:r>
          </w:p>
        </w:tc>
        <w:tc>
          <w:tcPr>
            <w:tcW w:w="8115" w:type="dxa"/>
            <w:vAlign w:val="center"/>
          </w:tcPr>
          <w:p>
            <w:pPr>
              <w:snapToGrid w:val="0"/>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合格供应商的其他资格要求：</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1、满足《中华人民共和国政府采购法》第二十二条规定；</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①具有独立承担民事责任的能力；（投标时，提供在中华人民共和国境内注册的法人或其他组织的营业执照或事业单位法人证书或社会团体法人登记证书）</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②提供法定代表人资格证明及授权书、被授权人身份证；(法定代表人投标需提供法定代表人身份证)；</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③本单位依法缴纳的近3个月内任意一个月的社会保险的凭据；</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④税务部门出具的近3个月内任意一个月的完税证明（依法免缴的应提供依法免缴的相关证明文件或零申报报表）；</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⑤提供近两年任意一年完整的财务审计报告（成立不满一年的可提供近一个月的银行资信证明）</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⑥参与政府采购活动前3年内未被列入失信、重大税收违法案件、财政部门禁止参加政府采购活动的承诺书；</w:t>
            </w:r>
          </w:p>
          <w:p>
            <w:pPr>
              <w:widowControl/>
              <w:snapToGrid w:val="0"/>
              <w:jc w:val="left"/>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⑦提供针对本次项目的反商业贿赂承诺书。</w:t>
            </w:r>
          </w:p>
          <w:p>
            <w:pPr>
              <w:widowControl/>
              <w:snapToGrid w:val="0"/>
              <w:jc w:val="left"/>
              <w:textAlignment w:val="baseline"/>
              <w:rPr>
                <w:rFonts w:hint="eastAsia"/>
                <w:lang w:val="en-US" w:eastAsia="zh-CN"/>
              </w:rPr>
            </w:pPr>
            <w:r>
              <w:rPr>
                <w:rFonts w:hint="eastAsia" w:ascii="微软雅黑" w:hAnsi="微软雅黑" w:eastAsia="微软雅黑" w:cs="微软雅黑"/>
                <w:b/>
                <w:bCs/>
                <w:sz w:val="24"/>
                <w:szCs w:val="24"/>
                <w:lang w:val="en-US" w:eastAsia="zh-CN"/>
              </w:rPr>
              <w:t>⑧根据《财政部关于在政府采购活动中查询及使用信用记录有关问题的通知》（财库﹝2016﹞125号）的要求，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widowControl/>
              <w:snapToGrid w:val="0"/>
              <w:jc w:val="left"/>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2、磋商保证金有效凭证</w:t>
            </w:r>
            <w:r>
              <w:rPr>
                <w:rFonts w:hint="eastAsia" w:ascii="微软雅黑" w:hAnsi="微软雅黑" w:eastAsia="微软雅黑" w:cs="微软雅黑"/>
                <w:b/>
                <w:bCs/>
                <w:sz w:val="24"/>
                <w:szCs w:val="24"/>
              </w:rPr>
              <w:t>。</w:t>
            </w:r>
          </w:p>
          <w:p>
            <w:pPr>
              <w:widowControl/>
              <w:snapToGrid w:val="0"/>
              <w:jc w:val="left"/>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w:t>
            </w:r>
          </w:p>
          <w:p>
            <w:pPr>
              <w:widowControl/>
              <w:snapToGrid w:val="0"/>
              <w:ind w:firstLine="240" w:firstLineChars="10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1、“税务部门出具的完税证明”：完税证明中“税种”非养老保险、医疗保险、失业保险、工伤保险和生育保险。请各投标供应商注意！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1.3.5   </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是否允许采购进口产品：</w:t>
            </w:r>
            <w:r>
              <w:rPr>
                <w:rFonts w:hint="eastAsia" w:ascii="微软雅黑" w:hAnsi="微软雅黑" w:eastAsia="微软雅黑" w:cs="微软雅黑"/>
                <w:sz w:val="24"/>
                <w:szCs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1.3.6</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是否为专门面向中小企业采购：</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u w:val="single" w:color="000000"/>
                <w:lang w:val="en-US" w:eastAsia="zh-CN"/>
              </w:rPr>
              <w:t>是</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b/>
                <w:bCs/>
                <w:sz w:val="24"/>
                <w:szCs w:val="24"/>
                <w:u w:val="none" w:color="auto"/>
                <w:lang w:val="en-US" w:eastAsia="zh-CN"/>
              </w:rPr>
              <w:t>潜在投标企业属于中小微企业的，应在响应文件中提供‘’中小企业声明函”如果未提供或提供“中小企业声明函”内容不实的，供应商将承担由此造成的一切不利后果。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是否允许联合体磋商：</w:t>
            </w:r>
            <w:r>
              <w:rPr>
                <w:rFonts w:hint="eastAsia" w:ascii="微软雅黑" w:hAnsi="微软雅黑" w:eastAsia="微软雅黑" w:cs="微软雅黑"/>
                <w:sz w:val="24"/>
                <w:szCs w:val="24"/>
                <w:u w:val="single" w:color="000000"/>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1.4.8</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2.2</w:t>
            </w:r>
          </w:p>
        </w:tc>
        <w:tc>
          <w:tcPr>
            <w:tcW w:w="8115" w:type="dxa"/>
            <w:vAlign w:val="center"/>
          </w:tcPr>
          <w:p>
            <w:pPr>
              <w:pStyle w:val="7"/>
              <w:snapToGrid w:val="0"/>
              <w:ind w:firstLine="0"/>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kern w:val="2"/>
                <w:sz w:val="24"/>
                <w:szCs w:val="24"/>
                <w:lang w:eastAsia="zh-CN"/>
              </w:rPr>
              <w:t>招标控制价</w:t>
            </w:r>
            <w:r>
              <w:rPr>
                <w:rFonts w:hint="eastAsia" w:ascii="微软雅黑" w:hAnsi="微软雅黑" w:eastAsia="微软雅黑" w:cs="微软雅黑"/>
                <w:b/>
                <w:bCs/>
                <w:kern w:val="2"/>
                <w:sz w:val="24"/>
                <w:szCs w:val="24"/>
              </w:rPr>
              <w:t>：</w:t>
            </w:r>
            <w:r>
              <w:rPr>
                <w:rFonts w:hint="eastAsia" w:ascii="微软雅黑" w:hAnsi="微软雅黑" w:eastAsia="微软雅黑" w:cs="微软雅黑"/>
                <w:b/>
                <w:bCs/>
                <w:kern w:val="2"/>
                <w:sz w:val="24"/>
                <w:szCs w:val="24"/>
                <w:lang w:val="en-US" w:eastAsia="zh-CN"/>
              </w:rPr>
              <w:t>43.853708万</w:t>
            </w:r>
            <w:r>
              <w:rPr>
                <w:rFonts w:hint="eastAsia" w:ascii="微软雅黑" w:hAnsi="微软雅黑" w:eastAsia="微软雅黑" w:cs="微软雅黑"/>
                <w:b/>
                <w:bCs/>
                <w:kern w:val="2"/>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12.1</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磋商保证金形式：</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保函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电汇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支票   ☑对公转账   </w:t>
            </w:r>
          </w:p>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磋商保证金金额：</w:t>
            </w:r>
            <w:r>
              <w:rPr>
                <w:rFonts w:hint="eastAsia" w:ascii="微软雅黑" w:hAnsi="微软雅黑" w:eastAsia="微软雅黑" w:cs="微软雅黑"/>
                <w:b/>
                <w:bCs/>
                <w:sz w:val="24"/>
                <w:szCs w:val="24"/>
                <w:lang w:val="en-US" w:eastAsia="zh-CN"/>
              </w:rPr>
              <w:t>8700</w:t>
            </w:r>
            <w:r>
              <w:rPr>
                <w:rFonts w:hint="eastAsia" w:ascii="微软雅黑" w:hAnsi="微软雅黑" w:eastAsia="微软雅黑" w:cs="微软雅黑"/>
                <w:b/>
                <w:bCs/>
                <w:sz w:val="24"/>
                <w:szCs w:val="24"/>
              </w:rPr>
              <w:t>元(大写：</w:t>
            </w:r>
            <w:r>
              <w:rPr>
                <w:rFonts w:hint="eastAsia" w:ascii="微软雅黑" w:hAnsi="微软雅黑" w:eastAsia="微软雅黑" w:cs="微软雅黑"/>
                <w:b/>
                <w:bCs/>
                <w:sz w:val="24"/>
                <w:szCs w:val="24"/>
                <w:lang w:val="en-US" w:eastAsia="zh-CN"/>
              </w:rPr>
              <w:t>捌仟柒佰元整</w:t>
            </w:r>
            <w:r>
              <w:rPr>
                <w:rFonts w:hint="eastAsia" w:ascii="微软雅黑" w:hAnsi="微软雅黑" w:eastAsia="微软雅黑" w:cs="微软雅黑"/>
                <w:b/>
                <w:bCs/>
                <w:sz w:val="24"/>
                <w:szCs w:val="24"/>
              </w:rPr>
              <w:t>）</w:t>
            </w:r>
          </w:p>
          <w:p>
            <w:pPr>
              <w:snapToGrid w:val="0"/>
              <w:textAlignment w:val="baseline"/>
              <w:rPr>
                <w:rFonts w:hint="eastAsia" w:ascii="微软雅黑" w:hAnsi="微软雅黑" w:eastAsia="微软雅黑" w:cs="微软雅黑"/>
                <w:b/>
                <w:sz w:val="24"/>
                <w:szCs w:val="24"/>
              </w:rPr>
            </w:pPr>
            <w:r>
              <w:rPr>
                <w:rFonts w:hint="eastAsia" w:ascii="微软雅黑" w:hAnsi="微软雅黑" w:eastAsia="微软雅黑" w:cs="微软雅黑"/>
                <w:i/>
                <w:sz w:val="24"/>
                <w:szCs w:val="24"/>
              </w:rPr>
              <w:t>（按照各分包控制金额2%以内的整数计算）</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保证金收款人：</w:t>
            </w:r>
          </w:p>
          <w:p>
            <w:pPr>
              <w:spacing w:line="380" w:lineRule="exact"/>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rPr>
              <w:t>单位名称：</w:t>
            </w:r>
            <w:r>
              <w:rPr>
                <w:rFonts w:hint="eastAsia" w:ascii="微软雅黑" w:hAnsi="微软雅黑" w:eastAsia="微软雅黑" w:cs="微软雅黑"/>
                <w:b/>
                <w:bCs/>
                <w:sz w:val="24"/>
                <w:szCs w:val="24"/>
                <w:lang w:eastAsia="zh-CN"/>
              </w:rPr>
              <w:t>新疆永业鑫达招标有限公司</w:t>
            </w:r>
          </w:p>
          <w:p>
            <w:pPr>
              <w:spacing w:line="380" w:lineRule="exact"/>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rPr>
              <w:t>开户行： 中国银行</w:t>
            </w:r>
            <w:r>
              <w:rPr>
                <w:rFonts w:hint="eastAsia" w:ascii="微软雅黑" w:hAnsi="微软雅黑" w:eastAsia="微软雅黑" w:cs="微软雅黑"/>
                <w:b/>
                <w:bCs/>
                <w:sz w:val="24"/>
                <w:szCs w:val="24"/>
                <w:lang w:eastAsia="zh-CN"/>
              </w:rPr>
              <w:t>股份有限公司库尔勒市石化大道支行</w:t>
            </w:r>
          </w:p>
          <w:p>
            <w:pPr>
              <w:spacing w:line="380" w:lineRule="exact"/>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rPr>
              <w:t>账号：</w:t>
            </w:r>
            <w:r>
              <w:rPr>
                <w:rFonts w:hint="eastAsia" w:ascii="微软雅黑" w:hAnsi="微软雅黑" w:eastAsia="微软雅黑" w:cs="微软雅黑"/>
                <w:b/>
                <w:bCs/>
                <w:sz w:val="24"/>
                <w:szCs w:val="24"/>
                <w:lang w:val="en-US" w:eastAsia="zh-CN"/>
              </w:rPr>
              <w:t>107677536350</w:t>
            </w:r>
          </w:p>
          <w:p>
            <w:pPr>
              <w:spacing w:line="380" w:lineRule="exact"/>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rPr>
              <w:t>联系人：</w:t>
            </w:r>
            <w:r>
              <w:rPr>
                <w:rFonts w:hint="eastAsia" w:ascii="微软雅黑" w:hAnsi="微软雅黑" w:eastAsia="微软雅黑" w:cs="微软雅黑"/>
                <w:b/>
                <w:bCs/>
                <w:sz w:val="24"/>
                <w:szCs w:val="24"/>
                <w:lang w:eastAsia="zh-CN"/>
              </w:rPr>
              <w:t>李连伟</w:t>
            </w:r>
            <w:r>
              <w:rPr>
                <w:rFonts w:hint="eastAsia" w:ascii="微软雅黑" w:hAnsi="微软雅黑" w:eastAsia="微软雅黑" w:cs="微软雅黑"/>
                <w:b/>
                <w:bCs/>
                <w:sz w:val="24"/>
                <w:szCs w:val="24"/>
              </w:rPr>
              <w:t xml:space="preserve">    联系电话：</w:t>
            </w:r>
            <w:r>
              <w:rPr>
                <w:rFonts w:hint="eastAsia" w:ascii="微软雅黑" w:hAnsi="微软雅黑" w:eastAsia="微软雅黑" w:cs="微软雅黑"/>
                <w:b/>
                <w:bCs/>
                <w:sz w:val="24"/>
                <w:szCs w:val="24"/>
                <w:lang w:val="en-US" w:eastAsia="zh-CN"/>
              </w:rPr>
              <w:t>18299881302</w:t>
            </w:r>
          </w:p>
          <w:p>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（电汇时请在汇款备注栏注明项目名称及</w:t>
            </w:r>
            <w:r>
              <w:rPr>
                <w:rFonts w:hint="eastAsia" w:ascii="微软雅黑" w:hAnsi="微软雅黑" w:eastAsia="微软雅黑" w:cs="微软雅黑"/>
                <w:b/>
                <w:bCs/>
                <w:sz w:val="24"/>
                <w:szCs w:val="24"/>
                <w:lang w:eastAsia="zh-CN"/>
              </w:rPr>
              <w:t>标段号</w:t>
            </w:r>
            <w:r>
              <w:rPr>
                <w:rFonts w:hint="eastAsia" w:ascii="微软雅黑" w:hAnsi="微软雅黑" w:eastAsia="微软雅黑" w:cs="微软雅黑"/>
                <w:b/>
                <w:bCs/>
                <w:sz w:val="24"/>
                <w:szCs w:val="24"/>
              </w:rPr>
              <w:t>，并注明是</w:t>
            </w:r>
            <w:r>
              <w:rPr>
                <w:rFonts w:hint="eastAsia" w:ascii="微软雅黑" w:hAnsi="微软雅黑" w:eastAsia="微软雅黑" w:cs="微软雅黑"/>
                <w:b/>
                <w:bCs/>
                <w:sz w:val="24"/>
                <w:szCs w:val="24"/>
                <w:lang w:val="en-US" w:eastAsia="zh-CN"/>
              </w:rPr>
              <w:t>磋商</w:t>
            </w:r>
            <w:r>
              <w:rPr>
                <w:rFonts w:hint="eastAsia" w:ascii="微软雅黑" w:hAnsi="微软雅黑" w:eastAsia="微软雅黑" w:cs="微软雅黑"/>
                <w:b/>
                <w:bCs/>
                <w:sz w:val="24"/>
                <w:szCs w:val="24"/>
              </w:rPr>
              <w:t>保证金，否则视为无效</w:t>
            </w:r>
            <w:r>
              <w:rPr>
                <w:rFonts w:hint="eastAsia" w:ascii="微软雅黑" w:hAnsi="微软雅黑" w:eastAsia="微软雅黑" w:cs="微软雅黑"/>
                <w:b/>
                <w:bCs/>
                <w:sz w:val="24"/>
                <w:szCs w:val="24"/>
                <w:lang w:val="en-US" w:eastAsia="zh-CN"/>
              </w:rPr>
              <w:t>磋商</w:t>
            </w:r>
            <w:r>
              <w:rPr>
                <w:rFonts w:hint="eastAsia" w:ascii="微软雅黑" w:hAnsi="微软雅黑" w:eastAsia="微软雅黑" w:cs="微软雅黑"/>
                <w:b/>
                <w:bCs/>
                <w:sz w:val="24"/>
                <w:szCs w:val="24"/>
              </w:rPr>
              <w:t>保证金。）</w:t>
            </w:r>
          </w:p>
          <w:p>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A:缴纳保证金要求：</w:t>
            </w:r>
            <w:r>
              <w:rPr>
                <w:rFonts w:hint="eastAsia" w:ascii="微软雅黑" w:hAnsi="微软雅黑" w:eastAsia="微软雅黑" w:cs="微软雅黑"/>
                <w:b w:val="0"/>
                <w:bCs w:val="0"/>
                <w:sz w:val="24"/>
                <w:szCs w:val="24"/>
              </w:rPr>
              <w:t>供应商向银行办理保证金汇（转）款时，应在用途栏（备注栏）注明项目名称，并注明是</w:t>
            </w:r>
            <w:r>
              <w:rPr>
                <w:rFonts w:hint="eastAsia" w:ascii="微软雅黑" w:hAnsi="微软雅黑" w:eastAsia="微软雅黑" w:cs="微软雅黑"/>
                <w:b w:val="0"/>
                <w:bCs w:val="0"/>
                <w:sz w:val="24"/>
                <w:szCs w:val="24"/>
                <w:lang w:eastAsia="zh-CN"/>
              </w:rPr>
              <w:t>磋商</w:t>
            </w:r>
            <w:r>
              <w:rPr>
                <w:rFonts w:hint="eastAsia" w:ascii="微软雅黑" w:hAnsi="微软雅黑" w:eastAsia="微软雅黑" w:cs="微软雅黑"/>
                <w:b w:val="0"/>
                <w:bCs w:val="0"/>
                <w:sz w:val="24"/>
                <w:szCs w:val="24"/>
              </w:rPr>
              <w:t>保证金字样，如填写字数有要求可简写项目名称，由于未按要求注明信息而导致的一切后果由供应商自行承担。</w:t>
            </w:r>
          </w:p>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B：</w:t>
            </w:r>
            <w:r>
              <w:rPr>
                <w:rFonts w:hint="eastAsia" w:ascii="微软雅黑" w:hAnsi="微软雅黑" w:eastAsia="微软雅黑" w:cs="微软雅黑"/>
                <w:b/>
                <w:bCs/>
                <w:sz w:val="24"/>
                <w:szCs w:val="24"/>
                <w:lang w:eastAsia="zh-CN"/>
              </w:rPr>
              <w:t>保证金的退还</w:t>
            </w:r>
            <w:r>
              <w:rPr>
                <w:rFonts w:hint="eastAsia" w:ascii="微软雅黑" w:hAnsi="微软雅黑" w:eastAsia="微软雅黑" w:cs="微软雅黑"/>
                <w:b/>
                <w:bCs/>
                <w:sz w:val="24"/>
                <w:szCs w:val="24"/>
              </w:rPr>
              <w:t>：</w:t>
            </w:r>
            <w:r>
              <w:rPr>
                <w:rFonts w:hint="eastAsia" w:ascii="微软雅黑" w:hAnsi="微软雅黑" w:eastAsia="微软雅黑" w:cs="微软雅黑"/>
                <w:b w:val="0"/>
                <w:bCs w:val="0"/>
                <w:sz w:val="24"/>
                <w:szCs w:val="24"/>
                <w:lang w:eastAsia="zh-CN"/>
              </w:rPr>
              <w:t>根据</w:t>
            </w:r>
            <w:r>
              <w:rPr>
                <w:rFonts w:hint="eastAsia" w:ascii="微软雅黑" w:hAnsi="微软雅黑" w:eastAsia="微软雅黑" w:cs="微软雅黑"/>
                <w:b w:val="0"/>
                <w:bCs w:val="0"/>
                <w:color w:val="auto"/>
                <w:sz w:val="24"/>
                <w:szCs w:val="24"/>
                <w:highlight w:val="none"/>
                <w:lang w:val="en-US" w:eastAsia="zh-CN"/>
              </w:rPr>
              <w:fldChar w:fldCharType="begin"/>
            </w:r>
            <w:r>
              <w:rPr>
                <w:rFonts w:hint="eastAsia" w:ascii="微软雅黑" w:hAnsi="微软雅黑" w:eastAsia="微软雅黑" w:cs="微软雅黑"/>
                <w:b w:val="0"/>
                <w:bCs w:val="0"/>
                <w:color w:val="auto"/>
                <w:sz w:val="24"/>
                <w:szCs w:val="24"/>
                <w:highlight w:val="none"/>
                <w:lang w:val="en-US" w:eastAsia="zh-CN"/>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微软雅黑" w:hAnsi="微软雅黑" w:eastAsia="微软雅黑" w:cs="微软雅黑"/>
                <w:b w:val="0"/>
                <w:bCs w:val="0"/>
                <w:color w:val="auto"/>
                <w:sz w:val="24"/>
                <w:szCs w:val="24"/>
                <w:highlight w:val="none"/>
                <w:lang w:val="en-US" w:eastAsia="zh-CN"/>
              </w:rPr>
              <w:fldChar w:fldCharType="separate"/>
            </w:r>
            <w:r>
              <w:rPr>
                <w:rFonts w:hint="eastAsia" w:ascii="微软雅黑" w:hAnsi="微软雅黑" w:eastAsia="微软雅黑" w:cs="微软雅黑"/>
                <w:b w:val="0"/>
                <w:bCs w:val="0"/>
                <w:color w:val="auto"/>
                <w:sz w:val="24"/>
                <w:szCs w:val="24"/>
                <w:highlight w:val="none"/>
                <w:lang w:val="en-US" w:eastAsia="zh-CN"/>
              </w:rPr>
              <w:t>《政府采购竞争性磋商采购方式管理暂行办法》第三十一条规定，①未成交供应商的磋商保证金应在成交通知书发出后5个工作日内退还；②成交供应商的磋商保证金应在采购合同签订后5个工作日内退还（供应商需将采购合同发至邮箱1543019885@qq.com后</w:t>
            </w:r>
            <w:r>
              <w:rPr>
                <w:rFonts w:hint="eastAsia" w:ascii="微软雅黑" w:hAnsi="微软雅黑" w:eastAsia="微软雅黑" w:cs="微软雅黑"/>
                <w:b w:val="0"/>
                <w:bCs w:val="0"/>
                <w:color w:val="auto"/>
                <w:sz w:val="24"/>
                <w:szCs w:val="24"/>
                <w:highlight w:val="none"/>
                <w:lang w:val="en-US" w:eastAsia="zh-CN"/>
              </w:rPr>
              <w:fldChar w:fldCharType="end"/>
            </w:r>
            <w:r>
              <w:rPr>
                <w:rFonts w:hint="eastAsia" w:ascii="微软雅黑" w:hAnsi="微软雅黑" w:eastAsia="微软雅黑" w:cs="微软雅黑"/>
                <w:b w:val="0"/>
                <w:bCs w:val="0"/>
                <w:color w:val="auto"/>
                <w:sz w:val="24"/>
                <w:szCs w:val="24"/>
                <w:highlight w:val="none"/>
                <w:lang w:val="en-US" w:eastAsia="zh-CN"/>
              </w:rPr>
              <w:t>，5个工作日内原账户退回）。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13.1</w:t>
            </w:r>
          </w:p>
        </w:tc>
        <w:tc>
          <w:tcPr>
            <w:tcW w:w="8115" w:type="dxa"/>
            <w:vAlign w:val="center"/>
          </w:tcPr>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磋商有效期：</w:t>
            </w:r>
            <w:r>
              <w:rPr>
                <w:rFonts w:hint="eastAsia" w:ascii="微软雅黑" w:hAnsi="微软雅黑" w:eastAsia="微软雅黑" w:cs="微软雅黑"/>
                <w:sz w:val="24"/>
                <w:szCs w:val="24"/>
                <w:u w:val="single" w:color="000000"/>
              </w:rPr>
              <w:t>　</w:t>
            </w:r>
            <w:r>
              <w:rPr>
                <w:rFonts w:hint="eastAsia" w:ascii="微软雅黑" w:hAnsi="微软雅黑" w:eastAsia="微软雅黑" w:cs="微软雅黑"/>
                <w:sz w:val="24"/>
                <w:szCs w:val="24"/>
                <w:u w:val="single" w:color="000000"/>
                <w:lang w:val="en-US" w:eastAsia="zh-CN"/>
              </w:rPr>
              <w:t>90</w:t>
            </w:r>
            <w:r>
              <w:rPr>
                <w:rFonts w:hint="eastAsia" w:ascii="微软雅黑" w:hAnsi="微软雅黑" w:eastAsia="微软雅黑" w:cs="微软雅黑"/>
                <w:sz w:val="24"/>
                <w:szCs w:val="24"/>
                <w:u w:val="single" w:color="000000"/>
              </w:rPr>
              <w:t>　</w:t>
            </w:r>
            <w:r>
              <w:rPr>
                <w:rFonts w:hint="eastAsia" w:ascii="微软雅黑" w:hAnsi="微软雅黑" w:eastAsia="微软雅黑" w:cs="微软雅黑"/>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14.1</w:t>
            </w:r>
          </w:p>
        </w:tc>
        <w:tc>
          <w:tcPr>
            <w:tcW w:w="8115" w:type="dxa"/>
            <w:vAlign w:val="center"/>
          </w:tcPr>
          <w:p>
            <w:pPr>
              <w:pStyle w:val="7"/>
              <w:keepNext w:val="0"/>
              <w:keepLines w:val="0"/>
              <w:pageBreakBefore w:val="0"/>
              <w:widowControl w:val="0"/>
              <w:kinsoku/>
              <w:wordWrap/>
              <w:overflowPunct/>
              <w:topLinePunct w:val="0"/>
              <w:bidi w:val="0"/>
              <w:snapToGrid/>
              <w:spacing w:line="36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（2）本项目实行网上投标响应，采用电子响应文件(供应商须使用CA加密设备通过政采云电子投标客户端制作响应文件)。若供应商参与投标，自行承担投标一切费用。</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（5）供应商在开标时须使用制作加密电子响应文件所使用的CA锁及电脑，电脑须提前配置好浏览器（建议使用谷歌浏览器），以便开标时解锁。</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（8）各供应商</w:t>
            </w:r>
            <w:r>
              <w:rPr>
                <w:rFonts w:hint="eastAsia" w:ascii="微软雅黑" w:hAnsi="微软雅黑" w:eastAsia="微软雅黑" w:cs="微软雅黑"/>
                <w:color w:val="auto"/>
                <w:sz w:val="24"/>
                <w:szCs w:val="24"/>
                <w:highlight w:val="none"/>
              </w:rPr>
              <w:t>须在投标截止时间前完成在系统上递交电子</w:t>
            </w:r>
            <w:r>
              <w:rPr>
                <w:rFonts w:hint="eastAsia" w:ascii="微软雅黑" w:hAnsi="微软雅黑" w:eastAsia="微软雅黑" w:cs="微软雅黑"/>
                <w:color w:val="auto"/>
                <w:sz w:val="24"/>
                <w:szCs w:val="24"/>
                <w:highlight w:val="none"/>
                <w:lang w:val="en-US" w:eastAsia="zh-CN"/>
              </w:rPr>
              <w:t>响应文件</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各供应商在投标截止时间前将“响应文件”上传至政采云平台。响应文件包括“开标一览表表及资格证明文件”与“商务及技术文件”两部分合并成一册。响应文件应按照磋商文件规定的格式填写、签署和盖章，并以.jmbs格式上传至政采云开评标平台（响应文件为正本扫描件）。</w:t>
            </w:r>
          </w:p>
          <w:p>
            <w:pPr>
              <w:pStyle w:val="7"/>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lang w:val="en-US" w:eastAsia="zh-CN"/>
              </w:rPr>
            </w:pPr>
            <w:r>
              <w:rPr>
                <w:rFonts w:hint="eastAsia" w:ascii="微软雅黑" w:hAnsi="微软雅黑" w:eastAsia="微软雅黑" w:cs="微软雅黑"/>
                <w:b/>
                <w:bCs/>
                <w:color w:val="auto"/>
                <w:sz w:val="24"/>
                <w:szCs w:val="24"/>
                <w:highlight w:val="none"/>
                <w:lang w:val="en-US" w:eastAsia="zh-CN"/>
              </w:rPr>
              <w:t>（10）解密时长为30分钟，</w:t>
            </w:r>
            <w:r>
              <w:rPr>
                <w:rFonts w:hint="eastAsia" w:ascii="微软雅黑" w:hAnsi="微软雅黑" w:eastAsia="微软雅黑" w:cs="微软雅黑"/>
                <w:b/>
                <w:bCs/>
                <w:color w:val="auto"/>
                <w:sz w:val="24"/>
                <w:highlight w:val="none"/>
                <w:lang w:val="en-US" w:eastAsia="zh-CN"/>
              </w:rPr>
              <w:t>超出解密时长，作无效投标处理。</w:t>
            </w:r>
          </w:p>
          <w:p>
            <w:pPr>
              <w:snapToGrid w:val="0"/>
              <w:textAlignment w:val="baseline"/>
              <w:rPr>
                <w:rFonts w:hint="eastAsia" w:ascii="微软雅黑" w:hAnsi="微软雅黑" w:eastAsia="微软雅黑" w:cs="微软雅黑"/>
                <w:sz w:val="24"/>
                <w:szCs w:val="24"/>
                <w:lang w:eastAsia="zh-CN"/>
              </w:rPr>
            </w:pPr>
            <w:r>
              <w:rPr>
                <w:rFonts w:hint="eastAsia" w:ascii="微软雅黑" w:hAnsi="微软雅黑" w:eastAsia="微软雅黑" w:cs="微软雅黑"/>
                <w:b/>
                <w:bCs/>
                <w:color w:val="auto"/>
                <w:kern w:val="0"/>
                <w:sz w:val="24"/>
                <w:szCs w:val="24"/>
                <w:highlight w:val="none"/>
                <w:lang w:val="en-US" w:eastAsia="zh-CN" w:bidi="ar-SA"/>
              </w:rPr>
              <w:t>（11）须供应商提供备份的投标文件,后缀为.bfbs。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16.1</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磋商截止时间：</w:t>
            </w:r>
            <w:r>
              <w:rPr>
                <w:rFonts w:hint="eastAsia" w:ascii="微软雅黑" w:hAnsi="微软雅黑" w:eastAsia="微软雅黑" w:cs="微软雅黑"/>
                <w:color w:val="auto"/>
                <w:sz w:val="24"/>
                <w:szCs w:val="24"/>
                <w:u w:val="single"/>
              </w:rPr>
              <w:t>202</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bCs/>
                <w:color w:val="auto"/>
                <w:sz w:val="24"/>
                <w:szCs w:val="24"/>
                <w:u w:val="single"/>
              </w:rPr>
              <w:t>年</w:t>
            </w:r>
            <w:r>
              <w:rPr>
                <w:rFonts w:hint="eastAsia" w:ascii="微软雅黑" w:hAnsi="微软雅黑" w:eastAsia="微软雅黑" w:cs="微软雅黑"/>
                <w:bCs/>
                <w:color w:val="auto"/>
                <w:sz w:val="24"/>
                <w:szCs w:val="24"/>
                <w:u w:val="single"/>
                <w:lang w:val="en-US" w:eastAsia="zh-CN"/>
              </w:rPr>
              <w:t xml:space="preserve"> 11 </w:t>
            </w:r>
            <w:r>
              <w:rPr>
                <w:rFonts w:hint="eastAsia" w:ascii="微软雅黑" w:hAnsi="微软雅黑" w:eastAsia="微软雅黑" w:cs="微软雅黑"/>
                <w:bCs/>
                <w:color w:val="auto"/>
                <w:sz w:val="24"/>
                <w:szCs w:val="24"/>
                <w:u w:val="single"/>
              </w:rPr>
              <w:t>月</w:t>
            </w:r>
            <w:r>
              <w:rPr>
                <w:rFonts w:hint="eastAsia" w:ascii="微软雅黑" w:hAnsi="微软雅黑" w:eastAsia="微软雅黑" w:cs="微软雅黑"/>
                <w:bCs/>
                <w:color w:val="auto"/>
                <w:sz w:val="24"/>
                <w:szCs w:val="24"/>
                <w:u w:val="single"/>
                <w:lang w:val="en-US" w:eastAsia="zh-CN"/>
              </w:rPr>
              <w:t xml:space="preserve"> 10 </w:t>
            </w:r>
            <w:r>
              <w:rPr>
                <w:rFonts w:hint="eastAsia" w:ascii="微软雅黑" w:hAnsi="微软雅黑" w:eastAsia="微软雅黑" w:cs="微软雅黑"/>
                <w:bCs/>
                <w:color w:val="auto"/>
                <w:sz w:val="24"/>
                <w:szCs w:val="24"/>
                <w:u w:val="single"/>
              </w:rPr>
              <w:t>日</w:t>
            </w:r>
            <w:r>
              <w:rPr>
                <w:rFonts w:hint="eastAsia" w:ascii="微软雅黑" w:hAnsi="微软雅黑" w:eastAsia="微软雅黑" w:cs="微软雅黑"/>
                <w:bCs/>
                <w:color w:val="auto"/>
                <w:sz w:val="24"/>
                <w:szCs w:val="24"/>
                <w:u w:val="single"/>
                <w:lang w:val="en-US" w:eastAsia="zh-CN"/>
              </w:rPr>
              <w:t>11</w:t>
            </w:r>
            <w:r>
              <w:rPr>
                <w:rFonts w:hint="eastAsia" w:ascii="微软雅黑" w:hAnsi="微软雅黑" w:eastAsia="微软雅黑" w:cs="微软雅黑"/>
                <w:bCs/>
                <w:color w:val="auto"/>
                <w:sz w:val="24"/>
                <w:szCs w:val="24"/>
                <w:u w:val="single"/>
              </w:rPr>
              <w:t>点00分</w:t>
            </w:r>
            <w:r>
              <w:rPr>
                <w:rFonts w:hint="eastAsia" w:ascii="微软雅黑" w:hAnsi="微软雅黑" w:eastAsia="微软雅黑" w:cs="微软雅黑"/>
                <w:bCs/>
                <w:color w:val="auto"/>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18.1</w:t>
            </w:r>
          </w:p>
        </w:tc>
        <w:tc>
          <w:tcPr>
            <w:tcW w:w="8115" w:type="dxa"/>
            <w:vAlign w:val="center"/>
          </w:tcPr>
          <w:p>
            <w:pPr>
              <w:snapToGrid w:val="0"/>
              <w:textAlignment w:val="baseline"/>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磋商</w:t>
            </w:r>
            <w:r>
              <w:rPr>
                <w:rFonts w:hint="eastAsia" w:ascii="微软雅黑" w:hAnsi="微软雅黑" w:eastAsia="微软雅黑" w:cs="微软雅黑"/>
                <w:kern w:val="0"/>
                <w:sz w:val="24"/>
                <w:szCs w:val="24"/>
              </w:rPr>
              <w:t>时间：</w:t>
            </w:r>
            <w:r>
              <w:rPr>
                <w:rFonts w:hint="eastAsia" w:ascii="微软雅黑" w:hAnsi="微软雅黑" w:eastAsia="微软雅黑" w:cs="微软雅黑"/>
                <w:color w:val="auto"/>
                <w:sz w:val="24"/>
                <w:szCs w:val="24"/>
                <w:u w:val="single"/>
              </w:rPr>
              <w:t>202</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bCs/>
                <w:color w:val="auto"/>
                <w:sz w:val="24"/>
                <w:szCs w:val="24"/>
                <w:u w:val="single"/>
              </w:rPr>
              <w:t>年</w:t>
            </w:r>
            <w:r>
              <w:rPr>
                <w:rFonts w:hint="eastAsia" w:ascii="微软雅黑" w:hAnsi="微软雅黑" w:eastAsia="微软雅黑" w:cs="微软雅黑"/>
                <w:bCs/>
                <w:color w:val="auto"/>
                <w:sz w:val="24"/>
                <w:szCs w:val="24"/>
                <w:u w:val="single"/>
                <w:lang w:val="en-US" w:eastAsia="zh-CN"/>
              </w:rPr>
              <w:t xml:space="preserve"> 11 </w:t>
            </w:r>
            <w:r>
              <w:rPr>
                <w:rFonts w:hint="eastAsia" w:ascii="微软雅黑" w:hAnsi="微软雅黑" w:eastAsia="微软雅黑" w:cs="微软雅黑"/>
                <w:bCs/>
                <w:color w:val="auto"/>
                <w:sz w:val="24"/>
                <w:szCs w:val="24"/>
                <w:u w:val="single"/>
              </w:rPr>
              <w:t>月</w:t>
            </w:r>
            <w:r>
              <w:rPr>
                <w:rFonts w:hint="eastAsia" w:ascii="微软雅黑" w:hAnsi="微软雅黑" w:eastAsia="微软雅黑" w:cs="微软雅黑"/>
                <w:bCs/>
                <w:color w:val="auto"/>
                <w:sz w:val="24"/>
                <w:szCs w:val="24"/>
                <w:u w:val="single"/>
                <w:lang w:val="en-US" w:eastAsia="zh-CN"/>
              </w:rPr>
              <w:t xml:space="preserve"> 10 </w:t>
            </w:r>
            <w:r>
              <w:rPr>
                <w:rFonts w:hint="eastAsia" w:ascii="微软雅黑" w:hAnsi="微软雅黑" w:eastAsia="微软雅黑" w:cs="微软雅黑"/>
                <w:bCs/>
                <w:color w:val="auto"/>
                <w:sz w:val="24"/>
                <w:szCs w:val="24"/>
                <w:u w:val="single"/>
              </w:rPr>
              <w:t>日</w:t>
            </w:r>
            <w:r>
              <w:rPr>
                <w:rFonts w:hint="eastAsia" w:ascii="微软雅黑" w:hAnsi="微软雅黑" w:eastAsia="微软雅黑" w:cs="微软雅黑"/>
                <w:bCs/>
                <w:color w:val="auto"/>
                <w:sz w:val="24"/>
                <w:szCs w:val="24"/>
                <w:u w:val="single"/>
                <w:lang w:val="en-US" w:eastAsia="zh-CN"/>
              </w:rPr>
              <w:t>11</w:t>
            </w:r>
            <w:r>
              <w:rPr>
                <w:rFonts w:hint="eastAsia" w:ascii="微软雅黑" w:hAnsi="微软雅黑" w:eastAsia="微软雅黑" w:cs="微软雅黑"/>
                <w:bCs/>
                <w:color w:val="auto"/>
                <w:sz w:val="24"/>
                <w:szCs w:val="24"/>
                <w:u w:val="single"/>
              </w:rPr>
              <w:t>点00分</w:t>
            </w:r>
            <w:r>
              <w:rPr>
                <w:rFonts w:hint="eastAsia" w:ascii="微软雅黑" w:hAnsi="微软雅黑" w:eastAsia="微软雅黑" w:cs="微软雅黑"/>
                <w:bCs/>
                <w:color w:val="auto"/>
                <w:sz w:val="24"/>
                <w:szCs w:val="24"/>
              </w:rPr>
              <w:t>（北京时间）</w:t>
            </w:r>
          </w:p>
          <w:p>
            <w:pPr>
              <w:snapToGrid w:val="0"/>
              <w:textAlignment w:val="baseline"/>
              <w:rPr>
                <w:rFonts w:hint="eastAsia" w:ascii="微软雅黑" w:hAnsi="微软雅黑" w:eastAsia="微软雅黑" w:cs="微软雅黑"/>
                <w:sz w:val="24"/>
                <w:szCs w:val="24"/>
                <w:lang w:val="en-US"/>
              </w:rPr>
            </w:pPr>
            <w:r>
              <w:rPr>
                <w:rFonts w:hint="eastAsia" w:ascii="微软雅黑" w:hAnsi="微软雅黑" w:eastAsia="微软雅黑" w:cs="微软雅黑"/>
                <w:kern w:val="0"/>
                <w:sz w:val="24"/>
                <w:szCs w:val="24"/>
              </w:rPr>
              <w:t>磋商地点：</w:t>
            </w:r>
            <w:r>
              <w:rPr>
                <w:rFonts w:hint="eastAsia" w:ascii="微软雅黑" w:hAnsi="微软雅黑" w:eastAsia="微软雅黑" w:cs="微软雅黑"/>
                <w:kern w:val="0"/>
                <w:sz w:val="24"/>
                <w:szCs w:val="24"/>
                <w:lang w:val="en-US" w:eastAsia="zh-CN"/>
              </w:rPr>
              <w:t>政采云平台投标客户端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23.2</w:t>
            </w:r>
          </w:p>
        </w:tc>
        <w:tc>
          <w:tcPr>
            <w:tcW w:w="8115" w:type="dxa"/>
            <w:vAlign w:val="center"/>
          </w:tcPr>
          <w:p>
            <w:pPr>
              <w:snapToGrid w:val="0"/>
              <w:textAlignment w:val="baseline"/>
              <w:rPr>
                <w:rFonts w:hint="eastAsia" w:ascii="微软雅黑" w:hAnsi="微软雅黑" w:eastAsia="微软雅黑" w:cs="微软雅黑"/>
                <w:i/>
                <w:sz w:val="24"/>
                <w:szCs w:val="24"/>
              </w:rPr>
            </w:pPr>
            <w:r>
              <w:rPr>
                <w:rFonts w:hint="eastAsia" w:ascii="微软雅黑" w:hAnsi="微软雅黑" w:eastAsia="微软雅黑" w:cs="微软雅黑"/>
                <w:sz w:val="24"/>
                <w:szCs w:val="24"/>
              </w:rPr>
              <w:t>评审方法：</w:t>
            </w:r>
            <w:r>
              <w:rPr>
                <w:rFonts w:hint="eastAsia" w:ascii="微软雅黑" w:hAnsi="微软雅黑" w:eastAsia="微软雅黑" w:cs="微软雅黑"/>
                <w:sz w:val="24"/>
                <w:szCs w:val="24"/>
                <w:u w:val="single" w:color="000000"/>
              </w:rPr>
              <w:t>　综合评分法　</w:t>
            </w:r>
            <w:r>
              <w:rPr>
                <w:rFonts w:hint="eastAsia" w:ascii="微软雅黑" w:hAnsi="微软雅黑" w:eastAsia="微软雅黑" w:cs="微软雅黑"/>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27</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推荐成交候选供应商的数量：</w:t>
            </w:r>
            <w:r>
              <w:rPr>
                <w:rFonts w:hint="eastAsia" w:ascii="微软雅黑" w:hAnsi="微软雅黑" w:eastAsia="微软雅黑" w:cs="微软雅黑"/>
                <w:sz w:val="24"/>
                <w:szCs w:val="24"/>
                <w:u w:val="single" w:color="000000"/>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27</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采购人是否委托评审委员会直接确定成交人：</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u w:val="single" w:color="000000"/>
                <w:lang w:eastAsia="zh-CN"/>
              </w:rPr>
              <w:t>否</w:t>
            </w:r>
            <w:r>
              <w:rPr>
                <w:rFonts w:hint="eastAsia" w:ascii="微软雅黑" w:hAnsi="微软雅黑" w:eastAsia="微软雅黑" w:cs="微软雅黑"/>
                <w:sz w:val="24"/>
                <w:szCs w:val="24"/>
                <w:u w:val="single" w:color="000000"/>
              </w:rPr>
              <w:t xml:space="preserve">  </w:t>
            </w:r>
            <w:r>
              <w:rPr>
                <w:rFonts w:hint="eastAsia" w:ascii="微软雅黑" w:hAnsi="微软雅黑" w:eastAsia="微软雅黑" w:cs="微软雅黑"/>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31.1</w:t>
            </w:r>
          </w:p>
        </w:tc>
        <w:tc>
          <w:tcPr>
            <w:tcW w:w="8115" w:type="dxa"/>
            <w:vAlign w:val="center"/>
          </w:tcPr>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履约保证金金额：合同总价的</w:t>
            </w:r>
            <w:r>
              <w:rPr>
                <w:rFonts w:hint="eastAsia" w:ascii="微软雅黑" w:hAnsi="微软雅黑" w:eastAsia="微软雅黑" w:cs="微软雅黑"/>
                <w:sz w:val="24"/>
                <w:szCs w:val="24"/>
                <w:u w:val="single" w:color="000000"/>
              </w:rPr>
              <w:t>　5%　（打入甲方账号）</w:t>
            </w:r>
          </w:p>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rPr>
              <w:t xml:space="preserve">履约保证金形式：☑保函  ☑电汇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 xml:space="preserve">支票   ☑对公转账 </w:t>
            </w:r>
          </w:p>
          <w:p>
            <w:pPr>
              <w:snapToGrid w:val="0"/>
              <w:textAlignment w:val="baseline"/>
              <w:rPr>
                <w:rFonts w:hint="eastAsia" w:ascii="微软雅黑" w:hAnsi="微软雅黑" w:eastAsia="微软雅黑" w:cs="微软雅黑"/>
                <w:sz w:val="24"/>
                <w:szCs w:val="24"/>
                <w:u w:val="single" w:color="000000"/>
              </w:rPr>
            </w:pPr>
            <w:r>
              <w:rPr>
                <w:rFonts w:hint="eastAsia" w:ascii="微软雅黑" w:hAnsi="微软雅黑" w:eastAsia="微软雅黑" w:cs="微软雅黑"/>
                <w:sz w:val="24"/>
                <w:szCs w:val="24"/>
                <w:u w:val="single" w:color="000000"/>
              </w:rPr>
              <w:t>提交履约保证金的时间：签订合同前2日历日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32</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成交服务费：</w:t>
            </w:r>
            <w:r>
              <w:rPr>
                <w:rFonts w:hint="eastAsia" w:ascii="微软雅黑" w:hAnsi="微软雅黑" w:eastAsia="微软雅黑" w:cs="微软雅黑"/>
                <w:sz w:val="24"/>
                <w:szCs w:val="24"/>
                <w:highlight w:val="none"/>
              </w:rPr>
              <w:t>根据发改委价格[2015]299文件</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按成交金额的1.5%收取</w:t>
            </w:r>
            <w:r>
              <w:rPr>
                <w:rFonts w:hint="eastAsia" w:ascii="微软雅黑" w:hAnsi="微软雅黑" w:eastAsia="微软雅黑" w:cs="微软雅黑"/>
                <w:sz w:val="24"/>
                <w:szCs w:val="24"/>
                <w:highlight w:val="none"/>
              </w:rPr>
              <w:t>（由成交供应商支付）</w:t>
            </w:r>
          </w:p>
          <w:p>
            <w:pPr>
              <w:snapToGrid w:val="0"/>
              <w:ind w:left="900" w:hanging="900" w:hangingChars="375"/>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支付形式：</w:t>
            </w:r>
            <w:r>
              <w:rPr>
                <w:rFonts w:hint="eastAsia" w:ascii="微软雅黑" w:hAnsi="微软雅黑" w:eastAsia="微软雅黑" w:cs="微软雅黑"/>
                <w:sz w:val="24"/>
                <w:szCs w:val="24"/>
                <w:u w:val="single" w:color="000000"/>
              </w:rPr>
              <w:t xml:space="preserve"> 对公转账  </w:t>
            </w:r>
          </w:p>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支付时间：</w:t>
            </w:r>
            <w:r>
              <w:rPr>
                <w:rFonts w:hint="eastAsia" w:ascii="微软雅黑" w:hAnsi="微软雅黑" w:eastAsia="微软雅黑" w:cs="微软雅黑"/>
                <w:sz w:val="24"/>
                <w:szCs w:val="24"/>
                <w:u w:val="single" w:color="000000"/>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95" w:type="dxa"/>
            <w:vAlign w:val="center"/>
          </w:tcPr>
          <w:p>
            <w:pPr>
              <w:snapToGrid w:val="0"/>
              <w:ind w:left="1080" w:leftChars="257" w:hanging="54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33.1</w:t>
            </w:r>
          </w:p>
        </w:tc>
        <w:tc>
          <w:tcPr>
            <w:tcW w:w="8115" w:type="dxa"/>
            <w:vAlign w:val="center"/>
          </w:tcPr>
          <w:p>
            <w:pPr>
              <w:snapToGrid w:val="0"/>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本项目是否属于信用担保试点范围：</w:t>
            </w:r>
            <w:r>
              <w:rPr>
                <w:rFonts w:hint="eastAsia" w:ascii="微软雅黑" w:hAnsi="微软雅黑" w:eastAsia="微软雅黑" w:cs="微软雅黑"/>
                <w:sz w:val="24"/>
                <w:szCs w:val="24"/>
                <w:u w:val="single" w:color="000000"/>
              </w:rPr>
              <w:t xml:space="preserve">  否 </w:t>
            </w:r>
            <w:r>
              <w:rPr>
                <w:rFonts w:hint="eastAsia" w:ascii="微软雅黑" w:hAnsi="微软雅黑" w:eastAsia="微软雅黑" w:cs="微软雅黑"/>
                <w:sz w:val="24"/>
                <w:szCs w:val="24"/>
              </w:rPr>
              <w:t xml:space="preserve"> </w:t>
            </w:r>
          </w:p>
        </w:tc>
      </w:tr>
    </w:tbl>
    <w:p>
      <w:pPr>
        <w:sectPr>
          <w:headerReference r:id="rId8" w:type="default"/>
          <w:footerReference r:id="rId9" w:type="default"/>
          <w:pgSz w:w="11905" w:h="16838"/>
          <w:pgMar w:top="1440" w:right="1083" w:bottom="1440" w:left="1083" w:header="851" w:footer="992" w:gutter="0"/>
          <w:pgNumType w:fmt="decimal"/>
          <w:cols w:space="0" w:num="1"/>
          <w:rtlGutter w:val="0"/>
          <w:docGrid w:linePitch="462" w:charSpace="0"/>
        </w:sectPr>
      </w:pPr>
      <w:bookmarkStart w:id="730" w:name="_Toc216582826"/>
      <w:bookmarkStart w:id="731" w:name="_Toc218935355"/>
      <w:bookmarkStart w:id="732" w:name="_Toc219175639"/>
    </w:p>
    <w:p>
      <w:pPr>
        <w:pStyle w:val="3"/>
        <w:tabs>
          <w:tab w:val="left" w:pos="0"/>
        </w:tabs>
        <w:snapToGrid w:val="0"/>
        <w:spacing w:before="0" w:after="0" w:line="240" w:lineRule="atLeast"/>
        <w:jc w:val="center"/>
        <w:textAlignment w:val="baseline"/>
        <w:rPr>
          <w:rFonts w:ascii="微软雅黑" w:hAnsi="微软雅黑" w:eastAsia="微软雅黑" w:cs="微软雅黑"/>
          <w:bCs/>
          <w:kern w:val="0"/>
          <w:sz w:val="24"/>
          <w:szCs w:val="24"/>
        </w:rPr>
      </w:pPr>
      <w:bookmarkStart w:id="733" w:name="_Toc12394"/>
      <w:bookmarkStart w:id="734" w:name="_Toc25942"/>
      <w:r>
        <w:rPr>
          <w:rFonts w:hint="eastAsia" w:ascii="微软雅黑" w:hAnsi="微软雅黑" w:eastAsia="微软雅黑" w:cs="微软雅黑"/>
        </w:rPr>
        <w:t xml:space="preserve">第5章 </w:t>
      </w:r>
      <w:r>
        <w:rPr>
          <w:rFonts w:hint="eastAsia" w:ascii="微软雅黑" w:hAnsi="微软雅黑" w:eastAsia="微软雅黑" w:cs="微软雅黑"/>
          <w:lang w:val="en-US" w:eastAsia="zh-CN"/>
        </w:rPr>
        <w:t>工程量清单及技术标准</w:t>
      </w:r>
      <w:bookmarkEnd w:id="733"/>
      <w:bookmarkEnd w:id="734"/>
    </w:p>
    <w:p>
      <w:pPr>
        <w:pStyle w:val="4"/>
        <w:keepNext w:val="0"/>
        <w:keepLines w:val="0"/>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rPr>
      </w:pPr>
      <w:bookmarkStart w:id="735" w:name="_Toc6341"/>
      <w:bookmarkStart w:id="736" w:name="_Toc17221"/>
      <w:bookmarkStart w:id="737" w:name="_Toc13274"/>
      <w:bookmarkStart w:id="738" w:name="_Toc9881"/>
      <w:r>
        <w:rPr>
          <w:rFonts w:hint="eastAsia" w:ascii="微软雅黑" w:hAnsi="微软雅黑" w:eastAsia="微软雅黑" w:cs="微软雅黑"/>
          <w:b/>
          <w:bCs/>
          <w:color w:val="auto"/>
          <w:sz w:val="21"/>
          <w:szCs w:val="21"/>
          <w:highlight w:val="none"/>
        </w:rPr>
        <w:t>一、工程概况</w:t>
      </w:r>
      <w:bookmarkEnd w:id="735"/>
      <w:bookmarkEnd w:id="736"/>
      <w:bookmarkEnd w:id="737"/>
      <w:bookmarkEnd w:id="738"/>
      <w:r>
        <w:rPr>
          <w:rFonts w:hint="eastAsia" w:ascii="微软雅黑" w:hAnsi="微软雅黑" w:eastAsia="微软雅黑" w:cs="微软雅黑"/>
          <w:color w:val="auto"/>
          <w:sz w:val="21"/>
          <w:szCs w:val="21"/>
          <w:highlight w:val="none"/>
        </w:rPr>
        <w:t xml:space="preserve">                                                                                  </w:t>
      </w:r>
    </w:p>
    <w:p>
      <w:pPr>
        <w:pageBreakBefore w:val="0"/>
        <w:widowControl w:val="0"/>
        <w:kinsoku/>
        <w:wordWrap/>
        <w:overflowPunct/>
        <w:topLinePunct w:val="0"/>
        <w:bidi w:val="0"/>
        <w:snapToGrid/>
        <w:spacing w:line="500" w:lineRule="exact"/>
        <w:ind w:firstLine="480"/>
        <w:jc w:val="left"/>
        <w:textAlignment w:val="auto"/>
        <w:rPr>
          <w:rFonts w:hint="eastAsia" w:ascii="微软雅黑" w:hAnsi="微软雅黑" w:eastAsia="微软雅黑" w:cs="微软雅黑"/>
          <w:color w:val="auto"/>
          <w:sz w:val="21"/>
          <w:szCs w:val="21"/>
          <w:highlight w:val="none"/>
          <w:u w:val="single"/>
          <w:lang w:val="en-US" w:eastAsia="zh-CN"/>
        </w:rPr>
      </w:pPr>
      <w:r>
        <w:rPr>
          <w:rFonts w:hint="eastAsia" w:ascii="微软雅黑" w:hAnsi="微软雅黑" w:eastAsia="微软雅黑" w:cs="微软雅黑"/>
          <w:color w:val="auto"/>
          <w:sz w:val="21"/>
          <w:szCs w:val="21"/>
          <w:highlight w:val="none"/>
          <w:u w:val="single"/>
          <w:lang w:val="en-US" w:eastAsia="zh-CN"/>
        </w:rPr>
        <w:t>项目名称：疏勒县罕南力克镇喀拉普拉特（7）村人居环境综合整治项目。</w:t>
      </w:r>
    </w:p>
    <w:p>
      <w:pPr>
        <w:pageBreakBefore w:val="0"/>
        <w:widowControl w:val="0"/>
        <w:kinsoku/>
        <w:wordWrap/>
        <w:overflowPunct/>
        <w:topLinePunct w:val="0"/>
        <w:bidi w:val="0"/>
        <w:snapToGrid/>
        <w:spacing w:line="500" w:lineRule="exact"/>
        <w:ind w:firstLine="480"/>
        <w:jc w:val="left"/>
        <w:textAlignment w:val="auto"/>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u w:val="single"/>
          <w:lang w:val="en-US" w:eastAsia="zh-CN"/>
        </w:rPr>
        <w:t>建设规模：便民服务室采暖、装修与修缮工程、设备间电气安装（详见工程量清单）。</w:t>
      </w:r>
    </w:p>
    <w:p>
      <w:pPr>
        <w:pStyle w:val="4"/>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b/>
          <w:bCs/>
          <w:color w:val="auto"/>
          <w:sz w:val="21"/>
          <w:szCs w:val="21"/>
          <w:highlight w:val="none"/>
        </w:rPr>
      </w:pPr>
      <w:bookmarkStart w:id="739" w:name="_Toc11775"/>
      <w:bookmarkStart w:id="740" w:name="_Toc15370"/>
      <w:bookmarkStart w:id="741" w:name="_Toc15346"/>
      <w:bookmarkStart w:id="742" w:name="_Toc27449"/>
      <w:r>
        <w:rPr>
          <w:rFonts w:hint="eastAsia" w:ascii="微软雅黑" w:hAnsi="微软雅黑" w:eastAsia="微软雅黑" w:cs="微软雅黑"/>
          <w:b/>
          <w:bCs/>
          <w:color w:val="auto"/>
          <w:sz w:val="21"/>
          <w:szCs w:val="21"/>
          <w:highlight w:val="none"/>
        </w:rPr>
        <w:t>二、技术标准和要求</w:t>
      </w:r>
      <w:bookmarkEnd w:id="739"/>
      <w:bookmarkEnd w:id="740"/>
      <w:bookmarkEnd w:id="741"/>
      <w:bookmarkEnd w:id="742"/>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rPr>
        <w:t>（一）承包范围：</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u w:val="single"/>
          <w:lang w:eastAsia="zh-CN"/>
        </w:rPr>
        <w:t>工程量清单包含的全部内容</w:t>
      </w:r>
      <w:r>
        <w:rPr>
          <w:rFonts w:hint="eastAsia" w:ascii="微软雅黑" w:hAnsi="微软雅黑" w:eastAsia="微软雅黑" w:cs="微软雅黑"/>
          <w:color w:val="auto"/>
          <w:sz w:val="21"/>
          <w:szCs w:val="21"/>
          <w:highlight w:val="none"/>
          <w:u w:val="single"/>
        </w:rPr>
        <w:t xml:space="preserve">   </w:t>
      </w:r>
    </w:p>
    <w:p>
      <w:pPr>
        <w:pageBreakBefore w:val="0"/>
        <w:widowControl w:val="0"/>
        <w:kinsoku/>
        <w:wordWrap/>
        <w:overflowPunct/>
        <w:topLinePunct w:val="0"/>
        <w:bidi w:val="0"/>
        <w:snapToGrid/>
        <w:spacing w:line="500" w:lineRule="exact"/>
        <w:jc w:val="left"/>
        <w:textAlignment w:val="auto"/>
        <w:rPr>
          <w:rFonts w:hint="default" w:ascii="微软雅黑" w:hAnsi="微软雅黑" w:eastAsia="微软雅黑" w:cs="微软雅黑"/>
          <w:color w:val="auto"/>
          <w:sz w:val="21"/>
          <w:szCs w:val="21"/>
          <w:highlight w:val="none"/>
          <w:u w:val="none"/>
          <w:lang w:val="en-US" w:eastAsia="zh-CN"/>
        </w:rPr>
      </w:pPr>
      <w:r>
        <w:rPr>
          <w:rFonts w:hint="eastAsia" w:ascii="微软雅黑" w:hAnsi="微软雅黑" w:eastAsia="微软雅黑" w:cs="微软雅黑"/>
          <w:color w:val="auto"/>
          <w:sz w:val="21"/>
          <w:szCs w:val="21"/>
          <w:highlight w:val="none"/>
        </w:rPr>
        <w:t>（二）工期要求：</w:t>
      </w:r>
      <w:r>
        <w:rPr>
          <w:rFonts w:hint="eastAsia" w:ascii="微软雅黑" w:hAnsi="微软雅黑" w:eastAsia="微软雅黑" w:cs="微软雅黑"/>
          <w:color w:val="auto"/>
          <w:sz w:val="21"/>
          <w:szCs w:val="21"/>
          <w:highlight w:val="none"/>
          <w:u w:val="single"/>
          <w:lang w:val="en-US" w:eastAsia="zh-CN"/>
        </w:rPr>
        <w:t>合同签订后20日内完成施工，施工完成后15日内完成验收并出具验收合格证明文件。</w:t>
      </w:r>
    </w:p>
    <w:p>
      <w:pPr>
        <w:pageBreakBefore w:val="0"/>
        <w:widowControl w:val="0"/>
        <w:kinsoku/>
        <w:wordWrap/>
        <w:overflowPunct/>
        <w:topLinePunct w:val="0"/>
        <w:bidi w:val="0"/>
        <w:snapToGrid/>
        <w:spacing w:line="500" w:lineRule="exact"/>
        <w:jc w:val="left"/>
        <w:textAlignment w:val="auto"/>
        <w:rPr>
          <w:rFonts w:hint="default" w:ascii="微软雅黑" w:hAnsi="微软雅黑" w:eastAsia="微软雅黑" w:cs="微软雅黑"/>
          <w:color w:val="auto"/>
          <w:sz w:val="21"/>
          <w:szCs w:val="21"/>
          <w:highlight w:val="none"/>
          <w:u w:val="single"/>
          <w:lang w:val="en-US" w:eastAsia="zh-CN"/>
        </w:rPr>
      </w:pPr>
      <w:r>
        <w:rPr>
          <w:rFonts w:hint="eastAsia" w:ascii="微软雅黑" w:hAnsi="微软雅黑" w:eastAsia="微软雅黑" w:cs="微软雅黑"/>
          <w:color w:val="auto"/>
          <w:sz w:val="21"/>
          <w:szCs w:val="21"/>
          <w:highlight w:val="none"/>
        </w:rPr>
        <w:t>（三）付款方式：</w:t>
      </w:r>
      <w:r>
        <w:rPr>
          <w:rFonts w:hint="eastAsia" w:ascii="微软雅黑" w:hAnsi="微软雅黑" w:eastAsia="微软雅黑" w:cs="微软雅黑"/>
          <w:color w:val="auto"/>
          <w:sz w:val="21"/>
          <w:szCs w:val="21"/>
          <w:highlight w:val="none"/>
          <w:u w:val="single"/>
        </w:rPr>
        <w:t xml:space="preserve"> </w:t>
      </w:r>
      <w:r>
        <w:rPr>
          <w:rFonts w:hint="eastAsia" w:ascii="微软雅黑" w:hAnsi="微软雅黑" w:eastAsia="微软雅黑" w:cs="微软雅黑"/>
          <w:color w:val="auto"/>
          <w:sz w:val="21"/>
          <w:szCs w:val="21"/>
          <w:highlight w:val="none"/>
          <w:u w:val="single"/>
          <w:lang w:val="en-US" w:eastAsia="zh-CN"/>
        </w:rPr>
        <w:t xml:space="preserve"> 合同签订后7天内支付合同总款的30%，完成施验收合格后支付合同总款的70%。（具体以合同签订为主）.</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u w:val="single"/>
        </w:rPr>
      </w:pPr>
      <w:r>
        <w:rPr>
          <w:rFonts w:hint="eastAsia" w:ascii="微软雅黑" w:hAnsi="微软雅黑" w:eastAsia="微软雅黑" w:cs="微软雅黑"/>
          <w:color w:val="auto"/>
          <w:sz w:val="21"/>
          <w:szCs w:val="21"/>
          <w:highlight w:val="none"/>
        </w:rPr>
        <w:t>（四）质量要求</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u w:val="single"/>
          <w:lang w:val="zh-CN"/>
        </w:rPr>
      </w:pPr>
      <w:r>
        <w:rPr>
          <w:rFonts w:hint="eastAsia" w:ascii="微软雅黑" w:hAnsi="微软雅黑" w:eastAsia="微软雅黑" w:cs="微软雅黑"/>
          <w:color w:val="auto"/>
          <w:sz w:val="21"/>
          <w:szCs w:val="21"/>
          <w:highlight w:val="none"/>
        </w:rPr>
        <w:t>1、</w:t>
      </w:r>
      <w:r>
        <w:rPr>
          <w:rFonts w:hint="eastAsia" w:ascii="微软雅黑" w:hAnsi="微软雅黑" w:eastAsia="微软雅黑" w:cs="微软雅黑"/>
          <w:color w:val="auto"/>
          <w:sz w:val="21"/>
          <w:szCs w:val="21"/>
          <w:highlight w:val="none"/>
          <w:lang w:val="zh-CN"/>
        </w:rPr>
        <w:t>质量标准：</w:t>
      </w:r>
      <w:r>
        <w:rPr>
          <w:rFonts w:hint="eastAsia" w:ascii="微软雅黑" w:hAnsi="微软雅黑" w:eastAsia="微软雅黑" w:cs="微软雅黑"/>
          <w:color w:val="auto"/>
          <w:sz w:val="21"/>
          <w:szCs w:val="21"/>
          <w:highlight w:val="none"/>
        </w:rPr>
        <w:t>符合现行国家有关工程施工验收规范和标准的合格要求。</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2、</w:t>
      </w:r>
      <w:r>
        <w:rPr>
          <w:rFonts w:hint="eastAsia" w:ascii="微软雅黑" w:hAnsi="微软雅黑" w:eastAsia="微软雅黑" w:cs="微软雅黑"/>
          <w:color w:val="auto"/>
          <w:sz w:val="21"/>
          <w:szCs w:val="21"/>
          <w:highlight w:val="none"/>
          <w:lang w:val="zh-CN"/>
        </w:rPr>
        <w:t>质量保修期：</w:t>
      </w:r>
      <w:r>
        <w:rPr>
          <w:rFonts w:hint="eastAsia" w:ascii="微软雅黑" w:hAnsi="微软雅黑" w:eastAsia="微软雅黑" w:cs="微软雅黑"/>
          <w:color w:val="auto"/>
          <w:sz w:val="21"/>
          <w:szCs w:val="21"/>
          <w:highlight w:val="none"/>
          <w:u w:val="single"/>
          <w:lang w:val="zh-CN"/>
        </w:rPr>
        <w:t xml:space="preserve"> </w:t>
      </w:r>
      <w:r>
        <w:rPr>
          <w:rFonts w:hint="eastAsia" w:ascii="微软雅黑" w:hAnsi="微软雅黑" w:eastAsia="微软雅黑" w:cs="微软雅黑"/>
          <w:color w:val="auto"/>
          <w:sz w:val="21"/>
          <w:szCs w:val="21"/>
          <w:highlight w:val="none"/>
          <w:u w:val="single"/>
          <w:lang w:val="en-US" w:eastAsia="zh-CN"/>
        </w:rPr>
        <w:t>2年</w:t>
      </w:r>
      <w:r>
        <w:rPr>
          <w:rFonts w:hint="eastAsia" w:ascii="微软雅黑" w:hAnsi="微软雅黑" w:eastAsia="微软雅黑" w:cs="微软雅黑"/>
          <w:color w:val="auto"/>
          <w:sz w:val="21"/>
          <w:szCs w:val="21"/>
          <w:highlight w:val="none"/>
          <w:u w:val="single"/>
          <w:lang w:val="zh-CN" w:eastAsia="zh-CN"/>
        </w:rPr>
        <w:t>。</w:t>
      </w:r>
      <w:r>
        <w:rPr>
          <w:rFonts w:hint="eastAsia" w:ascii="微软雅黑" w:hAnsi="微软雅黑" w:eastAsia="微软雅黑" w:cs="微软雅黑"/>
          <w:color w:val="auto"/>
          <w:sz w:val="21"/>
          <w:szCs w:val="21"/>
          <w:highlight w:val="none"/>
          <w:u w:val="single"/>
          <w:lang w:val="zh-CN"/>
        </w:rPr>
        <w:t xml:space="preserve">                             </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u w:val="single"/>
          <w:lang w:val="zh-CN"/>
        </w:rPr>
        <w:t xml:space="preserve"> </w:t>
      </w:r>
      <w:r>
        <w:rPr>
          <w:rFonts w:hint="eastAsia" w:ascii="微软雅黑" w:hAnsi="微软雅黑" w:eastAsia="微软雅黑" w:cs="微软雅黑"/>
          <w:color w:val="auto"/>
          <w:sz w:val="21"/>
          <w:szCs w:val="21"/>
          <w:highlight w:val="none"/>
          <w:lang w:val="zh-CN"/>
        </w:rPr>
        <w:t xml:space="preserve"> </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FF0000"/>
          <w:sz w:val="21"/>
          <w:szCs w:val="21"/>
          <w:highlight w:val="none"/>
          <w:lang w:val="zh-CN"/>
        </w:rPr>
      </w:pPr>
      <w:r>
        <w:rPr>
          <w:rFonts w:hint="eastAsia" w:ascii="微软雅黑" w:hAnsi="微软雅黑" w:eastAsia="微软雅黑" w:cs="微软雅黑"/>
          <w:color w:val="auto"/>
          <w:sz w:val="21"/>
          <w:szCs w:val="21"/>
          <w:highlight w:val="none"/>
          <w:lang w:val="zh-CN"/>
        </w:rPr>
        <w:t>3、</w:t>
      </w:r>
      <w:r>
        <w:rPr>
          <w:rFonts w:hint="eastAsia" w:ascii="微软雅黑" w:hAnsi="微软雅黑" w:eastAsia="微软雅黑" w:cs="微软雅黑"/>
          <w:color w:val="auto"/>
          <w:sz w:val="21"/>
          <w:szCs w:val="21"/>
          <w:highlight w:val="none"/>
          <w:lang w:val="en-US" w:eastAsia="zh-CN"/>
        </w:rPr>
        <w:t>履约保证金</w:t>
      </w:r>
      <w:r>
        <w:rPr>
          <w:rFonts w:hint="eastAsia" w:ascii="微软雅黑" w:hAnsi="微软雅黑" w:eastAsia="微软雅黑" w:cs="微软雅黑"/>
          <w:color w:val="auto"/>
          <w:sz w:val="21"/>
          <w:szCs w:val="21"/>
          <w:highlight w:val="none"/>
          <w:lang w:val="zh-CN"/>
        </w:rPr>
        <w:t>：</w:t>
      </w:r>
      <w:r>
        <w:rPr>
          <w:rFonts w:hint="eastAsia" w:ascii="微软雅黑" w:hAnsi="微软雅黑" w:eastAsia="微软雅黑" w:cs="微软雅黑"/>
          <w:color w:val="auto"/>
          <w:sz w:val="21"/>
          <w:szCs w:val="21"/>
          <w:highlight w:val="none"/>
          <w:lang w:val="en-US" w:eastAsia="zh-CN"/>
        </w:rPr>
        <w:t>合同总价的5%</w:t>
      </w:r>
      <w:r>
        <w:rPr>
          <w:rFonts w:hint="eastAsia" w:ascii="微软雅黑" w:hAnsi="微软雅黑" w:eastAsia="微软雅黑" w:cs="微软雅黑"/>
          <w:color w:val="auto"/>
          <w:sz w:val="21"/>
          <w:szCs w:val="21"/>
          <w:highlight w:val="none"/>
          <w:lang w:val="zh-CN"/>
        </w:rPr>
        <w:t>。</w:t>
      </w:r>
    </w:p>
    <w:p>
      <w:pPr>
        <w:pStyle w:val="36"/>
        <w:pageBreakBefore w:val="0"/>
        <w:widowControl w:val="0"/>
        <w:kinsoku/>
        <w:wordWrap/>
        <w:overflowPunct/>
        <w:topLinePunct w:val="0"/>
        <w:bidi w:val="0"/>
        <w:snapToGrid/>
        <w:spacing w:line="500" w:lineRule="exact"/>
        <w:ind w:left="0" w:leftChars="0" w:firstLine="0" w:firstLineChars="0"/>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lang w:val="en-US" w:eastAsia="zh-CN"/>
        </w:rPr>
        <w:t>4、</w:t>
      </w:r>
      <w:r>
        <w:rPr>
          <w:rFonts w:hint="eastAsia" w:ascii="微软雅黑" w:hAnsi="微软雅黑" w:eastAsia="微软雅黑" w:cs="微软雅黑"/>
          <w:color w:val="auto"/>
          <w:kern w:val="2"/>
          <w:sz w:val="21"/>
          <w:szCs w:val="21"/>
          <w:highlight w:val="none"/>
          <w:lang w:val="en-US" w:eastAsia="zh-CN" w:bidi="ar-SA"/>
        </w:rPr>
        <w:t>其他要求：维修过程中要对现有设备保护，不能损坏现有设备。</w:t>
      </w:r>
    </w:p>
    <w:p>
      <w:pPr>
        <w:pStyle w:val="13"/>
        <w:ind w:left="0" w:leftChars="0" w:firstLine="0" w:firstLineChars="0"/>
        <w:rPr>
          <w:rFonts w:hint="default"/>
          <w:lang w:val="en-US" w:eastAsia="zh-CN"/>
        </w:rPr>
      </w:pPr>
      <w:r>
        <w:rPr>
          <w:rFonts w:hint="eastAsia" w:ascii="微软雅黑" w:hAnsi="微软雅黑" w:eastAsia="微软雅黑" w:cs="微软雅黑"/>
          <w:color w:val="auto"/>
          <w:kern w:val="2"/>
          <w:sz w:val="21"/>
          <w:szCs w:val="21"/>
          <w:highlight w:val="none"/>
          <w:lang w:val="en-US" w:eastAsia="zh-CN" w:bidi="ar-SA"/>
        </w:rPr>
        <w:t>4.1.需要管道安装许可GB2资质及特种设备作业压力容器焊工证书人数不少于5人，提供相关证明资料</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（五）适用规范、标准和规程</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1、除合同另有约定外，本工程适用现行国家、行业和地方规范、标准和规程。</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2、除合同另有约定外，材料、施工工艺和本工程都应依照本技术标准和要求以及适用的现行规范、标准和规程的最新版本执行。</w:t>
      </w:r>
    </w:p>
    <w:p>
      <w:pPr>
        <w:pageBreakBefore w:val="0"/>
        <w:widowControl w:val="0"/>
        <w:kinsoku/>
        <w:wordWrap/>
        <w:overflowPunct/>
        <w:topLinePunct w:val="0"/>
        <w:bidi w:val="0"/>
        <w:snapToGrid/>
        <w:spacing w:line="500" w:lineRule="exact"/>
        <w:jc w:val="lef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（六）安全文明施工</w:t>
      </w:r>
    </w:p>
    <w:p>
      <w:pPr>
        <w:pageBreakBefore w:val="0"/>
        <w:widowControl w:val="0"/>
        <w:kinsoku/>
        <w:wordWrap/>
        <w:overflowPunct/>
        <w:topLinePunct w:val="0"/>
        <w:bidi w:val="0"/>
        <w:snapToGrid/>
        <w:spacing w:line="50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在工程施工、竣工、交付及修补任何缺陷的过程中，承包人应当始终遵守国家和地方有关安全生产的法律、法规、规范、标准和规程等，履行其安全施工职责。</w:t>
      </w:r>
    </w:p>
    <w:p>
      <w:pPr>
        <w:pageBreakBefore w:val="0"/>
        <w:widowControl w:val="0"/>
        <w:kinsoku/>
        <w:wordWrap/>
        <w:overflowPunct/>
        <w:topLinePunct w:val="0"/>
        <w:bidi w:val="0"/>
        <w:snapToGrid/>
        <w:spacing w:line="500" w:lineRule="exact"/>
        <w:textAlignment w:val="auto"/>
        <w:rPr>
          <w:rFonts w:hint="eastAsia"/>
          <w:color w:val="auto"/>
        </w:rPr>
      </w:pPr>
    </w:p>
    <w:p>
      <w:pPr>
        <w:pageBreakBefore w:val="0"/>
        <w:widowControl w:val="0"/>
        <w:kinsoku/>
        <w:wordWrap/>
        <w:overflowPunct/>
        <w:topLinePunct w:val="0"/>
        <w:bidi w:val="0"/>
        <w:snapToGrid/>
        <w:spacing w:line="500" w:lineRule="exact"/>
        <w:ind w:firstLine="480" w:firstLineChars="200"/>
        <w:textAlignment w:val="auto"/>
        <w:rPr>
          <w:rFonts w:ascii="微软雅黑" w:hAnsi="微软雅黑" w:eastAsia="微软雅黑" w:cs="微软雅黑"/>
          <w:sz w:val="24"/>
        </w:rPr>
      </w:pPr>
      <w:r>
        <w:rPr>
          <w:rFonts w:hint="eastAsia" w:ascii="微软雅黑" w:hAnsi="微软雅黑" w:eastAsia="微软雅黑" w:cs="微软雅黑"/>
          <w:b/>
          <w:bCs/>
          <w:color w:val="auto"/>
          <w:sz w:val="24"/>
          <w:szCs w:val="24"/>
          <w:lang w:val="en-US" w:eastAsia="zh-CN"/>
        </w:rPr>
        <w:t>三、工程量清单：详见附件</w:t>
      </w:r>
    </w:p>
    <w:p>
      <w:pPr>
        <w:pStyle w:val="13"/>
        <w:ind w:firstLine="480"/>
        <w:rPr>
          <w:rFonts w:ascii="微软雅黑" w:hAnsi="微软雅黑" w:eastAsia="微软雅黑" w:cs="微软雅黑"/>
        </w:rPr>
      </w:pPr>
    </w:p>
    <w:p>
      <w:pPr>
        <w:pStyle w:val="13"/>
        <w:ind w:left="0" w:leftChars="0" w:firstLine="0" w:firstLineChars="0"/>
        <w:rPr>
          <w:rFonts w:ascii="微软雅黑" w:hAnsi="微软雅黑" w:eastAsia="微软雅黑" w:cs="微软雅黑"/>
        </w:rPr>
      </w:pPr>
    </w:p>
    <w:p>
      <w:pPr>
        <w:pStyle w:val="3"/>
        <w:tabs>
          <w:tab w:val="left" w:pos="0"/>
        </w:tabs>
        <w:snapToGrid w:val="0"/>
        <w:spacing w:before="0" w:after="0" w:line="240" w:lineRule="atLeast"/>
        <w:textAlignment w:val="baseline"/>
        <w:rPr>
          <w:rFonts w:ascii="微软雅黑" w:hAnsi="微软雅黑" w:eastAsia="微软雅黑" w:cs="微软雅黑"/>
          <w:b w:val="0"/>
          <w:sz w:val="24"/>
        </w:rPr>
      </w:pPr>
      <w:bookmarkStart w:id="743" w:name="_Toc15856"/>
      <w:bookmarkStart w:id="744" w:name="_Toc23724"/>
      <w:r>
        <w:rPr>
          <w:rFonts w:hint="eastAsia" w:ascii="微软雅黑" w:hAnsi="微软雅黑" w:eastAsia="微软雅黑" w:cs="微软雅黑"/>
        </w:rPr>
        <w:t xml:space="preserve">第6章 </w:t>
      </w:r>
      <w:bookmarkStart w:id="745" w:name="_Toc507399907"/>
      <w:bookmarkStart w:id="746" w:name="_Toc32647"/>
      <w:bookmarkStart w:id="747" w:name="_Toc7971"/>
      <w:bookmarkStart w:id="748" w:name="_Toc515647832"/>
      <w:r>
        <w:rPr>
          <w:rFonts w:hint="eastAsia" w:ascii="微软雅黑" w:hAnsi="微软雅黑" w:eastAsia="微软雅黑" w:cs="微软雅黑"/>
        </w:rPr>
        <w:t>评审方法和标准</w:t>
      </w:r>
      <w:bookmarkEnd w:id="730"/>
      <w:bookmarkEnd w:id="731"/>
      <w:bookmarkEnd w:id="732"/>
      <w:bookmarkEnd w:id="743"/>
      <w:bookmarkEnd w:id="744"/>
      <w:bookmarkEnd w:id="745"/>
      <w:bookmarkEnd w:id="746"/>
      <w:bookmarkEnd w:id="747"/>
      <w:bookmarkEnd w:id="748"/>
    </w:p>
    <w:p>
      <w:pPr>
        <w:pStyle w:val="11"/>
        <w:keepNext w:val="0"/>
        <w:keepLines w:val="0"/>
        <w:pageBreakBefore w:val="0"/>
        <w:kinsoku/>
        <w:wordWrap/>
        <w:overflowPunct/>
        <w:topLinePunct w:val="0"/>
        <w:bidi w:val="0"/>
        <w:snapToGrid w:val="0"/>
        <w:spacing w:before="0" w:beforeAutospacing="0" w:after="0" w:afterAutospacing="0" w:line="52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szCs w:val="24"/>
          <w:highlight w:val="none"/>
        </w:rPr>
      </w:pPr>
      <w:bookmarkStart w:id="749" w:name="_Toc3722"/>
      <w:bookmarkStart w:id="750" w:name="_Toc5480"/>
      <w:bookmarkStart w:id="751" w:name="_Toc11629"/>
      <w:bookmarkStart w:id="752" w:name="_Toc9048"/>
      <w:bookmarkStart w:id="753" w:name="_Toc25450"/>
      <w:bookmarkStart w:id="754" w:name="_Toc5997"/>
      <w:bookmarkStart w:id="755" w:name="_Toc4729"/>
      <w:bookmarkStart w:id="756" w:name="_Toc19292"/>
      <w:bookmarkStart w:id="757" w:name="_Toc18284"/>
      <w:bookmarkStart w:id="758" w:name="_Toc15607"/>
      <w:r>
        <w:rPr>
          <w:rFonts w:hint="eastAsia" w:ascii="微软雅黑" w:hAnsi="微软雅黑" w:eastAsia="微软雅黑" w:cs="微软雅黑"/>
          <w:b w:val="0"/>
          <w:i w:val="0"/>
          <w:caps w:val="0"/>
          <w:color w:val="auto"/>
          <w:spacing w:val="0"/>
          <w:w w:val="100"/>
          <w:sz w:val="24"/>
          <w:szCs w:val="24"/>
          <w:highlight w:val="none"/>
        </w:rPr>
        <w:t>本项目将按照磋商文件第一章供应商须知中“五 磋商开启及评审”、“六 确定成交”及本章的规定评标。</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1、落实政府采购政策</w:t>
      </w:r>
    </w:p>
    <w:p>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①根据《政府采购促进中小企业发展管理办法》（财库﹝2020﹞46 号）</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关于落实好政府采购支持中小企业发展的通知</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rPr>
        <w:t>新财购 〔2022〕22号</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color w:val="auto"/>
          <w:kern w:val="2"/>
          <w:sz w:val="24"/>
          <w:szCs w:val="24"/>
          <w:highlight w:val="none"/>
          <w:lang w:val="en-US" w:eastAsia="zh-CN" w:bidi="ar-SA"/>
        </w:rPr>
        <w:t xml:space="preserve">、《财政部司法部关于政府采购支持监狱企业发展有关问题的通知》（财库〔2014〕68号）和《三部门联合发布关于促进残疾人就业政府采购政策的通知》（财库〔2017〕141号）的规定，其中小型、微型及小微企业在响应文件中提交了《中小企业声明函》、《残疾人福利性单位声明函》或省级以上监狱管理局、戒毒管理局（含新疆生产建设兵团）出具的属于监狱企业的证明文件的供应商，其报价扣除  </w:t>
      </w:r>
      <w:r>
        <w:rPr>
          <w:rFonts w:hint="eastAsia" w:ascii="微软雅黑" w:hAnsi="微软雅黑" w:eastAsia="微软雅黑" w:cs="微软雅黑"/>
          <w:b/>
          <w:bCs/>
          <w:color w:val="auto"/>
          <w:kern w:val="2"/>
          <w:sz w:val="24"/>
          <w:szCs w:val="24"/>
          <w:highlight w:val="none"/>
          <w:u w:val="single"/>
          <w:lang w:val="en-US" w:eastAsia="zh-CN" w:bidi="ar-SA"/>
        </w:rPr>
        <w:t xml:space="preserve">10  </w:t>
      </w:r>
      <w:r>
        <w:rPr>
          <w:rFonts w:hint="eastAsia" w:ascii="微软雅黑" w:hAnsi="微软雅黑" w:eastAsia="微软雅黑" w:cs="微软雅黑"/>
          <w:b/>
          <w:bCs/>
          <w:color w:val="auto"/>
          <w:kern w:val="2"/>
          <w:sz w:val="24"/>
          <w:szCs w:val="24"/>
          <w:highlight w:val="none"/>
          <w:lang w:val="en-US" w:eastAsia="zh-CN" w:bidi="ar-SA"/>
        </w:rPr>
        <w:t>%后参与评审。对于同时属于小型、微型及小微企业、监狱企业或残疾人福利性单位的，不重复进行报价扣除。</w:t>
      </w:r>
    </w:p>
    <w:p>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②</w:t>
      </w:r>
      <w:r>
        <w:rPr>
          <w:rFonts w:hint="eastAsia" w:ascii="微软雅黑" w:hAnsi="微软雅黑" w:eastAsia="微软雅黑" w:cs="微软雅黑"/>
          <w:b/>
          <w:bCs/>
          <w:i w:val="0"/>
          <w:caps w:val="0"/>
          <w:color w:val="auto"/>
          <w:spacing w:val="0"/>
          <w:w w:val="100"/>
          <w:sz w:val="24"/>
          <w:szCs w:val="24"/>
          <w:highlight w:val="none"/>
        </w:rPr>
        <w:t>联合协议中约定，小型、微型企业和监狱企业的协议合同金额占到联合体协议合同总金额40%以上的，可给予联合体4%~6%的价格扣除。（本项目不适用）</w:t>
      </w:r>
    </w:p>
    <w:p>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联合体各方均为小型、微型企业和监狱企业的，联合体视同为小型、微型企业和监狱企业。</w:t>
      </w:r>
    </w:p>
    <w:p>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③</w:t>
      </w:r>
      <w:r>
        <w:rPr>
          <w:rFonts w:hint="eastAsia" w:ascii="微软雅黑" w:hAnsi="微软雅黑" w:eastAsia="微软雅黑" w:cs="微软雅黑"/>
          <w:b/>
          <w:bCs/>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eastAsia="zh-CN"/>
        </w:rPr>
        <w:t>④</w:t>
      </w:r>
      <w:r>
        <w:rPr>
          <w:rFonts w:hint="eastAsia" w:ascii="微软雅黑" w:hAnsi="微软雅黑" w:eastAsia="微软雅黑" w:cs="微软雅黑"/>
          <w:b/>
          <w:bCs/>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i w:val="0"/>
          <w:caps w:val="0"/>
          <w:color w:val="auto"/>
          <w:spacing w:val="0"/>
          <w:w w:val="100"/>
          <w:sz w:val="24"/>
          <w:szCs w:val="24"/>
          <w:highlight w:val="none"/>
          <w:lang w:eastAsia="zh-CN"/>
        </w:rPr>
        <w:t>⑤</w:t>
      </w:r>
      <w:r>
        <w:rPr>
          <w:rFonts w:hint="eastAsia" w:ascii="微软雅黑" w:hAnsi="微软雅黑" w:eastAsia="微软雅黑" w:cs="微软雅黑"/>
          <w:b/>
          <w:bCs/>
          <w:i w:val="0"/>
          <w:caps w:val="0"/>
          <w:color w:val="auto"/>
          <w:spacing w:val="0"/>
          <w:w w:val="100"/>
          <w:sz w:val="24"/>
          <w:szCs w:val="24"/>
          <w:highlight w:val="none"/>
        </w:rPr>
        <w:t>对创新产品或创新性企业的优惠措施为：</w:t>
      </w:r>
      <w:r>
        <w:rPr>
          <w:rFonts w:hint="eastAsia" w:ascii="微软雅黑" w:hAnsi="微软雅黑" w:eastAsia="微软雅黑" w:cs="微软雅黑"/>
          <w:b/>
          <w:bCs/>
          <w:i w:val="0"/>
          <w:caps w:val="0"/>
          <w:color w:val="auto"/>
          <w:spacing w:val="0"/>
          <w:w w:val="100"/>
          <w:sz w:val="24"/>
          <w:szCs w:val="24"/>
          <w:highlight w:val="none"/>
          <w:u w:val="single"/>
        </w:rPr>
        <w:t xml:space="preserve">    / </w:t>
      </w:r>
      <w:r>
        <w:rPr>
          <w:rFonts w:hint="eastAsia" w:ascii="微软雅黑" w:hAnsi="微软雅黑" w:eastAsia="微软雅黑" w:cs="微软雅黑"/>
          <w:b w:val="0"/>
          <w:color w:val="auto"/>
          <w:kern w:val="2"/>
          <w:sz w:val="24"/>
          <w:szCs w:val="24"/>
          <w:u w:val="single"/>
          <w:lang w:val="en-US" w:eastAsia="zh-CN" w:bidi="ar-SA"/>
        </w:rPr>
        <w:t xml:space="preserve">    </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2、 开标</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759" w:name="_Toc73975822"/>
      <w:r>
        <w:rPr>
          <w:rFonts w:hint="eastAsia" w:ascii="微软雅黑" w:hAnsi="微软雅黑" w:eastAsia="微软雅黑" w:cs="微软雅黑"/>
          <w:b/>
          <w:bCs/>
          <w:color w:val="auto"/>
          <w:sz w:val="24"/>
          <w:szCs w:val="24"/>
          <w:highlight w:val="none"/>
          <w:lang w:val="en-US" w:eastAsia="zh-CN"/>
        </w:rPr>
        <w:t>2.1开标邀请</w:t>
      </w:r>
      <w:bookmarkEnd w:id="759"/>
    </w:p>
    <w:p>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1</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开标准备：本项目开标的准备工作由采购组织机构负责落实，开标过程由采购组织机构负责记录；</w:t>
      </w:r>
    </w:p>
    <w:p>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2）</w:t>
      </w:r>
      <w:r>
        <w:rPr>
          <w:rFonts w:hint="eastAsia" w:ascii="微软雅黑" w:hAnsi="微软雅黑" w:eastAsia="微软雅黑" w:cs="微软雅黑"/>
          <w:b w:val="0"/>
          <w:bCs/>
          <w:color w:val="auto"/>
          <w:sz w:val="24"/>
          <w:szCs w:val="24"/>
          <w:highlight w:val="none"/>
        </w:rPr>
        <w:t>开标主持：本项目开标由采购人或者采购代理机构主持；</w:t>
      </w:r>
    </w:p>
    <w:p>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3</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开标邀请：本项目采用电子交易，采购组织机构将按照</w:t>
      </w:r>
      <w:r>
        <w:rPr>
          <w:rFonts w:hint="eastAsia" w:ascii="微软雅黑" w:hAnsi="微软雅黑" w:eastAsia="微软雅黑" w:cs="微软雅黑"/>
          <w:b w:val="0"/>
          <w:color w:val="auto"/>
          <w:sz w:val="24"/>
          <w:szCs w:val="24"/>
          <w:highlight w:val="none"/>
          <w:lang w:eastAsia="zh-CN"/>
        </w:rPr>
        <w:t>竞争性磋商文件</w:t>
      </w:r>
      <w:r>
        <w:rPr>
          <w:rFonts w:hint="eastAsia" w:ascii="微软雅黑" w:hAnsi="微软雅黑" w:eastAsia="微软雅黑" w:cs="微软雅黑"/>
          <w:b w:val="0"/>
          <w:color w:val="auto"/>
          <w:sz w:val="24"/>
          <w:szCs w:val="24"/>
          <w:highlight w:val="none"/>
        </w:rPr>
        <w:t>规定的时间通过“</w:t>
      </w:r>
      <w:r>
        <w:rPr>
          <w:rFonts w:hint="eastAsia" w:ascii="微软雅黑" w:hAnsi="微软雅黑" w:eastAsia="微软雅黑" w:cs="微软雅黑"/>
          <w:b w:val="0"/>
          <w:color w:val="auto"/>
          <w:sz w:val="24"/>
          <w:szCs w:val="24"/>
          <w:highlight w:val="none"/>
          <w:lang w:eastAsia="zh-CN"/>
        </w:rPr>
        <w:t>新疆</w:t>
      </w:r>
      <w:r>
        <w:rPr>
          <w:rFonts w:hint="eastAsia" w:ascii="微软雅黑" w:hAnsi="微软雅黑" w:eastAsia="微软雅黑" w:cs="微软雅黑"/>
          <w:b w:val="0"/>
          <w:color w:val="auto"/>
          <w:sz w:val="24"/>
          <w:szCs w:val="24"/>
          <w:highlight w:val="none"/>
        </w:rPr>
        <w:t>政府采购云平台，网址：</w:t>
      </w:r>
      <w:r>
        <w:rPr>
          <w:rFonts w:hint="eastAsia" w:ascii="微软雅黑" w:hAnsi="微软雅黑" w:eastAsia="微软雅黑" w:cs="微软雅黑"/>
          <w:b w:val="0"/>
          <w:color w:val="auto"/>
          <w:sz w:val="24"/>
          <w:szCs w:val="24"/>
          <w:highlight w:val="none"/>
        </w:rPr>
        <w:fldChar w:fldCharType="begin"/>
      </w:r>
      <w:r>
        <w:rPr>
          <w:rFonts w:hint="eastAsia" w:ascii="微软雅黑" w:hAnsi="微软雅黑" w:eastAsia="微软雅黑" w:cs="微软雅黑"/>
          <w:b w:val="0"/>
          <w:color w:val="auto"/>
          <w:sz w:val="24"/>
          <w:szCs w:val="24"/>
          <w:highlight w:val="none"/>
        </w:rPr>
        <w:instrText xml:space="preserve">HYPERLINK "http://www.zcygov.cn"</w:instrText>
      </w:r>
      <w:r>
        <w:rPr>
          <w:rFonts w:hint="eastAsia" w:ascii="微软雅黑" w:hAnsi="微软雅黑" w:eastAsia="微软雅黑" w:cs="微软雅黑"/>
          <w:b w:val="0"/>
          <w:color w:val="auto"/>
          <w:sz w:val="24"/>
          <w:szCs w:val="24"/>
          <w:highlight w:val="none"/>
        </w:rPr>
        <w:fldChar w:fldCharType="separate"/>
      </w:r>
      <w:r>
        <w:rPr>
          <w:rStyle w:val="42"/>
          <w:rFonts w:hint="eastAsia" w:ascii="微软雅黑" w:hAnsi="微软雅黑" w:eastAsia="微软雅黑" w:cs="微软雅黑"/>
          <w:b w:val="0"/>
          <w:color w:val="auto"/>
          <w:sz w:val="24"/>
          <w:szCs w:val="24"/>
          <w:highlight w:val="none"/>
          <w:u w:val="none"/>
        </w:rPr>
        <w:t>www.zcygov.cn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b w:val="0"/>
          <w:color w:val="auto"/>
          <w:sz w:val="24"/>
          <w:szCs w:val="24"/>
          <w:highlight w:val="none"/>
        </w:rPr>
        <w:t>”组织开标、开启投标响应文件，所有供应商均应当准时在线参加。</w:t>
      </w:r>
    </w:p>
    <w:p>
      <w:pPr>
        <w:pStyle w:val="17"/>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4</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因未在线参加开标而导致</w:t>
      </w:r>
      <w:r>
        <w:rPr>
          <w:rFonts w:hint="eastAsia" w:ascii="微软雅黑" w:hAnsi="微软雅黑" w:eastAsia="微软雅黑" w:cs="微软雅黑"/>
          <w:b w:val="0"/>
          <w:color w:val="auto"/>
          <w:sz w:val="24"/>
          <w:szCs w:val="24"/>
          <w:highlight w:val="none"/>
          <w:lang w:eastAsia="zh-CN"/>
        </w:rPr>
        <w:t>响应文件</w:t>
      </w:r>
      <w:r>
        <w:rPr>
          <w:rFonts w:hint="eastAsia" w:ascii="微软雅黑" w:hAnsi="微软雅黑" w:eastAsia="微软雅黑" w:cs="微软雅黑"/>
          <w:b w:val="0"/>
          <w:color w:val="auto"/>
          <w:sz w:val="24"/>
          <w:szCs w:val="24"/>
          <w:highlight w:val="none"/>
        </w:rPr>
        <w:t>无法按时解密等一切后果由供应商自行承担。</w:t>
      </w:r>
    </w:p>
    <w:p>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微软雅黑" w:hAnsi="微软雅黑" w:eastAsia="微软雅黑" w:cs="微软雅黑"/>
          <w:b/>
          <w:color w:val="auto"/>
          <w:sz w:val="24"/>
          <w:szCs w:val="24"/>
          <w:highlight w:val="none"/>
        </w:rPr>
      </w:pPr>
      <w:bookmarkStart w:id="760" w:name="_Toc32193"/>
      <w:bookmarkStart w:id="761" w:name="_Toc27602"/>
      <w:bookmarkStart w:id="762" w:name="_Toc73975823"/>
      <w:bookmarkStart w:id="763" w:name="_Toc22653"/>
      <w:bookmarkStart w:id="764" w:name="_Toc21384"/>
      <w:bookmarkStart w:id="765" w:name="_Toc19065"/>
      <w:r>
        <w:rPr>
          <w:rFonts w:hint="eastAsia" w:ascii="微软雅黑" w:hAnsi="微软雅黑" w:eastAsia="微软雅黑" w:cs="微软雅黑"/>
          <w:b/>
          <w:color w:val="auto"/>
          <w:sz w:val="24"/>
          <w:szCs w:val="24"/>
          <w:highlight w:val="none"/>
          <w:lang w:val="en-US" w:eastAsia="zh-CN"/>
        </w:rPr>
        <w:t>2.2</w:t>
      </w:r>
      <w:r>
        <w:rPr>
          <w:rFonts w:hint="eastAsia" w:ascii="微软雅黑" w:hAnsi="微软雅黑" w:eastAsia="微软雅黑" w:cs="微软雅黑"/>
          <w:b/>
          <w:bCs/>
          <w:color w:val="auto"/>
          <w:sz w:val="24"/>
          <w:szCs w:val="24"/>
          <w:highlight w:val="none"/>
        </w:rPr>
        <w:t>开标程序（</w:t>
      </w:r>
      <w:r>
        <w:rPr>
          <w:rFonts w:hint="eastAsia" w:ascii="微软雅黑" w:hAnsi="微软雅黑" w:eastAsia="微软雅黑" w:cs="微软雅黑"/>
          <w:b/>
          <w:bCs/>
          <w:color w:val="auto"/>
          <w:sz w:val="24"/>
          <w:szCs w:val="24"/>
          <w:highlight w:val="none"/>
          <w:lang w:val="en-US" w:eastAsia="zh-CN"/>
        </w:rPr>
        <w:t>先资格性</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后符合性、最终报价、再商务</w:t>
      </w:r>
      <w:r>
        <w:rPr>
          <w:rFonts w:hint="eastAsia" w:ascii="微软雅黑" w:hAnsi="微软雅黑" w:eastAsia="微软雅黑" w:cs="微软雅黑"/>
          <w:b/>
          <w:bCs/>
          <w:color w:val="auto"/>
          <w:sz w:val="24"/>
          <w:szCs w:val="24"/>
          <w:highlight w:val="none"/>
        </w:rPr>
        <w:t>技术）</w:t>
      </w:r>
      <w:bookmarkEnd w:id="760"/>
      <w:bookmarkEnd w:id="761"/>
      <w:bookmarkEnd w:id="762"/>
      <w:bookmarkEnd w:id="763"/>
      <w:bookmarkEnd w:id="764"/>
      <w:bookmarkEnd w:id="765"/>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开标时间到后，主持人宣布开标会议开始。</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解密异常情况处理（</w:t>
      </w:r>
      <w:r>
        <w:rPr>
          <w:rFonts w:hint="eastAsia" w:ascii="微软雅黑" w:hAnsi="微软雅黑" w:eastAsia="微软雅黑" w:cs="微软雅黑"/>
          <w:b/>
          <w:color w:val="auto"/>
          <w:kern w:val="0"/>
          <w:sz w:val="24"/>
          <w:szCs w:val="24"/>
          <w:highlight w:val="none"/>
        </w:rPr>
        <w:t>处理办法见《供应商须知前附表》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公布</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解密情况（</w:t>
      </w:r>
      <w:r>
        <w:rPr>
          <w:rFonts w:hint="eastAsia" w:ascii="微软雅黑" w:hAnsi="微软雅黑" w:eastAsia="微软雅黑" w:cs="微软雅黑"/>
          <w:color w:val="auto"/>
          <w:kern w:val="0"/>
          <w:sz w:val="24"/>
          <w:szCs w:val="24"/>
          <w:highlight w:val="none"/>
          <w:lang w:eastAsia="zh-CN"/>
        </w:rPr>
        <w:t>响应文件</w:t>
      </w:r>
      <w:r>
        <w:rPr>
          <w:rFonts w:hint="eastAsia" w:ascii="微软雅黑" w:hAnsi="微软雅黑" w:eastAsia="微软雅黑" w:cs="微软雅黑"/>
          <w:color w:val="auto"/>
          <w:kern w:val="0"/>
          <w:sz w:val="24"/>
          <w:szCs w:val="24"/>
          <w:highlight w:val="none"/>
        </w:rPr>
        <w:t>成功解密的供应商名单等信息），组织签署</w:t>
      </w:r>
      <w:r>
        <w:rPr>
          <w:rFonts w:hint="eastAsia" w:ascii="微软雅黑" w:hAnsi="微软雅黑" w:eastAsia="微软雅黑" w:cs="微软雅黑"/>
          <w:b/>
          <w:bCs/>
          <w:color w:val="auto"/>
          <w:kern w:val="0"/>
          <w:sz w:val="24"/>
          <w:szCs w:val="24"/>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微软雅黑" w:hAnsi="微软雅黑" w:eastAsia="微软雅黑" w:cs="微软雅黑"/>
          <w:b/>
          <w:bCs/>
          <w:color w:val="auto"/>
          <w:kern w:val="0"/>
          <w:sz w:val="24"/>
          <w:szCs w:val="24"/>
          <w:highlight w:val="none"/>
          <w:lang w:val="en-US" w:eastAsia="zh-CN"/>
        </w:rPr>
        <w:t>1543019885@qq.com</w:t>
      </w:r>
      <w:r>
        <w:rPr>
          <w:rFonts w:hint="eastAsia" w:ascii="微软雅黑" w:hAnsi="微软雅黑" w:eastAsia="微软雅黑" w:cs="微软雅黑"/>
          <w:b/>
          <w:bCs/>
          <w:color w:val="auto"/>
          <w:kern w:val="0"/>
          <w:sz w:val="24"/>
          <w:szCs w:val="24"/>
          <w:highlight w:val="none"/>
        </w:rPr>
        <w:t xml:space="preserve"> ，逾期发送或未发送的视为无异议</w:t>
      </w:r>
      <w:r>
        <w:rPr>
          <w:rFonts w:hint="eastAsia" w:ascii="微软雅黑" w:hAnsi="微软雅黑" w:eastAsia="微软雅黑" w:cs="微软雅黑"/>
          <w:color w:val="auto"/>
          <w:kern w:val="0"/>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开启标书信息（资格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文件、商务技术文件）。标书信息开启后，首先由采购人或采购代理机构</w:t>
      </w:r>
      <w:r>
        <w:rPr>
          <w:rFonts w:hint="eastAsia" w:ascii="微软雅黑" w:hAnsi="微软雅黑" w:eastAsia="微软雅黑" w:cs="微软雅黑"/>
          <w:color w:val="auto"/>
          <w:kern w:val="0"/>
          <w:sz w:val="24"/>
          <w:szCs w:val="24"/>
          <w:highlight w:val="none"/>
          <w:lang w:eastAsia="zh-CN"/>
        </w:rPr>
        <w:t>或评审小组</w:t>
      </w:r>
      <w:r>
        <w:rPr>
          <w:rFonts w:hint="eastAsia" w:ascii="微软雅黑" w:hAnsi="微软雅黑" w:eastAsia="微软雅黑" w:cs="微软雅黑"/>
          <w:color w:val="auto"/>
          <w:kern w:val="0"/>
          <w:sz w:val="24"/>
          <w:szCs w:val="24"/>
          <w:highlight w:val="none"/>
        </w:rPr>
        <w:t>依法对供应商的资格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文件进行审查， 审查结束公布供应商的资格符合情况。资格审查未获通过的供应商，其</w:t>
      </w:r>
      <w:r>
        <w:rPr>
          <w:rFonts w:hint="eastAsia" w:ascii="微软雅黑" w:hAnsi="微软雅黑" w:eastAsia="微软雅黑" w:cs="微软雅黑"/>
          <w:color w:val="auto"/>
          <w:kern w:val="0"/>
          <w:sz w:val="24"/>
          <w:szCs w:val="24"/>
          <w:highlight w:val="none"/>
          <w:lang w:eastAsia="zh-CN"/>
        </w:rPr>
        <w:t>符合性</w:t>
      </w:r>
      <w:r>
        <w:rPr>
          <w:rFonts w:hint="eastAsia" w:ascii="微软雅黑" w:hAnsi="微软雅黑" w:eastAsia="微软雅黑" w:cs="微软雅黑"/>
          <w:color w:val="auto"/>
          <w:kern w:val="0"/>
          <w:sz w:val="24"/>
          <w:szCs w:val="24"/>
          <w:highlight w:val="none"/>
        </w:rPr>
        <w:t>不再进入评审。</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通过资格性审查的供应商，</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依法对供应商的</w:t>
      </w:r>
      <w:r>
        <w:rPr>
          <w:rFonts w:hint="eastAsia" w:ascii="微软雅黑" w:hAnsi="微软雅黑" w:eastAsia="微软雅黑" w:cs="微软雅黑"/>
          <w:color w:val="auto"/>
          <w:kern w:val="0"/>
          <w:sz w:val="24"/>
          <w:szCs w:val="24"/>
          <w:highlight w:val="none"/>
          <w:lang w:eastAsia="zh-CN"/>
        </w:rPr>
        <w:t>符合性证明</w:t>
      </w:r>
      <w:r>
        <w:rPr>
          <w:rFonts w:hint="eastAsia" w:ascii="微软雅黑" w:hAnsi="微软雅黑" w:eastAsia="微软雅黑" w:cs="微软雅黑"/>
          <w:color w:val="auto"/>
          <w:kern w:val="0"/>
          <w:sz w:val="24"/>
          <w:szCs w:val="24"/>
          <w:highlight w:val="none"/>
        </w:rPr>
        <w:t>文件进行审查， 审查结束公布</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审查情况。</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审查未获通过的供应商，其</w:t>
      </w:r>
      <w:r>
        <w:rPr>
          <w:rFonts w:hint="eastAsia" w:ascii="微软雅黑" w:hAnsi="微软雅黑" w:eastAsia="微软雅黑" w:cs="微软雅黑"/>
          <w:color w:val="auto"/>
          <w:kern w:val="0"/>
          <w:sz w:val="24"/>
          <w:szCs w:val="24"/>
          <w:highlight w:val="none"/>
          <w:lang w:eastAsia="zh-CN"/>
        </w:rPr>
        <w:t>不再进入磋商环节</w:t>
      </w:r>
      <w:r>
        <w:rPr>
          <w:rFonts w:hint="eastAsia" w:ascii="微软雅黑" w:hAnsi="微软雅黑" w:eastAsia="微软雅黑" w:cs="微软雅黑"/>
          <w:color w:val="auto"/>
          <w:kern w:val="0"/>
          <w:sz w:val="24"/>
          <w:szCs w:val="24"/>
          <w:highlight w:val="none"/>
        </w:rPr>
        <w:t>。</w:t>
      </w:r>
    </w:p>
    <w:p>
      <w:pPr>
        <w:keepNext w:val="0"/>
        <w:keepLines w:val="0"/>
        <w:pageBreakBefore w:val="0"/>
        <w:kinsoku/>
        <w:wordWrap/>
        <w:overflowPunct/>
        <w:topLinePunct w:val="0"/>
        <w:bidi w:val="0"/>
        <w:spacing w:line="480" w:lineRule="exact"/>
        <w:ind w:firstLine="480" w:firstLineChars="200"/>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（7）通过符合性审查的供应商，评审小组所有成员集中于单一供应商分别进行磋商；</w:t>
      </w:r>
      <w:r>
        <w:rPr>
          <w:rFonts w:hint="eastAsia" w:ascii="微软雅黑" w:hAnsi="微软雅黑" w:eastAsia="微软雅黑" w:cs="微软雅黑"/>
          <w:color w:val="auto"/>
          <w:sz w:val="24"/>
          <w:szCs w:val="24"/>
          <w:lang w:val="en-US" w:eastAsia="zh-CN"/>
        </w:rPr>
        <w:t>并给予所有参加磋商的供应商平等的磋商机会。在磋商中，磋商的任何一方不得透露与磋商有关的其他供应商的技术资料、价格和其他信息。磋商文件有实质性变动的，磋商小组应当以书面</w:t>
      </w:r>
      <w:r>
        <w:rPr>
          <w:rFonts w:hint="eastAsia" w:ascii="微软雅黑" w:hAnsi="微软雅黑" w:eastAsia="微软雅黑" w:cs="微软雅黑"/>
          <w:color w:val="auto"/>
          <w:kern w:val="0"/>
          <w:sz w:val="24"/>
          <w:szCs w:val="24"/>
          <w:highlight w:val="none"/>
          <w:lang w:val="en-US" w:eastAsia="zh-CN"/>
        </w:rPr>
        <w:t>形式通知所有参加磋商的供应商。</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（8）磋商结束后，磋商小组应当要求所有实质性响应的供应商在规定时间内提交最终报，</w:t>
      </w:r>
      <w:r>
        <w:rPr>
          <w:rFonts w:hint="eastAsia" w:ascii="微软雅黑" w:hAnsi="微软雅黑" w:eastAsia="微软雅黑" w:cs="微软雅黑"/>
          <w:color w:val="auto"/>
          <w:sz w:val="24"/>
          <w:szCs w:val="24"/>
          <w:highlight w:val="none"/>
          <w:lang w:bidi="zh-CN"/>
        </w:rPr>
        <w:t>供应商对开标纪录进行在线签字确认（不予确认的应说明理由，否则视为无异议）</w:t>
      </w:r>
      <w:r>
        <w:rPr>
          <w:rFonts w:hint="eastAsia" w:ascii="微软雅黑" w:hAnsi="微软雅黑" w:eastAsia="微软雅黑" w:cs="微软雅黑"/>
          <w:color w:val="auto"/>
          <w:kern w:val="0"/>
          <w:sz w:val="24"/>
          <w:szCs w:val="24"/>
          <w:highlight w:val="none"/>
        </w:rPr>
        <w:t>。开标结束后，由评标委员会对报价的合理性、准确性等进行审查核实</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（9）最终报价结束后，</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eastAsia="zh-CN"/>
        </w:rPr>
        <w:t>商务</w:t>
      </w:r>
      <w:r>
        <w:rPr>
          <w:rFonts w:hint="eastAsia" w:ascii="微软雅黑" w:hAnsi="微软雅黑" w:eastAsia="微软雅黑" w:cs="微软雅黑"/>
          <w:color w:val="auto"/>
          <w:kern w:val="0"/>
          <w:sz w:val="24"/>
          <w:szCs w:val="24"/>
          <w:highlight w:val="none"/>
          <w:lang w:val="en-US" w:eastAsia="zh-CN"/>
        </w:rPr>
        <w:t>技术</w:t>
      </w:r>
      <w:r>
        <w:rPr>
          <w:rFonts w:hint="eastAsia" w:ascii="微软雅黑" w:hAnsi="微软雅黑" w:eastAsia="微软雅黑" w:cs="微软雅黑"/>
          <w:color w:val="auto"/>
          <w:kern w:val="0"/>
          <w:sz w:val="24"/>
          <w:szCs w:val="24"/>
          <w:highlight w:val="none"/>
        </w:rPr>
        <w:t>进行</w:t>
      </w:r>
      <w:r>
        <w:rPr>
          <w:rFonts w:hint="eastAsia" w:ascii="微软雅黑" w:hAnsi="微软雅黑" w:eastAsia="微软雅黑" w:cs="微软雅黑"/>
          <w:color w:val="auto"/>
          <w:kern w:val="0"/>
          <w:sz w:val="24"/>
          <w:szCs w:val="24"/>
          <w:highlight w:val="none"/>
          <w:lang w:val="en-US" w:eastAsia="zh-CN"/>
        </w:rPr>
        <w:t>评分</w:t>
      </w:r>
      <w:r>
        <w:rPr>
          <w:rFonts w:hint="eastAsia" w:ascii="微软雅黑" w:hAnsi="微软雅黑" w:eastAsia="微软雅黑" w:cs="微软雅黑"/>
          <w:color w:val="auto"/>
          <w:kern w:val="0"/>
          <w:sz w:val="24"/>
          <w:szCs w:val="24"/>
          <w:highlight w:val="none"/>
          <w:lang w:eastAsia="zh-CN"/>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rPr>
        <w:t>评审结束后，采购代理机构在系统上公布评审结果。</w:t>
      </w:r>
    </w:p>
    <w:p>
      <w:pPr>
        <w:keepNext w:val="0"/>
        <w:keepLines w:val="0"/>
        <w:pageBreakBefore w:val="0"/>
        <w:shd w:val="clear" w:color="auto" w:fill="auto"/>
        <w:kinsoku/>
        <w:wordWrap/>
        <w:overflowPunct/>
        <w:topLinePunct w:val="0"/>
        <w:bidi w:val="0"/>
        <w:snapToGrid w:val="0"/>
        <w:spacing w:line="480" w:lineRule="exact"/>
        <w:ind w:left="48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w:t>
      </w:r>
      <w:r>
        <w:rPr>
          <w:rFonts w:hint="eastAsia" w:ascii="微软雅黑" w:hAnsi="微软雅黑" w:eastAsia="微软雅黑" w:cs="微软雅黑"/>
          <w:b/>
          <w:color w:val="auto"/>
          <w:kern w:val="0"/>
          <w:sz w:val="24"/>
          <w:szCs w:val="24"/>
          <w:highlight w:val="none"/>
          <w:lang w:eastAsia="zh-CN"/>
        </w:rPr>
        <w:t>新疆</w:t>
      </w:r>
      <w:r>
        <w:rPr>
          <w:rFonts w:hint="eastAsia" w:ascii="微软雅黑" w:hAnsi="微软雅黑" w:eastAsia="微软雅黑" w:cs="微软雅黑"/>
          <w:b/>
          <w:color w:val="auto"/>
          <w:kern w:val="0"/>
          <w:sz w:val="24"/>
          <w:szCs w:val="24"/>
          <w:highlight w:val="none"/>
        </w:rPr>
        <w:t>政府采购云平台”电子化开标或评审程序调整的，按调整后程序执行。</w:t>
      </w:r>
    </w:p>
    <w:p>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lang w:val="en-US" w:eastAsia="zh-CN"/>
        </w:rPr>
        <w:t>2.3</w:t>
      </w:r>
      <w:r>
        <w:rPr>
          <w:rFonts w:hint="eastAsia" w:ascii="微软雅黑" w:hAnsi="微软雅黑" w:eastAsia="微软雅黑" w:cs="微软雅黑"/>
          <w:b/>
          <w:color w:val="auto"/>
          <w:kern w:val="0"/>
          <w:sz w:val="24"/>
          <w:szCs w:val="24"/>
          <w:highlight w:val="none"/>
        </w:rPr>
        <w:t xml:space="preserve"> </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资格审查：</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bCs/>
          <w:color w:val="auto"/>
          <w:kern w:val="0"/>
          <w:sz w:val="24"/>
          <w:szCs w:val="24"/>
          <w:highlight w:val="none"/>
        </w:rPr>
        <w:t>首先依法对</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的资格文件进行审查，审查各</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的资格符合情况。</w:t>
      </w:r>
      <w:r>
        <w:rPr>
          <w:rFonts w:hint="eastAsia" w:ascii="微软雅黑" w:hAnsi="微软雅黑" w:eastAsia="微软雅黑" w:cs="微软雅黑"/>
          <w:color w:val="auto"/>
          <w:sz w:val="24"/>
          <w:szCs w:val="24"/>
          <w:highlight w:val="none"/>
        </w:rPr>
        <w:t>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评审小组</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所提交的资格证明材料仅负审核的责任。如发现</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所提交的资格证明材料不合法或与事实不符，采购人可取消其中标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资格并追究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的法律责任。</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提交的资格证明材料无法证明其符合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资格要求”的，采购人或采购代理机构将对其作“资格审查不合格”处理（无效投标），并不再将其投标提交评标委员会进行后续评审。</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评审工作的组织</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评标委员会的组建</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.1评标委员会由采购人或采购代理机构依法组建，成员由采购人代表和评审专家组成，成员人数为</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人或以上单数，其中评审专家不少于成员总数的三分之二。</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sz w:val="24"/>
          <w:szCs w:val="24"/>
        </w:rPr>
        <w:t>按照《中华人民共和国政府采购法》、《中华人民共和国政府采购法实施条例》及本项目本级和上级财政部门的有关规定依法在政采云平台</w:t>
      </w:r>
      <w:r>
        <w:rPr>
          <w:rFonts w:hint="eastAsia" w:ascii="微软雅黑" w:hAnsi="微软雅黑" w:eastAsia="微软雅黑" w:cs="微软雅黑"/>
          <w:b/>
          <w:bCs/>
          <w:sz w:val="24"/>
          <w:szCs w:val="24"/>
          <w:lang w:eastAsia="zh-CN"/>
        </w:rPr>
        <w:t>随机</w:t>
      </w:r>
      <w:r>
        <w:rPr>
          <w:rFonts w:hint="eastAsia" w:ascii="微软雅黑" w:hAnsi="微软雅黑" w:eastAsia="微软雅黑" w:cs="微软雅黑"/>
          <w:b/>
          <w:bCs/>
          <w:sz w:val="24"/>
          <w:szCs w:val="24"/>
        </w:rPr>
        <w:t>抽取3人，组成</w:t>
      </w:r>
      <w:r>
        <w:rPr>
          <w:rFonts w:hint="eastAsia" w:ascii="微软雅黑" w:hAnsi="微软雅黑" w:eastAsia="微软雅黑" w:cs="微软雅黑"/>
          <w:b/>
          <w:bCs/>
          <w:sz w:val="24"/>
          <w:szCs w:val="24"/>
          <w:lang w:eastAsia="zh-CN"/>
        </w:rPr>
        <w:t>磋商</w:t>
      </w:r>
      <w:r>
        <w:rPr>
          <w:rFonts w:hint="eastAsia" w:ascii="微软雅黑" w:hAnsi="微软雅黑" w:eastAsia="微软雅黑" w:cs="微软雅黑"/>
          <w:b/>
          <w:bCs/>
          <w:sz w:val="24"/>
          <w:szCs w:val="24"/>
        </w:rPr>
        <w:t>小组，负责评审工作</w:t>
      </w:r>
      <w:r>
        <w:rPr>
          <w:rFonts w:hint="eastAsia" w:ascii="微软雅黑" w:hAnsi="微软雅黑" w:eastAsia="微软雅黑" w:cs="微软雅黑"/>
          <w:color w:val="auto"/>
          <w:sz w:val="24"/>
          <w:szCs w:val="24"/>
          <w:highlight w:val="none"/>
        </w:rPr>
        <w:t>。</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评标委员会的职责</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.1审查、评价</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是否符合</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的商务、技术等实质性要求。</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.2要求供应商对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有关事项作出澄清或者说明。</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.3对</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进行比较和评价。</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.4确定中标候选人名单，以及根据采购人委托直接确定中标人。</w:t>
      </w:r>
    </w:p>
    <w:p>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.5向采购人、采购代理机构或者有关部门报告评审中发现的违法行为。</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评标原则</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.1评标委员会将遵循公平、公正、科学的原则，对供应商提交的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进行综合评审，评标委员会按照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规定的评标细则进行评分。</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.2客观公正对待所有供应商，对所有投标评价均采用相同的程序和标准。 </w:t>
      </w:r>
    </w:p>
    <w:p>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人推荐资格；评审得分相同的，由采购人或者采购人委托评标委员会按照</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规定的方式确定一个供应商获得中标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未规定的采取随机抽取方式确定，其他同品牌供应商不作为中标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候选人。</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 xml:space="preserve">中载明。多家供应商提供的核心产品品牌相同的，按前款规定处理。      </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评委纪律</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评标委员会成员必须严格遵守保密规定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不得携带手机进入评标场所</w:t>
      </w:r>
      <w:r>
        <w:rPr>
          <w:rFonts w:hint="eastAsia" w:ascii="微软雅黑" w:hAnsi="微软雅黑" w:eastAsia="微软雅黑" w:cs="微软雅黑"/>
          <w:color w:val="auto"/>
          <w:sz w:val="24"/>
          <w:szCs w:val="24"/>
          <w:highlight w:val="none"/>
        </w:rPr>
        <w:t>，不得泄露评审的有关情况，任何单位和个人不得干扰、影响评标的正常进行，评标委员会成员不得私下与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接触，不得出现</w:t>
      </w:r>
      <w:r>
        <w:rPr>
          <w:rFonts w:hint="eastAsia" w:ascii="微软雅黑" w:hAnsi="微软雅黑" w:eastAsia="微软雅黑" w:cs="微软雅黑"/>
          <w:color w:val="auto"/>
          <w:sz w:val="24"/>
          <w:szCs w:val="24"/>
          <w:highlight w:val="none"/>
          <w:lang w:val="en-US" w:eastAsia="zh-CN"/>
        </w:rPr>
        <w:t>新疆</w:t>
      </w:r>
      <w:r>
        <w:rPr>
          <w:rFonts w:hint="eastAsia" w:ascii="微软雅黑" w:hAnsi="微软雅黑" w:eastAsia="微软雅黑" w:cs="微软雅黑"/>
          <w:color w:val="auto"/>
          <w:sz w:val="24"/>
          <w:szCs w:val="24"/>
          <w:highlight w:val="none"/>
        </w:rPr>
        <w:t>政府采购活动现场组织管理办法中规定的其他禁止行为。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7.2</w:t>
      </w:r>
      <w:r>
        <w:rPr>
          <w:rFonts w:hint="eastAsia" w:ascii="微软雅黑" w:hAnsi="微软雅黑" w:eastAsia="微软雅黑" w:cs="微软雅黑"/>
          <w:b/>
          <w:bCs/>
          <w:sz w:val="24"/>
          <w:szCs w:val="24"/>
        </w:rPr>
        <w:t>评标专家</w:t>
      </w:r>
      <w:r>
        <w:rPr>
          <w:rFonts w:hint="eastAsia" w:ascii="微软雅黑" w:hAnsi="微软雅黑" w:eastAsia="微软雅黑" w:cs="微软雅黑"/>
          <w:b/>
          <w:bCs/>
          <w:kern w:val="0"/>
          <w:sz w:val="24"/>
          <w:szCs w:val="24"/>
        </w:rPr>
        <w:t>与供应商有下列利害关系之一的人员，应当回避</w:t>
      </w:r>
    </w:p>
    <w:p>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1）参加采购活动前3年内与供应商存在劳动关系；</w:t>
      </w:r>
    </w:p>
    <w:p>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2）参加采购活动前3年内担任供应商的董事、监事；</w:t>
      </w:r>
    </w:p>
    <w:p>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3）参加采购活动前3年内是供应商的控股股东或者实际控制人；</w:t>
      </w:r>
    </w:p>
    <w:p>
      <w:pPr>
        <w:pStyle w:val="47"/>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4）与供应商的法定代表人或者负责人有夫妻、直系血亲、三代以内旁系血亲或者近姻亲关系。</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评标程序</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在评审专家中推选评标委员会组长，采购人代表不得担任评标委员会组长。</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评标委员会组长召集成员认真阅读</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无效情形，评审方法、评审依据、评审标准等。</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对符合资格的供应商的</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的有效性、符合性、完整性和响应程度进行审查，确定是否对</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作出实质性响应。</w:t>
      </w:r>
    </w:p>
    <w:p>
      <w:pPr>
        <w:ind w:firstLine="480" w:firstLineChars="200"/>
        <w:jc w:val="both"/>
        <w:outlineLvl w:val="9"/>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8.4竞争性磋商共有两次报价，二次报价为最终报价，对竞争性磋商文件做出实质性响应的供应商，评审专家所有成员应当集中与单一供应商分别进行磋商，并给予所有参加磋商的供应商平等的磋商机会。评审专家要求所有实质性响应的供应商在规定时间内提交最后报价（提交最后报价的供应商不得少于3家），最后报价是供应商响应文件的有效组成部分，经磋商确定最终采购需求和提交最后报价的供应商后，由评审专家采用综合评分法对提交最后报价的供应商的响应文件进行综合评分。</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8.5</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按</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规定的评审方法和评审标准，依法独立对供应商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进行评估、比较，并给予评价或打分，不受任何单位和个人的干预。</w:t>
      </w:r>
    </w:p>
    <w:p>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本项目采用：</w:t>
      </w:r>
      <w:r>
        <w:rPr>
          <w:rFonts w:hint="eastAsia" w:ascii="微软雅黑" w:hAnsi="微软雅黑" w:eastAsia="微软雅黑" w:cs="微软雅黑"/>
          <w:b/>
          <w:bCs/>
          <w:color w:val="auto"/>
          <w:kern w:val="0"/>
          <w:sz w:val="24"/>
          <w:szCs w:val="24"/>
          <w:highlight w:val="none"/>
        </w:rPr>
        <w:t>综合评分法</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是指响应文件满足磋商文件全部实质性要求且按评审因素的量化指标评审得分最高的供应商为成交候选供应商的评审方法。</w:t>
      </w:r>
    </w:p>
    <w:p>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综合评分法中的价格分统一采用低价优先法计算，即满足</w:t>
      </w:r>
      <w:r>
        <w:rPr>
          <w:rFonts w:hint="eastAsia" w:ascii="微软雅黑" w:hAnsi="微软雅黑" w:eastAsia="微软雅黑" w:cs="微软雅黑"/>
          <w:color w:val="auto"/>
          <w:kern w:val="0"/>
          <w:sz w:val="24"/>
          <w:szCs w:val="24"/>
          <w:highlight w:val="none"/>
          <w:lang w:eastAsia="zh-CN"/>
        </w:rPr>
        <w:t>磋商文件</w:t>
      </w:r>
      <w:r>
        <w:rPr>
          <w:rFonts w:hint="eastAsia" w:ascii="微软雅黑" w:hAnsi="微软雅黑" w:eastAsia="微软雅黑" w:cs="微软雅黑"/>
          <w:color w:val="auto"/>
          <w:kern w:val="0"/>
          <w:sz w:val="24"/>
          <w:szCs w:val="24"/>
          <w:highlight w:val="none"/>
        </w:rPr>
        <w:t>要求且最后报价最低的供应商的价格为</w:t>
      </w:r>
      <w:r>
        <w:rPr>
          <w:rFonts w:hint="eastAsia" w:ascii="微软雅黑" w:hAnsi="微软雅黑" w:eastAsia="微软雅黑" w:cs="微软雅黑"/>
          <w:color w:val="auto"/>
          <w:kern w:val="0"/>
          <w:sz w:val="24"/>
          <w:szCs w:val="24"/>
          <w:highlight w:val="none"/>
          <w:lang w:eastAsia="zh-CN"/>
        </w:rPr>
        <w:t>招标</w:t>
      </w:r>
      <w:r>
        <w:rPr>
          <w:rFonts w:hint="eastAsia" w:ascii="微软雅黑" w:hAnsi="微软雅黑" w:eastAsia="微软雅黑" w:cs="微软雅黑"/>
          <w:color w:val="auto"/>
          <w:kern w:val="0"/>
          <w:sz w:val="24"/>
          <w:szCs w:val="24"/>
          <w:highlight w:val="none"/>
        </w:rPr>
        <w:t>基准价，其价格分为满分。其他供应商的价格分统一按照下列公式计算：</w:t>
      </w:r>
    </w:p>
    <w:p>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lang w:val="en-US"/>
        </w:rPr>
      </w:pP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报价得分=（基准价/</w:t>
      </w: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w:t>
      </w:r>
      <w:r>
        <w:rPr>
          <w:rFonts w:hint="eastAsia" w:ascii="微软雅黑" w:hAnsi="微软雅黑" w:eastAsia="微软雅黑" w:cs="微软雅黑"/>
          <w:color w:val="auto"/>
          <w:kern w:val="0"/>
          <w:sz w:val="24"/>
          <w:szCs w:val="24"/>
          <w:highlight w:val="none"/>
          <w:lang w:val="en-US" w:eastAsia="zh-CN"/>
        </w:rPr>
        <w:t>20%</w:t>
      </w:r>
    </w:p>
    <w:p>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项目评审过程中，不得去掉最后报价中的最高报价和最低报价。</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8.6</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对各供应商</w:t>
      </w:r>
      <w:r>
        <w:rPr>
          <w:rFonts w:hint="eastAsia" w:ascii="微软雅黑" w:hAnsi="微软雅黑" w:eastAsia="微软雅黑" w:cs="微软雅黑"/>
          <w:color w:val="auto"/>
          <w:sz w:val="24"/>
          <w:szCs w:val="24"/>
          <w:highlight w:val="none"/>
          <w:lang w:eastAsia="zh-CN"/>
        </w:rPr>
        <w:t>响应文件</w:t>
      </w:r>
      <w:r>
        <w:rPr>
          <w:rFonts w:hint="eastAsia" w:ascii="微软雅黑" w:hAnsi="微软雅黑" w:eastAsia="微软雅黑" w:cs="微软雅黑"/>
          <w:color w:val="auto"/>
          <w:sz w:val="24"/>
          <w:szCs w:val="24"/>
          <w:highlight w:val="none"/>
        </w:rPr>
        <w:t>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8.8</w:t>
      </w:r>
      <w:r>
        <w:rPr>
          <w:rFonts w:hint="eastAsia" w:ascii="微软雅黑" w:hAnsi="微软雅黑" w:eastAsia="微软雅黑" w:cs="微软雅黑"/>
          <w:color w:val="auto"/>
          <w:sz w:val="24"/>
          <w:szCs w:val="24"/>
          <w:highlight w:val="none"/>
        </w:rPr>
        <w:t xml:space="preserve"> 评标委员会根据评审汇总情况和</w:t>
      </w:r>
      <w:r>
        <w:rPr>
          <w:rFonts w:hint="eastAsia" w:ascii="微软雅黑" w:hAnsi="微软雅黑" w:eastAsia="微软雅黑" w:cs="微软雅黑"/>
          <w:color w:val="auto"/>
          <w:sz w:val="24"/>
          <w:szCs w:val="24"/>
          <w:highlight w:val="none"/>
          <w:lang w:eastAsia="zh-CN"/>
        </w:rPr>
        <w:t>竞争性磋商文件</w:t>
      </w:r>
      <w:r>
        <w:rPr>
          <w:rFonts w:hint="eastAsia" w:ascii="微软雅黑" w:hAnsi="微软雅黑" w:eastAsia="微软雅黑" w:cs="微软雅黑"/>
          <w:color w:val="auto"/>
          <w:sz w:val="24"/>
          <w:szCs w:val="24"/>
          <w:highlight w:val="none"/>
        </w:rPr>
        <w:t>规定</w:t>
      </w:r>
      <w:r>
        <w:rPr>
          <w:rFonts w:hint="eastAsia" w:ascii="微软雅黑" w:hAnsi="微软雅黑" w:eastAsia="微软雅黑" w:cs="微软雅黑"/>
          <w:color w:val="auto"/>
          <w:sz w:val="24"/>
          <w:szCs w:val="24"/>
          <w:highlight w:val="none"/>
          <w:lang w:eastAsia="zh-CN"/>
        </w:rPr>
        <w:t>推荐</w:t>
      </w:r>
      <w:r>
        <w:rPr>
          <w:rFonts w:hint="eastAsia" w:ascii="微软雅黑" w:hAnsi="微软雅黑" w:eastAsia="微软雅黑" w:cs="微软雅黑"/>
          <w:color w:val="auto"/>
          <w:sz w:val="24"/>
          <w:szCs w:val="24"/>
          <w:highlight w:val="none"/>
        </w:rPr>
        <w:t>中标中标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候选供应商排序名单。</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8.9</w:t>
      </w:r>
      <w:r>
        <w:rPr>
          <w:rFonts w:hint="eastAsia" w:ascii="微软雅黑" w:hAnsi="微软雅黑" w:eastAsia="微软雅黑" w:cs="微软雅黑"/>
          <w:color w:val="auto"/>
          <w:sz w:val="24"/>
          <w:szCs w:val="24"/>
          <w:highlight w:val="none"/>
        </w:rPr>
        <w:t xml:space="preserve"> 起草评审报告，所有</w:t>
      </w:r>
      <w:r>
        <w:rPr>
          <w:rFonts w:hint="eastAsia" w:ascii="微软雅黑" w:hAnsi="微软雅黑" w:eastAsia="微软雅黑" w:cs="微软雅黑"/>
          <w:color w:val="auto"/>
          <w:sz w:val="24"/>
          <w:szCs w:val="24"/>
          <w:highlight w:val="none"/>
          <w:lang w:eastAsia="zh-CN"/>
        </w:rPr>
        <w:t>评审专家</w:t>
      </w:r>
      <w:r>
        <w:rPr>
          <w:rFonts w:hint="eastAsia" w:ascii="微软雅黑" w:hAnsi="微软雅黑" w:eastAsia="微软雅黑" w:cs="微软雅黑"/>
          <w:color w:val="auto"/>
          <w:sz w:val="24"/>
          <w:szCs w:val="24"/>
          <w:highlight w:val="none"/>
        </w:rPr>
        <w:t xml:space="preserve">须在评审报告上签字确认，对自己的评审意见承担法律责任。 </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8.10</w:t>
      </w:r>
      <w:r>
        <w:rPr>
          <w:rFonts w:hint="eastAsia" w:ascii="微软雅黑" w:hAnsi="微软雅黑" w:eastAsia="微软雅黑" w:cs="微软雅黑"/>
          <w:color w:val="auto"/>
          <w:sz w:val="24"/>
          <w:szCs w:val="24"/>
          <w:highlight w:val="none"/>
        </w:rPr>
        <w:t xml:space="preserve"> 采购组织机构对评标委员会评审专家进行评价。</w:t>
      </w:r>
    </w:p>
    <w:p>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8.11</w:t>
      </w:r>
      <w:r>
        <w:rPr>
          <w:rFonts w:hint="eastAsia" w:ascii="微软雅黑" w:hAnsi="微软雅黑" w:eastAsia="微软雅黑" w:cs="微软雅黑"/>
          <w:color w:val="auto"/>
          <w:sz w:val="24"/>
          <w:szCs w:val="24"/>
          <w:highlight w:val="none"/>
        </w:rPr>
        <w:t>修改评审结果</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9、澄清、说明或补正的形式</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9.1对于响应文件中含义不明确、同类问题表述不一致或者有明显文字和计算错误的内容，评标委员会将通过“政府采购云平台”在线询标的方式要求供应商在规定的时间内作出必要的澄清、说明或者补正，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lang w:val="en-US" w:eastAsia="zh-CN"/>
        </w:rPr>
        <w:t>供应商澄清、说明或补正时间为20分钟</w:t>
      </w:r>
      <w:r>
        <w:rPr>
          <w:rFonts w:hint="eastAsia" w:ascii="微软雅黑" w:hAnsi="微软雅黑" w:eastAsia="微软雅黑" w:cs="微软雅黑"/>
          <w:b w:val="0"/>
          <w:bCs w:val="0"/>
          <w:color w:val="auto"/>
          <w:sz w:val="24"/>
          <w:szCs w:val="24"/>
          <w:highlight w:val="none"/>
          <w:lang w:val="en-US" w:eastAsia="zh-CN"/>
        </w:rPr>
        <w:t>。</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响应文件的范围或者改变响应文件的实质性内容，不接受供应商主动对响应文件的澄清、说明或者补正。</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10、错误修正的原则</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10.1电子交易平台客户端里开标一览表录入的投标报价或优惠率与扫描上传的报价文件信息不一致的，以扫描上传的报价文件信息为准进行修正。</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10.2响应文件报价出现前后不一致的，除竞争性磋商文件另有规定外，按照下列规定修正：</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10.3 投标函中表述的内容与报价表中不一致的，以报价表为准；报价表中的内容与报价明细表不一致的，以报价表为准；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10.4响应文件中的大写金额和小写金额不一致的，以大写金额为准；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10.5 单价金额小数点或者百分比有明显错位的，以开标一览表的总价为准，并修改单价；</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10.6 总价金额与按单价汇总金额不一致的，以单价金额计算结果为准；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10.7若用文字表示的数值与用数字表示的数值不一致，以文字表示的数值为准；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10.8 如有多报（指数量超出竞争性磋商文件需求）、重报（指同一货物重复报价），其投标总价在评标过程中不予调整，如其中标，其合同价按其投标单价予以调整；</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10.9对不同文字文本响应文件的解释发生异议的，以中文文本为准；</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w:t>
      </w:r>
      <w:r>
        <w:rPr>
          <w:rFonts w:hint="eastAsia" w:ascii="微软雅黑" w:hAnsi="微软雅黑" w:eastAsia="微软雅黑" w:cs="微软雅黑"/>
          <w:b/>
          <w:bCs/>
          <w:color w:val="auto"/>
          <w:sz w:val="24"/>
          <w:szCs w:val="24"/>
          <w:highlight w:val="none"/>
          <w:lang w:val="en-US" w:eastAsia="zh-CN"/>
        </w:rPr>
        <w:t>修正应当采用电子标的形式，并加盖公章（电子印章）。</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11、有下列情形之一的，响应文件按无效标处理：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 报名的供应商与参加投标的供应商发生实质性变更的且未提供有效证明的；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11.2供应商提交两份或两份以上内容不同的响应文件，未声明哪一份有效的；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11.3 响应文件非供应商法定代表人签署的，未提供或提供无效的法定代表人授权书的；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11.4响应文件内容未按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磋商文件规定签字或盖章的；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11.5 响应文件组成漏项或未按规定的格式编制或上传的响应文件内容不全或内容字迹模糊辨认不清的而导致评标活动无法正常进行；</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11.6供应商未按</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磋商文件变更通知更改响应文件的；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11.7《开标一览表》和《投标分项报价表》内容不完整且不接受修正意见或字迹不能辨认的或未提供的；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11.8标项投标报价超过</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磋商文件规定的预算金额或最高限价；</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11.9 因供应商原因编制错误造成经评标委员会修正后的报价达到或超过投标报价的0.5%；</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11.11 未实质性响应</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磋商文件中条款要求的响应文件；</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11.12 不符合招标范围、技术规格、技术标准的要求无法满足采购人使用要求；</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11.13 响应文件附有采购人不能接受的条款；</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11.14 响应文件中提供了赠品或者与本项目采购无关的其他商品、服务；</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11.15响应文件中承诺的投标有效期少于磋商文件中载明的投标有效期；</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11.16供应商串通投标，妨碍其他供应商的竞争行为，损害采购人或者其他供应商的合法权益；</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11.17违反国家及政府部门相关法律、法规、文件规定或经评标委员会认定的其他属于重大偏离；</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12、废标</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12.1 符合</w:t>
      </w:r>
      <w:r>
        <w:rPr>
          <w:rFonts w:hint="eastAsia" w:ascii="微软雅黑" w:hAnsi="微软雅黑" w:eastAsia="微软雅黑" w:cs="微软雅黑"/>
          <w:color w:val="auto"/>
          <w:sz w:val="24"/>
          <w:szCs w:val="24"/>
          <w:highlight w:val="none"/>
          <w:lang w:eastAsia="zh-CN"/>
        </w:rPr>
        <w:t>竞争性</w:t>
      </w:r>
      <w:r>
        <w:rPr>
          <w:rFonts w:hint="eastAsia" w:ascii="微软雅黑" w:hAnsi="微软雅黑" w:eastAsia="微软雅黑" w:cs="微软雅黑"/>
          <w:b w:val="0"/>
          <w:bCs w:val="0"/>
          <w:color w:val="auto"/>
          <w:sz w:val="24"/>
          <w:szCs w:val="24"/>
          <w:highlight w:val="none"/>
          <w:lang w:val="en-US" w:eastAsia="zh-CN"/>
        </w:rPr>
        <w:t>磋商文件规定废标情形的；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12.2出现影响采购公正的违法、违规行为的；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12.3供应商的报价均超过了采购预算（或最高限价），采购人不能支付的;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12.4因重大变故，采购任务取消的。</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13、突发情况处理</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13.1 采购过程中出现以下情形，导致电子交易平台无法正常运行，或者无法保证电子交易的公平、公正和安全时，采购组织机构可中止电子交易活动：</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（1）电子交易平台发生故障而无法登录访问的； </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（2）电子交易平台应用或数据库出现错误，不能进行正常操作的；</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（3）电子交易平台发现严重安全漏洞，有潜在泄密危险的；</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（4）病毒发作导致不能进行正常操作的； </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（5）其他无法保证电子交易的公平、公正和安全的情况。</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13.2 采购代理机构或评审小组因不可抗力（不可抗力包括但不限于自然灾害、断电、传播疫病等）原因造成电子交易活动无法正常运行的，将采取以下措施：</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pPr>
        <w:pStyle w:val="11"/>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14.保密要求：</w:t>
      </w:r>
    </w:p>
    <w:p>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采购人、采购代理机构确保</w:t>
      </w:r>
      <w:r>
        <w:rPr>
          <w:rFonts w:hint="eastAsia" w:ascii="微软雅黑" w:hAnsi="微软雅黑" w:eastAsia="微软雅黑" w:cs="微软雅黑"/>
          <w:color w:val="000000"/>
          <w:kern w:val="0"/>
          <w:sz w:val="24"/>
          <w:szCs w:val="24"/>
          <w:lang w:val="en-US" w:eastAsia="zh-CN"/>
        </w:rPr>
        <w:t>评标</w:t>
      </w:r>
      <w:r>
        <w:rPr>
          <w:rFonts w:hint="eastAsia" w:ascii="微软雅黑" w:hAnsi="微软雅黑" w:eastAsia="微软雅黑" w:cs="微软雅黑"/>
          <w:color w:val="000000"/>
          <w:kern w:val="0"/>
          <w:sz w:val="24"/>
          <w:szCs w:val="24"/>
        </w:rPr>
        <w:t>活动在严格保密的情况下进行。在采购结果确定前，采购人、采购代理机构对</w:t>
      </w:r>
      <w:r>
        <w:rPr>
          <w:rFonts w:hint="eastAsia" w:ascii="微软雅黑" w:hAnsi="微软雅黑" w:eastAsia="微软雅黑" w:cs="微软雅黑"/>
          <w:color w:val="000000"/>
          <w:kern w:val="0"/>
          <w:sz w:val="24"/>
          <w:szCs w:val="24"/>
          <w:lang w:val="en-US" w:eastAsia="zh-CN"/>
        </w:rPr>
        <w:t>评审专家</w:t>
      </w:r>
      <w:r>
        <w:rPr>
          <w:rFonts w:hint="eastAsia" w:ascii="微软雅黑" w:hAnsi="微软雅黑" w:eastAsia="微软雅黑" w:cs="微软雅黑"/>
          <w:color w:val="000000"/>
          <w:kern w:val="0"/>
          <w:sz w:val="24"/>
          <w:szCs w:val="24"/>
        </w:rPr>
        <w:t>名单保密。</w:t>
      </w:r>
      <w:r>
        <w:rPr>
          <w:rFonts w:hint="eastAsia" w:ascii="微软雅黑" w:hAnsi="微软雅黑" w:eastAsia="微软雅黑" w:cs="微软雅黑"/>
          <w:sz w:val="24"/>
          <w:szCs w:val="24"/>
        </w:rPr>
        <w:t>与</w:t>
      </w:r>
      <w:r>
        <w:rPr>
          <w:rFonts w:hint="eastAsia" w:ascii="微软雅黑" w:hAnsi="微软雅黑" w:eastAsia="微软雅黑" w:cs="微软雅黑"/>
          <w:sz w:val="24"/>
          <w:szCs w:val="24"/>
          <w:lang w:eastAsia="zh-CN"/>
        </w:rPr>
        <w:t>评审</w:t>
      </w:r>
      <w:r>
        <w:rPr>
          <w:rFonts w:hint="eastAsia" w:ascii="微软雅黑" w:hAnsi="微软雅黑" w:eastAsia="微软雅黑" w:cs="微软雅黑"/>
          <w:sz w:val="24"/>
          <w:szCs w:val="24"/>
        </w:rPr>
        <w:t>工作无关的人员不得进入现场</w:t>
      </w:r>
      <w:r>
        <w:rPr>
          <w:rFonts w:hint="eastAsia" w:ascii="微软雅黑" w:hAnsi="微软雅黑" w:eastAsia="微软雅黑" w:cs="微软雅黑"/>
          <w:color w:val="000000"/>
          <w:kern w:val="0"/>
          <w:sz w:val="24"/>
          <w:szCs w:val="24"/>
          <w:lang w:val="en-US" w:eastAsia="zh-CN"/>
        </w:rPr>
        <w:t>。有关人员须对评审情况以及在评审过程中获悉的国家秘密、商业秘密负有保密责任</w:t>
      </w:r>
      <w:r>
        <w:rPr>
          <w:rFonts w:hint="eastAsia" w:ascii="微软雅黑" w:hAnsi="微软雅黑" w:eastAsia="微软雅黑" w:cs="微软雅黑"/>
          <w:color w:val="000000"/>
          <w:kern w:val="0"/>
          <w:sz w:val="24"/>
          <w:szCs w:val="24"/>
        </w:rPr>
        <w:t>。</w:t>
      </w:r>
    </w:p>
    <w:p>
      <w:pPr>
        <w:keepNext w:val="0"/>
        <w:keepLines w:val="0"/>
        <w:pageBreakBefore w:val="0"/>
        <w:shd w:val="clear" w:color="auto" w:fill="auto"/>
        <w:kinsoku/>
        <w:wordWrap/>
        <w:overflowPunct/>
        <w:topLinePunct w:val="0"/>
        <w:bidi w:val="0"/>
        <w:snapToGrid w:val="0"/>
        <w:spacing w:line="480" w:lineRule="exact"/>
        <w:ind w:firstLine="42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15、</w:t>
      </w:r>
      <w:r>
        <w:rPr>
          <w:rFonts w:hint="eastAsia" w:ascii="微软雅黑" w:hAnsi="微软雅黑" w:eastAsia="微软雅黑" w:cs="微软雅黑"/>
          <w:b/>
          <w:color w:val="auto"/>
          <w:sz w:val="24"/>
          <w:szCs w:val="24"/>
          <w:highlight w:val="none"/>
        </w:rPr>
        <w:t xml:space="preserve"> 定标</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val="0"/>
          <w:bCs w:val="0"/>
          <w:color w:val="auto"/>
          <w:sz w:val="24"/>
          <w:szCs w:val="24"/>
          <w:highlight w:val="none"/>
          <w:lang w:val="en-US" w:eastAsia="zh-CN"/>
        </w:rPr>
        <w:t>15.1采购结果确认（确定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供应商）：本项目由采购人根据评审专家提交的《评审报告》，通过“政府采购云平台”依法确认采购结果、确定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供应商。具体流程如下：</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（1）采购代理机构将在评审结束后2个工作日内将评审报告送采购人，同时在政采云平台提交采购结果至采购人确认。</w:t>
      </w:r>
    </w:p>
    <w:p>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（2）采购人将在收到评审报告之日起5个工作日内，在评审报告推荐的</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候选供应商名单中按顺序确定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 xml:space="preserve">供应商，并将确认意见以书面形式回复采购代理机构，同时在政采云平台线上确认采购结果。 </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15.2采购结果经采购人确认后2个工作日内，采购代理机构将在</w:t>
      </w:r>
      <w:r>
        <w:rPr>
          <w:rFonts w:hint="eastAsia" w:ascii="微软雅黑" w:hAnsi="微软雅黑" w:eastAsia="微软雅黑" w:cs="微软雅黑"/>
          <w:b/>
          <w:bCs/>
          <w:color w:val="auto"/>
          <w:sz w:val="24"/>
          <w:szCs w:val="24"/>
          <w:highlight w:val="none"/>
          <w:lang w:val="en-US" w:eastAsia="zh-CN"/>
        </w:rPr>
        <w:t>新疆政府采购网（www.zjzfcg.gov.cn）上公示采购结果，中标（成交）公示期限为1个工作日。</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16、 中标（成交）通知书</w:t>
      </w:r>
    </w:p>
    <w:p>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16.1</w:t>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中标（成交）</w:t>
      </w:r>
      <w:r>
        <w:rPr>
          <w:rFonts w:hint="eastAsia" w:ascii="微软雅黑" w:hAnsi="微软雅黑" w:eastAsia="微软雅黑" w:cs="微软雅黑"/>
          <w:color w:val="auto"/>
          <w:sz w:val="24"/>
          <w:szCs w:val="24"/>
          <w:highlight w:val="none"/>
        </w:rPr>
        <w:t>通知书发出前，</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将</w:t>
      </w:r>
      <w:r>
        <w:rPr>
          <w:rFonts w:hint="eastAsia" w:ascii="微软雅黑" w:hAnsi="微软雅黑" w:eastAsia="微软雅黑" w:cs="微软雅黑"/>
          <w:color w:val="auto"/>
          <w:sz w:val="24"/>
          <w:szCs w:val="24"/>
          <w:highlight w:val="none"/>
          <w:lang w:eastAsia="zh-CN"/>
        </w:rPr>
        <w:t>中标（成交）供应商</w:t>
      </w:r>
      <w:r>
        <w:rPr>
          <w:rFonts w:hint="eastAsia" w:ascii="微软雅黑" w:hAnsi="微软雅黑" w:eastAsia="微软雅黑" w:cs="微软雅黑"/>
          <w:color w:val="auto"/>
          <w:sz w:val="24"/>
          <w:szCs w:val="24"/>
          <w:highlight w:val="none"/>
        </w:rPr>
        <w:t>的情况在</w:t>
      </w:r>
      <w:r>
        <w:rPr>
          <w:rFonts w:hint="eastAsia" w:ascii="微软雅黑" w:hAnsi="微软雅黑" w:eastAsia="微软雅黑" w:cs="微软雅黑"/>
          <w:color w:val="auto"/>
          <w:sz w:val="24"/>
          <w:szCs w:val="24"/>
          <w:highlight w:val="none"/>
          <w:lang w:eastAsia="zh-CN"/>
        </w:rPr>
        <w:t>新疆政府采购网</w:t>
      </w:r>
      <w:r>
        <w:rPr>
          <w:rFonts w:hint="eastAsia" w:ascii="微软雅黑" w:hAnsi="微软雅黑" w:eastAsia="微软雅黑" w:cs="微软雅黑"/>
          <w:color w:val="auto"/>
          <w:sz w:val="24"/>
          <w:szCs w:val="24"/>
          <w:highlight w:val="none"/>
        </w:rPr>
        <w:t>予以公示，</w:t>
      </w:r>
      <w:r>
        <w:rPr>
          <w:rFonts w:hint="eastAsia" w:ascii="微软雅黑" w:hAnsi="微软雅黑" w:eastAsia="微软雅黑" w:cs="微软雅黑"/>
          <w:b/>
          <w:bCs/>
          <w:color w:val="auto"/>
          <w:sz w:val="24"/>
          <w:szCs w:val="24"/>
          <w:highlight w:val="none"/>
        </w:rPr>
        <w:t>公示期为</w:t>
      </w:r>
      <w:r>
        <w:rPr>
          <w:rFonts w:hint="eastAsia" w:ascii="微软雅黑" w:hAnsi="微软雅黑" w:eastAsia="微软雅黑" w:cs="微软雅黑"/>
          <w:b/>
          <w:bCs/>
          <w:color w:val="auto"/>
          <w:sz w:val="24"/>
          <w:szCs w:val="24"/>
          <w:highlight w:val="none"/>
          <w:lang w:eastAsia="zh-CN"/>
        </w:rPr>
        <w:t>一</w:t>
      </w:r>
      <w:r>
        <w:rPr>
          <w:rFonts w:hint="eastAsia" w:ascii="微软雅黑" w:hAnsi="微软雅黑" w:eastAsia="微软雅黑" w:cs="微软雅黑"/>
          <w:b/>
          <w:bCs/>
          <w:color w:val="auto"/>
          <w:sz w:val="24"/>
          <w:szCs w:val="24"/>
          <w:highlight w:val="none"/>
        </w:rPr>
        <w:t>个工作日。</w:t>
      </w:r>
      <w:r>
        <w:rPr>
          <w:rFonts w:hint="eastAsia" w:ascii="微软雅黑" w:hAnsi="微软雅黑" w:eastAsia="微软雅黑" w:cs="微软雅黑"/>
          <w:b/>
          <w:bCs/>
          <w:color w:val="auto"/>
          <w:sz w:val="24"/>
          <w:szCs w:val="24"/>
          <w:highlight w:val="none"/>
          <w:lang w:eastAsia="zh-CN"/>
        </w:rPr>
        <w:t>待公示期结束后，</w:t>
      </w:r>
      <w:r>
        <w:rPr>
          <w:rFonts w:hint="eastAsia" w:ascii="微软雅黑" w:hAnsi="微软雅黑" w:eastAsia="微软雅黑" w:cs="微软雅黑"/>
          <w:b w:val="0"/>
          <w:bCs w:val="0"/>
          <w:color w:val="auto"/>
          <w:sz w:val="24"/>
          <w:szCs w:val="24"/>
          <w:highlight w:val="none"/>
          <w:lang w:val="en-US" w:eastAsia="zh-CN"/>
        </w:rPr>
        <w:t>采购组织机构向</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val="en-US" w:eastAsia="zh-CN"/>
        </w:rPr>
        <w:t>(成交)供应商</w:t>
      </w:r>
      <w:r>
        <w:rPr>
          <w:rFonts w:hint="eastAsia" w:ascii="微软雅黑" w:hAnsi="微软雅黑" w:eastAsia="微软雅黑" w:cs="微软雅黑"/>
          <w:b w:val="0"/>
          <w:bCs w:val="0"/>
          <w:color w:val="auto"/>
          <w:sz w:val="24"/>
          <w:szCs w:val="24"/>
          <w:highlight w:val="none"/>
          <w:lang w:val="en-US" w:eastAsia="zh-CN"/>
        </w:rPr>
        <w:t>发出中标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通知书。</w:t>
      </w:r>
    </w:p>
    <w:p>
      <w:pPr>
        <w:pStyle w:val="7"/>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pPr>
        <w:pStyle w:val="36"/>
        <w:keepNext w:val="0"/>
        <w:keepLines w:val="0"/>
        <w:pageBreakBefore w:val="0"/>
        <w:kinsoku/>
        <w:wordWrap/>
        <w:overflowPunct/>
        <w:topLinePunct w:val="0"/>
        <w:bidi w:val="0"/>
        <w:spacing w:line="480" w:lineRule="exac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17、磋商小组推荐成交供应商的数量</w:t>
      </w:r>
      <w:r>
        <w:rPr>
          <w:rFonts w:hint="eastAsia" w:ascii="微软雅黑" w:hAnsi="微软雅黑" w:eastAsia="微软雅黑" w:cs="微软雅黑"/>
          <w:b/>
          <w:bCs/>
          <w:color w:val="auto"/>
          <w:kern w:val="2"/>
          <w:sz w:val="24"/>
          <w:szCs w:val="24"/>
          <w:highlight w:val="none"/>
          <w:u w:val="single"/>
          <w:lang w:val="en-US" w:eastAsia="zh-CN" w:bidi="ar-SA"/>
        </w:rPr>
        <w:t xml:space="preserve">：1 </w:t>
      </w:r>
      <w:r>
        <w:rPr>
          <w:rFonts w:hint="eastAsia" w:ascii="微软雅黑" w:hAnsi="微软雅黑" w:eastAsia="微软雅黑" w:cs="微软雅黑"/>
          <w:b/>
          <w:bCs/>
          <w:color w:val="auto"/>
          <w:kern w:val="2"/>
          <w:sz w:val="24"/>
          <w:szCs w:val="24"/>
          <w:highlight w:val="none"/>
          <w:lang w:val="en-US" w:eastAsia="zh-CN" w:bidi="ar-SA"/>
        </w:rPr>
        <w:t xml:space="preserve">。 </w:t>
      </w:r>
      <w:bookmarkStart w:id="1367" w:name="_GoBack"/>
      <w:bookmarkEnd w:id="1367"/>
    </w:p>
    <w:p>
      <w:pPr>
        <w:pStyle w:val="8"/>
        <w:rPr>
          <w:i/>
          <w:iCs/>
        </w:rPr>
      </w:pPr>
    </w:p>
    <w:p/>
    <w:p>
      <w:pPr>
        <w:pStyle w:val="36"/>
      </w:pPr>
    </w:p>
    <w:p/>
    <w:p>
      <w:pPr>
        <w:pStyle w:val="8"/>
      </w:pPr>
    </w:p>
    <w:p>
      <w:pPr>
        <w:snapToGrid w:val="0"/>
        <w:spacing w:line="360" w:lineRule="exact"/>
        <w:jc w:val="center"/>
        <w:textAlignment w:val="baseline"/>
        <w:outlineLvl w:val="1"/>
        <w:rPr>
          <w:rFonts w:ascii="微软雅黑" w:hAnsi="微软雅黑" w:eastAsia="微软雅黑" w:cs="微软雅黑"/>
          <w:b/>
          <w:bCs/>
          <w:sz w:val="24"/>
        </w:rPr>
      </w:pPr>
      <w:bookmarkStart w:id="766" w:name="_Toc18832"/>
      <w:bookmarkStart w:id="767" w:name="_Toc15632"/>
      <w:bookmarkStart w:id="768" w:name="_Toc10077"/>
      <w:bookmarkStart w:id="769" w:name="_Toc1826"/>
      <w:r>
        <w:rPr>
          <w:rFonts w:hint="eastAsia" w:ascii="微软雅黑" w:hAnsi="微软雅黑" w:eastAsia="微软雅黑" w:cs="微软雅黑"/>
          <w:b/>
          <w:bCs/>
          <w:sz w:val="24"/>
        </w:rPr>
        <w:t>初步评审—资格性审查表</w:t>
      </w:r>
      <w:bookmarkEnd w:id="749"/>
      <w:bookmarkEnd w:id="750"/>
      <w:bookmarkEnd w:id="751"/>
      <w:bookmarkEnd w:id="752"/>
      <w:bookmarkEnd w:id="753"/>
      <w:bookmarkEnd w:id="754"/>
      <w:bookmarkEnd w:id="755"/>
      <w:bookmarkEnd w:id="756"/>
      <w:bookmarkEnd w:id="757"/>
      <w:bookmarkEnd w:id="758"/>
      <w:bookmarkEnd w:id="766"/>
      <w:bookmarkEnd w:id="767"/>
      <w:bookmarkEnd w:id="768"/>
      <w:bookmarkEnd w:id="769"/>
    </w:p>
    <w:tbl>
      <w:tblPr>
        <w:tblStyle w:val="37"/>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r>
              <w:rPr>
                <w:rFonts w:hint="eastAsia" w:ascii="微软雅黑" w:hAnsi="微软雅黑" w:eastAsia="微软雅黑" w:cs="微软雅黑"/>
                <w:bCs/>
                <w:sz w:val="21"/>
                <w:szCs w:val="21"/>
              </w:rPr>
              <w:t>序号</w:t>
            </w:r>
          </w:p>
        </w:tc>
        <w:tc>
          <w:tcPr>
            <w:tcW w:w="7225" w:type="dxa"/>
            <w:vMerge w:val="restart"/>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r>
              <w:rPr>
                <w:rFonts w:hint="eastAsia" w:ascii="微软雅黑" w:hAnsi="微软雅黑" w:eastAsia="微软雅黑" w:cs="微软雅黑"/>
                <w:bCs/>
                <w:sz w:val="21"/>
                <w:szCs w:val="21"/>
              </w:rPr>
              <w:t>评审内容</w:t>
            </w:r>
          </w:p>
        </w:tc>
        <w:tc>
          <w:tcPr>
            <w:tcW w:w="2389" w:type="dxa"/>
            <w:gridSpan w:val="3"/>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
                <w:sz w:val="21"/>
                <w:szCs w:val="21"/>
              </w:rPr>
            </w:pPr>
            <w:r>
              <w:rPr>
                <w:rFonts w:hint="eastAsia" w:ascii="微软雅黑" w:hAnsi="微软雅黑" w:eastAsia="微软雅黑" w:cs="微软雅黑"/>
                <w:b/>
                <w:sz w:val="21"/>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p>
        </w:tc>
        <w:tc>
          <w:tcPr>
            <w:tcW w:w="7225" w:type="dxa"/>
            <w:vMerge w:val="continue"/>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p>
        </w:tc>
        <w:tc>
          <w:tcPr>
            <w:tcW w:w="912"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1"/>
                <w:szCs w:val="21"/>
              </w:rPr>
            </w:pPr>
            <w:r>
              <w:rPr>
                <w:rFonts w:hint="eastAsia" w:ascii="微软雅黑" w:hAnsi="微软雅黑" w:eastAsia="微软雅黑" w:cs="微软雅黑"/>
                <w:sz w:val="21"/>
                <w:szCs w:val="21"/>
              </w:rPr>
              <w:t>是否合格</w:t>
            </w:r>
          </w:p>
        </w:tc>
        <w:tc>
          <w:tcPr>
            <w:tcW w:w="750"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1"/>
                <w:szCs w:val="21"/>
              </w:rPr>
            </w:pPr>
            <w:r>
              <w:rPr>
                <w:rFonts w:hint="eastAsia" w:ascii="微软雅黑" w:hAnsi="微软雅黑" w:eastAsia="微软雅黑" w:cs="微软雅黑"/>
                <w:sz w:val="21"/>
                <w:szCs w:val="21"/>
              </w:rPr>
              <w:t>是否合格</w:t>
            </w:r>
          </w:p>
        </w:tc>
        <w:tc>
          <w:tcPr>
            <w:tcW w:w="727"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1"/>
                <w:szCs w:val="21"/>
              </w:rPr>
            </w:pPr>
            <w:r>
              <w:rPr>
                <w:rFonts w:hint="eastAsia" w:ascii="微软雅黑" w:hAnsi="微软雅黑" w:eastAsia="微软雅黑" w:cs="微软雅黑"/>
                <w:sz w:val="21"/>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具有独立承担民事责任的能力；（投标时，提供在中华人民共和国境内注册的法人或其他组织的营业执照或事业单位法人证书或社会团体法人登记证书）</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5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提供法定代表人资格证明及授权书、被授权人身份证；(法定代表人投标需提供法定代表人身份证)；</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本单位依法缴纳的近3个月内任意一个月的社会保险的凭据；</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r>
              <w:rPr>
                <w:rFonts w:hint="eastAsia" w:ascii="微软雅黑" w:hAnsi="微软雅黑" w:eastAsia="微软雅黑" w:cs="微软雅黑"/>
                <w:bCs/>
                <w:sz w:val="21"/>
                <w:szCs w:val="21"/>
              </w:rPr>
              <w:t>4</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税务部门出具的近3个月内任意一个月的完税证明（依法免缴的应提供依法免缴的相关证明文件或零申报报表）；</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1"/>
                <w:szCs w:val="21"/>
              </w:rPr>
            </w:pPr>
            <w:r>
              <w:rPr>
                <w:rFonts w:hint="eastAsia" w:ascii="微软雅黑" w:hAnsi="微软雅黑" w:eastAsia="微软雅黑" w:cs="微软雅黑"/>
                <w:kern w:val="0"/>
                <w:sz w:val="21"/>
                <w:szCs w:val="21"/>
              </w:rPr>
              <w:t>5</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提供近两年任意一年完整的财务审计报告（成立不满一年的可提供近一个月的银行资信证明）；</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6</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参与政府采购活动前3年内未被列入失信、重大税收违法案件、财政部门禁止参加政府采购活动的承诺书；</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7</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提供针对本次项目的反商业贿赂承诺书。</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8</w:t>
            </w:r>
          </w:p>
        </w:tc>
        <w:tc>
          <w:tcPr>
            <w:tcW w:w="7225"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baseline"/>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根据《财政部关于在政府采购活动中查询及使用信用记录有关问题的通知》（财库﹝2016﹞125号）的要求，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9</w:t>
            </w:r>
          </w:p>
        </w:tc>
        <w:tc>
          <w:tcPr>
            <w:tcW w:w="7225" w:type="dxa"/>
            <w:vAlign w:val="center"/>
          </w:tcPr>
          <w:p>
            <w:pPr>
              <w:keepNext w:val="0"/>
              <w:keepLines w:val="0"/>
              <w:pageBreakBefore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磋商保证金有效凭证。</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10</w:t>
            </w:r>
          </w:p>
        </w:tc>
        <w:tc>
          <w:tcPr>
            <w:tcW w:w="7225" w:type="dxa"/>
            <w:vAlign w:val="center"/>
          </w:tcPr>
          <w:p>
            <w:pPr>
              <w:keepNext w:val="0"/>
              <w:keepLines w:val="0"/>
              <w:pageBreakBefore w:val="0"/>
              <w:kinsoku/>
              <w:wordWrap/>
              <w:overflowPunct/>
              <w:topLinePunct w:val="0"/>
              <w:autoSpaceDE/>
              <w:autoSpaceDN/>
              <w:bidi w:val="0"/>
              <w:adjustRightInd/>
              <w:snapToGrid w:val="0"/>
              <w:spacing w:line="320" w:lineRule="exact"/>
              <w:textAlignment w:val="baseline"/>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val="en-US" w:eastAsia="zh-CN"/>
              </w:rPr>
              <w:t>本项目为专门面向中小企业（供应商须根据招标文件中的法定格式提供中小企业声明函）。</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1"/>
                <w:szCs w:val="21"/>
              </w:rPr>
            </w:pPr>
          </w:p>
        </w:tc>
        <w:tc>
          <w:tcPr>
            <w:tcW w:w="7225" w:type="dxa"/>
            <w:vAlign w:val="center"/>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r>
              <w:rPr>
                <w:rFonts w:hint="eastAsia" w:ascii="微软雅黑" w:hAnsi="微软雅黑" w:eastAsia="微软雅黑" w:cs="微软雅黑"/>
                <w:sz w:val="21"/>
                <w:szCs w:val="21"/>
              </w:rPr>
              <w:t>结论</w:t>
            </w:r>
          </w:p>
        </w:tc>
        <w:tc>
          <w:tcPr>
            <w:tcW w:w="912"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50"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c>
          <w:tcPr>
            <w:tcW w:w="727" w:type="dxa"/>
          </w:tcPr>
          <w:p>
            <w:pPr>
              <w:keepNext w:val="0"/>
              <w:keepLines w:val="0"/>
              <w:pageBreakBefore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1"/>
                <w:szCs w:val="21"/>
              </w:rPr>
            </w:pPr>
          </w:p>
        </w:tc>
      </w:tr>
    </w:tbl>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36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770" w:name="_Toc22896"/>
      <w:bookmarkStart w:id="771" w:name="_Toc19552"/>
    </w:p>
    <w:p>
      <w:pPr>
        <w:pStyle w:val="27"/>
        <w:rPr>
          <w:rFonts w:hint="eastAsia" w:ascii="微软雅黑" w:hAnsi="微软雅黑" w:eastAsia="微软雅黑" w:cs="微软雅黑"/>
          <w:b/>
          <w:bCs/>
          <w:sz w:val="24"/>
        </w:rPr>
      </w:pPr>
    </w:p>
    <w:p>
      <w:pPr>
        <w:pStyle w:val="27"/>
        <w:rPr>
          <w:rFonts w:hint="eastAsia" w:ascii="微软雅黑" w:hAnsi="微软雅黑" w:eastAsia="微软雅黑" w:cs="微软雅黑"/>
          <w:b/>
          <w:bCs/>
          <w:sz w:val="24"/>
        </w:rPr>
      </w:pPr>
    </w:p>
    <w:p>
      <w:pPr>
        <w:pStyle w:val="27"/>
        <w:rPr>
          <w:rFonts w:hint="eastAsia" w:ascii="微软雅黑" w:hAnsi="微软雅黑" w:eastAsia="微软雅黑" w:cs="微软雅黑"/>
          <w:b/>
          <w:bCs/>
          <w:sz w:val="24"/>
        </w:rPr>
      </w:pPr>
    </w:p>
    <w:p>
      <w:pPr>
        <w:pStyle w:val="27"/>
        <w:rPr>
          <w:rFonts w:hint="eastAsia" w:ascii="微软雅黑" w:hAnsi="微软雅黑" w:eastAsia="微软雅黑" w:cs="微软雅黑"/>
          <w:b/>
          <w:bCs/>
          <w:sz w:val="24"/>
        </w:rPr>
      </w:pPr>
    </w:p>
    <w:p>
      <w:pPr>
        <w:pStyle w:val="27"/>
        <w:rPr>
          <w:rFonts w:hint="eastAsia" w:ascii="微软雅黑" w:hAnsi="微软雅黑" w:eastAsia="微软雅黑" w:cs="微软雅黑"/>
          <w:b/>
          <w:bCs/>
          <w:sz w:val="24"/>
        </w:rPr>
      </w:pPr>
    </w:p>
    <w:p>
      <w:pPr>
        <w:pStyle w:val="7"/>
        <w:snapToGrid w:val="0"/>
        <w:spacing w:line="300" w:lineRule="auto"/>
        <w:ind w:firstLine="0"/>
        <w:jc w:val="center"/>
        <w:textAlignment w:val="baseline"/>
        <w:outlineLvl w:val="1"/>
        <w:rPr>
          <w:rFonts w:ascii="微软雅黑" w:hAnsi="微软雅黑" w:eastAsia="微软雅黑" w:cs="微软雅黑"/>
          <w:b/>
          <w:sz w:val="28"/>
          <w:szCs w:val="28"/>
        </w:rPr>
      </w:pPr>
      <w:bookmarkStart w:id="772" w:name="_Toc10503"/>
      <w:bookmarkStart w:id="773" w:name="_Toc17473"/>
      <w:bookmarkStart w:id="774" w:name="_Toc25977"/>
      <w:bookmarkStart w:id="775" w:name="_Toc13208"/>
      <w:bookmarkStart w:id="776" w:name="_Toc23517"/>
      <w:bookmarkStart w:id="777" w:name="_Toc17652"/>
      <w:bookmarkStart w:id="778" w:name="_Toc13650"/>
      <w:bookmarkStart w:id="779" w:name="_Toc22949"/>
      <w:bookmarkStart w:id="780" w:name="_Toc29597"/>
      <w:bookmarkStart w:id="781" w:name="_Toc25729"/>
      <w:bookmarkStart w:id="782" w:name="_Toc11623"/>
      <w:bookmarkStart w:id="783" w:name="_Toc347"/>
      <w:r>
        <w:rPr>
          <w:rFonts w:hint="eastAsia" w:ascii="微软雅黑" w:hAnsi="微软雅黑" w:eastAsia="微软雅黑" w:cs="微软雅黑"/>
          <w:b/>
          <w:sz w:val="28"/>
          <w:szCs w:val="28"/>
        </w:rPr>
        <w:t>初步评审—符合性审查表</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tbl>
      <w:tblPr>
        <w:tblStyle w:val="37"/>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88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1" w:type="dxa"/>
            <w:gridSpan w:val="2"/>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评审内容</w:t>
            </w: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序号</w:t>
            </w:r>
          </w:p>
        </w:tc>
        <w:tc>
          <w:tcPr>
            <w:tcW w:w="6887" w:type="dxa"/>
            <w:vAlign w:val="center"/>
          </w:tcPr>
          <w:p>
            <w:pPr>
              <w:spacing w:line="400" w:lineRule="exact"/>
              <w:rPr>
                <w:rFonts w:ascii="微软雅黑" w:hAnsi="微软雅黑" w:eastAsia="微软雅黑" w:cs="微软雅黑"/>
                <w:spacing w:val="-2"/>
                <w:sz w:val="24"/>
              </w:rPr>
            </w:pP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1</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各供应商</w:t>
            </w:r>
            <w:r>
              <w:rPr>
                <w:rFonts w:hint="eastAsia" w:ascii="微软雅黑" w:hAnsi="微软雅黑" w:eastAsia="微软雅黑" w:cs="微软雅黑"/>
                <w:spacing w:val="-2"/>
                <w:sz w:val="24"/>
                <w:lang w:val="en-US" w:eastAsia="zh-CN"/>
              </w:rPr>
              <w:t>磋商</w:t>
            </w:r>
            <w:r>
              <w:rPr>
                <w:rFonts w:hint="eastAsia" w:ascii="微软雅黑" w:hAnsi="微软雅黑" w:eastAsia="微软雅黑" w:cs="微软雅黑"/>
                <w:spacing w:val="-2"/>
                <w:sz w:val="24"/>
              </w:rPr>
              <w:t>报价未高于预算金额</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2</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磋商小组认为供应商的报价无明显低于其他通过资格性审查供应商的报价的，供应商的报价不存在异常一致并成规律性的，其报价合理</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3</w:t>
            </w:r>
          </w:p>
        </w:tc>
        <w:tc>
          <w:tcPr>
            <w:tcW w:w="6887" w:type="dxa"/>
            <w:vAlign w:val="center"/>
          </w:tcPr>
          <w:p>
            <w:pPr>
              <w:spacing w:line="400" w:lineRule="exact"/>
              <w:jc w:val="left"/>
              <w:rPr>
                <w:rFonts w:ascii="微软雅黑" w:hAnsi="微软雅黑" w:eastAsia="微软雅黑" w:cs="微软雅黑"/>
                <w:spacing w:val="-2"/>
                <w:sz w:val="24"/>
              </w:rPr>
            </w:pPr>
            <w:r>
              <w:rPr>
                <w:rFonts w:hint="eastAsia" w:ascii="微软雅黑" w:hAnsi="微软雅黑" w:eastAsia="微软雅黑" w:cs="微软雅黑"/>
                <w:spacing w:val="-2"/>
                <w:sz w:val="24"/>
                <w:lang w:val="en-US" w:eastAsia="zh-CN"/>
              </w:rPr>
              <w:t>响应</w:t>
            </w:r>
            <w:r>
              <w:rPr>
                <w:rFonts w:hint="eastAsia" w:ascii="微软雅黑" w:hAnsi="微软雅黑" w:eastAsia="微软雅黑" w:cs="微软雅黑"/>
                <w:spacing w:val="-2"/>
                <w:sz w:val="24"/>
              </w:rPr>
              <w:t>文件按照磋商文件的规定编制、标记及签署盖章的，法定代表人或其授权代表签字（章）和加盖供应商公章的（</w:t>
            </w:r>
            <w:r>
              <w:rPr>
                <w:rFonts w:hint="eastAsia" w:ascii="微软雅黑" w:hAnsi="微软雅黑" w:eastAsia="微软雅黑" w:cs="微软雅黑"/>
                <w:spacing w:val="-2"/>
                <w:sz w:val="24"/>
                <w:lang w:eastAsia="zh-CN"/>
              </w:rPr>
              <w:t>所上传的响应</w:t>
            </w:r>
            <w:r>
              <w:rPr>
                <w:rFonts w:hint="eastAsia" w:ascii="微软雅黑" w:hAnsi="微软雅黑" w:eastAsia="微软雅黑" w:cs="微软雅黑"/>
                <w:spacing w:val="-2"/>
                <w:sz w:val="24"/>
              </w:rPr>
              <w:t>文件印章和签字不能为复印件）</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4</w:t>
            </w:r>
          </w:p>
        </w:tc>
        <w:tc>
          <w:tcPr>
            <w:tcW w:w="6887" w:type="dxa"/>
            <w:vAlign w:val="center"/>
          </w:tcPr>
          <w:p>
            <w:pPr>
              <w:spacing w:line="400" w:lineRule="exact"/>
              <w:jc w:val="left"/>
              <w:rPr>
                <w:rFonts w:ascii="微软雅黑" w:hAnsi="微软雅黑" w:eastAsia="微软雅黑" w:cs="微软雅黑"/>
                <w:spacing w:val="-2"/>
                <w:sz w:val="24"/>
              </w:rPr>
            </w:pPr>
            <w:r>
              <w:rPr>
                <w:rFonts w:hint="eastAsia" w:ascii="微软雅黑" w:hAnsi="微软雅黑" w:eastAsia="微软雅黑" w:cs="微软雅黑"/>
                <w:spacing w:val="-2"/>
                <w:sz w:val="24"/>
              </w:rPr>
              <w:t>按磋商文件规定的格式填写，内容全或关键字迹清晰等；</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5</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符合磋商文件中规定的其他实质性要求</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6</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没有采购人不能接受的附加条件的</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7</w:t>
            </w:r>
          </w:p>
        </w:tc>
        <w:tc>
          <w:tcPr>
            <w:tcW w:w="6887" w:type="dxa"/>
            <w:vAlign w:val="center"/>
          </w:tcPr>
          <w:p>
            <w:pPr>
              <w:spacing w:line="400" w:lineRule="exact"/>
              <w:jc w:val="left"/>
              <w:rPr>
                <w:rFonts w:hint="eastAsia" w:ascii="微软雅黑" w:hAnsi="微软雅黑" w:eastAsia="微软雅黑" w:cs="微软雅黑"/>
                <w:spacing w:val="-2"/>
                <w:sz w:val="24"/>
                <w:lang w:eastAsia="zh-CN"/>
              </w:rPr>
            </w:pPr>
            <w:r>
              <w:rPr>
                <w:rFonts w:hint="eastAsia" w:ascii="微软雅黑" w:hAnsi="微软雅黑" w:eastAsia="微软雅黑" w:cs="微软雅黑"/>
                <w:spacing w:val="-2"/>
                <w:sz w:val="24"/>
              </w:rPr>
              <w:t>不同供应商的响应文件没有错漏一致的情况</w:t>
            </w:r>
            <w:r>
              <w:rPr>
                <w:rFonts w:hint="eastAsia" w:ascii="微软雅黑" w:hAnsi="微软雅黑" w:eastAsia="微软雅黑" w:cs="微软雅黑"/>
                <w:spacing w:val="-2"/>
                <w:sz w:val="24"/>
                <w:lang w:eastAsia="zh-CN"/>
              </w:rPr>
              <w:t>；</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8</w:t>
            </w:r>
          </w:p>
        </w:tc>
        <w:tc>
          <w:tcPr>
            <w:tcW w:w="6887" w:type="dxa"/>
            <w:vAlign w:val="center"/>
          </w:tcPr>
          <w:p>
            <w:pPr>
              <w:spacing w:line="400" w:lineRule="exact"/>
              <w:jc w:val="left"/>
              <w:rPr>
                <w:rFonts w:ascii="微软雅黑" w:hAnsi="微软雅黑" w:eastAsia="微软雅黑" w:cs="微软雅黑"/>
                <w:spacing w:val="-2"/>
                <w:sz w:val="24"/>
              </w:rPr>
            </w:pPr>
            <w:r>
              <w:rPr>
                <w:rFonts w:hint="eastAsia" w:ascii="微软雅黑" w:hAnsi="微软雅黑" w:eastAsia="微软雅黑" w:cs="微软雅黑"/>
                <w:spacing w:val="-2"/>
                <w:sz w:val="24"/>
              </w:rPr>
              <w:t>供应商附有详细地址、联系人、电话标明的。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pPr>
              <w:spacing w:line="400" w:lineRule="exact"/>
              <w:ind w:firstLine="424" w:firstLineChars="180"/>
              <w:rPr>
                <w:rFonts w:ascii="微软雅黑" w:hAnsi="微软雅黑" w:eastAsia="微软雅黑" w:cs="微软雅黑"/>
                <w:spacing w:val="-2"/>
                <w:sz w:val="24"/>
              </w:rPr>
            </w:pPr>
            <w:r>
              <w:rPr>
                <w:rFonts w:hint="eastAsia" w:ascii="微软雅黑" w:hAnsi="微软雅黑" w:eastAsia="微软雅黑" w:cs="微软雅黑"/>
                <w:spacing w:val="-2"/>
                <w:sz w:val="24"/>
              </w:rPr>
              <w:t>结论：通过评审打“√”，未通过评审打“×”</w:t>
            </w:r>
          </w:p>
        </w:tc>
        <w:tc>
          <w:tcPr>
            <w:tcW w:w="1668" w:type="dxa"/>
            <w:vAlign w:val="center"/>
          </w:tcPr>
          <w:p>
            <w:pPr>
              <w:spacing w:line="400" w:lineRule="exact"/>
              <w:ind w:firstLine="424" w:firstLineChars="180"/>
              <w:rPr>
                <w:rFonts w:ascii="微软雅黑" w:hAnsi="微软雅黑" w:eastAsia="微软雅黑" w:cs="微软雅黑"/>
                <w:spacing w:val="-2"/>
                <w:sz w:val="24"/>
              </w:rPr>
            </w:pPr>
          </w:p>
        </w:tc>
      </w:tr>
    </w:tbl>
    <w:p>
      <w:pPr>
        <w:snapToGrid w:val="0"/>
        <w:spacing w:line="360" w:lineRule="exact"/>
        <w:textAlignment w:val="baseline"/>
        <w:rPr>
          <w:rFonts w:ascii="微软雅黑" w:hAnsi="微软雅黑" w:eastAsia="微软雅黑" w:cs="微软雅黑"/>
          <w:sz w:val="24"/>
        </w:rPr>
      </w:pP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240" w:lineRule="atLeast"/>
        <w:ind w:left="1080" w:leftChars="257" w:hanging="540"/>
        <w:jc w:val="left"/>
        <w:textAlignment w:val="baseline"/>
        <w:rPr>
          <w:rFonts w:ascii="微软雅黑" w:hAnsi="微软雅黑" w:eastAsia="微软雅黑" w:cs="微软雅黑"/>
          <w:b/>
          <w:sz w:val="28"/>
          <w:szCs w:val="28"/>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784" w:name="_Toc20930"/>
      <w:bookmarkStart w:id="785" w:name="_Toc25310"/>
      <w:bookmarkStart w:id="786" w:name="_Toc507399904"/>
    </w:p>
    <w:p>
      <w:pPr>
        <w:pStyle w:val="11"/>
        <w:snapToGrid w:val="0"/>
        <w:spacing w:before="0" w:line="360" w:lineRule="exact"/>
        <w:textAlignment w:val="baseline"/>
        <w:rPr>
          <w:rFonts w:ascii="微软雅黑" w:hAnsi="微软雅黑" w:eastAsia="微软雅黑" w:cs="微软雅黑"/>
          <w:i/>
        </w:rPr>
      </w:pPr>
    </w:p>
    <w:p>
      <w:pPr>
        <w:rPr>
          <w:rFonts w:ascii="微软雅黑" w:hAnsi="微软雅黑" w:eastAsia="微软雅黑" w:cs="微软雅黑"/>
          <w:i/>
          <w:sz w:val="24"/>
        </w:rPr>
      </w:pPr>
    </w:p>
    <w:p>
      <w:pPr>
        <w:pStyle w:val="13"/>
        <w:rPr>
          <w:rFonts w:ascii="微软雅黑" w:hAnsi="微软雅黑" w:eastAsia="微软雅黑" w:cs="微软雅黑"/>
          <w:i/>
          <w:sz w:val="24"/>
        </w:rPr>
      </w:pPr>
    </w:p>
    <w:p/>
    <w:p>
      <w:pPr>
        <w:pStyle w:val="27"/>
        <w:rPr>
          <w:rFonts w:ascii="微软雅黑" w:hAnsi="微软雅黑" w:eastAsia="微软雅黑" w:cs="微软雅黑"/>
        </w:rPr>
      </w:pPr>
    </w:p>
    <w:p>
      <w:pPr>
        <w:pStyle w:val="7"/>
        <w:ind w:firstLine="0"/>
        <w:rPr>
          <w:rFonts w:ascii="微软雅黑" w:hAnsi="微软雅黑" w:eastAsia="微软雅黑" w:cs="微软雅黑"/>
        </w:rPr>
      </w:pPr>
    </w:p>
    <w:tbl>
      <w:tblPr>
        <w:tblStyle w:val="37"/>
        <w:tblW w:w="10035" w:type="dxa"/>
        <w:jc w:val="center"/>
        <w:tblLayout w:type="fixed"/>
        <w:tblCellMar>
          <w:top w:w="0" w:type="dxa"/>
          <w:left w:w="108" w:type="dxa"/>
          <w:bottom w:w="0" w:type="dxa"/>
          <w:right w:w="108" w:type="dxa"/>
        </w:tblCellMar>
      </w:tblPr>
      <w:tblGrid>
        <w:gridCol w:w="2790"/>
        <w:gridCol w:w="4470"/>
        <w:gridCol w:w="930"/>
        <w:gridCol w:w="855"/>
        <w:gridCol w:w="990"/>
      </w:tblGrid>
      <w:tr>
        <w:tblPrEx>
          <w:tblCellMar>
            <w:top w:w="0" w:type="dxa"/>
            <w:left w:w="108" w:type="dxa"/>
            <w:bottom w:w="0" w:type="dxa"/>
            <w:right w:w="108" w:type="dxa"/>
          </w:tblCellMar>
        </w:tblPrEx>
        <w:trPr>
          <w:trHeight w:val="368" w:hRule="atLeast"/>
          <w:jc w:val="center"/>
        </w:trPr>
        <w:tc>
          <w:tcPr>
            <w:tcW w:w="10035" w:type="dxa"/>
            <w:gridSpan w:val="5"/>
            <w:tcBorders>
              <w:top w:val="nil"/>
              <w:left w:val="nil"/>
              <w:bottom w:val="single" w:color="auto" w:sz="4" w:space="0"/>
              <w:right w:val="nil"/>
            </w:tcBorders>
            <w:vAlign w:val="center"/>
          </w:tcPr>
          <w:p>
            <w:pPr>
              <w:widowControl/>
              <w:snapToGrid w:val="0"/>
              <w:spacing w:line="360" w:lineRule="exact"/>
              <w:jc w:val="center"/>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一、商务符合性审查表</w:t>
            </w:r>
          </w:p>
        </w:tc>
      </w:tr>
      <w:tr>
        <w:tblPrEx>
          <w:tblCellMar>
            <w:top w:w="0" w:type="dxa"/>
            <w:left w:w="108" w:type="dxa"/>
            <w:bottom w:w="0" w:type="dxa"/>
            <w:right w:w="108" w:type="dxa"/>
          </w:tblCellMar>
        </w:tblPrEx>
        <w:trPr>
          <w:trHeight w:val="90" w:hRule="atLeast"/>
          <w:jc w:val="center"/>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审查事项</w:t>
            </w:r>
          </w:p>
        </w:tc>
        <w:tc>
          <w:tcPr>
            <w:tcW w:w="27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供应商名称及审查情况</w:t>
            </w:r>
          </w:p>
        </w:tc>
      </w:tr>
      <w:tr>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磋商文件条款（供应商须知、供应商须知资料表条款号）</w:t>
            </w:r>
          </w:p>
        </w:tc>
        <w:tc>
          <w:tcPr>
            <w:tcW w:w="44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rPr>
              <w:t>本项目要求</w:t>
            </w:r>
          </w:p>
        </w:tc>
        <w:tc>
          <w:tcPr>
            <w:tcW w:w="9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9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中小企业投标要求（1.3.6）</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适用</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联合体投标规定</w:t>
            </w:r>
          </w:p>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不接受</w:t>
            </w:r>
            <w:r>
              <w:rPr>
                <w:rFonts w:hint="eastAsia" w:ascii="微软雅黑" w:hAnsi="微软雅黑" w:eastAsia="微软雅黑" w:cs="微软雅黑"/>
                <w:kern w:val="0"/>
                <w:sz w:val="24"/>
              </w:rPr>
              <w:t>联合体投标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供应商的关联性</w:t>
            </w:r>
          </w:p>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（1.5）</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在同一标包内，单位负责人为非同一人或者不存在直接控股、管理关系的不同供应商。</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未发现影响采购人决策行为（1.5）</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供应商在投标过程中未向采购人提供、给予任何有价值的物品，影响其正常决策行为。</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9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满足投标范围的完整性要求（8.1）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供应商对所投分包磋商文件中所列的所有内容进行投标。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未包含价格调整要求（11.4）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供应商所报的各分项投标报价在合同履行过程中是固定不变的，不得以任何理由予以变更。</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投标保证金（12.1）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符合磋商文件要求</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投标有效期满足要求（13.1）</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自提交响应文件截止之日起</w:t>
            </w:r>
            <w:r>
              <w:rPr>
                <w:rFonts w:hint="eastAsia" w:ascii="微软雅黑" w:hAnsi="微软雅黑" w:eastAsia="微软雅黑" w:cs="微软雅黑"/>
                <w:sz w:val="24"/>
                <w:u w:val="single" w:color="000000"/>
                <w:lang w:val="en-US" w:eastAsia="zh-CN"/>
              </w:rPr>
              <w:t>90</w:t>
            </w:r>
            <w:r>
              <w:rPr>
                <w:rFonts w:hint="eastAsia" w:ascii="微软雅黑" w:hAnsi="微软雅黑" w:eastAsia="微软雅黑" w:cs="微软雅黑"/>
                <w:sz w:val="24"/>
                <w:u w:val="single" w:color="000000"/>
              </w:rPr>
              <w:t>日</w:t>
            </w:r>
            <w:r>
              <w:rPr>
                <w:rFonts w:hint="eastAsia" w:ascii="微软雅黑" w:hAnsi="微软雅黑" w:eastAsia="微软雅黑" w:cs="微软雅黑"/>
                <w:sz w:val="24"/>
              </w:rPr>
              <w:t>历日</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响应文件的装订方式（14.3）</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所有响应文件采用不可拆装的胶订方式装订</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响应文件的签署和盖章符合要求</w:t>
            </w:r>
          </w:p>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（14.2、14.4）</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按照磋商文件规定要求签署、盖章。</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接受价格的算术修正（20.3）</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响应文件报价出现前后不一致的，应按照磋商文件规定的顺序修正。修正后的报价经供应商确认后产生约束力。</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符合强制采购节能产品要求（20.6）</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本项目</w:t>
            </w:r>
            <w:r>
              <w:rPr>
                <w:rFonts w:hint="eastAsia" w:ascii="微软雅黑" w:hAnsi="微软雅黑" w:eastAsia="微软雅黑" w:cs="微软雅黑"/>
                <w:i/>
                <w:iCs/>
                <w:kern w:val="0"/>
                <w:sz w:val="24"/>
                <w:u w:val="single" w:color="000000"/>
              </w:rPr>
              <w:t>适用</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未发现串通投标（22.2）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未与其他供应商串通投标，或者与招标人串通投标。</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报价说明可以接受（22.2）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供应商的报价明显低于其他通过符合性检查供应商的报价，有可能影响履约的，供应商能按照规定证明其报价合理性。</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10" w:hRule="atLeast"/>
          <w:jc w:val="center"/>
        </w:trPr>
        <w:tc>
          <w:tcPr>
            <w:tcW w:w="27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无采购人不能接受的附加条件（22.2）</w:t>
            </w:r>
          </w:p>
        </w:tc>
        <w:tc>
          <w:tcPr>
            <w:tcW w:w="447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sz w:val="24"/>
              </w:rPr>
              <w:t>响应文件未含有采购人不能接受的附加条件。</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r>
        <w:tblPrEx>
          <w:tblCellMar>
            <w:top w:w="0" w:type="dxa"/>
            <w:left w:w="108" w:type="dxa"/>
            <w:bottom w:w="0" w:type="dxa"/>
            <w:right w:w="108" w:type="dxa"/>
          </w:tblCellMar>
        </w:tblPrEx>
        <w:trPr>
          <w:trHeight w:val="774" w:hRule="atLeast"/>
          <w:jc w:val="center"/>
        </w:trPr>
        <w:tc>
          <w:tcPr>
            <w:tcW w:w="72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b/>
                <w:sz w:val="24"/>
              </w:rPr>
            </w:pPr>
            <w:r>
              <w:rPr>
                <w:rFonts w:hint="eastAsia" w:ascii="微软雅黑" w:hAnsi="微软雅黑" w:eastAsia="微软雅黑" w:cs="微软雅黑"/>
                <w:b/>
                <w:kern w:val="0"/>
                <w:sz w:val="24"/>
              </w:rPr>
              <w:t>结论</w:t>
            </w:r>
          </w:p>
        </w:tc>
        <w:tc>
          <w:tcPr>
            <w:tcW w:w="93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855"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990"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r>
    </w:tbl>
    <w:p>
      <w:pPr>
        <w:pStyle w:val="11"/>
        <w:snapToGrid w:val="0"/>
        <w:spacing w:before="0" w:line="360" w:lineRule="exact"/>
        <w:ind w:left="-181" w:leftChars="-86" w:firstLine="660" w:firstLineChars="275"/>
        <w:textAlignment w:val="baseline"/>
        <w:rPr>
          <w:rFonts w:ascii="微软雅黑" w:hAnsi="微软雅黑" w:eastAsia="微软雅黑" w:cs="微软雅黑"/>
        </w:rPr>
      </w:pPr>
      <w:r>
        <w:rPr>
          <w:rFonts w:hint="eastAsia" w:ascii="微软雅黑" w:hAnsi="微软雅黑" w:eastAsia="微软雅黑" w:cs="微软雅黑"/>
        </w:rPr>
        <w:br w:type="page"/>
      </w:r>
    </w:p>
    <w:tbl>
      <w:tblPr>
        <w:tblStyle w:val="37"/>
        <w:tblW w:w="10020" w:type="dxa"/>
        <w:jc w:val="center"/>
        <w:tblLayout w:type="fixed"/>
        <w:tblCellMar>
          <w:top w:w="0" w:type="dxa"/>
          <w:left w:w="108" w:type="dxa"/>
          <w:bottom w:w="0" w:type="dxa"/>
          <w:right w:w="108" w:type="dxa"/>
        </w:tblCellMar>
      </w:tblPr>
      <w:tblGrid>
        <w:gridCol w:w="2730"/>
        <w:gridCol w:w="2295"/>
        <w:gridCol w:w="1575"/>
        <w:gridCol w:w="1845"/>
        <w:gridCol w:w="1575"/>
      </w:tblGrid>
      <w:tr>
        <w:tblPrEx>
          <w:tblCellMar>
            <w:top w:w="0" w:type="dxa"/>
            <w:left w:w="108" w:type="dxa"/>
            <w:bottom w:w="0" w:type="dxa"/>
            <w:right w:w="108" w:type="dxa"/>
          </w:tblCellMar>
        </w:tblPrEx>
        <w:trPr>
          <w:trHeight w:val="585" w:hRule="atLeast"/>
          <w:jc w:val="center"/>
        </w:trPr>
        <w:tc>
          <w:tcPr>
            <w:tcW w:w="10020" w:type="dxa"/>
            <w:gridSpan w:val="5"/>
            <w:tcBorders>
              <w:top w:val="nil"/>
              <w:left w:val="nil"/>
              <w:bottom w:val="single" w:color="auto" w:sz="4" w:space="0"/>
              <w:right w:val="nil"/>
            </w:tcBorders>
            <w:vAlign w:val="center"/>
          </w:tcPr>
          <w:p>
            <w:pPr>
              <w:widowControl/>
              <w:snapToGrid w:val="0"/>
              <w:spacing w:line="360" w:lineRule="exact"/>
              <w:jc w:val="center"/>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技术符合性审查表</w:t>
            </w:r>
          </w:p>
        </w:tc>
      </w:tr>
      <w:tr>
        <w:tblPrEx>
          <w:tblCellMar>
            <w:top w:w="0" w:type="dxa"/>
            <w:left w:w="108" w:type="dxa"/>
            <w:bottom w:w="0" w:type="dxa"/>
            <w:right w:w="108" w:type="dxa"/>
          </w:tblCellMar>
        </w:tblPrEx>
        <w:trPr>
          <w:trHeight w:val="390" w:hRule="atLeast"/>
          <w:jc w:val="center"/>
        </w:trPr>
        <w:tc>
          <w:tcPr>
            <w:tcW w:w="5025"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审查事项</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供应商名称</w:t>
            </w:r>
          </w:p>
        </w:tc>
      </w:tr>
      <w:tr>
        <w:tblPrEx>
          <w:tblCellMar>
            <w:top w:w="0" w:type="dxa"/>
            <w:left w:w="108" w:type="dxa"/>
            <w:bottom w:w="0" w:type="dxa"/>
            <w:right w:w="108" w:type="dxa"/>
          </w:tblCellMar>
        </w:tblPrEx>
        <w:trPr>
          <w:trHeight w:val="570" w:hRule="atLeast"/>
          <w:jc w:val="center"/>
        </w:trPr>
        <w:tc>
          <w:tcPr>
            <w:tcW w:w="502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磋商文件要求</w:t>
            </w: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条款号</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color w:val="auto"/>
                <w:lang w:val="en-US" w:eastAsia="zh-CN"/>
              </w:rPr>
              <w:t>工程量清单及技术标准</w:t>
            </w:r>
            <w:r>
              <w:rPr>
                <w:rFonts w:hint="eastAsia" w:ascii="微软雅黑" w:hAnsi="微软雅黑" w:eastAsia="微软雅黑" w:cs="微软雅黑"/>
                <w:b/>
                <w:bCs/>
                <w:color w:val="auto"/>
                <w:sz w:val="24"/>
                <w:szCs w:val="24"/>
                <w:lang w:val="en-US" w:eastAsia="zh-CN"/>
              </w:rPr>
              <w:t xml:space="preserve"> </w:t>
            </w: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第5章</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b/>
                <w:bCs/>
                <w:kern w:val="0"/>
                <w:sz w:val="24"/>
              </w:rPr>
            </w:pPr>
            <w:r>
              <w:rPr>
                <w:rFonts w:hint="eastAsia" w:ascii="微软雅黑" w:hAnsi="微软雅黑" w:eastAsia="微软雅黑" w:cs="微软雅黑"/>
                <w:b/>
                <w:bCs/>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nil"/>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nil"/>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nil"/>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single" w:color="auto" w:sz="4" w:space="0"/>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58"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2730" w:type="dxa"/>
            <w:tcBorders>
              <w:top w:val="nil"/>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lef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570" w:hRule="atLeast"/>
          <w:jc w:val="center"/>
        </w:trPr>
        <w:tc>
          <w:tcPr>
            <w:tcW w:w="502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结论</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84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c>
          <w:tcPr>
            <w:tcW w:w="1575" w:type="dxa"/>
            <w:tcBorders>
              <w:top w:val="nil"/>
              <w:left w:val="nil"/>
              <w:bottom w:val="single" w:color="auto" w:sz="4" w:space="0"/>
              <w:right w:val="single" w:color="auto" w:sz="4" w:space="0"/>
            </w:tcBorders>
            <w:vAlign w:val="center"/>
          </w:tcPr>
          <w:p>
            <w:pPr>
              <w:widowControl/>
              <w:snapToGrid w:val="0"/>
              <w:spacing w:line="360" w:lineRule="exact"/>
              <w:jc w:val="center"/>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rPr>
              <w:t>　</w:t>
            </w:r>
          </w:p>
        </w:tc>
      </w:tr>
      <w:tr>
        <w:tblPrEx>
          <w:tblCellMar>
            <w:top w:w="0" w:type="dxa"/>
            <w:left w:w="108" w:type="dxa"/>
            <w:bottom w:w="0" w:type="dxa"/>
            <w:right w:w="108" w:type="dxa"/>
          </w:tblCellMar>
        </w:tblPrEx>
        <w:trPr>
          <w:trHeight w:val="465" w:hRule="atLeast"/>
          <w:jc w:val="center"/>
        </w:trPr>
        <w:tc>
          <w:tcPr>
            <w:tcW w:w="2730"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2295"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575" w:type="dxa"/>
            <w:tcBorders>
              <w:top w:val="nil"/>
              <w:left w:val="nil"/>
              <w:bottom w:val="nil"/>
              <w:right w:val="nil"/>
            </w:tcBorders>
            <w:vAlign w:val="center"/>
          </w:tcPr>
          <w:p>
            <w:pPr>
              <w:widowControl/>
              <w:snapToGrid w:val="0"/>
              <w:spacing w:line="360" w:lineRule="exact"/>
              <w:jc w:val="center"/>
              <w:textAlignment w:val="baseline"/>
              <w:rPr>
                <w:rFonts w:ascii="微软雅黑" w:hAnsi="微软雅黑" w:eastAsia="微软雅黑" w:cs="微软雅黑"/>
                <w:kern w:val="0"/>
                <w:sz w:val="24"/>
              </w:rPr>
            </w:pPr>
          </w:p>
        </w:tc>
        <w:tc>
          <w:tcPr>
            <w:tcW w:w="1845" w:type="dxa"/>
            <w:tcBorders>
              <w:top w:val="nil"/>
              <w:left w:val="nil"/>
              <w:bottom w:val="nil"/>
              <w:right w:val="nil"/>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c>
          <w:tcPr>
            <w:tcW w:w="1575" w:type="dxa"/>
            <w:tcBorders>
              <w:top w:val="nil"/>
              <w:left w:val="nil"/>
              <w:bottom w:val="nil"/>
              <w:right w:val="nil"/>
            </w:tcBorders>
            <w:vAlign w:val="center"/>
          </w:tcPr>
          <w:p>
            <w:pPr>
              <w:widowControl/>
              <w:snapToGrid w:val="0"/>
              <w:spacing w:line="360" w:lineRule="exact"/>
              <w:jc w:val="left"/>
              <w:textAlignment w:val="baseline"/>
              <w:rPr>
                <w:rFonts w:ascii="微软雅黑" w:hAnsi="微软雅黑" w:eastAsia="微软雅黑" w:cs="微软雅黑"/>
                <w:kern w:val="0"/>
                <w:sz w:val="24"/>
              </w:rPr>
            </w:pPr>
          </w:p>
        </w:tc>
      </w:tr>
    </w:tbl>
    <w:p>
      <w:pPr>
        <w:pStyle w:val="11"/>
        <w:snapToGrid w:val="0"/>
        <w:spacing w:before="0" w:line="360" w:lineRule="exact"/>
        <w:ind w:left="-181" w:leftChars="-86" w:firstLine="660" w:firstLineChars="275"/>
        <w:textAlignment w:val="baseline"/>
        <w:rPr>
          <w:rFonts w:ascii="微软雅黑" w:hAnsi="微软雅黑" w:eastAsia="微软雅黑" w:cs="微软雅黑"/>
        </w:rPr>
      </w:pPr>
    </w:p>
    <w:p>
      <w:pPr>
        <w:snapToGrid w:val="0"/>
        <w:spacing w:line="360" w:lineRule="exact"/>
        <w:jc w:val="center"/>
        <w:textAlignment w:val="baseline"/>
        <w:rPr>
          <w:rFonts w:ascii="微软雅黑" w:hAnsi="微软雅黑" w:eastAsia="微软雅黑" w:cs="微软雅黑"/>
          <w:b/>
          <w:bCs/>
          <w:sz w:val="24"/>
        </w:rPr>
      </w:pPr>
    </w:p>
    <w:p>
      <w:pPr>
        <w:snapToGrid w:val="0"/>
        <w:spacing w:line="360" w:lineRule="exact"/>
        <w:jc w:val="center"/>
        <w:textAlignment w:val="baseline"/>
        <w:rPr>
          <w:rFonts w:ascii="微软雅黑" w:hAnsi="微软雅黑" w:eastAsia="微软雅黑" w:cs="微软雅黑"/>
          <w:b/>
          <w:bCs/>
          <w:sz w:val="24"/>
        </w:rPr>
      </w:pPr>
    </w:p>
    <w:p>
      <w:pPr>
        <w:snapToGrid w:val="0"/>
        <w:spacing w:line="360" w:lineRule="exact"/>
        <w:jc w:val="center"/>
        <w:textAlignment w:val="baseline"/>
        <w:rPr>
          <w:rFonts w:ascii="微软雅黑" w:hAnsi="微软雅黑" w:eastAsia="微软雅黑" w:cs="微软雅黑"/>
          <w:b/>
          <w:bCs/>
          <w:sz w:val="24"/>
        </w:rPr>
      </w:pPr>
    </w:p>
    <w:p>
      <w:pPr>
        <w:pStyle w:val="13"/>
        <w:snapToGrid w:val="0"/>
        <w:ind w:firstLine="0" w:firstLineChars="0"/>
        <w:textAlignment w:val="baseline"/>
        <w:rPr>
          <w:rFonts w:ascii="微软雅黑" w:hAnsi="微软雅黑" w:eastAsia="微软雅黑" w:cs="微软雅黑"/>
          <w:b/>
          <w:sz w:val="28"/>
          <w:szCs w:val="28"/>
        </w:rPr>
      </w:pPr>
    </w:p>
    <w:p>
      <w:pPr>
        <w:pStyle w:val="13"/>
        <w:snapToGrid w:val="0"/>
        <w:ind w:firstLine="0" w:firstLineChars="0"/>
        <w:textAlignment w:val="baseline"/>
        <w:rPr>
          <w:rFonts w:ascii="微软雅黑" w:hAnsi="微软雅黑" w:eastAsia="微软雅黑" w:cs="微软雅黑"/>
          <w:b/>
          <w:sz w:val="28"/>
          <w:szCs w:val="28"/>
        </w:rPr>
      </w:pPr>
    </w:p>
    <w:p>
      <w:pPr>
        <w:pStyle w:val="13"/>
        <w:snapToGrid w:val="0"/>
        <w:ind w:firstLine="0" w:firstLineChars="0"/>
        <w:textAlignment w:val="baseline"/>
        <w:rPr>
          <w:rFonts w:ascii="微软雅黑" w:hAnsi="微软雅黑" w:eastAsia="微软雅黑" w:cs="微软雅黑"/>
          <w:b/>
          <w:sz w:val="28"/>
          <w:szCs w:val="28"/>
        </w:rPr>
      </w:pPr>
    </w:p>
    <w:p>
      <w:pPr>
        <w:pStyle w:val="13"/>
        <w:snapToGrid w:val="0"/>
        <w:ind w:firstLine="0" w:firstLineChars="0"/>
        <w:textAlignment w:val="baseline"/>
        <w:rPr>
          <w:rFonts w:ascii="微软雅黑" w:hAnsi="微软雅黑" w:eastAsia="微软雅黑" w:cs="微软雅黑"/>
          <w:b/>
          <w:sz w:val="28"/>
          <w:szCs w:val="28"/>
        </w:rPr>
      </w:pPr>
    </w:p>
    <w:p/>
    <w:p>
      <w:pPr>
        <w:snapToGrid w:val="0"/>
        <w:spacing w:line="240" w:lineRule="atLeast"/>
        <w:ind w:left="1080" w:leftChars="257" w:hanging="540"/>
        <w:jc w:val="center"/>
        <w:textAlignment w:val="baseline"/>
        <w:outlineLvl w:val="9"/>
        <w:rPr>
          <w:rFonts w:hint="eastAsia" w:ascii="微软雅黑" w:hAnsi="微软雅黑" w:eastAsia="微软雅黑" w:cs="微软雅黑"/>
          <w:b/>
          <w:sz w:val="28"/>
          <w:szCs w:val="28"/>
        </w:rPr>
      </w:pPr>
      <w:bookmarkStart w:id="787" w:name="_Toc9113"/>
      <w:bookmarkStart w:id="788" w:name="_Toc26098"/>
      <w:bookmarkStart w:id="789" w:name="_Toc19042"/>
      <w:bookmarkStart w:id="790" w:name="_Toc11236"/>
      <w:bookmarkStart w:id="791" w:name="_Toc27185"/>
      <w:bookmarkStart w:id="792" w:name="_Toc10809"/>
      <w:bookmarkStart w:id="793" w:name="_Toc20034"/>
      <w:bookmarkStart w:id="794" w:name="_Toc20547"/>
      <w:bookmarkStart w:id="795" w:name="_Toc21660"/>
      <w:bookmarkStart w:id="796" w:name="_Toc29461"/>
    </w:p>
    <w:p>
      <w:pPr>
        <w:snapToGrid w:val="0"/>
        <w:spacing w:line="240" w:lineRule="atLeast"/>
        <w:ind w:left="1080" w:leftChars="257" w:hanging="540"/>
        <w:jc w:val="center"/>
        <w:textAlignment w:val="baseline"/>
        <w:outlineLvl w:val="1"/>
        <w:rPr>
          <w:rFonts w:ascii="微软雅黑" w:hAnsi="微软雅黑" w:eastAsia="微软雅黑" w:cs="微软雅黑"/>
          <w:b/>
          <w:sz w:val="28"/>
          <w:szCs w:val="28"/>
        </w:rPr>
      </w:pPr>
      <w:bookmarkStart w:id="797" w:name="_Toc15320"/>
      <w:bookmarkStart w:id="798" w:name="_Toc7730"/>
      <w:r>
        <w:rPr>
          <w:rFonts w:hint="eastAsia" w:ascii="微软雅黑" w:hAnsi="微软雅黑" w:eastAsia="微软雅黑" w:cs="微软雅黑"/>
          <w:b/>
          <w:sz w:val="28"/>
          <w:szCs w:val="28"/>
        </w:rPr>
        <w:t>综合评分表</w:t>
      </w:r>
      <w:bookmarkEnd w:id="784"/>
      <w:bookmarkEnd w:id="785"/>
      <w:bookmarkEnd w:id="787"/>
      <w:bookmarkEnd w:id="788"/>
      <w:bookmarkEnd w:id="789"/>
      <w:bookmarkEnd w:id="790"/>
      <w:bookmarkEnd w:id="791"/>
      <w:bookmarkEnd w:id="792"/>
      <w:bookmarkEnd w:id="793"/>
      <w:bookmarkEnd w:id="794"/>
      <w:bookmarkEnd w:id="795"/>
      <w:bookmarkEnd w:id="796"/>
      <w:bookmarkEnd w:id="797"/>
      <w:bookmarkEnd w:id="798"/>
      <w:r>
        <w:rPr>
          <w:rFonts w:hint="eastAsia" w:ascii="微软雅黑" w:hAnsi="微软雅黑" w:eastAsia="微软雅黑" w:cs="微软雅黑"/>
          <w:b/>
          <w:sz w:val="28"/>
          <w:szCs w:val="28"/>
        </w:rPr>
        <w:t xml:space="preserve"> </w:t>
      </w:r>
    </w:p>
    <w:tbl>
      <w:tblPr>
        <w:tblStyle w:val="37"/>
        <w:tblW w:w="9914" w:type="dxa"/>
        <w:jc w:val="center"/>
        <w:tblLayout w:type="fixed"/>
        <w:tblCellMar>
          <w:top w:w="0" w:type="dxa"/>
          <w:left w:w="108" w:type="dxa"/>
          <w:bottom w:w="0" w:type="dxa"/>
          <w:right w:w="108" w:type="dxa"/>
        </w:tblCellMar>
      </w:tblPr>
      <w:tblGrid>
        <w:gridCol w:w="730"/>
        <w:gridCol w:w="714"/>
        <w:gridCol w:w="1174"/>
        <w:gridCol w:w="486"/>
        <w:gridCol w:w="5596"/>
        <w:gridCol w:w="723"/>
        <w:gridCol w:w="491"/>
      </w:tblGrid>
      <w:tr>
        <w:tblPrEx>
          <w:tblCellMar>
            <w:top w:w="0" w:type="dxa"/>
            <w:left w:w="108" w:type="dxa"/>
            <w:bottom w:w="0" w:type="dxa"/>
            <w:right w:w="108" w:type="dxa"/>
          </w:tblCellMar>
        </w:tblPrEx>
        <w:trPr>
          <w:trHeight w:val="704"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b/>
                <w:color w:val="auto"/>
                <w:kern w:val="2"/>
                <w:sz w:val="21"/>
                <w:szCs w:val="21"/>
              </w:rPr>
            </w:pPr>
            <w:r>
              <w:rPr>
                <w:rFonts w:hint="eastAsia" w:ascii="微软雅黑" w:hAnsi="微软雅黑" w:eastAsia="微软雅黑" w:cs="微软雅黑"/>
                <w:b/>
                <w:color w:val="auto"/>
                <w:sz w:val="21"/>
                <w:szCs w:val="21"/>
              </w:rPr>
              <w:t>序号</w:t>
            </w:r>
          </w:p>
        </w:tc>
        <w:tc>
          <w:tcPr>
            <w:tcW w:w="1888" w:type="dxa"/>
            <w:gridSpan w:val="2"/>
            <w:tcBorders>
              <w:top w:val="single" w:color="auto" w:sz="4" w:space="0"/>
              <w:left w:val="nil"/>
              <w:bottom w:val="single" w:color="auto" w:sz="6" w:space="0"/>
              <w:right w:val="single" w:color="auto" w:sz="4" w:space="0"/>
            </w:tcBorders>
            <w:noWrap w:val="0"/>
            <w:vAlign w:val="center"/>
          </w:tcPr>
          <w:p>
            <w:pPr>
              <w:widowControl/>
              <w:snapToGrid w:val="0"/>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评审项目</w:t>
            </w:r>
          </w:p>
        </w:tc>
        <w:tc>
          <w:tcPr>
            <w:tcW w:w="6082"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b/>
                <w:color w:val="auto"/>
                <w:kern w:val="2"/>
                <w:sz w:val="21"/>
                <w:szCs w:val="21"/>
              </w:rPr>
            </w:pPr>
            <w:r>
              <w:rPr>
                <w:rFonts w:hint="eastAsia" w:ascii="微软雅黑" w:hAnsi="微软雅黑" w:eastAsia="微软雅黑" w:cs="微软雅黑"/>
                <w:b/>
                <w:color w:val="auto"/>
                <w:sz w:val="21"/>
                <w:szCs w:val="21"/>
              </w:rPr>
              <w:t>评审内容及规则</w:t>
            </w:r>
          </w:p>
        </w:tc>
        <w:tc>
          <w:tcPr>
            <w:tcW w:w="723"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标准分值</w:t>
            </w:r>
          </w:p>
        </w:tc>
        <w:tc>
          <w:tcPr>
            <w:tcW w:w="491"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b/>
                <w:color w:val="auto"/>
                <w:sz w:val="21"/>
                <w:szCs w:val="21"/>
              </w:rPr>
            </w:pPr>
            <w:r>
              <w:rPr>
                <w:rFonts w:hint="eastAsia" w:ascii="微软雅黑" w:hAnsi="微软雅黑" w:eastAsia="微软雅黑" w:cs="微软雅黑"/>
                <w:b/>
                <w:color w:val="auto"/>
                <w:sz w:val="21"/>
                <w:szCs w:val="21"/>
              </w:rPr>
              <w:t>说明</w:t>
            </w:r>
          </w:p>
        </w:tc>
      </w:tr>
      <w:tr>
        <w:tblPrEx>
          <w:tblCellMar>
            <w:top w:w="0" w:type="dxa"/>
            <w:left w:w="108" w:type="dxa"/>
            <w:bottom w:w="0" w:type="dxa"/>
            <w:right w:w="108" w:type="dxa"/>
          </w:tblCellMar>
        </w:tblPrEx>
        <w:trPr>
          <w:trHeight w:val="746" w:hRule="atLeast"/>
          <w:jc w:val="center"/>
        </w:trPr>
        <w:tc>
          <w:tcPr>
            <w:tcW w:w="730" w:type="dxa"/>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sz w:val="21"/>
                <w:szCs w:val="21"/>
              </w:rPr>
              <w:t>1</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价格评审</w:t>
            </w:r>
          </w:p>
        </w:tc>
        <w:tc>
          <w:tcPr>
            <w:tcW w:w="1174" w:type="dxa"/>
            <w:tcBorders>
              <w:top w:val="single" w:color="auto" w:sz="6" w:space="0"/>
              <w:left w:val="single" w:color="auto" w:sz="4" w:space="0"/>
              <w:bottom w:val="single" w:color="auto" w:sz="6" w:space="0"/>
              <w:right w:val="single" w:color="auto" w:sz="4" w:space="0"/>
            </w:tcBorders>
            <w:noWrap w:val="0"/>
            <w:vAlign w:val="center"/>
          </w:tcPr>
          <w:p>
            <w:pPr>
              <w:snapToGrid w:val="0"/>
              <w:jc w:val="cente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价格</w:t>
            </w:r>
          </w:p>
        </w:tc>
        <w:tc>
          <w:tcPr>
            <w:tcW w:w="6082" w:type="dxa"/>
            <w:gridSpan w:val="2"/>
            <w:tcBorders>
              <w:top w:val="nil"/>
              <w:left w:val="nil"/>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满足招标文件要求且报价最低的为评审基准价，价格得分=（评审基准价/报价）×标准分值</w:t>
            </w:r>
          </w:p>
        </w:tc>
        <w:tc>
          <w:tcPr>
            <w:tcW w:w="723" w:type="dxa"/>
            <w:tcBorders>
              <w:top w:val="nil"/>
              <w:left w:val="nil"/>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30</w:t>
            </w:r>
          </w:p>
        </w:tc>
        <w:tc>
          <w:tcPr>
            <w:tcW w:w="491" w:type="dxa"/>
            <w:tcBorders>
              <w:top w:val="nil"/>
              <w:left w:val="nil"/>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rPr>
            </w:pPr>
          </w:p>
        </w:tc>
      </w:tr>
      <w:tr>
        <w:tblPrEx>
          <w:tblCellMar>
            <w:top w:w="0" w:type="dxa"/>
            <w:left w:w="108" w:type="dxa"/>
            <w:bottom w:w="0" w:type="dxa"/>
            <w:right w:w="108" w:type="dxa"/>
          </w:tblCellMar>
        </w:tblPrEx>
        <w:trPr>
          <w:trHeight w:val="1118" w:hRule="atLeast"/>
          <w:jc w:val="center"/>
        </w:trPr>
        <w:tc>
          <w:tcPr>
            <w:tcW w:w="730" w:type="dxa"/>
            <w:tcBorders>
              <w:top w:val="nil"/>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sz w:val="21"/>
                <w:szCs w:val="21"/>
              </w:rPr>
              <w:t>2</w:t>
            </w:r>
          </w:p>
        </w:tc>
        <w:tc>
          <w:tcPr>
            <w:tcW w:w="714" w:type="dxa"/>
            <w:vMerge w:val="restart"/>
            <w:tcBorders>
              <w:top w:val="single" w:color="auto" w:sz="4" w:space="0"/>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商务评审</w:t>
            </w:r>
          </w:p>
        </w:tc>
        <w:tc>
          <w:tcPr>
            <w:tcW w:w="1174" w:type="dxa"/>
            <w:tcBorders>
              <w:top w:val="single" w:color="auto" w:sz="6" w:space="0"/>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业绩</w:t>
            </w:r>
          </w:p>
        </w:tc>
        <w:tc>
          <w:tcPr>
            <w:tcW w:w="6082" w:type="dxa"/>
            <w:gridSpan w:val="2"/>
            <w:tcBorders>
              <w:top w:val="single" w:color="auto" w:sz="4" w:space="0"/>
              <w:left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提供近三年内类似项目业绩证明材料，中标通知书或合同，每提供一个得2分，最高可得10分。（中标通知书和合同内容需体现采购需求内容）</w:t>
            </w:r>
          </w:p>
        </w:tc>
        <w:tc>
          <w:tcPr>
            <w:tcW w:w="723" w:type="dxa"/>
            <w:tcBorders>
              <w:top w:val="nil"/>
              <w:left w:val="nil"/>
              <w:right w:val="single" w:color="auto" w:sz="4" w:space="0"/>
            </w:tcBorders>
            <w:noWrap w:val="0"/>
            <w:vAlign w:val="center"/>
          </w:tcPr>
          <w:p>
            <w:pPr>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10</w:t>
            </w:r>
          </w:p>
        </w:tc>
        <w:tc>
          <w:tcPr>
            <w:tcW w:w="491" w:type="dxa"/>
            <w:tcBorders>
              <w:top w:val="nil"/>
              <w:left w:val="nil"/>
              <w:right w:val="single" w:color="auto" w:sz="4" w:space="0"/>
            </w:tcBorders>
            <w:noWrap w:val="0"/>
            <w:vAlign w:val="top"/>
          </w:tcPr>
          <w:p>
            <w:pPr>
              <w:widowControl/>
              <w:snapToGrid w:val="0"/>
              <w:jc w:val="center"/>
              <w:rPr>
                <w:rFonts w:hint="eastAsia" w:ascii="微软雅黑" w:hAnsi="微软雅黑" w:eastAsia="微软雅黑" w:cs="微软雅黑"/>
                <w:color w:val="auto"/>
                <w:kern w:val="2"/>
                <w:sz w:val="21"/>
                <w:szCs w:val="21"/>
              </w:rPr>
            </w:pPr>
          </w:p>
        </w:tc>
      </w:tr>
      <w:tr>
        <w:tblPrEx>
          <w:tblCellMar>
            <w:top w:w="0" w:type="dxa"/>
            <w:left w:w="108" w:type="dxa"/>
            <w:bottom w:w="0" w:type="dxa"/>
            <w:right w:w="108" w:type="dxa"/>
          </w:tblCellMar>
        </w:tblPrEx>
        <w:trPr>
          <w:trHeight w:val="736" w:hRule="atLeast"/>
          <w:jc w:val="center"/>
        </w:trPr>
        <w:tc>
          <w:tcPr>
            <w:tcW w:w="730" w:type="dxa"/>
            <w:tcBorders>
              <w:top w:val="single" w:color="auto" w:sz="4" w:space="0"/>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lang w:eastAsia="zh-CN"/>
              </w:rPr>
            </w:pPr>
            <w:r>
              <w:rPr>
                <w:rFonts w:hint="eastAsia" w:ascii="微软雅黑" w:hAnsi="微软雅黑" w:eastAsia="微软雅黑" w:cs="微软雅黑"/>
                <w:color w:val="auto"/>
                <w:sz w:val="21"/>
                <w:szCs w:val="21"/>
                <w:lang w:val="en-US" w:eastAsia="zh-CN"/>
              </w:rPr>
              <w:t>3</w:t>
            </w:r>
          </w:p>
        </w:tc>
        <w:tc>
          <w:tcPr>
            <w:tcW w:w="714"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信誉</w:t>
            </w:r>
          </w:p>
        </w:tc>
        <w:tc>
          <w:tcPr>
            <w:tcW w:w="608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企业纳税信用等级为B级或M级得2分；A级得4分。（提供纳税信用等级截图，不提供此项不得分）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4</w:t>
            </w:r>
          </w:p>
        </w:tc>
        <w:tc>
          <w:tcPr>
            <w:tcW w:w="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微软雅黑" w:hAnsi="微软雅黑" w:eastAsia="微软雅黑" w:cs="微软雅黑"/>
                <w:color w:val="auto"/>
                <w:sz w:val="21"/>
                <w:szCs w:val="21"/>
                <w:lang w:val="en-US" w:eastAsia="zh-CN"/>
              </w:rPr>
            </w:pPr>
          </w:p>
        </w:tc>
      </w:tr>
      <w:tr>
        <w:tblPrEx>
          <w:tblCellMar>
            <w:top w:w="0" w:type="dxa"/>
            <w:left w:w="108" w:type="dxa"/>
            <w:bottom w:w="0" w:type="dxa"/>
            <w:right w:w="108" w:type="dxa"/>
          </w:tblCellMar>
        </w:tblPrEx>
        <w:trPr>
          <w:trHeight w:val="90" w:hRule="atLeast"/>
          <w:jc w:val="center"/>
        </w:trPr>
        <w:tc>
          <w:tcPr>
            <w:tcW w:w="730" w:type="dxa"/>
            <w:tcBorders>
              <w:top w:val="single" w:color="auto" w:sz="4" w:space="0"/>
              <w:left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4</w:t>
            </w:r>
          </w:p>
        </w:tc>
        <w:tc>
          <w:tcPr>
            <w:tcW w:w="714"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财务状况</w:t>
            </w:r>
          </w:p>
        </w:tc>
        <w:tc>
          <w:tcPr>
            <w:tcW w:w="6082"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6"/>
              </w:numPr>
              <w:snapToGrid w:val="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近三年内，企业资产负债率均能控制在60％以下，得2分。</w:t>
            </w:r>
          </w:p>
          <w:p>
            <w:pPr>
              <w:pStyle w:val="36"/>
              <w:numPr>
                <w:ilvl w:val="0"/>
                <w:numId w:val="6"/>
              </w:numPr>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 xml:space="preserve">近三年内，企业年净利润均大于0，得2分。 </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4</w:t>
            </w:r>
          </w:p>
        </w:tc>
        <w:tc>
          <w:tcPr>
            <w:tcW w:w="4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微软雅黑" w:hAnsi="微软雅黑" w:eastAsia="微软雅黑" w:cs="微软雅黑"/>
                <w:color w:val="auto"/>
                <w:sz w:val="21"/>
                <w:szCs w:val="21"/>
                <w:lang w:val="en-US" w:eastAsia="zh-CN"/>
              </w:rPr>
            </w:pPr>
          </w:p>
        </w:tc>
      </w:tr>
      <w:tr>
        <w:tblPrEx>
          <w:tblCellMar>
            <w:top w:w="0" w:type="dxa"/>
            <w:left w:w="108" w:type="dxa"/>
            <w:bottom w:w="0" w:type="dxa"/>
            <w:right w:w="108" w:type="dxa"/>
          </w:tblCellMar>
        </w:tblPrEx>
        <w:trPr>
          <w:trHeight w:val="829"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5</w:t>
            </w:r>
          </w:p>
        </w:tc>
        <w:tc>
          <w:tcPr>
            <w:tcW w:w="7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技术评审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设施设备</w:t>
            </w:r>
          </w:p>
        </w:tc>
        <w:tc>
          <w:tcPr>
            <w:tcW w:w="608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根据供应商提供的所需要的设备及工具品种、数量进行打分，优的8分，良的5分，一般得2分，未提供的此项得0分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8</w:t>
            </w:r>
          </w:p>
        </w:tc>
        <w:tc>
          <w:tcPr>
            <w:tcW w:w="491"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hint="eastAsia" w:ascii="微软雅黑" w:hAnsi="微软雅黑" w:eastAsia="微软雅黑" w:cs="微软雅黑"/>
                <w:color w:val="auto"/>
                <w:kern w:val="2"/>
                <w:sz w:val="21"/>
                <w:szCs w:val="21"/>
              </w:rPr>
            </w:pPr>
          </w:p>
        </w:tc>
      </w:tr>
      <w:tr>
        <w:tblPrEx>
          <w:tblCellMar>
            <w:top w:w="0" w:type="dxa"/>
            <w:left w:w="108" w:type="dxa"/>
            <w:bottom w:w="0" w:type="dxa"/>
            <w:right w:w="108" w:type="dxa"/>
          </w:tblCellMar>
        </w:tblPrEx>
        <w:trPr>
          <w:trHeight w:val="1589"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6</w:t>
            </w: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kern w:val="2"/>
                <w:sz w:val="21"/>
                <w:szCs w:val="21"/>
              </w:rPr>
              <w:t>技术人员</w:t>
            </w:r>
          </w:p>
        </w:tc>
        <w:tc>
          <w:tcPr>
            <w:tcW w:w="608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b w:val="0"/>
                <w:bCs w:val="0"/>
                <w:color w:val="auto"/>
                <w:kern w:val="2"/>
                <w:sz w:val="21"/>
                <w:szCs w:val="21"/>
                <w:lang w:val="en-US" w:eastAsia="zh-CN"/>
              </w:rPr>
            </w:pPr>
            <w:r>
              <w:rPr>
                <w:rFonts w:hint="eastAsia" w:ascii="微软雅黑" w:hAnsi="微软雅黑" w:eastAsia="微软雅黑" w:cs="微软雅黑"/>
                <w:b w:val="0"/>
                <w:bCs w:val="0"/>
                <w:color w:val="auto"/>
                <w:kern w:val="2"/>
                <w:sz w:val="21"/>
                <w:szCs w:val="21"/>
                <w:lang w:val="en-US" w:eastAsia="zh-CN"/>
              </w:rPr>
              <w:t>根据供应商提供的现场技术力量配备情况进行打分，优得8分，良得5分，一般得2分，不提供的得0分</w:t>
            </w:r>
          </w:p>
          <w:p>
            <w:pPr>
              <w:snapToGrid w:val="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kern w:val="2"/>
                <w:sz w:val="21"/>
                <w:szCs w:val="21"/>
                <w:lang w:val="en-US" w:eastAsia="zh-CN"/>
              </w:rPr>
              <w:t>注：根据现场技术力量配备情况要求提供相关人员资料，未提供或提供不全的不得分。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8</w:t>
            </w:r>
          </w:p>
        </w:tc>
        <w:tc>
          <w:tcPr>
            <w:tcW w:w="491" w:type="dxa"/>
            <w:tcBorders>
              <w:top w:val="single" w:color="auto" w:sz="4" w:space="0"/>
              <w:left w:val="single" w:color="auto" w:sz="4" w:space="0"/>
              <w:bottom w:val="single" w:color="auto" w:sz="4" w:space="0"/>
              <w:right w:val="single" w:color="auto" w:sz="4" w:space="0"/>
            </w:tcBorders>
            <w:noWrap w:val="0"/>
            <w:vAlign w:val="top"/>
          </w:tcPr>
          <w:p>
            <w:pPr>
              <w:snapToGrid w:val="0"/>
              <w:jc w:val="left"/>
              <w:rPr>
                <w:rFonts w:hint="eastAsia" w:ascii="微软雅黑" w:hAnsi="微软雅黑" w:eastAsia="微软雅黑" w:cs="微软雅黑"/>
                <w:color w:val="auto"/>
                <w:kern w:val="2"/>
                <w:sz w:val="21"/>
                <w:szCs w:val="21"/>
                <w:lang w:val="en-US" w:eastAsia="zh-CN"/>
              </w:rPr>
            </w:pPr>
          </w:p>
        </w:tc>
      </w:tr>
      <w:tr>
        <w:tblPrEx>
          <w:tblCellMar>
            <w:top w:w="0" w:type="dxa"/>
            <w:left w:w="108" w:type="dxa"/>
            <w:bottom w:w="0" w:type="dxa"/>
            <w:right w:w="108" w:type="dxa"/>
          </w:tblCellMar>
        </w:tblPrEx>
        <w:trPr>
          <w:trHeight w:val="659" w:hRule="atLeast"/>
          <w:jc w:val="center"/>
        </w:trPr>
        <w:tc>
          <w:tcPr>
            <w:tcW w:w="730" w:type="dxa"/>
            <w:vMerge w:val="restart"/>
            <w:tcBorders>
              <w:top w:val="single" w:color="auto" w:sz="4" w:space="0"/>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7</w:t>
            </w: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restart"/>
            <w:tcBorders>
              <w:top w:val="single" w:color="auto" w:sz="4" w:space="0"/>
              <w:left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lang w:val="en-US"/>
              </w:rPr>
            </w:pPr>
            <w:r>
              <w:rPr>
                <w:rFonts w:hint="eastAsia" w:ascii="微软雅黑" w:hAnsi="微软雅黑" w:eastAsia="微软雅黑" w:cs="微软雅黑"/>
                <w:color w:val="auto"/>
                <w:kern w:val="2"/>
                <w:sz w:val="21"/>
                <w:szCs w:val="21"/>
                <w:lang w:val="en-US" w:eastAsia="zh-CN"/>
              </w:rPr>
              <w:t>技术方案</w:t>
            </w:r>
          </w:p>
        </w:tc>
        <w:tc>
          <w:tcPr>
            <w:tcW w:w="6082" w:type="dxa"/>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kern w:val="2"/>
                <w:sz w:val="21"/>
                <w:szCs w:val="21"/>
                <w:lang w:val="en-US" w:eastAsia="zh-CN"/>
              </w:rPr>
              <w:t>对各供应商提供得项目技术方案：方案内容包括全面性、可行性、针对性、先进性、强制性、承诺进行横向比较；（本项合计36分）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lang w:val="en-US" w:eastAsia="zh-CN"/>
              </w:rPr>
            </w:pP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rPr>
            </w:pPr>
          </w:p>
        </w:tc>
      </w:tr>
      <w:tr>
        <w:tblPrEx>
          <w:tblCellMar>
            <w:top w:w="0" w:type="dxa"/>
            <w:left w:w="108" w:type="dxa"/>
            <w:bottom w:w="0" w:type="dxa"/>
            <w:right w:w="108" w:type="dxa"/>
          </w:tblCellMar>
        </w:tblPrEx>
        <w:trPr>
          <w:trHeight w:val="1436" w:hRule="atLeast"/>
          <w:jc w:val="center"/>
        </w:trPr>
        <w:tc>
          <w:tcPr>
            <w:tcW w:w="730"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全面性</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b w:val="0"/>
                <w:bCs w:val="0"/>
                <w:color w:val="auto"/>
                <w:spacing w:val="1"/>
                <w:sz w:val="21"/>
                <w:szCs w:val="21"/>
              </w:rPr>
              <w:t>施工方法</w:t>
            </w:r>
            <w:r>
              <w:rPr>
                <w:rFonts w:hint="eastAsia" w:ascii="微软雅黑" w:hAnsi="微软雅黑" w:eastAsia="微软雅黑" w:cs="微软雅黑"/>
                <w:b w:val="0"/>
                <w:bCs w:val="0"/>
                <w:color w:val="auto"/>
                <w:spacing w:val="1"/>
                <w:sz w:val="21"/>
                <w:szCs w:val="21"/>
                <w:lang w:val="en-US" w:eastAsia="zh-CN"/>
              </w:rPr>
              <w:t>先进、施工设备、劳动力计划合理、</w:t>
            </w:r>
            <w:r>
              <w:rPr>
                <w:rFonts w:hint="eastAsia" w:ascii="微软雅黑" w:hAnsi="微软雅黑" w:eastAsia="微软雅黑" w:cs="微软雅黑"/>
                <w:b w:val="0"/>
                <w:bCs w:val="0"/>
                <w:color w:val="auto"/>
                <w:spacing w:val="10"/>
                <w:sz w:val="21"/>
                <w:szCs w:val="21"/>
              </w:rPr>
              <w:t>确保</w:t>
            </w:r>
            <w:r>
              <w:rPr>
                <w:rFonts w:hint="eastAsia" w:ascii="微软雅黑" w:hAnsi="微软雅黑" w:eastAsia="微软雅黑" w:cs="微软雅黑"/>
                <w:b w:val="0"/>
                <w:bCs w:val="0"/>
                <w:color w:val="auto"/>
                <w:spacing w:val="7"/>
                <w:sz w:val="21"/>
                <w:szCs w:val="21"/>
              </w:rPr>
              <w:t>工</w:t>
            </w:r>
            <w:r>
              <w:rPr>
                <w:rFonts w:hint="eastAsia" w:ascii="微软雅黑" w:hAnsi="微软雅黑" w:eastAsia="微软雅黑" w:cs="微软雅黑"/>
                <w:b w:val="0"/>
                <w:bCs w:val="0"/>
                <w:color w:val="auto"/>
                <w:spacing w:val="5"/>
                <w:sz w:val="21"/>
                <w:szCs w:val="21"/>
              </w:rPr>
              <w:t>程</w:t>
            </w:r>
            <w:r>
              <w:rPr>
                <w:rFonts w:hint="eastAsia" w:ascii="微软雅黑" w:hAnsi="微软雅黑" w:eastAsia="微软雅黑" w:cs="微软雅黑"/>
                <w:b w:val="0"/>
                <w:bCs w:val="0"/>
                <w:color w:val="auto"/>
                <w:spacing w:val="5"/>
                <w:sz w:val="21"/>
                <w:szCs w:val="21"/>
                <w:lang w:eastAsia="zh-CN"/>
              </w:rPr>
              <w:t>（</w:t>
            </w:r>
            <w:r>
              <w:rPr>
                <w:rFonts w:hint="eastAsia" w:ascii="微软雅黑" w:hAnsi="微软雅黑" w:eastAsia="微软雅黑" w:cs="微软雅黑"/>
                <w:b w:val="0"/>
                <w:bCs w:val="0"/>
                <w:color w:val="auto"/>
                <w:spacing w:val="5"/>
                <w:sz w:val="21"/>
                <w:szCs w:val="21"/>
              </w:rPr>
              <w:t>质量、工期、安全措施</w:t>
            </w:r>
            <w:r>
              <w:rPr>
                <w:rFonts w:hint="eastAsia" w:ascii="微软雅黑" w:hAnsi="微软雅黑" w:eastAsia="微软雅黑" w:cs="微软雅黑"/>
                <w:b w:val="0"/>
                <w:bCs w:val="0"/>
                <w:color w:val="auto"/>
                <w:spacing w:val="5"/>
                <w:sz w:val="21"/>
                <w:szCs w:val="21"/>
                <w:lang w:eastAsia="zh-CN"/>
              </w:rPr>
              <w:t>）</w:t>
            </w:r>
            <w:r>
              <w:rPr>
                <w:rFonts w:hint="eastAsia" w:ascii="微软雅黑" w:hAnsi="微软雅黑" w:eastAsia="微软雅黑" w:cs="微软雅黑"/>
                <w:b w:val="0"/>
                <w:bCs w:val="0"/>
                <w:color w:val="auto"/>
                <w:spacing w:val="5"/>
                <w:sz w:val="21"/>
                <w:szCs w:val="21"/>
              </w:rPr>
              <w:t>得力</w:t>
            </w:r>
            <w:r>
              <w:rPr>
                <w:rFonts w:hint="eastAsia" w:ascii="微软雅黑" w:hAnsi="微软雅黑" w:eastAsia="微软雅黑" w:cs="微软雅黑"/>
                <w:b w:val="0"/>
                <w:bCs w:val="0"/>
                <w:color w:val="auto"/>
                <w:spacing w:val="5"/>
                <w:sz w:val="21"/>
                <w:szCs w:val="21"/>
                <w:lang w:eastAsia="zh-CN"/>
              </w:rPr>
              <w:t>、</w:t>
            </w:r>
            <w:r>
              <w:rPr>
                <w:rFonts w:hint="eastAsia" w:ascii="微软雅黑" w:hAnsi="微软雅黑" w:eastAsia="微软雅黑" w:cs="微软雅黑"/>
                <w:b w:val="0"/>
                <w:bCs w:val="0"/>
                <w:color w:val="auto"/>
                <w:spacing w:val="8"/>
                <w:sz w:val="21"/>
                <w:szCs w:val="21"/>
              </w:rPr>
              <w:t>文</w:t>
            </w:r>
            <w:r>
              <w:rPr>
                <w:rFonts w:hint="eastAsia" w:ascii="微软雅黑" w:hAnsi="微软雅黑" w:eastAsia="微软雅黑" w:cs="微软雅黑"/>
                <w:b w:val="0"/>
                <w:bCs w:val="0"/>
                <w:color w:val="auto"/>
                <w:spacing w:val="5"/>
                <w:sz w:val="21"/>
                <w:szCs w:val="21"/>
              </w:rPr>
              <w:t>明</w:t>
            </w:r>
            <w:r>
              <w:rPr>
                <w:rFonts w:hint="eastAsia" w:ascii="微软雅黑" w:hAnsi="微软雅黑" w:eastAsia="微软雅黑" w:cs="微软雅黑"/>
                <w:b w:val="0"/>
                <w:bCs w:val="0"/>
                <w:color w:val="auto"/>
                <w:spacing w:val="4"/>
                <w:sz w:val="21"/>
                <w:szCs w:val="21"/>
              </w:rPr>
              <w:t>施工措施可信度高</w:t>
            </w:r>
            <w:r>
              <w:rPr>
                <w:rFonts w:hint="eastAsia" w:ascii="微软雅黑" w:hAnsi="微软雅黑" w:eastAsia="微软雅黑" w:cs="微软雅黑"/>
                <w:b w:val="0"/>
                <w:bCs w:val="0"/>
                <w:color w:val="auto"/>
                <w:spacing w:val="4"/>
                <w:sz w:val="21"/>
                <w:szCs w:val="21"/>
                <w:lang w:eastAsia="zh-CN"/>
              </w:rPr>
              <w:t>、施工总进度计划合理，</w:t>
            </w:r>
            <w:r>
              <w:rPr>
                <w:rFonts w:hint="eastAsia" w:ascii="微软雅黑" w:hAnsi="微软雅黑" w:eastAsia="微软雅黑" w:cs="微软雅黑"/>
                <w:color w:val="auto"/>
                <w:kern w:val="2"/>
                <w:sz w:val="21"/>
                <w:szCs w:val="21"/>
                <w:highlight w:val="none"/>
                <w:lang w:val="en-US" w:eastAsia="zh-CN"/>
              </w:rPr>
              <w:t>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1360" w:hRule="atLeast"/>
          <w:jc w:val="center"/>
        </w:trPr>
        <w:tc>
          <w:tcPr>
            <w:tcW w:w="730"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lang w:val="en-US" w:eastAsia="zh-CN"/>
              </w:rPr>
              <w:t>可行性</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平面布置合理（附图）、涉及主要内容齐全措施计划详尽、流水段的划分合理流水作业的合理、各项交叉作业切合实际情况、施工现场机具配置和布置合理可行，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1450" w:hRule="atLeast"/>
          <w:jc w:val="center"/>
        </w:trPr>
        <w:tc>
          <w:tcPr>
            <w:tcW w:w="730"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针对性</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涉及重点和关键内容突出、工程项目的质保体系健全、安保体系健全有效、创优措施切实可行、工程的安全措施得力，优得6分，良得4分，一般得2分，未提供或提供不全的不得分。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1461" w:hRule="atLeast"/>
          <w:jc w:val="center"/>
        </w:trPr>
        <w:tc>
          <w:tcPr>
            <w:tcW w:w="730"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lang w:val="en-US" w:eastAsia="zh-CN"/>
              </w:rPr>
              <w:t>先进性</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采用的新工艺、新技术、新设备，在确保工程质量前提下，有降低成本、缩短工期、减轻劳动强度、提高施工进度、在执行国家强制性条文前提下体现施工的先进性措施，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1093" w:hRule="atLeast"/>
          <w:jc w:val="center"/>
        </w:trPr>
        <w:tc>
          <w:tcPr>
            <w:tcW w:w="730" w:type="dxa"/>
            <w:vMerge w:val="continue"/>
            <w:tcBorders>
              <w:left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强制性</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防治质量通病的措施、行国家强制性条文的保证措施，优得6分，良得4分，一般得2分，未提供或提供不全的不得分。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1093" w:hRule="atLeast"/>
          <w:jc w:val="center"/>
        </w:trPr>
        <w:tc>
          <w:tcPr>
            <w:tcW w:w="730" w:type="dxa"/>
            <w:vMerge w:val="continue"/>
            <w:tcBorders>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sz w:val="21"/>
                <w:szCs w:val="21"/>
                <w:lang w:val="en-US" w:eastAsia="zh-CN"/>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微软雅黑" w:hAnsi="微软雅黑" w:eastAsia="微软雅黑" w:cs="微软雅黑"/>
                <w:color w:val="auto"/>
                <w:sz w:val="21"/>
                <w:szCs w:val="21"/>
              </w:rPr>
            </w:pPr>
          </w:p>
        </w:tc>
        <w:tc>
          <w:tcPr>
            <w:tcW w:w="1174" w:type="dxa"/>
            <w:vMerge w:val="continue"/>
            <w:tcBorders>
              <w:left w:val="single" w:color="auto" w:sz="4" w:space="0"/>
              <w:bottom w:val="single" w:color="auto" w:sz="4" w:space="0"/>
              <w:right w:val="single" w:color="auto" w:sz="4" w:space="0"/>
            </w:tcBorders>
            <w:noWrap w:val="0"/>
            <w:vAlign w:val="center"/>
          </w:tcPr>
          <w:p>
            <w:pPr>
              <w:numPr>
                <w:ilvl w:val="0"/>
                <w:numId w:val="0"/>
              </w:numPr>
              <w:jc w:val="center"/>
              <w:rPr>
                <w:rFonts w:hint="eastAsia" w:ascii="微软雅黑" w:hAnsi="微软雅黑" w:eastAsia="微软雅黑" w:cs="微软雅黑"/>
                <w:color w:val="auto"/>
                <w:kern w:val="2"/>
                <w:sz w:val="21"/>
                <w:szCs w:val="21"/>
                <w:highlight w:val="none"/>
                <w:lang w:val="en-US" w:eastAsia="zh-CN"/>
              </w:rPr>
            </w:pPr>
          </w:p>
        </w:tc>
        <w:tc>
          <w:tcPr>
            <w:tcW w:w="48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承诺</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提供保修承诺和违约经济处罚承诺、工程质量争优承诺及保证质量措施，优得6分，良得4分，一般得2分，未提供或提供不全的不得分。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微软雅黑" w:hAnsi="微软雅黑" w:eastAsia="微软雅黑" w:cs="微软雅黑"/>
                <w:color w:val="auto"/>
                <w:kern w:val="2"/>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6</w:t>
            </w: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sz w:val="21"/>
                <w:szCs w:val="21"/>
                <w:highlight w:val="none"/>
              </w:rPr>
            </w:pPr>
          </w:p>
        </w:tc>
      </w:tr>
      <w:tr>
        <w:tblPrEx>
          <w:tblCellMar>
            <w:top w:w="0" w:type="dxa"/>
            <w:left w:w="108" w:type="dxa"/>
            <w:bottom w:w="0" w:type="dxa"/>
            <w:right w:w="108" w:type="dxa"/>
          </w:tblCellMar>
        </w:tblPrEx>
        <w:trPr>
          <w:trHeight w:val="472" w:hRule="atLeast"/>
          <w:jc w:val="center"/>
        </w:trPr>
        <w:tc>
          <w:tcPr>
            <w:tcW w:w="8700"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rPr>
            </w:pPr>
            <w:r>
              <w:rPr>
                <w:rFonts w:hint="eastAsia" w:ascii="微软雅黑" w:hAnsi="微软雅黑" w:eastAsia="微软雅黑" w:cs="微软雅黑"/>
                <w:color w:val="auto"/>
                <w:sz w:val="21"/>
                <w:szCs w:val="21"/>
              </w:rPr>
              <w:t>合    计</w:t>
            </w:r>
          </w:p>
        </w:tc>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微软雅黑" w:hAnsi="微软雅黑" w:eastAsia="微软雅黑" w:cs="微软雅黑"/>
                <w:color w:val="auto"/>
                <w:kern w:val="2"/>
                <w:sz w:val="21"/>
                <w:szCs w:val="21"/>
              </w:rPr>
            </w:pPr>
          </w:p>
        </w:tc>
        <w:tc>
          <w:tcPr>
            <w:tcW w:w="491" w:type="dxa"/>
            <w:tcBorders>
              <w:top w:val="single" w:color="auto" w:sz="4" w:space="0"/>
              <w:left w:val="single" w:color="auto" w:sz="4" w:space="0"/>
              <w:bottom w:val="single" w:color="auto" w:sz="4" w:space="0"/>
              <w:right w:val="single" w:color="auto" w:sz="4" w:space="0"/>
            </w:tcBorders>
            <w:noWrap w:val="0"/>
            <w:vAlign w:val="top"/>
          </w:tcPr>
          <w:p>
            <w:pPr>
              <w:widowControl/>
              <w:snapToGrid w:val="0"/>
              <w:jc w:val="center"/>
              <w:rPr>
                <w:rFonts w:hint="eastAsia" w:ascii="微软雅黑" w:hAnsi="微软雅黑" w:eastAsia="微软雅黑" w:cs="微软雅黑"/>
                <w:color w:val="auto"/>
                <w:kern w:val="2"/>
                <w:sz w:val="21"/>
                <w:szCs w:val="21"/>
              </w:rPr>
            </w:pPr>
          </w:p>
        </w:tc>
      </w:tr>
      <w:tr>
        <w:tblPrEx>
          <w:tblCellMar>
            <w:top w:w="0" w:type="dxa"/>
            <w:left w:w="108" w:type="dxa"/>
            <w:bottom w:w="0" w:type="dxa"/>
            <w:right w:w="108" w:type="dxa"/>
          </w:tblCellMar>
        </w:tblPrEx>
        <w:trPr>
          <w:trHeight w:val="1113" w:hRule="atLeast"/>
          <w:jc w:val="center"/>
        </w:trPr>
        <w:tc>
          <w:tcPr>
            <w:tcW w:w="9914" w:type="dxa"/>
            <w:gridSpan w:val="7"/>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价格评审：30分</w:t>
            </w:r>
          </w:p>
          <w:p>
            <w:pPr>
              <w:numPr>
                <w:ilvl w:val="0"/>
                <w:numId w:val="0"/>
              </w:numPr>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商务评审：18分</w:t>
            </w:r>
          </w:p>
          <w:p>
            <w:pPr>
              <w:numPr>
                <w:ilvl w:val="0"/>
                <w:numId w:val="0"/>
              </w:numPr>
              <w:rPr>
                <w:rFonts w:hint="eastAsia" w:ascii="微软雅黑" w:hAnsi="微软雅黑" w:eastAsia="微软雅黑" w:cs="微软雅黑"/>
                <w:i/>
                <w:color w:val="auto"/>
                <w:sz w:val="21"/>
                <w:szCs w:val="21"/>
                <w:lang w:val="en-US" w:eastAsia="zh-CN"/>
              </w:rPr>
            </w:pPr>
            <w:r>
              <w:rPr>
                <w:rFonts w:hint="eastAsia" w:ascii="微软雅黑" w:hAnsi="微软雅黑" w:eastAsia="微软雅黑" w:cs="微软雅黑"/>
                <w:color w:val="auto"/>
                <w:kern w:val="2"/>
                <w:sz w:val="21"/>
                <w:szCs w:val="21"/>
                <w:lang w:val="en-US" w:eastAsia="zh-CN"/>
              </w:rPr>
              <w:t>技术评审：52分</w:t>
            </w:r>
          </w:p>
        </w:tc>
      </w:tr>
    </w:tbl>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pStyle w:val="27"/>
        <w:rPr>
          <w:rFonts w:ascii="微软雅黑" w:hAnsi="微软雅黑" w:eastAsia="微软雅黑" w:cs="微软雅黑"/>
        </w:rPr>
      </w:pPr>
    </w:p>
    <w:p>
      <w:pPr>
        <w:rPr>
          <w:rFonts w:ascii="微软雅黑" w:hAnsi="微软雅黑" w:eastAsia="微软雅黑" w:cs="微软雅黑"/>
        </w:rPr>
      </w:pPr>
    </w:p>
    <w:p>
      <w:pPr>
        <w:snapToGrid w:val="0"/>
        <w:spacing w:line="240" w:lineRule="atLeast"/>
        <w:jc w:val="center"/>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竞争性磋商文件</w:t>
      </w:r>
    </w:p>
    <w:p>
      <w:pPr>
        <w:snapToGrid w:val="0"/>
        <w:spacing w:line="240" w:lineRule="atLeast"/>
        <w:ind w:left="1080" w:leftChars="257" w:hanging="540"/>
        <w:jc w:val="center"/>
        <w:textAlignment w:val="baseline"/>
        <w:rPr>
          <w:rFonts w:ascii="微软雅黑" w:hAnsi="微软雅黑" w:eastAsia="微软雅黑" w:cs="微软雅黑"/>
          <w:b/>
          <w:sz w:val="48"/>
          <w:szCs w:val="48"/>
        </w:rPr>
      </w:pPr>
    </w:p>
    <w:p>
      <w:pPr>
        <w:snapToGrid w:val="0"/>
        <w:spacing w:line="240" w:lineRule="atLeast"/>
        <w:jc w:val="center"/>
        <w:textAlignment w:val="baseline"/>
        <w:rPr>
          <w:rFonts w:ascii="微软雅黑" w:hAnsi="微软雅黑" w:eastAsia="微软雅黑" w:cs="微软雅黑"/>
          <w:b/>
          <w:sz w:val="32"/>
          <w:szCs w:val="32"/>
        </w:rPr>
      </w:pPr>
      <w:r>
        <w:rPr>
          <w:rFonts w:hint="eastAsia" w:ascii="微软雅黑" w:hAnsi="微软雅黑" w:eastAsia="微软雅黑" w:cs="微软雅黑"/>
          <w:b/>
          <w:sz w:val="32"/>
          <w:szCs w:val="32"/>
        </w:rPr>
        <w:t>编号：</w:t>
      </w:r>
      <w:r>
        <w:rPr>
          <w:rFonts w:hint="eastAsia" w:ascii="微软雅黑" w:hAnsi="微软雅黑" w:eastAsia="微软雅黑" w:cs="微软雅黑"/>
          <w:b/>
          <w:sz w:val="32"/>
          <w:szCs w:val="32"/>
          <w:lang w:eastAsia="zh-CN"/>
        </w:rPr>
        <w:t>YYXD（</w:t>
      </w:r>
      <w:r>
        <w:rPr>
          <w:rFonts w:hint="eastAsia" w:ascii="微软雅黑" w:hAnsi="微软雅黑" w:eastAsia="微软雅黑" w:cs="微软雅黑"/>
          <w:b/>
          <w:sz w:val="32"/>
          <w:szCs w:val="32"/>
          <w:lang w:val="en-US" w:eastAsia="zh-CN"/>
        </w:rPr>
        <w:t>CS</w:t>
      </w:r>
      <w:r>
        <w:rPr>
          <w:rFonts w:hint="eastAsia" w:ascii="微软雅黑" w:hAnsi="微软雅黑" w:eastAsia="微软雅黑" w:cs="微软雅黑"/>
          <w:b/>
          <w:sz w:val="32"/>
          <w:szCs w:val="32"/>
          <w:lang w:eastAsia="zh-CN"/>
        </w:rPr>
        <w:t>）202</w:t>
      </w:r>
      <w:r>
        <w:rPr>
          <w:rFonts w:hint="eastAsia" w:ascii="微软雅黑" w:hAnsi="微软雅黑" w:eastAsia="微软雅黑" w:cs="微软雅黑"/>
          <w:b/>
          <w:sz w:val="32"/>
          <w:szCs w:val="32"/>
          <w:lang w:val="en-US" w:eastAsia="zh-CN"/>
        </w:rPr>
        <w:t>3</w:t>
      </w:r>
      <w:r>
        <w:rPr>
          <w:rFonts w:hint="eastAsia" w:ascii="微软雅黑" w:hAnsi="微软雅黑" w:eastAsia="微软雅黑" w:cs="微软雅黑"/>
          <w:b/>
          <w:sz w:val="32"/>
          <w:szCs w:val="32"/>
          <w:lang w:eastAsia="zh-CN"/>
        </w:rPr>
        <w:t>-</w:t>
      </w:r>
      <w:r>
        <w:rPr>
          <w:rFonts w:hint="eastAsia" w:ascii="微软雅黑" w:hAnsi="微软雅黑" w:eastAsia="微软雅黑" w:cs="微软雅黑"/>
          <w:b/>
          <w:sz w:val="32"/>
          <w:szCs w:val="32"/>
          <w:lang w:val="en-US" w:eastAsia="zh-CN"/>
        </w:rPr>
        <w:t>05</w:t>
      </w:r>
      <w:r>
        <w:rPr>
          <w:rFonts w:hint="eastAsia" w:ascii="微软雅黑" w:hAnsi="微软雅黑" w:eastAsia="微软雅黑" w:cs="微软雅黑"/>
          <w:b/>
          <w:sz w:val="32"/>
          <w:szCs w:val="32"/>
          <w:lang w:eastAsia="zh-CN"/>
        </w:rPr>
        <w:t>号</w:t>
      </w:r>
    </w:p>
    <w:p>
      <w:pPr>
        <w:snapToGrid w:val="0"/>
        <w:spacing w:line="240" w:lineRule="atLeast"/>
        <w:ind w:left="1080" w:leftChars="257" w:hanging="540"/>
        <w:jc w:val="center"/>
        <w:textAlignment w:val="baseline"/>
        <w:rPr>
          <w:rFonts w:ascii="微软雅黑" w:hAnsi="微软雅黑" w:eastAsia="微软雅黑" w:cs="微软雅黑"/>
          <w:b/>
          <w:sz w:val="48"/>
          <w:szCs w:val="48"/>
        </w:rPr>
      </w:pPr>
    </w:p>
    <w:p>
      <w:pPr>
        <w:snapToGrid w:val="0"/>
        <w:spacing w:line="240" w:lineRule="atLeast"/>
        <w:textAlignment w:val="baseline"/>
        <w:rPr>
          <w:rFonts w:ascii="微软雅黑" w:hAnsi="微软雅黑" w:eastAsia="微软雅黑" w:cs="微软雅黑"/>
          <w:b/>
          <w:sz w:val="28"/>
        </w:rPr>
      </w:pPr>
    </w:p>
    <w:p>
      <w:pPr>
        <w:snapToGrid w:val="0"/>
        <w:spacing w:line="240" w:lineRule="atLeast"/>
        <w:ind w:left="1976" w:leftChars="941" w:firstLine="1642" w:firstLineChars="342"/>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第三册</w:t>
      </w:r>
    </w:p>
    <w:p>
      <w:pPr>
        <w:pStyle w:val="13"/>
        <w:ind w:firstLine="960"/>
        <w:rPr>
          <w:rFonts w:ascii="微软雅黑" w:hAnsi="微软雅黑" w:eastAsia="微软雅黑" w:cs="微软雅黑"/>
          <w:b/>
          <w:sz w:val="48"/>
          <w:szCs w:val="48"/>
        </w:rPr>
      </w:pPr>
    </w:p>
    <w:p>
      <w:pPr>
        <w:pStyle w:val="13"/>
        <w:ind w:firstLine="960"/>
        <w:rPr>
          <w:rFonts w:ascii="微软雅黑" w:hAnsi="微软雅黑" w:eastAsia="微软雅黑" w:cs="微软雅黑"/>
          <w:b/>
          <w:sz w:val="48"/>
          <w:szCs w:val="48"/>
        </w:rPr>
      </w:pPr>
    </w:p>
    <w:p>
      <w:pPr>
        <w:pStyle w:val="13"/>
        <w:ind w:firstLine="960"/>
        <w:rPr>
          <w:rFonts w:ascii="微软雅黑" w:hAnsi="微软雅黑" w:eastAsia="微软雅黑" w:cs="微软雅黑"/>
          <w:b/>
          <w:sz w:val="48"/>
          <w:szCs w:val="48"/>
        </w:rPr>
      </w:pPr>
    </w:p>
    <w:p>
      <w:pPr>
        <w:rPr>
          <w:rFonts w:ascii="微软雅黑" w:hAnsi="微软雅黑" w:eastAsia="微软雅黑" w:cs="微软雅黑"/>
          <w:b/>
          <w:sz w:val="48"/>
          <w:szCs w:val="48"/>
        </w:rPr>
      </w:pPr>
    </w:p>
    <w:bookmarkEnd w:id="786"/>
    <w:p>
      <w:pPr>
        <w:pStyle w:val="7"/>
        <w:ind w:left="0" w:leftChars="0" w:firstLine="0" w:firstLineChars="0"/>
        <w:rPr>
          <w:rFonts w:ascii="微软雅黑" w:hAnsi="微软雅黑" w:eastAsia="微软雅黑" w:cs="微软雅黑"/>
        </w:rPr>
      </w:pPr>
      <w:bookmarkStart w:id="799" w:name="_Toc514"/>
      <w:bookmarkStart w:id="800" w:name="_Toc5754"/>
    </w:p>
    <w:p>
      <w:pPr>
        <w:pStyle w:val="3"/>
        <w:tabs>
          <w:tab w:val="left" w:pos="0"/>
        </w:tabs>
        <w:spacing w:before="0" w:after="0" w:line="400" w:lineRule="exact"/>
        <w:rPr>
          <w:rFonts w:ascii="微软雅黑" w:hAnsi="微软雅黑" w:eastAsia="微软雅黑" w:cs="微软雅黑"/>
        </w:rPr>
      </w:pPr>
      <w:bookmarkStart w:id="801" w:name="_Toc10709"/>
      <w:bookmarkStart w:id="802" w:name="_Toc29210"/>
      <w:r>
        <w:rPr>
          <w:rFonts w:hint="eastAsia" w:ascii="微软雅黑" w:hAnsi="微软雅黑" w:eastAsia="微软雅黑" w:cs="微软雅黑"/>
        </w:rPr>
        <w:t>第7章  政府采购合同</w:t>
      </w:r>
      <w:bookmarkEnd w:id="799"/>
      <w:bookmarkEnd w:id="800"/>
      <w:bookmarkEnd w:id="801"/>
      <w:bookmarkEnd w:id="802"/>
    </w:p>
    <w:p>
      <w:pPr>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参考：《建设工程施工合同 (示范文本) 》  (GF-2017-0201)</w:t>
      </w:r>
    </w:p>
    <w:p>
      <w:pPr>
        <w:rPr>
          <w:rFonts w:hint="eastAsia" w:ascii="微软雅黑" w:hAnsi="微软雅黑" w:eastAsia="微软雅黑" w:cs="微软雅黑"/>
          <w:color w:val="auto"/>
          <w:sz w:val="24"/>
        </w:rPr>
      </w:pPr>
    </w:p>
    <w:p>
      <w:pPr>
        <w:pStyle w:val="36"/>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6"/>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6"/>
        <w:rPr>
          <w:rFonts w:hint="eastAsia"/>
          <w:color w:val="auto"/>
        </w:rPr>
      </w:pPr>
    </w:p>
    <w:p>
      <w:pPr>
        <w:rPr>
          <w:rFonts w:hint="eastAsia" w:ascii="微软雅黑" w:hAnsi="微软雅黑" w:eastAsia="微软雅黑" w:cs="微软雅黑"/>
          <w:color w:val="auto"/>
          <w:sz w:val="24"/>
        </w:rPr>
      </w:pPr>
    </w:p>
    <w:p>
      <w:pPr>
        <w:pStyle w:val="36"/>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6"/>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6"/>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6"/>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6"/>
        <w:rPr>
          <w:rFonts w:hint="eastAsia" w:ascii="微软雅黑" w:hAnsi="微软雅黑" w:eastAsia="微软雅黑" w:cs="微软雅黑"/>
          <w:color w:val="auto"/>
          <w:sz w:val="24"/>
        </w:rPr>
      </w:pPr>
    </w:p>
    <w:p>
      <w:pPr>
        <w:spacing w:before="293" w:line="225" w:lineRule="auto"/>
        <w:ind w:left="45"/>
        <w:rPr>
          <w:rFonts w:ascii="仿宋" w:hAnsi="仿宋" w:eastAsia="仿宋" w:cs="仿宋"/>
          <w:color w:val="auto"/>
          <w:spacing w:val="-6"/>
          <w:sz w:val="22"/>
          <w:szCs w:val="22"/>
        </w:rPr>
      </w:pPr>
    </w:p>
    <w:p>
      <w:pPr>
        <w:spacing w:before="293" w:line="225" w:lineRule="auto"/>
        <w:ind w:left="45"/>
        <w:rPr>
          <w:rFonts w:ascii="仿宋" w:hAnsi="仿宋" w:eastAsia="仿宋" w:cs="仿宋"/>
          <w:color w:val="auto"/>
          <w:spacing w:val="-6"/>
          <w:sz w:val="22"/>
          <w:szCs w:val="22"/>
        </w:rPr>
      </w:pPr>
    </w:p>
    <w:p>
      <w:pPr>
        <w:pStyle w:val="36"/>
        <w:rPr>
          <w:rFonts w:ascii="仿宋" w:hAnsi="仿宋" w:eastAsia="仿宋" w:cs="仿宋"/>
          <w:color w:val="auto"/>
          <w:spacing w:val="-6"/>
          <w:sz w:val="22"/>
          <w:szCs w:val="22"/>
        </w:rPr>
      </w:pPr>
    </w:p>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spacing w:before="293" w:line="225" w:lineRule="auto"/>
        <w:ind w:left="45"/>
        <w:rPr>
          <w:rFonts w:hint="eastAsia" w:ascii="微软雅黑" w:hAnsi="微软雅黑" w:eastAsia="微软雅黑" w:cs="微软雅黑"/>
          <w:color w:val="auto"/>
          <w:spacing w:val="-6"/>
          <w:sz w:val="24"/>
          <w:szCs w:val="24"/>
        </w:rPr>
      </w:pPr>
    </w:p>
    <w:p>
      <w:pPr>
        <w:spacing w:before="293" w:line="225" w:lineRule="auto"/>
        <w:ind w:left="45"/>
        <w:rPr>
          <w:rFonts w:hint="eastAsia" w:ascii="微软雅黑" w:hAnsi="微软雅黑" w:eastAsia="微软雅黑" w:cs="微软雅黑"/>
          <w:color w:val="auto"/>
          <w:spacing w:val="-6"/>
          <w:sz w:val="24"/>
          <w:szCs w:val="24"/>
        </w:rPr>
      </w:pPr>
    </w:p>
    <w:p>
      <w:pPr>
        <w:spacing w:before="293" w:line="225" w:lineRule="auto"/>
        <w:ind w:left="45"/>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6"/>
          <w:sz w:val="24"/>
          <w:szCs w:val="24"/>
        </w:rPr>
        <w:t>(</w:t>
      </w:r>
      <w:r>
        <w:rPr>
          <w:rFonts w:hint="eastAsia" w:ascii="微软雅黑" w:hAnsi="微软雅黑" w:eastAsia="微软雅黑" w:cs="微软雅黑"/>
          <w:color w:val="auto"/>
          <w:spacing w:val="-3"/>
          <w:sz w:val="24"/>
          <w:szCs w:val="24"/>
        </w:rPr>
        <w:t>GF</w:t>
      </w:r>
      <w:r>
        <w:rPr>
          <w:rFonts w:hint="eastAsia" w:ascii="微软雅黑" w:hAnsi="微软雅黑" w:eastAsia="微软雅黑" w:cs="微软雅黑"/>
          <w:color w:val="auto"/>
          <w:spacing w:val="-6"/>
          <w:sz w:val="24"/>
          <w:szCs w:val="24"/>
        </w:rPr>
        <w:t xml:space="preserve">— </w:t>
      </w:r>
      <w:r>
        <w:rPr>
          <w:rFonts w:hint="eastAsia" w:ascii="微软雅黑" w:hAnsi="微软雅黑" w:eastAsia="微软雅黑" w:cs="微软雅黑"/>
          <w:color w:val="auto"/>
          <w:spacing w:val="-5"/>
          <w:sz w:val="24"/>
          <w:szCs w:val="24"/>
        </w:rPr>
        <w:t>2</w:t>
      </w:r>
      <w:r>
        <w:rPr>
          <w:rFonts w:hint="eastAsia" w:ascii="微软雅黑" w:hAnsi="微软雅黑" w:eastAsia="微软雅黑" w:cs="微软雅黑"/>
          <w:color w:val="auto"/>
          <w:spacing w:val="-3"/>
          <w:sz w:val="24"/>
          <w:szCs w:val="24"/>
        </w:rPr>
        <w:t>017— 0201)</w:t>
      </w:r>
    </w:p>
    <w:p>
      <w:pPr>
        <w:spacing w:line="255" w:lineRule="auto"/>
        <w:rPr>
          <w:rFonts w:hint="eastAsia" w:ascii="微软雅黑" w:hAnsi="微软雅黑" w:eastAsia="微软雅黑" w:cs="微软雅黑"/>
          <w:color w:val="auto"/>
          <w:sz w:val="24"/>
          <w:szCs w:val="24"/>
        </w:rPr>
      </w:pPr>
    </w:p>
    <w:p>
      <w:pPr>
        <w:spacing w:line="256" w:lineRule="auto"/>
        <w:rPr>
          <w:rFonts w:hint="eastAsia" w:ascii="微软雅黑" w:hAnsi="微软雅黑" w:eastAsia="微软雅黑" w:cs="微软雅黑"/>
          <w:color w:val="auto"/>
          <w:sz w:val="24"/>
          <w:szCs w:val="24"/>
        </w:rPr>
      </w:pPr>
    </w:p>
    <w:p>
      <w:pPr>
        <w:spacing w:line="256" w:lineRule="auto"/>
        <w:rPr>
          <w:rFonts w:hint="eastAsia" w:ascii="微软雅黑" w:hAnsi="微软雅黑" w:eastAsia="微软雅黑" w:cs="微软雅黑"/>
          <w:color w:val="auto"/>
          <w:sz w:val="24"/>
          <w:szCs w:val="24"/>
        </w:rPr>
      </w:pPr>
    </w:p>
    <w:p>
      <w:pPr>
        <w:spacing w:line="256" w:lineRule="auto"/>
        <w:rPr>
          <w:rFonts w:hint="eastAsia" w:ascii="微软雅黑" w:hAnsi="微软雅黑" w:eastAsia="微软雅黑" w:cs="微软雅黑"/>
          <w:color w:val="auto"/>
          <w:sz w:val="40"/>
          <w:szCs w:val="40"/>
        </w:rPr>
      </w:pPr>
    </w:p>
    <w:p>
      <w:pPr>
        <w:pStyle w:val="36"/>
        <w:rPr>
          <w:rFonts w:hint="eastAsia" w:ascii="微软雅黑" w:hAnsi="微软雅黑" w:eastAsia="微软雅黑" w:cs="微软雅黑"/>
          <w:color w:val="auto"/>
          <w:sz w:val="40"/>
          <w:szCs w:val="40"/>
        </w:rPr>
      </w:pPr>
    </w:p>
    <w:p>
      <w:pPr>
        <w:rPr>
          <w:rFonts w:hint="eastAsia"/>
        </w:rPr>
      </w:pPr>
    </w:p>
    <w:p>
      <w:pPr>
        <w:pStyle w:val="36"/>
        <w:rPr>
          <w:rFonts w:hint="eastAsia"/>
        </w:rPr>
      </w:pPr>
    </w:p>
    <w:p>
      <w:pPr>
        <w:spacing w:before="114" w:line="228" w:lineRule="auto"/>
        <w:ind w:left="3092"/>
        <w:rPr>
          <w:rFonts w:hint="eastAsia" w:ascii="微软雅黑" w:hAnsi="微软雅黑" w:eastAsia="微软雅黑" w:cs="微软雅黑"/>
          <w:color w:val="auto"/>
          <w:sz w:val="40"/>
          <w:szCs w:val="40"/>
        </w:rPr>
      </w:pPr>
      <w:r>
        <w:rPr>
          <w:rFonts w:hint="eastAsia" w:ascii="微软雅黑" w:hAnsi="微软雅黑" w:eastAsia="微软雅黑" w:cs="微软雅黑"/>
          <w:color w:val="auto"/>
          <w:spacing w:val="7"/>
          <w:sz w:val="40"/>
          <w:szCs w:val="40"/>
        </w:rPr>
        <w:t>建设工程施工合同</w:t>
      </w:r>
    </w:p>
    <w:p>
      <w:pPr>
        <w:spacing w:line="335" w:lineRule="auto"/>
        <w:rPr>
          <w:rFonts w:hint="eastAsia" w:ascii="微软雅黑" w:hAnsi="微软雅黑" w:eastAsia="微软雅黑" w:cs="微软雅黑"/>
          <w:color w:val="auto"/>
          <w:sz w:val="40"/>
          <w:szCs w:val="40"/>
        </w:rPr>
      </w:pPr>
    </w:p>
    <w:p>
      <w:pPr>
        <w:outlineLvl w:val="9"/>
        <w:rPr>
          <w:rFonts w:hint="eastAsia" w:ascii="微软雅黑" w:hAnsi="微软雅黑" w:eastAsia="微软雅黑" w:cs="微软雅黑"/>
          <w:color w:val="auto"/>
          <w:sz w:val="40"/>
          <w:szCs w:val="40"/>
        </w:rPr>
      </w:pPr>
    </w:p>
    <w:p>
      <w:pPr>
        <w:rPr>
          <w:rFonts w:hint="eastAsia"/>
        </w:rPr>
      </w:pPr>
    </w:p>
    <w:p>
      <w:pPr>
        <w:spacing w:line="335" w:lineRule="auto"/>
        <w:rPr>
          <w:rFonts w:hint="eastAsia" w:ascii="微软雅黑" w:hAnsi="微软雅黑" w:eastAsia="微软雅黑" w:cs="微软雅黑"/>
          <w:color w:val="auto"/>
          <w:sz w:val="40"/>
          <w:szCs w:val="40"/>
        </w:rPr>
      </w:pPr>
    </w:p>
    <w:p>
      <w:pPr>
        <w:spacing w:before="113" w:line="228" w:lineRule="auto"/>
        <w:ind w:left="3451"/>
        <w:rPr>
          <w:rFonts w:hint="eastAsia" w:ascii="微软雅黑" w:hAnsi="微软雅黑" w:eastAsia="微软雅黑" w:cs="微软雅黑"/>
          <w:color w:val="auto"/>
          <w:sz w:val="40"/>
          <w:szCs w:val="40"/>
        </w:rPr>
      </w:pPr>
      <w:r>
        <w:rPr>
          <w:rFonts w:hint="eastAsia" w:ascii="微软雅黑" w:hAnsi="微软雅黑" w:eastAsia="微软雅黑" w:cs="微软雅黑"/>
          <w:color w:val="auto"/>
          <w:spacing w:val="-41"/>
          <w:sz w:val="40"/>
          <w:szCs w:val="40"/>
        </w:rPr>
        <w:t>(</w:t>
      </w:r>
      <w:r>
        <w:rPr>
          <w:rFonts w:hint="eastAsia" w:ascii="微软雅黑" w:hAnsi="微软雅黑" w:eastAsia="微软雅黑" w:cs="微软雅黑"/>
          <w:color w:val="auto"/>
          <w:spacing w:val="-40"/>
          <w:sz w:val="40"/>
          <w:szCs w:val="40"/>
        </w:rPr>
        <w:t>示 范 文 本 )</w:t>
      </w:r>
    </w:p>
    <w:p>
      <w:pPr>
        <w:spacing w:line="241" w:lineRule="auto"/>
        <w:rPr>
          <w:rFonts w:hint="eastAsia" w:ascii="微软雅黑" w:hAnsi="微软雅黑" w:eastAsia="微软雅黑" w:cs="微软雅黑"/>
          <w:color w:val="auto"/>
          <w:sz w:val="24"/>
          <w:szCs w:val="24"/>
        </w:rPr>
      </w:pPr>
    </w:p>
    <w:p>
      <w:pPr>
        <w:spacing w:line="241" w:lineRule="auto"/>
        <w:rPr>
          <w:rFonts w:hint="eastAsia" w:ascii="微软雅黑" w:hAnsi="微软雅黑" w:eastAsia="微软雅黑" w:cs="微软雅黑"/>
          <w:color w:val="auto"/>
          <w:sz w:val="24"/>
          <w:szCs w:val="24"/>
        </w:rPr>
      </w:pPr>
    </w:p>
    <w:p>
      <w:pPr>
        <w:pStyle w:val="36"/>
        <w:rPr>
          <w:rFonts w:hint="eastAsia" w:ascii="微软雅黑" w:hAnsi="微软雅黑" w:eastAsia="微软雅黑" w:cs="微软雅黑"/>
          <w:color w:val="auto"/>
          <w:sz w:val="24"/>
          <w:szCs w:val="24"/>
        </w:rPr>
      </w:pPr>
    </w:p>
    <w:p>
      <w:pPr>
        <w:rPr>
          <w:rFonts w:hint="eastAsia"/>
          <w:color w:val="auto"/>
        </w:rPr>
      </w:pPr>
    </w:p>
    <w:p>
      <w:pPr>
        <w:rPr>
          <w:rFonts w:hint="eastAsia" w:ascii="微软雅黑" w:hAnsi="微软雅黑" w:eastAsia="微软雅黑" w:cs="微软雅黑"/>
          <w:color w:val="auto"/>
          <w:sz w:val="24"/>
          <w:szCs w:val="24"/>
        </w:rPr>
      </w:pPr>
    </w:p>
    <w:p>
      <w:pPr>
        <w:pStyle w:val="36"/>
        <w:rPr>
          <w:rFonts w:hint="eastAsia" w:ascii="微软雅黑" w:hAnsi="微软雅黑" w:eastAsia="微软雅黑" w:cs="微软雅黑"/>
          <w:color w:val="auto"/>
          <w:sz w:val="24"/>
        </w:rPr>
      </w:pPr>
    </w:p>
    <w:p>
      <w:pPr>
        <w:rPr>
          <w:rFonts w:hint="eastAsia" w:ascii="微软雅黑" w:hAnsi="微软雅黑" w:eastAsia="微软雅黑" w:cs="微软雅黑"/>
          <w:color w:val="auto"/>
          <w:sz w:val="24"/>
        </w:rPr>
      </w:pPr>
    </w:p>
    <w:p>
      <w:pPr>
        <w:pStyle w:val="36"/>
        <w:rPr>
          <w:rFonts w:hint="eastAsia" w:ascii="微软雅黑" w:hAnsi="微软雅黑" w:eastAsia="微软雅黑" w:cs="微软雅黑"/>
          <w:color w:val="auto"/>
          <w:sz w:val="24"/>
        </w:rPr>
      </w:pPr>
    </w:p>
    <w:p>
      <w:pPr>
        <w:pStyle w:val="13"/>
        <w:rPr>
          <w:rFonts w:hint="eastAsia" w:ascii="微软雅黑" w:hAnsi="微软雅黑" w:eastAsia="微软雅黑" w:cs="微软雅黑"/>
          <w:color w:val="auto"/>
          <w:sz w:val="24"/>
        </w:rPr>
      </w:pPr>
    </w:p>
    <w:p>
      <w:pPr>
        <w:pStyle w:val="7"/>
        <w:rPr>
          <w:rFonts w:hint="eastAsia" w:ascii="微软雅黑" w:hAnsi="微软雅黑" w:eastAsia="微软雅黑" w:cs="微软雅黑"/>
          <w:color w:val="auto"/>
          <w:sz w:val="24"/>
        </w:rPr>
      </w:pPr>
    </w:p>
    <w:p>
      <w:pPr>
        <w:pStyle w:val="8"/>
        <w:rPr>
          <w:rFonts w:hint="eastAsia" w:ascii="微软雅黑" w:hAnsi="微软雅黑" w:eastAsia="微软雅黑" w:cs="微软雅黑"/>
          <w:color w:val="auto"/>
          <w:sz w:val="24"/>
        </w:rPr>
      </w:pPr>
    </w:p>
    <w:p>
      <w:pPr>
        <w:rPr>
          <w:rFonts w:hint="eastAsia"/>
        </w:rPr>
      </w:pPr>
    </w:p>
    <w:p>
      <w:pPr>
        <w:rPr>
          <w:rFonts w:hint="eastAsia"/>
        </w:rPr>
      </w:pPr>
    </w:p>
    <w:p>
      <w:pPr>
        <w:rPr>
          <w:rFonts w:hint="eastAsia"/>
          <w:color w:val="auto"/>
        </w:rPr>
      </w:pPr>
    </w:p>
    <w:p>
      <w:pPr>
        <w:rPr>
          <w:rFonts w:hint="eastAsia" w:ascii="微软雅黑" w:hAnsi="微软雅黑" w:eastAsia="微软雅黑" w:cs="微软雅黑"/>
          <w:color w:val="auto"/>
          <w:sz w:val="24"/>
        </w:rPr>
      </w:pPr>
    </w:p>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val="0"/>
          <w:color w:val="auto"/>
          <w:sz w:val="24"/>
          <w:szCs w:val="24"/>
          <w:highlight w:val="none"/>
        </w:rPr>
        <w:t xml:space="preserve"> </w:t>
      </w:r>
      <w:bookmarkStart w:id="803" w:name="_Toc351203480"/>
      <w:r>
        <w:rPr>
          <w:rFonts w:hint="eastAsia" w:ascii="微软雅黑" w:hAnsi="微软雅黑" w:eastAsia="微软雅黑" w:cs="微软雅黑"/>
          <w:color w:val="auto"/>
          <w:sz w:val="24"/>
          <w:szCs w:val="24"/>
          <w:highlight w:val="none"/>
        </w:rPr>
        <w:t>第一部分 合同协议书</w:t>
      </w:r>
      <w:bookmarkEnd w:id="803"/>
    </w:p>
    <w:p>
      <w:pPr>
        <w:keepLines w:val="0"/>
        <w:pageBreakBefore w:val="0"/>
        <w:kinsoku/>
        <w:wordWrap/>
        <w:overflowPunct/>
        <w:topLinePunct w:val="0"/>
        <w:bidi w:val="0"/>
        <w:spacing w:line="480" w:lineRule="exact"/>
        <w:ind w:right="-19" w:rightChars="-9" w:firstLine="475" w:firstLineChars="198"/>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发包人（全称）：</w:t>
      </w:r>
      <w:r>
        <w:rPr>
          <w:rFonts w:hint="eastAsia" w:ascii="微软雅黑" w:hAnsi="微软雅黑" w:eastAsia="微软雅黑" w:cs="微软雅黑"/>
          <w:b/>
          <w:color w:val="auto"/>
          <w:sz w:val="24"/>
          <w:szCs w:val="24"/>
          <w:highlight w:val="none"/>
          <w:u w:val="single"/>
        </w:rPr>
        <w:t xml:space="preserve">                   </w:t>
      </w:r>
    </w:p>
    <w:p>
      <w:pPr>
        <w:keepLines w:val="0"/>
        <w:pageBreakBefore w:val="0"/>
        <w:kinsoku/>
        <w:wordWrap/>
        <w:overflowPunct/>
        <w:topLinePunct w:val="0"/>
        <w:bidi w:val="0"/>
        <w:spacing w:line="480" w:lineRule="exact"/>
        <w:ind w:right="-19" w:rightChars="-9" w:firstLine="475" w:firstLineChars="198"/>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b/>
          <w:color w:val="auto"/>
          <w:sz w:val="24"/>
          <w:szCs w:val="24"/>
          <w:highlight w:val="none"/>
        </w:rPr>
        <w:t>承包人（全称）：</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color w:val="auto"/>
          <w:sz w:val="24"/>
          <w:szCs w:val="24"/>
          <w:highlight w:val="none"/>
          <w:u w:val="single"/>
        </w:rPr>
        <w:t xml:space="preserve">                    </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根据《中华人民共和国合同法》、《中华人民共和国建筑法》及有关法律规定，遵循平等、自愿、公平和诚实信用的原则，双方就</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工程施工及有关事项协商一致，共同达成如下协议：</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
          <w:color w:val="auto"/>
          <w:sz w:val="24"/>
          <w:szCs w:val="24"/>
          <w:highlight w:val="none"/>
        </w:rPr>
      </w:pPr>
      <w:bookmarkStart w:id="804" w:name="_Toc351203481"/>
      <w:r>
        <w:rPr>
          <w:rFonts w:hint="eastAsia" w:ascii="微软雅黑" w:hAnsi="微软雅黑" w:eastAsia="微软雅黑" w:cs="微软雅黑"/>
          <w:b/>
          <w:color w:val="auto"/>
          <w:sz w:val="24"/>
          <w:szCs w:val="24"/>
          <w:highlight w:val="none"/>
        </w:rPr>
        <w:t>一、工程概况</w:t>
      </w:r>
      <w:bookmarkEnd w:id="804"/>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bCs/>
          <w:color w:val="auto"/>
          <w:sz w:val="24"/>
          <w:szCs w:val="24"/>
          <w:highlight w:val="none"/>
        </w:rPr>
        <w:t xml:space="preserve">    1.工程名称</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2.工程地点：</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3.工程立项批准文号：</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bCs/>
          <w:color w:val="auto"/>
          <w:sz w:val="24"/>
          <w:szCs w:val="24"/>
          <w:highlight w:val="none"/>
        </w:rPr>
        <w:t>。</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4.资金来源：</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bCs/>
          <w:color w:val="auto"/>
          <w:sz w:val="24"/>
          <w:szCs w:val="24"/>
          <w:highlight w:val="none"/>
        </w:rPr>
        <w:t>。</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5.工程内容：</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bCs/>
          <w:color w:val="auto"/>
          <w:sz w:val="24"/>
          <w:szCs w:val="24"/>
          <w:highlight w:val="none"/>
        </w:rPr>
        <w:t>。</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群体工程应附《承包人承揽工程项目一览表》（附件1）。</w:t>
      </w:r>
    </w:p>
    <w:p>
      <w:pPr>
        <w:keepLines w:val="0"/>
        <w:pageBreakBefore w:val="0"/>
        <w:kinsoku/>
        <w:wordWrap/>
        <w:overflowPunct/>
        <w:topLinePunct w:val="0"/>
        <w:bidi w:val="0"/>
        <w:spacing w:line="480" w:lineRule="exact"/>
        <w:ind w:right="-19" w:rightChars="-9" w:firstLine="470" w:firstLineChars="196"/>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rPr>
        <w:t>6.工程承包范围：</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360" w:firstLineChars="150"/>
        <w:outlineLvl w:val="9"/>
        <w:rPr>
          <w:rFonts w:hint="eastAsia" w:ascii="微软雅黑" w:hAnsi="微软雅黑" w:eastAsia="微软雅黑" w:cs="微软雅黑"/>
          <w:b/>
          <w:color w:val="auto"/>
          <w:sz w:val="24"/>
          <w:szCs w:val="24"/>
          <w:highlight w:val="none"/>
        </w:rPr>
      </w:pPr>
      <w:bookmarkStart w:id="805" w:name="_Toc351203482"/>
      <w:r>
        <w:rPr>
          <w:rFonts w:hint="eastAsia" w:ascii="微软雅黑" w:hAnsi="微软雅黑" w:eastAsia="微软雅黑" w:cs="微软雅黑"/>
          <w:b/>
          <w:color w:val="auto"/>
          <w:sz w:val="24"/>
          <w:szCs w:val="24"/>
          <w:highlight w:val="none"/>
        </w:rPr>
        <w:t>二、合同工期</w:t>
      </w:r>
      <w:bookmarkEnd w:id="805"/>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计划开工日期：</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年</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月</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日</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计划竣工日期：</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年</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月</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日</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工期总日历天数：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天。工期总日历天数与根据前述计划开竣工日期计算的工期天数不一致的，以工期总日历天数为准。</w:t>
      </w:r>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b/>
          <w:color w:val="auto"/>
          <w:sz w:val="24"/>
          <w:szCs w:val="24"/>
          <w:highlight w:val="none"/>
        </w:rPr>
      </w:pPr>
      <w:bookmarkStart w:id="806" w:name="_Toc351203483"/>
      <w:r>
        <w:rPr>
          <w:rFonts w:hint="eastAsia" w:ascii="微软雅黑" w:hAnsi="微软雅黑" w:eastAsia="微软雅黑" w:cs="微软雅黑"/>
          <w:b/>
          <w:color w:val="auto"/>
          <w:sz w:val="24"/>
          <w:szCs w:val="24"/>
          <w:highlight w:val="none"/>
        </w:rPr>
        <w:t>三、质量标准</w:t>
      </w:r>
      <w:bookmarkEnd w:id="806"/>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工程质量符合</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b/>
          <w:color w:val="auto"/>
          <w:sz w:val="24"/>
          <w:szCs w:val="24"/>
          <w:highlight w:val="none"/>
          <w:u w:val="single"/>
        </w:rPr>
        <w:t>合格</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标准。</w:t>
      </w:r>
    </w:p>
    <w:p>
      <w:pPr>
        <w:keepLines w:val="0"/>
        <w:pageBreakBefore w:val="0"/>
        <w:kinsoku/>
        <w:wordWrap/>
        <w:overflowPunct/>
        <w:topLinePunct w:val="0"/>
        <w:bidi w:val="0"/>
        <w:spacing w:line="480" w:lineRule="exact"/>
        <w:ind w:right="-19" w:rightChars="-9" w:firstLine="459"/>
        <w:outlineLvl w:val="9"/>
        <w:rPr>
          <w:rFonts w:hint="eastAsia" w:ascii="微软雅黑" w:hAnsi="微软雅黑" w:eastAsia="微软雅黑" w:cs="微软雅黑"/>
          <w:b/>
          <w:color w:val="auto"/>
          <w:sz w:val="24"/>
          <w:szCs w:val="24"/>
          <w:highlight w:val="none"/>
        </w:rPr>
      </w:pPr>
      <w:bookmarkStart w:id="807" w:name="_Toc351203484"/>
      <w:r>
        <w:rPr>
          <w:rFonts w:hint="eastAsia" w:ascii="微软雅黑" w:hAnsi="微软雅黑" w:eastAsia="微软雅黑" w:cs="微软雅黑"/>
          <w:b/>
          <w:color w:val="auto"/>
          <w:sz w:val="24"/>
          <w:szCs w:val="24"/>
          <w:highlight w:val="none"/>
        </w:rPr>
        <w:t>四、签约合同价与合同价格形式</w:t>
      </w:r>
      <w:bookmarkEnd w:id="807"/>
      <w:r>
        <w:rPr>
          <w:rFonts w:hint="eastAsia" w:ascii="微软雅黑" w:hAnsi="微软雅黑" w:eastAsia="微软雅黑" w:cs="微软雅黑"/>
          <w:b/>
          <w:color w:val="auto"/>
          <w:sz w:val="24"/>
          <w:szCs w:val="24"/>
          <w:highlight w:val="none"/>
        </w:rPr>
        <w:tab/>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1.签约合同价为：</w:t>
      </w:r>
    </w:p>
    <w:p>
      <w:pPr>
        <w:keepLines w:val="0"/>
        <w:pageBreakBefore w:val="0"/>
        <w:kinsoku/>
        <w:wordWrap/>
        <w:overflowPunct/>
        <w:topLinePunct w:val="0"/>
        <w:bidi w:val="0"/>
        <w:spacing w:line="480" w:lineRule="exact"/>
        <w:ind w:right="-19" w:rightChars="-9" w:firstLine="600" w:firstLineChars="2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b/>
          <w:color w:val="auto"/>
          <w:spacing w:val="-6"/>
          <w:sz w:val="24"/>
          <w:szCs w:val="24"/>
          <w:highlight w:val="none"/>
          <w:u w:val="single"/>
        </w:rPr>
        <w:t>元</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其中：</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（1）安全文明施工费：</w:t>
      </w:r>
    </w:p>
    <w:p>
      <w:pPr>
        <w:keepLines w:val="0"/>
        <w:pageBreakBefore w:val="0"/>
        <w:kinsoku/>
        <w:wordWrap/>
        <w:overflowPunct/>
        <w:topLinePunct w:val="0"/>
        <w:bidi w:val="0"/>
        <w:spacing w:line="48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（2）材料和工程设备暂估价金额：</w:t>
      </w:r>
    </w:p>
    <w:p>
      <w:pPr>
        <w:keepLines w:val="0"/>
        <w:pageBreakBefore w:val="0"/>
        <w:kinsoku/>
        <w:wordWrap/>
        <w:overflowPunct/>
        <w:topLinePunct w:val="0"/>
        <w:bidi w:val="0"/>
        <w:spacing w:line="48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（3）专业工程暂估价金额：</w:t>
      </w:r>
    </w:p>
    <w:p>
      <w:pPr>
        <w:keepLines w:val="0"/>
        <w:pageBreakBefore w:val="0"/>
        <w:kinsoku/>
        <w:wordWrap/>
        <w:overflowPunct/>
        <w:topLinePunct w:val="0"/>
        <w:bidi w:val="0"/>
        <w:spacing w:line="48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（4）暂列金额：</w:t>
      </w:r>
    </w:p>
    <w:p>
      <w:pPr>
        <w:keepLines w:val="0"/>
        <w:pageBreakBefore w:val="0"/>
        <w:kinsoku/>
        <w:wordWrap/>
        <w:overflowPunct/>
        <w:topLinePunct w:val="0"/>
        <w:bidi w:val="0"/>
        <w:spacing w:line="480" w:lineRule="exact"/>
        <w:ind w:right="-19" w:rightChars="-9" w:firstLine="1080" w:firstLineChars="4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人民币（大写）</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元)。</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2.合同价格形式：</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b/>
          <w:color w:val="auto"/>
          <w:spacing w:val="-6"/>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808" w:name="_Toc351203485"/>
      <w:r>
        <w:rPr>
          <w:rFonts w:hint="eastAsia" w:ascii="微软雅黑" w:hAnsi="微软雅黑" w:eastAsia="微软雅黑" w:cs="微软雅黑"/>
          <w:color w:val="auto"/>
          <w:sz w:val="24"/>
          <w:szCs w:val="24"/>
          <w:highlight w:val="none"/>
        </w:rPr>
        <w:t>五、</w:t>
      </w:r>
      <w:bookmarkEnd w:id="808"/>
      <w:r>
        <w:rPr>
          <w:rFonts w:hint="eastAsia" w:ascii="微软雅黑" w:hAnsi="微软雅黑" w:eastAsia="微软雅黑" w:cs="微软雅黑"/>
          <w:color w:val="auto"/>
          <w:sz w:val="24"/>
          <w:szCs w:val="24"/>
          <w:highlight w:val="none"/>
        </w:rPr>
        <w:t>项目经理</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承包人项目经理：</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809" w:name="_Toc351203486"/>
      <w:r>
        <w:rPr>
          <w:rFonts w:hint="eastAsia" w:ascii="微软雅黑" w:hAnsi="微软雅黑" w:eastAsia="微软雅黑" w:cs="微软雅黑"/>
          <w:color w:val="auto"/>
          <w:sz w:val="24"/>
          <w:szCs w:val="24"/>
          <w:highlight w:val="none"/>
        </w:rPr>
        <w:t>六、合同文件构成</w:t>
      </w:r>
      <w:bookmarkEnd w:id="809"/>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本协议书与下列文件一起构成合同文件：</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（1）中标通知书（如果有）；</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（2）资格审查文件及其附录（如果有）； </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（3）专用合同条款及其附件；</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（4）通用合同条款；</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（5）技术标准和要求；</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（6）图纸；</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（7）已标价工程量清单或预算书；</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（8）其他合同文件。</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在合同订立及履行过程中形成的与合同有关的文件均构成合同文件组成部分。</w:t>
      </w:r>
    </w:p>
    <w:p>
      <w:pPr>
        <w:keepLines w:val="0"/>
        <w:pageBreakBefore w:val="0"/>
        <w:kinsoku/>
        <w:wordWrap/>
        <w:overflowPunct/>
        <w:topLinePunct w:val="0"/>
        <w:autoSpaceDE w:val="0"/>
        <w:autoSpaceDN w:val="0"/>
        <w:bidi w:val="0"/>
        <w:adjustRightIn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keepLines w:val="0"/>
        <w:pageBreakBefore w:val="0"/>
        <w:kinsoku/>
        <w:wordWrap/>
        <w:overflowPunct/>
        <w:topLinePunct w:val="0"/>
        <w:bidi w:val="0"/>
        <w:spacing w:before="0" w:after="0" w:line="480" w:lineRule="exact"/>
        <w:ind w:right="-19" w:rightChars="-9"/>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 xml:space="preserve">   </w:t>
      </w:r>
      <w:r>
        <w:rPr>
          <w:rFonts w:hint="eastAsia" w:ascii="微软雅黑" w:hAnsi="微软雅黑" w:eastAsia="微软雅黑" w:cs="微软雅黑"/>
          <w:b w:val="0"/>
          <w:color w:val="auto"/>
          <w:sz w:val="24"/>
          <w:szCs w:val="24"/>
          <w:highlight w:val="none"/>
        </w:rPr>
        <w:t xml:space="preserve"> </w:t>
      </w:r>
      <w:bookmarkStart w:id="810" w:name="_Toc351203487"/>
      <w:r>
        <w:rPr>
          <w:rFonts w:hint="eastAsia" w:ascii="微软雅黑" w:hAnsi="微软雅黑" w:eastAsia="微软雅黑" w:cs="微软雅黑"/>
          <w:b w:val="0"/>
          <w:color w:val="auto"/>
          <w:sz w:val="24"/>
          <w:szCs w:val="24"/>
          <w:highlight w:val="none"/>
        </w:rPr>
        <w:t>七、承诺</w:t>
      </w:r>
      <w:bookmarkEnd w:id="810"/>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1.发包人承诺按照法律规定履行项目审批手续、筹集工程建设资金并按照合同约定的期限和方式支付合同价款。</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3.发包人和承包人通过招投标形式签订合同的，双方理解并承诺不再就同一工程另行签订与合同实质性内容相背离的协议。</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Cs/>
          <w:color w:val="auto"/>
          <w:sz w:val="24"/>
          <w:szCs w:val="24"/>
          <w:highlight w:val="none"/>
        </w:rPr>
      </w:pPr>
      <w:bookmarkStart w:id="811" w:name="_Toc351203488"/>
      <w:r>
        <w:rPr>
          <w:rFonts w:hint="eastAsia" w:ascii="微软雅黑" w:hAnsi="微软雅黑" w:eastAsia="微软雅黑" w:cs="微软雅黑"/>
          <w:b/>
          <w:color w:val="auto"/>
          <w:sz w:val="24"/>
          <w:szCs w:val="24"/>
          <w:highlight w:val="none"/>
        </w:rPr>
        <w:t xml:space="preserve">    八、词语含义</w:t>
      </w:r>
      <w:bookmarkEnd w:id="811"/>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本协议书中词语含义与第二部分通用合同条款中赋予的含义相同。</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
          <w:color w:val="auto"/>
          <w:sz w:val="24"/>
          <w:szCs w:val="24"/>
          <w:highlight w:val="none"/>
        </w:rPr>
        <w:t xml:space="preserve">  </w:t>
      </w:r>
      <w:bookmarkStart w:id="812" w:name="_Toc351203489"/>
      <w:r>
        <w:rPr>
          <w:rFonts w:hint="eastAsia" w:ascii="微软雅黑" w:hAnsi="微软雅黑" w:eastAsia="微软雅黑" w:cs="微软雅黑"/>
          <w:b/>
          <w:color w:val="auto"/>
          <w:sz w:val="24"/>
          <w:szCs w:val="24"/>
          <w:highlight w:val="none"/>
        </w:rPr>
        <w:t>九、签订时间</w:t>
      </w:r>
      <w:bookmarkEnd w:id="812"/>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本合同于</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rPr>
        <w:t>年</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rPr>
        <w:t>月</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日签订。</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bookmarkStart w:id="813" w:name="_Toc351203490"/>
      <w:r>
        <w:rPr>
          <w:rFonts w:hint="eastAsia" w:ascii="微软雅黑" w:hAnsi="微软雅黑" w:eastAsia="微软雅黑" w:cs="微软雅黑"/>
          <w:b/>
          <w:color w:val="auto"/>
          <w:sz w:val="24"/>
          <w:szCs w:val="24"/>
          <w:highlight w:val="none"/>
        </w:rPr>
        <w:t>十、签订地点</w:t>
      </w:r>
      <w:bookmarkEnd w:id="813"/>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本合同在</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签订。</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bookmarkStart w:id="814" w:name="_Toc351203491"/>
      <w:r>
        <w:rPr>
          <w:rFonts w:hint="eastAsia" w:ascii="微软雅黑" w:hAnsi="微软雅黑" w:eastAsia="微软雅黑" w:cs="微软雅黑"/>
          <w:b/>
          <w:color w:val="auto"/>
          <w:sz w:val="24"/>
          <w:szCs w:val="24"/>
          <w:highlight w:val="none"/>
        </w:rPr>
        <w:t>十一、补充协议</w:t>
      </w:r>
      <w:bookmarkEnd w:id="814"/>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合同未尽事宜，合同当事人另行签订补充协议，补充协议是合同的组成部分。</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
          <w:bCs/>
          <w:color w:val="auto"/>
          <w:sz w:val="24"/>
          <w:szCs w:val="24"/>
          <w:highlight w:val="none"/>
        </w:rPr>
      </w:pPr>
      <w:bookmarkStart w:id="815" w:name="_Toc351203492"/>
      <w:r>
        <w:rPr>
          <w:rFonts w:hint="eastAsia" w:ascii="微软雅黑" w:hAnsi="微软雅黑" w:eastAsia="微软雅黑" w:cs="微软雅黑"/>
          <w:b/>
          <w:color w:val="auto"/>
          <w:sz w:val="24"/>
          <w:szCs w:val="24"/>
          <w:highlight w:val="none"/>
        </w:rPr>
        <w:t>十二、合同生效</w:t>
      </w:r>
      <w:bookmarkEnd w:id="815"/>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本合同自</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生效。</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bookmarkStart w:id="816" w:name="_Toc351203493"/>
      <w:r>
        <w:rPr>
          <w:rFonts w:hint="eastAsia" w:ascii="微软雅黑" w:hAnsi="微软雅黑" w:eastAsia="微软雅黑" w:cs="微软雅黑"/>
          <w:b/>
          <w:color w:val="auto"/>
          <w:sz w:val="24"/>
          <w:szCs w:val="24"/>
          <w:highlight w:val="none"/>
        </w:rPr>
        <w:t>十三、合同份数</w:t>
      </w:r>
      <w:bookmarkEnd w:id="816"/>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本合同一式</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份，均具有同等法律效力，发包人执</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份，承包人执</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rPr>
        <w:t>份。</w:t>
      </w:r>
    </w:p>
    <w:tbl>
      <w:tblPr>
        <w:tblStyle w:val="37"/>
        <w:tblW w:w="9962" w:type="dxa"/>
        <w:tblInd w:w="0" w:type="dxa"/>
        <w:tblLayout w:type="fixed"/>
        <w:tblCellMar>
          <w:top w:w="0" w:type="dxa"/>
          <w:left w:w="108" w:type="dxa"/>
          <w:bottom w:w="0" w:type="dxa"/>
          <w:right w:w="108" w:type="dxa"/>
        </w:tblCellMar>
      </w:tblPr>
      <w:tblGrid>
        <w:gridCol w:w="4981"/>
        <w:gridCol w:w="4981"/>
      </w:tblGrid>
      <w:tr>
        <w:tblPrEx>
          <w:tblCellMar>
            <w:top w:w="0" w:type="dxa"/>
            <w:left w:w="108" w:type="dxa"/>
            <w:bottom w:w="0" w:type="dxa"/>
            <w:right w:w="108" w:type="dxa"/>
          </w:tblCellMar>
        </w:tblPrEx>
        <w:trPr>
          <w:trHeight w:val="1085" w:hRule="atLeast"/>
        </w:trPr>
        <w:tc>
          <w:tcPr>
            <w:tcW w:w="498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bookmarkStart w:id="817" w:name="_Toc351203494"/>
            <w:r>
              <w:rPr>
                <w:rFonts w:hint="eastAsia" w:ascii="微软雅黑" w:hAnsi="微软雅黑" w:eastAsia="微软雅黑" w:cs="微软雅黑"/>
                <w:color w:val="auto"/>
                <w:sz w:val="24"/>
                <w:szCs w:val="24"/>
                <w:highlight w:val="none"/>
              </w:rPr>
              <w:t>发包人：（公章）</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组织机构代码：</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委托代理人：</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传真：</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账号：</w:t>
            </w:r>
            <w:r>
              <w:rPr>
                <w:rFonts w:hint="eastAsia" w:ascii="微软雅黑" w:hAnsi="微软雅黑" w:eastAsia="微软雅黑" w:cs="微软雅黑"/>
                <w:color w:val="auto"/>
                <w:sz w:val="24"/>
                <w:szCs w:val="24"/>
                <w:highlight w:val="none"/>
                <w:u w:val="single"/>
              </w:rPr>
              <w:t xml:space="preserve">                           </w:t>
            </w:r>
          </w:p>
        </w:tc>
        <w:tc>
          <w:tcPr>
            <w:tcW w:w="498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承包人：（公章）</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法定代表人或其委托代理人：（签字）</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color w:val="auto"/>
                <w:sz w:val="24"/>
                <w:szCs w:val="24"/>
                <w:highlight w:val="none"/>
              </w:rPr>
              <w:t>组织机构代码：</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委托代理人：</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传真：</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b/>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账号：</w:t>
            </w:r>
            <w:r>
              <w:rPr>
                <w:rFonts w:hint="eastAsia" w:ascii="微软雅黑" w:hAnsi="微软雅黑" w:eastAsia="微软雅黑" w:cs="微软雅黑"/>
                <w:b/>
                <w:color w:val="auto"/>
                <w:sz w:val="24"/>
                <w:szCs w:val="24"/>
                <w:highlight w:val="none"/>
                <w:u w:val="single"/>
              </w:rPr>
              <w:t xml:space="preserve">                        </w:t>
            </w:r>
          </w:p>
        </w:tc>
      </w:tr>
    </w:tbl>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p>
      <w:pPr>
        <w:keepLines w:val="0"/>
        <w:pageBreakBefore w:val="0"/>
        <w:kinsoku/>
        <w:wordWrap/>
        <w:overflowPunct/>
        <w:topLinePunct w:val="0"/>
        <w:bidi w:val="0"/>
        <w:spacing w:line="480" w:lineRule="exact"/>
        <w:jc w:val="center"/>
        <w:outlineLvl w:val="9"/>
        <w:rPr>
          <w:rFonts w:hint="eastAsia" w:ascii="微软雅黑" w:hAnsi="微软雅黑" w:eastAsia="微软雅黑" w:cs="微软雅黑"/>
          <w:color w:val="auto"/>
          <w:sz w:val="24"/>
          <w:szCs w:val="24"/>
          <w:highlight w:val="none"/>
        </w:rPr>
      </w:pPr>
      <w:bookmarkStart w:id="818" w:name="_Toc4216"/>
      <w:bookmarkStart w:id="819" w:name="_Toc17781_WPSOffice_Level1"/>
      <w:r>
        <w:rPr>
          <w:rFonts w:hint="eastAsia" w:ascii="微软雅黑" w:hAnsi="微软雅黑" w:eastAsia="微软雅黑" w:cs="微软雅黑"/>
          <w:color w:val="auto"/>
          <w:sz w:val="24"/>
          <w:szCs w:val="24"/>
          <w:highlight w:val="none"/>
        </w:rPr>
        <w:t>第二节 通用合同条款</w:t>
      </w:r>
      <w:bookmarkEnd w:id="818"/>
      <w:bookmarkEnd w:id="819"/>
    </w:p>
    <w:p>
      <w:pPr>
        <w:keepLines w:val="0"/>
        <w:pageBreakBefore w:val="0"/>
        <w:kinsoku/>
        <w:wordWrap/>
        <w:overflowPunct/>
        <w:topLinePunct w:val="0"/>
        <w:bidi w:val="0"/>
        <w:spacing w:line="48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使用住房城乡建设部、国家工商行政管理局2017年9月22日联合印发的《建设工程施工合同（GF-2017-0201示范文本）》第二部分通用条款。</w:t>
      </w:r>
    </w:p>
    <w:p>
      <w:pPr>
        <w:keepLines w:val="0"/>
        <w:pageBreakBefore w:val="0"/>
        <w:tabs>
          <w:tab w:val="center" w:pos="4479"/>
        </w:tabs>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bookmarkEnd w:id="817"/>
    <w:p>
      <w:pPr>
        <w:keepLines w:val="0"/>
        <w:pageBreakBefore w:val="0"/>
        <w:tabs>
          <w:tab w:val="left" w:pos="2324"/>
          <w:tab w:val="center" w:pos="4214"/>
        </w:tabs>
        <w:kinsoku/>
        <w:wordWrap/>
        <w:overflowPunct/>
        <w:topLinePunct w:val="0"/>
        <w:bidi w:val="0"/>
        <w:adjustRightInd w:val="0"/>
        <w:snapToGrid w:val="0"/>
        <w:spacing w:line="480" w:lineRule="exact"/>
        <w:ind w:right="-19" w:rightChars="-9"/>
        <w:jc w:val="left"/>
        <w:outlineLvl w:val="9"/>
        <w:rPr>
          <w:rFonts w:hint="eastAsia" w:ascii="微软雅黑" w:hAnsi="微软雅黑" w:eastAsia="微软雅黑" w:cs="微软雅黑"/>
          <w:color w:val="auto"/>
          <w:sz w:val="24"/>
          <w:szCs w:val="24"/>
          <w:highlight w:val="none"/>
        </w:rPr>
      </w:pPr>
      <w:bookmarkStart w:id="820" w:name="_Toc351203632"/>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第三部分 专用合同条款</w:t>
      </w:r>
      <w:bookmarkEnd w:id="820"/>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821" w:name="_Toc351203633"/>
      <w:r>
        <w:rPr>
          <w:rFonts w:hint="eastAsia" w:ascii="微软雅黑" w:hAnsi="微软雅黑" w:eastAsia="微软雅黑" w:cs="微软雅黑"/>
          <w:b w:val="0"/>
          <w:color w:val="auto"/>
          <w:sz w:val="24"/>
          <w:szCs w:val="24"/>
          <w:highlight w:val="none"/>
        </w:rPr>
        <w:t>1</w:t>
      </w:r>
      <w:bookmarkStart w:id="822" w:name="_Toc297120456"/>
      <w:bookmarkStart w:id="823" w:name="_Toc296347155"/>
      <w:bookmarkStart w:id="824" w:name="_Toc297048342"/>
      <w:bookmarkStart w:id="825" w:name="_Toc296346657"/>
      <w:bookmarkStart w:id="826" w:name="_Toc296503156"/>
      <w:bookmarkStart w:id="827" w:name="_Toc292559361"/>
      <w:bookmarkStart w:id="828" w:name="_Toc296890984"/>
      <w:bookmarkStart w:id="829" w:name="_Toc296891196"/>
      <w:bookmarkStart w:id="830" w:name="_Toc292559866"/>
      <w:bookmarkStart w:id="831" w:name="_Toc296944495"/>
      <w:r>
        <w:rPr>
          <w:rFonts w:hint="eastAsia" w:ascii="微软雅黑" w:hAnsi="微软雅黑" w:eastAsia="微软雅黑" w:cs="微软雅黑"/>
          <w:b w:val="0"/>
          <w:color w:val="auto"/>
          <w:sz w:val="24"/>
          <w:szCs w:val="24"/>
          <w:highlight w:val="none"/>
        </w:rPr>
        <w:t>. 一般约定</w:t>
      </w:r>
      <w:bookmarkEnd w:id="821"/>
    </w:p>
    <w:bookmarkEnd w:id="822"/>
    <w:bookmarkEnd w:id="823"/>
    <w:bookmarkEnd w:id="824"/>
    <w:bookmarkEnd w:id="825"/>
    <w:bookmarkEnd w:id="826"/>
    <w:bookmarkEnd w:id="827"/>
    <w:bookmarkEnd w:id="828"/>
    <w:bookmarkEnd w:id="829"/>
    <w:bookmarkEnd w:id="830"/>
    <w:bookmarkEnd w:id="831"/>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 词语定义</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1.1.1合同</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1.1.1.10其他合同文件包括：</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 合同当事人及其他相关方</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1.1.2.4监理人：</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资质类别和等级：</w:t>
      </w:r>
      <w:r>
        <w:rPr>
          <w:rFonts w:hint="eastAsia" w:ascii="微软雅黑" w:hAnsi="微软雅黑" w:eastAsia="微软雅黑" w:cs="微软雅黑"/>
          <w:color w:val="auto"/>
          <w:sz w:val="24"/>
          <w:szCs w:val="24"/>
          <w:highlight w:val="none"/>
          <w:u w:val="single"/>
        </w:rPr>
        <w:t xml:space="preserve">      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1.1.2.5 设计人：</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资质类别和等级：</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 工程和设备</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1.1.3.7 作为施工现场组成部分的其他场所包括：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1.1.3.9 永久占地包括：</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1.1.3.10 临时占地包括：</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1.3法律 </w:t>
      </w:r>
    </w:p>
    <w:p>
      <w:pPr>
        <w:keepLines w:val="0"/>
        <w:pageBreakBefore w:val="0"/>
        <w:kinsoku/>
        <w:wordWrap/>
        <w:overflowPunct/>
        <w:topLinePunct w:val="0"/>
        <w:autoSpaceDE w:val="0"/>
        <w:autoSpaceDN w:val="0"/>
        <w:bidi w:val="0"/>
        <w:adjustRightInd w:val="0"/>
        <w:snapToGrid w:val="0"/>
        <w:spacing w:line="480" w:lineRule="exact"/>
        <w:ind w:left="596" w:leftChars="284" w:right="-19" w:rightChars="-9"/>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适用于合同的其他规范性文件：</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autoSpaceDE w:val="0"/>
        <w:autoSpaceDN w:val="0"/>
        <w:bidi w:val="0"/>
        <w:adjustRightInd w:val="0"/>
        <w:snapToGrid w:val="0"/>
        <w:spacing w:line="480" w:lineRule="exact"/>
        <w:ind w:left="596" w:leftChars="28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 标准和规范</w:t>
      </w:r>
    </w:p>
    <w:p>
      <w:pPr>
        <w:keepLines w:val="0"/>
        <w:pageBreakBefore w:val="0"/>
        <w:kinsoku/>
        <w:wordWrap/>
        <w:overflowPunct/>
        <w:topLinePunct w:val="0"/>
        <w:bidi w:val="0"/>
        <w:adjustRightInd w:val="0"/>
        <w:snapToGrid w:val="0"/>
        <w:spacing w:line="480" w:lineRule="exact"/>
        <w:ind w:left="596" w:leftChars="284"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1.4.1适用于工程的标准规范包括：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1.4.2 发包人提供国外标准、规范的名称：</w:t>
      </w:r>
      <w:r>
        <w:rPr>
          <w:rFonts w:hint="eastAsia" w:ascii="微软雅黑" w:hAnsi="微软雅黑" w:eastAsia="微软雅黑" w:cs="微软雅黑"/>
          <w:color w:val="auto"/>
          <w:kern w:val="0"/>
          <w:sz w:val="24"/>
          <w:szCs w:val="24"/>
          <w:highlight w:val="none"/>
          <w:u w:val="single"/>
        </w:rPr>
        <w:t xml:space="preserve">        /         </w:t>
      </w:r>
    </w:p>
    <w:p>
      <w:pPr>
        <w:keepLines w:val="0"/>
        <w:pageBreakBefore w:val="0"/>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发包人提供国外标准、规范的份数：</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发包人提供国外标准、规范的名称：</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left="596" w:leftChars="284"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1.4.3发包人对工程的技术标准和功能要求的特殊要求：</w:t>
      </w:r>
    </w:p>
    <w:p>
      <w:pPr>
        <w:keepLines w:val="0"/>
        <w:pageBreakBefore w:val="0"/>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 合同文件的优先顺序</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合同文件组成及优先顺序为：</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 图纸和承包人文件</w:t>
      </w:r>
      <w:r>
        <w:rPr>
          <w:rFonts w:hint="eastAsia" w:ascii="微软雅黑" w:hAnsi="微软雅黑" w:eastAsia="微软雅黑" w:cs="微软雅黑"/>
          <w:color w:val="auto"/>
          <w:sz w:val="24"/>
          <w:szCs w:val="24"/>
          <w:highlight w:val="none"/>
        </w:rPr>
        <w:tab/>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图纸的提供</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发包人向承包人提供图纸的期限：</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发包人向承包人提供图纸的数量：</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发包人向承包人提供图纸的内容：</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 承包人文件</w:t>
      </w:r>
    </w:p>
    <w:p>
      <w:pPr>
        <w:keepLines w:val="0"/>
        <w:pageBreakBefore w:val="0"/>
        <w:kinsoku/>
        <w:wordWrap/>
        <w:overflowPunct/>
        <w:topLinePunct w:val="0"/>
        <w:bidi w:val="0"/>
        <w:adjustRightInd w:val="0"/>
        <w:snapToGrid w:val="0"/>
        <w:spacing w:line="480" w:lineRule="exact"/>
        <w:ind w:left="596" w:leftChars="284" w:right="-19" w:rightChars="-9"/>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需要由承包人提供的文件，包括：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承包人提供的文件的期限为：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承包人提供的文件的数量为：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承包人提供的文件的形式为：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发包人审批承包人文件的期限：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 现场图纸准备</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关于现场图纸准备的约定：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 联络</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1.7.1发包人和承包人应当在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天内将与合同有关的通知、批准、证明、证书、指示、指令、要求、请求、同意、意见、确定和决定等书面函件送达对方当事人。</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1.7.2 发包人接收文件的地点：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发包人指定的接收人为：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承包人接收文件的地点：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承包人指定的接收人为：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监理人接收文件的地点：</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监理人指定的接收人为：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1.10 交通运输</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832" w:name="_Toc318581155"/>
      <w:bookmarkStart w:id="833" w:name="_Toc300934943"/>
      <w:bookmarkStart w:id="834" w:name="_Toc303539100"/>
      <w:bookmarkStart w:id="835" w:name="_Toc312677986"/>
      <w:bookmarkStart w:id="836" w:name="_Toc304295521"/>
      <w:r>
        <w:rPr>
          <w:rFonts w:hint="eastAsia" w:ascii="微软雅黑" w:hAnsi="微软雅黑" w:eastAsia="微软雅黑" w:cs="微软雅黑"/>
          <w:color w:val="auto"/>
          <w:sz w:val="24"/>
          <w:szCs w:val="24"/>
          <w:highlight w:val="none"/>
        </w:rPr>
        <w:t>.10.1 出入现场的权利</w:t>
      </w:r>
    </w:p>
    <w:p>
      <w:pPr>
        <w:keepLines w:val="0"/>
        <w:pageBreakBefore w:val="0"/>
        <w:kinsoku/>
        <w:wordWrap/>
        <w:overflowPunct/>
        <w:topLinePunct w:val="0"/>
        <w:bidi w:val="0"/>
        <w:adjustRightInd w:val="0"/>
        <w:snapToGrid w:val="0"/>
        <w:spacing w:line="480" w:lineRule="exact"/>
        <w:ind w:left="596" w:leftChars="28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关于出入现场的权利的约定：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832"/>
    <w:bookmarkEnd w:id="833"/>
    <w:bookmarkEnd w:id="834"/>
    <w:bookmarkEnd w:id="835"/>
    <w:bookmarkEnd w:id="836"/>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837" w:name="_Toc303539101"/>
      <w:bookmarkStart w:id="838" w:name="_Toc300934944"/>
      <w:bookmarkStart w:id="839" w:name="_Toc304295522"/>
      <w:bookmarkStart w:id="840" w:name="_Toc318581156"/>
      <w:bookmarkStart w:id="841" w:name="_Toc312677987"/>
      <w:r>
        <w:rPr>
          <w:rFonts w:hint="eastAsia" w:ascii="微软雅黑" w:hAnsi="微软雅黑" w:eastAsia="微软雅黑" w:cs="微软雅黑"/>
          <w:color w:val="auto"/>
          <w:sz w:val="24"/>
          <w:szCs w:val="24"/>
          <w:highlight w:val="none"/>
        </w:rPr>
        <w:t>.10.3 场内交通</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关于场外交通和场内交通的边界的约定：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关于发包人向承包人免费提供满足工程施工需要的场内道路和交通设施的约定：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bookmarkEnd w:id="837"/>
      <w:bookmarkEnd w:id="838"/>
      <w:bookmarkEnd w:id="839"/>
      <w:bookmarkEnd w:id="840"/>
      <w:bookmarkEnd w:id="841"/>
      <w:r>
        <w:rPr>
          <w:rFonts w:hint="eastAsia" w:ascii="微软雅黑" w:hAnsi="微软雅黑" w:eastAsia="微软雅黑" w:cs="微软雅黑"/>
          <w:color w:val="auto"/>
          <w:sz w:val="24"/>
          <w:szCs w:val="24"/>
          <w:highlight w:val="none"/>
        </w:rPr>
        <w:t xml:space="preserve">  </w:t>
      </w:r>
      <w:bookmarkStart w:id="842" w:name="_Toc318581157"/>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1.10.4超大件和超重件的运输</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运输超大件或超重件所需的道路和桥梁临时加固改造费用和其他有关费用由</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承担。</w:t>
      </w:r>
    </w:p>
    <w:bookmarkEnd w:id="842"/>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 知识产权</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关于发包人提供的上述文件的使用限制的要求：</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1.11.2 关于承包人为实施工程所编制文件的著作权的归属：</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关于承包人提供的上述文件的使用限制的要求：</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1.11.4 承包人在施工过程中所采用的专利、专有技术、技术秘密的使用费的承担方式：</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1.13工程量清单错误的修正</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出现工程量清单错误时，是否调整合同价格：</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允许调整合同价格的工程量偏差范围：</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bookmarkStart w:id="843" w:name="_Toc351203634"/>
      <w:r>
        <w:rPr>
          <w:rFonts w:hint="eastAsia" w:ascii="微软雅黑" w:hAnsi="微软雅黑" w:eastAsia="微软雅黑" w:cs="微软雅黑"/>
          <w:color w:val="auto"/>
          <w:kern w:val="0"/>
          <w:sz w:val="24"/>
          <w:szCs w:val="24"/>
          <w:highlight w:val="none"/>
        </w:rPr>
        <w:t>2</w:t>
      </w:r>
      <w:bookmarkStart w:id="844" w:name="_Toc297048343"/>
      <w:bookmarkStart w:id="845" w:name="_Toc292559362"/>
      <w:bookmarkStart w:id="846" w:name="_Toc297120457"/>
      <w:bookmarkStart w:id="847" w:name="_Toc296890985"/>
      <w:bookmarkStart w:id="848" w:name="_Toc296503157"/>
      <w:bookmarkStart w:id="849" w:name="_Toc296347156"/>
      <w:bookmarkStart w:id="850" w:name="_Toc296944496"/>
      <w:bookmarkStart w:id="851" w:name="_Toc292559867"/>
      <w:bookmarkStart w:id="852" w:name="_Toc296346658"/>
      <w:bookmarkStart w:id="853" w:name="_Toc296891197"/>
      <w:r>
        <w:rPr>
          <w:rFonts w:hint="eastAsia" w:ascii="微软雅黑" w:hAnsi="微软雅黑" w:eastAsia="微软雅黑" w:cs="微软雅黑"/>
          <w:color w:val="auto"/>
          <w:kern w:val="0"/>
          <w:sz w:val="24"/>
          <w:szCs w:val="24"/>
          <w:highlight w:val="none"/>
        </w:rPr>
        <w:t>. 发包人</w:t>
      </w:r>
      <w:bookmarkEnd w:id="843"/>
    </w:p>
    <w:bookmarkEnd w:id="844"/>
    <w:bookmarkEnd w:id="845"/>
    <w:bookmarkEnd w:id="846"/>
    <w:bookmarkEnd w:id="847"/>
    <w:bookmarkEnd w:id="848"/>
    <w:bookmarkEnd w:id="849"/>
    <w:bookmarkEnd w:id="850"/>
    <w:bookmarkEnd w:id="851"/>
    <w:bookmarkEnd w:id="852"/>
    <w:bookmarkEnd w:id="853"/>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2.2 发包人代表</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发包人代表：</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姓    名：</w:t>
      </w:r>
      <w:r>
        <w:rPr>
          <w:rFonts w:hint="eastAsia" w:ascii="微软雅黑" w:hAnsi="微软雅黑" w:eastAsia="微软雅黑" w:cs="微软雅黑"/>
          <w:color w:val="auto"/>
          <w:kern w:val="0"/>
          <w:sz w:val="24"/>
          <w:szCs w:val="24"/>
          <w:highlight w:val="none"/>
          <w:u w:val="single"/>
        </w:rPr>
        <w:t>       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身份证号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职    务：</w:t>
      </w:r>
      <w:r>
        <w:rPr>
          <w:rFonts w:hint="eastAsia" w:ascii="微软雅黑" w:hAnsi="微软雅黑" w:eastAsia="微软雅黑" w:cs="微软雅黑"/>
          <w:color w:val="auto"/>
          <w:sz w:val="24"/>
          <w:szCs w:val="24"/>
          <w:highlight w:val="none"/>
          <w:u w:val="single"/>
        </w:rPr>
        <w:t>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发包人对发包人代表的授权范围如下：</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 施工现场、施工条件和基础资料的提供</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 提供施工现场</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关于发包人移交施工现场的期限要求：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 提供施工条件</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关于发包人应负责提供施工所需要的条件，包括：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 资金来源证明及支付担保</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发包人提供资金来源证明的期限要求：</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发包人是否提供支付担保：</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发包人提供支付担保的形式：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854" w:name="_Toc351203635"/>
      <w:r>
        <w:rPr>
          <w:rFonts w:hint="eastAsia" w:ascii="微软雅黑" w:hAnsi="微软雅黑" w:eastAsia="微软雅黑" w:cs="微软雅黑"/>
          <w:color w:val="auto"/>
          <w:sz w:val="24"/>
          <w:szCs w:val="24"/>
          <w:highlight w:val="none"/>
        </w:rPr>
        <w:t>3</w:t>
      </w:r>
      <w:bookmarkStart w:id="855" w:name="_Toc296503158"/>
      <w:bookmarkStart w:id="856" w:name="_Toc297048344"/>
      <w:bookmarkStart w:id="857" w:name="_Toc296347157"/>
      <w:bookmarkStart w:id="858" w:name="_Toc296944497"/>
      <w:bookmarkStart w:id="859" w:name="_Toc296346659"/>
      <w:bookmarkStart w:id="860" w:name="_Toc292559868"/>
      <w:bookmarkStart w:id="861" w:name="_Toc297120458"/>
      <w:bookmarkStart w:id="862" w:name="_Toc296891198"/>
      <w:bookmarkStart w:id="863" w:name="_Toc292559363"/>
      <w:bookmarkStart w:id="864" w:name="_Toc296890986"/>
      <w:r>
        <w:rPr>
          <w:rFonts w:hint="eastAsia" w:ascii="微软雅黑" w:hAnsi="微软雅黑" w:eastAsia="微软雅黑" w:cs="微软雅黑"/>
          <w:color w:val="auto"/>
          <w:sz w:val="24"/>
          <w:szCs w:val="24"/>
          <w:highlight w:val="none"/>
        </w:rPr>
        <w:t>. 承包人</w:t>
      </w:r>
      <w:bookmarkEnd w:id="854"/>
    </w:p>
    <w:bookmarkEnd w:id="855"/>
    <w:bookmarkEnd w:id="856"/>
    <w:bookmarkEnd w:id="857"/>
    <w:bookmarkEnd w:id="858"/>
    <w:bookmarkEnd w:id="859"/>
    <w:bookmarkEnd w:id="860"/>
    <w:bookmarkEnd w:id="861"/>
    <w:bookmarkEnd w:id="862"/>
    <w:bookmarkEnd w:id="863"/>
    <w:bookmarkEnd w:id="864"/>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 承包人的一般义务</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（5）</w:t>
      </w:r>
      <w:r>
        <w:rPr>
          <w:rFonts w:hint="eastAsia" w:ascii="微软雅黑" w:hAnsi="微软雅黑" w:eastAsia="微软雅黑" w:cs="微软雅黑"/>
          <w:color w:val="auto"/>
          <w:sz w:val="24"/>
          <w:szCs w:val="24"/>
          <w:highlight w:val="none"/>
        </w:rPr>
        <w:t>承包人提交的竣工资料的内容：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承包人需要提交的竣工资料套数：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left="638" w:leftChars="30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承包人提交的竣工资料的费用承担：</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left="638" w:leftChars="304"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承包人提交的竣工资料移交时间：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承包人提交的竣工资料形式要求：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（6）承包人应履行的其他义务：</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 项目经理</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 xml:space="preserve">3.2.1 </w:t>
      </w:r>
      <w:r>
        <w:rPr>
          <w:rFonts w:hint="eastAsia" w:ascii="微软雅黑" w:hAnsi="微软雅黑" w:eastAsia="微软雅黑" w:cs="微软雅黑"/>
          <w:color w:val="auto"/>
          <w:sz w:val="24"/>
          <w:szCs w:val="24"/>
          <w:highlight w:val="none"/>
        </w:rPr>
        <w:t>项目经理：</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姓    名：</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身份证号：</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建造师执业资格等级：</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建造师注册证书号：</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建造师执业印章号：</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安全生产考核合格证书号：</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xml:space="preserve"> 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承包人对项目经理的授权范围如下：</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关于项目经理每月在施工现场的时间要求：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承包人未提交劳动合同，以及没有为项目经理缴纳社会保险证明的违约责任：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项目经理未经批准，擅自离开施工现场的违约责任：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3.2.3 承包人擅自更换项目经理的违约责任：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3.2.4 承包人无正当理由拒绝更换项目经理的违约责任：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 承包人人员</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 承包人提交项目管理机构及施工现场管理人员安排报告的期限：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3.3.3 承包人无正当理由拒绝撤换主要施工管理人员的违约责任：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    3.3.4 承包人主要施工管理人员离开施工现场的批准要求：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3.3.5承包人擅自更换主要施工管理人员的违约责任：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承包人主要施工管理人员擅自离开施工现场的违约责任：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bookmarkStart w:id="865" w:name="_Toc300934945"/>
      <w:bookmarkStart w:id="866" w:name="_Toc296503159"/>
      <w:bookmarkStart w:id="867" w:name="_Toc296944498"/>
      <w:bookmarkStart w:id="868" w:name="_Toc296346660"/>
      <w:bookmarkStart w:id="869" w:name="_Toc297048345"/>
      <w:bookmarkStart w:id="870" w:name="_Toc297120459"/>
      <w:bookmarkStart w:id="871" w:name="_Toc297123492"/>
      <w:bookmarkStart w:id="872" w:name="_Toc296347158"/>
      <w:bookmarkStart w:id="873" w:name="_Toc303539102"/>
      <w:bookmarkStart w:id="874" w:name="_Toc296891199"/>
      <w:bookmarkStart w:id="875" w:name="_Toc292559364"/>
      <w:bookmarkStart w:id="876" w:name="_Toc304295523"/>
      <w:bookmarkStart w:id="877" w:name="_Toc296890987"/>
      <w:bookmarkStart w:id="878" w:name="_Toc297216151"/>
      <w:bookmarkStart w:id="879" w:name="_Toc312677988"/>
      <w:bookmarkStart w:id="880" w:name="_Toc292559869"/>
      <w:r>
        <w:rPr>
          <w:rFonts w:hint="eastAsia" w:ascii="微软雅黑" w:hAnsi="微软雅黑" w:eastAsia="微软雅黑" w:cs="微软雅黑"/>
          <w:color w:val="auto"/>
          <w:sz w:val="24"/>
          <w:szCs w:val="24"/>
          <w:highlight w:val="none"/>
        </w:rPr>
        <w:t>.5 分包</w:t>
      </w:r>
    </w:p>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bookmarkStart w:id="881" w:name="_Toc296347159"/>
      <w:bookmarkStart w:id="882" w:name="_Toc296890988"/>
      <w:bookmarkStart w:id="883" w:name="_Toc292559870"/>
      <w:bookmarkStart w:id="884" w:name="_Toc297048346"/>
      <w:bookmarkStart w:id="885" w:name="_Toc296944499"/>
      <w:bookmarkStart w:id="886" w:name="_Toc296346661"/>
      <w:bookmarkStart w:id="887" w:name="_Toc297216152"/>
      <w:bookmarkStart w:id="888" w:name="_Toc292559365"/>
      <w:bookmarkStart w:id="889" w:name="_Toc303539103"/>
      <w:bookmarkStart w:id="890" w:name="_Toc297120460"/>
      <w:bookmarkStart w:id="891" w:name="_Toc304295524"/>
      <w:bookmarkStart w:id="892" w:name="_Toc300934946"/>
      <w:bookmarkStart w:id="893" w:name="_Toc297123493"/>
      <w:bookmarkStart w:id="894" w:name="_Toc296503160"/>
      <w:bookmarkStart w:id="895" w:name="_Toc296891200"/>
      <w:bookmarkStart w:id="896" w:name="_Toc312677989"/>
      <w:bookmarkStart w:id="897" w:name="_Toc318581158"/>
      <w:r>
        <w:rPr>
          <w:rFonts w:hint="eastAsia" w:ascii="微软雅黑" w:hAnsi="微软雅黑" w:eastAsia="微软雅黑" w:cs="微软雅黑"/>
          <w:color w:val="auto"/>
          <w:sz w:val="24"/>
          <w:szCs w:val="24"/>
          <w:highlight w:val="none"/>
        </w:rPr>
        <w:t>.5.1 分包的一般约定</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禁止分包的工程包括：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主体结构、关键性工作的范围：</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Start w:id="898" w:name="_Toc297120461"/>
      <w:bookmarkStart w:id="899" w:name="_Toc297216153"/>
      <w:bookmarkStart w:id="900" w:name="_Toc296503161"/>
      <w:bookmarkStart w:id="901" w:name="_Toc297048347"/>
      <w:bookmarkStart w:id="902" w:name="_Toc303539104"/>
      <w:bookmarkStart w:id="903" w:name="_Toc296891201"/>
      <w:bookmarkStart w:id="904" w:name="_Toc296347160"/>
      <w:bookmarkStart w:id="905" w:name="_Toc304295525"/>
      <w:bookmarkStart w:id="906" w:name="_Toc300934947"/>
      <w:bookmarkStart w:id="907" w:name="_Toc296890989"/>
      <w:bookmarkStart w:id="908" w:name="_Toc297123494"/>
      <w:bookmarkStart w:id="909" w:name="_Toc296944500"/>
      <w:bookmarkStart w:id="910" w:name="_Toc296346662"/>
    </w:p>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Pr>
        <w:keepLines w:val="0"/>
        <w:pageBreakBefore w:val="0"/>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w:t>
      </w:r>
      <w:bookmarkStart w:id="911" w:name="_Toc312677990"/>
      <w:bookmarkStart w:id="912" w:name="_Toc318581159"/>
      <w:r>
        <w:rPr>
          <w:rFonts w:hint="eastAsia" w:ascii="微软雅黑" w:hAnsi="微软雅黑" w:eastAsia="微软雅黑" w:cs="微软雅黑"/>
          <w:color w:val="auto"/>
          <w:sz w:val="24"/>
          <w:szCs w:val="24"/>
          <w:highlight w:val="none"/>
        </w:rPr>
        <w:t>.5.2分包的确定</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允许分包的专业工程包括：</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其他关于分包的约定：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3.5.4 分包合同价款</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关于分包合同价款支付的约定：</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bookmarkEnd w:id="911"/>
    <w:bookmarkEnd w:id="912"/>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 工程照管与成品、半成品保护</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承包人负责照管工程及工程相关的材料、工程设备的起始时间：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3.7 履约担保</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承包人是否提供履约担保：</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承包人提供履约担保的形式、金额及期限的：</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13" w:name="_Toc351203636"/>
      <w:r>
        <w:rPr>
          <w:rFonts w:hint="eastAsia" w:ascii="微软雅黑" w:hAnsi="微软雅黑" w:eastAsia="微软雅黑" w:cs="微软雅黑"/>
          <w:b w:val="0"/>
          <w:color w:val="auto"/>
          <w:sz w:val="24"/>
          <w:szCs w:val="24"/>
          <w:highlight w:val="none"/>
        </w:rPr>
        <w:t>4</w:t>
      </w:r>
      <w:bookmarkStart w:id="914" w:name="_Toc292559366"/>
      <w:bookmarkStart w:id="915" w:name="_Toc296346663"/>
      <w:bookmarkStart w:id="916" w:name="_Toc296891202"/>
      <w:bookmarkStart w:id="917" w:name="_Toc296890990"/>
      <w:bookmarkStart w:id="918" w:name="_Toc296944501"/>
      <w:bookmarkStart w:id="919" w:name="_Toc296503162"/>
      <w:bookmarkStart w:id="920" w:name="_Toc292559871"/>
      <w:bookmarkStart w:id="921" w:name="_Toc267251413"/>
      <w:bookmarkStart w:id="922" w:name="_Toc297048348"/>
      <w:bookmarkStart w:id="923" w:name="_Toc296347161"/>
      <w:bookmarkStart w:id="924" w:name="_Toc297120462"/>
      <w:r>
        <w:rPr>
          <w:rFonts w:hint="eastAsia" w:ascii="微软雅黑" w:hAnsi="微软雅黑" w:eastAsia="微软雅黑" w:cs="微软雅黑"/>
          <w:b w:val="0"/>
          <w:color w:val="auto"/>
          <w:sz w:val="24"/>
          <w:szCs w:val="24"/>
          <w:highlight w:val="none"/>
        </w:rPr>
        <w:t>. 监</w:t>
      </w:r>
      <w:bookmarkEnd w:id="914"/>
      <w:bookmarkEnd w:id="915"/>
      <w:bookmarkEnd w:id="916"/>
      <w:bookmarkEnd w:id="917"/>
      <w:bookmarkEnd w:id="918"/>
      <w:bookmarkEnd w:id="919"/>
      <w:bookmarkEnd w:id="920"/>
      <w:bookmarkEnd w:id="921"/>
      <w:bookmarkEnd w:id="922"/>
      <w:bookmarkEnd w:id="923"/>
      <w:bookmarkEnd w:id="924"/>
      <w:r>
        <w:rPr>
          <w:rFonts w:hint="eastAsia" w:ascii="微软雅黑" w:hAnsi="微软雅黑" w:eastAsia="微软雅黑" w:cs="微软雅黑"/>
          <w:b w:val="0"/>
          <w:color w:val="auto"/>
          <w:sz w:val="24"/>
          <w:szCs w:val="24"/>
          <w:highlight w:val="none"/>
        </w:rPr>
        <w:t>理人</w:t>
      </w:r>
      <w:bookmarkEnd w:id="913"/>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4.1监理人的一般规定</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关于监理人的监理内容：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关于监理人的监理权限：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关于监理人在施工现场的办公场所、生活场所的提供和费用承担的约定：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 监理人员</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总监理工程师：</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姓    名：</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职    务：</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监理工程师执业资格证书号：</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电子信箱：</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通信地址：</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关于监理人的其他约定：</w:t>
      </w:r>
      <w:r>
        <w:rPr>
          <w:rFonts w:hint="eastAsia" w:ascii="微软雅黑" w:hAnsi="微软雅黑" w:eastAsia="微软雅黑" w:cs="微软雅黑"/>
          <w:color w:val="auto"/>
          <w:sz w:val="24"/>
          <w:szCs w:val="24"/>
          <w:highlight w:val="none"/>
          <w:u w:val="single"/>
        </w:rPr>
        <w:t>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4.4 商定或确定</w:t>
      </w:r>
    </w:p>
    <w:p>
      <w:pPr>
        <w:keepLines w:val="0"/>
        <w:pageBreakBefore w:val="0"/>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925" w:name="_Toc267251418"/>
      <w:r>
        <w:rPr>
          <w:rFonts w:hint="eastAsia" w:ascii="微软雅黑" w:hAnsi="微软雅黑" w:eastAsia="微软雅黑" w:cs="微软雅黑"/>
          <w:color w:val="auto"/>
          <w:sz w:val="24"/>
          <w:szCs w:val="24"/>
          <w:highlight w:val="none"/>
        </w:rPr>
        <w:t>在发包人和承包人不能通过协商达成一致意见时，发包人授权监理人对以下事项进行确定：</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26" w:name="_Toc351203637"/>
      <w:r>
        <w:rPr>
          <w:rFonts w:hint="eastAsia" w:ascii="微软雅黑" w:hAnsi="微软雅黑" w:eastAsia="微软雅黑" w:cs="微软雅黑"/>
          <w:b w:val="0"/>
          <w:color w:val="auto"/>
          <w:sz w:val="24"/>
          <w:szCs w:val="24"/>
          <w:highlight w:val="none"/>
        </w:rPr>
        <w:t>5</w:t>
      </w:r>
      <w:bookmarkEnd w:id="925"/>
      <w:bookmarkStart w:id="927" w:name="_Toc296890991"/>
      <w:bookmarkStart w:id="928" w:name="_Toc296891203"/>
      <w:bookmarkStart w:id="929" w:name="_Toc296944502"/>
      <w:bookmarkStart w:id="930" w:name="_Toc292559872"/>
      <w:bookmarkStart w:id="931" w:name="_Toc297120463"/>
      <w:bookmarkStart w:id="932" w:name="_Toc292559367"/>
      <w:bookmarkStart w:id="933" w:name="_Toc297048349"/>
      <w:bookmarkStart w:id="934" w:name="_Toc296346664"/>
      <w:bookmarkStart w:id="935" w:name="_Toc296347162"/>
      <w:bookmarkStart w:id="936" w:name="_Toc296503163"/>
      <w:r>
        <w:rPr>
          <w:rFonts w:hint="eastAsia" w:ascii="微软雅黑" w:hAnsi="微软雅黑" w:eastAsia="微软雅黑" w:cs="微软雅黑"/>
          <w:b w:val="0"/>
          <w:color w:val="auto"/>
          <w:sz w:val="24"/>
          <w:szCs w:val="24"/>
          <w:highlight w:val="none"/>
        </w:rPr>
        <w:t>. 工程质量</w:t>
      </w:r>
      <w:bookmarkEnd w:id="926"/>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5.1 质量要求</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bookmarkStart w:id="937" w:name="_Toc304295527"/>
      <w:bookmarkStart w:id="938" w:name="_Toc297123496"/>
      <w:bookmarkStart w:id="939" w:name="_Toc318581164"/>
      <w:bookmarkStart w:id="940" w:name="_Toc312677997"/>
      <w:bookmarkStart w:id="941" w:name="_Toc300934949"/>
      <w:bookmarkStart w:id="942" w:name="_Toc303539106"/>
      <w:bookmarkStart w:id="943" w:name="_Toc297216155"/>
      <w:r>
        <w:rPr>
          <w:rFonts w:hint="eastAsia" w:ascii="微软雅黑" w:hAnsi="微软雅黑" w:eastAsia="微软雅黑" w:cs="微软雅黑"/>
          <w:color w:val="auto"/>
          <w:sz w:val="24"/>
          <w:szCs w:val="24"/>
          <w:highlight w:val="none"/>
        </w:rPr>
        <w:t>.1.1 特殊质量标准和要求：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关于工程奖项的约定：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 隐蔽工程检查</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5.3.2承包人提前通知监理人隐蔽工程检查的期限的约定：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监理人不能按时进行检查时，应提前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小时提交书面延期要求。</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关于延期最长不得超过：</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小时。</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44" w:name="_Toc351203638"/>
      <w:r>
        <w:rPr>
          <w:rFonts w:hint="eastAsia" w:ascii="微软雅黑" w:hAnsi="微软雅黑" w:eastAsia="微软雅黑" w:cs="微软雅黑"/>
          <w:b w:val="0"/>
          <w:color w:val="auto"/>
          <w:sz w:val="24"/>
          <w:szCs w:val="24"/>
          <w:highlight w:val="none"/>
        </w:rPr>
        <w:t>6. 安全文明施工与环境保护</w:t>
      </w:r>
      <w:bookmarkEnd w:id="944"/>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6.1安全文明施工</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6.1.1 项目安全生产的达标目标及相应事项的约定：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6.1.4 关于治安保卫的特别约定：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关于编制施工场地治安管理计划的约定：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6.1.5 文明施工</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合同当事人对文明施工的要求：</w:t>
      </w:r>
      <w:r>
        <w:rPr>
          <w:rFonts w:hint="eastAsia" w:ascii="微软雅黑" w:hAnsi="微软雅黑" w:eastAsia="微软雅黑" w:cs="微软雅黑"/>
          <w:color w:val="auto"/>
          <w:kern w:val="0"/>
          <w:sz w:val="24"/>
          <w:szCs w:val="24"/>
          <w:highlight w:val="none"/>
          <w:u w:val="singl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6.1.6 关于安全文明施工费支付比例和支付期限的约定：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bookmarkEnd w:id="937"/>
    <w:bookmarkEnd w:id="938"/>
    <w:bookmarkEnd w:id="939"/>
    <w:bookmarkEnd w:id="940"/>
    <w:bookmarkEnd w:id="941"/>
    <w:bookmarkEnd w:id="942"/>
    <w:bookmarkEnd w:id="943"/>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45" w:name="_Toc351203639"/>
      <w:r>
        <w:rPr>
          <w:rFonts w:hint="eastAsia" w:ascii="微软雅黑" w:hAnsi="微软雅黑" w:eastAsia="微软雅黑" w:cs="微软雅黑"/>
          <w:b w:val="0"/>
          <w:color w:val="auto"/>
          <w:sz w:val="24"/>
          <w:szCs w:val="24"/>
          <w:highlight w:val="none"/>
        </w:rPr>
        <w:t>7. 工期和进度</w:t>
      </w:r>
      <w:bookmarkEnd w:id="945"/>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7.1 施工组织设计</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7.1.1 合</w:t>
      </w:r>
      <w:r>
        <w:rPr>
          <w:rFonts w:hint="eastAsia" w:ascii="微软雅黑" w:hAnsi="微软雅黑" w:eastAsia="微软雅黑" w:cs="微软雅黑"/>
          <w:color w:val="auto"/>
          <w:kern w:val="0"/>
          <w:sz w:val="24"/>
          <w:szCs w:val="24"/>
          <w:highlight w:val="none"/>
        </w:rPr>
        <w:t>同当事人约定的施工组织设计应包括的其他内容：</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7.1.2 </w:t>
      </w:r>
      <w:r>
        <w:rPr>
          <w:rFonts w:hint="eastAsia" w:ascii="微软雅黑" w:hAnsi="微软雅黑" w:eastAsia="微软雅黑" w:cs="微软雅黑"/>
          <w:color w:val="auto"/>
          <w:kern w:val="0"/>
          <w:sz w:val="24"/>
          <w:szCs w:val="24"/>
          <w:highlight w:val="none"/>
        </w:rPr>
        <w:t>施工组织设计的提交和修改</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承包人提交详细施工组织设计的期限的约定：</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发包人和监理人在收到详细的施工组织设计后确认或提出修改意见的期限：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46" w:name="_Toc300934966"/>
      <w:bookmarkStart w:id="947" w:name="_Toc303539123"/>
      <w:bookmarkStart w:id="948" w:name="_Toc297123514"/>
      <w:bookmarkStart w:id="949" w:name="_Toc312677479"/>
      <w:bookmarkStart w:id="950" w:name="_Toc297216173"/>
      <w:bookmarkStart w:id="951" w:name="_Toc312678005"/>
      <w:bookmarkStart w:id="952" w:name="_Toc304295541"/>
      <w:r>
        <w:rPr>
          <w:rFonts w:hint="eastAsia" w:ascii="微软雅黑" w:hAnsi="微软雅黑" w:eastAsia="微软雅黑" w:cs="微软雅黑"/>
          <w:color w:val="auto"/>
          <w:sz w:val="24"/>
          <w:szCs w:val="24"/>
          <w:highlight w:val="none"/>
        </w:rPr>
        <w:t>.2 施工进度计划</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7.2.2 施工进度计划的修订</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发包人和监理人在收到修订的施工进度计划后确认或提出修改意见的期限：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 开工</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7.3.1 开工准备</w:t>
      </w:r>
    </w:p>
    <w:p>
      <w:pPr>
        <w:keepLines w:val="0"/>
        <w:pageBreakBefore w:val="0"/>
        <w:kinsoku/>
        <w:wordWrap/>
        <w:overflowPunct/>
        <w:topLinePunct w:val="0"/>
        <w:bidi w:val="0"/>
        <w:adjustRightInd w:val="0"/>
        <w:snapToGrid w:val="0"/>
        <w:spacing w:line="480" w:lineRule="exact"/>
        <w:ind w:right="-19" w:rightChars="-9" w:firstLine="645"/>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关于承包人提交</w:t>
      </w:r>
      <w:r>
        <w:rPr>
          <w:rFonts w:hint="eastAsia" w:ascii="微软雅黑" w:hAnsi="微软雅黑" w:eastAsia="微软雅黑" w:cs="微软雅黑"/>
          <w:color w:val="auto"/>
          <w:kern w:val="0"/>
          <w:sz w:val="24"/>
          <w:szCs w:val="24"/>
          <w:highlight w:val="none"/>
        </w:rPr>
        <w:t>工程开工报审表的期限：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64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关于发包人应完成的其他开工准备工作及期限：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关于承包人应完成的其他开工准备工作及期限：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7.3.2开工通知</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因发包人原因造成监理人未能在计划开工日期之日起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天内发出开工通知的，承包人有权提出价格调整要求，或者解除合同。</w:t>
      </w:r>
    </w:p>
    <w:bookmarkEnd w:id="946"/>
    <w:bookmarkEnd w:id="947"/>
    <w:bookmarkEnd w:id="948"/>
    <w:bookmarkEnd w:id="949"/>
    <w:bookmarkEnd w:id="950"/>
    <w:bookmarkEnd w:id="951"/>
    <w:bookmarkEnd w:id="952"/>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7.4 测量放线</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7.4.1发包人通过监理人向承包人提供测量基准点、基准线和水准点及其书面资料的期限：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53" w:name="_Toc304295546"/>
      <w:bookmarkStart w:id="954" w:name="_Toc300934968"/>
      <w:bookmarkStart w:id="955" w:name="_Toc312678010"/>
      <w:bookmarkStart w:id="956" w:name="_Toc303539125"/>
      <w:bookmarkStart w:id="957" w:name="_Toc297123516"/>
      <w:bookmarkStart w:id="958" w:name="_Toc312677484"/>
      <w:bookmarkStart w:id="959" w:name="_Toc297216175"/>
      <w:r>
        <w:rPr>
          <w:rFonts w:hint="eastAsia" w:ascii="微软雅黑" w:hAnsi="微软雅黑" w:eastAsia="微软雅黑" w:cs="微软雅黑"/>
          <w:color w:val="auto"/>
          <w:sz w:val="24"/>
          <w:szCs w:val="24"/>
          <w:highlight w:val="none"/>
        </w:rPr>
        <w:t>.5 工期延误</w:t>
      </w:r>
    </w:p>
    <w:bookmarkEnd w:id="953"/>
    <w:bookmarkEnd w:id="954"/>
    <w:bookmarkEnd w:id="955"/>
    <w:bookmarkEnd w:id="956"/>
    <w:bookmarkEnd w:id="957"/>
    <w:bookmarkEnd w:id="958"/>
    <w:bookmarkEnd w:id="959"/>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7.5.1 因发包人原因导致工期延误</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（7）因发包人原因导致工期延误的其他情形：</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60" w:name="_Toc312678012"/>
      <w:bookmarkStart w:id="961" w:name="_Toc312677486"/>
      <w:bookmarkStart w:id="962" w:name="_Toc318581169"/>
      <w:bookmarkStart w:id="963" w:name="_Toc300934970"/>
      <w:bookmarkStart w:id="964" w:name="_Toc297123518"/>
      <w:bookmarkStart w:id="965" w:name="_Toc304295548"/>
      <w:bookmarkStart w:id="966" w:name="_Toc297216177"/>
      <w:bookmarkStart w:id="967" w:name="_Toc303539127"/>
      <w:r>
        <w:rPr>
          <w:rFonts w:hint="eastAsia" w:ascii="微软雅黑" w:hAnsi="微软雅黑" w:eastAsia="微软雅黑" w:cs="微软雅黑"/>
          <w:color w:val="auto"/>
          <w:sz w:val="24"/>
          <w:szCs w:val="24"/>
          <w:highlight w:val="none"/>
        </w:rPr>
        <w:t>.5.2 因承包人原因导致工期延误</w:t>
      </w:r>
    </w:p>
    <w:bookmarkEnd w:id="960"/>
    <w:bookmarkEnd w:id="961"/>
    <w:bookmarkEnd w:id="962"/>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因</w:t>
      </w:r>
      <w:bookmarkStart w:id="968" w:name="_Toc312678013"/>
      <w:bookmarkStart w:id="969" w:name="_Toc312677487"/>
      <w:bookmarkStart w:id="970" w:name="_Toc318581170"/>
      <w:r>
        <w:rPr>
          <w:rFonts w:hint="eastAsia" w:ascii="微软雅黑" w:hAnsi="微软雅黑" w:eastAsia="微软雅黑" w:cs="微软雅黑"/>
          <w:color w:val="auto"/>
          <w:sz w:val="24"/>
          <w:szCs w:val="24"/>
          <w:highlight w:val="none"/>
        </w:rPr>
        <w:t>承包人原因造成工期延误，逾期竣工违约金的计算方法为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bookmarkEnd w:id="963"/>
      <w:bookmarkEnd w:id="964"/>
      <w:bookmarkEnd w:id="965"/>
      <w:bookmarkEnd w:id="966"/>
      <w:bookmarkEnd w:id="967"/>
      <w:bookmarkEnd w:id="968"/>
      <w:bookmarkEnd w:id="969"/>
    </w:p>
    <w:bookmarkEnd w:id="970"/>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因承包人原因造成工期延误，逾</w:t>
      </w:r>
      <w:bookmarkStart w:id="971" w:name="_Toc318581171"/>
      <w:bookmarkStart w:id="972" w:name="_Toc312678014"/>
      <w:r>
        <w:rPr>
          <w:rFonts w:hint="eastAsia" w:ascii="微软雅黑" w:hAnsi="微软雅黑" w:eastAsia="微软雅黑" w:cs="微软雅黑"/>
          <w:color w:val="auto"/>
          <w:sz w:val="24"/>
          <w:szCs w:val="24"/>
          <w:highlight w:val="none"/>
        </w:rPr>
        <w:t>期竣工违约金的上限：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7.5.3双方约定工程顺延的其他情</w:t>
      </w:r>
      <w:bookmarkEnd w:id="971"/>
      <w:bookmarkEnd w:id="972"/>
      <w:bookmarkStart w:id="973" w:name="_Toc297123520"/>
      <w:bookmarkStart w:id="974" w:name="_Toc303539129"/>
      <w:bookmarkStart w:id="975" w:name="_Toc297216179"/>
      <w:bookmarkStart w:id="976" w:name="_Toc300934972"/>
      <w:bookmarkStart w:id="977" w:name="_Toc312678016"/>
      <w:bookmarkStart w:id="978" w:name="_Toc318581172"/>
      <w:bookmarkStart w:id="979" w:name="_Toc304295550"/>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80" w:name="_Toc297216178"/>
      <w:bookmarkStart w:id="981" w:name="_Toc300934971"/>
      <w:bookmarkStart w:id="982" w:name="_Toc297123519"/>
      <w:bookmarkStart w:id="983" w:name="_Toc312678015"/>
      <w:bookmarkStart w:id="984" w:name="_Toc303539128"/>
      <w:bookmarkStart w:id="985" w:name="_Toc304295549"/>
      <w:r>
        <w:rPr>
          <w:rFonts w:hint="eastAsia" w:ascii="微软雅黑" w:hAnsi="微软雅黑" w:eastAsia="微软雅黑" w:cs="微软雅黑"/>
          <w:color w:val="auto"/>
          <w:sz w:val="24"/>
          <w:szCs w:val="24"/>
          <w:highlight w:val="none"/>
        </w:rPr>
        <w:t>.6 不</w:t>
      </w:r>
      <w:bookmarkEnd w:id="980"/>
      <w:bookmarkEnd w:id="981"/>
      <w:bookmarkEnd w:id="982"/>
      <w:bookmarkEnd w:id="983"/>
      <w:bookmarkEnd w:id="984"/>
      <w:bookmarkEnd w:id="985"/>
      <w:r>
        <w:rPr>
          <w:rFonts w:hint="eastAsia" w:ascii="微软雅黑" w:hAnsi="微软雅黑" w:eastAsia="微软雅黑" w:cs="微软雅黑"/>
          <w:color w:val="auto"/>
          <w:sz w:val="24"/>
          <w:szCs w:val="24"/>
          <w:highlight w:val="none"/>
        </w:rPr>
        <w:t>利物质条件</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不利物质条件的其他情形和有关约定：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973"/>
    <w:bookmarkEnd w:id="974"/>
    <w:bookmarkEnd w:id="975"/>
    <w:bookmarkEnd w:id="976"/>
    <w:bookmarkEnd w:id="977"/>
    <w:bookmarkEnd w:id="978"/>
    <w:bookmarkEnd w:id="979"/>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bookmarkStart w:id="986" w:name="_Toc300934973"/>
      <w:bookmarkStart w:id="987" w:name="_Toc312678017"/>
      <w:bookmarkStart w:id="988" w:name="_Toc304295551"/>
      <w:bookmarkStart w:id="989" w:name="_Toc297123521"/>
      <w:bookmarkStart w:id="990" w:name="_Toc297216180"/>
      <w:bookmarkStart w:id="991" w:name="_Toc303539130"/>
      <w:r>
        <w:rPr>
          <w:rFonts w:hint="eastAsia" w:ascii="微软雅黑" w:hAnsi="微软雅黑" w:eastAsia="微软雅黑" w:cs="微软雅黑"/>
          <w:color w:val="auto"/>
          <w:sz w:val="24"/>
          <w:szCs w:val="24"/>
          <w:highlight w:val="none"/>
        </w:rPr>
        <w:t>.7异常恶劣的气候条件</w:t>
      </w:r>
    </w:p>
    <w:bookmarkEnd w:id="986"/>
    <w:bookmarkEnd w:id="987"/>
    <w:bookmarkEnd w:id="988"/>
    <w:bookmarkEnd w:id="989"/>
    <w:bookmarkEnd w:id="990"/>
    <w:bookmarkEnd w:id="991"/>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发包人和承包人同意以下情形视为异常恶劣的气候条件：</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7.9 提前竣工的奖励</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7.9.2提前竣工的奖励：</w:t>
      </w:r>
      <w:r>
        <w:rPr>
          <w:rFonts w:hint="eastAsia" w:ascii="微软雅黑" w:hAnsi="微软雅黑" w:eastAsia="微软雅黑" w:cs="微软雅黑"/>
          <w:color w:val="auto"/>
          <w:sz w:val="24"/>
          <w:szCs w:val="24"/>
          <w:highlight w:val="none"/>
          <w:u w:val="single"/>
        </w:rPr>
        <w:t>无</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992" w:name="_Toc351203640"/>
      <w:r>
        <w:rPr>
          <w:rFonts w:hint="eastAsia" w:ascii="微软雅黑" w:hAnsi="微软雅黑" w:eastAsia="微软雅黑" w:cs="微软雅黑"/>
          <w:b w:val="0"/>
          <w:color w:val="auto"/>
          <w:sz w:val="24"/>
          <w:szCs w:val="24"/>
          <w:highlight w:val="none"/>
        </w:rPr>
        <w:t>8. 材料与设备</w:t>
      </w:r>
      <w:bookmarkEnd w:id="992"/>
    </w:p>
    <w:bookmarkEnd w:id="927"/>
    <w:bookmarkEnd w:id="928"/>
    <w:bookmarkEnd w:id="929"/>
    <w:bookmarkEnd w:id="930"/>
    <w:bookmarkEnd w:id="931"/>
    <w:bookmarkEnd w:id="932"/>
    <w:bookmarkEnd w:id="933"/>
    <w:bookmarkEnd w:id="934"/>
    <w:bookmarkEnd w:id="935"/>
    <w:bookmarkEnd w:id="936"/>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bookmarkStart w:id="993" w:name="_Toc297120467"/>
      <w:bookmarkStart w:id="994" w:name="_Toc296503167"/>
      <w:bookmarkStart w:id="995" w:name="_Toc280868654"/>
      <w:bookmarkStart w:id="996" w:name="_Toc312678019"/>
      <w:bookmarkStart w:id="997" w:name="_Toc300934979"/>
      <w:bookmarkStart w:id="998" w:name="_Toc296944506"/>
      <w:bookmarkStart w:id="999" w:name="_Toc296891207"/>
      <w:bookmarkStart w:id="1000" w:name="_Toc292559877"/>
      <w:bookmarkStart w:id="1001" w:name="_Toc296890995"/>
      <w:bookmarkStart w:id="1002" w:name="_Toc296347166"/>
      <w:bookmarkStart w:id="1003" w:name="_Toc312677493"/>
      <w:bookmarkStart w:id="1004" w:name="_Toc297216186"/>
      <w:bookmarkStart w:id="1005" w:name="_Toc303539136"/>
      <w:bookmarkStart w:id="1006" w:name="_Toc297123527"/>
      <w:bookmarkStart w:id="1007" w:name="_Toc304295556"/>
      <w:bookmarkStart w:id="1008" w:name="_Toc296346668"/>
      <w:bookmarkStart w:id="1009" w:name="_Toc297048353"/>
      <w:bookmarkStart w:id="1010" w:name="_Toc292559372"/>
      <w:bookmarkStart w:id="1011" w:name="_Toc267251424"/>
      <w:bookmarkStart w:id="1012" w:name="_Toc280868655"/>
      <w:bookmarkStart w:id="1013" w:name="_Toc280868656"/>
      <w:r>
        <w:rPr>
          <w:rFonts w:hint="eastAsia" w:ascii="微软雅黑" w:hAnsi="微软雅黑" w:eastAsia="微软雅黑" w:cs="微软雅黑"/>
          <w:color w:val="auto"/>
          <w:sz w:val="24"/>
          <w:szCs w:val="24"/>
          <w:highlight w:val="none"/>
        </w:rPr>
        <w:t>.4材料与工程设备的保管与使用</w:t>
      </w:r>
    </w:p>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pacing w:val="-20"/>
          <w:sz w:val="24"/>
          <w:szCs w:val="24"/>
          <w:highlight w:val="none"/>
          <w:u w:val="single"/>
        </w:rPr>
      </w:pPr>
      <w:r>
        <w:rPr>
          <w:rFonts w:hint="eastAsia" w:ascii="微软雅黑" w:hAnsi="微软雅黑" w:eastAsia="微软雅黑" w:cs="微软雅黑"/>
          <w:color w:val="auto"/>
          <w:sz w:val="24"/>
          <w:szCs w:val="24"/>
          <w:highlight w:val="none"/>
        </w:rPr>
        <w:t>8</w:t>
      </w:r>
      <w:bookmarkStart w:id="1014" w:name="_Toc292559878"/>
      <w:bookmarkStart w:id="1015" w:name="_Toc292559373"/>
      <w:bookmarkStart w:id="1016" w:name="_Toc318581173"/>
      <w:bookmarkStart w:id="1017" w:name="_Toc296890996"/>
      <w:bookmarkStart w:id="1018" w:name="_Toc303539137"/>
      <w:bookmarkStart w:id="1019" w:name="_Toc296346669"/>
      <w:bookmarkStart w:id="1020" w:name="_Toc297123528"/>
      <w:bookmarkStart w:id="1021" w:name="_Toc296503168"/>
      <w:bookmarkStart w:id="1022" w:name="_Toc296347167"/>
      <w:bookmarkStart w:id="1023" w:name="_Toc304295557"/>
      <w:bookmarkStart w:id="1024" w:name="_Toc300934980"/>
      <w:bookmarkStart w:id="1025" w:name="_Toc297120468"/>
      <w:bookmarkStart w:id="1026" w:name="_Toc297216187"/>
      <w:bookmarkStart w:id="1027" w:name="_Toc312678020"/>
      <w:bookmarkStart w:id="1028" w:name="_Toc296944507"/>
      <w:bookmarkStart w:id="1029" w:name="_Toc312677494"/>
      <w:bookmarkStart w:id="1030" w:name="_Toc296891208"/>
      <w:bookmarkStart w:id="1031" w:name="_Toc297048354"/>
      <w:r>
        <w:rPr>
          <w:rFonts w:hint="eastAsia" w:ascii="微软雅黑" w:hAnsi="微软雅黑" w:eastAsia="微软雅黑" w:cs="微软雅黑"/>
          <w:color w:val="auto"/>
          <w:sz w:val="24"/>
          <w:szCs w:val="24"/>
          <w:highlight w:val="none"/>
        </w:rPr>
        <w:t>.4.1发包人供应的材料设备的保管费用的承担：</w:t>
      </w:r>
      <w:bookmarkEnd w:id="1014"/>
      <w:bookmarkEnd w:id="1015"/>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pacing w:val="-20"/>
          <w:sz w:val="24"/>
          <w:szCs w:val="24"/>
          <w:highlight w:val="none"/>
          <w:u w:val="singl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8.6 样品</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8.6.1</w:t>
      </w:r>
      <w:r>
        <w:rPr>
          <w:rFonts w:hint="eastAsia" w:ascii="微软雅黑" w:hAnsi="微软雅黑" w:eastAsia="微软雅黑" w:cs="微软雅黑"/>
          <w:color w:val="auto"/>
          <w:kern w:val="0"/>
          <w:sz w:val="24"/>
          <w:szCs w:val="24"/>
          <w:highlight w:val="none"/>
        </w:rPr>
        <w:tab/>
      </w:r>
      <w:r>
        <w:rPr>
          <w:rFonts w:hint="eastAsia" w:ascii="微软雅黑" w:hAnsi="微软雅黑" w:eastAsia="微软雅黑" w:cs="微软雅黑"/>
          <w:color w:val="auto"/>
          <w:kern w:val="0"/>
          <w:sz w:val="24"/>
          <w:szCs w:val="24"/>
          <w:highlight w:val="none"/>
        </w:rPr>
        <w:t>样品的报送与封存</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需要承包人报送样品的材料或工程设备，样品的种类、名称、规格、数量要求：</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8.8 施工设备和临时设施</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8.8.1 承包人提供的施工设备和临时设施</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关于修建临时设施费用承担的约定：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032" w:name="_Toc351203641"/>
      <w:r>
        <w:rPr>
          <w:rFonts w:hint="eastAsia" w:ascii="微软雅黑" w:hAnsi="微软雅黑" w:eastAsia="微软雅黑" w:cs="微软雅黑"/>
          <w:b w:val="0"/>
          <w:color w:val="auto"/>
          <w:sz w:val="24"/>
          <w:szCs w:val="24"/>
          <w:highlight w:val="none"/>
        </w:rPr>
        <w:t>9</w:t>
      </w:r>
      <w:bookmarkEnd w:id="1011"/>
      <w:bookmarkEnd w:id="1012"/>
      <w:bookmarkEnd w:id="1013"/>
      <w:bookmarkStart w:id="1033" w:name="_Toc312678021"/>
      <w:bookmarkStart w:id="1034" w:name="_Toc304295559"/>
      <w:bookmarkStart w:id="1035" w:name="_Toc303539139"/>
      <w:bookmarkStart w:id="1036" w:name="_Toc297216192"/>
      <w:bookmarkStart w:id="1037" w:name="_Toc312677495"/>
      <w:bookmarkStart w:id="1038" w:name="_Toc297123533"/>
      <w:bookmarkStart w:id="1039" w:name="_Toc300934982"/>
      <w:bookmarkStart w:id="1040" w:name="_Toc296891213"/>
      <w:bookmarkStart w:id="1041" w:name="_Toc292559378"/>
      <w:bookmarkStart w:id="1042" w:name="_Toc267251428"/>
      <w:bookmarkStart w:id="1043" w:name="_Toc297120473"/>
      <w:bookmarkStart w:id="1044" w:name="_Toc296944512"/>
      <w:bookmarkStart w:id="1045" w:name="_Toc296891001"/>
      <w:bookmarkStart w:id="1046" w:name="_Toc297048359"/>
      <w:bookmarkStart w:id="1047" w:name="_Toc296346674"/>
      <w:bookmarkStart w:id="1048" w:name="_Toc296347172"/>
      <w:bookmarkStart w:id="1049" w:name="_Toc292559883"/>
      <w:bookmarkStart w:id="1050" w:name="_Toc267251427"/>
      <w:bookmarkStart w:id="1051" w:name="_Toc296503173"/>
      <w:r>
        <w:rPr>
          <w:rFonts w:hint="eastAsia" w:ascii="微软雅黑" w:hAnsi="微软雅黑" w:eastAsia="微软雅黑" w:cs="微软雅黑"/>
          <w:b w:val="0"/>
          <w:color w:val="auto"/>
          <w:sz w:val="24"/>
          <w:szCs w:val="24"/>
          <w:highlight w:val="none"/>
        </w:rPr>
        <w:t>. 试验与检验</w:t>
      </w:r>
      <w:bookmarkEnd w:id="1032"/>
    </w:p>
    <w:bookmarkEnd w:id="1033"/>
    <w:bookmarkEnd w:id="1034"/>
    <w:bookmarkEnd w:id="1035"/>
    <w:bookmarkEnd w:id="1036"/>
    <w:bookmarkEnd w:id="1037"/>
    <w:bookmarkEnd w:id="1038"/>
    <w:bookmarkEnd w:id="1039"/>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bookmarkStart w:id="1052" w:name="_Toc300934983"/>
      <w:bookmarkStart w:id="1053" w:name="_Toc303539140"/>
      <w:bookmarkStart w:id="1054" w:name="_Toc312678022"/>
      <w:bookmarkStart w:id="1055" w:name="_Toc297216193"/>
      <w:bookmarkStart w:id="1056" w:name="_Toc312677496"/>
      <w:bookmarkStart w:id="1057" w:name="_Toc297123534"/>
      <w:bookmarkStart w:id="1058" w:name="_Toc304295560"/>
      <w:r>
        <w:rPr>
          <w:rFonts w:hint="eastAsia" w:ascii="微软雅黑" w:hAnsi="微软雅黑" w:eastAsia="微软雅黑" w:cs="微软雅黑"/>
          <w:color w:val="auto"/>
          <w:sz w:val="24"/>
          <w:szCs w:val="24"/>
          <w:highlight w:val="none"/>
        </w:rPr>
        <w:t>.1试验设备与试验人员</w:t>
      </w:r>
    </w:p>
    <w:bookmarkEnd w:id="1052"/>
    <w:bookmarkEnd w:id="1053"/>
    <w:bookmarkEnd w:id="1054"/>
    <w:bookmarkEnd w:id="1055"/>
    <w:bookmarkEnd w:id="1056"/>
    <w:bookmarkEnd w:id="1057"/>
    <w:bookmarkEnd w:id="1058"/>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bookmarkStart w:id="1059" w:name="_Toc312678023"/>
      <w:bookmarkStart w:id="1060" w:name="_Toc304295561"/>
      <w:bookmarkStart w:id="1061" w:name="_Toc297216194"/>
      <w:bookmarkStart w:id="1062" w:name="_Toc312677497"/>
      <w:bookmarkStart w:id="1063" w:name="_Toc300934984"/>
      <w:bookmarkStart w:id="1064" w:name="_Toc303539141"/>
      <w:bookmarkStart w:id="1065" w:name="_Toc297123535"/>
      <w:bookmarkStart w:id="1066" w:name="_Toc318581174"/>
      <w:r>
        <w:rPr>
          <w:rFonts w:hint="eastAsia" w:ascii="微软雅黑" w:hAnsi="微软雅黑" w:eastAsia="微软雅黑" w:cs="微软雅黑"/>
          <w:color w:val="auto"/>
          <w:sz w:val="24"/>
          <w:szCs w:val="24"/>
          <w:highlight w:val="none"/>
        </w:rPr>
        <w:t>.1.2 试验设备</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施工现场需要配置的试验场所：</w:t>
      </w:r>
      <w:bookmarkEnd w:id="1059"/>
      <w:bookmarkEnd w:id="1060"/>
      <w:bookmarkEnd w:id="1061"/>
      <w:bookmarkEnd w:id="1062"/>
      <w:bookmarkEnd w:id="1063"/>
      <w:bookmarkEnd w:id="1064"/>
      <w:bookmarkEnd w:id="1065"/>
      <w:bookmarkStart w:id="1067" w:name="_Toc303539142"/>
      <w:bookmarkStart w:id="1068" w:name="_Toc312677498"/>
      <w:bookmarkStart w:id="1069" w:name="_Toc300934985"/>
      <w:bookmarkStart w:id="1070" w:name="_Toc304295562"/>
      <w:bookmarkStart w:id="1071" w:name="_Toc297123536"/>
      <w:bookmarkStart w:id="1072" w:name="_Toc297216195"/>
      <w:bookmarkStart w:id="1073" w:name="_Toc312678024"/>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施工现场需要配备的试验设备：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施工现场需要具备的其他试验条件：</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9.4 现场工艺试验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现场工艺试验的有关约定：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066"/>
    <w:bookmarkEnd w:id="1067"/>
    <w:bookmarkEnd w:id="1068"/>
    <w:bookmarkEnd w:id="1069"/>
    <w:bookmarkEnd w:id="1070"/>
    <w:bookmarkEnd w:id="1071"/>
    <w:bookmarkEnd w:id="1072"/>
    <w:bookmarkEnd w:id="1073"/>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074" w:name="_Toc351203642"/>
      <w:r>
        <w:rPr>
          <w:rFonts w:hint="eastAsia" w:ascii="微软雅黑" w:hAnsi="微软雅黑" w:eastAsia="微软雅黑" w:cs="微软雅黑"/>
          <w:b w:val="0"/>
          <w:color w:val="auto"/>
          <w:sz w:val="24"/>
          <w:szCs w:val="24"/>
          <w:highlight w:val="none"/>
        </w:rPr>
        <w:t>1</w:t>
      </w:r>
      <w:bookmarkEnd w:id="1040"/>
      <w:bookmarkEnd w:id="1041"/>
      <w:bookmarkEnd w:id="1042"/>
      <w:bookmarkEnd w:id="1043"/>
      <w:bookmarkEnd w:id="1044"/>
      <w:bookmarkEnd w:id="1045"/>
      <w:bookmarkEnd w:id="1046"/>
      <w:bookmarkEnd w:id="1047"/>
      <w:bookmarkEnd w:id="1048"/>
      <w:bookmarkEnd w:id="1049"/>
      <w:bookmarkEnd w:id="1050"/>
      <w:bookmarkEnd w:id="1051"/>
      <w:bookmarkStart w:id="1075" w:name="_Toc297048379"/>
      <w:bookmarkStart w:id="1076" w:name="_Toc296891233"/>
      <w:bookmarkStart w:id="1077" w:name="_Toc304295566"/>
      <w:bookmarkStart w:id="1078" w:name="_Toc297123540"/>
      <w:bookmarkStart w:id="1079" w:name="_Toc300934989"/>
      <w:bookmarkStart w:id="1080" w:name="_Toc296944532"/>
      <w:bookmarkStart w:id="1081" w:name="_Toc292559398"/>
      <w:bookmarkStart w:id="1082" w:name="_Toc296891021"/>
      <w:bookmarkStart w:id="1083" w:name="_Toc297120493"/>
      <w:bookmarkStart w:id="1084" w:name="_Toc296347192"/>
      <w:bookmarkStart w:id="1085" w:name="_Toc292559903"/>
      <w:bookmarkStart w:id="1086" w:name="_Toc297216199"/>
      <w:bookmarkStart w:id="1087" w:name="_Toc296346694"/>
      <w:bookmarkStart w:id="1088" w:name="_Toc303539146"/>
      <w:bookmarkStart w:id="1089" w:name="_Toc296503193"/>
      <w:bookmarkStart w:id="1090" w:name="_Toc312677499"/>
      <w:bookmarkStart w:id="1091" w:name="_Toc312678025"/>
      <w:bookmarkStart w:id="1092" w:name="_Toc267251435"/>
      <w:bookmarkStart w:id="1093" w:name="_Toc267251433"/>
      <w:bookmarkStart w:id="1094" w:name="_Toc267251437"/>
      <w:bookmarkStart w:id="1095" w:name="_Toc267251441"/>
      <w:bookmarkStart w:id="1096" w:name="_Toc267251440"/>
      <w:bookmarkStart w:id="1097" w:name="_Toc267251439"/>
      <w:bookmarkStart w:id="1098" w:name="_Toc267251442"/>
      <w:r>
        <w:rPr>
          <w:rFonts w:hint="eastAsia" w:ascii="微软雅黑" w:hAnsi="微软雅黑" w:eastAsia="微软雅黑" w:cs="微软雅黑"/>
          <w:b w:val="0"/>
          <w:color w:val="auto"/>
          <w:sz w:val="24"/>
          <w:szCs w:val="24"/>
          <w:highlight w:val="none"/>
        </w:rPr>
        <w:t>0. 变更</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bookmarkEnd w:id="1090"/>
    <w:bookmarkEnd w:id="1091"/>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1099" w:name="_Toc296503194"/>
      <w:bookmarkStart w:id="1100" w:name="_Toc297120494"/>
      <w:bookmarkStart w:id="1101" w:name="_Toc296347193"/>
      <w:bookmarkStart w:id="1102" w:name="_Toc297216200"/>
      <w:bookmarkStart w:id="1103" w:name="_Toc296346695"/>
      <w:bookmarkStart w:id="1104" w:name="_Toc297123541"/>
      <w:bookmarkStart w:id="1105" w:name="_Toc303539147"/>
      <w:bookmarkStart w:id="1106" w:name="_Toc304295567"/>
      <w:bookmarkStart w:id="1107" w:name="_Toc300934990"/>
      <w:bookmarkStart w:id="1108" w:name="_Toc296891234"/>
      <w:bookmarkStart w:id="1109" w:name="_Toc297048380"/>
      <w:bookmarkStart w:id="1110" w:name="_Toc296891022"/>
      <w:bookmarkStart w:id="1111" w:name="_Toc312677500"/>
      <w:bookmarkStart w:id="1112" w:name="_Toc312678026"/>
      <w:bookmarkStart w:id="1113" w:name="_Toc292559399"/>
      <w:bookmarkStart w:id="1114" w:name="_Toc296944533"/>
      <w:bookmarkStart w:id="1115" w:name="_Toc292559904"/>
      <w:r>
        <w:rPr>
          <w:rFonts w:hint="eastAsia" w:ascii="微软雅黑" w:hAnsi="微软雅黑" w:eastAsia="微软雅黑" w:cs="微软雅黑"/>
          <w:color w:val="auto"/>
          <w:sz w:val="24"/>
          <w:szCs w:val="24"/>
          <w:highlight w:val="none"/>
        </w:rPr>
        <w:t>0.1变更的范围</w:t>
      </w:r>
    </w:p>
    <w:p>
      <w:pPr>
        <w:keepLines w:val="0"/>
        <w:pageBreakBefore w:val="0"/>
        <w:kinsoku/>
        <w:wordWrap/>
        <w:overflowPunct/>
        <w:topLinePunct w:val="0"/>
        <w:bidi w:val="0"/>
        <w:adjustRightInd w:val="0"/>
        <w:snapToGrid w:val="0"/>
        <w:spacing w:line="480" w:lineRule="exact"/>
        <w:ind w:right="-19" w:rightChars="-9" w:firstLine="6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关于变更的范围的约定：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 变更估价</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10.4.1 变更估价原则</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关于变更估价的约定: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Start w:id="1116" w:name="_Toc296347196"/>
      <w:bookmarkStart w:id="1117" w:name="_Toc296944536"/>
      <w:bookmarkStart w:id="1118" w:name="_Toc297216203"/>
      <w:bookmarkStart w:id="1119" w:name="_Toc296346698"/>
      <w:bookmarkStart w:id="1120" w:name="_Toc296891025"/>
      <w:bookmarkStart w:id="1121" w:name="_Toc297120497"/>
      <w:bookmarkStart w:id="1122" w:name="_Toc297048383"/>
      <w:bookmarkStart w:id="1123" w:name="_Toc296891237"/>
      <w:bookmarkStart w:id="1124" w:name="_Toc296503197"/>
      <w:bookmarkStart w:id="1125" w:name="_Toc297123544"/>
      <w:bookmarkStart w:id="1126" w:name="_Toc303539150"/>
      <w:bookmarkStart w:id="1127" w:name="_Toc292559907"/>
      <w:bookmarkStart w:id="1128" w:name="_Toc300934993"/>
      <w:bookmarkStart w:id="1129" w:name="_Toc292559402"/>
      <w:bookmarkStart w:id="1130" w:name="_Toc304295570"/>
      <w:bookmarkStart w:id="1131" w:name="_Toc312678029"/>
      <w:bookmarkStart w:id="1132" w:name="_Toc312677503"/>
      <w:r>
        <w:rPr>
          <w:rFonts w:hint="eastAsia" w:ascii="微软雅黑" w:hAnsi="微软雅黑" w:eastAsia="微软雅黑" w:cs="微软雅黑"/>
          <w:color w:val="auto"/>
          <w:sz w:val="24"/>
          <w:szCs w:val="24"/>
          <w:highlight w:val="none"/>
        </w:rPr>
        <w:t>0.5承</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Start w:id="1133" w:name="_Toc296891031"/>
      <w:bookmarkStart w:id="1134" w:name="_Toc292559913"/>
      <w:bookmarkStart w:id="1135" w:name="_Toc303539151"/>
      <w:bookmarkStart w:id="1136" w:name="_Toc300934994"/>
      <w:bookmarkStart w:id="1137" w:name="_Toc296347202"/>
      <w:bookmarkStart w:id="1138" w:name="_Toc296944542"/>
      <w:bookmarkStart w:id="1139" w:name="_Toc292559408"/>
      <w:bookmarkStart w:id="1140" w:name="_Toc296346704"/>
      <w:bookmarkStart w:id="1141" w:name="_Toc297123545"/>
      <w:bookmarkStart w:id="1142" w:name="_Toc296503203"/>
      <w:bookmarkStart w:id="1143" w:name="_Toc297216204"/>
      <w:bookmarkStart w:id="1144" w:name="_Toc297120503"/>
      <w:bookmarkStart w:id="1145" w:name="_Toc297048389"/>
      <w:bookmarkStart w:id="1146" w:name="_Toc296891243"/>
      <w:r>
        <w:rPr>
          <w:rFonts w:hint="eastAsia" w:ascii="微软雅黑" w:hAnsi="微软雅黑" w:eastAsia="微软雅黑" w:cs="微软雅黑"/>
          <w:color w:val="auto"/>
          <w:sz w:val="24"/>
          <w:szCs w:val="24"/>
          <w:highlight w:val="none"/>
        </w:rPr>
        <w:t>包人的合理化建议</w:t>
      </w:r>
    </w:p>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监理人审查承包人合理化建议的期限：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发包人审批承包人合理化建议的期限：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承</w:t>
      </w:r>
      <w:bookmarkStart w:id="1147" w:name="_Toc297216205"/>
      <w:bookmarkStart w:id="1148" w:name="_Toc312677504"/>
      <w:bookmarkStart w:id="1149" w:name="_Toc296891032"/>
      <w:bookmarkStart w:id="1150" w:name="_Toc318581175"/>
      <w:bookmarkStart w:id="1151" w:name="_Toc303539152"/>
      <w:bookmarkStart w:id="1152" w:name="_Toc296503204"/>
      <w:bookmarkStart w:id="1153" w:name="_Toc304295571"/>
      <w:bookmarkStart w:id="1154" w:name="_Toc297048390"/>
      <w:bookmarkStart w:id="1155" w:name="_Toc297120504"/>
      <w:bookmarkStart w:id="1156" w:name="_Toc297123546"/>
      <w:bookmarkStart w:id="1157" w:name="_Toc312678030"/>
      <w:bookmarkStart w:id="1158" w:name="_Toc296944543"/>
      <w:bookmarkStart w:id="1159" w:name="_Toc296347203"/>
      <w:bookmarkStart w:id="1160" w:name="_Toc292559914"/>
      <w:bookmarkStart w:id="1161" w:name="_Toc300934995"/>
      <w:bookmarkStart w:id="1162" w:name="_Toc296891244"/>
      <w:bookmarkStart w:id="1163" w:name="_Toc292559409"/>
      <w:bookmarkStart w:id="1164" w:name="_Toc296346705"/>
      <w:r>
        <w:rPr>
          <w:rFonts w:hint="eastAsia" w:ascii="微软雅黑" w:hAnsi="微软雅黑" w:eastAsia="微软雅黑" w:cs="微软雅黑"/>
          <w:color w:val="auto"/>
          <w:sz w:val="24"/>
          <w:szCs w:val="24"/>
          <w:highlight w:val="none"/>
        </w:rPr>
        <w:t>包人提出的合理化建议降低了合同价格或者提高了工程经济效益的奖励的方法和金额为：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1165" w:name="_Toc292559404"/>
      <w:bookmarkStart w:id="1166" w:name="_Toc292559909"/>
      <w:bookmarkStart w:id="1167" w:name="_Toc297048385"/>
      <w:bookmarkStart w:id="1168" w:name="_Toc296503199"/>
      <w:bookmarkStart w:id="1169" w:name="_Toc296347198"/>
      <w:bookmarkStart w:id="1170" w:name="_Toc296944538"/>
      <w:bookmarkStart w:id="1171" w:name="_Toc297216207"/>
      <w:bookmarkStart w:id="1172" w:name="_Toc297120499"/>
      <w:bookmarkStart w:id="1173" w:name="_Toc296891027"/>
      <w:bookmarkStart w:id="1174" w:name="_Toc303539154"/>
      <w:bookmarkStart w:id="1175" w:name="_Toc300934997"/>
      <w:bookmarkStart w:id="1176" w:name="_Toc312677507"/>
      <w:bookmarkStart w:id="1177" w:name="_Toc296346700"/>
      <w:bookmarkStart w:id="1178" w:name="_Toc304295574"/>
      <w:bookmarkStart w:id="1179" w:name="_Toc297123548"/>
      <w:bookmarkStart w:id="1180" w:name="_Toc296891239"/>
      <w:bookmarkStart w:id="1181" w:name="_Toc312678033"/>
      <w:r>
        <w:rPr>
          <w:rFonts w:hint="eastAsia" w:ascii="微软雅黑" w:hAnsi="微软雅黑" w:eastAsia="微软雅黑" w:cs="微软雅黑"/>
          <w:color w:val="auto"/>
          <w:sz w:val="24"/>
          <w:szCs w:val="24"/>
          <w:highlight w:val="none"/>
        </w:rPr>
        <w:t>0.7 暂估价</w:t>
      </w:r>
    </w:p>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暂</w:t>
      </w:r>
      <w:bookmarkStart w:id="1182" w:name="_Toc312677508"/>
      <w:bookmarkStart w:id="1183" w:name="_Toc318581176"/>
      <w:bookmarkStart w:id="1184" w:name="_Toc312678034"/>
      <w:r>
        <w:rPr>
          <w:rFonts w:hint="eastAsia" w:ascii="微软雅黑" w:hAnsi="微软雅黑" w:eastAsia="微软雅黑" w:cs="微软雅黑"/>
          <w:color w:val="auto"/>
          <w:kern w:val="0"/>
          <w:sz w:val="24"/>
          <w:szCs w:val="24"/>
          <w:highlight w:val="none"/>
        </w:rPr>
        <w:t>估价材料和工程设备的明细详见附件11：《</w:t>
      </w:r>
      <w:r>
        <w:rPr>
          <w:rFonts w:hint="eastAsia" w:ascii="微软雅黑" w:hAnsi="微软雅黑" w:eastAsia="微软雅黑" w:cs="微软雅黑"/>
          <w:color w:val="auto"/>
          <w:sz w:val="24"/>
          <w:szCs w:val="24"/>
          <w:highlight w:val="none"/>
        </w:rPr>
        <w:t>暂估价一览表》</w:t>
      </w:r>
      <w:r>
        <w:rPr>
          <w:rFonts w:hint="eastAsia" w:ascii="微软雅黑" w:hAnsi="微软雅黑" w:eastAsia="微软雅黑" w:cs="微软雅黑"/>
          <w:color w:val="auto"/>
          <w:kern w:val="0"/>
          <w:sz w:val="24"/>
          <w:szCs w:val="24"/>
          <w:highlight w:val="none"/>
        </w:rPr>
        <w:t>。</w:t>
      </w:r>
    </w:p>
    <w:bookmarkEnd w:id="1182"/>
    <w:bookmarkEnd w:id="1183"/>
    <w:bookmarkEnd w:id="1184"/>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Start w:id="1185" w:name="_Toc312677509"/>
      <w:bookmarkStart w:id="1186" w:name="_Toc312678035"/>
      <w:bookmarkStart w:id="1187" w:name="_Toc318581177"/>
      <w:r>
        <w:rPr>
          <w:rFonts w:hint="eastAsia" w:ascii="微软雅黑" w:hAnsi="微软雅黑" w:eastAsia="微软雅黑" w:cs="微软雅黑"/>
          <w:color w:val="auto"/>
          <w:sz w:val="24"/>
          <w:szCs w:val="24"/>
          <w:highlight w:val="none"/>
        </w:rPr>
        <w:t>0.7.1 依法必须招标的暂估价项目</w:t>
      </w:r>
    </w:p>
    <w:bookmarkEnd w:id="1185"/>
    <w:bookmarkEnd w:id="1186"/>
    <w:bookmarkEnd w:id="1187"/>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对于依法必须招标的暂估价项目的确认和批准采取第</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种方式确定。</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10.7.2 不属于依法必须招标的暂估价项目</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对于不属于依法必须招标的暂估价项目的确认和批准采取第</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种方式确定。</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第3种方式：</w:t>
      </w:r>
      <w:r>
        <w:rPr>
          <w:rFonts w:hint="eastAsia" w:ascii="微软雅黑" w:hAnsi="微软雅黑" w:eastAsia="微软雅黑" w:cs="微软雅黑"/>
          <w:color w:val="auto"/>
          <w:kern w:val="0"/>
          <w:sz w:val="24"/>
          <w:szCs w:val="24"/>
          <w:highlight w:val="none"/>
        </w:rPr>
        <w:t>承包人直接实施的暂估价项目</w:t>
      </w:r>
    </w:p>
    <w:p>
      <w:pPr>
        <w:keepLines w:val="0"/>
        <w:pageBreakBefore w:val="0"/>
        <w:kinsoku/>
        <w:wordWrap/>
        <w:overflowPunct/>
        <w:topLinePunct w:val="0"/>
        <w:bidi w:val="0"/>
        <w:adjustRightInd w:val="0"/>
        <w:snapToGrid w:val="0"/>
        <w:spacing w:line="480" w:lineRule="exact"/>
        <w:ind w:left="315" w:leftChars="150" w:right="-19" w:rightChars="-9" w:firstLine="360" w:firstLineChars="15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承包人直接实施的暂估价项目的约定：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10.8 暂列金额</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合同当事人关于暂列金额使用的约定：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188" w:name="_Toc351203643"/>
      <w:r>
        <w:rPr>
          <w:rFonts w:hint="eastAsia" w:ascii="微软雅黑" w:hAnsi="微软雅黑" w:eastAsia="微软雅黑" w:cs="微软雅黑"/>
          <w:b w:val="0"/>
          <w:color w:val="auto"/>
          <w:sz w:val="24"/>
          <w:szCs w:val="24"/>
          <w:highlight w:val="none"/>
        </w:rPr>
        <w:t>11. 价格调整</w:t>
      </w:r>
      <w:bookmarkEnd w:id="1188"/>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189" w:name="_Toc296891241"/>
      <w:bookmarkStart w:id="1190" w:name="_Toc297123550"/>
      <w:bookmarkStart w:id="1191" w:name="_Toc292559406"/>
      <w:bookmarkStart w:id="1192" w:name="_Toc292559911"/>
      <w:bookmarkStart w:id="1193" w:name="_Toc300935000"/>
      <w:bookmarkStart w:id="1194" w:name="_Toc297048387"/>
      <w:bookmarkStart w:id="1195" w:name="_Toc303539157"/>
      <w:bookmarkStart w:id="1196" w:name="_Toc296891029"/>
      <w:bookmarkStart w:id="1197" w:name="_Toc297216209"/>
      <w:bookmarkStart w:id="1198" w:name="_Toc297120501"/>
      <w:bookmarkStart w:id="1199" w:name="_Toc304295577"/>
      <w:bookmarkStart w:id="1200" w:name="_Toc296346702"/>
      <w:bookmarkStart w:id="1201" w:name="_Toc296944540"/>
      <w:bookmarkStart w:id="1202" w:name="_Toc296347200"/>
      <w:bookmarkStart w:id="1203" w:name="_Toc312678039"/>
      <w:bookmarkStart w:id="1204" w:name="_Toc296503201"/>
      <w:r>
        <w:rPr>
          <w:rFonts w:hint="eastAsia" w:ascii="微软雅黑" w:hAnsi="微软雅黑" w:eastAsia="微软雅黑" w:cs="微软雅黑"/>
          <w:color w:val="auto"/>
          <w:sz w:val="24"/>
          <w:szCs w:val="24"/>
          <w:highlight w:val="none"/>
        </w:rPr>
        <w:t>11.1 市场价格波动引起的调整</w:t>
      </w:r>
    </w:p>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市场价格波动是否调整合同价格的约定：</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因市场价格波动调整合同价格，采用以下第</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种方式对合同价格进行调整：</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第1种方式：采用价格指数进行价格调整。</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关于各可调因子、定值和变值权重，以及基本价格指数及其来源的约定：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第2种方式：采用造价信息进行价格调整。</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（2）关于基准价格的约定：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%时，或材料单价跌幅以已标价工程量清单或预算书中载明材料单价为基础超过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%时，其超过部分据实调整。</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%时，材料单价涨幅以已标价工程量清单或预算书中载明材料单价为基础超过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%时，其超过部分据实调整。</w:t>
      </w:r>
    </w:p>
    <w:p>
      <w:pPr>
        <w:keepLines w:val="0"/>
        <w:pageBreakBefore w:val="0"/>
        <w:kinsoku/>
        <w:wordWrap/>
        <w:overflowPunct/>
        <w:topLinePunct w:val="0"/>
        <w:bidi w:val="0"/>
        <w:adjustRightInd w:val="0"/>
        <w:snapToGrid w:val="0"/>
        <w:spacing w:line="480" w:lineRule="exact"/>
        <w:ind w:right="-19" w:rightChars="-9" w:firstLine="64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%时，其超过部分据实调整。</w:t>
      </w:r>
    </w:p>
    <w:p>
      <w:pPr>
        <w:keepLines w:val="0"/>
        <w:pageBreakBefore w:val="0"/>
        <w:kinsoku/>
        <w:wordWrap/>
        <w:overflowPunct/>
        <w:topLinePunct w:val="0"/>
        <w:bidi w:val="0"/>
        <w:adjustRightInd w:val="0"/>
        <w:snapToGrid w:val="0"/>
        <w:spacing w:line="480" w:lineRule="exact"/>
        <w:ind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第3种方式：其他价格调整方式：</w:t>
      </w:r>
      <w:r>
        <w:rPr>
          <w:rFonts w:hint="eastAsia" w:ascii="微软雅黑" w:hAnsi="微软雅黑" w:eastAsia="微软雅黑" w:cs="微软雅黑"/>
          <w:color w:val="auto"/>
          <w:sz w:val="24"/>
          <w:szCs w:val="24"/>
          <w:highlight w:val="none"/>
          <w:u w:val="single"/>
        </w:rPr>
        <w:t xml:space="preserve">       /       </w:t>
      </w:r>
    </w:p>
    <w:bookmarkEnd w:id="1092"/>
    <w:bookmarkEnd w:id="1093"/>
    <w:bookmarkEnd w:id="1094"/>
    <w:bookmarkEnd w:id="1095"/>
    <w:bookmarkEnd w:id="1096"/>
    <w:bookmarkEnd w:id="1097"/>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205" w:name="_Toc296891245"/>
      <w:bookmarkStart w:id="1206" w:name="_Toc296891033"/>
      <w:bookmarkStart w:id="1207" w:name="_Toc297120505"/>
      <w:bookmarkStart w:id="1208" w:name="_Toc296346706"/>
      <w:bookmarkStart w:id="1209" w:name="_Toc296503205"/>
      <w:bookmarkStart w:id="1210" w:name="_Toc297048391"/>
      <w:bookmarkStart w:id="1211" w:name="_Toc296944544"/>
      <w:bookmarkStart w:id="1212" w:name="_Toc296347204"/>
      <w:bookmarkStart w:id="1213" w:name="_Toc292559915"/>
      <w:bookmarkStart w:id="1214" w:name="_Toc292559410"/>
      <w:bookmarkStart w:id="1215" w:name="_Toc351203644"/>
      <w:bookmarkStart w:id="1216" w:name="_Toc303539159"/>
      <w:bookmarkStart w:id="1217" w:name="_Toc300935002"/>
      <w:bookmarkStart w:id="1218" w:name="_Toc312678040"/>
      <w:bookmarkStart w:id="1219" w:name="_Toc297216211"/>
      <w:bookmarkStart w:id="1220" w:name="_Toc304295579"/>
      <w:bookmarkStart w:id="1221" w:name="_Toc297123552"/>
      <w:r>
        <w:rPr>
          <w:rFonts w:hint="eastAsia" w:ascii="微软雅黑" w:hAnsi="微软雅黑" w:eastAsia="微软雅黑" w:cs="微软雅黑"/>
          <w:b w:val="0"/>
          <w:color w:val="auto"/>
          <w:sz w:val="24"/>
          <w:szCs w:val="24"/>
          <w:highlight w:val="none"/>
        </w:rPr>
        <w:t xml:space="preserve">12. </w:t>
      </w:r>
      <w:bookmarkEnd w:id="1205"/>
      <w:bookmarkEnd w:id="1206"/>
      <w:bookmarkEnd w:id="1207"/>
      <w:bookmarkEnd w:id="1208"/>
      <w:bookmarkEnd w:id="1209"/>
      <w:bookmarkEnd w:id="1210"/>
      <w:bookmarkEnd w:id="1211"/>
      <w:bookmarkEnd w:id="1212"/>
      <w:bookmarkEnd w:id="1213"/>
      <w:bookmarkEnd w:id="1214"/>
      <w:r>
        <w:rPr>
          <w:rFonts w:hint="eastAsia" w:ascii="微软雅黑" w:hAnsi="微软雅黑" w:eastAsia="微软雅黑" w:cs="微软雅黑"/>
          <w:b w:val="0"/>
          <w:color w:val="auto"/>
          <w:sz w:val="24"/>
          <w:szCs w:val="24"/>
          <w:highlight w:val="none"/>
        </w:rPr>
        <w:t>合同价格、计量与支付</w:t>
      </w:r>
      <w:bookmarkEnd w:id="1215"/>
    </w:p>
    <w:bookmarkEnd w:id="1216"/>
    <w:bookmarkEnd w:id="1217"/>
    <w:bookmarkEnd w:id="1218"/>
    <w:bookmarkEnd w:id="1219"/>
    <w:bookmarkEnd w:id="1220"/>
    <w:bookmarkEnd w:id="1221"/>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222" w:name="_Toc292559411"/>
      <w:bookmarkStart w:id="1223" w:name="_Toc292559916"/>
      <w:bookmarkStart w:id="1224" w:name="_Toc267251461"/>
      <w:bookmarkStart w:id="1225" w:name="_Toc296503206"/>
      <w:bookmarkStart w:id="1226" w:name="_Toc297048392"/>
      <w:bookmarkStart w:id="1227" w:name="_Toc296891246"/>
      <w:bookmarkStart w:id="1228" w:name="_Toc296891034"/>
      <w:bookmarkStart w:id="1229" w:name="_Toc296944545"/>
      <w:bookmarkStart w:id="1230" w:name="_Toc296347205"/>
      <w:bookmarkStart w:id="1231" w:name="_Toc297120506"/>
      <w:bookmarkStart w:id="1232" w:name="_Toc296346707"/>
      <w:bookmarkStart w:id="1233" w:name="_Toc304295580"/>
      <w:bookmarkStart w:id="1234" w:name="_Toc297123553"/>
      <w:bookmarkStart w:id="1235" w:name="_Toc312678041"/>
      <w:bookmarkStart w:id="1236" w:name="_Toc300935003"/>
      <w:bookmarkStart w:id="1237" w:name="_Toc297216212"/>
      <w:bookmarkStart w:id="1238" w:name="_Toc303539160"/>
      <w:r>
        <w:rPr>
          <w:rFonts w:hint="eastAsia" w:ascii="微软雅黑" w:hAnsi="微软雅黑" w:eastAsia="微软雅黑" w:cs="微软雅黑"/>
          <w:color w:val="auto"/>
          <w:sz w:val="24"/>
          <w:szCs w:val="24"/>
          <w:highlight w:val="none"/>
        </w:rPr>
        <w:t>12.1 合</w:t>
      </w:r>
      <w:bookmarkEnd w:id="1222"/>
      <w:bookmarkEnd w:id="1223"/>
      <w:bookmarkEnd w:id="1224"/>
      <w:r>
        <w:rPr>
          <w:rFonts w:hint="eastAsia" w:ascii="微软雅黑" w:hAnsi="微软雅黑" w:eastAsia="微软雅黑" w:cs="微软雅黑"/>
          <w:color w:val="auto"/>
          <w:sz w:val="24"/>
          <w:szCs w:val="24"/>
          <w:highlight w:val="none"/>
        </w:rPr>
        <w:t>同价</w:t>
      </w:r>
      <w:bookmarkEnd w:id="1225"/>
      <w:bookmarkEnd w:id="1226"/>
      <w:bookmarkEnd w:id="1227"/>
      <w:bookmarkEnd w:id="1228"/>
      <w:bookmarkEnd w:id="1229"/>
      <w:bookmarkEnd w:id="1230"/>
      <w:bookmarkEnd w:id="1231"/>
      <w:bookmarkEnd w:id="1232"/>
      <w:r>
        <w:rPr>
          <w:rFonts w:hint="eastAsia" w:ascii="微软雅黑" w:hAnsi="微软雅黑" w:eastAsia="微软雅黑" w:cs="微软雅黑"/>
          <w:color w:val="auto"/>
          <w:sz w:val="24"/>
          <w:szCs w:val="24"/>
          <w:highlight w:val="none"/>
        </w:rPr>
        <w:t>格形式</w:t>
      </w:r>
    </w:p>
    <w:bookmarkEnd w:id="1233"/>
    <w:bookmarkEnd w:id="1234"/>
    <w:bookmarkEnd w:id="1235"/>
    <w:bookmarkEnd w:id="1236"/>
    <w:bookmarkEnd w:id="1237"/>
    <w:bookmarkEnd w:id="1238"/>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1、单价合同。</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综合单价包含的风险范围：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风险费用的计算方法：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风险范围以外合同价格的调整方法：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2、总价合同。</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总价包含的风险范围：</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风险费用的计算方法：</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风险范围以外合同价格的调整方法：</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3、其他价格方式：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239" w:name="_Toc303539161"/>
      <w:bookmarkStart w:id="1240" w:name="_Toc312678042"/>
      <w:bookmarkStart w:id="1241" w:name="_Toc300935004"/>
      <w:bookmarkStart w:id="1242" w:name="_Toc297123554"/>
      <w:bookmarkStart w:id="1243" w:name="_Toc304295581"/>
      <w:bookmarkStart w:id="1244" w:name="_Toc297216213"/>
      <w:bookmarkStart w:id="1245" w:name="_Toc296944546"/>
      <w:bookmarkStart w:id="1246" w:name="_Toc296347206"/>
      <w:bookmarkStart w:id="1247" w:name="_Toc296891035"/>
      <w:bookmarkStart w:id="1248" w:name="_Toc296346708"/>
      <w:bookmarkStart w:id="1249" w:name="_Toc297048393"/>
      <w:bookmarkStart w:id="1250" w:name="_Toc296503207"/>
      <w:bookmarkStart w:id="1251" w:name="_Toc292559917"/>
      <w:bookmarkStart w:id="1252" w:name="_Toc296891247"/>
      <w:bookmarkStart w:id="1253" w:name="_Toc292559412"/>
      <w:bookmarkStart w:id="1254" w:name="_Toc297120507"/>
      <w:r>
        <w:rPr>
          <w:rFonts w:hint="eastAsia" w:ascii="微软雅黑" w:hAnsi="微软雅黑" w:eastAsia="微软雅黑" w:cs="微软雅黑"/>
          <w:color w:val="auto"/>
          <w:sz w:val="24"/>
          <w:szCs w:val="24"/>
          <w:highlight w:val="none"/>
        </w:rPr>
        <w:t>12.2 预付款</w:t>
      </w:r>
    </w:p>
    <w:bookmarkEnd w:id="1239"/>
    <w:bookmarkEnd w:id="1240"/>
    <w:bookmarkEnd w:id="1241"/>
    <w:bookmarkEnd w:id="1242"/>
    <w:bookmarkEnd w:id="1243"/>
    <w:bookmarkEnd w:id="1244"/>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12.2.1 预付款的支付</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b/>
          <w:color w:val="auto"/>
          <w:sz w:val="24"/>
          <w:szCs w:val="24"/>
          <w:highlight w:val="none"/>
          <w:u w:val="single"/>
        </w:rPr>
      </w:pPr>
      <w:r>
        <w:rPr>
          <w:rFonts w:hint="eastAsia" w:ascii="微软雅黑" w:hAnsi="微软雅黑" w:eastAsia="微软雅黑" w:cs="微软雅黑"/>
          <w:b/>
          <w:color w:val="auto"/>
          <w:sz w:val="24"/>
          <w:szCs w:val="24"/>
          <w:highlight w:val="none"/>
        </w:rPr>
        <w:t>预付款支付比例或金额：</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u w:val="single"/>
          <w:lang w:val="en-US" w:eastAsia="zh-CN"/>
        </w:rPr>
        <w:t xml:space="preserve">                      </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b/>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预付款支付期限：</w:t>
      </w:r>
      <w:r>
        <w:rPr>
          <w:rFonts w:hint="eastAsia" w:ascii="微软雅黑" w:hAnsi="微软雅黑" w:eastAsia="微软雅黑" w:cs="微软雅黑"/>
          <w:b/>
          <w:color w:val="auto"/>
          <w:sz w:val="24"/>
          <w:szCs w:val="24"/>
          <w:highlight w:val="none"/>
          <w:u w:val="single"/>
          <w:lang w:val="en-US" w:eastAsia="zh-CN"/>
        </w:rPr>
        <w:t xml:space="preserve">                           </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预付款扣回的方式：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12.2.2 预付款担保</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承包人提交预付款担保的期限：</w:t>
      </w:r>
      <w:r>
        <w:rPr>
          <w:rFonts w:hint="eastAsia" w:ascii="微软雅黑" w:hAnsi="微软雅黑" w:eastAsia="微软雅黑" w:cs="微软雅黑"/>
          <w:color w:val="auto"/>
          <w:sz w:val="24"/>
          <w:szCs w:val="24"/>
          <w:highlight w:val="none"/>
          <w:u w:val="single"/>
        </w:rPr>
        <w:t xml:space="preserve">       无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预付款担保的形式为：</w:t>
      </w:r>
      <w:r>
        <w:rPr>
          <w:rFonts w:hint="eastAsia" w:ascii="微软雅黑" w:hAnsi="微软雅黑" w:eastAsia="微软雅黑" w:cs="微软雅黑"/>
          <w:color w:val="auto"/>
          <w:sz w:val="24"/>
          <w:szCs w:val="24"/>
          <w:highlight w:val="none"/>
          <w:u w:val="single"/>
        </w:rPr>
        <w:t xml:space="preserve">               无            </w:t>
      </w:r>
      <w:r>
        <w:rPr>
          <w:rFonts w:hint="eastAsia" w:ascii="微软雅黑" w:hAnsi="微软雅黑" w:eastAsia="微软雅黑" w:cs="微软雅黑"/>
          <w:color w:val="auto"/>
          <w:sz w:val="24"/>
          <w:szCs w:val="24"/>
          <w:highlight w:val="none"/>
        </w:rPr>
        <w:t>。</w:t>
      </w:r>
    </w:p>
    <w:bookmarkEnd w:id="1245"/>
    <w:bookmarkEnd w:id="1246"/>
    <w:bookmarkEnd w:id="1247"/>
    <w:bookmarkEnd w:id="1248"/>
    <w:bookmarkEnd w:id="1249"/>
    <w:bookmarkEnd w:id="1250"/>
    <w:bookmarkEnd w:id="1251"/>
    <w:bookmarkEnd w:id="1252"/>
    <w:bookmarkEnd w:id="1253"/>
    <w:bookmarkEnd w:id="1254"/>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 计量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12.3.1 计量原则</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工程量计算规则：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12.3.2 计量周期</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关于计量周期的约定：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12.3.3 单价合同的计量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关于单价合同计量的约定：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12.3.4 总价合同的计量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关于总价合同计量的约定：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12.3.5总价合同采用支付分解表计量支付的，是否适用第</w:t>
      </w:r>
      <w:r>
        <w:rPr>
          <w:rFonts w:hint="eastAsia" w:ascii="微软雅黑" w:hAnsi="微软雅黑" w:eastAsia="微软雅黑" w:cs="微软雅黑"/>
          <w:color w:val="auto"/>
          <w:kern w:val="0"/>
          <w:sz w:val="24"/>
          <w:szCs w:val="24"/>
          <w:highlight w:val="none"/>
        </w:rPr>
        <w:t xml:space="preserve">12.3.4 </w:t>
      </w:r>
      <w:r>
        <w:rPr>
          <w:rFonts w:hint="eastAsia" w:ascii="微软雅黑" w:hAnsi="微软雅黑" w:eastAsia="微软雅黑" w:cs="微软雅黑"/>
          <w:color w:val="auto"/>
          <w:sz w:val="24"/>
          <w:szCs w:val="24"/>
          <w:highlight w:val="none"/>
        </w:rPr>
        <w:t>项</w:t>
      </w:r>
      <w:r>
        <w:rPr>
          <w:rFonts w:hint="eastAsia" w:ascii="微软雅黑" w:hAnsi="微软雅黑" w:eastAsia="微软雅黑" w:cs="微软雅黑"/>
          <w:color w:val="auto"/>
          <w:kern w:val="0"/>
          <w:sz w:val="24"/>
          <w:szCs w:val="24"/>
          <w:highlight w:val="none"/>
        </w:rPr>
        <w:t>〔总价合同的计量〕</w:t>
      </w:r>
      <w:r>
        <w:rPr>
          <w:rFonts w:hint="eastAsia" w:ascii="微软雅黑" w:hAnsi="微软雅黑" w:eastAsia="微软雅黑" w:cs="微软雅黑"/>
          <w:color w:val="auto"/>
          <w:sz w:val="24"/>
          <w:szCs w:val="24"/>
          <w:highlight w:val="none"/>
        </w:rPr>
        <w:t>约定进行计量：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12.3.6 其他价格形式合同的计量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其他价格形式的计量方式和程序：</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 工程进度款支付</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bookmarkStart w:id="1255" w:name="_Toc292559416"/>
      <w:bookmarkStart w:id="1256" w:name="_Toc296891039"/>
      <w:bookmarkStart w:id="1257" w:name="_Toc297048397"/>
      <w:bookmarkStart w:id="1258" w:name="_Toc297216215"/>
      <w:bookmarkStart w:id="1259" w:name="_Toc296944550"/>
      <w:bookmarkStart w:id="1260" w:name="_Toc303539163"/>
      <w:bookmarkStart w:id="1261" w:name="_Toc297120511"/>
      <w:bookmarkStart w:id="1262" w:name="_Toc300935006"/>
      <w:bookmarkStart w:id="1263" w:name="_Toc297123556"/>
      <w:bookmarkStart w:id="1264" w:name="_Toc296891251"/>
      <w:bookmarkStart w:id="1265" w:name="_Toc296346712"/>
      <w:bookmarkStart w:id="1266" w:name="_Toc292559921"/>
      <w:bookmarkStart w:id="1267" w:name="_Toc296503211"/>
      <w:bookmarkStart w:id="1268" w:name="_Toc296347210"/>
      <w:r>
        <w:rPr>
          <w:rFonts w:hint="eastAsia" w:ascii="微软雅黑" w:hAnsi="微软雅黑" w:eastAsia="微软雅黑" w:cs="微软雅黑"/>
          <w:color w:val="auto"/>
          <w:sz w:val="24"/>
          <w:szCs w:val="24"/>
          <w:highlight w:val="none"/>
        </w:rPr>
        <w:t>12.4.1 付款周期</w:t>
      </w:r>
    </w:p>
    <w:p>
      <w:pPr>
        <w:keepLines w:val="0"/>
        <w:pageBreakBefore w:val="0"/>
        <w:kinsoku/>
        <w:wordWrap/>
        <w:overflowPunct/>
        <w:topLinePunct w:val="0"/>
        <w:bidi w:val="0"/>
        <w:spacing w:line="480" w:lineRule="exact"/>
        <w:ind w:firstLine="480" w:firstLineChars="200"/>
        <w:jc w:val="left"/>
        <w:outlineLvl w:val="9"/>
        <w:rPr>
          <w:rFonts w:hint="eastAsia" w:ascii="微软雅黑" w:hAnsi="微软雅黑" w:eastAsia="微软雅黑" w:cs="微软雅黑"/>
          <w:b/>
          <w:color w:val="auto"/>
          <w:sz w:val="24"/>
          <w:szCs w:val="24"/>
          <w:highlight w:val="none"/>
          <w:u w:val="single"/>
          <w:lang w:eastAsia="zh-CN"/>
        </w:rPr>
      </w:pPr>
      <w:r>
        <w:rPr>
          <w:rFonts w:hint="eastAsia" w:ascii="微软雅黑" w:hAnsi="微软雅黑" w:eastAsia="微软雅黑" w:cs="微软雅黑"/>
          <w:b/>
          <w:color w:val="auto"/>
          <w:sz w:val="24"/>
          <w:szCs w:val="24"/>
          <w:highlight w:val="none"/>
        </w:rPr>
        <w:t>关于付款周期的约定：</w:t>
      </w:r>
      <w:r>
        <w:rPr>
          <w:rFonts w:hint="eastAsia" w:ascii="微软雅黑" w:hAnsi="微软雅黑" w:eastAsia="微软雅黑" w:cs="微软雅黑"/>
          <w:b/>
          <w:color w:val="auto"/>
          <w:sz w:val="24"/>
          <w:szCs w:val="24"/>
          <w:highlight w:val="none"/>
          <w:u w:val="single"/>
          <w:lang w:val="en-US" w:eastAsia="zh-CN"/>
        </w:rPr>
        <w:t xml:space="preserve">                      </w:t>
      </w:r>
      <w:r>
        <w:rPr>
          <w:rFonts w:hint="eastAsia" w:ascii="微软雅黑" w:hAnsi="微软雅黑" w:eastAsia="微软雅黑" w:cs="微软雅黑"/>
          <w:b/>
          <w:color w:val="auto"/>
          <w:sz w:val="24"/>
          <w:szCs w:val="24"/>
          <w:highlight w:val="none"/>
          <w:u w:val="single"/>
          <w:lang w:eastAsia="zh-CN"/>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12.4.2 进度付款申请单的编制</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关于进度付款申请单编制的约定：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r>
        <w:rPr>
          <w:rFonts w:hint="eastAsia" w:ascii="微软雅黑" w:hAnsi="微软雅黑" w:eastAsia="微软雅黑" w:cs="微软雅黑"/>
          <w:color w:val="auto"/>
          <w:sz w:val="24"/>
          <w:szCs w:val="24"/>
          <w:highlight w:val="none"/>
        </w:rPr>
        <w:t>2.4.3 进度付款申请单的提交</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（1）单价合同进度付款申请单提交的约定：</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（2）总价合同进度付款申请单提交的约定：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（3）其他价格形式合同进度付款申请单提交的约定：</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12.4.4 进度款审核和支付</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（1）监理人审查并报送发包人的期限：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发包人完成审批并签发进度款支付证书的期限：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（2）发包人支付进度款的期限：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600" w:firstLineChars="25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发包人逾期支付进度款的违约金的计算方式：</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600" w:firstLineChars="25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12.4.6 支付分解表的编制</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2、总价合同支付分解表的编制与审批：</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3、单价合同的总价项目支付分解表的编制与审批：</w:t>
      </w:r>
      <w:r>
        <w:rPr>
          <w:rFonts w:hint="eastAsia" w:ascii="微软雅黑" w:hAnsi="微软雅黑" w:eastAsia="微软雅黑" w:cs="微软雅黑"/>
          <w:color w:val="auto"/>
          <w:sz w:val="24"/>
          <w:szCs w:val="24"/>
          <w:highlight w:val="none"/>
          <w:u w:val="single"/>
        </w:rPr>
        <w:t xml:space="preserve">     /  </w:t>
      </w:r>
    </w:p>
    <w:bookmarkEnd w:id="1098"/>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269" w:name="_Toc351203645"/>
      <w:bookmarkStart w:id="1270" w:name="_Toc292559929"/>
      <w:bookmarkStart w:id="1271" w:name="_Toc296503219"/>
      <w:bookmarkStart w:id="1272" w:name="_Toc297048405"/>
      <w:bookmarkStart w:id="1273" w:name="_Toc296346720"/>
      <w:bookmarkStart w:id="1274" w:name="_Toc300935015"/>
      <w:bookmarkStart w:id="1275" w:name="_Toc296944558"/>
      <w:bookmarkStart w:id="1276" w:name="_Toc296347218"/>
      <w:bookmarkStart w:id="1277" w:name="_Toc296891047"/>
      <w:bookmarkStart w:id="1278" w:name="_Toc297120519"/>
      <w:bookmarkStart w:id="1279" w:name="_Toc304295593"/>
      <w:bookmarkStart w:id="1280" w:name="_Toc312678053"/>
      <w:bookmarkStart w:id="1281" w:name="_Toc297216223"/>
      <w:bookmarkStart w:id="1282" w:name="_Toc303539172"/>
      <w:bookmarkStart w:id="1283" w:name="_Toc297123564"/>
      <w:bookmarkStart w:id="1284" w:name="_Toc292559424"/>
      <w:bookmarkStart w:id="1285" w:name="_Toc296891259"/>
      <w:r>
        <w:rPr>
          <w:rFonts w:hint="eastAsia" w:ascii="微软雅黑" w:hAnsi="微软雅黑" w:eastAsia="微软雅黑" w:cs="微软雅黑"/>
          <w:b w:val="0"/>
          <w:color w:val="auto"/>
          <w:sz w:val="24"/>
          <w:szCs w:val="24"/>
          <w:highlight w:val="none"/>
        </w:rPr>
        <w:t>13. 验收和工程试车</w:t>
      </w:r>
      <w:bookmarkEnd w:id="1269"/>
    </w:p>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 分部分项工程验收</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13.1.2监理人不能按时进行验收时，应提前</w:t>
      </w:r>
      <w:r>
        <w:rPr>
          <w:rFonts w:hint="eastAsia" w:ascii="微软雅黑" w:hAnsi="微软雅黑" w:eastAsia="微软雅黑" w:cs="微软雅黑"/>
          <w:color w:val="auto"/>
          <w:sz w:val="24"/>
          <w:szCs w:val="24"/>
          <w:highlight w:val="none"/>
          <w:u w:val="single"/>
        </w:rPr>
        <w:t xml:space="preserve"> 24 </w:t>
      </w:r>
      <w:r>
        <w:rPr>
          <w:rFonts w:hint="eastAsia" w:ascii="微软雅黑" w:hAnsi="微软雅黑" w:eastAsia="微软雅黑" w:cs="微软雅黑"/>
          <w:color w:val="auto"/>
          <w:sz w:val="24"/>
          <w:szCs w:val="24"/>
          <w:highlight w:val="none"/>
        </w:rPr>
        <w:t>时提交书面延期要求。</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rPr>
        <w:t>关于延期最长不得超过：</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小时。</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bookmarkStart w:id="1286" w:name="_Toc296346724"/>
      <w:bookmarkStart w:id="1287" w:name="_Toc292559933"/>
      <w:bookmarkStart w:id="1288" w:name="_Toc297216224"/>
      <w:bookmarkStart w:id="1289" w:name="_Toc303539173"/>
      <w:bookmarkStart w:id="1290" w:name="_Toc296891051"/>
      <w:bookmarkStart w:id="1291" w:name="_Toc297048409"/>
      <w:bookmarkStart w:id="1292" w:name="_Toc296347222"/>
      <w:bookmarkStart w:id="1293" w:name="_Toc312678056"/>
      <w:bookmarkStart w:id="1294" w:name="_Toc297123565"/>
      <w:bookmarkStart w:id="1295" w:name="_Toc296891263"/>
      <w:bookmarkStart w:id="1296" w:name="_Toc297120523"/>
      <w:bookmarkStart w:id="1297" w:name="_Toc292559428"/>
      <w:bookmarkStart w:id="1298" w:name="_Toc296503223"/>
      <w:bookmarkStart w:id="1299" w:name="_Toc304295596"/>
      <w:bookmarkStart w:id="1300" w:name="_Toc300935016"/>
      <w:bookmarkStart w:id="1301" w:name="_Toc296944562"/>
      <w:bookmarkStart w:id="1302" w:name="_Toc267251472"/>
      <w:bookmarkStart w:id="1303" w:name="_Toc267251471"/>
      <w:bookmarkStart w:id="1304" w:name="_Toc267251474"/>
      <w:bookmarkStart w:id="1305" w:name="_Toc267251470"/>
      <w:bookmarkStart w:id="1306" w:name="_Toc267251473"/>
      <w:bookmarkStart w:id="1307" w:name="_Toc267251475"/>
      <w:bookmarkStart w:id="1308" w:name="_Toc267251476"/>
      <w:r>
        <w:rPr>
          <w:rFonts w:hint="eastAsia" w:ascii="微软雅黑" w:hAnsi="微软雅黑" w:eastAsia="微软雅黑" w:cs="微软雅黑"/>
          <w:color w:val="auto"/>
          <w:sz w:val="24"/>
          <w:szCs w:val="24"/>
          <w:highlight w:val="none"/>
        </w:rPr>
        <w:t>13.2 竣工验收</w:t>
      </w:r>
    </w:p>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bookmarkStart w:id="1309" w:name="_Toc280868704"/>
      <w:bookmarkStart w:id="1310" w:name="_Toc280868705"/>
      <w:bookmarkStart w:id="1311" w:name="_Toc280868706"/>
      <w:bookmarkStart w:id="1312" w:name="_Toc280868707"/>
      <w:bookmarkStart w:id="1313" w:name="_Toc280868708"/>
      <w:bookmarkStart w:id="1314" w:name="_Toc280868709"/>
      <w:r>
        <w:rPr>
          <w:rFonts w:hint="eastAsia" w:ascii="微软雅黑" w:hAnsi="微软雅黑" w:eastAsia="微软雅黑" w:cs="微软雅黑"/>
          <w:color w:val="auto"/>
          <w:sz w:val="24"/>
          <w:szCs w:val="24"/>
          <w:highlight w:val="none"/>
        </w:rPr>
        <w:t>13.2.2竣工验收程序</w:t>
      </w:r>
    </w:p>
    <w:bookmarkEnd w:id="1309"/>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关于竣工验收程序的约定：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发包人不按照本项约定组织竣工验收、颁发工程接收证书的违约金的计算方法：</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310"/>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13.2.5移交、接收全部与部分工程</w:t>
      </w:r>
    </w:p>
    <w:bookmarkEnd w:id="1311"/>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承包人向发包人移交工程的期限：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承包人提交的竣工资料的内容：</w:t>
      </w:r>
      <w:r>
        <w:rPr>
          <w:rFonts w:hint="eastAsia" w:ascii="微软雅黑" w:hAnsi="微软雅黑" w:eastAsia="微软雅黑" w:cs="微软雅黑"/>
          <w:color w:val="auto"/>
          <w:kern w:val="0"/>
          <w:sz w:val="24"/>
          <w:szCs w:val="24"/>
          <w:highlight w:val="none"/>
          <w:u w:val="single"/>
        </w:rPr>
        <w:t xml:space="preserve">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kern w:val="0"/>
          <w:sz w:val="24"/>
          <w:szCs w:val="24"/>
          <w:highlight w:val="none"/>
        </w:rPr>
        <w:t>发包人未按本合同约定接收全部或部分工程的，违约金的计算方法为：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312"/>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承包人未按时移交工程的，违约金的计算方法为：</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13.3 工程试车</w:t>
      </w:r>
    </w:p>
    <w:bookmarkEnd w:id="1313"/>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13.3.1 试车程序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工程试车内容：</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（1）单机无负荷试车费用由</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无    </w:t>
      </w:r>
      <w:r>
        <w:rPr>
          <w:rFonts w:hint="eastAsia" w:ascii="微软雅黑" w:hAnsi="微软雅黑" w:eastAsia="微软雅黑" w:cs="微软雅黑"/>
          <w:color w:val="auto"/>
          <w:sz w:val="24"/>
          <w:szCs w:val="24"/>
          <w:highlight w:val="none"/>
        </w:rPr>
        <w:t>承担；</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（2）无负荷联动试车费用由</w:t>
      </w:r>
      <w:r>
        <w:rPr>
          <w:rFonts w:hint="eastAsia" w:ascii="微软雅黑" w:hAnsi="微软雅黑" w:eastAsia="微软雅黑" w:cs="微软雅黑"/>
          <w:color w:val="auto"/>
          <w:sz w:val="24"/>
          <w:szCs w:val="24"/>
          <w:highlight w:val="none"/>
          <w:u w:val="single"/>
        </w:rPr>
        <w:t xml:space="preserve">          无          </w:t>
      </w:r>
      <w:r>
        <w:rPr>
          <w:rFonts w:hint="eastAsia" w:ascii="微软雅黑" w:hAnsi="微软雅黑" w:eastAsia="微软雅黑" w:cs="微软雅黑"/>
          <w:color w:val="auto"/>
          <w:kern w:val="0"/>
          <w:sz w:val="24"/>
          <w:szCs w:val="24"/>
          <w:highlight w:val="none"/>
        </w:rPr>
        <w:t>承担。</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13.3.3 投料试车</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关于投料试车相关事项的约定：</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 竣工退场</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13.6.1 竣工退场</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承包人完成竣工退场的期限：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315" w:name="_Toc351203646"/>
      <w:r>
        <w:rPr>
          <w:rFonts w:hint="eastAsia" w:ascii="微软雅黑" w:hAnsi="微软雅黑" w:eastAsia="微软雅黑" w:cs="微软雅黑"/>
          <w:b w:val="0"/>
          <w:color w:val="auto"/>
          <w:sz w:val="24"/>
          <w:szCs w:val="24"/>
          <w:highlight w:val="none"/>
        </w:rPr>
        <w:t>14. 竣工结算</w:t>
      </w:r>
      <w:bookmarkEnd w:id="1315"/>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竣工付款申请</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承包人提交竣工付款申请单的期限：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竣工付款申请单应包括的内容：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竣工结算审核</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发包人审批竣工付款申请单的期限：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发包人完成竣工付款的期限：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关于竣工付款证书异议部分复核的方式和程序：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 最终结清</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14.4.1 最终结清申请单</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承包人提交最终结清申请单的份数：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承包人提交最终结算申请单的期限：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14.4.2 最终结清证书和支付</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（1）发包人完成最终结清申请单的审批并颁发最终结清证书的期限：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（2）发包人完成支付的期限：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bookmarkEnd w:id="1302"/>
    <w:bookmarkEnd w:id="1303"/>
    <w:bookmarkEnd w:id="1304"/>
    <w:bookmarkEnd w:id="1305"/>
    <w:bookmarkEnd w:id="1306"/>
    <w:bookmarkEnd w:id="1307"/>
    <w:bookmarkEnd w:id="1308"/>
    <w:bookmarkEnd w:id="1314"/>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316" w:name="_Toc351203647"/>
      <w:bookmarkStart w:id="1317" w:name="_Toc267251483"/>
      <w:bookmarkStart w:id="1318" w:name="_Toc267251482"/>
      <w:bookmarkStart w:id="1319" w:name="_Toc267251484"/>
      <w:bookmarkStart w:id="1320" w:name="_Toc267251485"/>
      <w:bookmarkStart w:id="1321" w:name="_Toc267251489"/>
      <w:bookmarkStart w:id="1322" w:name="_Toc267251488"/>
      <w:bookmarkStart w:id="1323" w:name="_Toc267251486"/>
      <w:bookmarkStart w:id="1324" w:name="_Toc267251490"/>
      <w:bookmarkStart w:id="1325" w:name="_Toc267251492"/>
      <w:bookmarkStart w:id="1326" w:name="_Toc267251499"/>
      <w:bookmarkStart w:id="1327" w:name="_Toc267251498"/>
      <w:bookmarkStart w:id="1328" w:name="_Toc267251502"/>
      <w:bookmarkStart w:id="1329" w:name="_Toc267251491"/>
      <w:bookmarkStart w:id="1330" w:name="_Toc267251493"/>
      <w:bookmarkStart w:id="1331" w:name="_Toc267251501"/>
      <w:bookmarkStart w:id="1332" w:name="_Toc267251495"/>
      <w:bookmarkStart w:id="1333" w:name="_Toc267251494"/>
      <w:bookmarkStart w:id="1334" w:name="_Toc267251497"/>
      <w:bookmarkStart w:id="1335" w:name="_Toc267251496"/>
      <w:bookmarkStart w:id="1336" w:name="_Toc267251503"/>
      <w:bookmarkStart w:id="1337" w:name="_Toc267251504"/>
      <w:bookmarkStart w:id="1338" w:name="_Toc267251506"/>
      <w:bookmarkStart w:id="1339" w:name="_Toc267251507"/>
      <w:bookmarkStart w:id="1340" w:name="_Toc267251508"/>
      <w:bookmarkStart w:id="1341" w:name="_Toc267251514"/>
      <w:bookmarkStart w:id="1342" w:name="_Toc267251511"/>
      <w:bookmarkStart w:id="1343" w:name="_Toc267251510"/>
      <w:bookmarkStart w:id="1344" w:name="_Toc267251509"/>
      <w:bookmarkStart w:id="1345" w:name="_Toc267251513"/>
      <w:bookmarkStart w:id="1346" w:name="_Toc267251515"/>
      <w:r>
        <w:rPr>
          <w:rFonts w:hint="eastAsia" w:ascii="微软雅黑" w:hAnsi="微软雅黑" w:eastAsia="微软雅黑" w:cs="微软雅黑"/>
          <w:b w:val="0"/>
          <w:color w:val="auto"/>
          <w:sz w:val="24"/>
          <w:szCs w:val="24"/>
          <w:highlight w:val="none"/>
        </w:rPr>
        <w:t>15. 缺陷责任期与保修</w:t>
      </w:r>
      <w:bookmarkEnd w:id="1316"/>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15.2缺陷责任期</w:t>
      </w:r>
      <w:bookmarkEnd w:id="1317"/>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缺陷责任期的具体期限：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质量保证金</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关于是否扣留质量保证金的约定：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15.3.1 承包人提供质量保证金的方式</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质量保证金采用以下第</w:t>
      </w:r>
      <w:r>
        <w:rPr>
          <w:rFonts w:hint="eastAsia" w:ascii="微软雅黑" w:hAnsi="微软雅黑" w:eastAsia="微软雅黑" w:cs="微软雅黑"/>
          <w:color w:val="auto"/>
          <w:sz w:val="24"/>
          <w:szCs w:val="24"/>
          <w:highlight w:val="none"/>
          <w:u w:val="single"/>
        </w:rPr>
        <w:t xml:space="preserve"> 2 </w:t>
      </w:r>
      <w:r>
        <w:rPr>
          <w:rFonts w:hint="eastAsia" w:ascii="微软雅黑" w:hAnsi="微软雅黑" w:eastAsia="微软雅黑" w:cs="微软雅黑"/>
          <w:color w:val="auto"/>
          <w:sz w:val="24"/>
          <w:szCs w:val="24"/>
          <w:highlight w:val="none"/>
        </w:rPr>
        <w:t>种方式：</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（1）质量保证金保函，保证金额为：</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（2）工程决算价的 </w:t>
      </w:r>
      <w:r>
        <w:rPr>
          <w:rFonts w:hint="eastAsia" w:ascii="微软雅黑" w:hAnsi="微软雅黑" w:eastAsia="微软雅黑" w:cs="微软雅黑"/>
          <w:color w:val="auto"/>
          <w:kern w:val="0"/>
          <w:sz w:val="24"/>
          <w:szCs w:val="24"/>
          <w:highlight w:val="none"/>
          <w:u w:val="single"/>
        </w:rPr>
        <w:t xml:space="preserve"> 3 </w:t>
      </w:r>
      <w:r>
        <w:rPr>
          <w:rFonts w:hint="eastAsia" w:ascii="微软雅黑" w:hAnsi="微软雅黑" w:eastAsia="微软雅黑" w:cs="微软雅黑"/>
          <w:color w:val="auto"/>
          <w:kern w:val="0"/>
          <w:sz w:val="24"/>
          <w:szCs w:val="24"/>
          <w:highlight w:val="none"/>
        </w:rPr>
        <w:t xml:space="preserve"> %；</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（3）其他方式:</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15.3.2 质量保证金的扣留 </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质量保证金的扣留采取以下第</w:t>
      </w:r>
      <w:r>
        <w:rPr>
          <w:rFonts w:hint="eastAsia" w:ascii="微软雅黑" w:hAnsi="微软雅黑" w:eastAsia="微软雅黑" w:cs="微软雅黑"/>
          <w:color w:val="auto"/>
          <w:sz w:val="24"/>
          <w:szCs w:val="24"/>
          <w:highlight w:val="none"/>
          <w:u w:val="single"/>
        </w:rPr>
        <w:t xml:space="preserve">  2  </w:t>
      </w:r>
      <w:r>
        <w:rPr>
          <w:rFonts w:hint="eastAsia" w:ascii="微软雅黑" w:hAnsi="微软雅黑" w:eastAsia="微软雅黑" w:cs="微软雅黑"/>
          <w:color w:val="auto"/>
          <w:sz w:val="24"/>
          <w:szCs w:val="24"/>
          <w:highlight w:val="none"/>
        </w:rPr>
        <w:t>种方式：</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（1）在支付工程进度款时逐次扣留，在此情形下，质量保证金的计算基数不包括预付款的支付、扣回以及价格调整的金额；</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（2）工程竣工结算时一次性扣留质量保证金；</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（3）其他扣留方式:</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关于质量保证金的补充约定：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bookmarkEnd w:id="1318"/>
    <w:bookmarkEnd w:id="1319"/>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15.4保修</w:t>
      </w:r>
    </w:p>
    <w:bookmarkEnd w:id="1320"/>
    <w:p>
      <w:pPr>
        <w:keepLines w:val="0"/>
        <w:pageBreakBefore w:val="0"/>
        <w:kinsoku/>
        <w:wordWrap/>
        <w:overflowPunct/>
        <w:topLinePunct w:val="0"/>
        <w:bidi w:val="0"/>
        <w:adjustRightInd w:val="0"/>
        <w:snapToGrid w:val="0"/>
        <w:spacing w:line="480" w:lineRule="exact"/>
        <w:ind w:right="-19" w:rightChars="-9" w:firstLine="468" w:firstLineChars="19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15.4.1 保修责任</w:t>
      </w:r>
    </w:p>
    <w:p>
      <w:pPr>
        <w:keepLines w:val="0"/>
        <w:pageBreakBefore w:val="0"/>
        <w:kinsoku/>
        <w:wordWrap/>
        <w:overflowPunct/>
        <w:topLinePunct w:val="0"/>
        <w:bidi w:val="0"/>
        <w:adjustRightInd w:val="0"/>
        <w:snapToGrid w:val="0"/>
        <w:spacing w:line="480" w:lineRule="exact"/>
        <w:ind w:right="-19" w:rightChars="-9" w:firstLine="468" w:firstLineChars="195"/>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工程保修期为：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68" w:firstLineChars="195"/>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15.4.3 修复通知</w:t>
      </w:r>
    </w:p>
    <w:p>
      <w:pPr>
        <w:keepLines w:val="0"/>
        <w:pageBreakBefore w:val="0"/>
        <w:kinsoku/>
        <w:wordWrap/>
        <w:overflowPunct/>
        <w:topLinePunct w:val="0"/>
        <w:bidi w:val="0"/>
        <w:adjustRightInd w:val="0"/>
        <w:snapToGrid w:val="0"/>
        <w:spacing w:line="480" w:lineRule="exact"/>
        <w:ind w:right="-19" w:rightChars="-9" w:firstLine="468" w:firstLineChars="195"/>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承包人收到保修通知并到达工程现场的合理时间：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bookmarkEnd w:id="1321"/>
    <w:bookmarkEnd w:id="1322"/>
    <w:bookmarkEnd w:id="1323"/>
    <w:bookmarkEnd w:id="1324"/>
    <w:p>
      <w:pPr>
        <w:keepLines w:val="0"/>
        <w:pageBreakBefore w:val="0"/>
        <w:kinsoku/>
        <w:wordWrap/>
        <w:overflowPunct/>
        <w:topLinePunct w:val="0"/>
        <w:bidi w:val="0"/>
        <w:snapToGrid w:val="0"/>
        <w:spacing w:before="120" w:after="120" w:line="480" w:lineRule="exact"/>
        <w:ind w:right="-19" w:rightChars="-9" w:firstLine="480" w:firstLineChars="200"/>
        <w:outlineLvl w:val="9"/>
        <w:rPr>
          <w:rFonts w:hint="eastAsia" w:ascii="微软雅黑" w:hAnsi="微软雅黑" w:eastAsia="微软雅黑" w:cs="微软雅黑"/>
          <w:b w:val="0"/>
          <w:color w:val="auto"/>
          <w:sz w:val="24"/>
          <w:szCs w:val="24"/>
          <w:highlight w:val="none"/>
        </w:rPr>
      </w:pPr>
      <w:bookmarkStart w:id="1347" w:name="_Toc351203648"/>
      <w:bookmarkStart w:id="1348" w:name="_Toc280868717"/>
      <w:bookmarkStart w:id="1349" w:name="_Toc280868718"/>
      <w:r>
        <w:rPr>
          <w:rFonts w:hint="eastAsia" w:ascii="微软雅黑" w:hAnsi="微软雅黑" w:eastAsia="微软雅黑" w:cs="微软雅黑"/>
          <w:b w:val="0"/>
          <w:color w:val="auto"/>
          <w:sz w:val="24"/>
          <w:szCs w:val="24"/>
          <w:highlight w:val="none"/>
        </w:rPr>
        <w:t>16. 违约</w:t>
      </w:r>
      <w:bookmarkEnd w:id="1347"/>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发包人违约</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16.1.1发包人违约的情形</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发包人违约的其他情形：</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left="1050" w:right="-19" w:rightChars="-9" w:hanging="1200" w:hangingChars="5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16.1.2 发包人违约的责任</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发包人违约责任的承担方式和计算方法：</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（1）因发包人原因未能在计划开工日期前7天内下达开工通知的违约责任：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（2）因发包人原因未能按合同约定支付合同价款的违约责任：</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（3）发包人违反第10.1款〔变更的范围〕第（2）项约定，自行实施被取消的工作或转由他人实施的违约责任：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（5）因发包人违反合同约定造成暂停施工的违约责任：</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（6）发包人无正当理由没有在约定期限内发出复工指示，导致承包人无法复工的违约责任：</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（7）其他：</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16.1.3 因发包人违约解除合同</w:t>
      </w:r>
    </w:p>
    <w:p>
      <w:pPr>
        <w:keepLines w:val="0"/>
        <w:pageBreakBefore w:val="0"/>
        <w:kinsoku/>
        <w:wordWrap/>
        <w:overflowPunct/>
        <w:topLinePunct w:val="0"/>
        <w:autoSpaceDE w:val="0"/>
        <w:autoSpaceDN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承包人按16.1.1项〔发包人违约的情形〕约定暂停施工满</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天后发包人仍不纠正其违约行为并致使合同目的不能实现的，承包人有权解除合同。</w:t>
      </w:r>
    </w:p>
    <w:p>
      <w:pPr>
        <w:keepLines w:val="0"/>
        <w:pageBreakBefore w:val="0"/>
        <w:kinsoku/>
        <w:wordWrap/>
        <w:overflowPunct/>
        <w:topLinePunct w:val="0"/>
        <w:bidi w:val="0"/>
        <w:adjustRightInd w:val="0"/>
        <w:snapToGrid w:val="0"/>
        <w:spacing w:after="120"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 承包人违约</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16.2.1 承包人违约的情形</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承包人违约的其他情形：</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16.2.2承包人违约的责任</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承包人违约责任的承担方式和计算方法：</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line="480" w:lineRule="exact"/>
        <w:ind w:right="-19" w:rightChars="-9"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16.2.3 因承包人违约解除合同</w:t>
      </w:r>
    </w:p>
    <w:p>
      <w:pPr>
        <w:keepLines w:val="0"/>
        <w:pageBreakBefore w:val="0"/>
        <w:kinsoku/>
        <w:wordWrap/>
        <w:overflowPunct/>
        <w:topLinePunct w:val="0"/>
        <w:bidi w:val="0"/>
        <w:adjustRightInd w:val="0"/>
        <w:snapToGrid w:val="0"/>
        <w:spacing w:before="120" w:after="120"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关于承包人违约解除合同的特别约定：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Lines w:val="0"/>
        <w:pageBreakBefore w:val="0"/>
        <w:kinsoku/>
        <w:wordWrap/>
        <w:overflowPunct/>
        <w:topLinePunct w:val="0"/>
        <w:bidi w:val="0"/>
        <w:adjustRightInd w:val="0"/>
        <w:snapToGrid w:val="0"/>
        <w:spacing w:before="120" w:after="120"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Next w:val="0"/>
        <w:keepLines w:val="0"/>
        <w:pageBreakBefore w:val="0"/>
        <w:widowControl w:val="0"/>
        <w:kinsoku/>
        <w:wordWrap/>
        <w:overflowPunct/>
        <w:topLinePunct w:val="0"/>
        <w:bidi w:val="0"/>
        <w:snapToGrid w:val="0"/>
        <w:spacing w:before="120" w:after="120" w:line="440" w:lineRule="exact"/>
        <w:ind w:right="-19" w:rightChars="-9" w:firstLine="480" w:firstLineChars="200"/>
        <w:textAlignment w:val="auto"/>
        <w:outlineLvl w:val="9"/>
        <w:rPr>
          <w:rFonts w:hint="eastAsia" w:ascii="微软雅黑" w:hAnsi="微软雅黑" w:eastAsia="微软雅黑" w:cs="微软雅黑"/>
          <w:b w:val="0"/>
          <w:color w:val="auto"/>
          <w:sz w:val="24"/>
          <w:szCs w:val="24"/>
          <w:highlight w:val="none"/>
        </w:rPr>
      </w:pPr>
      <w:bookmarkStart w:id="1350" w:name="_Toc351203649"/>
      <w:r>
        <w:rPr>
          <w:rFonts w:hint="eastAsia" w:ascii="微软雅黑" w:hAnsi="微软雅黑" w:eastAsia="微软雅黑" w:cs="微软雅黑"/>
          <w:b w:val="0"/>
          <w:color w:val="auto"/>
          <w:sz w:val="24"/>
          <w:szCs w:val="24"/>
          <w:highlight w:val="none"/>
        </w:rPr>
        <w:t>17. 不可抗力</w:t>
      </w:r>
      <w:bookmarkEnd w:id="1350"/>
      <w:r>
        <w:rPr>
          <w:rFonts w:hint="eastAsia" w:ascii="微软雅黑" w:hAnsi="微软雅黑" w:eastAsia="微软雅黑" w:cs="微软雅黑"/>
          <w:b w:val="0"/>
          <w:color w:val="auto"/>
          <w:sz w:val="24"/>
          <w:szCs w:val="24"/>
          <w:highlight w:val="none"/>
        </w:rPr>
        <w:t xml:space="preserve"> </w:t>
      </w:r>
      <w:bookmarkEnd w:id="1348"/>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 不可抗力的确认</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除通用合同条款约定的不可抗力事件之外，视为不可抗力的其他情形： </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17.4 因不可抗力解除合同</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合同解除后，发包人应在商定或确定发包人应支付款项后</w:t>
      </w:r>
      <w:r>
        <w:rPr>
          <w:rFonts w:hint="eastAsia" w:ascii="微软雅黑" w:hAnsi="微软雅黑" w:eastAsia="微软雅黑" w:cs="微软雅黑"/>
          <w:color w:val="auto"/>
          <w:sz w:val="24"/>
          <w:szCs w:val="24"/>
          <w:highlight w:val="none"/>
          <w:u w:val="single"/>
        </w:rPr>
        <w:t xml:space="preserve"> 28</w:t>
      </w:r>
      <w:r>
        <w:rPr>
          <w:rFonts w:hint="eastAsia" w:ascii="微软雅黑" w:hAnsi="微软雅黑" w:eastAsia="微软雅黑" w:cs="微软雅黑"/>
          <w:color w:val="auto"/>
          <w:sz w:val="24"/>
          <w:szCs w:val="24"/>
          <w:highlight w:val="none"/>
        </w:rPr>
        <w:t>天内完成款项的支付。</w:t>
      </w:r>
    </w:p>
    <w:p>
      <w:pPr>
        <w:keepNext w:val="0"/>
        <w:keepLines w:val="0"/>
        <w:pageBreakBefore w:val="0"/>
        <w:widowControl w:val="0"/>
        <w:kinsoku/>
        <w:wordWrap/>
        <w:overflowPunct/>
        <w:topLinePunct w:val="0"/>
        <w:bidi w:val="0"/>
        <w:snapToGrid w:val="0"/>
        <w:spacing w:before="120" w:after="120" w:line="440" w:lineRule="exact"/>
        <w:ind w:right="-19" w:rightChars="-9" w:firstLine="480" w:firstLineChars="200"/>
        <w:textAlignment w:val="auto"/>
        <w:outlineLvl w:val="9"/>
        <w:rPr>
          <w:rFonts w:hint="eastAsia" w:ascii="微软雅黑" w:hAnsi="微软雅黑" w:eastAsia="微软雅黑" w:cs="微软雅黑"/>
          <w:b w:val="0"/>
          <w:color w:val="auto"/>
          <w:sz w:val="24"/>
          <w:szCs w:val="24"/>
          <w:highlight w:val="none"/>
        </w:rPr>
      </w:pPr>
      <w:bookmarkStart w:id="1351" w:name="_Toc351203650"/>
      <w:r>
        <w:rPr>
          <w:rFonts w:hint="eastAsia" w:ascii="微软雅黑" w:hAnsi="微软雅黑" w:eastAsia="微软雅黑" w:cs="微软雅黑"/>
          <w:b w:val="0"/>
          <w:color w:val="auto"/>
          <w:sz w:val="24"/>
          <w:szCs w:val="24"/>
          <w:highlight w:val="none"/>
        </w:rPr>
        <w:t>18. 保险</w:t>
      </w:r>
      <w:bookmarkEnd w:id="1351"/>
    </w:p>
    <w:bookmarkEnd w:id="1349"/>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 工程保险</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关于工程保险的特别约定：</w:t>
      </w:r>
      <w:r>
        <w:rPr>
          <w:rFonts w:hint="eastAsia" w:ascii="微软雅黑" w:hAnsi="微软雅黑" w:eastAsia="微软雅黑" w:cs="微软雅黑"/>
          <w:color w:val="auto"/>
          <w:kern w:val="0"/>
          <w:sz w:val="24"/>
          <w:szCs w:val="24"/>
          <w:highlight w:val="none"/>
          <w:u w:val="single"/>
        </w:rPr>
        <w:t xml:space="preserve">                。</w:t>
      </w:r>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18.3 其他保险</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关于其他保险的约定：</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承包人是否应为其施工设备等办理财产保险：</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18.7 通知义务</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关于变更保险合同时的通知义务的约定：</w:t>
      </w:r>
      <w:r>
        <w:rPr>
          <w:rFonts w:hint="eastAsia" w:ascii="微软雅黑" w:hAnsi="微软雅黑" w:eastAsia="微软雅黑" w:cs="微软雅黑"/>
          <w:color w:val="auto"/>
          <w:sz w:val="24"/>
          <w:szCs w:val="24"/>
          <w:highlight w:val="none"/>
          <w:u w:val="single"/>
        </w:rPr>
        <w:t>无</w:t>
      </w:r>
      <w:r>
        <w:rPr>
          <w:rFonts w:hint="eastAsia" w:ascii="微软雅黑" w:hAnsi="微软雅黑" w:eastAsia="微软雅黑" w:cs="微软雅黑"/>
          <w:color w:val="auto"/>
          <w:sz w:val="24"/>
          <w:szCs w:val="24"/>
          <w:highlight w:val="none"/>
        </w:rPr>
        <w:t>。</w:t>
      </w:r>
    </w:p>
    <w:bookmarkEnd w:id="1325"/>
    <w:bookmarkEnd w:id="1326"/>
    <w:bookmarkEnd w:id="1327"/>
    <w:bookmarkEnd w:id="1328"/>
    <w:bookmarkEnd w:id="1329"/>
    <w:bookmarkEnd w:id="1330"/>
    <w:bookmarkEnd w:id="1331"/>
    <w:bookmarkEnd w:id="1332"/>
    <w:bookmarkEnd w:id="1333"/>
    <w:bookmarkEnd w:id="1334"/>
    <w:bookmarkEnd w:id="1335"/>
    <w:bookmarkEnd w:id="1336"/>
    <w:p>
      <w:pPr>
        <w:keepNext w:val="0"/>
        <w:keepLines w:val="0"/>
        <w:pageBreakBefore w:val="0"/>
        <w:widowControl w:val="0"/>
        <w:kinsoku/>
        <w:wordWrap/>
        <w:overflowPunct/>
        <w:topLinePunct w:val="0"/>
        <w:bidi w:val="0"/>
        <w:snapToGrid w:val="0"/>
        <w:spacing w:before="120" w:after="120" w:line="440" w:lineRule="exact"/>
        <w:ind w:right="-19" w:rightChars="-9" w:firstLine="480" w:firstLineChars="200"/>
        <w:textAlignment w:val="auto"/>
        <w:outlineLvl w:val="9"/>
        <w:rPr>
          <w:rFonts w:hint="eastAsia" w:ascii="微软雅黑" w:hAnsi="微软雅黑" w:eastAsia="微软雅黑" w:cs="微软雅黑"/>
          <w:b w:val="0"/>
          <w:color w:val="auto"/>
          <w:sz w:val="24"/>
          <w:szCs w:val="24"/>
          <w:highlight w:val="none"/>
        </w:rPr>
      </w:pPr>
      <w:bookmarkStart w:id="1352" w:name="_Toc351203651"/>
      <w:r>
        <w:rPr>
          <w:rFonts w:hint="eastAsia" w:ascii="微软雅黑" w:hAnsi="微软雅黑" w:eastAsia="微软雅黑" w:cs="微软雅黑"/>
          <w:b w:val="0"/>
          <w:color w:val="auto"/>
          <w:sz w:val="24"/>
          <w:szCs w:val="24"/>
          <w:highlight w:val="none"/>
        </w:rPr>
        <w:t>20. 争议解决</w:t>
      </w:r>
      <w:bookmarkEnd w:id="1352"/>
    </w:p>
    <w:bookmarkEnd w:id="1337"/>
    <w:bookmarkEnd w:id="1338"/>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 争</w:t>
      </w:r>
      <w:bookmarkEnd w:id="1339"/>
      <w:r>
        <w:rPr>
          <w:rFonts w:hint="eastAsia" w:ascii="微软雅黑" w:hAnsi="微软雅黑" w:eastAsia="微软雅黑" w:cs="微软雅黑"/>
          <w:color w:val="auto"/>
          <w:sz w:val="24"/>
          <w:szCs w:val="24"/>
          <w:highlight w:val="none"/>
        </w:rPr>
        <w:t>议评审</w:t>
      </w:r>
    </w:p>
    <w:p>
      <w:pPr>
        <w:keepNext w:val="0"/>
        <w:keepLines w:val="0"/>
        <w:pageBreakBefore w:val="0"/>
        <w:widowControl w:val="0"/>
        <w:kinsoku/>
        <w:wordWrap/>
        <w:overflowPunct/>
        <w:topLinePunct w:val="0"/>
        <w:bidi w:val="0"/>
        <w:adjustRightInd w:val="0"/>
        <w:snapToGrid w:val="0"/>
        <w:spacing w:line="440" w:lineRule="exact"/>
        <w:ind w:left="149" w:leftChars="71" w:right="-19" w:rightChars="-9" w:firstLine="360" w:firstLineChars="15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合同当事人是否同意将工程争议提交争议评审小组决定：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20.3.1 争议评审小组的确定</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争议评审小组成员的确定：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组成争议评审小组选定争议评审员的期限：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争议评审小组成员的报酬承担方式：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其他事项的约定：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20.3.2 争议评审小组的决定</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合同当事人关于本项的约定：</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20.4仲裁或诉讼</w:t>
      </w:r>
      <w:bookmarkEnd w:id="1340"/>
    </w:p>
    <w:p>
      <w:pPr>
        <w:keepNext w:val="0"/>
        <w:keepLines w:val="0"/>
        <w:pageBreakBefore w:val="0"/>
        <w:widowControl w:val="0"/>
        <w:kinsoku/>
        <w:wordWrap/>
        <w:overflowPunct/>
        <w:topLinePunct w:val="0"/>
        <w:bidi w:val="0"/>
        <w:adjustRightInd w:val="0"/>
        <w:snapToGrid w:val="0"/>
        <w:spacing w:after="120" w:line="440" w:lineRule="exact"/>
        <w:ind w:right="-19" w:rightChars="-9"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因合同及合同有关事项发生的争议，按下列第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种方式解决：</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仲裁委员会申请仲裁；</w:t>
      </w:r>
    </w:p>
    <w:p>
      <w:pPr>
        <w:keepNext w:val="0"/>
        <w:keepLines w:val="0"/>
        <w:pageBreakBefore w:val="0"/>
        <w:widowControl w:val="0"/>
        <w:kinsoku/>
        <w:wordWrap/>
        <w:overflowPunct/>
        <w:topLinePunct w:val="0"/>
        <w:bidi w:val="0"/>
        <w:adjustRightInd w:val="0"/>
        <w:snapToGrid w:val="0"/>
        <w:spacing w:line="440" w:lineRule="exact"/>
        <w:ind w:right="-19" w:rightChars="-9"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人民法院</w:t>
      </w:r>
      <w:bookmarkEnd w:id="1341"/>
      <w:bookmarkEnd w:id="1342"/>
      <w:bookmarkEnd w:id="1343"/>
      <w:bookmarkEnd w:id="1344"/>
      <w:bookmarkEnd w:id="1345"/>
      <w:bookmarkEnd w:id="1346"/>
      <w:r>
        <w:rPr>
          <w:rFonts w:hint="eastAsia" w:ascii="微软雅黑" w:hAnsi="微软雅黑" w:eastAsia="微软雅黑" w:cs="微软雅黑"/>
          <w:color w:val="auto"/>
          <w:sz w:val="24"/>
          <w:szCs w:val="24"/>
          <w:highlight w:val="none"/>
        </w:rPr>
        <w:t>起诉。</w:t>
      </w:r>
    </w:p>
    <w:p>
      <w:pPr>
        <w:keepLines w:val="0"/>
        <w:pageBreakBefore w:val="0"/>
        <w:kinsoku/>
        <w:wordWrap/>
        <w:overflowPunct/>
        <w:topLinePunct w:val="0"/>
        <w:bidi w:val="0"/>
        <w:adjustRightInd w:val="0"/>
        <w:snapToGrid w:val="0"/>
        <w:spacing w:line="480" w:lineRule="exact"/>
        <w:ind w:right="-19" w:rightChars="-9"/>
        <w:jc w:val="left"/>
        <w:outlineLvl w:val="9"/>
        <w:rPr>
          <w:rFonts w:hint="eastAsia" w:ascii="微软雅黑" w:hAnsi="微软雅黑" w:eastAsia="微软雅黑" w:cs="微软雅黑"/>
          <w:color w:val="auto"/>
          <w:sz w:val="24"/>
          <w:szCs w:val="24"/>
          <w:highlight w:val="none"/>
        </w:rPr>
        <w:sectPr>
          <w:footerReference r:id="rId11" w:type="first"/>
          <w:footerReference r:id="rId10" w:type="default"/>
          <w:pgSz w:w="11905" w:h="16838"/>
          <w:pgMar w:top="1440" w:right="1083" w:bottom="1440" w:left="1083" w:header="851" w:footer="992" w:gutter="0"/>
          <w:pgNumType w:fmt="decimal"/>
          <w:cols w:space="0" w:num="1"/>
          <w:rtlGutter w:val="0"/>
          <w:docGrid w:linePitch="312" w:charSpace="0"/>
        </w:sectPr>
      </w:pPr>
    </w:p>
    <w:p>
      <w:pPr>
        <w:keepLines w:val="0"/>
        <w:pageBreakBefore w:val="0"/>
        <w:kinsoku/>
        <w:wordWrap/>
        <w:overflowPunct/>
        <w:topLinePunct w:val="0"/>
        <w:bidi w:val="0"/>
        <w:spacing w:before="156" w:beforeLines="50" w:after="156" w:afterLines="50" w:line="480" w:lineRule="exact"/>
        <w:ind w:right="-19" w:rightChars="-9"/>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附件1：</w:t>
      </w:r>
    </w:p>
    <w:p>
      <w:pPr>
        <w:keepLines w:val="0"/>
        <w:pageBreakBefore w:val="0"/>
        <w:kinsoku/>
        <w:wordWrap/>
        <w:overflowPunct/>
        <w:topLinePunct w:val="0"/>
        <w:bidi w:val="0"/>
        <w:spacing w:before="156" w:beforeLines="50" w:after="156" w:afterLines="50" w:line="48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承包人承揽工程项目一览表</w:t>
      </w:r>
    </w:p>
    <w:p>
      <w:pPr>
        <w:keepLines w:val="0"/>
        <w:pageBreakBefore w:val="0"/>
        <w:kinsoku/>
        <w:wordWrap/>
        <w:overflowPunct/>
        <w:topLinePunct w:val="0"/>
        <w:bidi w:val="0"/>
        <w:spacing w:before="156" w:beforeLines="50" w:after="156" w:afterLines="50" w:line="480" w:lineRule="exact"/>
        <w:ind w:right="-19" w:rightChars="-9"/>
        <w:jc w:val="center"/>
        <w:outlineLvl w:val="9"/>
        <w:rPr>
          <w:rFonts w:hint="eastAsia" w:ascii="微软雅黑" w:hAnsi="微软雅黑" w:eastAsia="微软雅黑" w:cs="微软雅黑"/>
          <w:color w:val="auto"/>
          <w:sz w:val="24"/>
          <w:szCs w:val="24"/>
          <w:highlight w:val="none"/>
        </w:rPr>
      </w:pPr>
    </w:p>
    <w:tbl>
      <w:tblPr>
        <w:tblStyle w:val="3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3120"/>
        <w:gridCol w:w="850"/>
        <w:gridCol w:w="1559"/>
        <w:gridCol w:w="851"/>
        <w:gridCol w:w="850"/>
        <w:gridCol w:w="1276"/>
        <w:gridCol w:w="1276"/>
        <w:gridCol w:w="1984"/>
        <w:gridCol w:w="1418"/>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3120"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单位工程名称</w:t>
            </w:r>
          </w:p>
        </w:tc>
        <w:tc>
          <w:tcPr>
            <w:tcW w:w="850"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建设规模</w:t>
            </w:r>
          </w:p>
        </w:tc>
        <w:tc>
          <w:tcPr>
            <w:tcW w:w="1559"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建筑面积</w:t>
            </w:r>
          </w:p>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(平方米)</w:t>
            </w:r>
          </w:p>
        </w:tc>
        <w:tc>
          <w:tcPr>
            <w:tcW w:w="851"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结构形式</w:t>
            </w:r>
          </w:p>
        </w:tc>
        <w:tc>
          <w:tcPr>
            <w:tcW w:w="850"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层数</w:t>
            </w:r>
          </w:p>
        </w:tc>
        <w:tc>
          <w:tcPr>
            <w:tcW w:w="1276"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生产</w:t>
            </w:r>
          </w:p>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能力</w:t>
            </w:r>
          </w:p>
        </w:tc>
        <w:tc>
          <w:tcPr>
            <w:tcW w:w="1276"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设备安装内容</w:t>
            </w:r>
          </w:p>
        </w:tc>
        <w:tc>
          <w:tcPr>
            <w:tcW w:w="1984"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合同价格（元）</w:t>
            </w:r>
          </w:p>
        </w:tc>
        <w:tc>
          <w:tcPr>
            <w:tcW w:w="1418"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开工日期</w:t>
            </w:r>
          </w:p>
        </w:tc>
        <w:tc>
          <w:tcPr>
            <w:tcW w:w="1417"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2" w:hRule="atLeast"/>
        </w:trPr>
        <w:tc>
          <w:tcPr>
            <w:tcW w:w="3120"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312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559"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984"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7"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bl>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
          <w:color w:val="auto"/>
          <w:sz w:val="24"/>
          <w:szCs w:val="24"/>
          <w:highlight w:val="none"/>
        </w:rPr>
        <w:sectPr>
          <w:pgSz w:w="16838" w:h="11905" w:orient="landscape"/>
          <w:pgMar w:top="1083" w:right="1440" w:bottom="1083" w:left="1440" w:header="851" w:footer="992" w:gutter="0"/>
          <w:pgNumType w:fmt="decimal"/>
          <w:cols w:space="0" w:num="1"/>
          <w:rtlGutter w:val="0"/>
          <w:docGrid w:linePitch="312" w:charSpace="0"/>
        </w:sectPr>
      </w:pP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w:t>
      </w:r>
      <w:bookmarkStart w:id="1353" w:name="_Toc296347224"/>
      <w:bookmarkStart w:id="1354" w:name="_Toc296944564"/>
      <w:bookmarkStart w:id="1355" w:name="_Toc296346726"/>
      <w:bookmarkStart w:id="1356" w:name="_Toc267261692"/>
      <w:bookmarkStart w:id="1357" w:name="_Toc296891265"/>
      <w:bookmarkStart w:id="1358" w:name="_Toc296891053"/>
      <w:bookmarkStart w:id="1359" w:name="_Toc296503225"/>
      <w:r>
        <w:rPr>
          <w:rFonts w:hint="eastAsia" w:ascii="微软雅黑" w:hAnsi="微软雅黑" w:eastAsia="微软雅黑" w:cs="微软雅黑"/>
          <w:color w:val="auto"/>
          <w:sz w:val="24"/>
          <w:szCs w:val="24"/>
          <w:highlight w:val="none"/>
        </w:rPr>
        <w:t>件2：</w:t>
      </w:r>
    </w:p>
    <w:bookmarkEnd w:id="1353"/>
    <w:bookmarkEnd w:id="1354"/>
    <w:bookmarkEnd w:id="1355"/>
    <w:bookmarkEnd w:id="1356"/>
    <w:bookmarkEnd w:id="1357"/>
    <w:bookmarkEnd w:id="1358"/>
    <w:bookmarkEnd w:id="1359"/>
    <w:p>
      <w:pPr>
        <w:keepLines w:val="0"/>
        <w:pageBreakBefore w:val="0"/>
        <w:kinsoku/>
        <w:wordWrap/>
        <w:overflowPunct/>
        <w:topLinePunct w:val="0"/>
        <w:bidi w:val="0"/>
        <w:spacing w:before="156" w:beforeLines="50" w:after="156" w:afterLines="50" w:line="48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发包人供应材料设备一览表</w:t>
      </w:r>
    </w:p>
    <w:tbl>
      <w:tblPr>
        <w:tblStyle w:val="37"/>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276"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材料、</w:t>
            </w:r>
          </w:p>
          <w:p>
            <w:pPr>
              <w:pStyle w:val="11"/>
              <w:keepNext/>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设备品种</w:t>
            </w:r>
          </w:p>
        </w:tc>
        <w:tc>
          <w:tcPr>
            <w:tcW w:w="1418"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规格型号</w:t>
            </w:r>
          </w:p>
        </w:tc>
        <w:tc>
          <w:tcPr>
            <w:tcW w:w="940"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w:t>
            </w:r>
          </w:p>
        </w:tc>
        <w:tc>
          <w:tcPr>
            <w:tcW w:w="851"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1044"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单价（元）</w:t>
            </w:r>
          </w:p>
        </w:tc>
        <w:tc>
          <w:tcPr>
            <w:tcW w:w="992"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质量等级</w:t>
            </w:r>
          </w:p>
        </w:tc>
        <w:tc>
          <w:tcPr>
            <w:tcW w:w="851"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供应时间</w:t>
            </w:r>
          </w:p>
        </w:tc>
        <w:tc>
          <w:tcPr>
            <w:tcW w:w="1487"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送达地点</w:t>
            </w:r>
          </w:p>
        </w:tc>
        <w:tc>
          <w:tcPr>
            <w:tcW w:w="992"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276"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4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44"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7"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9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276"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18"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40"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044"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851"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1487"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c>
          <w:tcPr>
            <w:tcW w:w="992" w:type="dxa"/>
            <w:noWrap w:val="0"/>
            <w:vAlign w:val="center"/>
          </w:tcPr>
          <w:p>
            <w:pPr>
              <w:keepLines w:val="0"/>
              <w:pageBreakBefore w:val="0"/>
              <w:kinsoku/>
              <w:wordWrap/>
              <w:overflowPunct/>
              <w:topLinePunct w:val="0"/>
              <w:bidi w:val="0"/>
              <w:spacing w:line="480" w:lineRule="exact"/>
              <w:ind w:right="-19" w:rightChars="-9"/>
              <w:jc w:val="center"/>
              <w:outlineLvl w:val="9"/>
              <w:rPr>
                <w:rFonts w:hint="eastAsia" w:ascii="微软雅黑" w:hAnsi="微软雅黑" w:eastAsia="微软雅黑" w:cs="微软雅黑"/>
                <w:color w:val="auto"/>
                <w:sz w:val="24"/>
                <w:szCs w:val="24"/>
                <w:highlight w:val="none"/>
              </w:rPr>
            </w:pPr>
          </w:p>
        </w:tc>
      </w:tr>
    </w:tbl>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w:t>
      </w:r>
      <w:bookmarkStart w:id="1360" w:name="_Toc296891266"/>
      <w:bookmarkStart w:id="1361" w:name="_Toc296503226"/>
      <w:bookmarkStart w:id="1362" w:name="_Toc296347225"/>
      <w:bookmarkStart w:id="1363" w:name="_Toc296346727"/>
      <w:bookmarkStart w:id="1364" w:name="_Toc267261693"/>
      <w:bookmarkStart w:id="1365" w:name="_Toc296891054"/>
      <w:bookmarkStart w:id="1366" w:name="_Toc296944565"/>
      <w:r>
        <w:rPr>
          <w:rFonts w:hint="eastAsia" w:ascii="微软雅黑" w:hAnsi="微软雅黑" w:eastAsia="微软雅黑" w:cs="微软雅黑"/>
          <w:color w:val="auto"/>
          <w:sz w:val="24"/>
          <w:szCs w:val="24"/>
          <w:highlight w:val="none"/>
        </w:rPr>
        <w:t>件3：</w:t>
      </w:r>
      <w:bookmarkEnd w:id="1360"/>
      <w:bookmarkEnd w:id="1361"/>
      <w:bookmarkEnd w:id="1362"/>
      <w:bookmarkEnd w:id="1363"/>
      <w:bookmarkEnd w:id="1364"/>
      <w:bookmarkEnd w:id="1365"/>
      <w:bookmarkEnd w:id="1366"/>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spacing w:before="156" w:beforeLines="50" w:after="156" w:afterLines="50" w:line="48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工程质量保修书</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承包人（全称）：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发包人和承包人根据《中华人民共和国建筑法》和《建设工程质量管理条例》，经协商一致就</w:t>
      </w:r>
      <w:r>
        <w:rPr>
          <w:rFonts w:hint="eastAsia" w:ascii="微软雅黑" w:hAnsi="微软雅黑" w:eastAsia="微软雅黑" w:cs="微软雅黑"/>
          <w:b/>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（工程全称）签订工程质量保修书。</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一、工程质量保修范围和内容</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承包人在质量保修期内，按照有关法律规定和合同约定，承担工程质量保修责任。</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　　</w:t>
      </w:r>
      <w:r>
        <w:rPr>
          <w:rFonts w:hint="eastAsia" w:ascii="微软雅黑" w:hAnsi="微软雅黑" w:eastAsia="微软雅黑" w:cs="微软雅黑"/>
          <w:color w:val="auto"/>
          <w:sz w:val="24"/>
          <w:szCs w:val="24"/>
          <w:highlight w:val="none"/>
        </w:rPr>
        <w:t>二、质量保修期</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根据《建设工程质量管理条例》及有关规定，工程的质量保修期如下：</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1．地基基础工程和主体结构工程为设计文件规定的工程合理使用年限；</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2．屋面防水工程、有防水要求的卫生间、房间和外墙面的防渗为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3．装修工程为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4．电气管线、给排水管道、设备安装工程为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5．供热与供冷系统为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个采暖期、供冷期；</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6．住宅小区内的给排水设施、道路等配套工程为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7．其他项目保修期限约定如下：</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质量保修期自工程竣工验收合格之日起计算。</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三、缺陷责任期</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工程缺陷责任期为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个月，缺陷责任期自工程竣工验收合格之日起计算。单位工程先于全部工程进行验收，单位工程缺陷责任期自单位工程验收合格之日起算。</w:t>
      </w:r>
    </w:p>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缺陷责任期终止后，发包人应退还剩余的质量保证金。</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四、质量保修责任</w:t>
      </w:r>
    </w:p>
    <w:p>
      <w:pPr>
        <w:keepLines w:val="0"/>
        <w:pageBreakBefore w:val="0"/>
        <w:kinsoku/>
        <w:wordWrap/>
        <w:overflowPunct/>
        <w:topLinePunct w:val="0"/>
        <w:bidi w:val="0"/>
        <w:spacing w:line="480" w:lineRule="exact"/>
        <w:ind w:left="105" w:leftChars="50" w:right="-19" w:rightChars="-9" w:firstLine="491" w:firstLineChars="205"/>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1．属于保修范围、内容的项目，承包人应当在接到保修通知之日起7天内派人保修。承包人不在约定期限内派人保修的，发包人可以委托他人修理。</w:t>
      </w:r>
    </w:p>
    <w:p>
      <w:pPr>
        <w:keepLines w:val="0"/>
        <w:pageBreakBefore w:val="0"/>
        <w:kinsoku/>
        <w:wordWrap/>
        <w:overflowPunct/>
        <w:topLinePunct w:val="0"/>
        <w:bidi w:val="0"/>
        <w:spacing w:line="480" w:lineRule="exact"/>
        <w:ind w:left="105" w:leftChars="50" w:right="-19" w:rightChars="-9" w:firstLine="491" w:firstLineChars="205"/>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2．发生紧急事故需抢修的，承包人在接到事故通知后，应当立即到达事故现场抢修。</w:t>
      </w:r>
    </w:p>
    <w:p>
      <w:pPr>
        <w:keepLines w:val="0"/>
        <w:pageBreakBefore w:val="0"/>
        <w:kinsoku/>
        <w:wordWrap/>
        <w:overflowPunct/>
        <w:topLinePunct w:val="0"/>
        <w:bidi w:val="0"/>
        <w:spacing w:line="480" w:lineRule="exact"/>
        <w:ind w:left="105" w:leftChars="50" w:right="-19" w:rightChars="-9" w:firstLine="491" w:firstLineChars="205"/>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Lines w:val="0"/>
        <w:pageBreakBefore w:val="0"/>
        <w:kinsoku/>
        <w:wordWrap/>
        <w:overflowPunct/>
        <w:topLinePunct w:val="0"/>
        <w:bidi w:val="0"/>
        <w:spacing w:line="480" w:lineRule="exact"/>
        <w:ind w:left="420" w:leftChars="200" w:right="-19" w:rightChars="-9" w:firstLine="120" w:firstLineChars="5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4．质量保修完成后，由发包人组织验收。</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五、保修费用</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保修费用由造成质量缺陷的责任方承担。</w:t>
      </w:r>
    </w:p>
    <w:p>
      <w:pPr>
        <w:keepLines w:val="0"/>
        <w:pageBreakBefore w:val="0"/>
        <w:kinsoku/>
        <w:wordWrap/>
        <w:overflowPunct/>
        <w:topLinePunct w:val="0"/>
        <w:bidi w:val="0"/>
        <w:spacing w:line="480" w:lineRule="exact"/>
        <w:ind w:right="-19" w:rightChars="-9" w:firstLine="6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六</w:t>
      </w:r>
      <w:r>
        <w:rPr>
          <w:rFonts w:hint="eastAsia" w:ascii="微软雅黑" w:hAnsi="微软雅黑" w:eastAsia="微软雅黑" w:cs="微软雅黑"/>
          <w:color w:val="auto"/>
          <w:sz w:val="24"/>
          <w:szCs w:val="24"/>
          <w:highlight w:val="none"/>
        </w:rPr>
        <w:t>、双方约定的其他工程质量保修事项：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Lines w:val="0"/>
        <w:pageBreakBefore w:val="0"/>
        <w:kinsoku/>
        <w:wordWrap/>
        <w:overflowPunct/>
        <w:topLinePunct w:val="0"/>
        <w:bidi w:val="0"/>
        <w:spacing w:line="480" w:lineRule="exact"/>
        <w:ind w:right="-19" w:rightChars="-9" w:firstLine="456" w:firstLineChars="19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工程质量保修书由发包人、承包人在工程竣工验收前共同签署，作为施工合同附件，其有效期限至保修期满。</w:t>
      </w:r>
    </w:p>
    <w:p>
      <w:pPr>
        <w:keepLines w:val="0"/>
        <w:pageBreakBefore w:val="0"/>
        <w:kinsoku/>
        <w:wordWrap/>
        <w:overflowPunct/>
        <w:topLinePunct w:val="0"/>
        <w:bidi w:val="0"/>
        <w:spacing w:line="480" w:lineRule="exact"/>
        <w:ind w:right="-19" w:rightChars="-9" w:firstLine="420"/>
        <w:outlineLvl w:val="9"/>
        <w:rPr>
          <w:rFonts w:hint="eastAsia" w:ascii="微软雅黑" w:hAnsi="微软雅黑" w:eastAsia="微软雅黑" w:cs="微软雅黑"/>
          <w:color w:val="auto"/>
          <w:sz w:val="24"/>
          <w:szCs w:val="24"/>
          <w:highlight w:val="none"/>
        </w:rPr>
      </w:pP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发包人(公章)：</w:t>
      </w:r>
      <w:r>
        <w:rPr>
          <w:rFonts w:hint="eastAsia" w:ascii="微软雅黑" w:hAnsi="微软雅黑" w:eastAsia="微软雅黑" w:cs="微软雅黑"/>
          <w:color w:val="auto"/>
          <w:sz w:val="24"/>
          <w:szCs w:val="24"/>
          <w:highlight w:val="none"/>
          <w:u w:val="single"/>
        </w:rPr>
        <w:t xml:space="preserve">        </w:t>
      </w:r>
      <w:r>
        <w:rPr>
          <w:rFonts w:hint="eastAsia" w:ascii="微软雅黑" w:hAnsi="微软雅黑" w:eastAsia="微软雅黑" w:cs="微软雅黑"/>
          <w:color w:val="auto"/>
          <w:sz w:val="24"/>
          <w:szCs w:val="24"/>
          <w:highlight w:val="none"/>
        </w:rPr>
        <w:t xml:space="preserve">        承包人(公章)：</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地  址：</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法定代表人(签字)：</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法定代表人(签字)：</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委托代理人(签字)：</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委托代理人(签字)：</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  话：</w:t>
      </w:r>
      <w:r>
        <w:rPr>
          <w:rFonts w:hint="eastAsia" w:ascii="微软雅黑" w:hAnsi="微软雅黑" w:eastAsia="微软雅黑" w:cs="微软雅黑"/>
          <w:color w:val="auto"/>
          <w:sz w:val="24"/>
          <w:szCs w:val="24"/>
          <w:highlight w:val="none"/>
          <w:u w:val="single"/>
        </w:rPr>
        <w:t xml:space="preserve"> 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  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  真：</w:t>
      </w:r>
      <w:r>
        <w:rPr>
          <w:rFonts w:hint="eastAsia" w:ascii="微软雅黑" w:hAnsi="微软雅黑" w:eastAsia="微软雅黑" w:cs="微软雅黑"/>
          <w:color w:val="auto"/>
          <w:sz w:val="24"/>
          <w:szCs w:val="24"/>
          <w:highlight w:val="none"/>
          <w:u w:val="single"/>
        </w:rPr>
        <w:t xml:space="preserve">     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pacing w:val="-20"/>
          <w:sz w:val="24"/>
          <w:szCs w:val="24"/>
          <w:highlight w:val="none"/>
        </w:rPr>
      </w:pPr>
      <w:r>
        <w:rPr>
          <w:rFonts w:hint="eastAsia" w:ascii="微软雅黑" w:hAnsi="微软雅黑" w:eastAsia="微软雅黑" w:cs="微软雅黑"/>
          <w:color w:val="auto"/>
          <w:sz w:val="24"/>
          <w:szCs w:val="24"/>
          <w:highlight w:val="none"/>
        </w:rPr>
        <w:t>开户银行：</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开户银行：</w:t>
      </w:r>
      <w:r>
        <w:rPr>
          <w:rFonts w:hint="eastAsia" w:ascii="微软雅黑" w:hAnsi="微软雅黑" w:eastAsia="微软雅黑" w:cs="微软雅黑"/>
          <w:color w:val="auto"/>
          <w:spacing w:val="-20"/>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  号：</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账  号：</w:t>
      </w:r>
      <w:r>
        <w:rPr>
          <w:rFonts w:hint="eastAsia" w:ascii="微软雅黑" w:hAnsi="微软雅黑" w:eastAsia="微软雅黑" w:cs="微软雅黑"/>
          <w:color w:val="auto"/>
          <w:sz w:val="24"/>
          <w:szCs w:val="24"/>
          <w:highlight w:val="none"/>
          <w:u w:val="single"/>
        </w:rPr>
        <w:t xml:space="preserve">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邮政编码：</w:t>
      </w:r>
      <w:r>
        <w:rPr>
          <w:rFonts w:hint="eastAsia" w:ascii="微软雅黑" w:hAnsi="微软雅黑" w:eastAsia="微软雅黑" w:cs="微软雅黑"/>
          <w:color w:val="auto"/>
          <w:sz w:val="24"/>
          <w:szCs w:val="24"/>
          <w:highlight w:val="none"/>
          <w:u w:val="single"/>
        </w:rPr>
        <w:t xml:space="preserve">     </w:t>
      </w:r>
      <w:r>
        <w:rPr>
          <w:rFonts w:hint="eastAsia" w:ascii="微软雅黑" w:hAnsi="微软雅黑" w:eastAsia="微软雅黑" w:cs="微软雅黑"/>
          <w:color w:val="auto"/>
          <w:sz w:val="24"/>
          <w:szCs w:val="24"/>
          <w:highlight w:val="none"/>
        </w:rPr>
        <w:t xml:space="preserve">         邮政编码：</w:t>
      </w:r>
      <w:r>
        <w:rPr>
          <w:rFonts w:hint="eastAsia" w:ascii="微软雅黑" w:hAnsi="微软雅黑" w:eastAsia="微软雅黑" w:cs="微软雅黑"/>
          <w:color w:val="auto"/>
          <w:sz w:val="24"/>
          <w:szCs w:val="24"/>
          <w:highlight w:val="none"/>
          <w:u w:val="single"/>
        </w:rPr>
        <w:t xml:space="preserve">       </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br w:type="page"/>
      </w:r>
      <w:r>
        <w:rPr>
          <w:rFonts w:hint="eastAsia" w:ascii="微软雅黑" w:hAnsi="微软雅黑" w:eastAsia="微软雅黑" w:cs="微软雅黑"/>
          <w:color w:val="auto"/>
          <w:sz w:val="24"/>
          <w:szCs w:val="24"/>
          <w:highlight w:val="none"/>
        </w:rPr>
        <w:t>附件4：</w:t>
      </w:r>
    </w:p>
    <w:p>
      <w:pPr>
        <w:keepLines w:val="0"/>
        <w:pageBreakBefore w:val="0"/>
        <w:kinsoku/>
        <w:wordWrap/>
        <w:overflowPunct/>
        <w:topLinePunct w:val="0"/>
        <w:bidi w:val="0"/>
        <w:spacing w:before="156" w:beforeLines="50" w:after="156" w:afterLines="50" w:line="480" w:lineRule="exact"/>
        <w:ind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承包人用于本工程施工的机械设备表</w:t>
      </w:r>
    </w:p>
    <w:tbl>
      <w:tblPr>
        <w:tblStyle w:val="3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418"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机械或设备名称</w:t>
            </w:r>
          </w:p>
        </w:tc>
        <w:tc>
          <w:tcPr>
            <w:tcW w:w="850"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规格型号</w:t>
            </w:r>
          </w:p>
        </w:tc>
        <w:tc>
          <w:tcPr>
            <w:tcW w:w="1058"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880"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产地</w:t>
            </w:r>
          </w:p>
        </w:tc>
        <w:tc>
          <w:tcPr>
            <w:tcW w:w="1020"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制造年份</w:t>
            </w:r>
          </w:p>
        </w:tc>
        <w:tc>
          <w:tcPr>
            <w:tcW w:w="1480"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额定功率(kW)</w:t>
            </w:r>
          </w:p>
        </w:tc>
        <w:tc>
          <w:tcPr>
            <w:tcW w:w="1020"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生产能力</w:t>
            </w:r>
          </w:p>
        </w:tc>
        <w:tc>
          <w:tcPr>
            <w:tcW w:w="921" w:type="dxa"/>
            <w:tcBorders>
              <w:top w:val="single" w:color="auto" w:sz="12" w:space="0"/>
              <w:bottom w:val="doub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tcBorders>
              <w:top w:val="double" w:color="auto" w:sz="6" w:space="0"/>
              <w:bottom w:val="single" w:color="auto" w:sz="6" w:space="0"/>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tcBorders>
              <w:top w:val="nil"/>
            </w:tcBorders>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1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5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58"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8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48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1020"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c>
          <w:tcPr>
            <w:tcW w:w="921" w:type="dxa"/>
            <w:noWrap w:val="0"/>
            <w:vAlign w:val="center"/>
          </w:tcPr>
          <w:p>
            <w:pPr>
              <w:pStyle w:val="11"/>
              <w:keepNext/>
              <w:keepLines w:val="0"/>
              <w:pageBreakBefore w:val="0"/>
              <w:kinsoku/>
              <w:wordWrap/>
              <w:overflowPunct/>
              <w:topLinePunct w:val="0"/>
              <w:bidi w:val="0"/>
              <w:spacing w:line="480" w:lineRule="exact"/>
              <w:ind w:left="63"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1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5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58"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8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48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1020"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c>
          <w:tcPr>
            <w:tcW w:w="921" w:type="dxa"/>
            <w:noWrap w:val="0"/>
            <w:vAlign w:val="top"/>
          </w:tcPr>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color w:val="auto"/>
                <w:sz w:val="24"/>
                <w:szCs w:val="24"/>
                <w:highlight w:val="none"/>
              </w:rPr>
            </w:pPr>
          </w:p>
        </w:tc>
      </w:tr>
    </w:tbl>
    <w:p>
      <w:pPr>
        <w:keepLines w:val="0"/>
        <w:pageBreakBefore w:val="0"/>
        <w:kinsoku/>
        <w:wordWrap/>
        <w:overflowPunct/>
        <w:topLinePunct w:val="0"/>
        <w:bidi w:val="0"/>
        <w:spacing w:line="480" w:lineRule="exact"/>
        <w:ind w:right="-19" w:rightChars="-9" w:firstLine="480" w:firstLineChars="200"/>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b/>
          <w:bCs/>
          <w:color w:val="auto"/>
          <w:sz w:val="24"/>
          <w:szCs w:val="24"/>
          <w:highlight w:val="none"/>
        </w:rPr>
        <w:t xml:space="preserve">       </w:t>
      </w:r>
    </w:p>
    <w:p>
      <w:pPr>
        <w:keepLines w:val="0"/>
        <w:pageBreakBefore w:val="0"/>
        <w:kinsoku/>
        <w:wordWrap/>
        <w:overflowPunct/>
        <w:topLinePunct w:val="0"/>
        <w:bidi w:val="0"/>
        <w:spacing w:line="480" w:lineRule="exact"/>
        <w:ind w:right="-19" w:rightChars="-9" w:firstLine="2159" w:firstLineChars="899"/>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第五章  工程量清单</w:t>
      </w:r>
    </w:p>
    <w:p>
      <w:pPr>
        <w:keepLines w:val="0"/>
        <w:pageBreakBefore w:val="0"/>
        <w:kinsoku/>
        <w:wordWrap/>
        <w:overflowPunct/>
        <w:topLinePunct w:val="0"/>
        <w:bidi w:val="0"/>
        <w:spacing w:line="480" w:lineRule="exact"/>
        <w:ind w:right="-19" w:rightChars="-9"/>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kern w:val="0"/>
          <w:sz w:val="24"/>
          <w:szCs w:val="24"/>
          <w:highlight w:val="none"/>
        </w:rPr>
        <w:t>一、 工程量清单说明部分</w:t>
      </w:r>
    </w:p>
    <w:p>
      <w:pPr>
        <w:keepLines w:val="0"/>
        <w:pageBreakBefore w:val="0"/>
        <w:widowControl/>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1. 工程量清单说明</w:t>
      </w:r>
    </w:p>
    <w:p>
      <w:pPr>
        <w:keepLines w:val="0"/>
        <w:pageBreakBefore w:val="0"/>
        <w:widowControl/>
        <w:kinsoku/>
        <w:wordWrap/>
        <w:overflowPunct/>
        <w:topLinePunct w:val="0"/>
        <w:bidi w:val="0"/>
        <w:adjustRightInd w:val="0"/>
        <w:snapToGrid w:val="0"/>
        <w:spacing w:line="480" w:lineRule="exact"/>
        <w:ind w:right="-19" w:rightChars="-9" w:firstLine="41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1.2 本工程量清单应与招标文件中的投标人须知、通用合同条款、专用合同条款、技术标准和要求及图纸等一起阅读和理解。</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1.3 本工程量清单仅是投标报价的共同基础，实际工程计量和工程价款的支付应遵循合同条款的约定和第七章“技术标准和要求”的有关规定。</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1.4 补充子目工程量计算规则及子目工作内容说明：</w:t>
      </w:r>
      <w:r>
        <w:rPr>
          <w:rFonts w:hint="eastAsia" w:ascii="微软雅黑" w:hAnsi="微软雅黑" w:eastAsia="微软雅黑" w:cs="微软雅黑"/>
          <w:color w:val="auto"/>
          <w:kern w:val="0"/>
          <w:sz w:val="24"/>
          <w:szCs w:val="24"/>
          <w:highlight w:val="none"/>
          <w:u w:val="single"/>
        </w:rPr>
        <w:t xml:space="preserve">  /   </w:t>
      </w:r>
      <w:r>
        <w:rPr>
          <w:rFonts w:hint="eastAsia" w:ascii="微软雅黑" w:hAnsi="微软雅黑" w:eastAsia="微软雅黑" w:cs="微软雅黑"/>
          <w:color w:val="auto"/>
          <w:kern w:val="0"/>
          <w:sz w:val="24"/>
          <w:szCs w:val="24"/>
          <w:highlight w:val="none"/>
        </w:rPr>
        <w:t>。</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1.5本条第1.1款中约定的计量和计价规则适用于合同履约过程中工程量计量与价款支付、工程变更、索赔和工程结算。</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1.6 本条与下述第2条和第3条的说明内容是构成合同文件的已标价工程量清单的组成部分。</w:t>
      </w:r>
    </w:p>
    <w:p>
      <w:pPr>
        <w:keepLines w:val="0"/>
        <w:pageBreakBefore w:val="0"/>
        <w:widowControl/>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2. 投标报价说明</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2.1投标报价应根据招标文件中的有关计价要求，并按照下列依据自主报价。</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  本招标文件；</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 《建设工程工程量清单计价规范》；</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  国家或省级、行业建设主管部门颁发的计价办法；</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  企业定额，国家或省级、行业建设主管部门颁发的计价定额；</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  招标文件(包括工程量清单)的澄清、补充和修改文件；</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(6)  建设工程设计文件及相关资料；</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(7)  施工现场情况、工程特点及拟定的投标施工组织设计或施工方案；</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(8)  与建设项目相关的标准、规定等技术资料；</w:t>
      </w:r>
    </w:p>
    <w:p>
      <w:pPr>
        <w:keepLines w:val="0"/>
        <w:pageBreakBefore w:val="0"/>
        <w:widowControl/>
        <w:kinsoku/>
        <w:wordWrap/>
        <w:overflowPunct/>
        <w:topLinePunct w:val="0"/>
        <w:bidi w:val="0"/>
        <w:adjustRightInd w:val="0"/>
        <w:snapToGrid w:val="0"/>
        <w:spacing w:line="480" w:lineRule="exact"/>
        <w:ind w:right="-19" w:rightChars="-9" w:firstLine="83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(9)  市场价格信息或工程造价管理机构发布的工程造价信息；</w:t>
      </w:r>
    </w:p>
    <w:p>
      <w:pPr>
        <w:keepLines w:val="0"/>
        <w:pageBreakBefore w:val="0"/>
        <w:widowControl/>
        <w:kinsoku/>
        <w:wordWrap/>
        <w:overflowPunct/>
        <w:topLinePunct w:val="0"/>
        <w:bidi w:val="0"/>
        <w:adjustRightInd w:val="0"/>
        <w:snapToGrid w:val="0"/>
        <w:spacing w:line="480" w:lineRule="exact"/>
        <w:ind w:right="-19" w:rightChars="-9" w:firstLine="720" w:firstLineChars="3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(10) 其他的相关资料。</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2.2 工程量清单中的每一子目须填入单价或价格，且只允许有一个报价。工程量清单中投标人没有填入单价或价格的子目，其费用视为已分摊在工程量清单中其他相关子目的单价或价格之中。</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2.3工程量清单中标价的单价或金额，应包括所需人工费、材料费、施工机械使用费和管理费及利润，以及一定范围内的风险费用。所谓“一定范围内的风险”是指合同约定的风险。</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spacing w:val="-8"/>
          <w:kern w:val="0"/>
          <w:sz w:val="24"/>
          <w:szCs w:val="24"/>
          <w:highlight w:val="none"/>
        </w:rPr>
      </w:pPr>
      <w:r>
        <w:rPr>
          <w:rFonts w:hint="eastAsia" w:ascii="微软雅黑" w:hAnsi="微软雅黑" w:eastAsia="微软雅黑" w:cs="微软雅黑"/>
          <w:color w:val="auto"/>
          <w:kern w:val="0"/>
          <w:sz w:val="24"/>
          <w:szCs w:val="24"/>
          <w:highlight w:val="none"/>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r>
        <w:rPr>
          <w:rFonts w:hint="eastAsia" w:ascii="微软雅黑" w:hAnsi="微软雅黑" w:eastAsia="微软雅黑" w:cs="微软雅黑"/>
          <w:color w:val="auto"/>
          <w:spacing w:val="-8"/>
          <w:kern w:val="0"/>
          <w:sz w:val="24"/>
          <w:szCs w:val="24"/>
          <w:highlight w:val="none"/>
        </w:rPr>
        <w:t>投标人应</w:t>
      </w:r>
      <w:r>
        <w:rPr>
          <w:rFonts w:hint="eastAsia" w:ascii="微软雅黑" w:hAnsi="微软雅黑" w:eastAsia="微软雅黑" w:cs="微软雅黑"/>
          <w:color w:val="auto"/>
          <w:kern w:val="0"/>
          <w:sz w:val="24"/>
          <w:szCs w:val="24"/>
          <w:highlight w:val="none"/>
        </w:rPr>
        <w:t>依据</w:t>
      </w:r>
      <w:r>
        <w:rPr>
          <w:rFonts w:hint="eastAsia" w:ascii="微软雅黑" w:hAnsi="微软雅黑" w:eastAsia="微软雅黑" w:cs="微软雅黑"/>
          <w:color w:val="auto"/>
          <w:spacing w:val="-8"/>
          <w:kern w:val="0"/>
          <w:sz w:val="24"/>
          <w:szCs w:val="24"/>
          <w:highlight w:val="none"/>
        </w:rPr>
        <w:t>《 建设工程工程量清单计价规范》（GB50500—2013）、企业定额及当地市场因素及工程特点等报出综合单价。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2.5.1除非招标人对招标文件予以修改，投标人必须按照招标人提供的分部分项工程量清单，列出分部分项工程量的综合单价和合价。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2.5.4 分部分项工程量清单已包括本投标人须知前附表第1.3.1条确定的本项目招标范围内施工图全部内容，并须在招标过程中经投标人提出质询，招标人以答疑的形式确认，结算工程量以完成的实体量为准。中标人由于自身原因造成工程量的增加不以任何形式调增。分部分项工程量调整按照以下方法调整：</w:t>
      </w:r>
    </w:p>
    <w:p>
      <w:pPr>
        <w:keepLines w:val="0"/>
        <w:pageBreakBefore w:val="0"/>
        <w:widowControl/>
        <w:kinsoku/>
        <w:wordWrap/>
        <w:overflowPunct/>
        <w:topLinePunct w:val="0"/>
        <w:bidi w:val="0"/>
        <w:adjustRightInd w:val="0"/>
        <w:snapToGrid w:val="0"/>
        <w:spacing w:line="480" w:lineRule="exact"/>
        <w:ind w:right="-19" w:rightChars="-9" w:firstLine="48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已标价工程量清单中有适用于变更工作的子目的，采用该子目的单价。</w:t>
      </w:r>
    </w:p>
    <w:p>
      <w:pPr>
        <w:keepLines w:val="0"/>
        <w:pageBreakBefore w:val="0"/>
        <w:widowControl/>
        <w:kinsoku/>
        <w:wordWrap/>
        <w:overflowPunct/>
        <w:topLinePunct w:val="0"/>
        <w:bidi w:val="0"/>
        <w:adjustRightInd w:val="0"/>
        <w:snapToGrid w:val="0"/>
        <w:spacing w:line="480" w:lineRule="exact"/>
        <w:ind w:right="-19" w:rightChars="-9" w:firstLine="48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已标价工程量清单中无适用于变更工作的子目，但有类似子目的，可在合理范围内参照类似子目的单价，由监理人按第3.5 款商定或确定变更工作的单价。</w:t>
      </w:r>
    </w:p>
    <w:p>
      <w:pPr>
        <w:keepLines w:val="0"/>
        <w:pageBreakBefore w:val="0"/>
        <w:widowControl/>
        <w:kinsoku/>
        <w:wordWrap/>
        <w:overflowPunct/>
        <w:topLinePunct w:val="0"/>
        <w:bidi w:val="0"/>
        <w:adjustRightInd w:val="0"/>
        <w:snapToGrid w:val="0"/>
        <w:spacing w:line="480" w:lineRule="exact"/>
        <w:ind w:right="-19" w:rightChars="-9" w:firstLine="480"/>
        <w:jc w:val="left"/>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已标价工程量清单中无适用或类似子目的单价，可按照成本加利润的原则，由监理人按通用条款第3.5 款商定或确定变更工作的单价。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2.6分部分项工程项目按下列要求报价：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2.6.1  分部分项工程量清单计价应依据计价规范中关于综合单价的组成内容确定报价。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2.6.2  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2.6.3  如果分部分项工程量清单中涉及“发包人提供的材料和工程设备一览表”(见第四章合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2.6.4  “分部分项工程量清单与计价表”所列各子目的综合单价组成中，各子目的人工、材料和机械台班消耗量由投标人按照其自身情况做充分的、竞争性考虑。材料消耗量包括损耗量。</w:t>
      </w:r>
    </w:p>
    <w:p>
      <w:pPr>
        <w:keepLines w:val="0"/>
        <w:pageBreakBefore w:val="0"/>
        <w:widowControl/>
        <w:kinsoku/>
        <w:wordWrap/>
        <w:overflowPunct/>
        <w:topLinePunct w:val="0"/>
        <w:bidi w:val="0"/>
        <w:adjustRightInd w:val="0"/>
        <w:snapToGrid w:val="0"/>
        <w:spacing w:line="480" w:lineRule="exact"/>
        <w:ind w:right="-19" w:rightChars="-9" w:firstLine="408"/>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2.7    措施项目按下列要求报价：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color w:val="auto"/>
          <w:kern w:val="0"/>
          <w:sz w:val="24"/>
          <w:szCs w:val="24"/>
          <w:highlight w:val="none"/>
        </w:rPr>
        <w:t>2.7.2  措施项目清单中的安全文明施工费应按其中安全文明施工费应按照</w:t>
      </w:r>
      <w:r>
        <w:rPr>
          <w:rFonts w:hint="eastAsia" w:ascii="微软雅黑" w:hAnsi="微软雅黑" w:eastAsia="微软雅黑" w:cs="微软雅黑"/>
          <w:color w:val="auto"/>
          <w:kern w:val="0"/>
          <w:sz w:val="24"/>
          <w:szCs w:val="24"/>
          <w:highlight w:val="none"/>
          <w:u w:val="single"/>
        </w:rPr>
        <w:t>新建标【2016】2号、新建标[2019]4号、喀地造字【2018】5文</w:t>
      </w:r>
      <w:r>
        <w:rPr>
          <w:rFonts w:hint="eastAsia" w:ascii="微软雅黑" w:hAnsi="微软雅黑" w:eastAsia="微软雅黑" w:cs="微软雅黑"/>
          <w:color w:val="auto"/>
          <w:kern w:val="0"/>
          <w:sz w:val="24"/>
          <w:szCs w:val="24"/>
          <w:highlight w:val="none"/>
        </w:rPr>
        <w:t>的规定计算，不得作为竞争性费用。</w:t>
      </w:r>
    </w:p>
    <w:p>
      <w:pPr>
        <w:keepLines w:val="0"/>
        <w:pageBreakBefore w:val="0"/>
        <w:widowControl/>
        <w:kinsoku/>
        <w:wordWrap/>
        <w:overflowPunct/>
        <w:topLinePunct w:val="0"/>
        <w:bidi w:val="0"/>
        <w:adjustRightInd w:val="0"/>
        <w:snapToGrid w:val="0"/>
        <w:spacing w:line="480" w:lineRule="exact"/>
        <w:ind w:right="-19" w:rightChars="-9" w:firstLine="41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2.7.3  招标人提供的措施项目清单中所列项目仅指一般的通用项目，投标人在报价时应充分、全面地阅读和理解招标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pPr>
        <w:keepLines w:val="0"/>
        <w:pageBreakBefore w:val="0"/>
        <w:widowControl/>
        <w:kinsoku/>
        <w:wordWrap/>
        <w:overflowPunct/>
        <w:topLinePunct w:val="0"/>
        <w:bidi w:val="0"/>
        <w:adjustRightInd w:val="0"/>
        <w:snapToGrid w:val="0"/>
        <w:spacing w:line="480" w:lineRule="exact"/>
        <w:ind w:right="-19" w:rightChars="-9" w:firstLine="41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2.7.4  “措施项目清单与计价表”中所填写的报价金额，应全面涵盖招标文件约定的投标人中标后施工、竣工、交付本工程并维修其任何缺陷所需要履行的责任和义务的全部费用。</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2.8．其他项目清单费应按下列规定报价：</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2.8.1  暂列金额按“暂列金额明细表”中列出的金额报价，此处的暂列金额是招标人在招标文件中统一给定的，并不包括本章第2.8.3项的计日工金额。</w:t>
      </w:r>
    </w:p>
    <w:p>
      <w:pPr>
        <w:keepLines w:val="0"/>
        <w:pageBreakBefore w:val="0"/>
        <w:widowControl/>
        <w:kinsoku/>
        <w:wordWrap/>
        <w:overflowPunct/>
        <w:topLinePunct w:val="0"/>
        <w:bidi w:val="0"/>
        <w:adjustRightInd w:val="0"/>
        <w:snapToGrid w:val="0"/>
        <w:spacing w:line="480" w:lineRule="exact"/>
        <w:ind w:right="-19" w:rightChars="-9" w:firstLine="482"/>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2.8.2  暂估价分为材料和工程设备暂估单价和专业工程暂估价两类。其中的材料和工程设备暂估单价进入分部分项工程量清单之综合单价，不在其他项目清单中汇总；专业工程暂估价直接按“专业工程暂估价表”中列出的金额计入其他项目清单报价。</w:t>
      </w:r>
    </w:p>
    <w:p>
      <w:pPr>
        <w:keepLines w:val="0"/>
        <w:pageBreakBefore w:val="0"/>
        <w:widowControl/>
        <w:kinsoku/>
        <w:wordWrap/>
        <w:overflowPunct/>
        <w:topLinePunct w:val="0"/>
        <w:bidi w:val="0"/>
        <w:adjustRightInd w:val="0"/>
        <w:snapToGrid w:val="0"/>
        <w:spacing w:line="480" w:lineRule="exact"/>
        <w:ind w:right="-19" w:rightChars="-9" w:firstLine="617"/>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2.8.3  计日工按“计日工表”中列出的子目和估算数量，自主确定综合单价并计算计日工金额。计日工综合单价均不包括规费和税金，其中：</w:t>
      </w:r>
    </w:p>
    <w:p>
      <w:pPr>
        <w:keepLines w:val="0"/>
        <w:pageBreakBefore w:val="0"/>
        <w:widowControl/>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 劳务单价应当包括工人工资、交通费用、各种补贴、劳动安全保护、社保费用、手提手动和电动工器具、施工场地内已经搭设的脚手架、水电和低值易耗品费用、现场管理费用、企业管理费和利润；</w:t>
      </w:r>
    </w:p>
    <w:p>
      <w:pPr>
        <w:keepLines w:val="0"/>
        <w:pageBreakBefore w:val="0"/>
        <w:widowControl/>
        <w:kinsoku/>
        <w:wordWrap/>
        <w:overflowPunct/>
        <w:topLinePunct w:val="0"/>
        <w:bidi w:val="0"/>
        <w:adjustRightInd w:val="0"/>
        <w:snapToGrid w:val="0"/>
        <w:spacing w:line="480" w:lineRule="exact"/>
        <w:ind w:left="2" w:leftChars="1" w:right="-19" w:rightChars="-9" w:firstLine="477" w:firstLineChars="199"/>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 材料价格包括材料运到现场的价格以及现场搬运、仓储、二次搬运、损耗、保险、企业管理费和利润，但不包括规费和税金。</w:t>
      </w:r>
    </w:p>
    <w:p>
      <w:pPr>
        <w:keepLines w:val="0"/>
        <w:pageBreakBefore w:val="0"/>
        <w:widowControl/>
        <w:kinsoku/>
        <w:wordWrap/>
        <w:overflowPunct/>
        <w:topLinePunct w:val="0"/>
        <w:bidi w:val="0"/>
        <w:adjustRightInd w:val="0"/>
        <w:snapToGrid w:val="0"/>
        <w:spacing w:line="480" w:lineRule="exact"/>
        <w:ind w:left="2" w:leftChars="1" w:right="-19" w:rightChars="-9" w:firstLine="528" w:firstLineChars="22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 施工机械限于在施工场地(现场)的机械设备，其价格包括租赁或折旧、维修、维护和燃油等消耗品以及操作人员费用，包括承包人企业管理费和利润，但不包括规费和税金。辅助人员按劳务价格另计。</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2.8.4 总承包服务费各投标人根据招标文件中列出的内容和要求，按本招标文件的“总承包服务费计价表”中自报费率并计算金额。</w:t>
      </w:r>
    </w:p>
    <w:p>
      <w:pPr>
        <w:keepLines w:val="0"/>
        <w:pageBreakBefore w:val="0"/>
        <w:widowControl/>
        <w:kinsoku/>
        <w:wordWrap/>
        <w:overflowPunct/>
        <w:topLinePunct w:val="0"/>
        <w:bidi w:val="0"/>
        <w:adjustRightInd w:val="0"/>
        <w:snapToGrid w:val="0"/>
        <w:spacing w:line="480" w:lineRule="exact"/>
        <w:ind w:right="-19" w:rightChars="-9" w:firstLine="480" w:firstLineChars="20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2.9 税金应按“税金项目清单与计价表”所列项目，按规定计算，不得作为竞争性费用。</w:t>
      </w:r>
    </w:p>
    <w:p>
      <w:pPr>
        <w:keepLines w:val="0"/>
        <w:pageBreakBefore w:val="0"/>
        <w:widowControl/>
        <w:kinsoku/>
        <w:wordWrap/>
        <w:overflowPunct/>
        <w:topLinePunct w:val="0"/>
        <w:bidi w:val="0"/>
        <w:adjustRightInd w:val="0"/>
        <w:snapToGrid w:val="0"/>
        <w:spacing w:line="480" w:lineRule="exact"/>
        <w:ind w:left="2"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2.10  除招标文件有强制性规定以及不可竞争部分以外，投标报价由投标人自主确定，但不得低于其成本。</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keepLines w:val="0"/>
        <w:pageBreakBefore w:val="0"/>
        <w:widowControl/>
        <w:kinsoku/>
        <w:wordWrap/>
        <w:overflowPunct/>
        <w:topLinePunct w:val="0"/>
        <w:bidi w:val="0"/>
        <w:adjustRightInd w:val="0"/>
        <w:snapToGrid w:val="0"/>
        <w:spacing w:line="480" w:lineRule="exact"/>
        <w:ind w:left="2"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2.12  管理费应由投标人在保证不低于其成本的基础上做竞争性考虑；利润由投标人根据自身情况和综合实力做竞争性考虑。</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2.13  投标报价中应考虑招标文件中要求投标人承担的风险范围以及相关的费用。</w:t>
      </w:r>
    </w:p>
    <w:p>
      <w:pPr>
        <w:keepLines w:val="0"/>
        <w:pageBreakBefore w:val="0"/>
        <w:widowControl/>
        <w:kinsoku/>
        <w:wordWrap/>
        <w:overflowPunct/>
        <w:topLinePunct w:val="0"/>
        <w:bidi w:val="0"/>
        <w:adjustRightInd w:val="0"/>
        <w:snapToGrid w:val="0"/>
        <w:spacing w:line="480" w:lineRule="exact"/>
        <w:ind w:left="2"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2.14  投标总价为投标人在投标文件中提出的各项支付金额的总和，为实施、完成招标工程并修补缺陷以及履行招标文件中约定的风险范围内的所有责任和义务所发生的全部费用。</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2.15  有关投标报价的其他说明：</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u w:val="single"/>
        </w:rPr>
        <w:t xml:space="preserve">      /                                               </w:t>
      </w:r>
    </w:p>
    <w:p>
      <w:pPr>
        <w:keepLines w:val="0"/>
        <w:pageBreakBefore w:val="0"/>
        <w:widowControl/>
        <w:kinsoku/>
        <w:wordWrap/>
        <w:overflowPunct/>
        <w:topLinePunct w:val="0"/>
        <w:bidi w:val="0"/>
        <w:adjustRightInd w:val="0"/>
        <w:snapToGrid w:val="0"/>
        <w:spacing w:line="480" w:lineRule="exact"/>
        <w:ind w:right="-19" w:rightChars="-9"/>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3. 其他说明</w:t>
      </w:r>
    </w:p>
    <w:p>
      <w:pPr>
        <w:keepLines w:val="0"/>
        <w:pageBreakBefore w:val="0"/>
        <w:widowControl/>
        <w:kinsoku/>
        <w:wordWrap/>
        <w:overflowPunct/>
        <w:topLinePunct w:val="0"/>
        <w:bidi w:val="0"/>
        <w:adjustRightInd w:val="0"/>
        <w:snapToGrid w:val="0"/>
        <w:spacing w:line="480" w:lineRule="exact"/>
        <w:ind w:right="-19" w:rightChars="-9" w:firstLine="480"/>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投标人应先到工地踏勘以及充分了解工地位置、情况、道路、储存空间、装卸限制及任何其他足以影响承包价的情况，任何因忽视或误解工地情况而导致的索赔或工期延长申请将不被批准。</w:t>
      </w:r>
    </w:p>
    <w:p>
      <w:pPr>
        <w:pStyle w:val="36"/>
        <w:keepLines w:val="0"/>
        <w:pageBreakBefore w:val="0"/>
        <w:kinsoku/>
        <w:wordWrap/>
        <w:overflowPunct/>
        <w:topLinePunct w:val="0"/>
        <w:bidi w:val="0"/>
        <w:spacing w:line="480" w:lineRule="exact"/>
        <w:outlineLvl w:val="9"/>
        <w:rPr>
          <w:rFonts w:hint="eastAsia" w:ascii="微软雅黑" w:hAnsi="微软雅黑" w:eastAsia="微软雅黑" w:cs="微软雅黑"/>
          <w:color w:val="auto"/>
          <w:sz w:val="24"/>
          <w:szCs w:val="24"/>
        </w:rPr>
      </w:pPr>
    </w:p>
    <w:p>
      <w:pPr>
        <w:pStyle w:val="7"/>
        <w:snapToGrid w:val="0"/>
        <w:ind w:firstLine="0"/>
        <w:textAlignment w:val="baseline"/>
        <w:rPr>
          <w:rFonts w:ascii="微软雅黑" w:hAnsi="微软雅黑" w:eastAsia="微软雅黑" w:cs="微软雅黑"/>
          <w:szCs w:val="24"/>
        </w:rPr>
      </w:pPr>
    </w:p>
    <w:sectPr>
      <w:headerReference r:id="rId12" w:type="default"/>
      <w:footerReference r:id="rId13" w:type="default"/>
      <w:pgSz w:w="11905" w:h="16838"/>
      <w:pgMar w:top="1440" w:right="1083" w:bottom="1440" w:left="1083" w:header="851" w:footer="992" w:gutter="0"/>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059"/>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347"/>
      <w:outlineLvl w:val="1"/>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151"/>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49</w:t>
                    </w:r>
                    <w:r>
                      <w:fldChar w:fldCharType="end"/>
                    </w:r>
                  </w:p>
                </w:txbxContent>
              </v:textbox>
            </v:shape>
          </w:pict>
        </mc:Fallback>
      </mc:AlternateContent>
    </w:r>
  </w:p>
  <w:p>
    <w:pPr>
      <w:pStyle w:val="2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51</w:t>
                    </w:r>
                    <w:r>
                      <w:fldChar w:fldCharType="end"/>
                    </w:r>
                  </w:p>
                </w:txbxContent>
              </v:textbox>
            </v:shape>
          </w:pict>
        </mc:Fallback>
      </mc:AlternateContent>
    </w:r>
  </w:p>
  <w:p>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50</w:t>
                    </w:r>
                    <w:r>
                      <w:fldChar w:fldCharType="end"/>
                    </w:r>
                  </w:p>
                </w:txbxContent>
              </v:textbox>
            </v:shape>
          </w:pict>
        </mc:Fallback>
      </mc:AlternateContent>
    </w:r>
  </w:p>
  <w:p>
    <w:pPr>
      <w:jc w:val="cente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left"/>
    </w:pPr>
    <w:r>
      <w:rPr>
        <w:rFonts w:ascii="Cambria" w:hAnsi="Cambria"/>
        <w:vanish/>
        <w:sz w:val="32"/>
        <w:szCs w:val="32"/>
        <w:highlight w:val="yellow"/>
      </w:rPr>
      <w:t>&lt;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FAABE"/>
    <w:multiLevelType w:val="singleLevel"/>
    <w:tmpl w:val="972FAABE"/>
    <w:lvl w:ilvl="0" w:tentative="0">
      <w:start w:val="1"/>
      <w:numFmt w:val="decimal"/>
      <w:suff w:val="nothing"/>
      <w:lvlText w:val="%1、"/>
      <w:lvlJc w:val="left"/>
    </w:lvl>
  </w:abstractNum>
  <w:abstractNum w:abstractNumId="1">
    <w:nsid w:val="F62D7A73"/>
    <w:multiLevelType w:val="singleLevel"/>
    <w:tmpl w:val="F62D7A73"/>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5"/>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4">
    <w:nsid w:val="0053208E"/>
    <w:multiLevelType w:val="multilevel"/>
    <w:tmpl w:val="0053208E"/>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5">
    <w:nsid w:val="47B9B171"/>
    <w:multiLevelType w:val="singleLevel"/>
    <w:tmpl w:val="47B9B171"/>
    <w:lvl w:ilvl="0" w:tentative="0">
      <w:start w:val="2"/>
      <w:numFmt w:val="decimal"/>
      <w:suff w:val="nothing"/>
      <w:lvlText w:val="%1、"/>
      <w:lvlJc w:val="left"/>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210"/>
  <w:drawingGridVerticalSpacing w:val="99999990"/>
  <w:displayHorizont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00A2385F"/>
    <w:rsid w:val="000F38AC"/>
    <w:rsid w:val="0095072D"/>
    <w:rsid w:val="00A2385F"/>
    <w:rsid w:val="019118C8"/>
    <w:rsid w:val="038F46AF"/>
    <w:rsid w:val="03A154BC"/>
    <w:rsid w:val="04025BED"/>
    <w:rsid w:val="056362EC"/>
    <w:rsid w:val="08A62997"/>
    <w:rsid w:val="0B451313"/>
    <w:rsid w:val="0C4C7C7F"/>
    <w:rsid w:val="0CB36C08"/>
    <w:rsid w:val="0CDA1CD4"/>
    <w:rsid w:val="0D53200A"/>
    <w:rsid w:val="15131A1A"/>
    <w:rsid w:val="16585A26"/>
    <w:rsid w:val="179067B7"/>
    <w:rsid w:val="1835197D"/>
    <w:rsid w:val="1A6659FF"/>
    <w:rsid w:val="1C23072A"/>
    <w:rsid w:val="1D2D1D04"/>
    <w:rsid w:val="1EEE3414"/>
    <w:rsid w:val="207051E3"/>
    <w:rsid w:val="2133386C"/>
    <w:rsid w:val="21AE305D"/>
    <w:rsid w:val="21CD7F24"/>
    <w:rsid w:val="23C02704"/>
    <w:rsid w:val="242225F0"/>
    <w:rsid w:val="262D58A1"/>
    <w:rsid w:val="29B72037"/>
    <w:rsid w:val="2E0332AF"/>
    <w:rsid w:val="3089013A"/>
    <w:rsid w:val="36032AAE"/>
    <w:rsid w:val="39A44E6F"/>
    <w:rsid w:val="3AF24ACF"/>
    <w:rsid w:val="3B1456DF"/>
    <w:rsid w:val="3CF338D7"/>
    <w:rsid w:val="3DB27889"/>
    <w:rsid w:val="3E232DD9"/>
    <w:rsid w:val="4291742C"/>
    <w:rsid w:val="430123B1"/>
    <w:rsid w:val="440C4CEB"/>
    <w:rsid w:val="4CE832CA"/>
    <w:rsid w:val="4D212F41"/>
    <w:rsid w:val="534E4DB0"/>
    <w:rsid w:val="535D11F1"/>
    <w:rsid w:val="54C947B5"/>
    <w:rsid w:val="54EC3D45"/>
    <w:rsid w:val="558071F9"/>
    <w:rsid w:val="57A829DB"/>
    <w:rsid w:val="590E6D76"/>
    <w:rsid w:val="5BFE7106"/>
    <w:rsid w:val="613A73B9"/>
    <w:rsid w:val="623202AC"/>
    <w:rsid w:val="62AA56C6"/>
    <w:rsid w:val="62F3173B"/>
    <w:rsid w:val="6489776B"/>
    <w:rsid w:val="648E7C00"/>
    <w:rsid w:val="66AE299B"/>
    <w:rsid w:val="693D63AD"/>
    <w:rsid w:val="712C780C"/>
    <w:rsid w:val="72B15162"/>
    <w:rsid w:val="735A138C"/>
    <w:rsid w:val="77927AB5"/>
    <w:rsid w:val="7969789B"/>
    <w:rsid w:val="7CAE4477"/>
    <w:rsid w:val="7D6E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8"/>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link w:val="80"/>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next w:val="8"/>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spacing w:before="120"/>
    </w:pPr>
    <w:rPr>
      <w:rFonts w:ascii="Cambria" w:hAnsi="Cambria"/>
      <w:sz w:val="24"/>
    </w:rPr>
  </w:style>
  <w:style w:type="paragraph" w:styleId="9">
    <w:name w:val="Document Map"/>
    <w:basedOn w:val="1"/>
    <w:link w:val="72"/>
    <w:qFormat/>
    <w:uiPriority w:val="0"/>
    <w:rPr>
      <w:rFonts w:ascii="宋体"/>
      <w:sz w:val="18"/>
      <w:szCs w:val="18"/>
    </w:rPr>
  </w:style>
  <w:style w:type="paragraph" w:styleId="10">
    <w:name w:val="annotation text"/>
    <w:basedOn w:val="1"/>
    <w:link w:val="78"/>
    <w:qFormat/>
    <w:uiPriority w:val="99"/>
    <w:pPr>
      <w:jc w:val="left"/>
    </w:pPr>
  </w:style>
  <w:style w:type="paragraph" w:styleId="11">
    <w:name w:val="Body Text"/>
    <w:basedOn w:val="1"/>
    <w:next w:val="1"/>
    <w:link w:val="77"/>
    <w:qFormat/>
    <w:uiPriority w:val="0"/>
    <w:pPr>
      <w:tabs>
        <w:tab w:val="left" w:pos="567"/>
      </w:tabs>
      <w:spacing w:before="120" w:line="22" w:lineRule="atLeast"/>
    </w:pPr>
    <w:rPr>
      <w:rFonts w:ascii="宋体" w:hAnsi="宋体"/>
      <w:sz w:val="24"/>
    </w:rPr>
  </w:style>
  <w:style w:type="paragraph" w:styleId="12">
    <w:name w:val="Body Text Indent"/>
    <w:basedOn w:val="1"/>
    <w:next w:val="13"/>
    <w:qFormat/>
    <w:uiPriority w:val="0"/>
    <w:pPr>
      <w:spacing w:line="360" w:lineRule="auto"/>
      <w:ind w:firstLine="570"/>
    </w:pPr>
    <w:rPr>
      <w:sz w:val="24"/>
    </w:rPr>
  </w:style>
  <w:style w:type="paragraph" w:styleId="13">
    <w:name w:val="Body Text First Indent 2"/>
    <w:basedOn w:val="12"/>
    <w:next w:val="7"/>
    <w:qFormat/>
    <w:uiPriority w:val="0"/>
    <w:pPr>
      <w:ind w:firstLine="420" w:firstLineChars="200"/>
    </w:pPr>
  </w:style>
  <w:style w:type="paragraph" w:styleId="14">
    <w:name w:val="Block Text"/>
    <w:basedOn w:val="1"/>
    <w:qFormat/>
    <w:uiPriority w:val="99"/>
    <w:pPr>
      <w:spacing w:after="120"/>
      <w:ind w:left="1440" w:leftChars="700" w:right="1440" w:rightChars="700"/>
    </w:p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next w:val="18"/>
    <w:link w:val="76"/>
    <w:qFormat/>
    <w:uiPriority w:val="0"/>
    <w:rPr>
      <w:rFonts w:ascii="宋体" w:hAnsi="Courier New"/>
      <w:szCs w:val="20"/>
    </w:rPr>
  </w:style>
  <w:style w:type="paragraph" w:styleId="18">
    <w:name w:val="index 7"/>
    <w:basedOn w:val="1"/>
    <w:next w:val="1"/>
    <w:qFormat/>
    <w:uiPriority w:val="0"/>
    <w:pPr>
      <w:autoSpaceDE/>
      <w:autoSpaceDN/>
      <w:adjustRightInd/>
      <w:ind w:left="1200" w:leftChars="1200"/>
    </w:pPr>
    <w:rPr>
      <w:color w:val="auto"/>
      <w:kern w:val="2"/>
      <w:szCs w:val="24"/>
    </w:rPr>
  </w:style>
  <w:style w:type="paragraph" w:styleId="19">
    <w:name w:val="toc 8"/>
    <w:basedOn w:val="1"/>
    <w:next w:val="1"/>
    <w:qFormat/>
    <w:uiPriority w:val="39"/>
    <w:pPr>
      <w:ind w:left="2940" w:leftChars="1400"/>
    </w:pPr>
  </w:style>
  <w:style w:type="paragraph" w:styleId="20">
    <w:name w:val="Date"/>
    <w:basedOn w:val="1"/>
    <w:next w:val="1"/>
    <w:link w:val="73"/>
    <w:qFormat/>
    <w:uiPriority w:val="0"/>
    <w:pPr>
      <w:ind w:left="100" w:leftChars="2500"/>
    </w:pPr>
    <w:rPr>
      <w:rFonts w:ascii="仿宋_GB2312" w:hAnsi="宋体" w:eastAsia="仿宋_GB2312"/>
      <w:color w:val="000000"/>
      <w:sz w:val="24"/>
    </w:rPr>
  </w:style>
  <w:style w:type="paragraph" w:styleId="21">
    <w:name w:val="Body Text Indent 2"/>
    <w:basedOn w:val="1"/>
    <w:qFormat/>
    <w:uiPriority w:val="0"/>
    <w:pPr>
      <w:ind w:firstLine="480" w:firstLineChars="200"/>
    </w:pPr>
    <w:rPr>
      <w:rFonts w:ascii="仿宋_GB2312" w:eastAsia="仿宋_GB2312"/>
      <w:sz w:val="24"/>
    </w:rPr>
  </w:style>
  <w:style w:type="paragraph" w:styleId="22">
    <w:name w:val="Balloon Text"/>
    <w:basedOn w:val="1"/>
    <w:link w:val="69"/>
    <w:qFormat/>
    <w:uiPriority w:val="0"/>
    <w:rPr>
      <w:sz w:val="18"/>
      <w:szCs w:val="18"/>
    </w:rPr>
  </w:style>
  <w:style w:type="paragraph" w:styleId="23">
    <w:name w:val="footer"/>
    <w:basedOn w:val="1"/>
    <w:link w:val="6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footnote text"/>
    <w:basedOn w:val="1"/>
    <w:qFormat/>
    <w:uiPriority w:val="0"/>
    <w:pPr>
      <w:snapToGrid w:val="0"/>
      <w:jc w:val="left"/>
    </w:pPr>
    <w:rPr>
      <w:sz w:val="18"/>
    </w:rPr>
  </w:style>
  <w:style w:type="paragraph" w:styleId="28">
    <w:name w:val="toc 6"/>
    <w:basedOn w:val="1"/>
    <w:next w:val="1"/>
    <w:qFormat/>
    <w:uiPriority w:val="39"/>
    <w:pPr>
      <w:ind w:left="2100" w:leftChars="1000"/>
    </w:pPr>
  </w:style>
  <w:style w:type="paragraph" w:styleId="29">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style>
  <w:style w:type="paragraph" w:styleId="32">
    <w:name w:val="Normal (Web)"/>
    <w:basedOn w:val="1"/>
    <w:next w:val="33"/>
    <w:qFormat/>
    <w:uiPriority w:val="99"/>
    <w:pPr>
      <w:spacing w:before="75" w:after="75"/>
      <w:jc w:val="left"/>
    </w:pPr>
    <w:rPr>
      <w:kern w:val="0"/>
      <w:sz w:val="24"/>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4">
    <w:name w:val="index 1"/>
    <w:basedOn w:val="1"/>
    <w:next w:val="1"/>
    <w:qFormat/>
    <w:uiPriority w:val="0"/>
    <w:rPr>
      <w:szCs w:val="20"/>
    </w:rPr>
  </w:style>
  <w:style w:type="paragraph" w:styleId="35">
    <w:name w:val="annotation subject"/>
    <w:basedOn w:val="10"/>
    <w:next w:val="10"/>
    <w:link w:val="79"/>
    <w:qFormat/>
    <w:uiPriority w:val="0"/>
    <w:rPr>
      <w:b/>
      <w:bCs/>
    </w:rPr>
  </w:style>
  <w:style w:type="paragraph" w:styleId="36">
    <w:name w:val="Body Text First Indent"/>
    <w:basedOn w:val="11"/>
    <w:next w:val="13"/>
    <w:qFormat/>
    <w:uiPriority w:val="0"/>
    <w:pPr>
      <w:ind w:firstLine="420" w:firstLineChars="1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paragraph" w:customStyle="1" w:styleId="44">
    <w:name w:val="索引 11"/>
    <w:basedOn w:val="1"/>
    <w:next w:val="1"/>
    <w:qFormat/>
    <w:uiPriority w:val="0"/>
    <w:pPr>
      <w:spacing w:line="360" w:lineRule="auto"/>
    </w:pPr>
    <w:rPr>
      <w:rFonts w:ascii="仿宋_GB2312" w:eastAsia="仿宋_GB2312"/>
      <w:sz w:val="24"/>
      <w:szCs w:val="20"/>
    </w:rPr>
  </w:style>
  <w:style w:type="paragraph" w:customStyle="1" w:styleId="45">
    <w:name w:val="列出段落1"/>
    <w:basedOn w:val="1"/>
    <w:qFormat/>
    <w:uiPriority w:val="34"/>
    <w:pPr>
      <w:widowControl/>
      <w:ind w:firstLine="420" w:firstLineChars="200"/>
      <w:jc w:val="left"/>
    </w:pPr>
    <w:rPr>
      <w:kern w:val="0"/>
      <w:sz w:val="24"/>
    </w:rPr>
  </w:style>
  <w:style w:type="paragraph" w:customStyle="1" w:styleId="46">
    <w:name w:val="列出段落11"/>
    <w:basedOn w:val="1"/>
    <w:next w:val="45"/>
    <w:qFormat/>
    <w:uiPriority w:val="34"/>
    <w:pPr>
      <w:widowControl/>
      <w:ind w:firstLine="420" w:firstLineChars="200"/>
      <w:jc w:val="left"/>
    </w:pPr>
    <w:rPr>
      <w:rFonts w:ascii="宋体" w:hAnsi="宋体" w:cs="宋体"/>
      <w:kern w:val="0"/>
      <w:sz w:val="24"/>
    </w:rPr>
  </w:style>
  <w:style w:type="paragraph" w:customStyle="1" w:styleId="47">
    <w:name w:val="List Paragraph1"/>
    <w:basedOn w:val="1"/>
    <w:qFormat/>
    <w:uiPriority w:val="34"/>
    <w:pPr>
      <w:ind w:firstLine="420" w:firstLineChars="200"/>
    </w:pPr>
  </w:style>
  <w:style w:type="paragraph" w:customStyle="1" w:styleId="48">
    <w:name w:val="Table Paragraph"/>
    <w:basedOn w:val="1"/>
    <w:qFormat/>
    <w:uiPriority w:val="1"/>
    <w:pPr>
      <w:widowControl/>
      <w:jc w:val="left"/>
    </w:pPr>
    <w:rPr>
      <w:rFonts w:ascii="宋体" w:hAnsi="宋体" w:cs="宋体"/>
      <w:kern w:val="0"/>
      <w:szCs w:val="20"/>
      <w:lang w:val="zh-CN" w:bidi="zh-CN"/>
    </w:rPr>
  </w:style>
  <w:style w:type="paragraph" w:customStyle="1" w:styleId="49">
    <w:name w:val="p0"/>
    <w:basedOn w:val="1"/>
    <w:qFormat/>
    <w:uiPriority w:val="0"/>
    <w:pPr>
      <w:widowControl/>
    </w:pPr>
    <w:rPr>
      <w:kern w:val="0"/>
      <w:szCs w:val="21"/>
    </w:rPr>
  </w:style>
  <w:style w:type="paragraph" w:customStyle="1" w:styleId="50">
    <w:name w:val="图例"/>
    <w:basedOn w:val="1"/>
    <w:qFormat/>
    <w:uiPriority w:val="0"/>
    <w:pPr>
      <w:spacing w:before="120" w:after="120" w:line="360" w:lineRule="auto"/>
      <w:jc w:val="center"/>
    </w:pPr>
    <w:rPr>
      <w:rFonts w:eastAsia="仿宋_GB2312"/>
      <w:b/>
      <w:sz w:val="24"/>
    </w:rPr>
  </w:style>
  <w:style w:type="paragraph" w:customStyle="1" w:styleId="5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2">
    <w:name w:val="正文段"/>
    <w:basedOn w:val="1"/>
    <w:qFormat/>
    <w:uiPriority w:val="0"/>
    <w:pPr>
      <w:widowControl/>
      <w:snapToGrid w:val="0"/>
      <w:spacing w:afterLines="50"/>
      <w:ind w:firstLine="200" w:firstLineChars="200"/>
    </w:pPr>
    <w:rPr>
      <w:kern w:val="0"/>
      <w:sz w:val="24"/>
    </w:rPr>
  </w:style>
  <w:style w:type="paragraph" w:customStyle="1" w:styleId="53">
    <w:name w:val="首行缩进"/>
    <w:basedOn w:val="1"/>
    <w:qFormat/>
    <w:uiPriority w:val="0"/>
    <w:pPr>
      <w:ind w:firstLine="480" w:firstLineChars="200"/>
    </w:pPr>
    <w:rPr>
      <w:lang w:val="zh-CN"/>
    </w:rPr>
  </w:style>
  <w:style w:type="paragraph" w:customStyle="1" w:styleId="54">
    <w:name w:val="纯文本1"/>
    <w:basedOn w:val="1"/>
    <w:link w:val="70"/>
    <w:qFormat/>
    <w:uiPriority w:val="0"/>
    <w:rPr>
      <w:rFonts w:ascii="宋体" w:hAnsi="Courier New"/>
      <w:kern w:val="0"/>
      <w:sz w:val="20"/>
      <w:szCs w:val="20"/>
    </w:rPr>
  </w:style>
  <w:style w:type="paragraph" w:customStyle="1" w:styleId="55">
    <w:name w:val="Char"/>
    <w:basedOn w:val="1"/>
    <w:qFormat/>
    <w:uiPriority w:val="0"/>
    <w:pPr>
      <w:tabs>
        <w:tab w:val="left" w:pos="360"/>
      </w:tabs>
    </w:pPr>
    <w:rPr>
      <w:sz w:val="24"/>
    </w:rPr>
  </w:style>
  <w:style w:type="paragraph" w:customStyle="1" w:styleId="56">
    <w:name w:val="正文缩进1"/>
    <w:basedOn w:val="1"/>
    <w:link w:val="59"/>
    <w:qFormat/>
    <w:uiPriority w:val="0"/>
    <w:pPr>
      <w:autoSpaceDE w:val="0"/>
      <w:autoSpaceDN w:val="0"/>
      <w:adjustRightInd w:val="0"/>
      <w:ind w:firstLine="420"/>
      <w:jc w:val="left"/>
    </w:pPr>
    <w:rPr>
      <w:rFonts w:ascii="宋体"/>
      <w:kern w:val="0"/>
      <w:sz w:val="24"/>
      <w:szCs w:val="20"/>
    </w:rPr>
  </w:style>
  <w:style w:type="paragraph" w:customStyle="1" w:styleId="5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8">
    <w:name w:val="font91"/>
    <w:basedOn w:val="39"/>
    <w:qFormat/>
    <w:uiPriority w:val="0"/>
    <w:rPr>
      <w:rFonts w:hint="eastAsia" w:ascii="宋体" w:hAnsi="宋体" w:eastAsia="宋体" w:cs="宋体"/>
      <w:color w:val="000000"/>
      <w:sz w:val="20"/>
      <w:szCs w:val="20"/>
      <w:u w:val="none"/>
      <w:vertAlign w:val="subscript"/>
    </w:rPr>
  </w:style>
  <w:style w:type="character" w:customStyle="1" w:styleId="59">
    <w:name w:val="正文缩进 Char1"/>
    <w:link w:val="56"/>
    <w:qFormat/>
    <w:uiPriority w:val="0"/>
    <w:rPr>
      <w:rFonts w:ascii="宋体"/>
      <w:sz w:val="24"/>
    </w:rPr>
  </w:style>
  <w:style w:type="character" w:customStyle="1" w:styleId="60">
    <w:name w:val="批注主题 Char1"/>
    <w:qFormat/>
    <w:uiPriority w:val="99"/>
    <w:rPr>
      <w:b/>
      <w:bCs/>
      <w:kern w:val="2"/>
      <w:sz w:val="21"/>
      <w:szCs w:val="24"/>
    </w:rPr>
  </w:style>
  <w:style w:type="character" w:customStyle="1" w:styleId="61">
    <w:name w:val="font31"/>
    <w:basedOn w:val="39"/>
    <w:qFormat/>
    <w:uiPriority w:val="0"/>
    <w:rPr>
      <w:rFonts w:hint="eastAsia" w:ascii="宋体" w:hAnsi="宋体" w:eastAsia="宋体" w:cs="宋体"/>
      <w:color w:val="404040"/>
      <w:sz w:val="20"/>
      <w:szCs w:val="20"/>
      <w:u w:val="none"/>
    </w:rPr>
  </w:style>
  <w:style w:type="character" w:customStyle="1" w:styleId="62">
    <w:name w:val="font61"/>
    <w:basedOn w:val="39"/>
    <w:qFormat/>
    <w:uiPriority w:val="0"/>
    <w:rPr>
      <w:rFonts w:hint="eastAsia" w:ascii="宋体" w:hAnsi="宋体" w:eastAsia="宋体" w:cs="宋体"/>
      <w:color w:val="333333"/>
      <w:sz w:val="20"/>
      <w:szCs w:val="20"/>
      <w:u w:val="none"/>
    </w:rPr>
  </w:style>
  <w:style w:type="character" w:customStyle="1" w:styleId="63">
    <w:name w:val="页眉 字符"/>
    <w:link w:val="24"/>
    <w:qFormat/>
    <w:uiPriority w:val="99"/>
    <w:rPr>
      <w:kern w:val="2"/>
      <w:sz w:val="18"/>
      <w:szCs w:val="18"/>
    </w:rPr>
  </w:style>
  <w:style w:type="character" w:customStyle="1" w:styleId="64">
    <w:name w:val="批注文字 Char1"/>
    <w:qFormat/>
    <w:uiPriority w:val="99"/>
    <w:rPr>
      <w:kern w:val="2"/>
      <w:sz w:val="21"/>
      <w:szCs w:val="24"/>
    </w:rPr>
  </w:style>
  <w:style w:type="character" w:customStyle="1" w:styleId="65">
    <w:name w:val="font41"/>
    <w:basedOn w:val="39"/>
    <w:qFormat/>
    <w:uiPriority w:val="0"/>
    <w:rPr>
      <w:rFonts w:hint="eastAsia" w:ascii="宋体" w:hAnsi="宋体" w:eastAsia="宋体" w:cs="宋体"/>
      <w:color w:val="000000"/>
      <w:sz w:val="20"/>
      <w:szCs w:val="20"/>
      <w:u w:val="none"/>
    </w:rPr>
  </w:style>
  <w:style w:type="character" w:customStyle="1" w:styleId="66">
    <w:name w:val="页脚 字符"/>
    <w:link w:val="23"/>
    <w:qFormat/>
    <w:uiPriority w:val="99"/>
    <w:rPr>
      <w:rFonts w:ascii="宋体"/>
      <w:sz w:val="18"/>
    </w:rPr>
  </w:style>
  <w:style w:type="character" w:customStyle="1" w:styleId="67">
    <w:name w:val="font101"/>
    <w:basedOn w:val="39"/>
    <w:qFormat/>
    <w:uiPriority w:val="0"/>
    <w:rPr>
      <w:rFonts w:hint="eastAsia" w:ascii="宋体" w:hAnsi="宋体" w:eastAsia="宋体" w:cs="宋体"/>
      <w:color w:val="000000"/>
      <w:sz w:val="20"/>
      <w:szCs w:val="20"/>
      <w:u w:val="none"/>
    </w:rPr>
  </w:style>
  <w:style w:type="character" w:customStyle="1" w:styleId="68">
    <w:name w:val="标题 2 字符"/>
    <w:link w:val="4"/>
    <w:qFormat/>
    <w:uiPriority w:val="0"/>
    <w:rPr>
      <w:rFonts w:ascii="Arial" w:hAnsi="Arial" w:eastAsia="黑体"/>
      <w:b/>
      <w:sz w:val="30"/>
    </w:rPr>
  </w:style>
  <w:style w:type="character" w:customStyle="1" w:styleId="69">
    <w:name w:val="批注框文本 字符"/>
    <w:link w:val="22"/>
    <w:qFormat/>
    <w:uiPriority w:val="0"/>
    <w:rPr>
      <w:kern w:val="2"/>
      <w:sz w:val="18"/>
      <w:szCs w:val="18"/>
    </w:rPr>
  </w:style>
  <w:style w:type="character" w:customStyle="1" w:styleId="70">
    <w:name w:val="纯文本 Char1"/>
    <w:link w:val="54"/>
    <w:qFormat/>
    <w:uiPriority w:val="0"/>
    <w:rPr>
      <w:rFonts w:ascii="宋体" w:hAnsi="Courier New"/>
    </w:rPr>
  </w:style>
  <w:style w:type="character" w:customStyle="1" w:styleId="71">
    <w:name w:val="font81"/>
    <w:basedOn w:val="39"/>
    <w:qFormat/>
    <w:uiPriority w:val="0"/>
    <w:rPr>
      <w:rFonts w:hint="eastAsia" w:ascii="宋体" w:hAnsi="宋体" w:eastAsia="宋体" w:cs="宋体"/>
      <w:color w:val="404040"/>
      <w:sz w:val="20"/>
      <w:szCs w:val="20"/>
      <w:u w:val="none"/>
    </w:rPr>
  </w:style>
  <w:style w:type="character" w:customStyle="1" w:styleId="72">
    <w:name w:val="文档结构图 字符"/>
    <w:basedOn w:val="39"/>
    <w:link w:val="9"/>
    <w:qFormat/>
    <w:uiPriority w:val="0"/>
    <w:rPr>
      <w:rFonts w:ascii="宋体"/>
      <w:kern w:val="2"/>
      <w:sz w:val="18"/>
      <w:szCs w:val="18"/>
    </w:rPr>
  </w:style>
  <w:style w:type="character" w:customStyle="1" w:styleId="73">
    <w:name w:val="日期 字符"/>
    <w:link w:val="20"/>
    <w:qFormat/>
    <w:uiPriority w:val="0"/>
    <w:rPr>
      <w:rFonts w:ascii="仿宋_GB2312" w:hAnsi="宋体" w:eastAsia="仿宋_GB2312"/>
      <w:color w:val="000000"/>
      <w:kern w:val="2"/>
      <w:sz w:val="24"/>
      <w:szCs w:val="24"/>
    </w:rPr>
  </w:style>
  <w:style w:type="character" w:customStyle="1" w:styleId="74">
    <w:name w:val="页眉 Char1"/>
    <w:qFormat/>
    <w:uiPriority w:val="99"/>
    <w:rPr>
      <w:kern w:val="2"/>
      <w:sz w:val="18"/>
      <w:szCs w:val="18"/>
    </w:rPr>
  </w:style>
  <w:style w:type="character" w:customStyle="1" w:styleId="75">
    <w:name w:val="批注框文本 Char1"/>
    <w:qFormat/>
    <w:uiPriority w:val="99"/>
    <w:rPr>
      <w:kern w:val="2"/>
      <w:sz w:val="18"/>
      <w:szCs w:val="18"/>
    </w:rPr>
  </w:style>
  <w:style w:type="character" w:customStyle="1" w:styleId="76">
    <w:name w:val="纯文本 字符"/>
    <w:link w:val="17"/>
    <w:qFormat/>
    <w:uiPriority w:val="0"/>
    <w:rPr>
      <w:rFonts w:ascii="宋体" w:hAnsi="Courier New"/>
      <w:kern w:val="2"/>
      <w:sz w:val="21"/>
    </w:rPr>
  </w:style>
  <w:style w:type="character" w:customStyle="1" w:styleId="77">
    <w:name w:val="正文文本 字符"/>
    <w:link w:val="11"/>
    <w:qFormat/>
    <w:uiPriority w:val="0"/>
    <w:rPr>
      <w:rFonts w:ascii="宋体" w:hAnsi="宋体"/>
      <w:kern w:val="2"/>
      <w:sz w:val="24"/>
      <w:szCs w:val="24"/>
    </w:rPr>
  </w:style>
  <w:style w:type="character" w:customStyle="1" w:styleId="78">
    <w:name w:val="批注文字 字符"/>
    <w:link w:val="10"/>
    <w:qFormat/>
    <w:uiPriority w:val="99"/>
    <w:rPr>
      <w:kern w:val="2"/>
      <w:sz w:val="21"/>
      <w:szCs w:val="24"/>
    </w:rPr>
  </w:style>
  <w:style w:type="character" w:customStyle="1" w:styleId="79">
    <w:name w:val="批注主题 字符"/>
    <w:link w:val="35"/>
    <w:qFormat/>
    <w:uiPriority w:val="0"/>
    <w:rPr>
      <w:b/>
      <w:bCs/>
      <w:kern w:val="2"/>
      <w:sz w:val="21"/>
      <w:szCs w:val="24"/>
    </w:rPr>
  </w:style>
  <w:style w:type="character" w:customStyle="1" w:styleId="80">
    <w:name w:val="标题 3 字符"/>
    <w:link w:val="2"/>
    <w:qFormat/>
    <w:uiPriority w:val="0"/>
    <w:rPr>
      <w:rFonts w:ascii="宋体"/>
      <w:b/>
      <w:sz w:val="24"/>
      <w:u w:val="single"/>
    </w:rPr>
  </w:style>
  <w:style w:type="character" w:customStyle="1" w:styleId="81">
    <w:name w:val="标题 1 字符"/>
    <w:link w:val="3"/>
    <w:qFormat/>
    <w:uiPriority w:val="0"/>
    <w:rPr>
      <w:rFonts w:ascii="宋体"/>
      <w:b/>
      <w:kern w:val="44"/>
      <w:sz w:val="32"/>
    </w:rPr>
  </w:style>
  <w:style w:type="paragraph" w:styleId="82">
    <w:name w:val="List Paragraph"/>
    <w:basedOn w:val="1"/>
    <w:qFormat/>
    <w:uiPriority w:val="34"/>
    <w:pPr>
      <w:ind w:firstLine="420" w:firstLineChars="200"/>
    </w:pPr>
    <w:rPr>
      <w:rFonts w:ascii="Calibri" w:hAnsi="Calibri"/>
      <w:szCs w:val="22"/>
    </w:rPr>
  </w:style>
  <w:style w:type="paragraph" w:customStyle="1" w:styleId="83">
    <w:name w:val="样式 正文（首行缩进两字） + 首行缩进:  2 字符2"/>
    <w:basedOn w:val="7"/>
    <w:qFormat/>
    <w:uiPriority w:val="0"/>
    <w:pPr>
      <w:spacing w:line="360" w:lineRule="auto"/>
      <w:ind w:firstLine="0"/>
      <w:textAlignment w:val="baseline"/>
    </w:pPr>
    <w:rPr>
      <w:rFonts w:hAnsi="宋体" w:eastAsia="楷体_GB2312" w:cs="宋体"/>
      <w:bCs/>
      <w:kern w:val="2"/>
      <w:sz w:val="21"/>
      <w:szCs w:val="21"/>
    </w:rPr>
  </w:style>
  <w:style w:type="paragraph" w:customStyle="1" w:styleId="84">
    <w:name w:val="PlainText"/>
    <w:basedOn w:val="1"/>
    <w:qFormat/>
    <w:uiPriority w:val="0"/>
    <w:pPr>
      <w:textAlignment w:val="baseline"/>
    </w:pPr>
    <w:rPr>
      <w:rFonts w:ascii="宋体" w:hAnsi="Courier New"/>
      <w:szCs w:val="20"/>
    </w:rPr>
  </w:style>
  <w:style w:type="character" w:customStyle="1" w:styleId="85">
    <w:name w:val="NormalCharacter"/>
    <w:qFormat/>
    <w:uiPriority w:val="0"/>
    <w:rPr>
      <w:rFonts w:ascii="Times New Roman" w:hAnsi="Times New Roman" w:eastAsia="宋体" w:cs="Times New Roman"/>
      <w:kern w:val="2"/>
      <w:sz w:val="21"/>
      <w:szCs w:val="24"/>
      <w:lang w:val="en-US" w:eastAsia="zh-CN" w:bidi="ar-SA"/>
    </w:rPr>
  </w:style>
  <w:style w:type="character" w:customStyle="1" w:styleId="86">
    <w:name w:val="fontstyle01"/>
    <w:qFormat/>
    <w:uiPriority w:val="0"/>
    <w:rPr>
      <w:rFonts w:hint="eastAsia" w:ascii="宋体" w:hAnsi="宋体" w:eastAsia="宋体"/>
      <w:color w:val="000000"/>
      <w:sz w:val="22"/>
      <w:szCs w:val="22"/>
    </w:rPr>
  </w:style>
  <w:style w:type="paragraph" w:customStyle="1" w:styleId="87">
    <w:name w:val="正文1"/>
    <w:qFormat/>
    <w:uiPriority w:val="0"/>
    <w:pPr>
      <w:jc w:val="both"/>
    </w:pPr>
    <w:rPr>
      <w:rFonts w:ascii="Calibri" w:hAnsi="Calibri" w:eastAsia="宋体" w:cs="宋体"/>
      <w:kern w:val="2"/>
      <w:sz w:val="21"/>
      <w:szCs w:val="21"/>
      <w:lang w:val="en-US" w:eastAsia="zh-CN" w:bidi="ar-SA"/>
    </w:rPr>
  </w:style>
  <w:style w:type="character" w:customStyle="1" w:styleId="88">
    <w:name w:val="font11"/>
    <w:basedOn w:val="39"/>
    <w:qFormat/>
    <w:uiPriority w:val="0"/>
    <w:rPr>
      <w:rFonts w:hint="eastAsia" w:ascii="宋体" w:hAnsi="宋体" w:eastAsia="宋体" w:cs="宋体"/>
      <w:color w:val="000000"/>
      <w:sz w:val="18"/>
      <w:szCs w:val="18"/>
      <w:u w:val="none"/>
    </w:rPr>
  </w:style>
  <w:style w:type="character" w:customStyle="1" w:styleId="89">
    <w:name w:val="font71"/>
    <w:basedOn w:val="39"/>
    <w:qFormat/>
    <w:uiPriority w:val="0"/>
    <w:rPr>
      <w:rFonts w:hint="eastAsia" w:ascii="宋体" w:hAnsi="宋体" w:eastAsia="宋体" w:cs="宋体"/>
      <w:color w:val="000000"/>
      <w:sz w:val="18"/>
      <w:szCs w:val="18"/>
      <w:u w:val="none"/>
    </w:rPr>
  </w:style>
  <w:style w:type="character" w:customStyle="1" w:styleId="90">
    <w:name w:val="font112"/>
    <w:basedOn w:val="39"/>
    <w:qFormat/>
    <w:uiPriority w:val="0"/>
    <w:rPr>
      <w:rFonts w:hint="default" w:ascii="Calibri" w:hAnsi="Calibri" w:cs="Calibri"/>
      <w:color w:val="000000"/>
      <w:sz w:val="18"/>
      <w:szCs w:val="18"/>
      <w:u w:val="none"/>
    </w:rPr>
  </w:style>
  <w:style w:type="character" w:customStyle="1" w:styleId="91">
    <w:name w:val="font21"/>
    <w:basedOn w:val="39"/>
    <w:qFormat/>
    <w:uiPriority w:val="0"/>
    <w:rPr>
      <w:rFonts w:hint="eastAsia" w:ascii="宋体" w:hAnsi="宋体" w:eastAsia="宋体" w:cs="宋体"/>
      <w:color w:val="000000"/>
      <w:sz w:val="12"/>
      <w:szCs w:val="12"/>
      <w:u w:val="none"/>
    </w:rPr>
  </w:style>
  <w:style w:type="table" w:customStyle="1" w:styleId="92">
    <w:name w:val="Table Normal"/>
    <w:semiHidden/>
    <w:unhideWhenUsed/>
    <w:qFormat/>
    <w:uiPriority w:val="0"/>
    <w:tblPr>
      <w:tblCellMar>
        <w:top w:w="0" w:type="dxa"/>
        <w:left w:w="0" w:type="dxa"/>
        <w:bottom w:w="0" w:type="dxa"/>
        <w:right w:w="0" w:type="dxa"/>
      </w:tblCellMar>
    </w:tblPr>
  </w:style>
  <w:style w:type="paragraph" w:customStyle="1" w:styleId="93">
    <w:name w:val="正文首行缩进1"/>
    <w:basedOn w:val="11"/>
    <w:qFormat/>
    <w:uiPriority w:val="0"/>
    <w:pPr>
      <w:spacing w:after="0"/>
      <w:ind w:right="-349" w:rightChars="-166" w:firstLine="420" w:firstLineChars="1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45623</Words>
  <Characters>48655</Characters>
  <Lines>434</Lines>
  <Paragraphs>122</Paragraphs>
  <TotalTime>47</TotalTime>
  <ScaleCrop>false</ScaleCrop>
  <LinksUpToDate>false</LinksUpToDate>
  <CharactersWithSpaces>57396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0℃</cp:lastModifiedBy>
  <cp:lastPrinted>2023-08-30T09:03:00Z</cp:lastPrinted>
  <dcterms:modified xsi:type="dcterms:W3CDTF">2023-10-30T08:12:38Z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48F35478ACE2401286F4ED96BCC1252A_13</vt:lpwstr>
  </property>
</Properties>
</file>